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8C5C2" w14:textId="35FB9898" w:rsidR="000675C3" w:rsidRDefault="000675C3" w:rsidP="00C66EB2">
      <w:pPr>
        <w:jc w:val="center"/>
      </w:pPr>
      <w:r>
        <w:rPr>
          <w:noProof/>
        </w:rPr>
        <w:drawing>
          <wp:anchor distT="0" distB="0" distL="114300" distR="114300" simplePos="0" relativeHeight="251658240" behindDoc="1" locked="0" layoutInCell="1" allowOverlap="1" wp14:anchorId="1D8B7BB7" wp14:editId="04B4C564">
            <wp:simplePos x="0" y="0"/>
            <wp:positionH relativeFrom="margin">
              <wp:align>center</wp:align>
            </wp:positionH>
            <wp:positionV relativeFrom="paragraph">
              <wp:posOffset>0</wp:posOffset>
            </wp:positionV>
            <wp:extent cx="6614160" cy="3307080"/>
            <wp:effectExtent l="0" t="0" r="0" b="7620"/>
            <wp:wrapTight wrapText="bothSides">
              <wp:wrapPolygon edited="0">
                <wp:start x="0" y="0"/>
                <wp:lineTo x="0" y="21525"/>
                <wp:lineTo x="21525" y="21525"/>
                <wp:lineTo x="21525" y="0"/>
                <wp:lineTo x="0" y="0"/>
              </wp:wrapPolygon>
            </wp:wrapTight>
            <wp:docPr id="1122545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14160" cy="3307080"/>
                    </a:xfrm>
                    <a:prstGeom prst="rect">
                      <a:avLst/>
                    </a:prstGeom>
                    <a:noFill/>
                  </pic:spPr>
                </pic:pic>
              </a:graphicData>
            </a:graphic>
          </wp:anchor>
        </w:drawing>
      </w:r>
      <w:r>
        <w:t>School of Engineering</w:t>
      </w:r>
    </w:p>
    <w:p w14:paraId="40CECCCD" w14:textId="77777777" w:rsidR="00C0436B" w:rsidRDefault="009C1B85" w:rsidP="00C66EB2">
      <w:pPr>
        <w:jc w:val="center"/>
      </w:pPr>
      <w:r w:rsidRPr="009C1B85">
        <w:t>Analytical assessment of engine internal components</w:t>
      </w:r>
      <w:r w:rsidRPr="009C1B85">
        <w:t xml:space="preserve"> </w:t>
      </w:r>
    </w:p>
    <w:p w14:paraId="6CD28204" w14:textId="569C2F48" w:rsidR="00E82207" w:rsidRDefault="00E82207" w:rsidP="00C66EB2">
      <w:pPr>
        <w:jc w:val="center"/>
      </w:pPr>
      <w:r>
        <w:t>Koa Brook</w:t>
      </w:r>
    </w:p>
    <w:p w14:paraId="3172A983" w14:textId="2DBD7F38" w:rsidR="00E82207" w:rsidRDefault="00E82207" w:rsidP="00C66EB2">
      <w:pPr>
        <w:jc w:val="center"/>
      </w:pPr>
      <w:r>
        <w:t>2203480</w:t>
      </w:r>
    </w:p>
    <w:p w14:paraId="7BDBA22C" w14:textId="19D4E3BC" w:rsidR="00E82207" w:rsidRDefault="000675C3" w:rsidP="00C66EB2">
      <w:pPr>
        <w:jc w:val="center"/>
      </w:pPr>
      <w:r>
        <w:t>Motorcycle Engineering Beng</w:t>
      </w:r>
    </w:p>
    <w:p w14:paraId="5E2215D6" w14:textId="0517B574" w:rsidR="000675C3" w:rsidRPr="009C1B85" w:rsidRDefault="009C1B85" w:rsidP="00C66EB2">
      <w:pPr>
        <w:jc w:val="center"/>
        <w:rPr>
          <w:color w:val="000000" w:themeColor="text1"/>
        </w:rPr>
      </w:pPr>
      <w:r w:rsidRPr="009C1B85">
        <w:rPr>
          <w:color w:val="000000" w:themeColor="text1"/>
        </w:rPr>
        <w:t>16/03/2025</w:t>
      </w:r>
    </w:p>
    <w:p w14:paraId="3A25F3EF" w14:textId="58B90700" w:rsidR="000675C3" w:rsidRPr="009C1B85" w:rsidRDefault="009C1B85" w:rsidP="00C66EB2">
      <w:pPr>
        <w:jc w:val="center"/>
        <w:rPr>
          <w:color w:val="000000" w:themeColor="text1"/>
        </w:rPr>
      </w:pPr>
      <w:r>
        <w:rPr>
          <w:color w:val="000000" w:themeColor="text1"/>
        </w:rPr>
        <w:t>Contemporary Powertrain Design</w:t>
      </w:r>
    </w:p>
    <w:p w14:paraId="62D26746" w14:textId="452D1D0D" w:rsidR="000675C3" w:rsidRPr="009C1B85" w:rsidRDefault="009C1B85" w:rsidP="00C66EB2">
      <w:pPr>
        <w:jc w:val="center"/>
        <w:rPr>
          <w:color w:val="000000" w:themeColor="text1"/>
        </w:rPr>
      </w:pPr>
      <w:r>
        <w:rPr>
          <w:color w:val="000000" w:themeColor="text1"/>
        </w:rPr>
        <w:t>ACHA6006</w:t>
      </w:r>
    </w:p>
    <w:p w14:paraId="46D86E95" w14:textId="77777777" w:rsidR="00E82207" w:rsidRDefault="00E82207" w:rsidP="009D1D3B">
      <w:r>
        <w:br w:type="page"/>
      </w:r>
    </w:p>
    <w:sdt>
      <w:sdtPr>
        <w:rPr>
          <w:rFonts w:asciiTheme="minorHAnsi" w:eastAsiaTheme="minorHAnsi" w:hAnsiTheme="minorHAnsi" w:cstheme="minorBidi"/>
          <w:color w:val="auto"/>
          <w:kern w:val="2"/>
          <w:sz w:val="22"/>
          <w:szCs w:val="22"/>
          <w:lang w:val="en-GB"/>
          <w14:ligatures w14:val="standardContextual"/>
        </w:rPr>
        <w:id w:val="-1677643884"/>
        <w:docPartObj>
          <w:docPartGallery w:val="Table of Contents"/>
          <w:docPartUnique/>
        </w:docPartObj>
      </w:sdtPr>
      <w:sdtEndPr>
        <w:rPr>
          <w:rFonts w:cstheme="minorHAnsi"/>
          <w:noProof/>
        </w:rPr>
      </w:sdtEndPr>
      <w:sdtContent>
        <w:p w14:paraId="1A0748E7" w14:textId="1FF16538" w:rsidR="000675C3" w:rsidRPr="00C66EB2" w:rsidRDefault="000675C3" w:rsidP="009D1D3B">
          <w:pPr>
            <w:pStyle w:val="TOCHeading"/>
            <w:rPr>
              <w:color w:val="auto"/>
              <w:u w:val="single"/>
            </w:rPr>
          </w:pPr>
          <w:r w:rsidRPr="00C66EB2">
            <w:rPr>
              <w:color w:val="auto"/>
              <w:u w:val="single"/>
            </w:rPr>
            <w:t>Contents</w:t>
          </w:r>
        </w:p>
        <w:p w14:paraId="763D1D32" w14:textId="67EDC874" w:rsidR="00C0436B" w:rsidRDefault="000675C3">
          <w:pPr>
            <w:pStyle w:val="TOC1"/>
            <w:tabs>
              <w:tab w:val="left" w:pos="480"/>
              <w:tab w:val="right" w:leader="dot" w:pos="9016"/>
            </w:tabs>
            <w:rPr>
              <w:rFonts w:eastAsiaTheme="minorEastAsia" w:cstheme="minorBidi"/>
              <w:noProof/>
              <w:sz w:val="24"/>
              <w:szCs w:val="24"/>
              <w:lang w:eastAsia="en-GB"/>
            </w:rPr>
          </w:pPr>
          <w:r>
            <w:fldChar w:fldCharType="begin"/>
          </w:r>
          <w:r>
            <w:instrText xml:space="preserve"> TOC \o "1-3" \h \z \u </w:instrText>
          </w:r>
          <w:r>
            <w:fldChar w:fldCharType="separate"/>
          </w:r>
          <w:hyperlink w:anchor="_Toc193023109" w:history="1">
            <w:r w:rsidR="00C0436B" w:rsidRPr="000B3890">
              <w:rPr>
                <w:rStyle w:val="Hyperlink"/>
                <w:noProof/>
              </w:rPr>
              <w:t>1.</w:t>
            </w:r>
            <w:r w:rsidR="00C0436B">
              <w:rPr>
                <w:rFonts w:eastAsiaTheme="minorEastAsia" w:cstheme="minorBidi"/>
                <w:noProof/>
                <w:sz w:val="24"/>
                <w:szCs w:val="24"/>
                <w:lang w:eastAsia="en-GB"/>
              </w:rPr>
              <w:tab/>
            </w:r>
            <w:r w:rsidR="00C0436B" w:rsidRPr="000B3890">
              <w:rPr>
                <w:rStyle w:val="Hyperlink"/>
                <w:noProof/>
              </w:rPr>
              <w:t>Introduction</w:t>
            </w:r>
            <w:r w:rsidR="00C0436B">
              <w:rPr>
                <w:noProof/>
                <w:webHidden/>
              </w:rPr>
              <w:tab/>
            </w:r>
            <w:r w:rsidR="00C0436B">
              <w:rPr>
                <w:noProof/>
                <w:webHidden/>
              </w:rPr>
              <w:fldChar w:fldCharType="begin"/>
            </w:r>
            <w:r w:rsidR="00C0436B">
              <w:rPr>
                <w:noProof/>
                <w:webHidden/>
              </w:rPr>
              <w:instrText xml:space="preserve"> PAGEREF _Toc193023109 \h </w:instrText>
            </w:r>
            <w:r w:rsidR="00C0436B">
              <w:rPr>
                <w:noProof/>
                <w:webHidden/>
              </w:rPr>
            </w:r>
            <w:r w:rsidR="00C0436B">
              <w:rPr>
                <w:noProof/>
                <w:webHidden/>
              </w:rPr>
              <w:fldChar w:fldCharType="separate"/>
            </w:r>
            <w:r w:rsidR="00C0436B">
              <w:rPr>
                <w:noProof/>
                <w:webHidden/>
              </w:rPr>
              <w:t>3</w:t>
            </w:r>
            <w:r w:rsidR="00C0436B">
              <w:rPr>
                <w:noProof/>
                <w:webHidden/>
              </w:rPr>
              <w:fldChar w:fldCharType="end"/>
            </w:r>
          </w:hyperlink>
        </w:p>
        <w:p w14:paraId="2195FDA1" w14:textId="2BCDD16A" w:rsidR="00C0436B" w:rsidRDefault="00C0436B">
          <w:pPr>
            <w:pStyle w:val="TOC1"/>
            <w:tabs>
              <w:tab w:val="left" w:pos="480"/>
              <w:tab w:val="right" w:leader="dot" w:pos="9016"/>
            </w:tabs>
            <w:rPr>
              <w:rFonts w:eastAsiaTheme="minorEastAsia" w:cstheme="minorBidi"/>
              <w:noProof/>
              <w:sz w:val="24"/>
              <w:szCs w:val="24"/>
              <w:lang w:eastAsia="en-GB"/>
            </w:rPr>
          </w:pPr>
          <w:hyperlink w:anchor="_Toc193023110" w:history="1">
            <w:r w:rsidRPr="000B3890">
              <w:rPr>
                <w:rStyle w:val="Hyperlink"/>
                <w:noProof/>
              </w:rPr>
              <w:t>2.</w:t>
            </w:r>
            <w:r>
              <w:rPr>
                <w:rFonts w:eastAsiaTheme="minorEastAsia" w:cstheme="minorBidi"/>
                <w:noProof/>
                <w:sz w:val="24"/>
                <w:szCs w:val="24"/>
                <w:lang w:eastAsia="en-GB"/>
              </w:rPr>
              <w:tab/>
            </w:r>
            <w:r w:rsidRPr="000B3890">
              <w:rPr>
                <w:rStyle w:val="Hyperlink"/>
                <w:noProof/>
              </w:rPr>
              <w:t>Literature Review</w:t>
            </w:r>
            <w:r>
              <w:rPr>
                <w:noProof/>
                <w:webHidden/>
              </w:rPr>
              <w:tab/>
            </w:r>
            <w:r>
              <w:rPr>
                <w:noProof/>
                <w:webHidden/>
              </w:rPr>
              <w:fldChar w:fldCharType="begin"/>
            </w:r>
            <w:r>
              <w:rPr>
                <w:noProof/>
                <w:webHidden/>
              </w:rPr>
              <w:instrText xml:space="preserve"> PAGEREF _Toc193023110 \h </w:instrText>
            </w:r>
            <w:r>
              <w:rPr>
                <w:noProof/>
                <w:webHidden/>
              </w:rPr>
            </w:r>
            <w:r>
              <w:rPr>
                <w:noProof/>
                <w:webHidden/>
              </w:rPr>
              <w:fldChar w:fldCharType="separate"/>
            </w:r>
            <w:r>
              <w:rPr>
                <w:noProof/>
                <w:webHidden/>
              </w:rPr>
              <w:t>4</w:t>
            </w:r>
            <w:r>
              <w:rPr>
                <w:noProof/>
                <w:webHidden/>
              </w:rPr>
              <w:fldChar w:fldCharType="end"/>
            </w:r>
          </w:hyperlink>
        </w:p>
        <w:p w14:paraId="122FC3B6" w14:textId="3CFA8EF5" w:rsidR="00C0436B" w:rsidRDefault="00C0436B">
          <w:pPr>
            <w:pStyle w:val="TOC1"/>
            <w:tabs>
              <w:tab w:val="left" w:pos="480"/>
              <w:tab w:val="right" w:leader="dot" w:pos="9016"/>
            </w:tabs>
            <w:rPr>
              <w:rFonts w:eastAsiaTheme="minorEastAsia" w:cstheme="minorBidi"/>
              <w:noProof/>
              <w:sz w:val="24"/>
              <w:szCs w:val="24"/>
              <w:lang w:eastAsia="en-GB"/>
            </w:rPr>
          </w:pPr>
          <w:hyperlink w:anchor="_Toc193023111" w:history="1">
            <w:r w:rsidRPr="000B3890">
              <w:rPr>
                <w:rStyle w:val="Hyperlink"/>
                <w:noProof/>
              </w:rPr>
              <w:t>3.</w:t>
            </w:r>
            <w:r>
              <w:rPr>
                <w:rFonts w:eastAsiaTheme="minorEastAsia" w:cstheme="minorBidi"/>
                <w:noProof/>
                <w:sz w:val="24"/>
                <w:szCs w:val="24"/>
                <w:lang w:eastAsia="en-GB"/>
              </w:rPr>
              <w:tab/>
            </w:r>
            <w:r w:rsidRPr="000B3890">
              <w:rPr>
                <w:rStyle w:val="Hyperlink"/>
                <w:noProof/>
              </w:rPr>
              <w:t>Stress analysis of powertrain components</w:t>
            </w:r>
            <w:r>
              <w:rPr>
                <w:noProof/>
                <w:webHidden/>
              </w:rPr>
              <w:tab/>
            </w:r>
            <w:r>
              <w:rPr>
                <w:noProof/>
                <w:webHidden/>
              </w:rPr>
              <w:fldChar w:fldCharType="begin"/>
            </w:r>
            <w:r>
              <w:rPr>
                <w:noProof/>
                <w:webHidden/>
              </w:rPr>
              <w:instrText xml:space="preserve"> PAGEREF _Toc193023111 \h </w:instrText>
            </w:r>
            <w:r>
              <w:rPr>
                <w:noProof/>
                <w:webHidden/>
              </w:rPr>
            </w:r>
            <w:r>
              <w:rPr>
                <w:noProof/>
                <w:webHidden/>
              </w:rPr>
              <w:fldChar w:fldCharType="separate"/>
            </w:r>
            <w:r>
              <w:rPr>
                <w:noProof/>
                <w:webHidden/>
              </w:rPr>
              <w:t>6</w:t>
            </w:r>
            <w:r>
              <w:rPr>
                <w:noProof/>
                <w:webHidden/>
              </w:rPr>
              <w:fldChar w:fldCharType="end"/>
            </w:r>
          </w:hyperlink>
        </w:p>
        <w:p w14:paraId="4D73D5C3" w14:textId="08C4A08F" w:rsidR="00C0436B" w:rsidRDefault="00C0436B">
          <w:pPr>
            <w:pStyle w:val="TOC2"/>
            <w:tabs>
              <w:tab w:val="left" w:pos="960"/>
              <w:tab w:val="right" w:leader="dot" w:pos="9016"/>
            </w:tabs>
            <w:rPr>
              <w:rFonts w:eastAsiaTheme="minorEastAsia" w:cstheme="minorBidi"/>
              <w:noProof/>
              <w:sz w:val="24"/>
              <w:szCs w:val="24"/>
              <w:lang w:eastAsia="en-GB"/>
            </w:rPr>
          </w:pPr>
          <w:hyperlink w:anchor="_Toc193023112" w:history="1">
            <w:r w:rsidRPr="000B3890">
              <w:rPr>
                <w:rStyle w:val="Hyperlink"/>
                <w:rFonts w:cstheme="majorHAnsi"/>
                <w:noProof/>
              </w:rPr>
              <w:t>3.1</w:t>
            </w:r>
            <w:r>
              <w:rPr>
                <w:rFonts w:eastAsiaTheme="minorEastAsia" w:cstheme="minorBidi"/>
                <w:noProof/>
                <w:sz w:val="24"/>
                <w:szCs w:val="24"/>
                <w:lang w:eastAsia="en-GB"/>
              </w:rPr>
              <w:tab/>
            </w:r>
            <w:r w:rsidRPr="000B3890">
              <w:rPr>
                <w:rStyle w:val="Hyperlink"/>
                <w:noProof/>
              </w:rPr>
              <w:t>Connecting Rod</w:t>
            </w:r>
            <w:r>
              <w:rPr>
                <w:noProof/>
                <w:webHidden/>
              </w:rPr>
              <w:tab/>
            </w:r>
            <w:r>
              <w:rPr>
                <w:noProof/>
                <w:webHidden/>
              </w:rPr>
              <w:fldChar w:fldCharType="begin"/>
            </w:r>
            <w:r>
              <w:rPr>
                <w:noProof/>
                <w:webHidden/>
              </w:rPr>
              <w:instrText xml:space="preserve"> PAGEREF _Toc193023112 \h </w:instrText>
            </w:r>
            <w:r>
              <w:rPr>
                <w:noProof/>
                <w:webHidden/>
              </w:rPr>
            </w:r>
            <w:r>
              <w:rPr>
                <w:noProof/>
                <w:webHidden/>
              </w:rPr>
              <w:fldChar w:fldCharType="separate"/>
            </w:r>
            <w:r>
              <w:rPr>
                <w:noProof/>
                <w:webHidden/>
              </w:rPr>
              <w:t>6</w:t>
            </w:r>
            <w:r>
              <w:rPr>
                <w:noProof/>
                <w:webHidden/>
              </w:rPr>
              <w:fldChar w:fldCharType="end"/>
            </w:r>
          </w:hyperlink>
        </w:p>
        <w:p w14:paraId="6FDC7FF7" w14:textId="617CC2D2" w:rsidR="00C0436B" w:rsidRDefault="00C0436B">
          <w:pPr>
            <w:pStyle w:val="TOC2"/>
            <w:tabs>
              <w:tab w:val="left" w:pos="960"/>
              <w:tab w:val="right" w:leader="dot" w:pos="9016"/>
            </w:tabs>
            <w:rPr>
              <w:rFonts w:eastAsiaTheme="minorEastAsia" w:cstheme="minorBidi"/>
              <w:noProof/>
              <w:sz w:val="24"/>
              <w:szCs w:val="24"/>
              <w:lang w:eastAsia="en-GB"/>
            </w:rPr>
          </w:pPr>
          <w:hyperlink w:anchor="_Toc193023113" w:history="1">
            <w:r w:rsidRPr="000B3890">
              <w:rPr>
                <w:rStyle w:val="Hyperlink"/>
                <w:rFonts w:cstheme="majorHAnsi"/>
                <w:noProof/>
              </w:rPr>
              <w:t>3.2</w:t>
            </w:r>
            <w:r>
              <w:rPr>
                <w:rFonts w:eastAsiaTheme="minorEastAsia" w:cstheme="minorBidi"/>
                <w:noProof/>
                <w:sz w:val="24"/>
                <w:szCs w:val="24"/>
                <w:lang w:eastAsia="en-GB"/>
              </w:rPr>
              <w:tab/>
            </w:r>
            <w:r w:rsidRPr="000B3890">
              <w:rPr>
                <w:rStyle w:val="Hyperlink"/>
                <w:noProof/>
              </w:rPr>
              <w:t>Gudgeon Pin</w:t>
            </w:r>
            <w:r>
              <w:rPr>
                <w:noProof/>
                <w:webHidden/>
              </w:rPr>
              <w:tab/>
            </w:r>
            <w:r>
              <w:rPr>
                <w:noProof/>
                <w:webHidden/>
              </w:rPr>
              <w:fldChar w:fldCharType="begin"/>
            </w:r>
            <w:r>
              <w:rPr>
                <w:noProof/>
                <w:webHidden/>
              </w:rPr>
              <w:instrText xml:space="preserve"> PAGEREF _Toc193023113 \h </w:instrText>
            </w:r>
            <w:r>
              <w:rPr>
                <w:noProof/>
                <w:webHidden/>
              </w:rPr>
            </w:r>
            <w:r>
              <w:rPr>
                <w:noProof/>
                <w:webHidden/>
              </w:rPr>
              <w:fldChar w:fldCharType="separate"/>
            </w:r>
            <w:r>
              <w:rPr>
                <w:noProof/>
                <w:webHidden/>
              </w:rPr>
              <w:t>7</w:t>
            </w:r>
            <w:r>
              <w:rPr>
                <w:noProof/>
                <w:webHidden/>
              </w:rPr>
              <w:fldChar w:fldCharType="end"/>
            </w:r>
          </w:hyperlink>
        </w:p>
        <w:p w14:paraId="792616AC" w14:textId="7CD85BF2" w:rsidR="00C0436B" w:rsidRDefault="00C0436B">
          <w:pPr>
            <w:pStyle w:val="TOC2"/>
            <w:tabs>
              <w:tab w:val="left" w:pos="960"/>
              <w:tab w:val="right" w:leader="dot" w:pos="9016"/>
            </w:tabs>
            <w:rPr>
              <w:rFonts w:eastAsiaTheme="minorEastAsia" w:cstheme="minorBidi"/>
              <w:noProof/>
              <w:sz w:val="24"/>
              <w:szCs w:val="24"/>
              <w:lang w:eastAsia="en-GB"/>
            </w:rPr>
          </w:pPr>
          <w:hyperlink w:anchor="_Toc193023114" w:history="1">
            <w:r w:rsidRPr="000B3890">
              <w:rPr>
                <w:rStyle w:val="Hyperlink"/>
                <w:rFonts w:cstheme="majorHAnsi"/>
                <w:noProof/>
              </w:rPr>
              <w:t>3.3</w:t>
            </w:r>
            <w:r>
              <w:rPr>
                <w:rFonts w:eastAsiaTheme="minorEastAsia" w:cstheme="minorBidi"/>
                <w:noProof/>
                <w:sz w:val="24"/>
                <w:szCs w:val="24"/>
                <w:lang w:eastAsia="en-GB"/>
              </w:rPr>
              <w:tab/>
            </w:r>
            <w:r w:rsidRPr="000B3890">
              <w:rPr>
                <w:rStyle w:val="Hyperlink"/>
                <w:noProof/>
              </w:rPr>
              <w:t>Connecting Rod Bolts</w:t>
            </w:r>
            <w:r>
              <w:rPr>
                <w:noProof/>
                <w:webHidden/>
              </w:rPr>
              <w:tab/>
            </w:r>
            <w:r>
              <w:rPr>
                <w:noProof/>
                <w:webHidden/>
              </w:rPr>
              <w:fldChar w:fldCharType="begin"/>
            </w:r>
            <w:r>
              <w:rPr>
                <w:noProof/>
                <w:webHidden/>
              </w:rPr>
              <w:instrText xml:space="preserve"> PAGEREF _Toc193023114 \h </w:instrText>
            </w:r>
            <w:r>
              <w:rPr>
                <w:noProof/>
                <w:webHidden/>
              </w:rPr>
            </w:r>
            <w:r>
              <w:rPr>
                <w:noProof/>
                <w:webHidden/>
              </w:rPr>
              <w:fldChar w:fldCharType="separate"/>
            </w:r>
            <w:r>
              <w:rPr>
                <w:noProof/>
                <w:webHidden/>
              </w:rPr>
              <w:t>7</w:t>
            </w:r>
            <w:r>
              <w:rPr>
                <w:noProof/>
                <w:webHidden/>
              </w:rPr>
              <w:fldChar w:fldCharType="end"/>
            </w:r>
          </w:hyperlink>
        </w:p>
        <w:p w14:paraId="4540ACB6" w14:textId="074F6EED" w:rsidR="00C0436B" w:rsidRDefault="00C0436B">
          <w:pPr>
            <w:pStyle w:val="TOC1"/>
            <w:tabs>
              <w:tab w:val="left" w:pos="480"/>
              <w:tab w:val="right" w:leader="dot" w:pos="9016"/>
            </w:tabs>
            <w:rPr>
              <w:rFonts w:eastAsiaTheme="minorEastAsia" w:cstheme="minorBidi"/>
              <w:noProof/>
              <w:sz w:val="24"/>
              <w:szCs w:val="24"/>
              <w:lang w:eastAsia="en-GB"/>
            </w:rPr>
          </w:pPr>
          <w:hyperlink w:anchor="_Toc193023115" w:history="1">
            <w:r w:rsidRPr="000B3890">
              <w:rPr>
                <w:rStyle w:val="Hyperlink"/>
                <w:noProof/>
              </w:rPr>
              <w:t>4.</w:t>
            </w:r>
            <w:r>
              <w:rPr>
                <w:rFonts w:eastAsiaTheme="minorEastAsia" w:cstheme="minorBidi"/>
                <w:noProof/>
                <w:sz w:val="24"/>
                <w:szCs w:val="24"/>
                <w:lang w:eastAsia="en-GB"/>
              </w:rPr>
              <w:tab/>
            </w:r>
            <w:r w:rsidRPr="000B3890">
              <w:rPr>
                <w:rStyle w:val="Hyperlink"/>
                <w:noProof/>
              </w:rPr>
              <w:t>Effect of Crankshaft Design</w:t>
            </w:r>
            <w:r>
              <w:rPr>
                <w:noProof/>
                <w:webHidden/>
              </w:rPr>
              <w:tab/>
            </w:r>
            <w:r>
              <w:rPr>
                <w:noProof/>
                <w:webHidden/>
              </w:rPr>
              <w:fldChar w:fldCharType="begin"/>
            </w:r>
            <w:r>
              <w:rPr>
                <w:noProof/>
                <w:webHidden/>
              </w:rPr>
              <w:instrText xml:space="preserve"> PAGEREF _Toc193023115 \h </w:instrText>
            </w:r>
            <w:r>
              <w:rPr>
                <w:noProof/>
                <w:webHidden/>
              </w:rPr>
            </w:r>
            <w:r>
              <w:rPr>
                <w:noProof/>
                <w:webHidden/>
              </w:rPr>
              <w:fldChar w:fldCharType="separate"/>
            </w:r>
            <w:r>
              <w:rPr>
                <w:noProof/>
                <w:webHidden/>
              </w:rPr>
              <w:t>8</w:t>
            </w:r>
            <w:r>
              <w:rPr>
                <w:noProof/>
                <w:webHidden/>
              </w:rPr>
              <w:fldChar w:fldCharType="end"/>
            </w:r>
          </w:hyperlink>
        </w:p>
        <w:p w14:paraId="5D2E8F11" w14:textId="64799B29" w:rsidR="00C0436B" w:rsidRDefault="00C0436B">
          <w:pPr>
            <w:pStyle w:val="TOC2"/>
            <w:tabs>
              <w:tab w:val="left" w:pos="960"/>
              <w:tab w:val="right" w:leader="dot" w:pos="9016"/>
            </w:tabs>
            <w:rPr>
              <w:rFonts w:eastAsiaTheme="minorEastAsia" w:cstheme="minorBidi"/>
              <w:noProof/>
              <w:sz w:val="24"/>
              <w:szCs w:val="24"/>
              <w:lang w:eastAsia="en-GB"/>
            </w:rPr>
          </w:pPr>
          <w:hyperlink w:anchor="_Toc193023116" w:history="1">
            <w:r w:rsidRPr="000B3890">
              <w:rPr>
                <w:rStyle w:val="Hyperlink"/>
                <w:rFonts w:eastAsia="Times New Roman" w:cstheme="majorHAnsi"/>
                <w:noProof/>
                <w:kern w:val="0"/>
                <w:lang w:eastAsia="en-GB"/>
                <w14:ligatures w14:val="none"/>
              </w:rPr>
              <w:t>4.1</w:t>
            </w:r>
            <w:r>
              <w:rPr>
                <w:rFonts w:eastAsiaTheme="minorEastAsia" w:cstheme="minorBidi"/>
                <w:noProof/>
                <w:sz w:val="24"/>
                <w:szCs w:val="24"/>
                <w:lang w:eastAsia="en-GB"/>
              </w:rPr>
              <w:tab/>
            </w:r>
            <w:r w:rsidRPr="000B3890">
              <w:rPr>
                <w:rStyle w:val="Hyperlink"/>
                <w:noProof/>
                <w:kern w:val="0"/>
                <w:lang w:eastAsia="en-GB"/>
                <w14:ligatures w14:val="none"/>
              </w:rPr>
              <w:t>Flat-Plane Crankshaft (180 degrees, Firing Order: 1-3-2-4)</w:t>
            </w:r>
            <w:r>
              <w:rPr>
                <w:noProof/>
                <w:webHidden/>
              </w:rPr>
              <w:tab/>
            </w:r>
            <w:r>
              <w:rPr>
                <w:noProof/>
                <w:webHidden/>
              </w:rPr>
              <w:fldChar w:fldCharType="begin"/>
            </w:r>
            <w:r>
              <w:rPr>
                <w:noProof/>
                <w:webHidden/>
              </w:rPr>
              <w:instrText xml:space="preserve"> PAGEREF _Toc193023116 \h </w:instrText>
            </w:r>
            <w:r>
              <w:rPr>
                <w:noProof/>
                <w:webHidden/>
              </w:rPr>
            </w:r>
            <w:r>
              <w:rPr>
                <w:noProof/>
                <w:webHidden/>
              </w:rPr>
              <w:fldChar w:fldCharType="separate"/>
            </w:r>
            <w:r>
              <w:rPr>
                <w:noProof/>
                <w:webHidden/>
              </w:rPr>
              <w:t>8</w:t>
            </w:r>
            <w:r>
              <w:rPr>
                <w:noProof/>
                <w:webHidden/>
              </w:rPr>
              <w:fldChar w:fldCharType="end"/>
            </w:r>
          </w:hyperlink>
        </w:p>
        <w:p w14:paraId="5E336DEB" w14:textId="7A878ED1" w:rsidR="00C0436B" w:rsidRDefault="00C0436B">
          <w:pPr>
            <w:pStyle w:val="TOC2"/>
            <w:tabs>
              <w:tab w:val="left" w:pos="960"/>
              <w:tab w:val="right" w:leader="dot" w:pos="9016"/>
            </w:tabs>
            <w:rPr>
              <w:rFonts w:eastAsiaTheme="minorEastAsia" w:cstheme="minorBidi"/>
              <w:noProof/>
              <w:sz w:val="24"/>
              <w:szCs w:val="24"/>
              <w:lang w:eastAsia="en-GB"/>
            </w:rPr>
          </w:pPr>
          <w:hyperlink w:anchor="_Toc193023117" w:history="1">
            <w:r w:rsidRPr="000B3890">
              <w:rPr>
                <w:rStyle w:val="Hyperlink"/>
                <w:rFonts w:eastAsia="Times New Roman" w:cstheme="majorHAnsi"/>
                <w:noProof/>
                <w:kern w:val="0"/>
                <w:lang w:eastAsia="en-GB"/>
                <w14:ligatures w14:val="none"/>
              </w:rPr>
              <w:t>4.2</w:t>
            </w:r>
            <w:r>
              <w:rPr>
                <w:rFonts w:eastAsiaTheme="minorEastAsia" w:cstheme="minorBidi"/>
                <w:noProof/>
                <w:sz w:val="24"/>
                <w:szCs w:val="24"/>
                <w:lang w:eastAsia="en-GB"/>
              </w:rPr>
              <w:tab/>
            </w:r>
            <w:r w:rsidRPr="000B3890">
              <w:rPr>
                <w:rStyle w:val="Hyperlink"/>
                <w:noProof/>
                <w:kern w:val="0"/>
                <w:lang w:eastAsia="en-GB"/>
                <w14:ligatures w14:val="none"/>
              </w:rPr>
              <w:t>Cross-Plane Crankshaft (90 degrees, Firing Order: 1-4-2-3)</w:t>
            </w:r>
            <w:r>
              <w:rPr>
                <w:noProof/>
                <w:webHidden/>
              </w:rPr>
              <w:tab/>
            </w:r>
            <w:r>
              <w:rPr>
                <w:noProof/>
                <w:webHidden/>
              </w:rPr>
              <w:fldChar w:fldCharType="begin"/>
            </w:r>
            <w:r>
              <w:rPr>
                <w:noProof/>
                <w:webHidden/>
              </w:rPr>
              <w:instrText xml:space="preserve"> PAGEREF _Toc193023117 \h </w:instrText>
            </w:r>
            <w:r>
              <w:rPr>
                <w:noProof/>
                <w:webHidden/>
              </w:rPr>
            </w:r>
            <w:r>
              <w:rPr>
                <w:noProof/>
                <w:webHidden/>
              </w:rPr>
              <w:fldChar w:fldCharType="separate"/>
            </w:r>
            <w:r>
              <w:rPr>
                <w:noProof/>
                <w:webHidden/>
              </w:rPr>
              <w:t>8</w:t>
            </w:r>
            <w:r>
              <w:rPr>
                <w:noProof/>
                <w:webHidden/>
              </w:rPr>
              <w:fldChar w:fldCharType="end"/>
            </w:r>
          </w:hyperlink>
        </w:p>
        <w:p w14:paraId="760CBC0A" w14:textId="591E413D" w:rsidR="00C0436B" w:rsidRDefault="00C0436B">
          <w:pPr>
            <w:pStyle w:val="TOC2"/>
            <w:tabs>
              <w:tab w:val="left" w:pos="960"/>
              <w:tab w:val="right" w:leader="dot" w:pos="9016"/>
            </w:tabs>
            <w:rPr>
              <w:rFonts w:eastAsiaTheme="minorEastAsia" w:cstheme="minorBidi"/>
              <w:noProof/>
              <w:sz w:val="24"/>
              <w:szCs w:val="24"/>
              <w:lang w:eastAsia="en-GB"/>
            </w:rPr>
          </w:pPr>
          <w:hyperlink w:anchor="_Toc193023118" w:history="1">
            <w:r w:rsidRPr="000B3890">
              <w:rPr>
                <w:rStyle w:val="Hyperlink"/>
                <w:rFonts w:eastAsia="Times New Roman" w:cstheme="majorHAnsi"/>
                <w:noProof/>
                <w:kern w:val="0"/>
                <w:lang w:eastAsia="en-GB"/>
                <w14:ligatures w14:val="none"/>
              </w:rPr>
              <w:t>4.3</w:t>
            </w:r>
            <w:r>
              <w:rPr>
                <w:rFonts w:eastAsiaTheme="minorEastAsia" w:cstheme="minorBidi"/>
                <w:noProof/>
                <w:sz w:val="24"/>
                <w:szCs w:val="24"/>
                <w:lang w:eastAsia="en-GB"/>
              </w:rPr>
              <w:tab/>
            </w:r>
            <w:r w:rsidRPr="000B3890">
              <w:rPr>
                <w:rStyle w:val="Hyperlink"/>
                <w:noProof/>
                <w:kern w:val="0"/>
                <w:lang w:eastAsia="en-GB"/>
                <w14:ligatures w14:val="none"/>
              </w:rPr>
              <w:t>Flat-Plane Big Bang Crankshaft (360 degrees, Firing Order: 1,4-2,3)</w:t>
            </w:r>
            <w:r>
              <w:rPr>
                <w:noProof/>
                <w:webHidden/>
              </w:rPr>
              <w:tab/>
            </w:r>
            <w:r>
              <w:rPr>
                <w:noProof/>
                <w:webHidden/>
              </w:rPr>
              <w:fldChar w:fldCharType="begin"/>
            </w:r>
            <w:r>
              <w:rPr>
                <w:noProof/>
                <w:webHidden/>
              </w:rPr>
              <w:instrText xml:space="preserve"> PAGEREF _Toc193023118 \h </w:instrText>
            </w:r>
            <w:r>
              <w:rPr>
                <w:noProof/>
                <w:webHidden/>
              </w:rPr>
            </w:r>
            <w:r>
              <w:rPr>
                <w:noProof/>
                <w:webHidden/>
              </w:rPr>
              <w:fldChar w:fldCharType="separate"/>
            </w:r>
            <w:r>
              <w:rPr>
                <w:noProof/>
                <w:webHidden/>
              </w:rPr>
              <w:t>8</w:t>
            </w:r>
            <w:r>
              <w:rPr>
                <w:noProof/>
                <w:webHidden/>
              </w:rPr>
              <w:fldChar w:fldCharType="end"/>
            </w:r>
          </w:hyperlink>
        </w:p>
        <w:p w14:paraId="6196CC82" w14:textId="7EE6C6F7" w:rsidR="00C0436B" w:rsidRDefault="00C0436B">
          <w:pPr>
            <w:pStyle w:val="TOC1"/>
            <w:tabs>
              <w:tab w:val="left" w:pos="480"/>
              <w:tab w:val="right" w:leader="dot" w:pos="9016"/>
            </w:tabs>
            <w:rPr>
              <w:rFonts w:eastAsiaTheme="minorEastAsia" w:cstheme="minorBidi"/>
              <w:noProof/>
              <w:sz w:val="24"/>
              <w:szCs w:val="24"/>
              <w:lang w:eastAsia="en-GB"/>
            </w:rPr>
          </w:pPr>
          <w:hyperlink w:anchor="_Toc193023119" w:history="1">
            <w:r w:rsidRPr="000B3890">
              <w:rPr>
                <w:rStyle w:val="Hyperlink"/>
                <w:noProof/>
              </w:rPr>
              <w:t>5.</w:t>
            </w:r>
            <w:r>
              <w:rPr>
                <w:rFonts w:eastAsiaTheme="minorEastAsia" w:cstheme="minorBidi"/>
                <w:noProof/>
                <w:sz w:val="24"/>
                <w:szCs w:val="24"/>
                <w:lang w:eastAsia="en-GB"/>
              </w:rPr>
              <w:tab/>
            </w:r>
            <w:r w:rsidRPr="000B3890">
              <w:rPr>
                <w:rStyle w:val="Hyperlink"/>
                <w:noProof/>
              </w:rPr>
              <w:t>Connecting Rod Bolts Re-design</w:t>
            </w:r>
            <w:r>
              <w:rPr>
                <w:noProof/>
                <w:webHidden/>
              </w:rPr>
              <w:tab/>
            </w:r>
            <w:r>
              <w:rPr>
                <w:noProof/>
                <w:webHidden/>
              </w:rPr>
              <w:fldChar w:fldCharType="begin"/>
            </w:r>
            <w:r>
              <w:rPr>
                <w:noProof/>
                <w:webHidden/>
              </w:rPr>
              <w:instrText xml:space="preserve"> PAGEREF _Toc193023119 \h </w:instrText>
            </w:r>
            <w:r>
              <w:rPr>
                <w:noProof/>
                <w:webHidden/>
              </w:rPr>
            </w:r>
            <w:r>
              <w:rPr>
                <w:noProof/>
                <w:webHidden/>
              </w:rPr>
              <w:fldChar w:fldCharType="separate"/>
            </w:r>
            <w:r>
              <w:rPr>
                <w:noProof/>
                <w:webHidden/>
              </w:rPr>
              <w:t>9</w:t>
            </w:r>
            <w:r>
              <w:rPr>
                <w:noProof/>
                <w:webHidden/>
              </w:rPr>
              <w:fldChar w:fldCharType="end"/>
            </w:r>
          </w:hyperlink>
        </w:p>
        <w:p w14:paraId="7130813F" w14:textId="6DF399A1" w:rsidR="00C0436B" w:rsidRDefault="00C0436B">
          <w:pPr>
            <w:pStyle w:val="TOC2"/>
            <w:tabs>
              <w:tab w:val="right" w:leader="dot" w:pos="9016"/>
            </w:tabs>
            <w:rPr>
              <w:rFonts w:eastAsiaTheme="minorEastAsia" w:cstheme="minorBidi"/>
              <w:noProof/>
              <w:sz w:val="24"/>
              <w:szCs w:val="24"/>
              <w:lang w:eastAsia="en-GB"/>
            </w:rPr>
          </w:pPr>
          <w:hyperlink w:anchor="_Toc193023120" w:history="1">
            <w:r w:rsidRPr="000B3890">
              <w:rPr>
                <w:rStyle w:val="Hyperlink"/>
                <w:noProof/>
              </w:rPr>
              <w:t xml:space="preserve">    5.1 Modification 1: Material Change to Titanium (Ti-6Al-2Sn-2Zr-2Mo)</w:t>
            </w:r>
            <w:r>
              <w:rPr>
                <w:noProof/>
                <w:webHidden/>
              </w:rPr>
              <w:tab/>
            </w:r>
            <w:r>
              <w:rPr>
                <w:noProof/>
                <w:webHidden/>
              </w:rPr>
              <w:fldChar w:fldCharType="begin"/>
            </w:r>
            <w:r>
              <w:rPr>
                <w:noProof/>
                <w:webHidden/>
              </w:rPr>
              <w:instrText xml:space="preserve"> PAGEREF _Toc193023120 \h </w:instrText>
            </w:r>
            <w:r>
              <w:rPr>
                <w:noProof/>
                <w:webHidden/>
              </w:rPr>
            </w:r>
            <w:r>
              <w:rPr>
                <w:noProof/>
                <w:webHidden/>
              </w:rPr>
              <w:fldChar w:fldCharType="separate"/>
            </w:r>
            <w:r>
              <w:rPr>
                <w:noProof/>
                <w:webHidden/>
              </w:rPr>
              <w:t>9</w:t>
            </w:r>
            <w:r>
              <w:rPr>
                <w:noProof/>
                <w:webHidden/>
              </w:rPr>
              <w:fldChar w:fldCharType="end"/>
            </w:r>
          </w:hyperlink>
        </w:p>
        <w:p w14:paraId="6CDB4EE9" w14:textId="37E686E1" w:rsidR="00C0436B" w:rsidRDefault="00C0436B">
          <w:pPr>
            <w:pStyle w:val="TOC2"/>
            <w:tabs>
              <w:tab w:val="right" w:leader="dot" w:pos="9016"/>
            </w:tabs>
            <w:rPr>
              <w:rFonts w:eastAsiaTheme="minorEastAsia" w:cstheme="minorBidi"/>
              <w:noProof/>
              <w:sz w:val="24"/>
              <w:szCs w:val="24"/>
              <w:lang w:eastAsia="en-GB"/>
            </w:rPr>
          </w:pPr>
          <w:hyperlink w:anchor="_Toc193023121" w:history="1">
            <w:r w:rsidRPr="000B3890">
              <w:rPr>
                <w:rStyle w:val="Hyperlink"/>
                <w:noProof/>
              </w:rPr>
              <w:t xml:space="preserve">    5.2 Modification 2: Material and Geometry Change (Titanium M8x1)</w:t>
            </w:r>
            <w:r>
              <w:rPr>
                <w:noProof/>
                <w:webHidden/>
              </w:rPr>
              <w:tab/>
            </w:r>
            <w:r>
              <w:rPr>
                <w:noProof/>
                <w:webHidden/>
              </w:rPr>
              <w:fldChar w:fldCharType="begin"/>
            </w:r>
            <w:r>
              <w:rPr>
                <w:noProof/>
                <w:webHidden/>
              </w:rPr>
              <w:instrText xml:space="preserve"> PAGEREF _Toc193023121 \h </w:instrText>
            </w:r>
            <w:r>
              <w:rPr>
                <w:noProof/>
                <w:webHidden/>
              </w:rPr>
            </w:r>
            <w:r>
              <w:rPr>
                <w:noProof/>
                <w:webHidden/>
              </w:rPr>
              <w:fldChar w:fldCharType="separate"/>
            </w:r>
            <w:r>
              <w:rPr>
                <w:noProof/>
                <w:webHidden/>
              </w:rPr>
              <w:t>9</w:t>
            </w:r>
            <w:r>
              <w:rPr>
                <w:noProof/>
                <w:webHidden/>
              </w:rPr>
              <w:fldChar w:fldCharType="end"/>
            </w:r>
          </w:hyperlink>
        </w:p>
        <w:p w14:paraId="346F38C1" w14:textId="62512988" w:rsidR="00C0436B" w:rsidRDefault="00C0436B">
          <w:pPr>
            <w:pStyle w:val="TOC2"/>
            <w:tabs>
              <w:tab w:val="right" w:leader="dot" w:pos="9016"/>
            </w:tabs>
            <w:rPr>
              <w:rFonts w:eastAsiaTheme="minorEastAsia" w:cstheme="minorBidi"/>
              <w:noProof/>
              <w:sz w:val="24"/>
              <w:szCs w:val="24"/>
              <w:lang w:eastAsia="en-GB"/>
            </w:rPr>
          </w:pPr>
          <w:hyperlink w:anchor="_Toc193023122" w:history="1">
            <w:r w:rsidRPr="000B3890">
              <w:rPr>
                <w:rStyle w:val="Hyperlink"/>
                <w:noProof/>
              </w:rPr>
              <w:t xml:space="preserve">    5.3 Modification 3: Material, Geometry, and Surface Treatment (Titanium M8x1 with CT and LPed)</w:t>
            </w:r>
            <w:r>
              <w:rPr>
                <w:noProof/>
                <w:webHidden/>
              </w:rPr>
              <w:tab/>
            </w:r>
            <w:r>
              <w:rPr>
                <w:noProof/>
                <w:webHidden/>
              </w:rPr>
              <w:fldChar w:fldCharType="begin"/>
            </w:r>
            <w:r>
              <w:rPr>
                <w:noProof/>
                <w:webHidden/>
              </w:rPr>
              <w:instrText xml:space="preserve"> PAGEREF _Toc193023122 \h </w:instrText>
            </w:r>
            <w:r>
              <w:rPr>
                <w:noProof/>
                <w:webHidden/>
              </w:rPr>
            </w:r>
            <w:r>
              <w:rPr>
                <w:noProof/>
                <w:webHidden/>
              </w:rPr>
              <w:fldChar w:fldCharType="separate"/>
            </w:r>
            <w:r>
              <w:rPr>
                <w:noProof/>
                <w:webHidden/>
              </w:rPr>
              <w:t>10</w:t>
            </w:r>
            <w:r>
              <w:rPr>
                <w:noProof/>
                <w:webHidden/>
              </w:rPr>
              <w:fldChar w:fldCharType="end"/>
            </w:r>
          </w:hyperlink>
        </w:p>
        <w:p w14:paraId="29E1248C" w14:textId="0566F18B" w:rsidR="00C0436B" w:rsidRDefault="00C0436B">
          <w:pPr>
            <w:pStyle w:val="TOC2"/>
            <w:tabs>
              <w:tab w:val="right" w:leader="dot" w:pos="9016"/>
            </w:tabs>
            <w:rPr>
              <w:rFonts w:eastAsiaTheme="minorEastAsia" w:cstheme="minorBidi"/>
              <w:noProof/>
              <w:sz w:val="24"/>
              <w:szCs w:val="24"/>
              <w:lang w:eastAsia="en-GB"/>
            </w:rPr>
          </w:pPr>
          <w:hyperlink w:anchor="_Toc193023123" w:history="1">
            <w:r w:rsidRPr="000B3890">
              <w:rPr>
                <w:rStyle w:val="Hyperlink"/>
                <w:noProof/>
              </w:rPr>
              <w:t>5.4 Comparative Analysis</w:t>
            </w:r>
            <w:r>
              <w:rPr>
                <w:noProof/>
                <w:webHidden/>
              </w:rPr>
              <w:tab/>
            </w:r>
            <w:r>
              <w:rPr>
                <w:noProof/>
                <w:webHidden/>
              </w:rPr>
              <w:fldChar w:fldCharType="begin"/>
            </w:r>
            <w:r>
              <w:rPr>
                <w:noProof/>
                <w:webHidden/>
              </w:rPr>
              <w:instrText xml:space="preserve"> PAGEREF _Toc193023123 \h </w:instrText>
            </w:r>
            <w:r>
              <w:rPr>
                <w:noProof/>
                <w:webHidden/>
              </w:rPr>
            </w:r>
            <w:r>
              <w:rPr>
                <w:noProof/>
                <w:webHidden/>
              </w:rPr>
              <w:fldChar w:fldCharType="separate"/>
            </w:r>
            <w:r>
              <w:rPr>
                <w:noProof/>
                <w:webHidden/>
              </w:rPr>
              <w:t>10</w:t>
            </w:r>
            <w:r>
              <w:rPr>
                <w:noProof/>
                <w:webHidden/>
              </w:rPr>
              <w:fldChar w:fldCharType="end"/>
            </w:r>
          </w:hyperlink>
        </w:p>
        <w:p w14:paraId="3D43DFEF" w14:textId="70183545" w:rsidR="00C0436B" w:rsidRDefault="00C0436B">
          <w:pPr>
            <w:pStyle w:val="TOC1"/>
            <w:tabs>
              <w:tab w:val="left" w:pos="480"/>
              <w:tab w:val="right" w:leader="dot" w:pos="9016"/>
            </w:tabs>
            <w:rPr>
              <w:rFonts w:eastAsiaTheme="minorEastAsia" w:cstheme="minorBidi"/>
              <w:noProof/>
              <w:sz w:val="24"/>
              <w:szCs w:val="24"/>
              <w:lang w:eastAsia="en-GB"/>
            </w:rPr>
          </w:pPr>
          <w:hyperlink w:anchor="_Toc193023124" w:history="1">
            <w:r w:rsidRPr="000B3890">
              <w:rPr>
                <w:rStyle w:val="Hyperlink"/>
                <w:noProof/>
              </w:rPr>
              <w:t>6.</w:t>
            </w:r>
            <w:r>
              <w:rPr>
                <w:rFonts w:eastAsiaTheme="minorEastAsia" w:cstheme="minorBidi"/>
                <w:noProof/>
                <w:sz w:val="24"/>
                <w:szCs w:val="24"/>
                <w:lang w:eastAsia="en-GB"/>
              </w:rPr>
              <w:tab/>
            </w:r>
            <w:r w:rsidRPr="000B3890">
              <w:rPr>
                <w:rStyle w:val="Hyperlink"/>
                <w:noProof/>
              </w:rPr>
              <w:t>Conclusion</w:t>
            </w:r>
            <w:r>
              <w:rPr>
                <w:noProof/>
                <w:webHidden/>
              </w:rPr>
              <w:tab/>
            </w:r>
            <w:r>
              <w:rPr>
                <w:noProof/>
                <w:webHidden/>
              </w:rPr>
              <w:fldChar w:fldCharType="begin"/>
            </w:r>
            <w:r>
              <w:rPr>
                <w:noProof/>
                <w:webHidden/>
              </w:rPr>
              <w:instrText xml:space="preserve"> PAGEREF _Toc193023124 \h </w:instrText>
            </w:r>
            <w:r>
              <w:rPr>
                <w:noProof/>
                <w:webHidden/>
              </w:rPr>
            </w:r>
            <w:r>
              <w:rPr>
                <w:noProof/>
                <w:webHidden/>
              </w:rPr>
              <w:fldChar w:fldCharType="separate"/>
            </w:r>
            <w:r>
              <w:rPr>
                <w:noProof/>
                <w:webHidden/>
              </w:rPr>
              <w:t>11</w:t>
            </w:r>
            <w:r>
              <w:rPr>
                <w:noProof/>
                <w:webHidden/>
              </w:rPr>
              <w:fldChar w:fldCharType="end"/>
            </w:r>
          </w:hyperlink>
        </w:p>
        <w:p w14:paraId="6FF29BD4" w14:textId="7774A62E" w:rsidR="00C0436B" w:rsidRDefault="00C0436B">
          <w:pPr>
            <w:pStyle w:val="TOC1"/>
            <w:tabs>
              <w:tab w:val="left" w:pos="480"/>
              <w:tab w:val="right" w:leader="dot" w:pos="9016"/>
            </w:tabs>
            <w:rPr>
              <w:rFonts w:eastAsiaTheme="minorEastAsia" w:cstheme="minorBidi"/>
              <w:noProof/>
              <w:sz w:val="24"/>
              <w:szCs w:val="24"/>
              <w:lang w:eastAsia="en-GB"/>
            </w:rPr>
          </w:pPr>
          <w:hyperlink w:anchor="_Toc193023125" w:history="1">
            <w:r w:rsidRPr="000B3890">
              <w:rPr>
                <w:rStyle w:val="Hyperlink"/>
                <w:noProof/>
              </w:rPr>
              <w:t>7.</w:t>
            </w:r>
            <w:r>
              <w:rPr>
                <w:rFonts w:eastAsiaTheme="minorEastAsia" w:cstheme="minorBidi"/>
                <w:noProof/>
                <w:sz w:val="24"/>
                <w:szCs w:val="24"/>
                <w:lang w:eastAsia="en-GB"/>
              </w:rPr>
              <w:tab/>
            </w:r>
            <w:r w:rsidRPr="000B3890">
              <w:rPr>
                <w:rStyle w:val="Hyperlink"/>
                <w:noProof/>
              </w:rPr>
              <w:t>References</w:t>
            </w:r>
            <w:r>
              <w:rPr>
                <w:noProof/>
                <w:webHidden/>
              </w:rPr>
              <w:tab/>
            </w:r>
            <w:r>
              <w:rPr>
                <w:noProof/>
                <w:webHidden/>
              </w:rPr>
              <w:fldChar w:fldCharType="begin"/>
            </w:r>
            <w:r>
              <w:rPr>
                <w:noProof/>
                <w:webHidden/>
              </w:rPr>
              <w:instrText xml:space="preserve"> PAGEREF _Toc193023125 \h </w:instrText>
            </w:r>
            <w:r>
              <w:rPr>
                <w:noProof/>
                <w:webHidden/>
              </w:rPr>
            </w:r>
            <w:r>
              <w:rPr>
                <w:noProof/>
                <w:webHidden/>
              </w:rPr>
              <w:fldChar w:fldCharType="separate"/>
            </w:r>
            <w:r>
              <w:rPr>
                <w:noProof/>
                <w:webHidden/>
              </w:rPr>
              <w:t>12</w:t>
            </w:r>
            <w:r>
              <w:rPr>
                <w:noProof/>
                <w:webHidden/>
              </w:rPr>
              <w:fldChar w:fldCharType="end"/>
            </w:r>
          </w:hyperlink>
        </w:p>
        <w:p w14:paraId="24847DBE" w14:textId="49510335" w:rsidR="000675C3" w:rsidRDefault="000675C3" w:rsidP="009D1D3B">
          <w:r>
            <w:rPr>
              <w:noProof/>
              <w:lang w:val="en-US"/>
            </w:rPr>
            <w:fldChar w:fldCharType="end"/>
          </w:r>
        </w:p>
      </w:sdtContent>
    </w:sdt>
    <w:p w14:paraId="431FC6CB" w14:textId="2ADC7319" w:rsidR="000675C3" w:rsidRDefault="000675C3" w:rsidP="009D1D3B"/>
    <w:p w14:paraId="66383DE7" w14:textId="77777777" w:rsidR="000675C3" w:rsidRDefault="000675C3" w:rsidP="009D1D3B">
      <w:r>
        <w:br w:type="page"/>
      </w:r>
    </w:p>
    <w:p w14:paraId="0E77F41B" w14:textId="3EBE34F2" w:rsidR="000675C3" w:rsidRPr="009D1D3B" w:rsidRDefault="000675C3" w:rsidP="009D1D3B">
      <w:pPr>
        <w:pStyle w:val="Heading1"/>
        <w:numPr>
          <w:ilvl w:val="0"/>
          <w:numId w:val="1"/>
        </w:numPr>
        <w:rPr>
          <w:color w:val="auto"/>
          <w:u w:val="single"/>
        </w:rPr>
      </w:pPr>
      <w:bookmarkStart w:id="0" w:name="_Hlk192861025"/>
      <w:bookmarkStart w:id="1" w:name="_Toc193023109"/>
      <w:r w:rsidRPr="009D1D3B">
        <w:rPr>
          <w:color w:val="auto"/>
          <w:u w:val="single"/>
        </w:rPr>
        <w:lastRenderedPageBreak/>
        <w:t>Introduction</w:t>
      </w:r>
      <w:bookmarkEnd w:id="1"/>
      <w:r w:rsidR="00713475" w:rsidRPr="009D1D3B">
        <w:rPr>
          <w:color w:val="auto"/>
          <w:u w:val="single"/>
        </w:rPr>
        <w:t xml:space="preserve"> </w:t>
      </w:r>
    </w:p>
    <w:p w14:paraId="5EDB7FEC" w14:textId="4ABDB79A" w:rsidR="0044438A" w:rsidRPr="009D1D3B" w:rsidRDefault="009C1B85" w:rsidP="009D1D3B">
      <w:pPr>
        <w:pStyle w:val="NormalWeb"/>
        <w:rPr>
          <w:rFonts w:asciiTheme="minorHAnsi" w:hAnsiTheme="minorHAnsi" w:cstheme="minorHAnsi"/>
          <w:sz w:val="22"/>
          <w:szCs w:val="22"/>
        </w:rPr>
      </w:pPr>
      <w:r w:rsidRPr="009C1B85">
        <w:rPr>
          <w:rFonts w:asciiTheme="minorHAnsi" w:hAnsiTheme="minorHAnsi" w:cstheme="minorHAnsi"/>
          <w:noProof/>
          <w:sz w:val="22"/>
          <w:szCs w:val="22"/>
        </w:rPr>
        <mc:AlternateContent>
          <mc:Choice Requires="wps">
            <w:drawing>
              <wp:anchor distT="45720" distB="45720" distL="114300" distR="114300" simplePos="0" relativeHeight="251707392" behindDoc="0" locked="0" layoutInCell="1" allowOverlap="1" wp14:anchorId="7AE57651" wp14:editId="7158B4C2">
                <wp:simplePos x="0" y="0"/>
                <wp:positionH relativeFrom="column">
                  <wp:posOffset>4107584</wp:posOffset>
                </wp:positionH>
                <wp:positionV relativeFrom="paragraph">
                  <wp:posOffset>736138</wp:posOffset>
                </wp:positionV>
                <wp:extent cx="1377950" cy="450215"/>
                <wp:effectExtent l="0" t="0" r="12700" b="26035"/>
                <wp:wrapSquare wrapText="bothSides"/>
                <wp:docPr id="11220384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950" cy="450215"/>
                        </a:xfrm>
                        <a:prstGeom prst="rect">
                          <a:avLst/>
                        </a:prstGeom>
                        <a:solidFill>
                          <a:srgbClr val="FFFFFF"/>
                        </a:solidFill>
                        <a:ln w="9525">
                          <a:solidFill>
                            <a:srgbClr val="000000"/>
                          </a:solidFill>
                          <a:miter lim="800000"/>
                          <a:headEnd/>
                          <a:tailEnd/>
                        </a:ln>
                      </wps:spPr>
                      <wps:txbx>
                        <w:txbxContent>
                          <w:p w14:paraId="5F23EE1D" w14:textId="1467A6D1" w:rsidR="009C1B85" w:rsidRDefault="009C1B85">
                            <w:r>
                              <w:t>Figure 1 (Connecting rod bolt)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E57651" id="_x0000_t202" coordsize="21600,21600" o:spt="202" path="m,l,21600r21600,l21600,xe">
                <v:stroke joinstyle="miter"/>
                <v:path gradientshapeok="t" o:connecttype="rect"/>
              </v:shapetype>
              <v:shape id="Text Box 2" o:spid="_x0000_s1026" type="#_x0000_t202" style="position:absolute;margin-left:323.45pt;margin-top:57.95pt;width:108.5pt;height:35.4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">
                <v:textbox>
                  <w:txbxContent>
                    <w:p w14:paraId="5F23EE1D" w14:textId="1467A6D1" w:rsidR="009C1B85" w:rsidRDefault="009C1B85">
                      <w:r>
                        <w:t>Figure 1 (Connecting rod bolt)</w:t>
                      </w:r>
                    </w:p>
                  </w:txbxContent>
                </v:textbox>
                <w10:wrap type="square"/>
              </v:shape>
            </w:pict>
          </mc:Fallback>
        </mc:AlternateContent>
      </w:r>
      <w:r w:rsidRPr="009D1D3B">
        <w:rPr>
          <w:rFonts w:asciiTheme="minorHAnsi" w:hAnsiTheme="minorHAnsi" w:cstheme="minorHAnsi"/>
          <w:noProof/>
          <w:sz w:val="22"/>
          <w:szCs w:val="22"/>
        </w:rPr>
        <w:drawing>
          <wp:anchor distT="0" distB="0" distL="114300" distR="114300" simplePos="0" relativeHeight="251679744" behindDoc="0" locked="0" layoutInCell="1" allowOverlap="1" wp14:anchorId="0D5E26F4" wp14:editId="505B7FC8">
            <wp:simplePos x="0" y="0"/>
            <wp:positionH relativeFrom="margin">
              <wp:posOffset>4370795</wp:posOffset>
            </wp:positionH>
            <wp:positionV relativeFrom="paragraph">
              <wp:posOffset>1264194</wp:posOffset>
            </wp:positionV>
            <wp:extent cx="1139190" cy="1758950"/>
            <wp:effectExtent l="0" t="0" r="3810" b="0"/>
            <wp:wrapSquare wrapText="bothSides"/>
            <wp:docPr id="468162003" name="Picture 1" descr="A close-up of a bo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162003" name="Picture 1" descr="A close-up of a bol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9190" cy="1758950"/>
                    </a:xfrm>
                    <a:prstGeom prst="rect">
                      <a:avLst/>
                    </a:prstGeom>
                  </pic:spPr>
                </pic:pic>
              </a:graphicData>
            </a:graphic>
            <wp14:sizeRelH relativeFrom="page">
              <wp14:pctWidth>0</wp14:pctWidth>
            </wp14:sizeRelH>
            <wp14:sizeRelV relativeFrom="page">
              <wp14:pctHeight>0</wp14:pctHeight>
            </wp14:sizeRelV>
          </wp:anchor>
        </w:drawing>
      </w:r>
      <w:r w:rsidR="0044438A" w:rsidRPr="009D1D3B">
        <w:rPr>
          <w:rFonts w:asciiTheme="minorHAnsi" w:hAnsiTheme="minorHAnsi" w:cstheme="minorHAnsi"/>
          <w:sz w:val="22"/>
          <w:szCs w:val="22"/>
        </w:rPr>
        <w:t xml:space="preserve">In high-performance and high-speed engine applications, increasing engine revolutions per minute (RPM) is a common strategy to enhance power output and efficiency. However, this increase places additional mechanical stress on critical components, particularly </w:t>
      </w:r>
      <w:r w:rsidR="0044438A" w:rsidRPr="009D1D3B">
        <w:rPr>
          <w:rStyle w:val="Strong"/>
          <w:rFonts w:asciiTheme="minorHAnsi" w:hAnsiTheme="minorHAnsi" w:cstheme="minorHAnsi"/>
          <w:b w:val="0"/>
          <w:bCs w:val="0"/>
          <w:sz w:val="22"/>
          <w:szCs w:val="22"/>
        </w:rPr>
        <w:t>connecting rod (conrod) bolts</w:t>
      </w:r>
      <w:r w:rsidR="0044438A" w:rsidRPr="009D1D3B">
        <w:rPr>
          <w:rFonts w:asciiTheme="minorHAnsi" w:hAnsiTheme="minorHAnsi" w:cstheme="minorHAnsi"/>
          <w:sz w:val="22"/>
          <w:szCs w:val="22"/>
        </w:rPr>
        <w:t xml:space="preserve">, which experience significant cyclic loading during engine operation. Conrod bolts play a crucial role in securing the connecting rod to the crankshaft, and their failure can lead to </w:t>
      </w:r>
      <w:r w:rsidR="0044438A" w:rsidRPr="009D1D3B">
        <w:rPr>
          <w:rStyle w:val="Strong"/>
          <w:rFonts w:asciiTheme="minorHAnsi" w:hAnsiTheme="minorHAnsi" w:cstheme="minorHAnsi"/>
          <w:b w:val="0"/>
          <w:bCs w:val="0"/>
          <w:sz w:val="22"/>
          <w:szCs w:val="22"/>
        </w:rPr>
        <w:t>catastrophic engine damage</w:t>
      </w:r>
      <w:r w:rsidR="0044438A" w:rsidRPr="009D1D3B">
        <w:rPr>
          <w:rFonts w:asciiTheme="minorHAnsi" w:hAnsiTheme="minorHAnsi" w:cstheme="minorHAnsi"/>
          <w:sz w:val="22"/>
          <w:szCs w:val="22"/>
        </w:rPr>
        <w:t xml:space="preserve">. As RPM increases, these bolts undergo greater tensile and shear stresses, accelerating </w:t>
      </w:r>
      <w:r w:rsidR="0044438A" w:rsidRPr="009D1D3B">
        <w:rPr>
          <w:rStyle w:val="Strong"/>
          <w:rFonts w:asciiTheme="minorHAnsi" w:hAnsiTheme="minorHAnsi" w:cstheme="minorHAnsi"/>
          <w:b w:val="0"/>
          <w:bCs w:val="0"/>
          <w:sz w:val="22"/>
          <w:szCs w:val="22"/>
        </w:rPr>
        <w:t>fatigue-related failure mechanisms</w:t>
      </w:r>
      <w:r w:rsidR="0044438A" w:rsidRPr="009D1D3B">
        <w:rPr>
          <w:rFonts w:asciiTheme="minorHAnsi" w:hAnsiTheme="minorHAnsi" w:cstheme="minorHAnsi"/>
          <w:sz w:val="22"/>
          <w:szCs w:val="22"/>
        </w:rPr>
        <w:t xml:space="preserve"> and reducing their service life.</w:t>
      </w:r>
      <w:r w:rsidR="00A348C4" w:rsidRPr="009D1D3B">
        <w:rPr>
          <w:rFonts w:asciiTheme="minorHAnsi" w:hAnsiTheme="minorHAnsi" w:cstheme="minorHAnsi"/>
          <w:noProof/>
          <w:sz w:val="22"/>
          <w:szCs w:val="22"/>
        </w:rPr>
        <w:t xml:space="preserve"> </w:t>
      </w:r>
    </w:p>
    <w:p w14:paraId="692FA73F" w14:textId="0A5697B3" w:rsidR="0044438A" w:rsidRPr="009D1D3B" w:rsidRDefault="0044438A" w:rsidP="009D1D3B">
      <w:pPr>
        <w:pStyle w:val="NormalWeb"/>
        <w:rPr>
          <w:rFonts w:asciiTheme="minorHAnsi" w:hAnsiTheme="minorHAnsi" w:cstheme="minorHAnsi"/>
          <w:sz w:val="22"/>
          <w:szCs w:val="22"/>
        </w:rPr>
      </w:pPr>
      <w:r w:rsidRPr="009D1D3B">
        <w:rPr>
          <w:rFonts w:asciiTheme="minorHAnsi" w:hAnsiTheme="minorHAnsi" w:cstheme="minorHAnsi"/>
          <w:sz w:val="22"/>
          <w:szCs w:val="22"/>
        </w:rPr>
        <w:t xml:space="preserve">This report focuses on the </w:t>
      </w:r>
      <w:r w:rsidRPr="009D1D3B">
        <w:rPr>
          <w:rStyle w:val="Strong"/>
          <w:rFonts w:asciiTheme="minorHAnsi" w:hAnsiTheme="minorHAnsi" w:cstheme="minorHAnsi"/>
          <w:b w:val="0"/>
          <w:bCs w:val="0"/>
          <w:sz w:val="22"/>
          <w:szCs w:val="22"/>
        </w:rPr>
        <w:t>fatigue analysis and redesign of conrod bolts</w:t>
      </w:r>
      <w:r w:rsidRPr="009D1D3B">
        <w:rPr>
          <w:rFonts w:asciiTheme="minorHAnsi" w:hAnsiTheme="minorHAnsi" w:cstheme="minorHAnsi"/>
          <w:sz w:val="22"/>
          <w:szCs w:val="22"/>
        </w:rPr>
        <w:t xml:space="preserve"> in the </w:t>
      </w:r>
      <w:r w:rsidRPr="009D1D3B">
        <w:rPr>
          <w:rStyle w:val="Strong"/>
          <w:rFonts w:asciiTheme="minorHAnsi" w:hAnsiTheme="minorHAnsi" w:cstheme="minorHAnsi"/>
          <w:b w:val="0"/>
          <w:bCs w:val="0"/>
          <w:sz w:val="22"/>
          <w:szCs w:val="22"/>
        </w:rPr>
        <w:t>Ford 1.6L EcoBoost engine</w:t>
      </w:r>
      <w:r w:rsidRPr="009D1D3B">
        <w:rPr>
          <w:rFonts w:asciiTheme="minorHAnsi" w:hAnsiTheme="minorHAnsi" w:cstheme="minorHAnsi"/>
          <w:sz w:val="22"/>
          <w:szCs w:val="22"/>
        </w:rPr>
        <w:t xml:space="preserve">, assessing their performance under high-RPM conditions. The study will evaluate fatigue behaviour using </w:t>
      </w:r>
      <w:r w:rsidRPr="009D1D3B">
        <w:rPr>
          <w:rStyle w:val="Strong"/>
          <w:rFonts w:asciiTheme="minorHAnsi" w:hAnsiTheme="minorHAnsi" w:cstheme="minorHAnsi"/>
          <w:b w:val="0"/>
          <w:bCs w:val="0"/>
          <w:sz w:val="22"/>
          <w:szCs w:val="22"/>
        </w:rPr>
        <w:t>Goodman diagrams</w:t>
      </w:r>
      <w:r w:rsidRPr="009D1D3B">
        <w:rPr>
          <w:rFonts w:asciiTheme="minorHAnsi" w:hAnsiTheme="minorHAnsi" w:cstheme="minorHAnsi"/>
          <w:sz w:val="22"/>
          <w:szCs w:val="22"/>
        </w:rPr>
        <w:t xml:space="preserve"> to determine the operational limits of the existing bolt design and the fatigue safety of the other connected components. The results will be compared to published research and industry standards to identify potential discrepancies and explore their causes, such as material properties and loading conditions.</w:t>
      </w:r>
    </w:p>
    <w:p w14:paraId="6CC5013E" w14:textId="3476C058" w:rsidR="0044438A" w:rsidRPr="009D1D3B" w:rsidRDefault="0044438A" w:rsidP="009D1D3B">
      <w:pPr>
        <w:pStyle w:val="NormalWeb"/>
        <w:rPr>
          <w:rFonts w:asciiTheme="minorHAnsi" w:hAnsiTheme="minorHAnsi" w:cstheme="minorHAnsi"/>
          <w:sz w:val="22"/>
          <w:szCs w:val="22"/>
        </w:rPr>
      </w:pPr>
      <w:r w:rsidRPr="009D1D3B">
        <w:rPr>
          <w:rFonts w:asciiTheme="minorHAnsi" w:hAnsiTheme="minorHAnsi" w:cstheme="minorHAnsi"/>
          <w:sz w:val="22"/>
          <w:szCs w:val="22"/>
        </w:rPr>
        <w:t xml:space="preserve">Based on these findings, this report will propose a </w:t>
      </w:r>
      <w:r w:rsidRPr="009D1D3B">
        <w:rPr>
          <w:rStyle w:val="Strong"/>
          <w:rFonts w:asciiTheme="minorHAnsi" w:hAnsiTheme="minorHAnsi" w:cstheme="minorHAnsi"/>
          <w:b w:val="0"/>
          <w:bCs w:val="0"/>
          <w:sz w:val="22"/>
          <w:szCs w:val="22"/>
        </w:rPr>
        <w:t>redesign of the conrod bolts</w:t>
      </w:r>
      <w:r w:rsidR="009C1B85">
        <w:rPr>
          <w:rStyle w:val="Strong"/>
          <w:rFonts w:asciiTheme="minorHAnsi" w:hAnsiTheme="minorHAnsi" w:cstheme="minorHAnsi"/>
          <w:b w:val="0"/>
          <w:bCs w:val="0"/>
          <w:sz w:val="22"/>
          <w:szCs w:val="22"/>
        </w:rPr>
        <w:t xml:space="preserve"> (figure 1)</w:t>
      </w:r>
      <w:r w:rsidRPr="009D1D3B">
        <w:rPr>
          <w:rFonts w:asciiTheme="minorHAnsi" w:hAnsiTheme="minorHAnsi" w:cstheme="minorHAnsi"/>
          <w:b/>
          <w:bCs/>
          <w:sz w:val="22"/>
          <w:szCs w:val="22"/>
        </w:rPr>
        <w:t xml:space="preserve"> </w:t>
      </w:r>
      <w:r w:rsidRPr="009D1D3B">
        <w:rPr>
          <w:rFonts w:asciiTheme="minorHAnsi" w:hAnsiTheme="minorHAnsi" w:cstheme="minorHAnsi"/>
          <w:sz w:val="22"/>
          <w:szCs w:val="22"/>
        </w:rPr>
        <w:t xml:space="preserve">to enhance their fatigue resistance. Possible improvements may include </w:t>
      </w:r>
      <w:r w:rsidRPr="009D1D3B">
        <w:rPr>
          <w:rStyle w:val="Strong"/>
          <w:rFonts w:asciiTheme="minorHAnsi" w:hAnsiTheme="minorHAnsi" w:cstheme="minorHAnsi"/>
          <w:b w:val="0"/>
          <w:bCs w:val="0"/>
          <w:sz w:val="22"/>
          <w:szCs w:val="22"/>
        </w:rPr>
        <w:t>material selection, surface treatments, or dimensional modifications</w:t>
      </w:r>
      <w:r w:rsidRPr="009D1D3B">
        <w:rPr>
          <w:rFonts w:asciiTheme="minorHAnsi" w:hAnsiTheme="minorHAnsi" w:cstheme="minorHAnsi"/>
          <w:sz w:val="22"/>
          <w:szCs w:val="22"/>
        </w:rPr>
        <w:t xml:space="preserve">, ensuring that the revised design offers increased durability without compromising performance. This study aims to provide a </w:t>
      </w:r>
      <w:r w:rsidRPr="009D1D3B">
        <w:rPr>
          <w:rStyle w:val="Strong"/>
          <w:rFonts w:asciiTheme="minorHAnsi" w:hAnsiTheme="minorHAnsi" w:cstheme="minorHAnsi"/>
          <w:b w:val="0"/>
          <w:bCs w:val="0"/>
          <w:sz w:val="22"/>
          <w:szCs w:val="22"/>
        </w:rPr>
        <w:t>structured and evidence-based approach</w:t>
      </w:r>
      <w:r w:rsidRPr="009D1D3B">
        <w:rPr>
          <w:rFonts w:asciiTheme="minorHAnsi" w:hAnsiTheme="minorHAnsi" w:cstheme="minorHAnsi"/>
          <w:sz w:val="22"/>
          <w:szCs w:val="22"/>
        </w:rPr>
        <w:t xml:space="preserve"> to improving component longevity, ultimately contributing to the broader understanding of fatigue-related challenges in modern high-speed engine applications.</w:t>
      </w:r>
    </w:p>
    <w:p w14:paraId="34F60C7E" w14:textId="77777777" w:rsidR="000675C3" w:rsidRDefault="000675C3" w:rsidP="009D1D3B">
      <w:pPr>
        <w:rPr>
          <w:rFonts w:asciiTheme="majorHAnsi" w:eastAsiaTheme="majorEastAsia" w:hAnsiTheme="majorHAnsi" w:cstheme="majorBidi"/>
          <w:sz w:val="32"/>
          <w:szCs w:val="32"/>
        </w:rPr>
      </w:pPr>
      <w:r>
        <w:br w:type="page"/>
      </w:r>
    </w:p>
    <w:p w14:paraId="121C4B15" w14:textId="2839241B" w:rsidR="00D56E24" w:rsidRPr="009D1D3B" w:rsidRDefault="009C1B85" w:rsidP="009D1D3B">
      <w:pPr>
        <w:pStyle w:val="Heading1"/>
        <w:numPr>
          <w:ilvl w:val="0"/>
          <w:numId w:val="1"/>
        </w:numPr>
        <w:rPr>
          <w:color w:val="auto"/>
          <w:u w:val="single"/>
        </w:rPr>
      </w:pPr>
      <w:bookmarkStart w:id="2" w:name="_Toc193023110"/>
      <w:r>
        <w:rPr>
          <w:noProof/>
        </w:rPr>
        <w:lastRenderedPageBreak/>
        <mc:AlternateContent>
          <mc:Choice Requires="wps">
            <w:drawing>
              <wp:anchor distT="45720" distB="45720" distL="114300" distR="114300" simplePos="0" relativeHeight="251665408" behindDoc="0" locked="0" layoutInCell="1" allowOverlap="1" wp14:anchorId="3FC582B1" wp14:editId="2DC39AE8">
                <wp:simplePos x="0" y="0"/>
                <wp:positionH relativeFrom="column">
                  <wp:posOffset>3122295</wp:posOffset>
                </wp:positionH>
                <wp:positionV relativeFrom="paragraph">
                  <wp:posOffset>6696</wp:posOffset>
                </wp:positionV>
                <wp:extent cx="1298575" cy="439420"/>
                <wp:effectExtent l="0" t="0" r="158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8575" cy="439420"/>
                        </a:xfrm>
                        <a:prstGeom prst="rect">
                          <a:avLst/>
                        </a:prstGeom>
                        <a:solidFill>
                          <a:srgbClr val="FFFFFF"/>
                        </a:solidFill>
                        <a:ln w="9525">
                          <a:solidFill>
                            <a:srgbClr val="000000"/>
                          </a:solidFill>
                          <a:miter lim="800000"/>
                          <a:headEnd/>
                          <a:tailEnd/>
                        </a:ln>
                      </wps:spPr>
                      <wps:txbx>
                        <w:txbxContent>
                          <w:p w14:paraId="299857DD" w14:textId="6820F0E7" w:rsidR="0049558A" w:rsidRPr="0049558A" w:rsidRDefault="0049558A" w:rsidP="009D1D3B">
                            <w:r>
                              <w:t xml:space="preserve">Figure </w:t>
                            </w:r>
                            <w:r w:rsidR="009C1B85">
                              <w:t>2</w:t>
                            </w:r>
                            <w:r>
                              <w:t xml:space="preserve"> </w:t>
                            </w:r>
                            <w:r w:rsidRPr="0049558A">
                              <w:t xml:space="preserve">(Ali, </w:t>
                            </w:r>
                            <w:proofErr w:type="spellStart"/>
                            <w:r w:rsidRPr="0049558A">
                              <w:t>Koten</w:t>
                            </w:r>
                            <w:proofErr w:type="spellEnd"/>
                            <w:r w:rsidRPr="0049558A">
                              <w:t xml:space="preserve"> and Alwan, 2022)</w:t>
                            </w:r>
                          </w:p>
                          <w:p w14:paraId="4E39E7E2" w14:textId="00486723" w:rsidR="0049558A" w:rsidRDefault="0049558A" w:rsidP="009D1D3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C582B1" id="_x0000_s1027" type="#_x0000_t202" style="position:absolute;left:0;text-align:left;margin-left:245.85pt;margin-top:.55pt;width:102.25pt;height:34.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">
                <v:textbox>
                  <w:txbxContent>
                    <w:p w14:paraId="299857DD" w14:textId="6820F0E7" w:rsidR="0049558A" w:rsidRPr="0049558A" w:rsidRDefault="0049558A" w:rsidP="009D1D3B">
                      <w:r>
                        <w:t xml:space="preserve">Figure </w:t>
                      </w:r>
                      <w:r w:rsidR="009C1B85">
                        <w:t>2</w:t>
                      </w:r>
                      <w:r>
                        <w:t xml:space="preserve"> </w:t>
                      </w:r>
                      <w:r w:rsidRPr="0049558A">
                        <w:t xml:space="preserve">(Ali, </w:t>
                      </w:r>
                      <w:proofErr w:type="spellStart"/>
                      <w:r w:rsidRPr="0049558A">
                        <w:t>Koten</w:t>
                      </w:r>
                      <w:proofErr w:type="spellEnd"/>
                      <w:r w:rsidRPr="0049558A">
                        <w:t xml:space="preserve"> and Alwan, 2022)</w:t>
                      </w:r>
                    </w:p>
                    <w:p w14:paraId="4E39E7E2" w14:textId="00486723" w:rsidR="0049558A" w:rsidRDefault="0049558A" w:rsidP="009D1D3B"/>
                  </w:txbxContent>
                </v:textbox>
                <w10:wrap type="square"/>
              </v:shape>
            </w:pict>
          </mc:Fallback>
        </mc:AlternateContent>
      </w:r>
      <w:r w:rsidR="004A16A0" w:rsidRPr="009D1D3B">
        <w:rPr>
          <w:noProof/>
          <w:color w:val="auto"/>
          <w:u w:val="single"/>
        </w:rPr>
        <mc:AlternateContent>
          <mc:Choice Requires="wps">
            <w:drawing>
              <wp:anchor distT="45720" distB="45720" distL="114300" distR="114300" simplePos="0" relativeHeight="251667456" behindDoc="0" locked="0" layoutInCell="1" allowOverlap="1" wp14:anchorId="4E869A62" wp14:editId="241116D6">
                <wp:simplePos x="0" y="0"/>
                <wp:positionH relativeFrom="margin">
                  <wp:align>right</wp:align>
                </wp:positionH>
                <wp:positionV relativeFrom="paragraph">
                  <wp:posOffset>116</wp:posOffset>
                </wp:positionV>
                <wp:extent cx="1298575" cy="439420"/>
                <wp:effectExtent l="0" t="0" r="15875" b="17780"/>
                <wp:wrapSquare wrapText="bothSides"/>
                <wp:docPr id="10264675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8575" cy="439420"/>
                        </a:xfrm>
                        <a:prstGeom prst="rect">
                          <a:avLst/>
                        </a:prstGeom>
                        <a:solidFill>
                          <a:srgbClr val="FFFFFF"/>
                        </a:solidFill>
                        <a:ln w="9525">
                          <a:solidFill>
                            <a:srgbClr val="000000"/>
                          </a:solidFill>
                          <a:miter lim="800000"/>
                          <a:headEnd/>
                          <a:tailEnd/>
                        </a:ln>
                      </wps:spPr>
                      <wps:txbx>
                        <w:txbxContent>
                          <w:p w14:paraId="54A32CB0" w14:textId="2ED5D8D5" w:rsidR="0049558A" w:rsidRPr="0049558A" w:rsidRDefault="0049558A" w:rsidP="009D1D3B">
                            <w:r>
                              <w:t xml:space="preserve">Figure </w:t>
                            </w:r>
                            <w:r w:rsidR="009C1B85">
                              <w:t>3</w:t>
                            </w:r>
                            <w:r>
                              <w:t xml:space="preserve"> </w:t>
                            </w:r>
                            <w:r w:rsidRPr="0049558A">
                              <w:t xml:space="preserve">(Ali, </w:t>
                            </w:r>
                            <w:proofErr w:type="spellStart"/>
                            <w:r w:rsidRPr="0049558A">
                              <w:t>Koten</w:t>
                            </w:r>
                            <w:proofErr w:type="spellEnd"/>
                            <w:r w:rsidRPr="0049558A">
                              <w:t xml:space="preserve"> and Alwan, 2022)</w:t>
                            </w:r>
                          </w:p>
                          <w:p w14:paraId="12F62D9D" w14:textId="77777777" w:rsidR="0049558A" w:rsidRDefault="0049558A" w:rsidP="009D1D3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869A62" id="_x0000_s1028" type="#_x0000_t202" style="position:absolute;left:0;text-align:left;margin-left:51.05pt;margin-top:0;width:102.25pt;height:34.6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">
                <v:textbox>
                  <w:txbxContent>
                    <w:p w14:paraId="54A32CB0" w14:textId="2ED5D8D5" w:rsidR="0049558A" w:rsidRPr="0049558A" w:rsidRDefault="0049558A" w:rsidP="009D1D3B">
                      <w:r>
                        <w:t xml:space="preserve">Figure </w:t>
                      </w:r>
                      <w:r w:rsidR="009C1B85">
                        <w:t>3</w:t>
                      </w:r>
                      <w:r>
                        <w:t xml:space="preserve"> </w:t>
                      </w:r>
                      <w:r w:rsidRPr="0049558A">
                        <w:t xml:space="preserve">(Ali, </w:t>
                      </w:r>
                      <w:proofErr w:type="spellStart"/>
                      <w:r w:rsidRPr="0049558A">
                        <w:t>Koten</w:t>
                      </w:r>
                      <w:proofErr w:type="spellEnd"/>
                      <w:r w:rsidRPr="0049558A">
                        <w:t xml:space="preserve"> and Alwan, 2022)</w:t>
                      </w:r>
                    </w:p>
                    <w:p w14:paraId="12F62D9D" w14:textId="77777777" w:rsidR="0049558A" w:rsidRDefault="0049558A" w:rsidP="009D1D3B"/>
                  </w:txbxContent>
                </v:textbox>
                <w10:wrap type="square" anchorx="margin"/>
              </v:shape>
            </w:pict>
          </mc:Fallback>
        </mc:AlternateContent>
      </w:r>
      <w:r w:rsidR="00D56E24" w:rsidRPr="009D1D3B">
        <w:rPr>
          <w:color w:val="auto"/>
          <w:u w:val="single"/>
        </w:rPr>
        <w:t>Literature Review</w:t>
      </w:r>
      <w:bookmarkEnd w:id="2"/>
      <w:r w:rsidR="00713475" w:rsidRPr="009D1D3B">
        <w:rPr>
          <w:color w:val="auto"/>
          <w:u w:val="single"/>
        </w:rPr>
        <w:t xml:space="preserve"> </w:t>
      </w:r>
    </w:p>
    <w:p w14:paraId="258F16F6" w14:textId="4DBB7BC5" w:rsidR="00F053AC" w:rsidRPr="00686237" w:rsidRDefault="009C1B85" w:rsidP="009D1D3B">
      <w:r w:rsidRPr="009D1D3B">
        <w:rPr>
          <w:noProof/>
          <w:u w:val="single"/>
        </w:rPr>
        <mc:AlternateContent>
          <mc:Choice Requires="wps">
            <w:drawing>
              <wp:anchor distT="45720" distB="45720" distL="114300" distR="114300" simplePos="0" relativeHeight="251669504" behindDoc="0" locked="0" layoutInCell="1" allowOverlap="1" wp14:anchorId="20C63699" wp14:editId="60263BCE">
                <wp:simplePos x="0" y="0"/>
                <wp:positionH relativeFrom="margin">
                  <wp:align>right</wp:align>
                </wp:positionH>
                <wp:positionV relativeFrom="paragraph">
                  <wp:posOffset>1030721</wp:posOffset>
                </wp:positionV>
                <wp:extent cx="1298575" cy="439420"/>
                <wp:effectExtent l="0" t="0" r="15875" b="17780"/>
                <wp:wrapSquare wrapText="bothSides"/>
                <wp:docPr id="20829423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8575" cy="439420"/>
                        </a:xfrm>
                        <a:prstGeom prst="rect">
                          <a:avLst/>
                        </a:prstGeom>
                        <a:solidFill>
                          <a:srgbClr val="FFFFFF"/>
                        </a:solidFill>
                        <a:ln w="9525">
                          <a:solidFill>
                            <a:srgbClr val="000000"/>
                          </a:solidFill>
                          <a:miter lim="800000"/>
                          <a:headEnd/>
                          <a:tailEnd/>
                        </a:ln>
                      </wps:spPr>
                      <wps:txbx>
                        <w:txbxContent>
                          <w:p w14:paraId="3D869C6E" w14:textId="6D37A78C" w:rsidR="0049558A" w:rsidRPr="0049558A" w:rsidRDefault="0049558A" w:rsidP="009D1D3B">
                            <w:r>
                              <w:t xml:space="preserve">Figure </w:t>
                            </w:r>
                            <w:r w:rsidR="009C1B85">
                              <w:t>4</w:t>
                            </w:r>
                            <w:r>
                              <w:t xml:space="preserve"> </w:t>
                            </w:r>
                            <w:r w:rsidRPr="0049558A">
                              <w:t xml:space="preserve">(Ali, </w:t>
                            </w:r>
                            <w:proofErr w:type="spellStart"/>
                            <w:r w:rsidRPr="0049558A">
                              <w:t>Koten</w:t>
                            </w:r>
                            <w:proofErr w:type="spellEnd"/>
                            <w:r w:rsidRPr="0049558A">
                              <w:t xml:space="preserve"> and Alwan, 2022)</w:t>
                            </w:r>
                          </w:p>
                          <w:p w14:paraId="702BFFA0" w14:textId="77777777" w:rsidR="0049558A" w:rsidRDefault="0049558A" w:rsidP="009D1D3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C63699" id="_x0000_s1029" type="#_x0000_t202" style="position:absolute;margin-left:51.05pt;margin-top:81.15pt;width:102.25pt;height:34.6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">
                <v:textbox>
                  <w:txbxContent>
                    <w:p w14:paraId="3D869C6E" w14:textId="6D37A78C" w:rsidR="0049558A" w:rsidRPr="0049558A" w:rsidRDefault="0049558A" w:rsidP="009D1D3B">
                      <w:r>
                        <w:t xml:space="preserve">Figure </w:t>
                      </w:r>
                      <w:r w:rsidR="009C1B85">
                        <w:t>4</w:t>
                      </w:r>
                      <w:r>
                        <w:t xml:space="preserve"> </w:t>
                      </w:r>
                      <w:r w:rsidRPr="0049558A">
                        <w:t xml:space="preserve">(Ali, </w:t>
                      </w:r>
                      <w:proofErr w:type="spellStart"/>
                      <w:r w:rsidRPr="0049558A">
                        <w:t>Koten</w:t>
                      </w:r>
                      <w:proofErr w:type="spellEnd"/>
                      <w:r w:rsidRPr="0049558A">
                        <w:t xml:space="preserve"> and Alwan, 2022)</w:t>
                      </w:r>
                    </w:p>
                    <w:p w14:paraId="702BFFA0" w14:textId="77777777" w:rsidR="0049558A" w:rsidRDefault="0049558A" w:rsidP="009D1D3B"/>
                  </w:txbxContent>
                </v:textbox>
                <w10:wrap type="square" anchorx="margin"/>
              </v:shape>
            </w:pict>
          </mc:Fallback>
        </mc:AlternateContent>
      </w:r>
      <w:r>
        <w:rPr>
          <w:noProof/>
        </w:rPr>
        <w:drawing>
          <wp:anchor distT="0" distB="0" distL="114300" distR="114300" simplePos="0" relativeHeight="251659264" behindDoc="1" locked="0" layoutInCell="1" allowOverlap="1" wp14:anchorId="45E8A0EA" wp14:editId="31B0579E">
            <wp:simplePos x="0" y="0"/>
            <wp:positionH relativeFrom="column">
              <wp:posOffset>3126855</wp:posOffset>
            </wp:positionH>
            <wp:positionV relativeFrom="paragraph">
              <wp:posOffset>170700</wp:posOffset>
            </wp:positionV>
            <wp:extent cx="1311910" cy="813435"/>
            <wp:effectExtent l="0" t="0" r="2540" b="5715"/>
            <wp:wrapTight wrapText="bothSides">
              <wp:wrapPolygon edited="0">
                <wp:start x="0" y="0"/>
                <wp:lineTo x="0" y="21246"/>
                <wp:lineTo x="21328" y="21246"/>
                <wp:lineTo x="21328" y="0"/>
                <wp:lineTo x="0" y="0"/>
              </wp:wrapPolygon>
            </wp:wrapTight>
            <wp:docPr id="494647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4791" name="Picture 1" descr="A screenshot of a computer&#10;&#10;AI-generated content may be incorrect."/>
                    <pic:cNvPicPr/>
                  </pic:nvPicPr>
                  <pic:blipFill rotWithShape="1">
                    <a:blip r:embed="rId8" cstate="print">
                      <a:extLst>
                        <a:ext uri="{28A0092B-C50C-407E-A947-70E740481C1C}">
                          <a14:useLocalDpi xmlns:a14="http://schemas.microsoft.com/office/drawing/2010/main" val="0"/>
                        </a:ext>
                      </a:extLst>
                    </a:blip>
                    <a:srcRect l="27599" t="23833" r="55911" b="57985"/>
                    <a:stretch/>
                  </pic:blipFill>
                  <pic:spPr bwMode="auto">
                    <a:xfrm>
                      <a:off x="0" y="0"/>
                      <a:ext cx="1311910" cy="813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5AD004B2" wp14:editId="7F4FC11C">
            <wp:simplePos x="0" y="0"/>
            <wp:positionH relativeFrom="margin">
              <wp:align>right</wp:align>
            </wp:positionH>
            <wp:positionV relativeFrom="paragraph">
              <wp:posOffset>172951</wp:posOffset>
            </wp:positionV>
            <wp:extent cx="1294765" cy="782320"/>
            <wp:effectExtent l="0" t="0" r="635" b="0"/>
            <wp:wrapTight wrapText="bothSides">
              <wp:wrapPolygon edited="0">
                <wp:start x="0" y="0"/>
                <wp:lineTo x="0" y="21039"/>
                <wp:lineTo x="21293" y="21039"/>
                <wp:lineTo x="21293" y="0"/>
                <wp:lineTo x="0" y="0"/>
              </wp:wrapPolygon>
            </wp:wrapTight>
            <wp:docPr id="14311611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4791" name="Picture 1" descr="A screenshot of a computer&#10;&#10;AI-generated content may be incorrect."/>
                    <pic:cNvPicPr/>
                  </pic:nvPicPr>
                  <pic:blipFill rotWithShape="1">
                    <a:blip r:embed="rId8" cstate="print">
                      <a:extLst>
                        <a:ext uri="{28A0092B-C50C-407E-A947-70E740481C1C}">
                          <a14:useLocalDpi xmlns:a14="http://schemas.microsoft.com/office/drawing/2010/main" val="0"/>
                        </a:ext>
                      </a:extLst>
                    </a:blip>
                    <a:srcRect l="45859" t="23975" r="37869" b="58543"/>
                    <a:stretch/>
                  </pic:blipFill>
                  <pic:spPr bwMode="auto">
                    <a:xfrm>
                      <a:off x="0" y="0"/>
                      <a:ext cx="1294765" cy="782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r w:rsidR="00F053AC" w:rsidRPr="00686237">
        <w:t xml:space="preserve">Figure </w:t>
      </w:r>
      <w:r>
        <w:t>2</w:t>
      </w:r>
      <w:r w:rsidR="00F053AC" w:rsidRPr="00686237">
        <w:t xml:space="preserve"> illustrates power increasing as RPM rises, while Figure </w:t>
      </w:r>
      <w:r>
        <w:t>3</w:t>
      </w:r>
      <w:r w:rsidR="00F053AC" w:rsidRPr="00686237">
        <w:t xml:space="preserve"> shows that brake thermal efficiency (BTE) also improves with RPM. Figure </w:t>
      </w:r>
      <w:r>
        <w:t>4</w:t>
      </w:r>
      <w:r w:rsidR="00F053AC" w:rsidRPr="00686237">
        <w:t xml:space="preserve"> highlights a reduction in brake specific fuel consumption as RPM increases, supporting the rationale for higher engine speeds. These trends indicate that increasing engine RPM can enhance performance and efficiency.</w:t>
      </w:r>
    </w:p>
    <w:p w14:paraId="7D7091D6" w14:textId="3F6B2395" w:rsidR="00F053AC" w:rsidRPr="00686237" w:rsidRDefault="009C1B85" w:rsidP="009D1D3B">
      <w:r>
        <w:rPr>
          <w:noProof/>
        </w:rPr>
        <w:drawing>
          <wp:anchor distT="0" distB="0" distL="114300" distR="114300" simplePos="0" relativeHeight="251663360" behindDoc="1" locked="0" layoutInCell="1" allowOverlap="1" wp14:anchorId="36E6CF6C" wp14:editId="4115E06E">
            <wp:simplePos x="0" y="0"/>
            <wp:positionH relativeFrom="margin">
              <wp:align>right</wp:align>
            </wp:positionH>
            <wp:positionV relativeFrom="paragraph">
              <wp:posOffset>75161</wp:posOffset>
            </wp:positionV>
            <wp:extent cx="1308735" cy="820420"/>
            <wp:effectExtent l="0" t="0" r="5715" b="0"/>
            <wp:wrapTight wrapText="bothSides">
              <wp:wrapPolygon edited="0">
                <wp:start x="0" y="0"/>
                <wp:lineTo x="0" y="21065"/>
                <wp:lineTo x="21380" y="21065"/>
                <wp:lineTo x="21380" y="0"/>
                <wp:lineTo x="0" y="0"/>
              </wp:wrapPolygon>
            </wp:wrapTight>
            <wp:docPr id="10144172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4791" name="Picture 1" descr="A screenshot of a computer&#10;&#10;AI-generated content may be incorrect."/>
                    <pic:cNvPicPr/>
                  </pic:nvPicPr>
                  <pic:blipFill rotWithShape="1">
                    <a:blip r:embed="rId8" cstate="print">
                      <a:extLst>
                        <a:ext uri="{28A0092B-C50C-407E-A947-70E740481C1C}">
                          <a14:useLocalDpi xmlns:a14="http://schemas.microsoft.com/office/drawing/2010/main" val="0"/>
                        </a:ext>
                      </a:extLst>
                    </a:blip>
                    <a:srcRect l="27897" t="58436" r="55658" b="23231"/>
                    <a:stretch/>
                  </pic:blipFill>
                  <pic:spPr bwMode="auto">
                    <a:xfrm>
                      <a:off x="0" y="0"/>
                      <a:ext cx="1308735" cy="820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53AC">
        <w:rPr>
          <w:noProof/>
        </w:rPr>
        <mc:AlternateContent>
          <mc:Choice Requires="wps">
            <w:drawing>
              <wp:anchor distT="45720" distB="45720" distL="114300" distR="114300" simplePos="0" relativeHeight="251672576" behindDoc="0" locked="0" layoutInCell="1" allowOverlap="1" wp14:anchorId="25820CCD" wp14:editId="6A87A183">
                <wp:simplePos x="0" y="0"/>
                <wp:positionH relativeFrom="margin">
                  <wp:align>left</wp:align>
                </wp:positionH>
                <wp:positionV relativeFrom="paragraph">
                  <wp:posOffset>1427383</wp:posOffset>
                </wp:positionV>
                <wp:extent cx="1209675" cy="461645"/>
                <wp:effectExtent l="0" t="0" r="28575" b="14605"/>
                <wp:wrapSquare wrapText="bothSides"/>
                <wp:docPr id="7888977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461645"/>
                        </a:xfrm>
                        <a:prstGeom prst="rect">
                          <a:avLst/>
                        </a:prstGeom>
                        <a:solidFill>
                          <a:srgbClr val="FFFFFF"/>
                        </a:solidFill>
                        <a:ln w="9525">
                          <a:solidFill>
                            <a:srgbClr val="000000"/>
                          </a:solidFill>
                          <a:miter lim="800000"/>
                          <a:headEnd/>
                          <a:tailEnd/>
                        </a:ln>
                      </wps:spPr>
                      <wps:txbx>
                        <w:txbxContent>
                          <w:p w14:paraId="5395203E" w14:textId="13B80E9A" w:rsidR="00562CBF" w:rsidRDefault="00562CBF" w:rsidP="009D1D3B">
                            <w:r>
                              <w:t xml:space="preserve">Figure </w:t>
                            </w:r>
                            <w:r w:rsidR="009C1B85">
                              <w:t>5</w:t>
                            </w:r>
                            <w:r>
                              <w:t xml:space="preserve"> (</w:t>
                            </w:r>
                            <w:r w:rsidRPr="00562CBF">
                              <w:t>Thibault et al. (2018)</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820CCD" id="_x0000_s1030" type="#_x0000_t202" style="position:absolute;margin-left:0;margin-top:112.4pt;width:95.25pt;height:36.35pt;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">
                <v:textbox>
                  <w:txbxContent>
                    <w:p w14:paraId="5395203E" w14:textId="13B80E9A" w:rsidR="00562CBF" w:rsidRDefault="00562CBF" w:rsidP="009D1D3B">
                      <w:r>
                        <w:t xml:space="preserve">Figure </w:t>
                      </w:r>
                      <w:r w:rsidR="009C1B85">
                        <w:t>5</w:t>
                      </w:r>
                      <w:r>
                        <w:t xml:space="preserve"> (</w:t>
                      </w:r>
                      <w:r w:rsidRPr="00562CBF">
                        <w:t>Thibault et al. (2018)</w:t>
                      </w:r>
                      <w:r>
                        <w:t>)</w:t>
                      </w:r>
                    </w:p>
                  </w:txbxContent>
                </v:textbox>
                <w10:wrap type="square" anchorx="margin"/>
              </v:shape>
            </w:pict>
          </mc:Fallback>
        </mc:AlternateContent>
      </w:r>
      <w:r w:rsidR="00F053AC" w:rsidRPr="00562CBF">
        <w:rPr>
          <w:noProof/>
        </w:rPr>
        <w:drawing>
          <wp:anchor distT="0" distB="0" distL="114300" distR="114300" simplePos="0" relativeHeight="251670528" behindDoc="0" locked="0" layoutInCell="1" allowOverlap="1" wp14:anchorId="5CD0F585" wp14:editId="40B851D9">
            <wp:simplePos x="0" y="0"/>
            <wp:positionH relativeFrom="margin">
              <wp:posOffset>-78154</wp:posOffset>
            </wp:positionH>
            <wp:positionV relativeFrom="paragraph">
              <wp:posOffset>1872518</wp:posOffset>
            </wp:positionV>
            <wp:extent cx="1752600" cy="1232535"/>
            <wp:effectExtent l="0" t="0" r="0" b="5715"/>
            <wp:wrapSquare wrapText="bothSides"/>
            <wp:docPr id="159139634" name="Picture 1" descr="A graph of stress and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9634" name="Picture 1" descr="A graph of stress and pressur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52600" cy="1232535"/>
                    </a:xfrm>
                    <a:prstGeom prst="rect">
                      <a:avLst/>
                    </a:prstGeom>
                  </pic:spPr>
                </pic:pic>
              </a:graphicData>
            </a:graphic>
            <wp14:sizeRelH relativeFrom="page">
              <wp14:pctWidth>0</wp14:pctWidth>
            </wp14:sizeRelH>
            <wp14:sizeRelV relativeFrom="page">
              <wp14:pctHeight>0</wp14:pctHeight>
            </wp14:sizeRelV>
          </wp:anchor>
        </w:drawing>
      </w:r>
      <w:r w:rsidR="00F053AC" w:rsidRPr="00686237">
        <w:t xml:space="preserve">Lu et al. (2024, pp. 5-6) state: </w:t>
      </w:r>
      <w:r w:rsidR="00F053AC" w:rsidRPr="00AB63B5">
        <w:t xml:space="preserve">"With increasing the depth to 0.02 mm, the stress state changed from a tensile stress to a compressive stress of -97 MPa. It slightly varied to -64 and -77 MPa at a depth of 0.06 and 0.12 mm, respectively." </w:t>
      </w:r>
      <w:r w:rsidR="00F053AC" w:rsidRPr="00686237">
        <w:t>This research suggests that the residual surface compressive pressure of carburised steel after shot peening falls within the range of 64-77 MPa. This stress adjustment is essential in fatigue safety factor calculations, ensuring that components perform reliably under cyclic loading. Given the slight variation in reported values, a reasonable estimate for calculations is 71 MPa.</w:t>
      </w:r>
    </w:p>
    <w:p w14:paraId="6297C0F7" w14:textId="19707F07" w:rsidR="00F053AC" w:rsidRPr="00686237" w:rsidRDefault="00F053AC" w:rsidP="009D1D3B">
      <w:r w:rsidRPr="00686237">
        <w:t xml:space="preserve">Figure </w:t>
      </w:r>
      <w:r w:rsidR="009C1B85">
        <w:t>5</w:t>
      </w:r>
      <w:r w:rsidRPr="00686237">
        <w:t xml:space="preserve"> presents residual stress from nitriding, a process widely used in gudgeon pins. The nitriding process introduces a surface residual stress of approximately 100 MPa, contributing to increased component durability. This value is essential in stress modelling and fatigue life predictions for powertrain components.</w:t>
      </w:r>
    </w:p>
    <w:p w14:paraId="72D2B83E" w14:textId="053B01C3" w:rsidR="00F053AC" w:rsidRPr="00DD3F33" w:rsidRDefault="00F053AC" w:rsidP="009D1D3B">
      <w:r>
        <w:rPr>
          <w:noProof/>
        </w:rPr>
        <mc:AlternateContent>
          <mc:Choice Requires="wps">
            <w:drawing>
              <wp:anchor distT="45720" distB="45720" distL="114300" distR="114300" simplePos="0" relativeHeight="251678720" behindDoc="0" locked="0" layoutInCell="1" allowOverlap="1" wp14:anchorId="5963DD4D" wp14:editId="7763C2D8">
                <wp:simplePos x="0" y="0"/>
                <wp:positionH relativeFrom="margin">
                  <wp:align>left</wp:align>
                </wp:positionH>
                <wp:positionV relativeFrom="paragraph">
                  <wp:posOffset>2279210</wp:posOffset>
                </wp:positionV>
                <wp:extent cx="1225550" cy="491490"/>
                <wp:effectExtent l="0" t="0" r="12700" b="22860"/>
                <wp:wrapSquare wrapText="bothSides"/>
                <wp:docPr id="20621465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5550" cy="491490"/>
                        </a:xfrm>
                        <a:prstGeom prst="rect">
                          <a:avLst/>
                        </a:prstGeom>
                        <a:solidFill>
                          <a:srgbClr val="FFFFFF"/>
                        </a:solidFill>
                        <a:ln w="9525">
                          <a:solidFill>
                            <a:srgbClr val="000000"/>
                          </a:solidFill>
                          <a:miter lim="800000"/>
                          <a:headEnd/>
                          <a:tailEnd/>
                        </a:ln>
                      </wps:spPr>
                      <wps:txbx>
                        <w:txbxContent>
                          <w:p w14:paraId="68CD5583" w14:textId="1CE8148A" w:rsidR="00DE2B91" w:rsidRDefault="00DE2B91" w:rsidP="009D1D3B">
                            <w:r>
                              <w:t xml:space="preserve">Figure </w:t>
                            </w:r>
                            <w:r w:rsidR="009C1B85">
                              <w:t>7</w:t>
                            </w:r>
                            <w:r>
                              <w:t xml:space="preserve"> (</w:t>
                            </w:r>
                            <w:r w:rsidRPr="00DE2B91">
                              <w:t>Szpunar et al.</w:t>
                            </w:r>
                            <w:r>
                              <w:t xml:space="preserve"> </w:t>
                            </w:r>
                            <w:r w:rsidRPr="00562CBF">
                              <w:t>(20</w:t>
                            </w:r>
                            <w:r>
                              <w:t>21</w:t>
                            </w:r>
                            <w:r w:rsidRPr="00562CBF">
                              <w:t>)</w:t>
                            </w:r>
                            <w:r>
                              <w:t xml:space="preserve"> pg.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63DD4D" id="_x0000_s1031" type="#_x0000_t202" style="position:absolute;margin-left:0;margin-top:179.45pt;width:96.5pt;height:38.7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">
                <v:textbox>
                  <w:txbxContent>
                    <w:p w14:paraId="68CD5583" w14:textId="1CE8148A" w:rsidR="00DE2B91" w:rsidRDefault="00DE2B91" w:rsidP="009D1D3B">
                      <w:r>
                        <w:t xml:space="preserve">Figure </w:t>
                      </w:r>
                      <w:r w:rsidR="009C1B85">
                        <w:t>7</w:t>
                      </w:r>
                      <w:r>
                        <w:t xml:space="preserve"> (</w:t>
                      </w:r>
                      <w:r w:rsidRPr="00DE2B91">
                        <w:t>Szpunar et al.</w:t>
                      </w:r>
                      <w:r>
                        <w:t xml:space="preserve"> </w:t>
                      </w:r>
                      <w:r w:rsidRPr="00562CBF">
                        <w:t>(20</w:t>
                      </w:r>
                      <w:r>
                        <w:t>21</w:t>
                      </w:r>
                      <w:r w:rsidRPr="00562CBF">
                        <w:t>)</w:t>
                      </w:r>
                      <w:r>
                        <w:t xml:space="preserve"> pg. 6)</w:t>
                      </w:r>
                    </w:p>
                  </w:txbxContent>
                </v:textbox>
                <w10:wrap type="square" anchorx="margin"/>
              </v:shape>
            </w:pict>
          </mc:Fallback>
        </mc:AlternateContent>
      </w:r>
      <w:r>
        <w:rPr>
          <w:noProof/>
        </w:rPr>
        <w:drawing>
          <wp:anchor distT="0" distB="0" distL="114300" distR="114300" simplePos="0" relativeHeight="251673600" behindDoc="1" locked="0" layoutInCell="1" allowOverlap="1" wp14:anchorId="2E612AE2" wp14:editId="27A35C3A">
            <wp:simplePos x="0" y="0"/>
            <wp:positionH relativeFrom="column">
              <wp:posOffset>3361250</wp:posOffset>
            </wp:positionH>
            <wp:positionV relativeFrom="paragraph">
              <wp:posOffset>527929</wp:posOffset>
            </wp:positionV>
            <wp:extent cx="2306320" cy="1526540"/>
            <wp:effectExtent l="0" t="0" r="0" b="0"/>
            <wp:wrapTight wrapText="bothSides">
              <wp:wrapPolygon edited="0">
                <wp:start x="0" y="0"/>
                <wp:lineTo x="0" y="21295"/>
                <wp:lineTo x="21410" y="21295"/>
                <wp:lineTo x="21410" y="0"/>
                <wp:lineTo x="0" y="0"/>
              </wp:wrapPolygon>
            </wp:wrapTight>
            <wp:docPr id="372981285" name="Picture 1"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981285" name="Picture 1" descr="A screenshot of a data shee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06320" cy="15265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75648" behindDoc="0" locked="0" layoutInCell="1" allowOverlap="1" wp14:anchorId="2F9C9E17" wp14:editId="7D038BDA">
                <wp:simplePos x="0" y="0"/>
                <wp:positionH relativeFrom="margin">
                  <wp:posOffset>3909792</wp:posOffset>
                </wp:positionH>
                <wp:positionV relativeFrom="paragraph">
                  <wp:posOffset>10551</wp:posOffset>
                </wp:positionV>
                <wp:extent cx="1565275" cy="488950"/>
                <wp:effectExtent l="0" t="0" r="15875" b="25400"/>
                <wp:wrapSquare wrapText="bothSides"/>
                <wp:docPr id="6543097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5275" cy="488950"/>
                        </a:xfrm>
                        <a:prstGeom prst="rect">
                          <a:avLst/>
                        </a:prstGeom>
                        <a:solidFill>
                          <a:srgbClr val="FFFFFF"/>
                        </a:solidFill>
                        <a:ln w="9525">
                          <a:solidFill>
                            <a:srgbClr val="000000"/>
                          </a:solidFill>
                          <a:miter lim="800000"/>
                          <a:headEnd/>
                          <a:tailEnd/>
                        </a:ln>
                      </wps:spPr>
                      <wps:txbx>
                        <w:txbxContent>
                          <w:p w14:paraId="1D85E918" w14:textId="45210045" w:rsidR="003B3837" w:rsidRDefault="003B3837" w:rsidP="009D1D3B">
                            <w:r>
                              <w:t xml:space="preserve">Figure </w:t>
                            </w:r>
                            <w:r w:rsidR="009C1B85">
                              <w:t>6</w:t>
                            </w:r>
                            <w:r>
                              <w:t>, Ti-6Al-2Sn-2Zr-2Mo (</w:t>
                            </w:r>
                            <w:r w:rsidRPr="003B3837">
                              <w:t>Ansys Inc</w:t>
                            </w:r>
                            <w:r>
                              <w:t>.</w:t>
                            </w:r>
                            <w:r w:rsidRPr="003B3837">
                              <w:t xml:space="preserve"> </w:t>
                            </w:r>
                            <w:r>
                              <w:t>(</w:t>
                            </w:r>
                            <w:r w:rsidRPr="003B3837">
                              <w:t>2022</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9C9E17" id="_x0000_s1032" type="#_x0000_t202" style="position:absolute;margin-left:307.85pt;margin-top:.85pt;width:123.25pt;height:38.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">
                <v:textbox>
                  <w:txbxContent>
                    <w:p w14:paraId="1D85E918" w14:textId="45210045" w:rsidR="003B3837" w:rsidRDefault="003B3837" w:rsidP="009D1D3B">
                      <w:r>
                        <w:t xml:space="preserve">Figure </w:t>
                      </w:r>
                      <w:r w:rsidR="009C1B85">
                        <w:t>6</w:t>
                      </w:r>
                      <w:r>
                        <w:t>, Ti-6Al-2Sn-2Zr-2Mo (</w:t>
                      </w:r>
                      <w:r w:rsidRPr="003B3837">
                        <w:t>Ansys Inc</w:t>
                      </w:r>
                      <w:r>
                        <w:t>.</w:t>
                      </w:r>
                      <w:r w:rsidRPr="003B3837">
                        <w:t xml:space="preserve"> </w:t>
                      </w:r>
                      <w:r>
                        <w:t>(</w:t>
                      </w:r>
                      <w:r w:rsidRPr="003B3837">
                        <w:t>2022</w:t>
                      </w:r>
                      <w:r>
                        <w:t>))</w:t>
                      </w:r>
                    </w:p>
                  </w:txbxContent>
                </v:textbox>
                <w10:wrap type="square" anchorx="margin"/>
              </v:shape>
            </w:pict>
          </mc:Fallback>
        </mc:AlternateContent>
      </w:r>
      <w:r w:rsidRPr="00DD3F33">
        <w:t xml:space="preserve">The mechanical properties of titanium alloys, particularly their ultimate tensile strength (UTS), are vital in assessing their suitability for high-performance applications. Figure </w:t>
      </w:r>
      <w:r w:rsidR="009C1B85">
        <w:t>6</w:t>
      </w:r>
      <w:r w:rsidRPr="00DD3F33">
        <w:t xml:space="preserve"> shows that steel bolts have a UTS of 1000 MPa, while the general tensile strength of steel is around 1100 MPa. Given that titanium has a tensile strength range of 1070-1290 MPa, a reasonable estimate for the UTS of the same bolt made from titanium would be 1165 MPa. This estimation ensures that the material properties align with the expected performance under high-stress conditions, making titanium bolts a viable alternative for high-performance applications.</w:t>
      </w:r>
    </w:p>
    <w:p w14:paraId="18F30DAC" w14:textId="61C56AE6" w:rsidR="00F053AC" w:rsidRPr="00686237" w:rsidRDefault="00F053AC" w:rsidP="009D1D3B">
      <w:r w:rsidRPr="00DE2B91">
        <w:rPr>
          <w:noProof/>
        </w:rPr>
        <w:drawing>
          <wp:anchor distT="0" distB="0" distL="114300" distR="114300" simplePos="0" relativeHeight="251676672" behindDoc="0" locked="0" layoutInCell="1" allowOverlap="1" wp14:anchorId="7989FC59" wp14:editId="5D4F75AD">
            <wp:simplePos x="0" y="0"/>
            <wp:positionH relativeFrom="column">
              <wp:posOffset>-87728</wp:posOffset>
            </wp:positionH>
            <wp:positionV relativeFrom="paragraph">
              <wp:posOffset>271682</wp:posOffset>
            </wp:positionV>
            <wp:extent cx="1586230" cy="1278890"/>
            <wp:effectExtent l="0" t="0" r="0" b="0"/>
            <wp:wrapSquare wrapText="bothSides"/>
            <wp:docPr id="254771889"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771889" name="Picture 1" descr="A graph of different colored lin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6230" cy="1278890"/>
                    </a:xfrm>
                    <a:prstGeom prst="rect">
                      <a:avLst/>
                    </a:prstGeom>
                  </pic:spPr>
                </pic:pic>
              </a:graphicData>
            </a:graphic>
            <wp14:sizeRelH relativeFrom="page">
              <wp14:pctWidth>0</wp14:pctWidth>
            </wp14:sizeRelH>
            <wp14:sizeRelV relativeFrom="page">
              <wp14:pctHeight>0</wp14:pctHeight>
            </wp14:sizeRelV>
          </wp:anchor>
        </w:drawing>
      </w:r>
      <w:r w:rsidRPr="00686237">
        <w:t xml:space="preserve">Figure </w:t>
      </w:r>
      <w:r w:rsidR="009C1B85">
        <w:t>7</w:t>
      </w:r>
      <w:r w:rsidRPr="00686237">
        <w:t xml:space="preserve"> presents data on the coefficient of friction for lubricated titanium surfaces. Connecting rod bolts are lubricated before installation to reduce friction and improve torque accuracy. Test results indicate that the closest lubricant to the 5W-20 oil used in the 1.6 EcoBoost engine is 10W-40, which provides a friction coefficient range of 0.19-0.24, with an average value of 0.21. This information is crucial for refining stress models and ensuring accurate predictions of component performance under operating conditions.</w:t>
      </w:r>
    </w:p>
    <w:p w14:paraId="3F604FBC" w14:textId="77777777" w:rsidR="00F053AC" w:rsidRPr="00686237" w:rsidRDefault="00F053AC" w:rsidP="009D1D3B">
      <w:r w:rsidRPr="00686237">
        <w:t xml:space="preserve">Sheng et al. (2020, p. 3604) state: </w:t>
      </w:r>
      <w:r w:rsidRPr="00AB63B5">
        <w:rPr>
          <w:i/>
          <w:iCs/>
        </w:rPr>
        <w:t xml:space="preserve">"It is noted that CRS of CT-LPed sample is around 628 MPa at room temperature." </w:t>
      </w:r>
      <w:r w:rsidRPr="00686237">
        <w:t xml:space="preserve">CT-LPed refers to cryogenically treated and laser peened samples, techniques employed to reduce fatigue failure in titanium components. These treatments induce residual </w:t>
      </w:r>
      <w:r w:rsidRPr="00686237">
        <w:lastRenderedPageBreak/>
        <w:t>compressive stress, reducing crack propagation and improving tensile stress resistance. Research indicates that the residual surface pressure in CT-LPed samples is approximately 628 MPa, a significant improvement due to the combined effect of both treatments. This highlights the importance of surface engineering techniques in improving component longevity and reliability.</w:t>
      </w:r>
    </w:p>
    <w:p w14:paraId="6CDFA760" w14:textId="77777777" w:rsidR="00F053AC" w:rsidRDefault="00F053AC" w:rsidP="009D1D3B">
      <w:r w:rsidRPr="00686237">
        <w:t>Overall, the findings from these studies provide essential data for optimising stress modelling, improving fatigue performance, and enhancing the durability of powertrain components in high-RPM applications.</w:t>
      </w:r>
    </w:p>
    <w:p w14:paraId="723C92E8" w14:textId="77777777" w:rsidR="00F053AC" w:rsidRDefault="00F053AC" w:rsidP="009D1D3B"/>
    <w:p w14:paraId="1308ABDD" w14:textId="77777777" w:rsidR="009C1B85" w:rsidRDefault="009C1B85" w:rsidP="009D1D3B"/>
    <w:p w14:paraId="3363EBB7" w14:textId="77777777" w:rsidR="009C1B85" w:rsidRDefault="009C1B85" w:rsidP="009D1D3B"/>
    <w:p w14:paraId="118443A2" w14:textId="77777777" w:rsidR="009C1B85" w:rsidRDefault="009C1B85" w:rsidP="009D1D3B"/>
    <w:p w14:paraId="495FF231" w14:textId="77777777" w:rsidR="009C1B85" w:rsidRDefault="009C1B85" w:rsidP="009D1D3B"/>
    <w:p w14:paraId="040D6B4A" w14:textId="77777777" w:rsidR="009C1B85" w:rsidRDefault="009C1B85" w:rsidP="009D1D3B"/>
    <w:p w14:paraId="29B90CB6" w14:textId="77777777" w:rsidR="009C1B85" w:rsidRDefault="009C1B85" w:rsidP="009D1D3B"/>
    <w:p w14:paraId="27A56E35" w14:textId="77777777" w:rsidR="009C1B85" w:rsidRDefault="009C1B85" w:rsidP="009D1D3B"/>
    <w:p w14:paraId="43FFB264" w14:textId="77777777" w:rsidR="009C1B85" w:rsidRDefault="009C1B85" w:rsidP="009D1D3B"/>
    <w:p w14:paraId="0AB60D36" w14:textId="77777777" w:rsidR="009C1B85" w:rsidRDefault="009C1B85" w:rsidP="009D1D3B"/>
    <w:p w14:paraId="4CED5069" w14:textId="77777777" w:rsidR="009C1B85" w:rsidRDefault="009C1B85" w:rsidP="009D1D3B"/>
    <w:p w14:paraId="23CF6699" w14:textId="77777777" w:rsidR="009C1B85" w:rsidRDefault="009C1B85" w:rsidP="009D1D3B"/>
    <w:p w14:paraId="7642D1C4" w14:textId="77777777" w:rsidR="009C1B85" w:rsidRDefault="009C1B85" w:rsidP="009D1D3B"/>
    <w:p w14:paraId="426C221B" w14:textId="77777777" w:rsidR="009C1B85" w:rsidRDefault="009C1B85" w:rsidP="009D1D3B"/>
    <w:p w14:paraId="444AE9D7" w14:textId="77777777" w:rsidR="009C1B85" w:rsidRDefault="009C1B85" w:rsidP="009D1D3B"/>
    <w:p w14:paraId="12438232" w14:textId="77777777" w:rsidR="009C1B85" w:rsidRDefault="009C1B85" w:rsidP="009D1D3B"/>
    <w:p w14:paraId="60A99D41" w14:textId="77777777" w:rsidR="009C1B85" w:rsidRDefault="009C1B85" w:rsidP="009D1D3B"/>
    <w:p w14:paraId="1B8BE672" w14:textId="77777777" w:rsidR="009C1B85" w:rsidRDefault="009C1B85" w:rsidP="009D1D3B"/>
    <w:p w14:paraId="3795B649" w14:textId="77777777" w:rsidR="009C1B85" w:rsidRDefault="009C1B85" w:rsidP="009D1D3B"/>
    <w:p w14:paraId="1882E974" w14:textId="77777777" w:rsidR="009C1B85" w:rsidRDefault="009C1B85" w:rsidP="009D1D3B"/>
    <w:p w14:paraId="7658549C" w14:textId="77777777" w:rsidR="009C1B85" w:rsidRDefault="009C1B85" w:rsidP="009D1D3B"/>
    <w:p w14:paraId="18477D6F" w14:textId="77777777" w:rsidR="009C1B85" w:rsidRDefault="009C1B85" w:rsidP="009D1D3B"/>
    <w:p w14:paraId="62EDAC7E" w14:textId="77777777" w:rsidR="009C1B85" w:rsidRDefault="009C1B85" w:rsidP="009D1D3B"/>
    <w:p w14:paraId="62F09117" w14:textId="77777777" w:rsidR="009C1B85" w:rsidRPr="00686237" w:rsidRDefault="009C1B85" w:rsidP="009D1D3B"/>
    <w:p w14:paraId="0514AE96" w14:textId="15588EAF" w:rsidR="003A6CB4" w:rsidRPr="009D1D3B" w:rsidRDefault="00E34932" w:rsidP="009D1D3B">
      <w:pPr>
        <w:pStyle w:val="Heading1"/>
        <w:numPr>
          <w:ilvl w:val="0"/>
          <w:numId w:val="1"/>
        </w:numPr>
        <w:rPr>
          <w:color w:val="auto"/>
          <w:u w:val="single"/>
        </w:rPr>
      </w:pPr>
      <w:bookmarkStart w:id="3" w:name="_Toc193023111"/>
      <w:r w:rsidRPr="009D1D3B">
        <w:rPr>
          <w:color w:val="auto"/>
          <w:u w:val="single"/>
        </w:rPr>
        <w:lastRenderedPageBreak/>
        <w:t>Stress analysis of powertrain components</w:t>
      </w:r>
      <w:bookmarkEnd w:id="3"/>
      <w:r w:rsidRPr="009D1D3B">
        <w:rPr>
          <w:color w:val="auto"/>
          <w:u w:val="single"/>
        </w:rPr>
        <w:t xml:space="preserve"> </w:t>
      </w:r>
    </w:p>
    <w:p w14:paraId="0D7ACB8B" w14:textId="77777777" w:rsidR="007C7F32" w:rsidRPr="00037C2B" w:rsidRDefault="007C7F32" w:rsidP="009D1D3B">
      <w:r w:rsidRPr="00037C2B">
        <w:t>Fatigue analysis is critical in assessing the durability of powertrain components subjected to cyclic loading. This section evaluates the fatigue safety factors (FSF) of the connecting rod, gudgeon pin, and connecting rod bolts under two operating conditions: 6000 RPM (representing the actual engine speed) and 9000 RPM (representing an increased speed for enhanced power and efficiency). The analysis is based on Goodman diagrams, which relate mean stress and alternating stress to determine the FSF, ensuring the components operate within safe limits.</w:t>
      </w:r>
    </w:p>
    <w:p w14:paraId="3ADF5CC7" w14:textId="77777777" w:rsidR="007C7F32" w:rsidRDefault="007C7F32" w:rsidP="009D1D3B">
      <w:r w:rsidRPr="00037C2B">
        <w:t>The FSF is calculated using the following equations:</w:t>
      </w:r>
    </w:p>
    <w:p w14:paraId="611FA29A" w14:textId="15F90188" w:rsidR="007C7F32" w:rsidRPr="007C7F32" w:rsidRDefault="00000000" w:rsidP="009D1D3B">
      <w:pPr>
        <w:rPr>
          <w:rFonts w:eastAsiaTheme="minorEastAsia"/>
        </w:rPr>
      </w:pPr>
      <m:oMathPara>
        <m:oMath>
          <m:sSub>
            <m:sSubPr>
              <m:ctrlPr>
                <w:rPr>
                  <w:rFonts w:ascii="Cambria Math" w:hAnsi="Cambria Math"/>
                </w:rPr>
              </m:ctrlPr>
            </m:sSubPr>
            <m:e>
              <m:r>
                <w:rPr>
                  <w:rFonts w:ascii="Cambria Math" w:hAnsi="Cambria Math"/>
                </w:rPr>
                <m:t>σ</m:t>
              </m:r>
            </m:e>
            <m:sub>
              <m:r>
                <w:rPr>
                  <w:rFonts w:ascii="Cambria Math" w:hAnsi="Cambria Math"/>
                </w:rPr>
                <m:t>allowable</m:t>
              </m:r>
            </m:sub>
          </m:sSub>
          <m:r>
            <m:rPr>
              <m:sty m:val="p"/>
            </m:rPr>
            <w:rPr>
              <w:rFonts w:ascii="Cambria Math" w:hAnsi="Cambria Math"/>
            </w:rPr>
            <m:t xml:space="preserve">= </m:t>
          </m:r>
          <m:sSub>
            <m:sSubPr>
              <m:ctrlPr>
                <w:rPr>
                  <w:rFonts w:ascii="Cambria Math" w:hAnsi="Cambria Math"/>
                </w:rPr>
              </m:ctrlPr>
            </m:sSubPr>
            <m:e>
              <m:r>
                <m:rPr>
                  <m:sty m:val="p"/>
                </m:rPr>
                <w:rPr>
                  <w:rFonts w:ascii="Cambria Math" w:hAnsi="Cambria Math"/>
                </w:rPr>
                <m:t>2</m:t>
              </m:r>
              <m:r>
                <w:rPr>
                  <w:rFonts w:ascii="Cambria Math" w:hAnsi="Cambria Math"/>
                </w:rPr>
                <m:t>σ</m:t>
              </m:r>
            </m:e>
            <m:sub>
              <m:r>
                <w:rPr>
                  <w:rFonts w:ascii="Cambria Math" w:hAnsi="Cambria Math"/>
                </w:rPr>
                <m:t>End</m:t>
              </m:r>
              <m:r>
                <m:rPr>
                  <m:sty m:val="p"/>
                </m:rPr>
                <w:rPr>
                  <w:rFonts w:ascii="Cambria Math" w:hAnsi="Cambria Math"/>
                </w:rPr>
                <m:t>-</m:t>
              </m:r>
              <m:r>
                <w:rPr>
                  <w:rFonts w:ascii="Cambria Math" w:hAnsi="Cambria Math"/>
                </w:rPr>
                <m:t>Lim</m:t>
              </m:r>
            </m:sub>
          </m:sSub>
          <m:r>
            <m:rPr>
              <m:sty m:val="p"/>
            </m:rPr>
            <w:rPr>
              <w:rFonts w:ascii="Cambria Math" w:hAnsi="Cambria Math"/>
            </w:rPr>
            <m:t>×</m:t>
          </m:r>
          <m:d>
            <m:dPr>
              <m:ctrlPr>
                <w:rPr>
                  <w:rFonts w:ascii="Cambria Math" w:hAnsi="Cambria Math"/>
                </w:rPr>
              </m:ctrlPr>
            </m:dPr>
            <m:e>
              <m:r>
                <m:rPr>
                  <m:sty m:val="p"/>
                </m:rPr>
                <w:rPr>
                  <w:rFonts w:ascii="Cambria Math" w:hAnsi="Cambria Math"/>
                </w:rPr>
                <m:t xml:space="preserve">1 - </m:t>
              </m:r>
              <m:f>
                <m:fPr>
                  <m:ctrlPr>
                    <w:rPr>
                      <w:rFonts w:ascii="Cambria Math" w:hAnsi="Cambria Math"/>
                    </w:rPr>
                  </m:ctrlPr>
                </m:fPr>
                <m:num>
                  <m:sSub>
                    <m:sSubPr>
                      <m:ctrlPr>
                        <w:rPr>
                          <w:rFonts w:ascii="Cambria Math" w:hAnsi="Cambria Math"/>
                        </w:rPr>
                      </m:ctrlPr>
                    </m:sSubPr>
                    <m:e>
                      <m:r>
                        <w:rPr>
                          <w:rFonts w:ascii="Cambria Math" w:hAnsi="Cambria Math"/>
                        </w:rPr>
                        <m:t>σ</m:t>
                      </m:r>
                    </m:e>
                    <m:sub>
                      <m:r>
                        <w:rPr>
                          <w:rFonts w:ascii="Cambria Math" w:hAnsi="Cambria Math"/>
                        </w:rPr>
                        <m:t>mean</m:t>
                      </m:r>
                    </m:sub>
                  </m:sSub>
                </m:num>
                <m:den>
                  <m:r>
                    <w:rPr>
                      <w:rFonts w:ascii="Cambria Math" w:hAnsi="Cambria Math"/>
                    </w:rPr>
                    <m:t>UTS</m:t>
                  </m:r>
                </m:den>
              </m:f>
            </m:e>
          </m:d>
        </m:oMath>
      </m:oMathPara>
    </w:p>
    <w:p w14:paraId="370BDF2D" w14:textId="10714AA2" w:rsidR="007C7F32" w:rsidRPr="007C7F32" w:rsidRDefault="00000000" w:rsidP="009D1D3B">
      <w:pPr>
        <w:rPr>
          <w:rFonts w:eastAsiaTheme="minorEastAsia"/>
        </w:rPr>
      </w:pPr>
      <m:oMathPara>
        <m:oMath>
          <m:sSub>
            <m:sSubPr>
              <m:ctrlPr>
                <w:rPr>
                  <w:rFonts w:ascii="Cambria Math" w:hAnsi="Cambria Math"/>
                </w:rPr>
              </m:ctrlPr>
            </m:sSubPr>
            <m:e>
              <m:r>
                <w:rPr>
                  <w:rFonts w:ascii="Cambria Math" w:hAnsi="Cambria Math"/>
                </w:rPr>
                <m:t>σ</m:t>
              </m:r>
            </m:e>
            <m:sub>
              <m:r>
                <w:rPr>
                  <w:rFonts w:ascii="Cambria Math" w:hAnsi="Cambria Math"/>
                </w:rPr>
                <m:t>allowable</m:t>
              </m:r>
              <m:d>
                <m:dPr>
                  <m:ctrlPr>
                    <w:rPr>
                      <w:rFonts w:ascii="Cambria Math" w:hAnsi="Cambria Math"/>
                    </w:rPr>
                  </m:ctrlPr>
                </m:dPr>
                <m:e>
                  <m:r>
                    <w:rPr>
                      <w:rFonts w:ascii="Cambria Math" w:hAnsi="Cambria Math"/>
                    </w:rPr>
                    <m:t>Bolt</m:t>
                  </m:r>
                </m:e>
              </m:d>
            </m:sub>
          </m:sSub>
          <m:r>
            <m:rPr>
              <m:sty m:val="p"/>
            </m:rPr>
            <w:rPr>
              <w:rFonts w:ascii="Cambria Math" w:hAnsi="Cambria Math"/>
            </w:rPr>
            <m:t>= 2×</m:t>
          </m:r>
          <m:d>
            <m:dPr>
              <m:ctrlPr>
                <w:rPr>
                  <w:rFonts w:ascii="Cambria Math" w:hAnsi="Cambria Math"/>
                </w:rPr>
              </m:ctrlPr>
            </m:dPr>
            <m:e>
              <m:f>
                <m:fPr>
                  <m:ctrlPr>
                    <w:rPr>
                      <w:rFonts w:ascii="Cambria Math" w:hAnsi="Cambria Math"/>
                    </w:rPr>
                  </m:ctrlPr>
                </m:fPr>
                <m:num>
                  <m:sSub>
                    <m:sSubPr>
                      <m:ctrlPr>
                        <w:rPr>
                          <w:rFonts w:ascii="Cambria Math" w:hAnsi="Cambria Math"/>
                        </w:rPr>
                      </m:ctrlPr>
                    </m:sSubPr>
                    <m:e>
                      <m:r>
                        <w:rPr>
                          <w:rFonts w:ascii="Cambria Math" w:hAnsi="Cambria Math"/>
                        </w:rPr>
                        <m:t>σ</m:t>
                      </m:r>
                    </m:e>
                    <m:sub>
                      <m:r>
                        <w:rPr>
                          <w:rFonts w:ascii="Cambria Math" w:hAnsi="Cambria Math"/>
                        </w:rPr>
                        <m:t>End</m:t>
                      </m:r>
                      <m:r>
                        <m:rPr>
                          <m:sty m:val="p"/>
                        </m:rPr>
                        <w:rPr>
                          <w:rFonts w:ascii="Cambria Math" w:hAnsi="Cambria Math"/>
                        </w:rPr>
                        <m:t>-</m:t>
                      </m:r>
                      <m:r>
                        <w:rPr>
                          <w:rFonts w:ascii="Cambria Math" w:hAnsi="Cambria Math"/>
                        </w:rPr>
                        <m:t>Lim</m:t>
                      </m:r>
                    </m:sub>
                  </m:sSub>
                </m:num>
                <m:den>
                  <m:sSub>
                    <m:sSubPr>
                      <m:ctrlPr>
                        <w:rPr>
                          <w:rFonts w:ascii="Cambria Math" w:hAnsi="Cambria Math"/>
                        </w:rPr>
                      </m:ctrlPr>
                    </m:sSubPr>
                    <m:e>
                      <m:r>
                        <w:rPr>
                          <w:rFonts w:ascii="Cambria Math" w:hAnsi="Cambria Math"/>
                        </w:rPr>
                        <m:t>K</m:t>
                      </m:r>
                    </m:e>
                    <m:sub>
                      <m:r>
                        <w:rPr>
                          <w:rFonts w:ascii="Cambria Math" w:hAnsi="Cambria Math"/>
                        </w:rPr>
                        <m:t>t</m:t>
                      </m:r>
                    </m:sub>
                  </m:sSub>
                </m:den>
              </m:f>
            </m:e>
          </m:d>
          <m:r>
            <m:rPr>
              <m:sty m:val="p"/>
            </m:rPr>
            <w:rPr>
              <w:rFonts w:ascii="Cambria Math" w:hAnsi="Cambria Math"/>
            </w:rPr>
            <m:t>×</m:t>
          </m:r>
          <m:d>
            <m:dPr>
              <m:ctrlPr>
                <w:rPr>
                  <w:rFonts w:ascii="Cambria Math" w:hAnsi="Cambria Math"/>
                </w:rPr>
              </m:ctrlPr>
            </m:dPr>
            <m:e>
              <m:r>
                <m:rPr>
                  <m:sty m:val="p"/>
                </m:rPr>
                <w:rPr>
                  <w:rFonts w:ascii="Cambria Math" w:hAnsi="Cambria Math"/>
                </w:rPr>
                <m:t xml:space="preserve">1 - </m:t>
              </m:r>
              <m:f>
                <m:fPr>
                  <m:ctrlPr>
                    <w:rPr>
                      <w:rFonts w:ascii="Cambria Math" w:hAnsi="Cambria Math"/>
                    </w:rPr>
                  </m:ctrlPr>
                </m:fPr>
                <m:num>
                  <m:sSub>
                    <m:sSubPr>
                      <m:ctrlPr>
                        <w:rPr>
                          <w:rFonts w:ascii="Cambria Math" w:hAnsi="Cambria Math"/>
                        </w:rPr>
                      </m:ctrlPr>
                    </m:sSubPr>
                    <m:e>
                      <m:r>
                        <w:rPr>
                          <w:rFonts w:ascii="Cambria Math" w:hAnsi="Cambria Math"/>
                        </w:rPr>
                        <m:t>σ</m:t>
                      </m:r>
                    </m:e>
                    <m:sub>
                      <m:r>
                        <w:rPr>
                          <w:rFonts w:ascii="Cambria Math" w:hAnsi="Cambria Math"/>
                        </w:rPr>
                        <m:t>mean</m:t>
                      </m:r>
                    </m:sub>
                  </m:sSub>
                </m:num>
                <m:den>
                  <m:r>
                    <w:rPr>
                      <w:rFonts w:ascii="Cambria Math" w:hAnsi="Cambria Math"/>
                    </w:rPr>
                    <m:t>UTS</m:t>
                  </m:r>
                </m:den>
              </m:f>
            </m:e>
          </m:d>
        </m:oMath>
      </m:oMathPara>
    </w:p>
    <w:p w14:paraId="0FA10ECE" w14:textId="414B6BB0" w:rsidR="007C7F32" w:rsidRPr="007C7F32" w:rsidRDefault="007C7F32" w:rsidP="009D1D3B">
      <m:oMathPara>
        <m:oMath>
          <m:r>
            <w:rPr>
              <w:rFonts w:ascii="Cambria Math" w:hAnsi="Cambria Math"/>
            </w:rPr>
            <m:t>FSF</m:t>
          </m:r>
          <m:r>
            <m:rPr>
              <m:sty m:val="p"/>
            </m:rPr>
            <w:rPr>
              <w:rFonts w:ascii="Cambria Math" w:hAnsi="Cambria Math"/>
            </w:rPr>
            <m:t xml:space="preserve">= </m:t>
          </m:r>
          <m:f>
            <m:fPr>
              <m:ctrlPr>
                <w:rPr>
                  <w:rFonts w:ascii="Cambria Math" w:hAnsi="Cambria Math"/>
                </w:rPr>
              </m:ctrlPr>
            </m:fPr>
            <m:num>
              <m:sSub>
                <m:sSubPr>
                  <m:ctrlPr>
                    <w:rPr>
                      <w:rFonts w:ascii="Cambria Math" w:hAnsi="Cambria Math"/>
                    </w:rPr>
                  </m:ctrlPr>
                </m:sSubPr>
                <m:e>
                  <m:r>
                    <w:rPr>
                      <w:rFonts w:ascii="Cambria Math" w:hAnsi="Cambria Math"/>
                    </w:rPr>
                    <m:t>σ</m:t>
                  </m:r>
                </m:e>
                <m:sub>
                  <m:r>
                    <w:rPr>
                      <w:rFonts w:ascii="Cambria Math" w:hAnsi="Cambria Math"/>
                    </w:rPr>
                    <m:t>allowable</m:t>
                  </m:r>
                </m:sub>
              </m:sSub>
            </m:num>
            <m:den>
              <m:sSub>
                <m:sSubPr>
                  <m:ctrlPr>
                    <w:rPr>
                      <w:rFonts w:ascii="Cambria Math" w:hAnsi="Cambria Math"/>
                    </w:rPr>
                  </m:ctrlPr>
                </m:sSubPr>
                <m:e>
                  <m:r>
                    <w:rPr>
                      <w:rFonts w:ascii="Cambria Math" w:hAnsi="Cambria Math"/>
                    </w:rPr>
                    <m:t>σ</m:t>
                  </m:r>
                </m:e>
                <m:sub>
                  <m:r>
                    <w:rPr>
                      <w:rFonts w:ascii="Cambria Math" w:hAnsi="Cambria Math"/>
                    </w:rPr>
                    <m:t>range</m:t>
                  </m:r>
                </m:sub>
              </m:sSub>
            </m:den>
          </m:f>
        </m:oMath>
      </m:oMathPara>
    </w:p>
    <w:p w14:paraId="62C362AD" w14:textId="35782056" w:rsidR="00DD0FB7" w:rsidRPr="00DD0FB7" w:rsidRDefault="00DD0FB7" w:rsidP="009D1D3B"/>
    <w:p w14:paraId="0FCACC20" w14:textId="5C7D5FA1" w:rsidR="0077786D" w:rsidRPr="009D1D3B" w:rsidRDefault="00362F44" w:rsidP="009D1D3B">
      <w:pPr>
        <w:pStyle w:val="Heading2"/>
        <w:numPr>
          <w:ilvl w:val="1"/>
          <w:numId w:val="1"/>
        </w:numPr>
        <w:rPr>
          <w:color w:val="auto"/>
          <w:u w:val="single"/>
        </w:rPr>
      </w:pPr>
      <w:bookmarkStart w:id="4" w:name="_Toc193023112"/>
      <w:r w:rsidRPr="009D1D3B">
        <w:rPr>
          <w:noProof/>
          <w:color w:val="auto"/>
          <w:u w:val="single"/>
        </w:rPr>
        <mc:AlternateContent>
          <mc:Choice Requires="wps">
            <w:drawing>
              <wp:anchor distT="45720" distB="45720" distL="114300" distR="114300" simplePos="0" relativeHeight="251682816" behindDoc="0" locked="0" layoutInCell="1" allowOverlap="1" wp14:anchorId="1D5BE515" wp14:editId="1DB99164">
                <wp:simplePos x="0" y="0"/>
                <wp:positionH relativeFrom="margin">
                  <wp:align>right</wp:align>
                </wp:positionH>
                <wp:positionV relativeFrom="paragraph">
                  <wp:posOffset>65503</wp:posOffset>
                </wp:positionV>
                <wp:extent cx="3228975" cy="274955"/>
                <wp:effectExtent l="0" t="0" r="28575" b="10795"/>
                <wp:wrapSquare wrapText="bothSides"/>
                <wp:docPr id="613088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8975" cy="274955"/>
                        </a:xfrm>
                        <a:prstGeom prst="rect">
                          <a:avLst/>
                        </a:prstGeom>
                        <a:solidFill>
                          <a:srgbClr val="FFFFFF"/>
                        </a:solidFill>
                        <a:ln w="9525">
                          <a:solidFill>
                            <a:srgbClr val="000000"/>
                          </a:solidFill>
                          <a:miter lim="800000"/>
                          <a:headEnd/>
                          <a:tailEnd/>
                        </a:ln>
                      </wps:spPr>
                      <wps:txbx>
                        <w:txbxContent>
                          <w:p w14:paraId="5B916DBF" w14:textId="1E858DF9" w:rsidR="00362F44" w:rsidRDefault="00362F44" w:rsidP="009D1D3B">
                            <w:r>
                              <w:t xml:space="preserve">Figure </w:t>
                            </w:r>
                            <w:r w:rsidR="009C1B85">
                              <w:t>8</w:t>
                            </w:r>
                            <w:r>
                              <w:t xml:space="preserve"> (connecting rod Goodman diagrams and FSF)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5BE515" id="_x0000_s1033" type="#_x0000_t202" style="position:absolute;left:0;text-align:left;margin-left:203.05pt;margin-top:5.15pt;width:254.25pt;height:21.65pt;z-index:251682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">
                <v:textbox>
                  <w:txbxContent>
                    <w:p w14:paraId="5B916DBF" w14:textId="1E858DF9" w:rsidR="00362F44" w:rsidRDefault="00362F44" w:rsidP="009D1D3B">
                      <w:r>
                        <w:t xml:space="preserve">Figure </w:t>
                      </w:r>
                      <w:r w:rsidR="009C1B85">
                        <w:t>8</w:t>
                      </w:r>
                      <w:r>
                        <w:t xml:space="preserve"> (connecting rod Goodman diagrams and FSF)</w:t>
                      </w:r>
                    </w:p>
                  </w:txbxContent>
                </v:textbox>
                <w10:wrap type="square" anchorx="margin"/>
              </v:shape>
            </w:pict>
          </mc:Fallback>
        </mc:AlternateContent>
      </w:r>
      <w:r w:rsidR="0077786D" w:rsidRPr="009D1D3B">
        <w:rPr>
          <w:color w:val="auto"/>
          <w:u w:val="single"/>
        </w:rPr>
        <w:t>Connecting Rod</w:t>
      </w:r>
      <w:bookmarkEnd w:id="4"/>
    </w:p>
    <w:p w14:paraId="0B044889" w14:textId="2D661B9E" w:rsidR="00362F44" w:rsidRDefault="00A6492F" w:rsidP="009D1D3B">
      <w:r>
        <w:rPr>
          <w:noProof/>
        </w:rPr>
        <w:drawing>
          <wp:anchor distT="0" distB="0" distL="114300" distR="114300" simplePos="0" relativeHeight="251680768" behindDoc="1" locked="0" layoutInCell="1" allowOverlap="1" wp14:anchorId="68FF51DF" wp14:editId="70527D71">
            <wp:simplePos x="0" y="0"/>
            <wp:positionH relativeFrom="column">
              <wp:posOffset>2430927</wp:posOffset>
            </wp:positionH>
            <wp:positionV relativeFrom="paragraph">
              <wp:posOffset>185860</wp:posOffset>
            </wp:positionV>
            <wp:extent cx="3380740" cy="1201420"/>
            <wp:effectExtent l="0" t="0" r="0" b="0"/>
            <wp:wrapTight wrapText="bothSides">
              <wp:wrapPolygon edited="0">
                <wp:start x="0" y="0"/>
                <wp:lineTo x="0" y="21235"/>
                <wp:lineTo x="11076" y="21235"/>
                <wp:lineTo x="21421" y="21235"/>
                <wp:lineTo x="21421" y="0"/>
                <wp:lineTo x="0" y="0"/>
              </wp:wrapPolygon>
            </wp:wrapTight>
            <wp:docPr id="1140404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80740" cy="1201420"/>
                    </a:xfrm>
                    <a:prstGeom prst="rect">
                      <a:avLst/>
                    </a:prstGeom>
                    <a:noFill/>
                  </pic:spPr>
                </pic:pic>
              </a:graphicData>
            </a:graphic>
            <wp14:sizeRelH relativeFrom="page">
              <wp14:pctWidth>0</wp14:pctWidth>
            </wp14:sizeRelH>
            <wp14:sizeRelV relativeFrom="page">
              <wp14:pctHeight>0</wp14:pctHeight>
            </wp14:sizeRelV>
          </wp:anchor>
        </w:drawing>
      </w:r>
      <w:r w:rsidR="00362F44" w:rsidRPr="00362F44">
        <w:t xml:space="preserve">Figure </w:t>
      </w:r>
      <w:r w:rsidR="009C1B85">
        <w:t>8</w:t>
      </w:r>
      <w:r w:rsidR="00362F44" w:rsidRPr="00362F44">
        <w:t xml:space="preserve"> illustrates the FSF values derived from the Goodman diagrams for the connecting rod at both 6000 and 9000 RPM, providing insight into its fatigue performance under different loading conditions.</w:t>
      </w:r>
      <w:r w:rsidR="00362F44">
        <w:t xml:space="preserve"> The connecting rod experiences fluctuating tensile and compressive loads during engine operation. At 6000 RPM, the FSF is 4.1495, indicating a significant margin of safety. At 9000 RPM, the FSF decreases to 3.9373 due to increased cyclic loading, elevating mean and alternating stresses. The Goodman diagrams confirm that despite the FSF reduction, the connecting rod remains within safe operational limits at both speeds.</w:t>
      </w:r>
    </w:p>
    <w:p w14:paraId="3E5F6412" w14:textId="714324F1" w:rsidR="00362F44" w:rsidRDefault="00362F44" w:rsidP="009D1D3B">
      <w:r>
        <w:t>The Goodman diagram shows a shift in the operating point towards higher mean stress values with increasing speed. This shift is expected, as higher RPMs increase the load cycles, leading to greater stress magnitudes. However, the FSF values indicate that the connecting rod maintains a sufficient safety margin against fatigue failure. The application of shot peening introduces a compressive residual stress of 71 MPa, which improves fatigue resistance by delaying crack initiation and propagation. This treatment helps counteract the detrimental effects of increased cyclic loading by enhancing the surface layer's residual stress distribution.</w:t>
      </w:r>
    </w:p>
    <w:p w14:paraId="06B4D26C" w14:textId="5FC09ABB" w:rsidR="007C7F32" w:rsidRPr="007C7F32" w:rsidRDefault="00362F44" w:rsidP="009D1D3B">
      <w:r>
        <w:t>Despite the benefits of shot peening, the decreasing FSF trend suggests that further improvements might be necessary to ensure long-term durability at higher RPMs. Additional considerations such as material selection, heat treatment processes, and optimized geometry could contribute to maintaining a higher FSF. Ensuring uniform stress distribution through precision machining and reducing stress concentrations around fillets and transitions would further improve fatigue resistance.</w:t>
      </w:r>
    </w:p>
    <w:p w14:paraId="65CD82DE" w14:textId="399D71BD" w:rsidR="0077786D" w:rsidRPr="009D1D3B" w:rsidRDefault="00A6492F" w:rsidP="009D1D3B">
      <w:pPr>
        <w:pStyle w:val="Heading2"/>
        <w:numPr>
          <w:ilvl w:val="1"/>
          <w:numId w:val="1"/>
        </w:numPr>
        <w:rPr>
          <w:color w:val="auto"/>
          <w:u w:val="single"/>
        </w:rPr>
      </w:pPr>
      <w:bookmarkStart w:id="5" w:name="_Toc193023113"/>
      <w:r w:rsidRPr="009D1D3B">
        <w:rPr>
          <w:noProof/>
          <w:color w:val="auto"/>
          <w:u w:val="single"/>
        </w:rPr>
        <w:lastRenderedPageBreak/>
        <mc:AlternateContent>
          <mc:Choice Requires="wps">
            <w:drawing>
              <wp:anchor distT="45720" distB="45720" distL="114300" distR="114300" simplePos="0" relativeHeight="251684864" behindDoc="0" locked="0" layoutInCell="1" allowOverlap="1" wp14:anchorId="7B1A228F" wp14:editId="01DA60C0">
                <wp:simplePos x="0" y="0"/>
                <wp:positionH relativeFrom="margin">
                  <wp:align>right</wp:align>
                </wp:positionH>
                <wp:positionV relativeFrom="paragraph">
                  <wp:posOffset>152498</wp:posOffset>
                </wp:positionV>
                <wp:extent cx="3082925" cy="274955"/>
                <wp:effectExtent l="0" t="0" r="22225" b="10795"/>
                <wp:wrapSquare wrapText="bothSides"/>
                <wp:docPr id="65008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2925" cy="274955"/>
                        </a:xfrm>
                        <a:prstGeom prst="rect">
                          <a:avLst/>
                        </a:prstGeom>
                        <a:solidFill>
                          <a:srgbClr val="FFFFFF"/>
                        </a:solidFill>
                        <a:ln w="9525">
                          <a:solidFill>
                            <a:srgbClr val="000000"/>
                          </a:solidFill>
                          <a:miter lim="800000"/>
                          <a:headEnd/>
                          <a:tailEnd/>
                        </a:ln>
                      </wps:spPr>
                      <wps:txbx>
                        <w:txbxContent>
                          <w:p w14:paraId="2EEE5FD2" w14:textId="29EC0A9C" w:rsidR="00A6492F" w:rsidRDefault="00A6492F" w:rsidP="009D1D3B">
                            <w:r>
                              <w:t xml:space="preserve">Figure </w:t>
                            </w:r>
                            <w:r w:rsidR="009C1B85">
                              <w:t>9</w:t>
                            </w:r>
                            <w:r>
                              <w:t xml:space="preserve"> (gudgeon pin Goodman diagrams and FSF)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1A228F" id="_x0000_s1034" type="#_x0000_t202" style="position:absolute;left:0;text-align:left;margin-left:191.55pt;margin-top:12pt;width:242.75pt;height:21.65pt;z-index:2516848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">
                <v:textbox>
                  <w:txbxContent>
                    <w:p w14:paraId="2EEE5FD2" w14:textId="29EC0A9C" w:rsidR="00A6492F" w:rsidRDefault="00A6492F" w:rsidP="009D1D3B">
                      <w:r>
                        <w:t xml:space="preserve">Figure </w:t>
                      </w:r>
                      <w:r w:rsidR="009C1B85">
                        <w:t>9</w:t>
                      </w:r>
                      <w:r>
                        <w:t xml:space="preserve"> (gudgeon pin Goodman diagrams and FSF)</w:t>
                      </w:r>
                    </w:p>
                  </w:txbxContent>
                </v:textbox>
                <w10:wrap type="square" anchorx="margin"/>
              </v:shape>
            </w:pict>
          </mc:Fallback>
        </mc:AlternateContent>
      </w:r>
      <w:r w:rsidR="0077786D" w:rsidRPr="009D1D3B">
        <w:rPr>
          <w:color w:val="auto"/>
          <w:u w:val="single"/>
        </w:rPr>
        <w:t>Gudgeon Pin</w:t>
      </w:r>
      <w:bookmarkEnd w:id="5"/>
      <w:r w:rsidR="0077786D" w:rsidRPr="009D1D3B">
        <w:rPr>
          <w:color w:val="auto"/>
          <w:u w:val="single"/>
        </w:rPr>
        <w:t xml:space="preserve"> </w:t>
      </w:r>
    </w:p>
    <w:p w14:paraId="356F9FBE" w14:textId="0B7FE1E0" w:rsidR="00C91A0D" w:rsidRDefault="00A6492F" w:rsidP="009D1D3B">
      <w:r>
        <w:rPr>
          <w:noProof/>
        </w:rPr>
        <w:drawing>
          <wp:anchor distT="0" distB="0" distL="114300" distR="114300" simplePos="0" relativeHeight="251685888" behindDoc="1" locked="0" layoutInCell="1" allowOverlap="1" wp14:anchorId="48F6F112" wp14:editId="06A7D993">
            <wp:simplePos x="0" y="0"/>
            <wp:positionH relativeFrom="margin">
              <wp:align>right</wp:align>
            </wp:positionH>
            <wp:positionV relativeFrom="paragraph">
              <wp:posOffset>228697</wp:posOffset>
            </wp:positionV>
            <wp:extent cx="3399155" cy="1204595"/>
            <wp:effectExtent l="0" t="0" r="0" b="0"/>
            <wp:wrapTight wrapText="bothSides">
              <wp:wrapPolygon edited="0">
                <wp:start x="0" y="0"/>
                <wp:lineTo x="0" y="21179"/>
                <wp:lineTo x="21426" y="21179"/>
                <wp:lineTo x="21426" y="0"/>
                <wp:lineTo x="0" y="0"/>
              </wp:wrapPolygon>
            </wp:wrapTight>
            <wp:docPr id="12392749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99155" cy="1204595"/>
                    </a:xfrm>
                    <a:prstGeom prst="rect">
                      <a:avLst/>
                    </a:prstGeom>
                    <a:noFill/>
                  </pic:spPr>
                </pic:pic>
              </a:graphicData>
            </a:graphic>
            <wp14:sizeRelH relativeFrom="page">
              <wp14:pctWidth>0</wp14:pctWidth>
            </wp14:sizeRelH>
            <wp14:sizeRelV relativeFrom="page">
              <wp14:pctHeight>0</wp14:pctHeight>
            </wp14:sizeRelV>
          </wp:anchor>
        </w:drawing>
      </w:r>
      <w:r w:rsidRPr="00A6492F">
        <w:t xml:space="preserve">Figure </w:t>
      </w:r>
      <w:r w:rsidR="009C1B85">
        <w:t>9</w:t>
      </w:r>
      <w:r w:rsidRPr="00A6492F">
        <w:t xml:space="preserve"> shows the Goodman diagram for the gudgeon pin</w:t>
      </w:r>
      <w:r>
        <w:t xml:space="preserve"> including the FSF</w:t>
      </w:r>
      <w:r w:rsidRPr="00A6492F">
        <w:t>.</w:t>
      </w:r>
      <w:r>
        <w:t xml:space="preserve"> </w:t>
      </w:r>
      <w:r w:rsidR="00C91A0D">
        <w:t>The gudgeon pin connects the piston to the connecting rod and is subjected to shear and bending stresses. At 6000 RPM, the FSF is 5.502, indicating strong fatigue resistance. At 9000 RPM, the FSF slightly reduces to 5.2153, which is consistent with increased cyclic loading but remains within safe operational limits.</w:t>
      </w:r>
    </w:p>
    <w:p w14:paraId="2F46C063" w14:textId="3A0472E4" w:rsidR="00362F44" w:rsidRPr="00362F44" w:rsidRDefault="00C91A0D" w:rsidP="009D1D3B">
      <w:r>
        <w:t>The Goodman diagram illustrates a minor shift in stress distribution with increased RPM. The small FSF reduction suggests that the gudgeon pin is less sensitive to speed-induced stress variations compared to the connecting rod. This stability is attributed to its material properties and nitriding treatment, which introduces a compressive residual stress of 100 MPa. Nitriding enhances fatigue resistance by improving surface hardness and reducing crack initiation risk. This surface modification significantly extends component life, particularly in applications involving high-frequency cyclic loading.</w:t>
      </w:r>
    </w:p>
    <w:p w14:paraId="7346802A" w14:textId="411AE315" w:rsidR="0077786D" w:rsidRPr="009D1D3B" w:rsidRDefault="00A6492F" w:rsidP="009D1D3B">
      <w:pPr>
        <w:pStyle w:val="Heading2"/>
        <w:numPr>
          <w:ilvl w:val="1"/>
          <w:numId w:val="1"/>
        </w:numPr>
        <w:rPr>
          <w:color w:val="auto"/>
          <w:u w:val="single"/>
        </w:rPr>
      </w:pPr>
      <w:bookmarkStart w:id="6" w:name="_Toc193023114"/>
      <w:r w:rsidRPr="009D1D3B">
        <w:rPr>
          <w:noProof/>
          <w:color w:val="auto"/>
          <w:u w:val="single"/>
        </w:rPr>
        <mc:AlternateContent>
          <mc:Choice Requires="wps">
            <w:drawing>
              <wp:anchor distT="45720" distB="45720" distL="114300" distR="114300" simplePos="0" relativeHeight="251687936" behindDoc="0" locked="0" layoutInCell="1" allowOverlap="1" wp14:anchorId="5288EA42" wp14:editId="3F868681">
                <wp:simplePos x="0" y="0"/>
                <wp:positionH relativeFrom="margin">
                  <wp:align>right</wp:align>
                </wp:positionH>
                <wp:positionV relativeFrom="paragraph">
                  <wp:posOffset>132568</wp:posOffset>
                </wp:positionV>
                <wp:extent cx="3481705" cy="274955"/>
                <wp:effectExtent l="0" t="0" r="23495" b="10795"/>
                <wp:wrapSquare wrapText="bothSides"/>
                <wp:docPr id="975551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1705" cy="274955"/>
                        </a:xfrm>
                        <a:prstGeom prst="rect">
                          <a:avLst/>
                        </a:prstGeom>
                        <a:solidFill>
                          <a:srgbClr val="FFFFFF"/>
                        </a:solidFill>
                        <a:ln w="9525">
                          <a:solidFill>
                            <a:srgbClr val="000000"/>
                          </a:solidFill>
                          <a:miter lim="800000"/>
                          <a:headEnd/>
                          <a:tailEnd/>
                        </a:ln>
                      </wps:spPr>
                      <wps:txbx>
                        <w:txbxContent>
                          <w:p w14:paraId="21025583" w14:textId="14C2990E" w:rsidR="00A6492F" w:rsidRDefault="00A6492F" w:rsidP="009D1D3B">
                            <w:r>
                              <w:t xml:space="preserve">Figure </w:t>
                            </w:r>
                            <w:r w:rsidR="009C1B85">
                              <w:t>10</w:t>
                            </w:r>
                            <w:r>
                              <w:t xml:space="preserve"> (connecting rod bolt Goodman diagrams and FSF)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88EA42" id="_x0000_s1035" type="#_x0000_t202" style="position:absolute;left:0;text-align:left;margin-left:222.95pt;margin-top:10.45pt;width:274.15pt;height:21.65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">
                <v:textbox>
                  <w:txbxContent>
                    <w:p w14:paraId="21025583" w14:textId="14C2990E" w:rsidR="00A6492F" w:rsidRDefault="00A6492F" w:rsidP="009D1D3B">
                      <w:r>
                        <w:t xml:space="preserve">Figure </w:t>
                      </w:r>
                      <w:r w:rsidR="009C1B85">
                        <w:t>10</w:t>
                      </w:r>
                      <w:r>
                        <w:t xml:space="preserve"> (connecting rod bolt Goodman diagrams and FSF)</w:t>
                      </w:r>
                    </w:p>
                  </w:txbxContent>
                </v:textbox>
                <w10:wrap type="square" anchorx="margin"/>
              </v:shape>
            </w:pict>
          </mc:Fallback>
        </mc:AlternateContent>
      </w:r>
      <w:r w:rsidR="0077786D" w:rsidRPr="009D1D3B">
        <w:rPr>
          <w:color w:val="auto"/>
          <w:u w:val="single"/>
        </w:rPr>
        <w:t>Connecting Rod Bolts</w:t>
      </w:r>
      <w:bookmarkEnd w:id="6"/>
    </w:p>
    <w:p w14:paraId="341B0ADB" w14:textId="71D0CD37" w:rsidR="00C91A0D" w:rsidRDefault="00A6492F" w:rsidP="009D1D3B">
      <w:r>
        <w:rPr>
          <w:noProof/>
        </w:rPr>
        <w:drawing>
          <wp:anchor distT="0" distB="0" distL="114300" distR="114300" simplePos="0" relativeHeight="251688960" behindDoc="0" locked="0" layoutInCell="1" allowOverlap="1" wp14:anchorId="6FE8F47D" wp14:editId="5D043D13">
            <wp:simplePos x="0" y="0"/>
            <wp:positionH relativeFrom="margin">
              <wp:align>right</wp:align>
            </wp:positionH>
            <wp:positionV relativeFrom="paragraph">
              <wp:posOffset>256931</wp:posOffset>
            </wp:positionV>
            <wp:extent cx="3610610" cy="1339215"/>
            <wp:effectExtent l="0" t="0" r="8890" b="0"/>
            <wp:wrapSquare wrapText="bothSides"/>
            <wp:docPr id="5481876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10610" cy="1339215"/>
                    </a:xfrm>
                    <a:prstGeom prst="rect">
                      <a:avLst/>
                    </a:prstGeom>
                    <a:noFill/>
                  </pic:spPr>
                </pic:pic>
              </a:graphicData>
            </a:graphic>
            <wp14:sizeRelH relativeFrom="page">
              <wp14:pctWidth>0</wp14:pctWidth>
            </wp14:sizeRelH>
            <wp14:sizeRelV relativeFrom="page">
              <wp14:pctHeight>0</wp14:pctHeight>
            </wp14:sizeRelV>
          </wp:anchor>
        </w:drawing>
      </w:r>
      <w:r w:rsidRPr="00A6492F">
        <w:t xml:space="preserve">Figure </w:t>
      </w:r>
      <w:r w:rsidR="009C1B85">
        <w:t>10</w:t>
      </w:r>
      <w:r w:rsidRPr="00A6492F">
        <w:t xml:space="preserve"> shows the Goodman diagram for the connecting rod bolts</w:t>
      </w:r>
      <w:r>
        <w:t>, as well as the FSF for a bolt</w:t>
      </w:r>
      <w:r w:rsidRPr="00A6492F">
        <w:t>.</w:t>
      </w:r>
      <w:r>
        <w:t xml:space="preserve"> </w:t>
      </w:r>
      <w:r w:rsidR="00C91A0D">
        <w:t>The connecting rod bolts are subjected to significant cyclic loads and must be analysed with stress concentration factors (Kt FSF). At 6000 RPM, the FSF without considering stress concentration is 8.7199, but when stress concentrations are included, the Kt FSF drops to 1.9425. At 9000 RPM, the FSF decreases to 3.8068, with the Kt FSF further reducing to 0.848, indicating a high risk of fatigue failure at elevated speeds.</w:t>
      </w:r>
    </w:p>
    <w:p w14:paraId="0C7C49CE" w14:textId="77777777" w:rsidR="00C91A0D" w:rsidRDefault="00C91A0D" w:rsidP="009D1D3B">
      <w:r>
        <w:t>The Goodman diagram reveals that at 9000 RPM, the bolt operates close to the failure limit, emphasizing the impact of stress concentrations. Unlike the connecting rod and gudgeon pin, which maintain adequate FSF values, the connecting rod bolts show significant vulnerability. The drastic reduction in Kt FSF highlights the need for design modifications to mitigate stress risers and enhance fatigue resistance.</w:t>
      </w:r>
    </w:p>
    <w:p w14:paraId="172819F0" w14:textId="77777777" w:rsidR="00C91A0D" w:rsidRDefault="00C91A0D" w:rsidP="009D1D3B">
      <w:r>
        <w:t>To address this issue, potential solutions include using higher-strength materials, optimizing bolt geometry, or applying surface treatments to reduce stress concentrations. Increasing the fillet radius and implementing undercut reliefs can help distribute stresses more evenly. Additionally, maintaining optimal bolt preload and considering alternative fastening techniques, such as interference fits or thread locking solutions, could improve fatigue reliability.</w:t>
      </w:r>
    </w:p>
    <w:p w14:paraId="0849DE79" w14:textId="7877C534" w:rsidR="00C91A0D" w:rsidRPr="00C91A0D" w:rsidRDefault="00C91A0D" w:rsidP="009D1D3B">
      <w:r>
        <w:t>Another approach to improving fatigue performance involves the use of cold rolling or shot peening on the bolt threads to introduce beneficial compressive residual stresses. These treatments counteract tensile stress concentrations, effectively increasing the fatigue strength of the bolt. Given that the Kt FSF at 9000 RPM falls below 1.0, immediate redesign considerations are necessary to prevent premature failure in high-performance applications.</w:t>
      </w:r>
    </w:p>
    <w:p w14:paraId="138E9C4D" w14:textId="76F4CAC6" w:rsidR="00D56E24" w:rsidRPr="009D1D3B" w:rsidRDefault="0077786D" w:rsidP="009D1D3B">
      <w:pPr>
        <w:pStyle w:val="Heading1"/>
        <w:numPr>
          <w:ilvl w:val="0"/>
          <w:numId w:val="1"/>
        </w:numPr>
        <w:rPr>
          <w:color w:val="auto"/>
          <w:u w:val="single"/>
        </w:rPr>
      </w:pPr>
      <w:bookmarkStart w:id="7" w:name="_Toc193023115"/>
      <w:r w:rsidRPr="009D1D3B">
        <w:rPr>
          <w:color w:val="auto"/>
          <w:u w:val="single"/>
        </w:rPr>
        <w:lastRenderedPageBreak/>
        <w:t>Effect of Crankshaft Design</w:t>
      </w:r>
      <w:bookmarkEnd w:id="7"/>
      <w:r w:rsidRPr="009D1D3B">
        <w:rPr>
          <w:color w:val="auto"/>
          <w:u w:val="single"/>
        </w:rPr>
        <w:t xml:space="preserve"> </w:t>
      </w:r>
    </w:p>
    <w:p w14:paraId="49274C46" w14:textId="2D9E7BBA" w:rsidR="00306700" w:rsidRPr="001B0DFC" w:rsidRDefault="008C1D34" w:rsidP="009D1D3B">
      <w:pPr>
        <w:pStyle w:val="NormalWeb"/>
      </w:pPr>
      <w:r w:rsidRPr="009D1D3B">
        <w:rPr>
          <w:rFonts w:asciiTheme="minorHAnsi" w:hAnsiTheme="minorHAnsi" w:cstheme="minorHAnsi"/>
          <w:noProof/>
          <w:sz w:val="22"/>
          <w:szCs w:val="22"/>
        </w:rPr>
        <w:drawing>
          <wp:anchor distT="0" distB="0" distL="114300" distR="114300" simplePos="0" relativeHeight="251693056" behindDoc="0" locked="0" layoutInCell="1" allowOverlap="1" wp14:anchorId="1DCD8963" wp14:editId="26C0524D">
            <wp:simplePos x="0" y="0"/>
            <wp:positionH relativeFrom="margin">
              <wp:align>right</wp:align>
            </wp:positionH>
            <wp:positionV relativeFrom="paragraph">
              <wp:posOffset>456321</wp:posOffset>
            </wp:positionV>
            <wp:extent cx="2672080" cy="1019810"/>
            <wp:effectExtent l="0" t="0" r="0" b="8890"/>
            <wp:wrapSquare wrapText="bothSides"/>
            <wp:docPr id="14812861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72080" cy="1019810"/>
                    </a:xfrm>
                    <a:prstGeom prst="rect">
                      <a:avLst/>
                    </a:prstGeom>
                    <a:noFill/>
                  </pic:spPr>
                </pic:pic>
              </a:graphicData>
            </a:graphic>
            <wp14:sizeRelH relativeFrom="page">
              <wp14:pctWidth>0</wp14:pctWidth>
            </wp14:sizeRelH>
            <wp14:sizeRelV relativeFrom="page">
              <wp14:pctHeight>0</wp14:pctHeight>
            </wp14:sizeRelV>
          </wp:anchor>
        </w:drawing>
      </w:r>
      <w:r w:rsidRPr="009D1D3B">
        <w:rPr>
          <w:rFonts w:asciiTheme="minorHAnsi" w:hAnsiTheme="minorHAnsi" w:cstheme="minorHAnsi"/>
          <w:noProof/>
          <w:sz w:val="22"/>
          <w:szCs w:val="22"/>
        </w:rPr>
        <mc:AlternateContent>
          <mc:Choice Requires="wps">
            <w:drawing>
              <wp:anchor distT="45720" distB="45720" distL="114300" distR="114300" simplePos="0" relativeHeight="251692032" behindDoc="0" locked="0" layoutInCell="1" allowOverlap="1" wp14:anchorId="54C4F2B2" wp14:editId="11E3D8DF">
                <wp:simplePos x="0" y="0"/>
                <wp:positionH relativeFrom="margin">
                  <wp:align>right</wp:align>
                </wp:positionH>
                <wp:positionV relativeFrom="paragraph">
                  <wp:posOffset>140238</wp:posOffset>
                </wp:positionV>
                <wp:extent cx="3493135" cy="274955"/>
                <wp:effectExtent l="0" t="0" r="12065" b="10795"/>
                <wp:wrapSquare wrapText="bothSides"/>
                <wp:docPr id="7298173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3135" cy="274955"/>
                        </a:xfrm>
                        <a:prstGeom prst="rect">
                          <a:avLst/>
                        </a:prstGeom>
                        <a:solidFill>
                          <a:srgbClr val="FFFFFF"/>
                        </a:solidFill>
                        <a:ln w="9525">
                          <a:solidFill>
                            <a:srgbClr val="000000"/>
                          </a:solidFill>
                          <a:miter lim="800000"/>
                          <a:headEnd/>
                          <a:tailEnd/>
                        </a:ln>
                      </wps:spPr>
                      <wps:txbx>
                        <w:txbxContent>
                          <w:p w14:paraId="35189614" w14:textId="40FF7DAF" w:rsidR="00A0023F" w:rsidRDefault="00A0023F" w:rsidP="009D1D3B">
                            <w:r>
                              <w:t>Figure 1</w:t>
                            </w:r>
                            <w:r w:rsidR="009C1B85">
                              <w:t>1</w:t>
                            </w:r>
                            <w:r>
                              <w:t xml:space="preserve"> (Crankshaft torque</w:t>
                            </w:r>
                            <w:r w:rsidR="008C1D34">
                              <w:t>s due to inertia and gas force</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C4F2B2" id="_x0000_s1036" type="#_x0000_t202" style="position:absolute;margin-left:223.85pt;margin-top:11.05pt;width:275.05pt;height:21.65pt;z-index:2516920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">
                <v:textbox>
                  <w:txbxContent>
                    <w:p w14:paraId="35189614" w14:textId="40FF7DAF" w:rsidR="00A0023F" w:rsidRDefault="00A0023F" w:rsidP="009D1D3B">
                      <w:r>
                        <w:t>Figure 1</w:t>
                      </w:r>
                      <w:r w:rsidR="009C1B85">
                        <w:t>1</w:t>
                      </w:r>
                      <w:r>
                        <w:t xml:space="preserve"> (Crankshaft torque</w:t>
                      </w:r>
                      <w:r w:rsidR="008C1D34">
                        <w:t>s due to inertia and gas force</w:t>
                      </w:r>
                      <w:r>
                        <w:t>)</w:t>
                      </w:r>
                    </w:p>
                  </w:txbxContent>
                </v:textbox>
                <w10:wrap type="square" anchorx="margin"/>
              </v:shape>
            </w:pict>
          </mc:Fallback>
        </mc:AlternateContent>
      </w:r>
      <w:r w:rsidR="00306700" w:rsidRPr="009D1D3B">
        <w:rPr>
          <w:rFonts w:asciiTheme="minorHAnsi" w:hAnsiTheme="minorHAnsi" w:cstheme="minorHAnsi"/>
          <w:sz w:val="22"/>
          <w:szCs w:val="22"/>
        </w:rPr>
        <w:t xml:space="preserve">The three crankshaft configurations </w:t>
      </w:r>
      <w:r w:rsidR="00A0023F" w:rsidRPr="009D1D3B">
        <w:rPr>
          <w:rFonts w:asciiTheme="minorHAnsi" w:hAnsiTheme="minorHAnsi" w:cstheme="minorHAnsi"/>
          <w:sz w:val="22"/>
          <w:szCs w:val="22"/>
        </w:rPr>
        <w:t>analysed</w:t>
      </w:r>
      <w:r w:rsidR="00306700" w:rsidRPr="009D1D3B">
        <w:rPr>
          <w:rFonts w:asciiTheme="minorHAnsi" w:hAnsiTheme="minorHAnsi" w:cstheme="minorHAnsi"/>
          <w:sz w:val="22"/>
          <w:szCs w:val="22"/>
        </w:rPr>
        <w:t xml:space="preserve"> </w:t>
      </w:r>
      <w:r w:rsidR="00A0023F" w:rsidRPr="009D1D3B">
        <w:rPr>
          <w:rFonts w:asciiTheme="minorHAnsi" w:hAnsiTheme="minorHAnsi" w:cstheme="minorHAnsi"/>
          <w:sz w:val="22"/>
          <w:szCs w:val="22"/>
        </w:rPr>
        <w:t xml:space="preserve">here: </w:t>
      </w:r>
      <w:r w:rsidR="00306700" w:rsidRPr="009D1D3B">
        <w:rPr>
          <w:rFonts w:asciiTheme="minorHAnsi" w:hAnsiTheme="minorHAnsi" w:cstheme="minorHAnsi"/>
          <w:sz w:val="22"/>
          <w:szCs w:val="22"/>
        </w:rPr>
        <w:t>flat-plane, cross-plane, and flat-plane big bang</w:t>
      </w:r>
      <w:r w:rsidR="00A0023F" w:rsidRPr="009D1D3B">
        <w:rPr>
          <w:rFonts w:asciiTheme="minorHAnsi" w:hAnsiTheme="minorHAnsi" w:cstheme="minorHAnsi"/>
          <w:sz w:val="22"/>
          <w:szCs w:val="22"/>
        </w:rPr>
        <w:t xml:space="preserve">, </w:t>
      </w:r>
      <w:r w:rsidR="00306700" w:rsidRPr="009D1D3B">
        <w:rPr>
          <w:rFonts w:asciiTheme="minorHAnsi" w:hAnsiTheme="minorHAnsi" w:cstheme="minorHAnsi"/>
          <w:sz w:val="22"/>
          <w:szCs w:val="22"/>
        </w:rPr>
        <w:t>each exhibit unique torque characteristics influenced by their</w:t>
      </w:r>
      <w:r w:rsidR="00A0023F" w:rsidRPr="009D1D3B">
        <w:rPr>
          <w:rFonts w:asciiTheme="minorHAnsi" w:hAnsiTheme="minorHAnsi" w:cstheme="minorHAnsi"/>
          <w:sz w:val="22"/>
          <w:szCs w:val="22"/>
        </w:rPr>
        <w:t xml:space="preserve"> configuration</w:t>
      </w:r>
      <w:r w:rsidR="00306700" w:rsidRPr="009D1D3B">
        <w:rPr>
          <w:rFonts w:asciiTheme="minorHAnsi" w:hAnsiTheme="minorHAnsi" w:cstheme="minorHAnsi"/>
          <w:sz w:val="22"/>
          <w:szCs w:val="22"/>
        </w:rPr>
        <w:t xml:space="preserve"> and firing order</w:t>
      </w:r>
      <w:r w:rsidR="00A0023F" w:rsidRPr="009D1D3B">
        <w:rPr>
          <w:rFonts w:asciiTheme="minorHAnsi" w:hAnsiTheme="minorHAnsi" w:cstheme="minorHAnsi"/>
          <w:sz w:val="22"/>
          <w:szCs w:val="22"/>
        </w:rPr>
        <w:t xml:space="preserve"> seen in figure 1</w:t>
      </w:r>
      <w:r w:rsidR="009C1B85">
        <w:rPr>
          <w:rFonts w:asciiTheme="minorHAnsi" w:hAnsiTheme="minorHAnsi" w:cstheme="minorHAnsi"/>
          <w:sz w:val="22"/>
          <w:szCs w:val="22"/>
        </w:rPr>
        <w:t>1</w:t>
      </w:r>
      <w:r w:rsidR="00306700" w:rsidRPr="009D1D3B">
        <w:rPr>
          <w:rFonts w:asciiTheme="minorHAnsi" w:hAnsiTheme="minorHAnsi" w:cstheme="minorHAnsi"/>
          <w:sz w:val="22"/>
          <w:szCs w:val="22"/>
        </w:rPr>
        <w:t>. These differences impact their suitability for various applications</w:t>
      </w:r>
      <w:r w:rsidR="00306700" w:rsidRPr="001B0DFC">
        <w:t>.</w:t>
      </w:r>
    </w:p>
    <w:p w14:paraId="28C4222B" w14:textId="6277B284" w:rsidR="00C66EB2" w:rsidRPr="00C66EB2" w:rsidRDefault="00306700" w:rsidP="00C66EB2">
      <w:pPr>
        <w:pStyle w:val="NormalWeb"/>
        <w:numPr>
          <w:ilvl w:val="1"/>
          <w:numId w:val="1"/>
        </w:numPr>
        <w:rPr>
          <w:rStyle w:val="Heading2Char"/>
          <w:rFonts w:ascii="Times New Roman" w:eastAsia="Times New Roman" w:hAnsi="Times New Roman" w:cs="Times New Roman"/>
          <w:color w:val="auto"/>
          <w:sz w:val="24"/>
          <w:szCs w:val="24"/>
          <w:u w:val="single"/>
        </w:rPr>
      </w:pPr>
      <w:bookmarkStart w:id="8" w:name="_Toc193023116"/>
      <w:r w:rsidRPr="001B0DFC">
        <w:rPr>
          <w:rStyle w:val="Heading2Char"/>
          <w:color w:val="auto"/>
          <w:u w:val="single"/>
        </w:rPr>
        <w:t>Flat-Plane Crankshaft (180 degrees, Firing Order: 1-3-2-4)</w:t>
      </w:r>
      <w:bookmarkEnd w:id="8"/>
    </w:p>
    <w:p w14:paraId="77A8D883" w14:textId="0F41EEBC" w:rsidR="00C66EB2" w:rsidRPr="00C66EB2" w:rsidRDefault="00C66EB2" w:rsidP="00C66EB2">
      <w:pPr>
        <w:rPr>
          <w:rStyle w:val="Heading2Char"/>
          <w:rFonts w:asciiTheme="minorHAnsi" w:eastAsiaTheme="minorHAnsi" w:hAnsiTheme="minorHAnsi" w:cstheme="minorHAnsi"/>
          <w:color w:val="auto"/>
          <w:sz w:val="22"/>
          <w:szCs w:val="22"/>
        </w:rPr>
      </w:pPr>
      <w:r w:rsidRPr="00C66EB2">
        <w:t>The flat-plane crankshaft, with a 180-degree crank angle separation, exhibits a high peak torque variation in both inertia and gas torque graphs. The sharp peaks and valleys indicate high vibration levels due to the minimal counterbalancing effect. The firing order (1-3-2-4) contributes to uneven firing intervals, resulting in irregular torque pulses. While this configuration is ideal for high-revving performance engines (such as those in sports cars) due to its lightweight and quick acceleration, it lacks smoothness and generates significant vibration</w:t>
      </w:r>
      <w:r w:rsidRPr="00C66EB2">
        <w:rPr>
          <w:rStyle w:val="Heading2Char"/>
          <w:rFonts w:asciiTheme="minorHAnsi" w:eastAsiaTheme="minorHAnsi" w:hAnsiTheme="minorHAnsi" w:cstheme="minorHAnsi"/>
          <w:color w:val="auto"/>
          <w:sz w:val="22"/>
          <w:szCs w:val="22"/>
        </w:rPr>
        <w:t>.</w:t>
      </w:r>
    </w:p>
    <w:p w14:paraId="405C47A7" w14:textId="77777777" w:rsidR="001B0DFC" w:rsidRPr="001B0DFC" w:rsidRDefault="00306700" w:rsidP="009D1D3B">
      <w:pPr>
        <w:pStyle w:val="NormalWeb"/>
        <w:numPr>
          <w:ilvl w:val="1"/>
          <w:numId w:val="1"/>
        </w:numPr>
        <w:rPr>
          <w:rStyle w:val="Heading2Char"/>
          <w:rFonts w:ascii="Times New Roman" w:eastAsia="Times New Roman" w:hAnsi="Times New Roman" w:cs="Times New Roman"/>
          <w:color w:val="auto"/>
          <w:sz w:val="24"/>
          <w:szCs w:val="24"/>
        </w:rPr>
      </w:pPr>
      <w:bookmarkStart w:id="9" w:name="_Toc193023117"/>
      <w:r w:rsidRPr="001B0DFC">
        <w:rPr>
          <w:rStyle w:val="Heading2Char"/>
          <w:color w:val="auto"/>
          <w:u w:val="single"/>
        </w:rPr>
        <w:t>Cross-Plane Crankshaft (90 degrees, Firing Order: 1-4-2-3)</w:t>
      </w:r>
      <w:bookmarkEnd w:id="9"/>
    </w:p>
    <w:p w14:paraId="5A72CDF4" w14:textId="623BA86B" w:rsidR="00A0023F" w:rsidRPr="00C66EB2" w:rsidRDefault="00306700" w:rsidP="009D1D3B">
      <w:pPr>
        <w:pStyle w:val="NormalWeb"/>
        <w:rPr>
          <w:rFonts w:asciiTheme="minorHAnsi" w:hAnsiTheme="minorHAnsi" w:cstheme="minorHAnsi"/>
          <w:sz w:val="22"/>
          <w:szCs w:val="22"/>
        </w:rPr>
      </w:pPr>
      <w:r w:rsidRPr="00C66EB2">
        <w:rPr>
          <w:rFonts w:asciiTheme="minorHAnsi" w:hAnsiTheme="minorHAnsi" w:cstheme="minorHAnsi"/>
          <w:sz w:val="22"/>
          <w:szCs w:val="22"/>
        </w:rPr>
        <w:t>The cross-plane crankshaft shows much smoother torque curves with reduced peak-to-peak variations, especially noticeable in the inertia torque graph. The 90-degree crank angle and the 1-4-2-3 firing order create a more balanced configuration, minimizing vibration and offering a more consistent torque delivery. This characteristic makes cross-plane crankshafts particularly suitable for road cars</w:t>
      </w:r>
      <w:r w:rsidR="001B0DFC" w:rsidRPr="00C66EB2">
        <w:rPr>
          <w:rFonts w:asciiTheme="minorHAnsi" w:hAnsiTheme="minorHAnsi" w:cstheme="minorHAnsi"/>
          <w:sz w:val="22"/>
          <w:szCs w:val="22"/>
        </w:rPr>
        <w:t xml:space="preserve"> and motorcycles</w:t>
      </w:r>
      <w:r w:rsidRPr="00C66EB2">
        <w:rPr>
          <w:rFonts w:asciiTheme="minorHAnsi" w:hAnsiTheme="minorHAnsi" w:cstheme="minorHAnsi"/>
          <w:sz w:val="22"/>
          <w:szCs w:val="22"/>
        </w:rPr>
        <w:t xml:space="preserve"> that prioritize smooth power delivery and ride comfort. However, the additional counterweights make the crankshaft heavier and limit its suitability for high-revving applications.</w:t>
      </w:r>
    </w:p>
    <w:p w14:paraId="159DBEB6" w14:textId="77777777" w:rsidR="001B0DFC" w:rsidRPr="001B0DFC" w:rsidRDefault="00306700" w:rsidP="009D1D3B">
      <w:pPr>
        <w:pStyle w:val="NormalWeb"/>
        <w:numPr>
          <w:ilvl w:val="1"/>
          <w:numId w:val="1"/>
        </w:numPr>
        <w:rPr>
          <w:rStyle w:val="Heading2Char"/>
          <w:rFonts w:ascii="Times New Roman" w:eastAsia="Times New Roman" w:hAnsi="Times New Roman" w:cs="Times New Roman"/>
          <w:color w:val="auto"/>
          <w:u w:val="single"/>
        </w:rPr>
      </w:pPr>
      <w:bookmarkStart w:id="10" w:name="_Toc193023118"/>
      <w:r w:rsidRPr="001B0DFC">
        <w:rPr>
          <w:rStyle w:val="Heading2Char"/>
          <w:color w:val="auto"/>
          <w:u w:val="single"/>
        </w:rPr>
        <w:t>Flat-Plane Big Bang Crankshaft (360 degrees, Firing Order: 1,4-2,3)</w:t>
      </w:r>
      <w:bookmarkEnd w:id="10"/>
    </w:p>
    <w:p w14:paraId="5C08BCB8" w14:textId="1F1C23FF" w:rsidR="00306700" w:rsidRPr="00C66EB2" w:rsidRDefault="00306700" w:rsidP="009D1D3B">
      <w:pPr>
        <w:pStyle w:val="NormalWeb"/>
        <w:rPr>
          <w:rFonts w:asciiTheme="minorHAnsi" w:hAnsiTheme="minorHAnsi" w:cstheme="minorHAnsi"/>
          <w:sz w:val="22"/>
          <w:szCs w:val="22"/>
        </w:rPr>
      </w:pPr>
      <w:r w:rsidRPr="00C66EB2">
        <w:rPr>
          <w:rFonts w:asciiTheme="minorHAnsi" w:hAnsiTheme="minorHAnsi" w:cstheme="minorHAnsi"/>
          <w:sz w:val="22"/>
          <w:szCs w:val="22"/>
        </w:rPr>
        <w:t>This configuration, characterized by a 360-degree separation and simultaneous firing of paired cylinders (big bang), shows distinctive torque characteristics. The gas torque curve is particularly erratic, with sudden torque spikes, while the inertia torque demonstrates pronounced peaks. This uneven power pulse arrangement enhances traction by allowing tires to regain grip between torque surges, making it suitable for applications where traction control is crucial (e.g., in racing motorcycles). However, the increased vibration and irregular torque make it less suitable for smooth road applications.</w:t>
      </w:r>
    </w:p>
    <w:p w14:paraId="563CD48E" w14:textId="77777777" w:rsidR="00306700" w:rsidRPr="00C66EB2" w:rsidRDefault="00306700" w:rsidP="009D1D3B">
      <w:pPr>
        <w:pStyle w:val="NormalWeb"/>
        <w:rPr>
          <w:rFonts w:asciiTheme="minorHAnsi" w:hAnsiTheme="minorHAnsi" w:cstheme="minorHAnsi"/>
          <w:sz w:val="22"/>
          <w:szCs w:val="22"/>
        </w:rPr>
      </w:pPr>
      <w:r w:rsidRPr="00C66EB2">
        <w:rPr>
          <w:rFonts w:asciiTheme="minorHAnsi" w:hAnsiTheme="minorHAnsi" w:cstheme="minorHAnsi"/>
          <w:sz w:val="22"/>
          <w:szCs w:val="22"/>
        </w:rPr>
        <w:t>In conclusion, the choice of crankshaft configuration depends on the balance between performance, smoothness, and application demands. Flat-plane configurations are optimal for high-speed, performance-focused setups, while cross-plane designs suit smoother, everyday use. Flat-plane big bang setups are tailored for specialized traction-oriented applications, despite their irregular torque profiles.</w:t>
      </w:r>
    </w:p>
    <w:p w14:paraId="75A6C038" w14:textId="77777777" w:rsidR="00DD0FB7" w:rsidRPr="00DD0FB7" w:rsidRDefault="00DD0FB7" w:rsidP="009D1D3B"/>
    <w:p w14:paraId="2990F16A" w14:textId="3B37C57F" w:rsidR="00D56E24" w:rsidRPr="002F45F2" w:rsidRDefault="0077786D" w:rsidP="009D1D3B">
      <w:pPr>
        <w:pStyle w:val="Heading1"/>
        <w:numPr>
          <w:ilvl w:val="0"/>
          <w:numId w:val="1"/>
        </w:numPr>
        <w:rPr>
          <w:color w:val="auto"/>
          <w:u w:val="single"/>
        </w:rPr>
      </w:pPr>
      <w:bookmarkStart w:id="11" w:name="_Toc193023119"/>
      <w:r w:rsidRPr="002F45F2">
        <w:rPr>
          <w:color w:val="auto"/>
          <w:u w:val="single"/>
        </w:rPr>
        <w:lastRenderedPageBreak/>
        <w:t>Connecting Rod Bolts Re-design</w:t>
      </w:r>
      <w:bookmarkEnd w:id="11"/>
      <w:r w:rsidR="00713475" w:rsidRPr="002F45F2">
        <w:rPr>
          <w:color w:val="auto"/>
          <w:u w:val="single"/>
        </w:rPr>
        <w:t xml:space="preserve"> </w:t>
      </w:r>
    </w:p>
    <w:p w14:paraId="55D0886F" w14:textId="21C03AB3" w:rsidR="00CE1F6C" w:rsidRDefault="00CE1F6C" w:rsidP="009D1D3B">
      <w:r w:rsidRPr="00CE1F6C">
        <w:t>The fatigue safety factor (FSF) and stress concentration fatigue safety factor (Kt</w:t>
      </w:r>
      <w:r>
        <w:t xml:space="preserve"> </w:t>
      </w:r>
      <w:r w:rsidRPr="00CE1F6C">
        <w:t>FSF) are critical parameters when assessing the durability and reliability of connecting rod bolts, especially under high-speed conditions such as 9000 RPM. The original connecting rod bolt considered here is a steel, non-surface-treated M8x0.75 with an ultimate tensile strength (UTS) of 1100 MPa. To improve performance, three modifications were applied: material change, combined material and geometry change, and a comprehensive material, geometry, and surface treatment change. This comparison evaluates the impact of each modification on the fatigue safety factor and stress concentration fatigue safety factor.</w:t>
      </w:r>
    </w:p>
    <w:p w14:paraId="0BE227B4" w14:textId="2C08F24D" w:rsidR="00CE1F6C" w:rsidRDefault="00F34794" w:rsidP="009D1D3B">
      <w:pPr>
        <w:pStyle w:val="Heading2"/>
      </w:pPr>
      <w:bookmarkStart w:id="12" w:name="_Toc193023120"/>
      <w:r>
        <w:rPr>
          <w:noProof/>
        </w:rPr>
        <mc:AlternateContent>
          <mc:Choice Requires="wps">
            <w:drawing>
              <wp:anchor distT="45720" distB="45720" distL="114300" distR="114300" simplePos="0" relativeHeight="251695104" behindDoc="0" locked="0" layoutInCell="1" allowOverlap="1" wp14:anchorId="09AA1A1D" wp14:editId="6E444A10">
                <wp:simplePos x="0" y="0"/>
                <wp:positionH relativeFrom="margin">
                  <wp:align>right</wp:align>
                </wp:positionH>
                <wp:positionV relativeFrom="paragraph">
                  <wp:posOffset>85090</wp:posOffset>
                </wp:positionV>
                <wp:extent cx="2378710" cy="457200"/>
                <wp:effectExtent l="0" t="0" r="21590" b="19050"/>
                <wp:wrapSquare wrapText="bothSides"/>
                <wp:docPr id="20521184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8710" cy="457200"/>
                        </a:xfrm>
                        <a:prstGeom prst="rect">
                          <a:avLst/>
                        </a:prstGeom>
                        <a:solidFill>
                          <a:srgbClr val="FFFFFF"/>
                        </a:solidFill>
                        <a:ln w="9525">
                          <a:solidFill>
                            <a:srgbClr val="000000"/>
                          </a:solidFill>
                          <a:miter lim="800000"/>
                          <a:headEnd/>
                          <a:tailEnd/>
                        </a:ln>
                      </wps:spPr>
                      <wps:txbx>
                        <w:txbxContent>
                          <w:p w14:paraId="4A397A81" w14:textId="1ADABE7C" w:rsidR="00CE1F6C" w:rsidRDefault="00CE1F6C" w:rsidP="009D1D3B">
                            <w:r>
                              <w:t>Figure 1</w:t>
                            </w:r>
                            <w:r w:rsidR="009C1B85">
                              <w:t>2</w:t>
                            </w:r>
                            <w:r>
                              <w:t xml:space="preserve"> (connecting rod bolt Goodman diagrams and FSF</w:t>
                            </w:r>
                            <w:r w:rsidR="00F34794">
                              <w:t>,</w:t>
                            </w:r>
                            <w:r>
                              <w:t xml:space="preserve"> Titanium)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AA1A1D" id="_x0000_s1037" type="#_x0000_t202" style="position:absolute;margin-left:136.1pt;margin-top:6.7pt;width:187.3pt;height:36pt;z-index:2516951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">
                <v:textbox>
                  <w:txbxContent>
                    <w:p w14:paraId="4A397A81" w14:textId="1ADABE7C" w:rsidR="00CE1F6C" w:rsidRDefault="00CE1F6C" w:rsidP="009D1D3B">
                      <w:r>
                        <w:t>Figure 1</w:t>
                      </w:r>
                      <w:r w:rsidR="009C1B85">
                        <w:t>2</w:t>
                      </w:r>
                      <w:r>
                        <w:t xml:space="preserve"> (connecting rod bolt Goodman diagrams and FSF</w:t>
                      </w:r>
                      <w:r w:rsidR="00F34794">
                        <w:t>,</w:t>
                      </w:r>
                      <w:r>
                        <w:t xml:space="preserve"> Titanium)</w:t>
                      </w:r>
                    </w:p>
                  </w:txbxContent>
                </v:textbox>
                <w10:wrap type="square" anchorx="margin"/>
              </v:shape>
            </w:pict>
          </mc:Fallback>
        </mc:AlternateContent>
      </w:r>
      <w:r w:rsidR="00CE1F6C">
        <w:t xml:space="preserve">    </w:t>
      </w:r>
      <w:r w:rsidR="00CE1F6C" w:rsidRPr="002F45F2">
        <w:rPr>
          <w:color w:val="auto"/>
        </w:rPr>
        <w:t xml:space="preserve">5.1 </w:t>
      </w:r>
      <w:r w:rsidR="00CE1F6C" w:rsidRPr="002F45F2">
        <w:rPr>
          <w:color w:val="auto"/>
          <w:u w:val="single"/>
        </w:rPr>
        <w:t>Modification 1: Material Change to Titanium (Ti-6Al-2Sn-2Zr-2Mo)</w:t>
      </w:r>
      <w:bookmarkEnd w:id="12"/>
    </w:p>
    <w:p w14:paraId="22B6752E" w14:textId="71445010" w:rsidR="00CE1F6C" w:rsidRDefault="00CE1F6C" w:rsidP="009D1D3B">
      <w:r w:rsidRPr="00CE1F6C">
        <w:rPr>
          <w:rFonts w:ascii="Aptos" w:eastAsia="Aptos" w:hAnsi="Aptos" w:cs="Times New Roman"/>
          <w:noProof/>
        </w:rPr>
        <w:drawing>
          <wp:anchor distT="0" distB="0" distL="114300" distR="114300" simplePos="0" relativeHeight="251697152" behindDoc="0" locked="0" layoutInCell="1" allowOverlap="1" wp14:anchorId="17BB65D9" wp14:editId="271DBC3A">
            <wp:simplePos x="0" y="0"/>
            <wp:positionH relativeFrom="margin">
              <wp:align>right</wp:align>
            </wp:positionH>
            <wp:positionV relativeFrom="paragraph">
              <wp:posOffset>152400</wp:posOffset>
            </wp:positionV>
            <wp:extent cx="2194560" cy="1651000"/>
            <wp:effectExtent l="0" t="0" r="0" b="6350"/>
            <wp:wrapSquare wrapText="bothSides"/>
            <wp:docPr id="269955889" name="Picture 9" descr="A graph of a graph of st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955889" name="Picture 9" descr="A graph of a graph of stres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94560" cy="1651000"/>
                    </a:xfrm>
                    <a:prstGeom prst="rect">
                      <a:avLst/>
                    </a:prstGeom>
                    <a:noFill/>
                  </pic:spPr>
                </pic:pic>
              </a:graphicData>
            </a:graphic>
            <wp14:sizeRelH relativeFrom="page">
              <wp14:pctWidth>0</wp14:pctWidth>
            </wp14:sizeRelH>
            <wp14:sizeRelV relativeFrom="page">
              <wp14:pctHeight>0</wp14:pctHeight>
            </wp14:sizeRelV>
          </wp:anchor>
        </w:drawing>
      </w:r>
      <w:r w:rsidRPr="00044234">
        <w:t xml:space="preserve">The results of this modification are shown in Figure </w:t>
      </w:r>
      <w:r>
        <w:t>1</w:t>
      </w:r>
      <w:r w:rsidR="009C1B85">
        <w:t>2</w:t>
      </w:r>
      <w:r w:rsidRPr="00044234">
        <w:t>: Material Change to Titanium (Ti-6Al-2Sn-2Zr-2Mo)</w:t>
      </w:r>
      <w:r w:rsidR="00F34794">
        <w:t>.</w:t>
      </w:r>
      <w:r w:rsidRPr="00044234">
        <w:t xml:space="preserve"> The first modification involves changing the bolt material from steel to titanium alloy (Ti-6Al-2Sn-2Zr-2Mo), increasing the UTS to 1165 MPa. Despite the increase in tensile strength, the FSF changes marginally to 3.8137, while the Kt</w:t>
      </w:r>
      <w:r w:rsidRPr="002E1F23">
        <w:t xml:space="preserve"> </w:t>
      </w:r>
      <w:r w:rsidRPr="00044234">
        <w:t>FSF slightly improves to 0.8496. The minor enhancement in Kt</w:t>
      </w:r>
      <w:r w:rsidRPr="002E1F23">
        <w:t xml:space="preserve"> </w:t>
      </w:r>
      <w:r w:rsidRPr="00044234">
        <w:t>FSF is attributed to the material's improved strength, but since the geometry and surface treatment remain the same, stress concentration at the thread root is still a limiting factor. Titanium's superior fatigue resistance offers some advantage, but it does not drastically change the stress distribution characteristics inherent to the original design.</w:t>
      </w:r>
    </w:p>
    <w:p w14:paraId="3A43F8E0" w14:textId="7647FE79" w:rsidR="00CE1F6C" w:rsidRPr="009D1D3B" w:rsidRDefault="00F34794" w:rsidP="009D1D3B">
      <w:pPr>
        <w:pStyle w:val="Heading2"/>
        <w:rPr>
          <w:u w:val="single"/>
        </w:rPr>
      </w:pPr>
      <w:bookmarkStart w:id="13" w:name="_Toc193023121"/>
      <w:r>
        <w:rPr>
          <w:noProof/>
        </w:rPr>
        <mc:AlternateContent>
          <mc:Choice Requires="wps">
            <w:drawing>
              <wp:anchor distT="45720" distB="45720" distL="114300" distR="114300" simplePos="0" relativeHeight="251699200" behindDoc="0" locked="0" layoutInCell="1" allowOverlap="1" wp14:anchorId="1A86DD0D" wp14:editId="42FA6862">
                <wp:simplePos x="0" y="0"/>
                <wp:positionH relativeFrom="margin">
                  <wp:align>right</wp:align>
                </wp:positionH>
                <wp:positionV relativeFrom="paragraph">
                  <wp:posOffset>173990</wp:posOffset>
                </wp:positionV>
                <wp:extent cx="2501900" cy="457200"/>
                <wp:effectExtent l="0" t="0" r="12700" b="19050"/>
                <wp:wrapSquare wrapText="bothSides"/>
                <wp:docPr id="16709126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1900" cy="457200"/>
                        </a:xfrm>
                        <a:prstGeom prst="rect">
                          <a:avLst/>
                        </a:prstGeom>
                        <a:solidFill>
                          <a:srgbClr val="FFFFFF"/>
                        </a:solidFill>
                        <a:ln w="9525">
                          <a:solidFill>
                            <a:srgbClr val="000000"/>
                          </a:solidFill>
                          <a:miter lim="800000"/>
                          <a:headEnd/>
                          <a:tailEnd/>
                        </a:ln>
                      </wps:spPr>
                      <wps:txbx>
                        <w:txbxContent>
                          <w:p w14:paraId="678EF2FA" w14:textId="453D377B" w:rsidR="00F34794" w:rsidRDefault="00F34794" w:rsidP="009D1D3B">
                            <w:r>
                              <w:t>Figure 1</w:t>
                            </w:r>
                            <w:r w:rsidR="009C1B85">
                              <w:t>3</w:t>
                            </w:r>
                            <w:r>
                              <w:t xml:space="preserve"> (connecting rod bolt Goodman diagrams and FSF, Titanium M8x0.75)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86DD0D" id="_x0000_s1038" type="#_x0000_t202" style="position:absolute;margin-left:145.8pt;margin-top:13.7pt;width:197pt;height:36pt;z-index:2516992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">
                <v:textbox>
                  <w:txbxContent>
                    <w:p w14:paraId="678EF2FA" w14:textId="453D377B" w:rsidR="00F34794" w:rsidRDefault="00F34794" w:rsidP="009D1D3B">
                      <w:r>
                        <w:t>Figure 1</w:t>
                      </w:r>
                      <w:r w:rsidR="009C1B85">
                        <w:t>3</w:t>
                      </w:r>
                      <w:r>
                        <w:t xml:space="preserve"> (connecting rod bolt Goodman diagrams and FSF, Titanium M8x0.75)</w:t>
                      </w:r>
                    </w:p>
                  </w:txbxContent>
                </v:textbox>
                <w10:wrap type="square" anchorx="margin"/>
              </v:shape>
            </w:pict>
          </mc:Fallback>
        </mc:AlternateContent>
      </w:r>
      <w:r w:rsidR="00CE1F6C">
        <w:t xml:space="preserve">    </w:t>
      </w:r>
      <w:r w:rsidR="00CE1F6C" w:rsidRPr="009D1D3B">
        <w:rPr>
          <w:color w:val="auto"/>
        </w:rPr>
        <w:t xml:space="preserve">5.2 </w:t>
      </w:r>
      <w:r w:rsidR="00CE1F6C" w:rsidRPr="009D1D3B">
        <w:rPr>
          <w:color w:val="auto"/>
          <w:u w:val="single"/>
        </w:rPr>
        <w:t>Modification 2: Material and Geometry Change (Titanium M8x1)</w:t>
      </w:r>
      <w:bookmarkEnd w:id="13"/>
    </w:p>
    <w:p w14:paraId="4304D418" w14:textId="3157E32C" w:rsidR="00CE1F6C" w:rsidRDefault="00F34794" w:rsidP="009D1D3B">
      <w:r w:rsidRPr="00F34794">
        <w:rPr>
          <w:rFonts w:ascii="Aptos" w:eastAsia="Aptos" w:hAnsi="Aptos" w:cs="Times New Roman"/>
          <w:noProof/>
        </w:rPr>
        <w:drawing>
          <wp:anchor distT="0" distB="0" distL="114300" distR="114300" simplePos="0" relativeHeight="251701248" behindDoc="0" locked="0" layoutInCell="1" allowOverlap="1" wp14:anchorId="02AC9517" wp14:editId="2512B6B8">
            <wp:simplePos x="0" y="0"/>
            <wp:positionH relativeFrom="margin">
              <wp:posOffset>3672840</wp:posOffset>
            </wp:positionH>
            <wp:positionV relativeFrom="paragraph">
              <wp:posOffset>468629</wp:posOffset>
            </wp:positionV>
            <wp:extent cx="2061210" cy="1552319"/>
            <wp:effectExtent l="0" t="0" r="0" b="0"/>
            <wp:wrapSquare wrapText="bothSides"/>
            <wp:docPr id="977108542" name="Picture 10" descr="A graph of a graph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108542" name="Picture 10" descr="A graph of a graph of a person&#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63517" cy="1554056"/>
                    </a:xfrm>
                    <a:prstGeom prst="rect">
                      <a:avLst/>
                    </a:prstGeom>
                    <a:noFill/>
                  </pic:spPr>
                </pic:pic>
              </a:graphicData>
            </a:graphic>
            <wp14:sizeRelH relativeFrom="page">
              <wp14:pctWidth>0</wp14:pctWidth>
            </wp14:sizeRelH>
            <wp14:sizeRelV relativeFrom="page">
              <wp14:pctHeight>0</wp14:pctHeight>
            </wp14:sizeRelV>
          </wp:anchor>
        </w:drawing>
      </w:r>
      <w:r w:rsidRPr="00F34794">
        <w:t>The results of this modification are shown in Figure 1</w:t>
      </w:r>
      <w:r w:rsidR="009C1B85">
        <w:t>3</w:t>
      </w:r>
      <w:r w:rsidRPr="00F34794">
        <w:t>: Material and Geometry Change (Titanium M8x1). In the second modification, the bolt material remains titanium, but the geometry changes from M8x0.75 to M8x1. This increase in thread pitch reduces the stress concentration factor, resulting in an FSF of 3.8137 and a Kt FSF of 0.8866. Although the FSF remains similar to the previous titanium-only modification, the increase in Kt FSF indicates reduced stress concentration at the thread root. This change highlights the importance of optimizing geometry alongside material selection to achieve improved fatigue performance. The reduction in stress concentration significantly reduces the likelihood of crack initiation, making this configuration more reliable under cyclic loading.</w:t>
      </w:r>
    </w:p>
    <w:p w14:paraId="12028190" w14:textId="31C1F715" w:rsidR="00F34794" w:rsidRPr="00F34794" w:rsidRDefault="00F34794" w:rsidP="009D1D3B">
      <w:pPr>
        <w:pStyle w:val="Heading2"/>
      </w:pPr>
      <w:bookmarkStart w:id="14" w:name="_Toc193023122"/>
      <w:r>
        <w:rPr>
          <w:noProof/>
        </w:rPr>
        <w:lastRenderedPageBreak/>
        <mc:AlternateContent>
          <mc:Choice Requires="wps">
            <w:drawing>
              <wp:anchor distT="45720" distB="45720" distL="114300" distR="114300" simplePos="0" relativeHeight="251703296" behindDoc="0" locked="0" layoutInCell="1" allowOverlap="1" wp14:anchorId="54C9F200" wp14:editId="21EC84B8">
                <wp:simplePos x="0" y="0"/>
                <wp:positionH relativeFrom="margin">
                  <wp:posOffset>3159760</wp:posOffset>
                </wp:positionH>
                <wp:positionV relativeFrom="paragraph">
                  <wp:posOffset>305616</wp:posOffset>
                </wp:positionV>
                <wp:extent cx="2560320" cy="655320"/>
                <wp:effectExtent l="0" t="0" r="11430" b="11430"/>
                <wp:wrapSquare wrapText="bothSides"/>
                <wp:docPr id="17990504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320" cy="655320"/>
                        </a:xfrm>
                        <a:prstGeom prst="rect">
                          <a:avLst/>
                        </a:prstGeom>
                        <a:solidFill>
                          <a:srgbClr val="FFFFFF"/>
                        </a:solidFill>
                        <a:ln w="9525">
                          <a:solidFill>
                            <a:srgbClr val="000000"/>
                          </a:solidFill>
                          <a:miter lim="800000"/>
                          <a:headEnd/>
                          <a:tailEnd/>
                        </a:ln>
                      </wps:spPr>
                      <wps:txbx>
                        <w:txbxContent>
                          <w:p w14:paraId="7F2B3161" w14:textId="50952418" w:rsidR="00F34794" w:rsidRDefault="00F34794" w:rsidP="009D1D3B">
                            <w:r>
                              <w:t>Figure 1</w:t>
                            </w:r>
                            <w:r w:rsidR="009C1B85">
                              <w:t>4</w:t>
                            </w:r>
                            <w:r>
                              <w:t xml:space="preserve"> (connecting rod bolt Goodman diagrams and FSF, Titanium M8x0.75 with cryogenic and laser peening treatment)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C9F200" id="_x0000_s1039" type="#_x0000_t202" style="position:absolute;margin-left:248.8pt;margin-top:24.05pt;width:201.6pt;height:51.6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">
                <v:textbox>
                  <w:txbxContent>
                    <w:p w14:paraId="7F2B3161" w14:textId="50952418" w:rsidR="00F34794" w:rsidRDefault="00F34794" w:rsidP="009D1D3B">
                      <w:r>
                        <w:t>Figure 1</w:t>
                      </w:r>
                      <w:r w:rsidR="009C1B85">
                        <w:t>4</w:t>
                      </w:r>
                      <w:r>
                        <w:t xml:space="preserve"> (connecting rod bolt Goodman diagrams and FSF, Titanium M8x0.75 with cryogenic and laser peening treatment)</w:t>
                      </w:r>
                    </w:p>
                  </w:txbxContent>
                </v:textbox>
                <w10:wrap type="square" anchorx="margin"/>
              </v:shape>
            </w:pict>
          </mc:Fallback>
        </mc:AlternateContent>
      </w:r>
      <w:r>
        <w:t xml:space="preserve">    </w:t>
      </w:r>
      <w:r w:rsidRPr="009D1D3B">
        <w:rPr>
          <w:color w:val="auto"/>
        </w:rPr>
        <w:t xml:space="preserve">5.3 </w:t>
      </w:r>
      <w:r w:rsidRPr="009D1D3B">
        <w:rPr>
          <w:color w:val="auto"/>
          <w:u w:val="single"/>
        </w:rPr>
        <w:t>Modification 3: Material, Geometry, and Surface Treatment (Titanium M8x1 with CT and LPed)</w:t>
      </w:r>
      <w:bookmarkEnd w:id="14"/>
    </w:p>
    <w:p w14:paraId="3AACB0C3" w14:textId="1C591D46" w:rsidR="00CE1F6C" w:rsidRDefault="00F34794" w:rsidP="009D1D3B">
      <w:r w:rsidRPr="00F34794">
        <w:rPr>
          <w:rFonts w:ascii="Aptos" w:eastAsia="Aptos" w:hAnsi="Aptos" w:cs="Times New Roman"/>
          <w:noProof/>
        </w:rPr>
        <w:drawing>
          <wp:anchor distT="0" distB="0" distL="114300" distR="114300" simplePos="0" relativeHeight="251705344" behindDoc="0" locked="0" layoutInCell="1" allowOverlap="1" wp14:anchorId="6232D19D" wp14:editId="5B440F1A">
            <wp:simplePos x="0" y="0"/>
            <wp:positionH relativeFrom="margin">
              <wp:posOffset>3633198</wp:posOffset>
            </wp:positionH>
            <wp:positionV relativeFrom="paragraph">
              <wp:posOffset>541474</wp:posOffset>
            </wp:positionV>
            <wp:extent cx="2056130" cy="1545590"/>
            <wp:effectExtent l="0" t="0" r="1270" b="0"/>
            <wp:wrapSquare wrapText="bothSides"/>
            <wp:docPr id="1103160315" name="Picture 12" descr="A graph of a graph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160315" name="Picture 12" descr="A graph of a graph of a person&#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56130" cy="1545590"/>
                    </a:xfrm>
                    <a:prstGeom prst="rect">
                      <a:avLst/>
                    </a:prstGeom>
                    <a:noFill/>
                  </pic:spPr>
                </pic:pic>
              </a:graphicData>
            </a:graphic>
            <wp14:sizeRelH relativeFrom="page">
              <wp14:pctWidth>0</wp14:pctWidth>
            </wp14:sizeRelH>
            <wp14:sizeRelV relativeFrom="page">
              <wp14:pctHeight>0</wp14:pctHeight>
            </wp14:sizeRelV>
          </wp:anchor>
        </w:drawing>
      </w:r>
      <w:r w:rsidRPr="00F34794">
        <w:t>The results of this modification are shown in Figure 1</w:t>
      </w:r>
      <w:r w:rsidR="009C1B85">
        <w:t>4</w:t>
      </w:r>
      <w:r w:rsidRPr="00F34794">
        <w:t>: Material, Geometry, and Surface Treatment (Titanium M8x1 with CT and LPed). The final modification combines material and geometry changes with advanced surface treatments, including cryogenic treatment (CT) and laser peening (LPed), which induce a residual surface pressure of 628 MPa. This combination results in a significant improvement in fatigue resistance, with the FSF increasing to 8.4197 and the Kt FSF to 1.9573. The introduction of compressive residual stresses at the surface substantially mitigates the risk of crack initiation, enhancing the bolt's ability to withstand higher cyclic loads without fatigue failure. The synergy between increased tensile strength, optimized geometry, and surface residual stresses yields the most substantial improvement among the modifications evaluated.</w:t>
      </w:r>
    </w:p>
    <w:p w14:paraId="382142FA" w14:textId="2ADCE2C8" w:rsidR="0096457D" w:rsidRDefault="0096457D" w:rsidP="009D1D3B">
      <w:pPr>
        <w:pStyle w:val="Heading2"/>
      </w:pPr>
      <w:r>
        <w:t xml:space="preserve">    </w:t>
      </w:r>
      <w:bookmarkStart w:id="15" w:name="_Toc193023123"/>
      <w:r w:rsidRPr="009D1D3B">
        <w:rPr>
          <w:color w:val="auto"/>
        </w:rPr>
        <w:t xml:space="preserve">5.4 </w:t>
      </w:r>
      <w:r w:rsidR="00C66EB2">
        <w:rPr>
          <w:color w:val="auto"/>
          <w:u w:val="single"/>
        </w:rPr>
        <w:t>C</w:t>
      </w:r>
      <w:r w:rsidRPr="009D1D3B">
        <w:rPr>
          <w:color w:val="auto"/>
          <w:u w:val="single"/>
        </w:rPr>
        <w:t xml:space="preserve">omparative </w:t>
      </w:r>
      <w:r w:rsidR="00C66EB2">
        <w:rPr>
          <w:color w:val="auto"/>
          <w:u w:val="single"/>
        </w:rPr>
        <w:t>A</w:t>
      </w:r>
      <w:r w:rsidRPr="009D1D3B">
        <w:rPr>
          <w:color w:val="auto"/>
          <w:u w:val="single"/>
        </w:rPr>
        <w:t>nalysis</w:t>
      </w:r>
      <w:bookmarkEnd w:id="15"/>
      <w:r w:rsidRPr="009D1D3B">
        <w:rPr>
          <w:color w:val="auto"/>
        </w:rPr>
        <w:t xml:space="preserve"> </w:t>
      </w:r>
    </w:p>
    <w:p w14:paraId="56E755A2" w14:textId="77777777" w:rsidR="0096457D" w:rsidRDefault="0096457D" w:rsidP="009D1D3B">
      <w:r>
        <w:t>Comparing the results across all modifications reveals that while material changes alone provide limited improvements in Kt FSF, combining material and geometry changes enhances stress concentration resistance more effectively. However, the most significant leap in performance arises from incorporating surface treatments alongside material and geometric optimization. The combination of cryogenic treatment and laser peening with titanium and an optimized thread pitch not only increases the FSF substantially but also achieves a Kt FSF more than double that of the original steel configuration.</w:t>
      </w:r>
    </w:p>
    <w:p w14:paraId="49895E82" w14:textId="03CD0F42" w:rsidR="0096457D" w:rsidRPr="0096457D" w:rsidRDefault="0096457D" w:rsidP="009D1D3B">
      <w:r>
        <w:t>The analysis demonstrates that optimizing connecting rod bolts for high-speed applications requires a holistic approach that addresses material strength, geometry, and surface integrity. Among the configurations evaluated, the comprehensive modification involving titanium, increased thread pitch, and surface treatment offers the highest fatigue safety margin, making it the most robust option for demanding applications.</w:t>
      </w:r>
    </w:p>
    <w:p w14:paraId="16FAE663" w14:textId="5636E270" w:rsidR="00CE1F6C" w:rsidRDefault="00CE1F6C" w:rsidP="009D1D3B"/>
    <w:p w14:paraId="6C830D3C" w14:textId="2B85F9AF" w:rsidR="00CE1F6C" w:rsidRDefault="00CE1F6C" w:rsidP="009D1D3B"/>
    <w:p w14:paraId="5BFD0F97" w14:textId="7BF8EC2A" w:rsidR="00CE1F6C" w:rsidRDefault="00CE1F6C" w:rsidP="009D1D3B"/>
    <w:p w14:paraId="0D25105D" w14:textId="77777777" w:rsidR="009C1B85" w:rsidRDefault="009C1B85" w:rsidP="009D1D3B"/>
    <w:p w14:paraId="55DEFCAC" w14:textId="77777777" w:rsidR="009C1B85" w:rsidRDefault="009C1B85" w:rsidP="009D1D3B"/>
    <w:p w14:paraId="4465D94C" w14:textId="77777777" w:rsidR="009C1B85" w:rsidRDefault="009C1B85" w:rsidP="009D1D3B"/>
    <w:p w14:paraId="5976E851" w14:textId="77777777" w:rsidR="009C1B85" w:rsidRDefault="009C1B85" w:rsidP="009D1D3B"/>
    <w:p w14:paraId="7CFE33E6" w14:textId="2ADE98FD" w:rsidR="00CE1F6C" w:rsidRPr="00CE1F6C" w:rsidRDefault="00CE1F6C" w:rsidP="009D1D3B"/>
    <w:p w14:paraId="71408F5C" w14:textId="624B7598" w:rsidR="000675C3" w:rsidRPr="009D1D3B" w:rsidRDefault="000675C3" w:rsidP="009D1D3B">
      <w:pPr>
        <w:pStyle w:val="Heading1"/>
        <w:numPr>
          <w:ilvl w:val="0"/>
          <w:numId w:val="1"/>
        </w:numPr>
        <w:rPr>
          <w:color w:val="auto"/>
          <w:u w:val="single"/>
        </w:rPr>
      </w:pPr>
      <w:bookmarkStart w:id="16" w:name="_Toc193023124"/>
      <w:r w:rsidRPr="009D1D3B">
        <w:rPr>
          <w:color w:val="auto"/>
          <w:u w:val="single"/>
        </w:rPr>
        <w:lastRenderedPageBreak/>
        <w:t>Conclusion</w:t>
      </w:r>
      <w:bookmarkEnd w:id="16"/>
    </w:p>
    <w:p w14:paraId="7D04B5AC" w14:textId="77777777" w:rsidR="002F782D" w:rsidRPr="00465D4E" w:rsidRDefault="002F782D" w:rsidP="009D1D3B">
      <w:r w:rsidRPr="00465D4E">
        <w:t>The comparative analysis of stress concentration fatigue safety factors (Kt</w:t>
      </w:r>
      <w:r>
        <w:t xml:space="preserve"> </w:t>
      </w:r>
      <w:r w:rsidRPr="00465D4E">
        <w:t>FSF) for connecting rod bolts demonstrates the importance of a multifaceted approach to bolt optimization. Material changes alone, such as switching from steel to titanium, offer limited improvements in fatigue resistance. While increasing tensile strength slightly enhances the fatigue safety factor (FSF), stress concentration at the thread root remains a limiting factor. Combining material changes with geometric optimization, such as increasing the thread pitch, yields better stress distribution, reducing crack initiation risks and improving Kt</w:t>
      </w:r>
      <w:r>
        <w:t xml:space="preserve"> </w:t>
      </w:r>
      <w:r w:rsidRPr="00465D4E">
        <w:t>FSF.</w:t>
      </w:r>
    </w:p>
    <w:p w14:paraId="38BA8D75" w14:textId="77777777" w:rsidR="002F782D" w:rsidRPr="00465D4E" w:rsidRDefault="002F782D" w:rsidP="009D1D3B">
      <w:r w:rsidRPr="00465D4E">
        <w:t>However, the most substantial gains are achieved through a comprehensive modification strategy that incorporates material upgrades, geometric adjustments, and surface treatments. Specifically, the combination of titanium alloy, optimized thread pitch, and advanced surface treatments like cryogenic treatment (CT) and laser peening (LPed) significantly enhances fatigue performance. The introduction of compressive residual stresses at the surface plays a crucial role in mitigating crack initiation, ultimately increasing both FSF and Kt</w:t>
      </w:r>
      <w:r>
        <w:t xml:space="preserve"> </w:t>
      </w:r>
      <w:r w:rsidRPr="00465D4E">
        <w:t>FSF to the highest levels observed in this study.</w:t>
      </w:r>
    </w:p>
    <w:p w14:paraId="67D192A6" w14:textId="77777777" w:rsidR="002F782D" w:rsidRPr="00465D4E" w:rsidRDefault="002F782D" w:rsidP="009D1D3B">
      <w:r w:rsidRPr="00465D4E">
        <w:t>In conclusion, the results highlight that achieving optimal fatigue resistance in connecting rod bolts requires an integrated approach that balances material properties, geometric precision, and surface enhancement. This comprehensive modification approach ensures the highest reliability under high-speed and cyclic loading conditions, making it the preferred choice for demanding applications.</w:t>
      </w:r>
    </w:p>
    <w:p w14:paraId="0C0AB03E" w14:textId="727045FF" w:rsidR="000675C3" w:rsidRDefault="000675C3" w:rsidP="009D1D3B">
      <w:pPr>
        <w:rPr>
          <w:rFonts w:asciiTheme="majorHAnsi" w:eastAsiaTheme="majorEastAsia" w:hAnsiTheme="majorHAnsi" w:cstheme="majorBidi"/>
          <w:sz w:val="32"/>
          <w:szCs w:val="32"/>
        </w:rPr>
      </w:pPr>
      <w:r>
        <w:br w:type="page"/>
      </w:r>
    </w:p>
    <w:p w14:paraId="612FA4C2" w14:textId="2F6B7ACC" w:rsidR="00E82207" w:rsidRPr="00C66EB2" w:rsidRDefault="0049558A" w:rsidP="009D1D3B">
      <w:pPr>
        <w:pStyle w:val="Heading1"/>
        <w:numPr>
          <w:ilvl w:val="0"/>
          <w:numId w:val="1"/>
        </w:numPr>
        <w:rPr>
          <w:color w:val="auto"/>
          <w:u w:val="single"/>
        </w:rPr>
      </w:pPr>
      <w:bookmarkStart w:id="17" w:name="_Toc193023125"/>
      <w:r w:rsidRPr="00C66EB2">
        <w:rPr>
          <w:color w:val="auto"/>
          <w:u w:val="single"/>
        </w:rPr>
        <w:lastRenderedPageBreak/>
        <w:t>References</w:t>
      </w:r>
      <w:bookmarkEnd w:id="17"/>
    </w:p>
    <w:p w14:paraId="1879C9A8" w14:textId="24C24AA8" w:rsidR="0049558A" w:rsidRDefault="0049558A" w:rsidP="009D1D3B">
      <w:pPr>
        <w:pStyle w:val="ListParagraph"/>
        <w:numPr>
          <w:ilvl w:val="0"/>
          <w:numId w:val="2"/>
        </w:numPr>
      </w:pPr>
      <w:r w:rsidRPr="0049558A">
        <w:t xml:space="preserve">Ali, </w:t>
      </w:r>
      <w:proofErr w:type="spellStart"/>
      <w:r w:rsidRPr="0049558A">
        <w:t>Koten</w:t>
      </w:r>
      <w:proofErr w:type="spellEnd"/>
      <w:r w:rsidRPr="0049558A">
        <w:t xml:space="preserve"> and Alwan, </w:t>
      </w:r>
      <w:r>
        <w:t>(</w:t>
      </w:r>
      <w:r w:rsidRPr="0049558A">
        <w:t>2022</w:t>
      </w:r>
      <w:r>
        <w:t>) “</w:t>
      </w:r>
      <w:r w:rsidRPr="0049558A">
        <w:t>Optimization of SI Engine Performance Operating with Low Octane Gasoline and Fuel Additives from Waste</w:t>
      </w:r>
      <w:r>
        <w:t xml:space="preserve">” </w:t>
      </w:r>
      <w:hyperlink r:id="rId19" w:history="1">
        <w:r w:rsidRPr="003E5655">
          <w:rPr>
            <w:rStyle w:val="Hyperlink"/>
          </w:rPr>
          <w:t>https://www.proquest.com/docview/2709596210/fulltextPDF?pq-origsite=primo_ra&amp;accountid=130472&amp;sourcetype=Scholarly%20Journals</w:t>
        </w:r>
      </w:hyperlink>
    </w:p>
    <w:p w14:paraId="09D3560A" w14:textId="07803D4C" w:rsidR="0049558A" w:rsidRDefault="003A456D" w:rsidP="009D1D3B">
      <w:pPr>
        <w:pStyle w:val="ListParagraph"/>
        <w:numPr>
          <w:ilvl w:val="0"/>
          <w:numId w:val="2"/>
        </w:numPr>
      </w:pPr>
      <w:r>
        <w:t>Shao-Quan, Lu; Liu-Ho, Chiu; Pei-Jung, Chang; Chung-Kwei, Lin (2024) pg. 5-6 “</w:t>
      </w:r>
      <w:r w:rsidRPr="003A456D">
        <w:t>Effects of Shot Peening Pressure, Time, and Material on the Properties of Carburized Steel Shafts</w:t>
      </w:r>
      <w:r>
        <w:t xml:space="preserve">” </w:t>
      </w:r>
      <w:hyperlink r:id="rId20" w:history="1">
        <w:r w:rsidRPr="003E5655">
          <w:rPr>
            <w:rStyle w:val="Hyperlink"/>
          </w:rPr>
          <w:t>https://www.proquest.com/docview/3098137748/fulltextPDF?pq-origsite=primo_ra&amp;accountid=130472&amp;sourcetype=Scholarly%20Journals</w:t>
        </w:r>
      </w:hyperlink>
    </w:p>
    <w:p w14:paraId="5BBF3797" w14:textId="09B2C4BA" w:rsidR="003A456D" w:rsidRDefault="00562CBF" w:rsidP="009D1D3B">
      <w:pPr>
        <w:pStyle w:val="ListParagraph"/>
        <w:numPr>
          <w:ilvl w:val="0"/>
          <w:numId w:val="2"/>
        </w:numPr>
      </w:pPr>
      <w:r w:rsidRPr="00562CBF">
        <w:t xml:space="preserve">S. Thibault, C. </w:t>
      </w:r>
      <w:proofErr w:type="spellStart"/>
      <w:r w:rsidRPr="00562CBF">
        <w:t>Sidoroff</w:t>
      </w:r>
      <w:proofErr w:type="spellEnd"/>
      <w:r w:rsidRPr="00562CBF">
        <w:t xml:space="preserve">, S. Jegou, L. </w:t>
      </w:r>
      <w:proofErr w:type="spellStart"/>
      <w:r w:rsidRPr="00562CBF">
        <w:t>Barrallier</w:t>
      </w:r>
      <w:proofErr w:type="spellEnd"/>
      <w:r w:rsidRPr="00562CBF">
        <w:t>, G. Michel</w:t>
      </w:r>
      <w:r>
        <w:t xml:space="preserve"> (2018) pg. 238</w:t>
      </w:r>
      <w:r w:rsidR="00865F34">
        <w:t xml:space="preserve"> “</w:t>
      </w:r>
      <w:r w:rsidR="00865F34" w:rsidRPr="00865F34">
        <w:t xml:space="preserve">A Simple Model for Hardness and Residual Stress Profiles Prediction for Low-Alloy </w:t>
      </w:r>
      <w:proofErr w:type="spellStart"/>
      <w:r w:rsidR="00865F34" w:rsidRPr="00865F34">
        <w:t>Nitrided</w:t>
      </w:r>
      <w:proofErr w:type="spellEnd"/>
      <w:r w:rsidR="00865F34" w:rsidRPr="00865F34">
        <w:t xml:space="preserve"> Steel, Based on Nitriding-Induced Tempering Effects</w:t>
      </w:r>
      <w:r w:rsidR="00865F34">
        <w:t xml:space="preserve">” </w:t>
      </w:r>
      <w:hyperlink r:id="rId21" w:history="1">
        <w:r w:rsidR="00865F34" w:rsidRPr="00D056F7">
          <w:rPr>
            <w:rStyle w:val="Hyperlink"/>
          </w:rPr>
          <w:t>https://www.degruyter.com/document/doi/10.3139/105.110360/html</w:t>
        </w:r>
      </w:hyperlink>
    </w:p>
    <w:p w14:paraId="1660B2DE" w14:textId="1D9237DE" w:rsidR="00865F34" w:rsidRDefault="003B3837" w:rsidP="009D1D3B">
      <w:pPr>
        <w:pStyle w:val="ListParagraph"/>
        <w:numPr>
          <w:ilvl w:val="0"/>
          <w:numId w:val="2"/>
        </w:numPr>
      </w:pPr>
      <w:r w:rsidRPr="003B3837">
        <w:t>Ansys Inc.</w:t>
      </w:r>
      <w:r>
        <w:t xml:space="preserve"> (</w:t>
      </w:r>
      <w:r w:rsidRPr="003B3837">
        <w:t>2022</w:t>
      </w:r>
      <w:r>
        <w:t>)</w:t>
      </w:r>
      <w:r w:rsidRPr="003B3837">
        <w:t xml:space="preserve"> </w:t>
      </w:r>
      <w:r w:rsidRPr="003B3837">
        <w:rPr>
          <w:i/>
          <w:iCs/>
        </w:rPr>
        <w:t xml:space="preserve">Ansys Granta </w:t>
      </w:r>
      <w:proofErr w:type="spellStart"/>
      <w:r w:rsidRPr="003B3837">
        <w:rPr>
          <w:i/>
          <w:iCs/>
        </w:rPr>
        <w:t>EduPack</w:t>
      </w:r>
      <w:proofErr w:type="spellEnd"/>
      <w:r w:rsidRPr="003B3837">
        <w:rPr>
          <w:i/>
          <w:iCs/>
        </w:rPr>
        <w:t xml:space="preserve"> 2022</w:t>
      </w:r>
      <w:r w:rsidRPr="003B3837">
        <w:t xml:space="preserve"> [computer program]. Version 2022. Canonsburg, PA: Ansys Inc</w:t>
      </w:r>
      <w:r>
        <w:t xml:space="preserve"> </w:t>
      </w:r>
      <w:hyperlink r:id="rId22" w:history="1">
        <w:r w:rsidRPr="00D056F7">
          <w:rPr>
            <w:rStyle w:val="Hyperlink"/>
          </w:rPr>
          <w:t>https://www.ansys.com/products/materials/granta-edupack</w:t>
        </w:r>
      </w:hyperlink>
    </w:p>
    <w:p w14:paraId="41DBAC59" w14:textId="75F22C1F" w:rsidR="003B3837" w:rsidRDefault="00DE2B91" w:rsidP="009D1D3B">
      <w:pPr>
        <w:pStyle w:val="ListParagraph"/>
        <w:numPr>
          <w:ilvl w:val="0"/>
          <w:numId w:val="2"/>
        </w:numPr>
      </w:pPr>
      <w:r w:rsidRPr="00DE2B91">
        <w:t xml:space="preserve">Marcin Szpunar, Tomasz </w:t>
      </w:r>
      <w:proofErr w:type="spellStart"/>
      <w:r w:rsidRPr="00DE2B91">
        <w:t>Trzepieci</w:t>
      </w:r>
      <w:r>
        <w:t>ń</w:t>
      </w:r>
      <w:r w:rsidRPr="00DE2B91">
        <w:t>ski</w:t>
      </w:r>
      <w:proofErr w:type="spellEnd"/>
      <w:r w:rsidRPr="00DE2B91">
        <w:t xml:space="preserve"> , Krzysztof </w:t>
      </w:r>
      <w:proofErr w:type="spellStart"/>
      <w:r>
        <w:t>Ż</w:t>
      </w:r>
      <w:r w:rsidRPr="00DE2B91">
        <w:t>aba</w:t>
      </w:r>
      <w:proofErr w:type="spellEnd"/>
      <w:r w:rsidRPr="00DE2B91">
        <w:t xml:space="preserve"> , Robert Ostrowski and</w:t>
      </w:r>
      <w:r>
        <w:t xml:space="preserve"> </w:t>
      </w:r>
      <w:r w:rsidRPr="00DE2B91">
        <w:t>Marek</w:t>
      </w:r>
      <w:r>
        <w:t xml:space="preserve"> </w:t>
      </w:r>
      <w:r w:rsidRPr="00DE2B91">
        <w:t>Zwolak</w:t>
      </w:r>
      <w:r>
        <w:t xml:space="preserve"> (2021) pg. 6</w:t>
      </w:r>
      <w:r w:rsidR="000B6F44">
        <w:t>, “</w:t>
      </w:r>
      <w:r w:rsidR="000B6F44" w:rsidRPr="000B6F44">
        <w:t>Effect of Lubricant Type on the Friction Behaviours and Surface Topography in Metal Forming of Ti-6Al-4V Titanium Alloy Sheets</w:t>
      </w:r>
      <w:r w:rsidR="000B6F44">
        <w:t xml:space="preserve">” </w:t>
      </w:r>
      <w:hyperlink r:id="rId23" w:history="1">
        <w:r w:rsidR="000B6F44" w:rsidRPr="00DB6270">
          <w:rPr>
            <w:rStyle w:val="Hyperlink"/>
          </w:rPr>
          <w:t>https://www.proquest.com/docview/2549483472/fulltextPDF?pq-origsite=primo_ra&amp;accountid=130472&amp;sourcetype=Scholarly%20Journals</w:t>
        </w:r>
      </w:hyperlink>
    </w:p>
    <w:p w14:paraId="2566C9CA" w14:textId="651CCB03" w:rsidR="000B6F44" w:rsidRDefault="00F92BD2" w:rsidP="009D1D3B">
      <w:pPr>
        <w:pStyle w:val="ListParagraph"/>
        <w:numPr>
          <w:ilvl w:val="0"/>
          <w:numId w:val="2"/>
        </w:numPr>
      </w:pPr>
      <w:r w:rsidRPr="00F92BD2">
        <w:t xml:space="preserve">Sheng Jie; Huang, Shu; Liu </w:t>
      </w:r>
      <w:proofErr w:type="spellStart"/>
      <w:r w:rsidRPr="00F92BD2">
        <w:t>Muxi</w:t>
      </w:r>
      <w:proofErr w:type="spellEnd"/>
      <w:r w:rsidRPr="00F92BD2">
        <w:t xml:space="preserve">; Dai </w:t>
      </w:r>
      <w:proofErr w:type="spellStart"/>
      <w:r w:rsidRPr="00F92BD2">
        <w:t>Fengze</w:t>
      </w:r>
      <w:proofErr w:type="spellEnd"/>
      <w:r w:rsidRPr="00F92BD2">
        <w:t>.</w:t>
      </w:r>
      <w:r>
        <w:t xml:space="preserve"> (2020) pg. 3604, “</w:t>
      </w:r>
      <w:r w:rsidRPr="00F92BD2">
        <w:t>Improving High-Temperature Strength of Ti-6Al-2.5Mo-1.5Cr-0.5Fe-0.3Si Titanium Alloy by Cryogenic Pre-treatment and Laser Peening</w:t>
      </w:r>
      <w:r>
        <w:t xml:space="preserve">” </w:t>
      </w:r>
      <w:hyperlink r:id="rId24" w:history="1">
        <w:r w:rsidRPr="00F7799A">
          <w:rPr>
            <w:rStyle w:val="Hyperlink"/>
          </w:rPr>
          <w:t>https://doi.org/10.1007/s11661-020-05789-y</w:t>
        </w:r>
      </w:hyperlink>
      <w:r w:rsidRPr="00F92BD2">
        <w:t>.</w:t>
      </w:r>
    </w:p>
    <w:p w14:paraId="2E3C54DE" w14:textId="77777777" w:rsidR="00F92BD2" w:rsidRPr="0049558A" w:rsidRDefault="00F92BD2" w:rsidP="009C1B85">
      <w:pPr>
        <w:pStyle w:val="ListParagraph"/>
      </w:pPr>
    </w:p>
    <w:sectPr w:rsidR="00F92BD2" w:rsidRPr="004955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86694C"/>
    <w:multiLevelType w:val="multilevel"/>
    <w:tmpl w:val="F45AE59C"/>
    <w:lvl w:ilvl="0">
      <w:start w:val="1"/>
      <w:numFmt w:val="decimal"/>
      <w:lvlText w:val="%1."/>
      <w:lvlJc w:val="left"/>
      <w:pPr>
        <w:ind w:left="720" w:hanging="360"/>
      </w:pPr>
      <w:rPr>
        <w:rFonts w:hint="default"/>
        <w:color w:val="auto"/>
      </w:rPr>
    </w:lvl>
    <w:lvl w:ilvl="1">
      <w:start w:val="1"/>
      <w:numFmt w:val="decimal"/>
      <w:isLgl/>
      <w:lvlText w:val="%1.%2"/>
      <w:lvlJc w:val="left"/>
      <w:pPr>
        <w:ind w:left="668" w:hanging="384"/>
      </w:pPr>
      <w:rPr>
        <w:rFonts w:asciiTheme="majorHAnsi" w:hAnsiTheme="majorHAnsi" w:cstheme="majorHAnsi"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56F6B6C"/>
    <w:multiLevelType w:val="hybridMultilevel"/>
    <w:tmpl w:val="DCE26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3175124">
    <w:abstractNumId w:val="0"/>
  </w:num>
  <w:num w:numId="2" w16cid:durableId="1581480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207"/>
    <w:rsid w:val="000211F9"/>
    <w:rsid w:val="00056802"/>
    <w:rsid w:val="000675C3"/>
    <w:rsid w:val="00070382"/>
    <w:rsid w:val="000B6F44"/>
    <w:rsid w:val="00112C7E"/>
    <w:rsid w:val="001141DE"/>
    <w:rsid w:val="00156128"/>
    <w:rsid w:val="001B0DFC"/>
    <w:rsid w:val="002120CF"/>
    <w:rsid w:val="00287AF3"/>
    <w:rsid w:val="002A5949"/>
    <w:rsid w:val="002B4216"/>
    <w:rsid w:val="002F45F2"/>
    <w:rsid w:val="002F782D"/>
    <w:rsid w:val="00306700"/>
    <w:rsid w:val="00362F44"/>
    <w:rsid w:val="003A456D"/>
    <w:rsid w:val="003A6CB4"/>
    <w:rsid w:val="003B1165"/>
    <w:rsid w:val="003B3837"/>
    <w:rsid w:val="0044438A"/>
    <w:rsid w:val="00486E84"/>
    <w:rsid w:val="0049558A"/>
    <w:rsid w:val="004A16A0"/>
    <w:rsid w:val="005011B3"/>
    <w:rsid w:val="00562179"/>
    <w:rsid w:val="00562CBF"/>
    <w:rsid w:val="005A14FF"/>
    <w:rsid w:val="005C0095"/>
    <w:rsid w:val="00713475"/>
    <w:rsid w:val="0077786D"/>
    <w:rsid w:val="007A5076"/>
    <w:rsid w:val="007C7F32"/>
    <w:rsid w:val="00823075"/>
    <w:rsid w:val="00865F34"/>
    <w:rsid w:val="008811C8"/>
    <w:rsid w:val="00897D8F"/>
    <w:rsid w:val="008C1D34"/>
    <w:rsid w:val="00921EF5"/>
    <w:rsid w:val="00930608"/>
    <w:rsid w:val="0096457D"/>
    <w:rsid w:val="009820F6"/>
    <w:rsid w:val="009B65A0"/>
    <w:rsid w:val="009C1B85"/>
    <w:rsid w:val="009C70EF"/>
    <w:rsid w:val="009D1BD8"/>
    <w:rsid w:val="009D1D3B"/>
    <w:rsid w:val="009E2565"/>
    <w:rsid w:val="00A0023F"/>
    <w:rsid w:val="00A10ED5"/>
    <w:rsid w:val="00A348C4"/>
    <w:rsid w:val="00A36867"/>
    <w:rsid w:val="00A6492F"/>
    <w:rsid w:val="00A9411E"/>
    <w:rsid w:val="00AB63B5"/>
    <w:rsid w:val="00AC3FAB"/>
    <w:rsid w:val="00B5155C"/>
    <w:rsid w:val="00B63AC7"/>
    <w:rsid w:val="00B829E5"/>
    <w:rsid w:val="00BD7CE2"/>
    <w:rsid w:val="00C0436B"/>
    <w:rsid w:val="00C56FD1"/>
    <w:rsid w:val="00C6234E"/>
    <w:rsid w:val="00C66EB2"/>
    <w:rsid w:val="00C91A0D"/>
    <w:rsid w:val="00CE1F6C"/>
    <w:rsid w:val="00CE7601"/>
    <w:rsid w:val="00D32E6D"/>
    <w:rsid w:val="00D56E24"/>
    <w:rsid w:val="00DD0FB7"/>
    <w:rsid w:val="00DE2B91"/>
    <w:rsid w:val="00DE47BD"/>
    <w:rsid w:val="00E12A5B"/>
    <w:rsid w:val="00E34932"/>
    <w:rsid w:val="00E82207"/>
    <w:rsid w:val="00F053AC"/>
    <w:rsid w:val="00F34794"/>
    <w:rsid w:val="00F5107B"/>
    <w:rsid w:val="00F7590C"/>
    <w:rsid w:val="00F92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43598"/>
  <w15:chartTrackingRefBased/>
  <w15:docId w15:val="{94F211C5-3F3F-4479-B8CD-36FFE8C1A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D3B"/>
    <w:rPr>
      <w:rFonts w:cstheme="minorHAnsi"/>
    </w:rPr>
  </w:style>
  <w:style w:type="paragraph" w:styleId="Heading1">
    <w:name w:val="heading 1"/>
    <w:basedOn w:val="Normal"/>
    <w:next w:val="Normal"/>
    <w:link w:val="Heading1Char"/>
    <w:uiPriority w:val="9"/>
    <w:qFormat/>
    <w:rsid w:val="000675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49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1D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66EB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5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75C3"/>
    <w:pPr>
      <w:outlineLvl w:val="9"/>
    </w:pPr>
    <w:rPr>
      <w:kern w:val="0"/>
      <w:lang w:val="en-US"/>
      <w14:ligatures w14:val="none"/>
    </w:rPr>
  </w:style>
  <w:style w:type="paragraph" w:styleId="NormalWeb">
    <w:name w:val="Normal (Web)"/>
    <w:basedOn w:val="Normal"/>
    <w:uiPriority w:val="99"/>
    <w:unhideWhenUsed/>
    <w:rsid w:val="00B829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829E5"/>
    <w:rPr>
      <w:b/>
      <w:bCs/>
    </w:rPr>
  </w:style>
  <w:style w:type="paragraph" w:styleId="TOC1">
    <w:name w:val="toc 1"/>
    <w:basedOn w:val="Normal"/>
    <w:next w:val="Normal"/>
    <w:autoRedefine/>
    <w:uiPriority w:val="39"/>
    <w:unhideWhenUsed/>
    <w:rsid w:val="00713475"/>
    <w:pPr>
      <w:spacing w:after="100"/>
    </w:pPr>
  </w:style>
  <w:style w:type="character" w:styleId="Hyperlink">
    <w:name w:val="Hyperlink"/>
    <w:basedOn w:val="DefaultParagraphFont"/>
    <w:uiPriority w:val="99"/>
    <w:unhideWhenUsed/>
    <w:rsid w:val="00713475"/>
    <w:rPr>
      <w:color w:val="0563C1" w:themeColor="hyperlink"/>
      <w:u w:val="single"/>
    </w:rPr>
  </w:style>
  <w:style w:type="character" w:customStyle="1" w:styleId="Heading2Char">
    <w:name w:val="Heading 2 Char"/>
    <w:basedOn w:val="DefaultParagraphFont"/>
    <w:link w:val="Heading2"/>
    <w:uiPriority w:val="9"/>
    <w:rsid w:val="00E3493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7786D"/>
    <w:pPr>
      <w:ind w:left="720"/>
      <w:contextualSpacing/>
    </w:pPr>
  </w:style>
  <w:style w:type="character" w:styleId="UnresolvedMention">
    <w:name w:val="Unresolved Mention"/>
    <w:basedOn w:val="DefaultParagraphFont"/>
    <w:uiPriority w:val="99"/>
    <w:semiHidden/>
    <w:unhideWhenUsed/>
    <w:rsid w:val="0049558A"/>
    <w:rPr>
      <w:color w:val="605E5C"/>
      <w:shd w:val="clear" w:color="auto" w:fill="E1DFDD"/>
    </w:rPr>
  </w:style>
  <w:style w:type="character" w:styleId="FollowedHyperlink">
    <w:name w:val="FollowedHyperlink"/>
    <w:basedOn w:val="DefaultParagraphFont"/>
    <w:uiPriority w:val="99"/>
    <w:semiHidden/>
    <w:unhideWhenUsed/>
    <w:rsid w:val="00F92BD2"/>
    <w:rPr>
      <w:color w:val="954F72" w:themeColor="followedHyperlink"/>
      <w:u w:val="single"/>
    </w:rPr>
  </w:style>
  <w:style w:type="paragraph" w:styleId="TOC2">
    <w:name w:val="toc 2"/>
    <w:basedOn w:val="Normal"/>
    <w:next w:val="Normal"/>
    <w:autoRedefine/>
    <w:uiPriority w:val="39"/>
    <w:unhideWhenUsed/>
    <w:rsid w:val="00A10ED5"/>
    <w:pPr>
      <w:spacing w:after="100"/>
      <w:ind w:left="220"/>
    </w:pPr>
  </w:style>
  <w:style w:type="character" w:styleId="PlaceholderText">
    <w:name w:val="Placeholder Text"/>
    <w:basedOn w:val="DefaultParagraphFont"/>
    <w:uiPriority w:val="99"/>
    <w:semiHidden/>
    <w:rsid w:val="007C7F32"/>
    <w:rPr>
      <w:color w:val="666666"/>
    </w:rPr>
  </w:style>
  <w:style w:type="paragraph" w:styleId="NoSpacing">
    <w:name w:val="No Spacing"/>
    <w:uiPriority w:val="1"/>
    <w:qFormat/>
    <w:rsid w:val="009D1D3B"/>
    <w:pPr>
      <w:spacing w:after="0" w:line="240" w:lineRule="auto"/>
    </w:pPr>
  </w:style>
  <w:style w:type="character" w:customStyle="1" w:styleId="Heading3Char">
    <w:name w:val="Heading 3 Char"/>
    <w:basedOn w:val="DefaultParagraphFont"/>
    <w:link w:val="Heading3"/>
    <w:uiPriority w:val="9"/>
    <w:rsid w:val="009D1D3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66EB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253056">
      <w:bodyDiv w:val="1"/>
      <w:marLeft w:val="0"/>
      <w:marRight w:val="0"/>
      <w:marTop w:val="0"/>
      <w:marBottom w:val="0"/>
      <w:divBdr>
        <w:top w:val="none" w:sz="0" w:space="0" w:color="auto"/>
        <w:left w:val="none" w:sz="0" w:space="0" w:color="auto"/>
        <w:bottom w:val="none" w:sz="0" w:space="0" w:color="auto"/>
        <w:right w:val="none" w:sz="0" w:space="0" w:color="auto"/>
      </w:divBdr>
      <w:divsChild>
        <w:div w:id="1652633850">
          <w:marLeft w:val="0"/>
          <w:marRight w:val="0"/>
          <w:marTop w:val="0"/>
          <w:marBottom w:val="0"/>
          <w:divBdr>
            <w:top w:val="none" w:sz="0" w:space="0" w:color="auto"/>
            <w:left w:val="none" w:sz="0" w:space="0" w:color="auto"/>
            <w:bottom w:val="none" w:sz="0" w:space="0" w:color="auto"/>
            <w:right w:val="none" w:sz="0" w:space="0" w:color="auto"/>
          </w:divBdr>
          <w:divsChild>
            <w:div w:id="340816249">
              <w:marLeft w:val="0"/>
              <w:marRight w:val="0"/>
              <w:marTop w:val="0"/>
              <w:marBottom w:val="0"/>
              <w:divBdr>
                <w:top w:val="none" w:sz="0" w:space="0" w:color="auto"/>
                <w:left w:val="none" w:sz="0" w:space="0" w:color="auto"/>
                <w:bottom w:val="none" w:sz="0" w:space="0" w:color="auto"/>
                <w:right w:val="none" w:sz="0" w:space="0" w:color="auto"/>
              </w:divBdr>
              <w:divsChild>
                <w:div w:id="2031908546">
                  <w:marLeft w:val="0"/>
                  <w:marRight w:val="0"/>
                  <w:marTop w:val="0"/>
                  <w:marBottom w:val="0"/>
                  <w:divBdr>
                    <w:top w:val="none" w:sz="0" w:space="0" w:color="auto"/>
                    <w:left w:val="none" w:sz="0" w:space="0" w:color="auto"/>
                    <w:bottom w:val="none" w:sz="0" w:space="0" w:color="auto"/>
                    <w:right w:val="none" w:sz="0" w:space="0" w:color="auto"/>
                  </w:divBdr>
                  <w:divsChild>
                    <w:div w:id="1593120993">
                      <w:marLeft w:val="0"/>
                      <w:marRight w:val="0"/>
                      <w:marTop w:val="0"/>
                      <w:marBottom w:val="0"/>
                      <w:divBdr>
                        <w:top w:val="none" w:sz="0" w:space="0" w:color="auto"/>
                        <w:left w:val="none" w:sz="0" w:space="0" w:color="auto"/>
                        <w:bottom w:val="none" w:sz="0" w:space="0" w:color="auto"/>
                        <w:right w:val="none" w:sz="0" w:space="0" w:color="auto"/>
                      </w:divBdr>
                      <w:divsChild>
                        <w:div w:id="1022852637">
                          <w:marLeft w:val="0"/>
                          <w:marRight w:val="0"/>
                          <w:marTop w:val="0"/>
                          <w:marBottom w:val="0"/>
                          <w:divBdr>
                            <w:top w:val="none" w:sz="0" w:space="0" w:color="auto"/>
                            <w:left w:val="none" w:sz="0" w:space="0" w:color="auto"/>
                            <w:bottom w:val="none" w:sz="0" w:space="0" w:color="auto"/>
                            <w:right w:val="none" w:sz="0" w:space="0" w:color="auto"/>
                          </w:divBdr>
                          <w:divsChild>
                            <w:div w:id="171379474">
                              <w:marLeft w:val="0"/>
                              <w:marRight w:val="0"/>
                              <w:marTop w:val="0"/>
                              <w:marBottom w:val="0"/>
                              <w:divBdr>
                                <w:top w:val="none" w:sz="0" w:space="0" w:color="auto"/>
                                <w:left w:val="none" w:sz="0" w:space="0" w:color="auto"/>
                                <w:bottom w:val="none" w:sz="0" w:space="0" w:color="auto"/>
                                <w:right w:val="none" w:sz="0" w:space="0" w:color="auto"/>
                              </w:divBdr>
                              <w:divsChild>
                                <w:div w:id="133177433">
                                  <w:marLeft w:val="0"/>
                                  <w:marRight w:val="0"/>
                                  <w:marTop w:val="0"/>
                                  <w:marBottom w:val="0"/>
                                  <w:divBdr>
                                    <w:top w:val="none" w:sz="0" w:space="0" w:color="auto"/>
                                    <w:left w:val="none" w:sz="0" w:space="0" w:color="auto"/>
                                    <w:bottom w:val="none" w:sz="0" w:space="0" w:color="auto"/>
                                    <w:right w:val="none" w:sz="0" w:space="0" w:color="auto"/>
                                  </w:divBdr>
                                  <w:divsChild>
                                    <w:div w:id="34524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5193375">
      <w:bodyDiv w:val="1"/>
      <w:marLeft w:val="0"/>
      <w:marRight w:val="0"/>
      <w:marTop w:val="0"/>
      <w:marBottom w:val="0"/>
      <w:divBdr>
        <w:top w:val="none" w:sz="0" w:space="0" w:color="auto"/>
        <w:left w:val="none" w:sz="0" w:space="0" w:color="auto"/>
        <w:bottom w:val="none" w:sz="0" w:space="0" w:color="auto"/>
        <w:right w:val="none" w:sz="0" w:space="0" w:color="auto"/>
      </w:divBdr>
    </w:div>
    <w:div w:id="305597483">
      <w:bodyDiv w:val="1"/>
      <w:marLeft w:val="0"/>
      <w:marRight w:val="0"/>
      <w:marTop w:val="0"/>
      <w:marBottom w:val="0"/>
      <w:divBdr>
        <w:top w:val="none" w:sz="0" w:space="0" w:color="auto"/>
        <w:left w:val="none" w:sz="0" w:space="0" w:color="auto"/>
        <w:bottom w:val="none" w:sz="0" w:space="0" w:color="auto"/>
        <w:right w:val="none" w:sz="0" w:space="0" w:color="auto"/>
      </w:divBdr>
    </w:div>
    <w:div w:id="429737121">
      <w:bodyDiv w:val="1"/>
      <w:marLeft w:val="0"/>
      <w:marRight w:val="0"/>
      <w:marTop w:val="0"/>
      <w:marBottom w:val="0"/>
      <w:divBdr>
        <w:top w:val="none" w:sz="0" w:space="0" w:color="auto"/>
        <w:left w:val="none" w:sz="0" w:space="0" w:color="auto"/>
        <w:bottom w:val="none" w:sz="0" w:space="0" w:color="auto"/>
        <w:right w:val="none" w:sz="0" w:space="0" w:color="auto"/>
      </w:divBdr>
    </w:div>
    <w:div w:id="460853695">
      <w:bodyDiv w:val="1"/>
      <w:marLeft w:val="0"/>
      <w:marRight w:val="0"/>
      <w:marTop w:val="0"/>
      <w:marBottom w:val="0"/>
      <w:divBdr>
        <w:top w:val="none" w:sz="0" w:space="0" w:color="auto"/>
        <w:left w:val="none" w:sz="0" w:space="0" w:color="auto"/>
        <w:bottom w:val="none" w:sz="0" w:space="0" w:color="auto"/>
        <w:right w:val="none" w:sz="0" w:space="0" w:color="auto"/>
      </w:divBdr>
    </w:div>
    <w:div w:id="631209560">
      <w:bodyDiv w:val="1"/>
      <w:marLeft w:val="0"/>
      <w:marRight w:val="0"/>
      <w:marTop w:val="0"/>
      <w:marBottom w:val="0"/>
      <w:divBdr>
        <w:top w:val="none" w:sz="0" w:space="0" w:color="auto"/>
        <w:left w:val="none" w:sz="0" w:space="0" w:color="auto"/>
        <w:bottom w:val="none" w:sz="0" w:space="0" w:color="auto"/>
        <w:right w:val="none" w:sz="0" w:space="0" w:color="auto"/>
      </w:divBdr>
    </w:div>
    <w:div w:id="664746703">
      <w:bodyDiv w:val="1"/>
      <w:marLeft w:val="0"/>
      <w:marRight w:val="0"/>
      <w:marTop w:val="0"/>
      <w:marBottom w:val="0"/>
      <w:divBdr>
        <w:top w:val="none" w:sz="0" w:space="0" w:color="auto"/>
        <w:left w:val="none" w:sz="0" w:space="0" w:color="auto"/>
        <w:bottom w:val="none" w:sz="0" w:space="0" w:color="auto"/>
        <w:right w:val="none" w:sz="0" w:space="0" w:color="auto"/>
      </w:divBdr>
    </w:div>
    <w:div w:id="708529624">
      <w:bodyDiv w:val="1"/>
      <w:marLeft w:val="0"/>
      <w:marRight w:val="0"/>
      <w:marTop w:val="0"/>
      <w:marBottom w:val="0"/>
      <w:divBdr>
        <w:top w:val="none" w:sz="0" w:space="0" w:color="auto"/>
        <w:left w:val="none" w:sz="0" w:space="0" w:color="auto"/>
        <w:bottom w:val="none" w:sz="0" w:space="0" w:color="auto"/>
        <w:right w:val="none" w:sz="0" w:space="0" w:color="auto"/>
      </w:divBdr>
      <w:divsChild>
        <w:div w:id="901065328">
          <w:marLeft w:val="0"/>
          <w:marRight w:val="0"/>
          <w:marTop w:val="0"/>
          <w:marBottom w:val="0"/>
          <w:divBdr>
            <w:top w:val="none" w:sz="0" w:space="0" w:color="auto"/>
            <w:left w:val="none" w:sz="0" w:space="0" w:color="auto"/>
            <w:bottom w:val="none" w:sz="0" w:space="0" w:color="auto"/>
            <w:right w:val="none" w:sz="0" w:space="0" w:color="auto"/>
          </w:divBdr>
        </w:div>
        <w:div w:id="393048322">
          <w:marLeft w:val="0"/>
          <w:marRight w:val="0"/>
          <w:marTop w:val="0"/>
          <w:marBottom w:val="0"/>
          <w:divBdr>
            <w:top w:val="none" w:sz="0" w:space="0" w:color="auto"/>
            <w:left w:val="none" w:sz="0" w:space="0" w:color="auto"/>
            <w:bottom w:val="none" w:sz="0" w:space="0" w:color="auto"/>
            <w:right w:val="none" w:sz="0" w:space="0" w:color="auto"/>
          </w:divBdr>
        </w:div>
        <w:div w:id="2055960661">
          <w:marLeft w:val="0"/>
          <w:marRight w:val="0"/>
          <w:marTop w:val="0"/>
          <w:marBottom w:val="0"/>
          <w:divBdr>
            <w:top w:val="none" w:sz="0" w:space="0" w:color="auto"/>
            <w:left w:val="none" w:sz="0" w:space="0" w:color="auto"/>
            <w:bottom w:val="none" w:sz="0" w:space="0" w:color="auto"/>
            <w:right w:val="none" w:sz="0" w:space="0" w:color="auto"/>
          </w:divBdr>
        </w:div>
        <w:div w:id="845369094">
          <w:marLeft w:val="0"/>
          <w:marRight w:val="0"/>
          <w:marTop w:val="0"/>
          <w:marBottom w:val="0"/>
          <w:divBdr>
            <w:top w:val="none" w:sz="0" w:space="0" w:color="auto"/>
            <w:left w:val="none" w:sz="0" w:space="0" w:color="auto"/>
            <w:bottom w:val="none" w:sz="0" w:space="0" w:color="auto"/>
            <w:right w:val="none" w:sz="0" w:space="0" w:color="auto"/>
          </w:divBdr>
        </w:div>
      </w:divsChild>
    </w:div>
    <w:div w:id="914164439">
      <w:bodyDiv w:val="1"/>
      <w:marLeft w:val="0"/>
      <w:marRight w:val="0"/>
      <w:marTop w:val="0"/>
      <w:marBottom w:val="0"/>
      <w:divBdr>
        <w:top w:val="none" w:sz="0" w:space="0" w:color="auto"/>
        <w:left w:val="none" w:sz="0" w:space="0" w:color="auto"/>
        <w:bottom w:val="none" w:sz="0" w:space="0" w:color="auto"/>
        <w:right w:val="none" w:sz="0" w:space="0" w:color="auto"/>
      </w:divBdr>
    </w:div>
    <w:div w:id="958143711">
      <w:bodyDiv w:val="1"/>
      <w:marLeft w:val="0"/>
      <w:marRight w:val="0"/>
      <w:marTop w:val="0"/>
      <w:marBottom w:val="0"/>
      <w:divBdr>
        <w:top w:val="none" w:sz="0" w:space="0" w:color="auto"/>
        <w:left w:val="none" w:sz="0" w:space="0" w:color="auto"/>
        <w:bottom w:val="none" w:sz="0" w:space="0" w:color="auto"/>
        <w:right w:val="none" w:sz="0" w:space="0" w:color="auto"/>
      </w:divBdr>
    </w:div>
    <w:div w:id="1239361375">
      <w:bodyDiv w:val="1"/>
      <w:marLeft w:val="0"/>
      <w:marRight w:val="0"/>
      <w:marTop w:val="0"/>
      <w:marBottom w:val="0"/>
      <w:divBdr>
        <w:top w:val="none" w:sz="0" w:space="0" w:color="auto"/>
        <w:left w:val="none" w:sz="0" w:space="0" w:color="auto"/>
        <w:bottom w:val="none" w:sz="0" w:space="0" w:color="auto"/>
        <w:right w:val="none" w:sz="0" w:space="0" w:color="auto"/>
      </w:divBdr>
    </w:div>
    <w:div w:id="1420369325">
      <w:bodyDiv w:val="1"/>
      <w:marLeft w:val="0"/>
      <w:marRight w:val="0"/>
      <w:marTop w:val="0"/>
      <w:marBottom w:val="0"/>
      <w:divBdr>
        <w:top w:val="none" w:sz="0" w:space="0" w:color="auto"/>
        <w:left w:val="none" w:sz="0" w:space="0" w:color="auto"/>
        <w:bottom w:val="none" w:sz="0" w:space="0" w:color="auto"/>
        <w:right w:val="none" w:sz="0" w:space="0" w:color="auto"/>
      </w:divBdr>
      <w:divsChild>
        <w:div w:id="262808484">
          <w:marLeft w:val="0"/>
          <w:marRight w:val="0"/>
          <w:marTop w:val="0"/>
          <w:marBottom w:val="0"/>
          <w:divBdr>
            <w:top w:val="none" w:sz="0" w:space="0" w:color="auto"/>
            <w:left w:val="none" w:sz="0" w:space="0" w:color="auto"/>
            <w:bottom w:val="none" w:sz="0" w:space="0" w:color="auto"/>
            <w:right w:val="none" w:sz="0" w:space="0" w:color="auto"/>
          </w:divBdr>
        </w:div>
        <w:div w:id="1586912130">
          <w:marLeft w:val="0"/>
          <w:marRight w:val="0"/>
          <w:marTop w:val="0"/>
          <w:marBottom w:val="0"/>
          <w:divBdr>
            <w:top w:val="none" w:sz="0" w:space="0" w:color="auto"/>
            <w:left w:val="none" w:sz="0" w:space="0" w:color="auto"/>
            <w:bottom w:val="none" w:sz="0" w:space="0" w:color="auto"/>
            <w:right w:val="none" w:sz="0" w:space="0" w:color="auto"/>
          </w:divBdr>
        </w:div>
        <w:div w:id="1846550978">
          <w:marLeft w:val="0"/>
          <w:marRight w:val="0"/>
          <w:marTop w:val="0"/>
          <w:marBottom w:val="0"/>
          <w:divBdr>
            <w:top w:val="none" w:sz="0" w:space="0" w:color="auto"/>
            <w:left w:val="none" w:sz="0" w:space="0" w:color="auto"/>
            <w:bottom w:val="none" w:sz="0" w:space="0" w:color="auto"/>
            <w:right w:val="none" w:sz="0" w:space="0" w:color="auto"/>
          </w:divBdr>
        </w:div>
        <w:div w:id="848063868">
          <w:marLeft w:val="0"/>
          <w:marRight w:val="0"/>
          <w:marTop w:val="0"/>
          <w:marBottom w:val="0"/>
          <w:divBdr>
            <w:top w:val="none" w:sz="0" w:space="0" w:color="auto"/>
            <w:left w:val="none" w:sz="0" w:space="0" w:color="auto"/>
            <w:bottom w:val="none" w:sz="0" w:space="0" w:color="auto"/>
            <w:right w:val="none" w:sz="0" w:space="0" w:color="auto"/>
          </w:divBdr>
        </w:div>
        <w:div w:id="685711054">
          <w:marLeft w:val="0"/>
          <w:marRight w:val="0"/>
          <w:marTop w:val="45"/>
          <w:marBottom w:val="0"/>
          <w:divBdr>
            <w:top w:val="none" w:sz="0" w:space="0" w:color="auto"/>
            <w:left w:val="none" w:sz="0" w:space="0" w:color="auto"/>
            <w:bottom w:val="none" w:sz="0" w:space="0" w:color="auto"/>
            <w:right w:val="none" w:sz="0" w:space="0" w:color="auto"/>
          </w:divBdr>
        </w:div>
      </w:divsChild>
    </w:div>
    <w:div w:id="1520243717">
      <w:bodyDiv w:val="1"/>
      <w:marLeft w:val="0"/>
      <w:marRight w:val="0"/>
      <w:marTop w:val="0"/>
      <w:marBottom w:val="0"/>
      <w:divBdr>
        <w:top w:val="none" w:sz="0" w:space="0" w:color="auto"/>
        <w:left w:val="none" w:sz="0" w:space="0" w:color="auto"/>
        <w:bottom w:val="none" w:sz="0" w:space="0" w:color="auto"/>
        <w:right w:val="none" w:sz="0" w:space="0" w:color="auto"/>
      </w:divBdr>
      <w:divsChild>
        <w:div w:id="1684941974">
          <w:marLeft w:val="0"/>
          <w:marRight w:val="0"/>
          <w:marTop w:val="0"/>
          <w:marBottom w:val="0"/>
          <w:divBdr>
            <w:top w:val="none" w:sz="0" w:space="0" w:color="auto"/>
            <w:left w:val="none" w:sz="0" w:space="0" w:color="auto"/>
            <w:bottom w:val="none" w:sz="0" w:space="0" w:color="auto"/>
            <w:right w:val="none" w:sz="0" w:space="0" w:color="auto"/>
          </w:divBdr>
        </w:div>
        <w:div w:id="283460752">
          <w:marLeft w:val="0"/>
          <w:marRight w:val="0"/>
          <w:marTop w:val="0"/>
          <w:marBottom w:val="0"/>
          <w:divBdr>
            <w:top w:val="none" w:sz="0" w:space="0" w:color="auto"/>
            <w:left w:val="none" w:sz="0" w:space="0" w:color="auto"/>
            <w:bottom w:val="none" w:sz="0" w:space="0" w:color="auto"/>
            <w:right w:val="none" w:sz="0" w:space="0" w:color="auto"/>
          </w:divBdr>
        </w:div>
        <w:div w:id="485435727">
          <w:marLeft w:val="0"/>
          <w:marRight w:val="0"/>
          <w:marTop w:val="0"/>
          <w:marBottom w:val="0"/>
          <w:divBdr>
            <w:top w:val="none" w:sz="0" w:space="0" w:color="auto"/>
            <w:left w:val="none" w:sz="0" w:space="0" w:color="auto"/>
            <w:bottom w:val="none" w:sz="0" w:space="0" w:color="auto"/>
            <w:right w:val="none" w:sz="0" w:space="0" w:color="auto"/>
          </w:divBdr>
        </w:div>
        <w:div w:id="1860579077">
          <w:marLeft w:val="0"/>
          <w:marRight w:val="0"/>
          <w:marTop w:val="0"/>
          <w:marBottom w:val="0"/>
          <w:divBdr>
            <w:top w:val="none" w:sz="0" w:space="0" w:color="auto"/>
            <w:left w:val="none" w:sz="0" w:space="0" w:color="auto"/>
            <w:bottom w:val="none" w:sz="0" w:space="0" w:color="auto"/>
            <w:right w:val="none" w:sz="0" w:space="0" w:color="auto"/>
          </w:divBdr>
        </w:div>
      </w:divsChild>
    </w:div>
    <w:div w:id="1525359448">
      <w:bodyDiv w:val="1"/>
      <w:marLeft w:val="0"/>
      <w:marRight w:val="0"/>
      <w:marTop w:val="0"/>
      <w:marBottom w:val="0"/>
      <w:divBdr>
        <w:top w:val="none" w:sz="0" w:space="0" w:color="auto"/>
        <w:left w:val="none" w:sz="0" w:space="0" w:color="auto"/>
        <w:bottom w:val="none" w:sz="0" w:space="0" w:color="auto"/>
        <w:right w:val="none" w:sz="0" w:space="0" w:color="auto"/>
      </w:divBdr>
      <w:divsChild>
        <w:div w:id="1145731728">
          <w:marLeft w:val="0"/>
          <w:marRight w:val="0"/>
          <w:marTop w:val="0"/>
          <w:marBottom w:val="0"/>
          <w:divBdr>
            <w:top w:val="none" w:sz="0" w:space="0" w:color="auto"/>
            <w:left w:val="none" w:sz="0" w:space="0" w:color="auto"/>
            <w:bottom w:val="none" w:sz="0" w:space="0" w:color="auto"/>
            <w:right w:val="none" w:sz="0" w:space="0" w:color="auto"/>
          </w:divBdr>
        </w:div>
        <w:div w:id="1229337906">
          <w:marLeft w:val="0"/>
          <w:marRight w:val="0"/>
          <w:marTop w:val="0"/>
          <w:marBottom w:val="0"/>
          <w:divBdr>
            <w:top w:val="none" w:sz="0" w:space="0" w:color="auto"/>
            <w:left w:val="none" w:sz="0" w:space="0" w:color="auto"/>
            <w:bottom w:val="none" w:sz="0" w:space="0" w:color="auto"/>
            <w:right w:val="none" w:sz="0" w:space="0" w:color="auto"/>
          </w:divBdr>
        </w:div>
        <w:div w:id="765615941">
          <w:marLeft w:val="0"/>
          <w:marRight w:val="0"/>
          <w:marTop w:val="0"/>
          <w:marBottom w:val="0"/>
          <w:divBdr>
            <w:top w:val="none" w:sz="0" w:space="0" w:color="auto"/>
            <w:left w:val="none" w:sz="0" w:space="0" w:color="auto"/>
            <w:bottom w:val="none" w:sz="0" w:space="0" w:color="auto"/>
            <w:right w:val="none" w:sz="0" w:space="0" w:color="auto"/>
          </w:divBdr>
        </w:div>
        <w:div w:id="1538858719">
          <w:marLeft w:val="0"/>
          <w:marRight w:val="0"/>
          <w:marTop w:val="0"/>
          <w:marBottom w:val="0"/>
          <w:divBdr>
            <w:top w:val="none" w:sz="0" w:space="0" w:color="auto"/>
            <w:left w:val="none" w:sz="0" w:space="0" w:color="auto"/>
            <w:bottom w:val="none" w:sz="0" w:space="0" w:color="auto"/>
            <w:right w:val="none" w:sz="0" w:space="0" w:color="auto"/>
          </w:divBdr>
        </w:div>
        <w:div w:id="1151947687">
          <w:marLeft w:val="0"/>
          <w:marRight w:val="0"/>
          <w:marTop w:val="45"/>
          <w:marBottom w:val="0"/>
          <w:divBdr>
            <w:top w:val="none" w:sz="0" w:space="0" w:color="auto"/>
            <w:left w:val="none" w:sz="0" w:space="0" w:color="auto"/>
            <w:bottom w:val="none" w:sz="0" w:space="0" w:color="auto"/>
            <w:right w:val="none" w:sz="0" w:space="0" w:color="auto"/>
          </w:divBdr>
        </w:div>
      </w:divsChild>
    </w:div>
    <w:div w:id="1548908794">
      <w:bodyDiv w:val="1"/>
      <w:marLeft w:val="0"/>
      <w:marRight w:val="0"/>
      <w:marTop w:val="0"/>
      <w:marBottom w:val="0"/>
      <w:divBdr>
        <w:top w:val="none" w:sz="0" w:space="0" w:color="auto"/>
        <w:left w:val="none" w:sz="0" w:space="0" w:color="auto"/>
        <w:bottom w:val="none" w:sz="0" w:space="0" w:color="auto"/>
        <w:right w:val="none" w:sz="0" w:space="0" w:color="auto"/>
      </w:divBdr>
    </w:div>
    <w:div w:id="1689061085">
      <w:bodyDiv w:val="1"/>
      <w:marLeft w:val="0"/>
      <w:marRight w:val="0"/>
      <w:marTop w:val="0"/>
      <w:marBottom w:val="0"/>
      <w:divBdr>
        <w:top w:val="none" w:sz="0" w:space="0" w:color="auto"/>
        <w:left w:val="none" w:sz="0" w:space="0" w:color="auto"/>
        <w:bottom w:val="none" w:sz="0" w:space="0" w:color="auto"/>
        <w:right w:val="none" w:sz="0" w:space="0" w:color="auto"/>
      </w:divBdr>
    </w:div>
    <w:div w:id="1757052836">
      <w:bodyDiv w:val="1"/>
      <w:marLeft w:val="0"/>
      <w:marRight w:val="0"/>
      <w:marTop w:val="0"/>
      <w:marBottom w:val="0"/>
      <w:divBdr>
        <w:top w:val="none" w:sz="0" w:space="0" w:color="auto"/>
        <w:left w:val="none" w:sz="0" w:space="0" w:color="auto"/>
        <w:bottom w:val="none" w:sz="0" w:space="0" w:color="auto"/>
        <w:right w:val="none" w:sz="0" w:space="0" w:color="auto"/>
      </w:divBdr>
    </w:div>
    <w:div w:id="1835683995">
      <w:bodyDiv w:val="1"/>
      <w:marLeft w:val="0"/>
      <w:marRight w:val="0"/>
      <w:marTop w:val="0"/>
      <w:marBottom w:val="0"/>
      <w:divBdr>
        <w:top w:val="none" w:sz="0" w:space="0" w:color="auto"/>
        <w:left w:val="none" w:sz="0" w:space="0" w:color="auto"/>
        <w:bottom w:val="none" w:sz="0" w:space="0" w:color="auto"/>
        <w:right w:val="none" w:sz="0" w:space="0" w:color="auto"/>
      </w:divBdr>
      <w:divsChild>
        <w:div w:id="2048134">
          <w:marLeft w:val="0"/>
          <w:marRight w:val="0"/>
          <w:marTop w:val="0"/>
          <w:marBottom w:val="0"/>
          <w:divBdr>
            <w:top w:val="none" w:sz="0" w:space="0" w:color="auto"/>
            <w:left w:val="none" w:sz="0" w:space="0" w:color="auto"/>
            <w:bottom w:val="none" w:sz="0" w:space="0" w:color="auto"/>
            <w:right w:val="none" w:sz="0" w:space="0" w:color="auto"/>
          </w:divBdr>
          <w:divsChild>
            <w:div w:id="351958094">
              <w:marLeft w:val="0"/>
              <w:marRight w:val="0"/>
              <w:marTop w:val="0"/>
              <w:marBottom w:val="0"/>
              <w:divBdr>
                <w:top w:val="none" w:sz="0" w:space="0" w:color="auto"/>
                <w:left w:val="none" w:sz="0" w:space="0" w:color="auto"/>
                <w:bottom w:val="none" w:sz="0" w:space="0" w:color="auto"/>
                <w:right w:val="none" w:sz="0" w:space="0" w:color="auto"/>
              </w:divBdr>
              <w:divsChild>
                <w:div w:id="851840715">
                  <w:marLeft w:val="0"/>
                  <w:marRight w:val="0"/>
                  <w:marTop w:val="0"/>
                  <w:marBottom w:val="0"/>
                  <w:divBdr>
                    <w:top w:val="none" w:sz="0" w:space="0" w:color="auto"/>
                    <w:left w:val="none" w:sz="0" w:space="0" w:color="auto"/>
                    <w:bottom w:val="none" w:sz="0" w:space="0" w:color="auto"/>
                    <w:right w:val="none" w:sz="0" w:space="0" w:color="auto"/>
                  </w:divBdr>
                  <w:divsChild>
                    <w:div w:id="543828599">
                      <w:marLeft w:val="0"/>
                      <w:marRight w:val="0"/>
                      <w:marTop w:val="0"/>
                      <w:marBottom w:val="0"/>
                      <w:divBdr>
                        <w:top w:val="none" w:sz="0" w:space="0" w:color="auto"/>
                        <w:left w:val="none" w:sz="0" w:space="0" w:color="auto"/>
                        <w:bottom w:val="none" w:sz="0" w:space="0" w:color="auto"/>
                        <w:right w:val="none" w:sz="0" w:space="0" w:color="auto"/>
                      </w:divBdr>
                      <w:divsChild>
                        <w:div w:id="1214191465">
                          <w:marLeft w:val="0"/>
                          <w:marRight w:val="0"/>
                          <w:marTop w:val="0"/>
                          <w:marBottom w:val="0"/>
                          <w:divBdr>
                            <w:top w:val="none" w:sz="0" w:space="0" w:color="auto"/>
                            <w:left w:val="none" w:sz="0" w:space="0" w:color="auto"/>
                            <w:bottom w:val="none" w:sz="0" w:space="0" w:color="auto"/>
                            <w:right w:val="none" w:sz="0" w:space="0" w:color="auto"/>
                          </w:divBdr>
                          <w:divsChild>
                            <w:div w:id="168569464">
                              <w:marLeft w:val="0"/>
                              <w:marRight w:val="0"/>
                              <w:marTop w:val="0"/>
                              <w:marBottom w:val="0"/>
                              <w:divBdr>
                                <w:top w:val="none" w:sz="0" w:space="0" w:color="auto"/>
                                <w:left w:val="none" w:sz="0" w:space="0" w:color="auto"/>
                                <w:bottom w:val="none" w:sz="0" w:space="0" w:color="auto"/>
                                <w:right w:val="none" w:sz="0" w:space="0" w:color="auto"/>
                              </w:divBdr>
                              <w:divsChild>
                                <w:div w:id="371155405">
                                  <w:marLeft w:val="0"/>
                                  <w:marRight w:val="0"/>
                                  <w:marTop w:val="0"/>
                                  <w:marBottom w:val="0"/>
                                  <w:divBdr>
                                    <w:top w:val="none" w:sz="0" w:space="0" w:color="auto"/>
                                    <w:left w:val="none" w:sz="0" w:space="0" w:color="auto"/>
                                    <w:bottom w:val="none" w:sz="0" w:space="0" w:color="auto"/>
                                    <w:right w:val="none" w:sz="0" w:space="0" w:color="auto"/>
                                  </w:divBdr>
                                  <w:divsChild>
                                    <w:div w:id="208491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degruyter.com/document/doi/10.3139/105.110360/html"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proquest.com/docview/3098137748/fulltextPDF?pq-origsite=primo_ra&amp;accountid=130472&amp;sourcetype=Scholarly%20Journal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007/s11661-020-05789-y"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proquest.com/docview/2549483472/fulltextPDF?pq-origsite=primo_ra&amp;accountid=130472&amp;sourcetype=Scholarly%20Journals" TargetMode="External"/><Relationship Id="rId10" Type="http://schemas.openxmlformats.org/officeDocument/2006/relationships/image" Target="media/image5.png"/><Relationship Id="rId19" Type="http://schemas.openxmlformats.org/officeDocument/2006/relationships/hyperlink" Target="https://www.proquest.com/docview/2709596210/fulltextPDF?pq-origsite=primo_ra&amp;accountid=130472&amp;sourcetype=Scholarly%20Journal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ansys.com/products/materials/granta-edup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F4718-F074-4FD3-875C-E182ED2DF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3541</Words>
  <Characters>20187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Koa Brook (2203480)</dc:creator>
  <cp:keywords/>
  <dc:description/>
  <cp:lastModifiedBy>Koa Brook (2203480)</cp:lastModifiedBy>
  <cp:revision>2</cp:revision>
  <dcterms:created xsi:type="dcterms:W3CDTF">2025-03-16T13:22:00Z</dcterms:created>
  <dcterms:modified xsi:type="dcterms:W3CDTF">2025-03-16T13:22:00Z</dcterms:modified>
</cp:coreProperties>
</file>