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547E" w14:textId="77777777" w:rsidR="004A5CD4" w:rsidRDefault="004A5CD4">
      <w:pPr>
        <w:spacing w:before="120" w:after="120"/>
        <w:jc w:val="center"/>
        <w:rPr>
          <w:b/>
          <w:sz w:val="28"/>
        </w:rPr>
      </w:pPr>
    </w:p>
    <w:p w14:paraId="27883067" w14:textId="77777777" w:rsidR="004A5CD4" w:rsidRDefault="004A5CD4">
      <w:pPr>
        <w:spacing w:before="120" w:after="120"/>
        <w:jc w:val="center"/>
        <w:rPr>
          <w:b/>
          <w:sz w:val="28"/>
        </w:rPr>
      </w:pPr>
    </w:p>
    <w:p w14:paraId="2EB5B5F6" w14:textId="77777777" w:rsidR="004A5CD4" w:rsidRDefault="004A5CD4">
      <w:pPr>
        <w:spacing w:before="120" w:after="120"/>
        <w:jc w:val="center"/>
        <w:rPr>
          <w:b/>
          <w:sz w:val="28"/>
        </w:rPr>
      </w:pPr>
    </w:p>
    <w:p w14:paraId="0C127058" w14:textId="77777777" w:rsidR="004A5CD4" w:rsidRDefault="002244FC">
      <w:pPr>
        <w:spacing w:before="120" w:after="120"/>
        <w:jc w:val="center"/>
        <w:rPr>
          <w:b/>
          <w:sz w:val="28"/>
        </w:rPr>
      </w:pPr>
      <w:r>
        <w:rPr>
          <w:b/>
          <w:noProof/>
          <w:sz w:val="28"/>
          <w:lang w:val="en-IN" w:eastAsia="en-IN" w:bidi="hi-IN"/>
        </w:rPr>
        <w:drawing>
          <wp:inline distT="0" distB="0" distL="0" distR="0" wp14:anchorId="26348F6B" wp14:editId="496EC60D">
            <wp:extent cx="16256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stretch>
                      <a:fillRect/>
                    </a:stretch>
                  </pic:blipFill>
                  <pic:spPr>
                    <a:xfrm>
                      <a:off x="0" y="0"/>
                      <a:ext cx="1625684" cy="571529"/>
                    </a:xfrm>
                    <a:prstGeom prst="rect">
                      <a:avLst/>
                    </a:prstGeom>
                  </pic:spPr>
                </pic:pic>
              </a:graphicData>
            </a:graphic>
          </wp:inline>
        </w:drawing>
      </w:r>
    </w:p>
    <w:p w14:paraId="3A6C8881" w14:textId="77777777" w:rsidR="004A5CD4" w:rsidRDefault="004A5CD4">
      <w:pPr>
        <w:spacing w:before="120" w:after="120"/>
        <w:rPr>
          <w:b/>
          <w:sz w:val="28"/>
        </w:rPr>
      </w:pPr>
    </w:p>
    <w:p w14:paraId="70BDA0F7" w14:textId="77777777" w:rsidR="004A5CD4" w:rsidRDefault="002244FC">
      <w:pPr>
        <w:spacing w:before="120" w:after="120"/>
        <w:jc w:val="center"/>
        <w:rPr>
          <w:b/>
          <w:sz w:val="28"/>
        </w:rPr>
      </w:pPr>
      <w:r>
        <w:rPr>
          <w:b/>
          <w:sz w:val="28"/>
        </w:rPr>
        <w:t>Programme: MSc Public Health and Social Care in Practice</w:t>
      </w:r>
    </w:p>
    <w:p w14:paraId="35D51759" w14:textId="77777777" w:rsidR="004A5CD4" w:rsidRDefault="002244FC">
      <w:pPr>
        <w:spacing w:before="120" w:after="120"/>
        <w:jc w:val="center"/>
        <w:rPr>
          <w:b/>
          <w:sz w:val="28"/>
        </w:rPr>
      </w:pPr>
      <w:r>
        <w:rPr>
          <w:b/>
          <w:sz w:val="28"/>
        </w:rPr>
        <w:t>Module: Public Health and Social Care Dissertation</w:t>
      </w:r>
    </w:p>
    <w:p w14:paraId="4AED6F4C" w14:textId="77777777" w:rsidR="004A5CD4" w:rsidRDefault="002244FC">
      <w:pPr>
        <w:spacing w:before="120" w:after="120"/>
        <w:jc w:val="center"/>
        <w:rPr>
          <w:b/>
          <w:sz w:val="28"/>
        </w:rPr>
      </w:pPr>
      <w:r>
        <w:rPr>
          <w:b/>
          <w:sz w:val="28"/>
        </w:rPr>
        <w:t>Module code: LCHS7004</w:t>
      </w:r>
    </w:p>
    <w:p w14:paraId="11D398C5" w14:textId="77777777" w:rsidR="004A5CD4" w:rsidRDefault="002244FC">
      <w:pPr>
        <w:spacing w:before="120" w:after="120"/>
        <w:jc w:val="center"/>
        <w:rPr>
          <w:b/>
          <w:sz w:val="28"/>
        </w:rPr>
      </w:pPr>
      <w:r>
        <w:rPr>
          <w:b/>
          <w:sz w:val="28"/>
        </w:rPr>
        <w:t>The Effect of Racial Disparities on the Mental Health of Children under 18 years of age</w:t>
      </w:r>
    </w:p>
    <w:p w14:paraId="7D986F17" w14:textId="77777777" w:rsidR="004A5CD4" w:rsidRDefault="004A5CD4">
      <w:pPr>
        <w:spacing w:before="120" w:after="120"/>
        <w:jc w:val="center"/>
        <w:rPr>
          <w:b/>
          <w:sz w:val="28"/>
        </w:rPr>
      </w:pPr>
    </w:p>
    <w:p w14:paraId="5BEAC807" w14:textId="77777777" w:rsidR="004A5CD4" w:rsidRDefault="004A5CD4">
      <w:pPr>
        <w:spacing w:before="120" w:after="120"/>
        <w:rPr>
          <w:b/>
          <w:sz w:val="28"/>
        </w:rPr>
      </w:pPr>
    </w:p>
    <w:p w14:paraId="5908AC5A" w14:textId="77777777" w:rsidR="004A5CD4" w:rsidRDefault="002244FC">
      <w:pPr>
        <w:tabs>
          <w:tab w:val="center" w:pos="4513"/>
          <w:tab w:val="left" w:pos="5668"/>
        </w:tabs>
        <w:spacing w:before="120" w:after="120"/>
      </w:pPr>
      <w:r>
        <w:tab/>
        <w:t xml:space="preserve">Student Name: Jaimin Jadav                         </w:t>
      </w:r>
    </w:p>
    <w:p w14:paraId="3CC8E38B" w14:textId="77777777" w:rsidR="004A5CD4" w:rsidRDefault="002244FC">
      <w:pPr>
        <w:spacing w:before="120" w:after="120"/>
        <w:jc w:val="center"/>
      </w:pPr>
      <w:r>
        <w:t>Student ID: 2437156</w:t>
      </w:r>
    </w:p>
    <w:p w14:paraId="01CE2617" w14:textId="77777777" w:rsidR="004A5CD4" w:rsidRDefault="004A5CD4">
      <w:pPr>
        <w:spacing w:before="120" w:after="120"/>
        <w:jc w:val="center"/>
      </w:pPr>
    </w:p>
    <w:p w14:paraId="5C97E49F" w14:textId="77777777" w:rsidR="004A5CD4" w:rsidRDefault="002244FC">
      <w:pPr>
        <w:spacing w:after="0" w:line="240" w:lineRule="auto"/>
        <w:jc w:val="left"/>
      </w:pPr>
      <w:r>
        <w:br w:type="page"/>
      </w:r>
    </w:p>
    <w:p w14:paraId="4A2A7E4E" w14:textId="77777777" w:rsidR="004A5CD4" w:rsidRDefault="002244FC">
      <w:pPr>
        <w:spacing w:after="0" w:line="480" w:lineRule="auto"/>
        <w:jc w:val="left"/>
        <w:rPr>
          <w:b/>
          <w:bCs/>
        </w:rPr>
      </w:pPr>
      <w:r>
        <w:rPr>
          <w:b/>
          <w:bCs/>
        </w:rPr>
        <w:t xml:space="preserve">Acknowledgement </w:t>
      </w:r>
    </w:p>
    <w:p w14:paraId="5B3C5F4F" w14:textId="77777777" w:rsidR="004A5CD4" w:rsidRDefault="002244FC">
      <w:r>
        <w:t>I would like to express my sincere gratitude to my supervisor, university, and all those who provided guidance, support, and encouragement throughout this research journey.</w:t>
      </w:r>
      <w:r>
        <w:rPr>
          <w:lang w:val="en-IN"/>
        </w:rPr>
        <w:t xml:space="preserve">  I wish to express my appreciation to anyone who has helped me in any way, directly or indirectly, during the preparation of this dissertation. Their encouragement and support have been a great help to me in reaching this academic goal.</w:t>
      </w:r>
      <w:r>
        <w:br w:type="page"/>
      </w:r>
    </w:p>
    <w:p w14:paraId="362145E6" w14:textId="77777777" w:rsidR="004A5CD4" w:rsidRDefault="002244FC">
      <w:pPr>
        <w:spacing w:before="120" w:after="120"/>
        <w:rPr>
          <w:b/>
          <w:bCs/>
        </w:rPr>
      </w:pPr>
      <w:r>
        <w:rPr>
          <w:b/>
          <w:bCs/>
        </w:rPr>
        <w:t>Abstract</w:t>
      </w:r>
    </w:p>
    <w:p w14:paraId="3583471F" w14:textId="77777777" w:rsidR="004A5CD4" w:rsidRDefault="002244FC">
      <w:pPr>
        <w:spacing w:before="120" w:after="120"/>
        <w:rPr>
          <w:lang w:val="en-IN"/>
        </w:rPr>
      </w:pPr>
      <w:r>
        <w:rPr>
          <w:lang w:val="en-IN"/>
        </w:rPr>
        <w:t>Racial discrimination is an important public health concern because it may influence the psychological wellbeing and development of children and young people. This systematic literature review examined the relationship between school-based racism, racial or ethnic inequalities and mental-health outcomes among children and young people under 18 years of age in the UK. It also explored experiences of racism and contextual factors that may increase or reduce psychological vulnerability.</w:t>
      </w:r>
    </w:p>
    <w:p w14:paraId="084C3D71" w14:textId="77777777" w:rsidR="004A5CD4" w:rsidRDefault="002244FC">
      <w:pPr>
        <w:spacing w:before="120" w:after="120"/>
        <w:rPr>
          <w:lang w:val="en-IN"/>
        </w:rPr>
      </w:pPr>
      <w:r>
        <w:rPr>
          <w:lang w:val="en-IN"/>
        </w:rPr>
        <w:t xml:space="preserve">The review followed PRISMA 2020 principles. PubMed, MEDLINE, PsycINFO, CINAHL, Scopus and Web of Science were systematically searched for peer-reviewed studies published between </w:t>
      </w:r>
      <w:r>
        <w:rPr>
          <w:b/>
          <w:bCs/>
          <w:lang w:val="en-IN"/>
        </w:rPr>
        <w:t>January 2012 and June 2026</w:t>
      </w:r>
      <w:r>
        <w:rPr>
          <w:lang w:val="en-IN"/>
        </w:rPr>
        <w:t>, while Google Scholar was used for supplementary citation checking. Eight studies met the eligibility criteria. Qualitative studies were appraised using CASP, while quantitative studies were assessed using appropriate JBI checklists. Findings were synthesised thematically using an adapted approach informed by Braun and Clarke’s six-phase thematic analysis framework.</w:t>
      </w:r>
    </w:p>
    <w:p w14:paraId="6FDDCEF8" w14:textId="77777777" w:rsidR="004A5CD4" w:rsidRDefault="002244FC">
      <w:pPr>
        <w:spacing w:before="120" w:after="120"/>
        <w:rPr>
          <w:lang w:val="en-IN"/>
        </w:rPr>
      </w:pPr>
      <w:r>
        <w:rPr>
          <w:lang w:val="en-IN"/>
        </w:rPr>
        <w:t>Four key findings emerged: experiences and manifestations of racial discrimination; adverse psychological and emotional consequences; behavioural, social and developmental consequences; and contextual risk and protective factors. Across the evidence, racial discrimination and racial or ethnic inequalities were associated with poorer wellbeing, emotional distress, behavioural difficulties and adverse social experiences. However, differences in study design and exposure measurement limited causal conclusions.</w:t>
      </w:r>
    </w:p>
    <w:p w14:paraId="2B5A05C4" w14:textId="77777777" w:rsidR="004A5CD4" w:rsidRDefault="002244FC">
      <w:pPr>
        <w:spacing w:before="120" w:after="120"/>
        <w:rPr>
          <w:lang w:val="en-IN"/>
        </w:rPr>
      </w:pPr>
      <w:r>
        <w:rPr>
          <w:lang w:val="en-IN"/>
        </w:rPr>
        <w:t>The review highlights racism as an important consideration in child mental health and supports evidence-informed school and public-health responses that recognise racialised experiences alongside family, peer, socioeconomic and school contexts. Further UK longitudinal research directly measuring racism is required.</w:t>
      </w:r>
    </w:p>
    <w:p w14:paraId="379C0BD7" w14:textId="77777777" w:rsidR="004A5CD4" w:rsidRDefault="002244FC">
      <w:pPr>
        <w:spacing w:after="0" w:line="240" w:lineRule="auto"/>
        <w:jc w:val="left"/>
        <w:rPr>
          <w:lang w:val="en-IN"/>
        </w:rPr>
      </w:pPr>
      <w:r>
        <w:rPr>
          <w:lang w:val="en-IN"/>
        </w:rPr>
        <w:br w:type="page"/>
      </w:r>
    </w:p>
    <w:sdt>
      <w:sdtPr>
        <w:rPr>
          <w:rFonts w:ascii="Times New Roman" w:eastAsiaTheme="minorHAnsi" w:hAnsi="Times New Roman" w:cs="Times New Roman"/>
          <w:b/>
          <w:color w:val="auto"/>
          <w:sz w:val="28"/>
          <w:szCs w:val="28"/>
          <w:lang w:val="en-GB"/>
        </w:rPr>
        <w:id w:val="-623777301"/>
        <w:docPartObj>
          <w:docPartGallery w:val="Table of Contents"/>
          <w:docPartUnique/>
        </w:docPartObj>
      </w:sdtPr>
      <w:sdtEndPr>
        <w:rPr>
          <w:rFonts w:ascii="Arial" w:hAnsi="Arial" w:cstheme="minorBidi"/>
          <w:bCs/>
          <w:sz w:val="24"/>
          <w:szCs w:val="22"/>
        </w:rPr>
      </w:sdtEndPr>
      <w:sdtContent>
        <w:p w14:paraId="787F1690" w14:textId="77777777" w:rsidR="004A5CD4" w:rsidRDefault="002244FC">
          <w:pPr>
            <w:pStyle w:val="TOCHeading1"/>
            <w:spacing w:before="120" w:after="120"/>
            <w:jc w:val="center"/>
            <w:rPr>
              <w:rFonts w:ascii="Arial" w:hAnsi="Arial" w:cs="Arial"/>
              <w:b/>
              <w:color w:val="auto"/>
              <w:sz w:val="28"/>
              <w:szCs w:val="28"/>
              <w:lang w:val="en-GB"/>
            </w:rPr>
          </w:pPr>
          <w:r>
            <w:rPr>
              <w:rFonts w:ascii="Arial" w:hAnsi="Arial" w:cs="Arial"/>
              <w:b/>
              <w:color w:val="auto"/>
              <w:sz w:val="28"/>
              <w:szCs w:val="28"/>
              <w:lang w:val="en-GB"/>
            </w:rPr>
            <w:t>Table of Contents</w:t>
          </w:r>
        </w:p>
        <w:p w14:paraId="3E917BE3"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38674262" w:history="1">
            <w:r>
              <w:rPr>
                <w:rStyle w:val="Hyperlink"/>
                <w:noProof/>
              </w:rPr>
              <w:t>1.0 Chapter 1: Introduction and Background</w:t>
            </w:r>
            <w:r>
              <w:rPr>
                <w:noProof/>
              </w:rPr>
              <w:tab/>
            </w:r>
            <w:r>
              <w:rPr>
                <w:noProof/>
              </w:rPr>
              <w:fldChar w:fldCharType="begin"/>
            </w:r>
            <w:r>
              <w:rPr>
                <w:noProof/>
              </w:rPr>
              <w:instrText xml:space="preserve"> PAGEREF _Toc238674262 \h </w:instrText>
            </w:r>
            <w:r>
              <w:rPr>
                <w:noProof/>
              </w:rPr>
            </w:r>
            <w:r>
              <w:rPr>
                <w:noProof/>
              </w:rPr>
              <w:fldChar w:fldCharType="separate"/>
            </w:r>
            <w:r w:rsidR="00CC324E">
              <w:rPr>
                <w:noProof/>
              </w:rPr>
              <w:t>11</w:t>
            </w:r>
            <w:r>
              <w:rPr>
                <w:noProof/>
              </w:rPr>
              <w:fldChar w:fldCharType="end"/>
            </w:r>
          </w:hyperlink>
        </w:p>
        <w:p w14:paraId="6E4A8AC1"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3" w:history="1">
            <w:r>
              <w:rPr>
                <w:rStyle w:val="Hyperlink"/>
                <w:noProof/>
              </w:rPr>
              <w:t>1.1 Introduction to the topic</w:t>
            </w:r>
            <w:r>
              <w:rPr>
                <w:noProof/>
              </w:rPr>
              <w:tab/>
            </w:r>
            <w:r>
              <w:rPr>
                <w:noProof/>
              </w:rPr>
              <w:fldChar w:fldCharType="begin"/>
            </w:r>
            <w:r>
              <w:rPr>
                <w:noProof/>
              </w:rPr>
              <w:instrText xml:space="preserve"> PAGEREF _Toc238674263 \h </w:instrText>
            </w:r>
            <w:r>
              <w:rPr>
                <w:noProof/>
              </w:rPr>
            </w:r>
            <w:r>
              <w:rPr>
                <w:noProof/>
              </w:rPr>
              <w:fldChar w:fldCharType="separate"/>
            </w:r>
            <w:r w:rsidR="00CC324E">
              <w:rPr>
                <w:noProof/>
              </w:rPr>
              <w:t>11</w:t>
            </w:r>
            <w:r>
              <w:rPr>
                <w:noProof/>
              </w:rPr>
              <w:fldChar w:fldCharType="end"/>
            </w:r>
          </w:hyperlink>
        </w:p>
        <w:p w14:paraId="3CB9FF68"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4" w:history="1">
            <w:r>
              <w:rPr>
                <w:rStyle w:val="Hyperlink"/>
                <w:noProof/>
              </w:rPr>
              <w:t>1.2 Background and Current Context</w:t>
            </w:r>
            <w:r>
              <w:rPr>
                <w:noProof/>
              </w:rPr>
              <w:tab/>
            </w:r>
            <w:r>
              <w:rPr>
                <w:noProof/>
              </w:rPr>
              <w:fldChar w:fldCharType="begin"/>
            </w:r>
            <w:r>
              <w:rPr>
                <w:noProof/>
              </w:rPr>
              <w:instrText xml:space="preserve"> PAGEREF _Toc238674264 \h </w:instrText>
            </w:r>
            <w:r>
              <w:rPr>
                <w:noProof/>
              </w:rPr>
            </w:r>
            <w:r>
              <w:rPr>
                <w:noProof/>
              </w:rPr>
              <w:fldChar w:fldCharType="separate"/>
            </w:r>
            <w:r w:rsidR="00CC324E">
              <w:rPr>
                <w:noProof/>
              </w:rPr>
              <w:t>11</w:t>
            </w:r>
            <w:r>
              <w:rPr>
                <w:noProof/>
              </w:rPr>
              <w:fldChar w:fldCharType="end"/>
            </w:r>
          </w:hyperlink>
        </w:p>
        <w:p w14:paraId="468804D5"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5" w:history="1">
            <w:r>
              <w:rPr>
                <w:rStyle w:val="Hyperlink"/>
                <w:noProof/>
              </w:rPr>
              <w:t>1.3 Rationale for Research or Problem Statement</w:t>
            </w:r>
            <w:r>
              <w:rPr>
                <w:noProof/>
              </w:rPr>
              <w:tab/>
            </w:r>
            <w:r>
              <w:rPr>
                <w:noProof/>
              </w:rPr>
              <w:fldChar w:fldCharType="begin"/>
            </w:r>
            <w:r>
              <w:rPr>
                <w:noProof/>
              </w:rPr>
              <w:instrText xml:space="preserve"> PAGEREF _Toc238674265 \h </w:instrText>
            </w:r>
            <w:r>
              <w:rPr>
                <w:noProof/>
              </w:rPr>
            </w:r>
            <w:r>
              <w:rPr>
                <w:noProof/>
              </w:rPr>
              <w:fldChar w:fldCharType="separate"/>
            </w:r>
            <w:r w:rsidR="00CC324E">
              <w:rPr>
                <w:noProof/>
              </w:rPr>
              <w:t>13</w:t>
            </w:r>
            <w:r>
              <w:rPr>
                <w:noProof/>
              </w:rPr>
              <w:fldChar w:fldCharType="end"/>
            </w:r>
          </w:hyperlink>
        </w:p>
        <w:p w14:paraId="6B2E473A"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6" w:history="1">
            <w:r>
              <w:rPr>
                <w:rStyle w:val="Hyperlink"/>
                <w:noProof/>
              </w:rPr>
              <w:t>1.4 Research question</w:t>
            </w:r>
            <w:r>
              <w:rPr>
                <w:noProof/>
              </w:rPr>
              <w:tab/>
            </w:r>
            <w:r>
              <w:rPr>
                <w:noProof/>
              </w:rPr>
              <w:fldChar w:fldCharType="begin"/>
            </w:r>
            <w:r>
              <w:rPr>
                <w:noProof/>
              </w:rPr>
              <w:instrText xml:space="preserve"> PAGEREF _Toc238674266 \h </w:instrText>
            </w:r>
            <w:r>
              <w:rPr>
                <w:noProof/>
              </w:rPr>
            </w:r>
            <w:r>
              <w:rPr>
                <w:noProof/>
              </w:rPr>
              <w:fldChar w:fldCharType="separate"/>
            </w:r>
            <w:r w:rsidR="00CC324E">
              <w:rPr>
                <w:noProof/>
              </w:rPr>
              <w:t>14</w:t>
            </w:r>
            <w:r>
              <w:rPr>
                <w:noProof/>
              </w:rPr>
              <w:fldChar w:fldCharType="end"/>
            </w:r>
          </w:hyperlink>
        </w:p>
        <w:p w14:paraId="696F72D4"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7" w:history="1">
            <w:r>
              <w:rPr>
                <w:rStyle w:val="Hyperlink"/>
                <w:noProof/>
              </w:rPr>
              <w:t>1.5 Research Aim</w:t>
            </w:r>
            <w:r>
              <w:rPr>
                <w:noProof/>
              </w:rPr>
              <w:tab/>
            </w:r>
            <w:r>
              <w:rPr>
                <w:noProof/>
              </w:rPr>
              <w:fldChar w:fldCharType="begin"/>
            </w:r>
            <w:r>
              <w:rPr>
                <w:noProof/>
              </w:rPr>
              <w:instrText xml:space="preserve"> PAGEREF _Toc238674267 \h </w:instrText>
            </w:r>
            <w:r>
              <w:rPr>
                <w:noProof/>
              </w:rPr>
            </w:r>
            <w:r>
              <w:rPr>
                <w:noProof/>
              </w:rPr>
              <w:fldChar w:fldCharType="separate"/>
            </w:r>
            <w:r w:rsidR="00CC324E">
              <w:rPr>
                <w:noProof/>
              </w:rPr>
              <w:t>14</w:t>
            </w:r>
            <w:r>
              <w:rPr>
                <w:noProof/>
              </w:rPr>
              <w:fldChar w:fldCharType="end"/>
            </w:r>
          </w:hyperlink>
        </w:p>
        <w:p w14:paraId="73952B78"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8" w:history="1">
            <w:r>
              <w:rPr>
                <w:rStyle w:val="Hyperlink"/>
                <w:noProof/>
              </w:rPr>
              <w:t>1.6 Research Objectives</w:t>
            </w:r>
            <w:r>
              <w:rPr>
                <w:noProof/>
              </w:rPr>
              <w:tab/>
            </w:r>
            <w:r>
              <w:rPr>
                <w:noProof/>
              </w:rPr>
              <w:fldChar w:fldCharType="begin"/>
            </w:r>
            <w:r>
              <w:rPr>
                <w:noProof/>
              </w:rPr>
              <w:instrText xml:space="preserve"> PAGEREF _Toc238674268 \h </w:instrText>
            </w:r>
            <w:r>
              <w:rPr>
                <w:noProof/>
              </w:rPr>
            </w:r>
            <w:r>
              <w:rPr>
                <w:noProof/>
              </w:rPr>
              <w:fldChar w:fldCharType="separate"/>
            </w:r>
            <w:r w:rsidR="00CC324E">
              <w:rPr>
                <w:noProof/>
              </w:rPr>
              <w:t>14</w:t>
            </w:r>
            <w:r>
              <w:rPr>
                <w:noProof/>
              </w:rPr>
              <w:fldChar w:fldCharType="end"/>
            </w:r>
          </w:hyperlink>
        </w:p>
        <w:p w14:paraId="3CB18F7B"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69" w:history="1">
            <w:r>
              <w:rPr>
                <w:rStyle w:val="Hyperlink"/>
                <w:noProof/>
              </w:rPr>
              <w:t>1.7 Chapter summary</w:t>
            </w:r>
            <w:r>
              <w:rPr>
                <w:noProof/>
              </w:rPr>
              <w:tab/>
            </w:r>
            <w:r>
              <w:rPr>
                <w:noProof/>
              </w:rPr>
              <w:fldChar w:fldCharType="begin"/>
            </w:r>
            <w:r>
              <w:rPr>
                <w:noProof/>
              </w:rPr>
              <w:instrText xml:space="preserve"> PAGEREF _Toc238674269 \h </w:instrText>
            </w:r>
            <w:r>
              <w:rPr>
                <w:noProof/>
              </w:rPr>
            </w:r>
            <w:r>
              <w:rPr>
                <w:noProof/>
              </w:rPr>
              <w:fldChar w:fldCharType="separate"/>
            </w:r>
            <w:r w:rsidR="00CC324E">
              <w:rPr>
                <w:noProof/>
              </w:rPr>
              <w:t>14</w:t>
            </w:r>
            <w:r>
              <w:rPr>
                <w:noProof/>
              </w:rPr>
              <w:fldChar w:fldCharType="end"/>
            </w:r>
          </w:hyperlink>
        </w:p>
        <w:p w14:paraId="02DA4950"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270" w:history="1">
            <w:r>
              <w:rPr>
                <w:rStyle w:val="Hyperlink"/>
                <w:noProof/>
              </w:rPr>
              <w:t>2.0 Chapter 2:  Literature Review</w:t>
            </w:r>
            <w:r>
              <w:rPr>
                <w:noProof/>
              </w:rPr>
              <w:tab/>
            </w:r>
            <w:r>
              <w:rPr>
                <w:noProof/>
              </w:rPr>
              <w:fldChar w:fldCharType="begin"/>
            </w:r>
            <w:r>
              <w:rPr>
                <w:noProof/>
              </w:rPr>
              <w:instrText xml:space="preserve"> PAGEREF _Toc238674270 \h </w:instrText>
            </w:r>
            <w:r>
              <w:rPr>
                <w:noProof/>
              </w:rPr>
            </w:r>
            <w:r>
              <w:rPr>
                <w:noProof/>
              </w:rPr>
              <w:fldChar w:fldCharType="separate"/>
            </w:r>
            <w:r w:rsidR="00CC324E">
              <w:rPr>
                <w:noProof/>
              </w:rPr>
              <w:t>15</w:t>
            </w:r>
            <w:r>
              <w:rPr>
                <w:noProof/>
              </w:rPr>
              <w:fldChar w:fldCharType="end"/>
            </w:r>
          </w:hyperlink>
        </w:p>
        <w:p w14:paraId="0B3B3D8F"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1" w:history="1">
            <w:r>
              <w:rPr>
                <w:rStyle w:val="Hyperlink"/>
                <w:noProof/>
              </w:rPr>
              <w:t>2.1 Introduction</w:t>
            </w:r>
            <w:r>
              <w:rPr>
                <w:noProof/>
              </w:rPr>
              <w:tab/>
            </w:r>
            <w:r>
              <w:rPr>
                <w:noProof/>
              </w:rPr>
              <w:fldChar w:fldCharType="begin"/>
            </w:r>
            <w:r>
              <w:rPr>
                <w:noProof/>
              </w:rPr>
              <w:instrText xml:space="preserve"> PAGEREF _Toc238674271 \h </w:instrText>
            </w:r>
            <w:r>
              <w:rPr>
                <w:noProof/>
              </w:rPr>
            </w:r>
            <w:r>
              <w:rPr>
                <w:noProof/>
              </w:rPr>
              <w:fldChar w:fldCharType="separate"/>
            </w:r>
            <w:r w:rsidR="00CC324E">
              <w:rPr>
                <w:noProof/>
              </w:rPr>
              <w:t>15</w:t>
            </w:r>
            <w:r>
              <w:rPr>
                <w:noProof/>
              </w:rPr>
              <w:fldChar w:fldCharType="end"/>
            </w:r>
          </w:hyperlink>
        </w:p>
        <w:p w14:paraId="7AB552F7"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2" w:history="1">
            <w:r>
              <w:rPr>
                <w:rStyle w:val="Hyperlink"/>
                <w:noProof/>
              </w:rPr>
              <w:t>2.2 Literature review</w:t>
            </w:r>
            <w:r>
              <w:rPr>
                <w:noProof/>
              </w:rPr>
              <w:tab/>
            </w:r>
            <w:r>
              <w:rPr>
                <w:noProof/>
              </w:rPr>
              <w:fldChar w:fldCharType="begin"/>
            </w:r>
            <w:r>
              <w:rPr>
                <w:noProof/>
              </w:rPr>
              <w:instrText xml:space="preserve"> PAGEREF _Toc238674272 \h </w:instrText>
            </w:r>
            <w:r>
              <w:rPr>
                <w:noProof/>
              </w:rPr>
            </w:r>
            <w:r>
              <w:rPr>
                <w:noProof/>
              </w:rPr>
              <w:fldChar w:fldCharType="separate"/>
            </w:r>
            <w:r w:rsidR="00CC324E">
              <w:rPr>
                <w:noProof/>
              </w:rPr>
              <w:t>15</w:t>
            </w:r>
            <w:r>
              <w:rPr>
                <w:noProof/>
              </w:rPr>
              <w:fldChar w:fldCharType="end"/>
            </w:r>
          </w:hyperlink>
        </w:p>
        <w:p w14:paraId="193CD186"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3" w:history="1">
            <w:r>
              <w:rPr>
                <w:rStyle w:val="Hyperlink"/>
                <w:noProof/>
              </w:rPr>
              <w:t>2.3 Chapter summary</w:t>
            </w:r>
            <w:r>
              <w:rPr>
                <w:noProof/>
              </w:rPr>
              <w:tab/>
            </w:r>
            <w:r>
              <w:rPr>
                <w:noProof/>
              </w:rPr>
              <w:fldChar w:fldCharType="begin"/>
            </w:r>
            <w:r>
              <w:rPr>
                <w:noProof/>
              </w:rPr>
              <w:instrText xml:space="preserve"> PAGEREF _Toc238674273 \h </w:instrText>
            </w:r>
            <w:r>
              <w:rPr>
                <w:noProof/>
              </w:rPr>
            </w:r>
            <w:r>
              <w:rPr>
                <w:noProof/>
              </w:rPr>
              <w:fldChar w:fldCharType="separate"/>
            </w:r>
            <w:r w:rsidR="00CC324E">
              <w:rPr>
                <w:noProof/>
              </w:rPr>
              <w:t>21</w:t>
            </w:r>
            <w:r>
              <w:rPr>
                <w:noProof/>
              </w:rPr>
              <w:fldChar w:fldCharType="end"/>
            </w:r>
          </w:hyperlink>
        </w:p>
        <w:p w14:paraId="4D3EB95A"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274" w:history="1">
            <w:r>
              <w:rPr>
                <w:rStyle w:val="Hyperlink"/>
                <w:noProof/>
              </w:rPr>
              <w:t>3.0 Chapter 3: Methodology</w:t>
            </w:r>
            <w:r>
              <w:rPr>
                <w:noProof/>
              </w:rPr>
              <w:tab/>
            </w:r>
            <w:r>
              <w:rPr>
                <w:noProof/>
              </w:rPr>
              <w:fldChar w:fldCharType="begin"/>
            </w:r>
            <w:r>
              <w:rPr>
                <w:noProof/>
              </w:rPr>
              <w:instrText xml:space="preserve"> PAGEREF _Toc238674274 \h </w:instrText>
            </w:r>
            <w:r>
              <w:rPr>
                <w:noProof/>
              </w:rPr>
            </w:r>
            <w:r>
              <w:rPr>
                <w:noProof/>
              </w:rPr>
              <w:fldChar w:fldCharType="separate"/>
            </w:r>
            <w:r w:rsidR="00CC324E">
              <w:rPr>
                <w:noProof/>
              </w:rPr>
              <w:t>22</w:t>
            </w:r>
            <w:r>
              <w:rPr>
                <w:noProof/>
              </w:rPr>
              <w:fldChar w:fldCharType="end"/>
            </w:r>
          </w:hyperlink>
        </w:p>
        <w:p w14:paraId="7A5989F5"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5" w:history="1">
            <w:r>
              <w:rPr>
                <w:rStyle w:val="Hyperlink"/>
                <w:rFonts w:cs="Times New Roman"/>
                <w:noProof/>
              </w:rPr>
              <w:t>3.1 Introduction to Chapter</w:t>
            </w:r>
            <w:r>
              <w:rPr>
                <w:noProof/>
              </w:rPr>
              <w:tab/>
            </w:r>
            <w:r>
              <w:rPr>
                <w:noProof/>
              </w:rPr>
              <w:fldChar w:fldCharType="begin"/>
            </w:r>
            <w:r>
              <w:rPr>
                <w:noProof/>
              </w:rPr>
              <w:instrText xml:space="preserve"> PAGEREF _Toc238674275 \h </w:instrText>
            </w:r>
            <w:r>
              <w:rPr>
                <w:noProof/>
              </w:rPr>
            </w:r>
            <w:r>
              <w:rPr>
                <w:noProof/>
              </w:rPr>
              <w:fldChar w:fldCharType="separate"/>
            </w:r>
            <w:r w:rsidR="00CC324E">
              <w:rPr>
                <w:noProof/>
              </w:rPr>
              <w:t>22</w:t>
            </w:r>
            <w:r>
              <w:rPr>
                <w:noProof/>
              </w:rPr>
              <w:fldChar w:fldCharType="end"/>
            </w:r>
          </w:hyperlink>
        </w:p>
        <w:p w14:paraId="580E7B28"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6" w:history="1">
            <w:r>
              <w:rPr>
                <w:rStyle w:val="Hyperlink"/>
                <w:rFonts w:cs="Times New Roman"/>
                <w:noProof/>
              </w:rPr>
              <w:t>3.2 Systematic Literature Review (SLR)</w:t>
            </w:r>
            <w:r>
              <w:rPr>
                <w:noProof/>
              </w:rPr>
              <w:tab/>
            </w:r>
            <w:r>
              <w:rPr>
                <w:noProof/>
              </w:rPr>
              <w:fldChar w:fldCharType="begin"/>
            </w:r>
            <w:r>
              <w:rPr>
                <w:noProof/>
              </w:rPr>
              <w:instrText xml:space="preserve"> PAGEREF _Toc238674276 \h </w:instrText>
            </w:r>
            <w:r>
              <w:rPr>
                <w:noProof/>
              </w:rPr>
            </w:r>
            <w:r>
              <w:rPr>
                <w:noProof/>
              </w:rPr>
              <w:fldChar w:fldCharType="separate"/>
            </w:r>
            <w:r w:rsidR="00CC324E">
              <w:rPr>
                <w:noProof/>
              </w:rPr>
              <w:t>22</w:t>
            </w:r>
            <w:r>
              <w:rPr>
                <w:noProof/>
              </w:rPr>
              <w:fldChar w:fldCharType="end"/>
            </w:r>
          </w:hyperlink>
        </w:p>
        <w:p w14:paraId="3E9790D0"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7" w:history="1">
            <w:r>
              <w:rPr>
                <w:rStyle w:val="Hyperlink"/>
                <w:rFonts w:cs="Times New Roman"/>
                <w:noProof/>
              </w:rPr>
              <w:t>3.3 Search Strategy</w:t>
            </w:r>
            <w:r>
              <w:rPr>
                <w:noProof/>
              </w:rPr>
              <w:tab/>
            </w:r>
            <w:r>
              <w:rPr>
                <w:noProof/>
              </w:rPr>
              <w:fldChar w:fldCharType="begin"/>
            </w:r>
            <w:r>
              <w:rPr>
                <w:noProof/>
              </w:rPr>
              <w:instrText xml:space="preserve"> PAGEREF _Toc238674277 \h </w:instrText>
            </w:r>
            <w:r>
              <w:rPr>
                <w:noProof/>
              </w:rPr>
            </w:r>
            <w:r>
              <w:rPr>
                <w:noProof/>
              </w:rPr>
              <w:fldChar w:fldCharType="separate"/>
            </w:r>
            <w:r w:rsidR="00CC324E">
              <w:rPr>
                <w:noProof/>
              </w:rPr>
              <w:t>22</w:t>
            </w:r>
            <w:r>
              <w:rPr>
                <w:noProof/>
              </w:rPr>
              <w:fldChar w:fldCharType="end"/>
            </w:r>
          </w:hyperlink>
        </w:p>
        <w:p w14:paraId="579B48E3"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8" w:history="1">
            <w:r>
              <w:rPr>
                <w:rStyle w:val="Hyperlink"/>
                <w:rFonts w:cs="Times New Roman"/>
                <w:noProof/>
              </w:rPr>
              <w:t>3.4 Search terms</w:t>
            </w:r>
            <w:r>
              <w:rPr>
                <w:noProof/>
              </w:rPr>
              <w:tab/>
            </w:r>
            <w:r>
              <w:rPr>
                <w:noProof/>
              </w:rPr>
              <w:fldChar w:fldCharType="begin"/>
            </w:r>
            <w:r>
              <w:rPr>
                <w:noProof/>
              </w:rPr>
              <w:instrText xml:space="preserve"> PAGEREF _Toc238674278 \h </w:instrText>
            </w:r>
            <w:r>
              <w:rPr>
                <w:noProof/>
              </w:rPr>
            </w:r>
            <w:r>
              <w:rPr>
                <w:noProof/>
              </w:rPr>
              <w:fldChar w:fldCharType="separate"/>
            </w:r>
            <w:r w:rsidR="00CC324E">
              <w:rPr>
                <w:noProof/>
              </w:rPr>
              <w:t>22</w:t>
            </w:r>
            <w:r>
              <w:rPr>
                <w:noProof/>
              </w:rPr>
              <w:fldChar w:fldCharType="end"/>
            </w:r>
          </w:hyperlink>
        </w:p>
        <w:p w14:paraId="7B4817AF"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79" w:history="1">
            <w:r>
              <w:rPr>
                <w:rStyle w:val="Hyperlink"/>
                <w:rFonts w:cs="Times New Roman"/>
                <w:noProof/>
              </w:rPr>
              <w:t>3.5 Key Words</w:t>
            </w:r>
            <w:r>
              <w:rPr>
                <w:noProof/>
              </w:rPr>
              <w:tab/>
            </w:r>
            <w:r>
              <w:rPr>
                <w:noProof/>
              </w:rPr>
              <w:fldChar w:fldCharType="begin"/>
            </w:r>
            <w:r>
              <w:rPr>
                <w:noProof/>
              </w:rPr>
              <w:instrText xml:space="preserve"> PAGEREF _Toc238674279 \h </w:instrText>
            </w:r>
            <w:r>
              <w:rPr>
                <w:noProof/>
              </w:rPr>
            </w:r>
            <w:r>
              <w:rPr>
                <w:noProof/>
              </w:rPr>
              <w:fldChar w:fldCharType="separate"/>
            </w:r>
            <w:r w:rsidR="00CC324E">
              <w:rPr>
                <w:noProof/>
              </w:rPr>
              <w:t>25</w:t>
            </w:r>
            <w:r>
              <w:rPr>
                <w:noProof/>
              </w:rPr>
              <w:fldChar w:fldCharType="end"/>
            </w:r>
          </w:hyperlink>
        </w:p>
        <w:p w14:paraId="17C19202"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0" w:history="1">
            <w:r>
              <w:rPr>
                <w:rStyle w:val="Hyperlink"/>
                <w:rFonts w:cs="Times New Roman"/>
                <w:noProof/>
              </w:rPr>
              <w:t>3.6 Databases</w:t>
            </w:r>
            <w:r>
              <w:rPr>
                <w:noProof/>
              </w:rPr>
              <w:tab/>
            </w:r>
            <w:r>
              <w:rPr>
                <w:noProof/>
              </w:rPr>
              <w:fldChar w:fldCharType="begin"/>
            </w:r>
            <w:r>
              <w:rPr>
                <w:noProof/>
              </w:rPr>
              <w:instrText xml:space="preserve"> PAGEREF _Toc238674280 \h </w:instrText>
            </w:r>
            <w:r>
              <w:rPr>
                <w:noProof/>
              </w:rPr>
            </w:r>
            <w:r>
              <w:rPr>
                <w:noProof/>
              </w:rPr>
              <w:fldChar w:fldCharType="separate"/>
            </w:r>
            <w:r w:rsidR="00CC324E">
              <w:rPr>
                <w:noProof/>
              </w:rPr>
              <w:t>25</w:t>
            </w:r>
            <w:r>
              <w:rPr>
                <w:noProof/>
              </w:rPr>
              <w:fldChar w:fldCharType="end"/>
            </w:r>
          </w:hyperlink>
        </w:p>
        <w:p w14:paraId="780B0CBF"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1" w:history="1">
            <w:r>
              <w:rPr>
                <w:rStyle w:val="Hyperlink"/>
                <w:rFonts w:cs="Times New Roman"/>
                <w:noProof/>
              </w:rPr>
              <w:t>3.7 Inclusion/Exclusion Criteria</w:t>
            </w:r>
            <w:r>
              <w:rPr>
                <w:noProof/>
              </w:rPr>
              <w:tab/>
            </w:r>
            <w:r>
              <w:rPr>
                <w:noProof/>
              </w:rPr>
              <w:fldChar w:fldCharType="begin"/>
            </w:r>
            <w:r>
              <w:rPr>
                <w:noProof/>
              </w:rPr>
              <w:instrText xml:space="preserve"> PAGEREF _Toc238674281 \h </w:instrText>
            </w:r>
            <w:r>
              <w:rPr>
                <w:noProof/>
              </w:rPr>
            </w:r>
            <w:r>
              <w:rPr>
                <w:noProof/>
              </w:rPr>
              <w:fldChar w:fldCharType="separate"/>
            </w:r>
            <w:r w:rsidR="00CC324E">
              <w:rPr>
                <w:noProof/>
              </w:rPr>
              <w:t>25</w:t>
            </w:r>
            <w:r>
              <w:rPr>
                <w:noProof/>
              </w:rPr>
              <w:fldChar w:fldCharType="end"/>
            </w:r>
          </w:hyperlink>
        </w:p>
        <w:p w14:paraId="5AF4FA2A"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2" w:history="1">
            <w:r>
              <w:rPr>
                <w:rStyle w:val="Hyperlink"/>
                <w:rFonts w:cs="Times New Roman"/>
                <w:noProof/>
              </w:rPr>
              <w:t>3.8 Search Results</w:t>
            </w:r>
            <w:r>
              <w:rPr>
                <w:noProof/>
              </w:rPr>
              <w:tab/>
            </w:r>
            <w:r>
              <w:rPr>
                <w:noProof/>
              </w:rPr>
              <w:fldChar w:fldCharType="begin"/>
            </w:r>
            <w:r>
              <w:rPr>
                <w:noProof/>
              </w:rPr>
              <w:instrText xml:space="preserve"> PAGEREF _Toc238674282 \h </w:instrText>
            </w:r>
            <w:r>
              <w:rPr>
                <w:noProof/>
              </w:rPr>
            </w:r>
            <w:r>
              <w:rPr>
                <w:noProof/>
              </w:rPr>
              <w:fldChar w:fldCharType="separate"/>
            </w:r>
            <w:r w:rsidR="00CC324E">
              <w:rPr>
                <w:noProof/>
              </w:rPr>
              <w:t>26</w:t>
            </w:r>
            <w:r>
              <w:rPr>
                <w:noProof/>
              </w:rPr>
              <w:fldChar w:fldCharType="end"/>
            </w:r>
          </w:hyperlink>
        </w:p>
        <w:p w14:paraId="032E03FD"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3" w:history="1">
            <w:r>
              <w:rPr>
                <w:rStyle w:val="Hyperlink"/>
                <w:noProof/>
              </w:rPr>
              <w:t>3.9 Data extraction, analysis and quality appraisal</w:t>
            </w:r>
            <w:r>
              <w:rPr>
                <w:noProof/>
              </w:rPr>
              <w:tab/>
            </w:r>
            <w:r>
              <w:rPr>
                <w:noProof/>
              </w:rPr>
              <w:fldChar w:fldCharType="begin"/>
            </w:r>
            <w:r>
              <w:rPr>
                <w:noProof/>
              </w:rPr>
              <w:instrText xml:space="preserve"> PAGEREF _Toc238674283 \h </w:instrText>
            </w:r>
            <w:r>
              <w:rPr>
                <w:noProof/>
              </w:rPr>
            </w:r>
            <w:r>
              <w:rPr>
                <w:noProof/>
              </w:rPr>
              <w:fldChar w:fldCharType="separate"/>
            </w:r>
            <w:r w:rsidR="00CC324E">
              <w:rPr>
                <w:noProof/>
              </w:rPr>
              <w:t>28</w:t>
            </w:r>
            <w:r>
              <w:rPr>
                <w:noProof/>
              </w:rPr>
              <w:fldChar w:fldCharType="end"/>
            </w:r>
          </w:hyperlink>
        </w:p>
        <w:p w14:paraId="175BB583"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4" w:history="1">
            <w:r>
              <w:rPr>
                <w:rStyle w:val="Hyperlink"/>
                <w:rFonts w:cs="Times New Roman"/>
                <w:noProof/>
              </w:rPr>
              <w:t>3.10 Ethical Considerations</w:t>
            </w:r>
            <w:r>
              <w:rPr>
                <w:noProof/>
              </w:rPr>
              <w:tab/>
            </w:r>
            <w:r>
              <w:rPr>
                <w:noProof/>
              </w:rPr>
              <w:fldChar w:fldCharType="begin"/>
            </w:r>
            <w:r>
              <w:rPr>
                <w:noProof/>
              </w:rPr>
              <w:instrText xml:space="preserve"> PAGEREF _Toc238674284 \h </w:instrText>
            </w:r>
            <w:r>
              <w:rPr>
                <w:noProof/>
              </w:rPr>
            </w:r>
            <w:r>
              <w:rPr>
                <w:noProof/>
              </w:rPr>
              <w:fldChar w:fldCharType="separate"/>
            </w:r>
            <w:r w:rsidR="00CC324E">
              <w:rPr>
                <w:noProof/>
              </w:rPr>
              <w:t>28</w:t>
            </w:r>
            <w:r>
              <w:rPr>
                <w:noProof/>
              </w:rPr>
              <w:fldChar w:fldCharType="end"/>
            </w:r>
          </w:hyperlink>
        </w:p>
        <w:p w14:paraId="344F29B3"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5" w:history="1">
            <w:r>
              <w:rPr>
                <w:rStyle w:val="Hyperlink"/>
                <w:rFonts w:cs="Times New Roman"/>
                <w:noProof/>
              </w:rPr>
              <w:t>3.11 Chapter Summary</w:t>
            </w:r>
            <w:r>
              <w:rPr>
                <w:noProof/>
              </w:rPr>
              <w:tab/>
            </w:r>
            <w:r>
              <w:rPr>
                <w:noProof/>
              </w:rPr>
              <w:fldChar w:fldCharType="begin"/>
            </w:r>
            <w:r>
              <w:rPr>
                <w:noProof/>
              </w:rPr>
              <w:instrText xml:space="preserve"> PAGEREF _Toc238674285 \h </w:instrText>
            </w:r>
            <w:r>
              <w:rPr>
                <w:noProof/>
              </w:rPr>
            </w:r>
            <w:r>
              <w:rPr>
                <w:noProof/>
              </w:rPr>
              <w:fldChar w:fldCharType="separate"/>
            </w:r>
            <w:r w:rsidR="00CC324E">
              <w:rPr>
                <w:noProof/>
              </w:rPr>
              <w:t>28</w:t>
            </w:r>
            <w:r>
              <w:rPr>
                <w:noProof/>
              </w:rPr>
              <w:fldChar w:fldCharType="end"/>
            </w:r>
          </w:hyperlink>
        </w:p>
        <w:p w14:paraId="5BFF90F7"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286" w:history="1">
            <w:r>
              <w:rPr>
                <w:rStyle w:val="Hyperlink"/>
                <w:noProof/>
              </w:rPr>
              <w:t>4.0 Chapter 4: Data Extraction and Evaluation</w:t>
            </w:r>
            <w:r>
              <w:rPr>
                <w:noProof/>
              </w:rPr>
              <w:tab/>
            </w:r>
            <w:r>
              <w:rPr>
                <w:noProof/>
              </w:rPr>
              <w:fldChar w:fldCharType="begin"/>
            </w:r>
            <w:r>
              <w:rPr>
                <w:noProof/>
              </w:rPr>
              <w:instrText xml:space="preserve"> PAGEREF _Toc238674286 \h </w:instrText>
            </w:r>
            <w:r>
              <w:rPr>
                <w:noProof/>
              </w:rPr>
            </w:r>
            <w:r>
              <w:rPr>
                <w:noProof/>
              </w:rPr>
              <w:fldChar w:fldCharType="separate"/>
            </w:r>
            <w:r w:rsidR="00CC324E">
              <w:rPr>
                <w:noProof/>
              </w:rPr>
              <w:t>29</w:t>
            </w:r>
            <w:r>
              <w:rPr>
                <w:noProof/>
              </w:rPr>
              <w:fldChar w:fldCharType="end"/>
            </w:r>
          </w:hyperlink>
        </w:p>
        <w:p w14:paraId="766944DF"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7" w:history="1">
            <w:r>
              <w:rPr>
                <w:rStyle w:val="Hyperlink"/>
                <w:noProof/>
              </w:rPr>
              <w:t>4.1 Introduction</w:t>
            </w:r>
            <w:r>
              <w:rPr>
                <w:noProof/>
              </w:rPr>
              <w:tab/>
            </w:r>
            <w:r>
              <w:rPr>
                <w:noProof/>
              </w:rPr>
              <w:fldChar w:fldCharType="begin"/>
            </w:r>
            <w:r>
              <w:rPr>
                <w:noProof/>
              </w:rPr>
              <w:instrText xml:space="preserve"> PAGEREF _Toc238674287 \h </w:instrText>
            </w:r>
            <w:r>
              <w:rPr>
                <w:noProof/>
              </w:rPr>
            </w:r>
            <w:r>
              <w:rPr>
                <w:noProof/>
              </w:rPr>
              <w:fldChar w:fldCharType="separate"/>
            </w:r>
            <w:r w:rsidR="00CC324E">
              <w:rPr>
                <w:noProof/>
              </w:rPr>
              <w:t>29</w:t>
            </w:r>
            <w:r>
              <w:rPr>
                <w:noProof/>
              </w:rPr>
              <w:fldChar w:fldCharType="end"/>
            </w:r>
          </w:hyperlink>
        </w:p>
        <w:p w14:paraId="3F84037E"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8" w:history="1">
            <w:r>
              <w:rPr>
                <w:rStyle w:val="Hyperlink"/>
                <w:noProof/>
                <w:lang w:val="en-IN"/>
              </w:rPr>
              <w:t>4.2 Data Extraction</w:t>
            </w:r>
            <w:r>
              <w:rPr>
                <w:noProof/>
              </w:rPr>
              <w:tab/>
            </w:r>
            <w:r>
              <w:rPr>
                <w:noProof/>
              </w:rPr>
              <w:fldChar w:fldCharType="begin"/>
            </w:r>
            <w:r>
              <w:rPr>
                <w:noProof/>
              </w:rPr>
              <w:instrText xml:space="preserve"> PAGEREF _Toc238674288 \h </w:instrText>
            </w:r>
            <w:r>
              <w:rPr>
                <w:noProof/>
              </w:rPr>
            </w:r>
            <w:r>
              <w:rPr>
                <w:noProof/>
              </w:rPr>
              <w:fldChar w:fldCharType="separate"/>
            </w:r>
            <w:r w:rsidR="00CC324E">
              <w:rPr>
                <w:noProof/>
              </w:rPr>
              <w:t>29</w:t>
            </w:r>
            <w:r>
              <w:rPr>
                <w:noProof/>
              </w:rPr>
              <w:fldChar w:fldCharType="end"/>
            </w:r>
          </w:hyperlink>
        </w:p>
        <w:p w14:paraId="4686C294"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89" w:history="1">
            <w:r>
              <w:rPr>
                <w:rStyle w:val="Hyperlink"/>
                <w:noProof/>
                <w:lang w:val="en-IN"/>
              </w:rPr>
              <w:t>4.3 Introduction to Critical Appraisal and Paper Quality Assessment</w:t>
            </w:r>
            <w:r>
              <w:rPr>
                <w:noProof/>
              </w:rPr>
              <w:tab/>
            </w:r>
            <w:r>
              <w:rPr>
                <w:noProof/>
              </w:rPr>
              <w:fldChar w:fldCharType="begin"/>
            </w:r>
            <w:r>
              <w:rPr>
                <w:noProof/>
              </w:rPr>
              <w:instrText xml:space="preserve"> PAGEREF _Toc238674289 \h </w:instrText>
            </w:r>
            <w:r>
              <w:rPr>
                <w:noProof/>
              </w:rPr>
            </w:r>
            <w:r>
              <w:rPr>
                <w:noProof/>
              </w:rPr>
              <w:fldChar w:fldCharType="separate"/>
            </w:r>
            <w:r w:rsidR="00CC324E">
              <w:rPr>
                <w:noProof/>
              </w:rPr>
              <w:t>29</w:t>
            </w:r>
            <w:r>
              <w:rPr>
                <w:noProof/>
              </w:rPr>
              <w:fldChar w:fldCharType="end"/>
            </w:r>
          </w:hyperlink>
        </w:p>
        <w:p w14:paraId="3AE37E62"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0" w:history="1">
            <w:r>
              <w:rPr>
                <w:rStyle w:val="Hyperlink"/>
                <w:noProof/>
                <w:lang w:val="en-IN"/>
              </w:rPr>
              <w:t>4.4 Critical Appraisal Tools</w:t>
            </w:r>
            <w:r>
              <w:rPr>
                <w:noProof/>
              </w:rPr>
              <w:tab/>
            </w:r>
            <w:r>
              <w:rPr>
                <w:noProof/>
              </w:rPr>
              <w:fldChar w:fldCharType="begin"/>
            </w:r>
            <w:r>
              <w:rPr>
                <w:noProof/>
              </w:rPr>
              <w:instrText xml:space="preserve"> PAGEREF _Toc238674290 \h </w:instrText>
            </w:r>
            <w:r>
              <w:rPr>
                <w:noProof/>
              </w:rPr>
            </w:r>
            <w:r>
              <w:rPr>
                <w:noProof/>
              </w:rPr>
              <w:fldChar w:fldCharType="separate"/>
            </w:r>
            <w:r w:rsidR="00CC324E">
              <w:rPr>
                <w:noProof/>
              </w:rPr>
              <w:t>29</w:t>
            </w:r>
            <w:r>
              <w:rPr>
                <w:noProof/>
              </w:rPr>
              <w:fldChar w:fldCharType="end"/>
            </w:r>
          </w:hyperlink>
        </w:p>
        <w:p w14:paraId="44744E8B"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1" w:history="1">
            <w:r>
              <w:rPr>
                <w:rStyle w:val="Hyperlink"/>
                <w:noProof/>
                <w:lang w:val="en-IN"/>
              </w:rPr>
              <w:t xml:space="preserve">4.5 </w:t>
            </w:r>
            <w:r>
              <w:rPr>
                <w:rStyle w:val="Hyperlink"/>
                <w:noProof/>
              </w:rPr>
              <w:t>Qualitative Appraisal</w:t>
            </w:r>
            <w:r>
              <w:rPr>
                <w:noProof/>
              </w:rPr>
              <w:tab/>
            </w:r>
            <w:r>
              <w:rPr>
                <w:noProof/>
              </w:rPr>
              <w:fldChar w:fldCharType="begin"/>
            </w:r>
            <w:r>
              <w:rPr>
                <w:noProof/>
              </w:rPr>
              <w:instrText xml:space="preserve"> PAGEREF _Toc238674291 \h </w:instrText>
            </w:r>
            <w:r>
              <w:rPr>
                <w:noProof/>
              </w:rPr>
            </w:r>
            <w:r>
              <w:rPr>
                <w:noProof/>
              </w:rPr>
              <w:fldChar w:fldCharType="separate"/>
            </w:r>
            <w:r w:rsidR="00CC324E">
              <w:rPr>
                <w:noProof/>
              </w:rPr>
              <w:t>30</w:t>
            </w:r>
            <w:r>
              <w:rPr>
                <w:noProof/>
              </w:rPr>
              <w:fldChar w:fldCharType="end"/>
            </w:r>
          </w:hyperlink>
        </w:p>
        <w:p w14:paraId="3CF5F546" w14:textId="77777777" w:rsidR="004A5CD4" w:rsidRPr="00995A92"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2" w:history="1">
            <w:r w:rsidRPr="00995A92">
              <w:rPr>
                <w:rStyle w:val="Hyperlink"/>
                <w:noProof/>
                <w:lang w:val="en-IN"/>
              </w:rPr>
              <w:t>4.7 Overall Appraisal of the Quantitative Evidence</w:t>
            </w:r>
            <w:r w:rsidRPr="00995A92">
              <w:rPr>
                <w:noProof/>
              </w:rPr>
              <w:tab/>
            </w:r>
            <w:r w:rsidRPr="00995A92">
              <w:rPr>
                <w:noProof/>
              </w:rPr>
              <w:fldChar w:fldCharType="begin"/>
            </w:r>
            <w:r w:rsidRPr="00995A92">
              <w:rPr>
                <w:noProof/>
              </w:rPr>
              <w:instrText xml:space="preserve"> PAGEREF _Toc238674292 \h </w:instrText>
            </w:r>
            <w:r w:rsidRPr="00995A92">
              <w:rPr>
                <w:noProof/>
              </w:rPr>
            </w:r>
            <w:r w:rsidRPr="00995A92">
              <w:rPr>
                <w:noProof/>
              </w:rPr>
              <w:fldChar w:fldCharType="separate"/>
            </w:r>
            <w:r w:rsidR="00CC324E" w:rsidRPr="00995A92">
              <w:rPr>
                <w:noProof/>
              </w:rPr>
              <w:t>37</w:t>
            </w:r>
            <w:r w:rsidRPr="00995A92">
              <w:rPr>
                <w:noProof/>
              </w:rPr>
              <w:fldChar w:fldCharType="end"/>
            </w:r>
          </w:hyperlink>
        </w:p>
        <w:p w14:paraId="42CF62E9" w14:textId="77777777" w:rsidR="004A5CD4" w:rsidRPr="00995A92"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3" w:history="1">
            <w:r w:rsidRPr="00995A92">
              <w:rPr>
                <w:rStyle w:val="Hyperlink"/>
                <w:noProof/>
                <w:lang w:val="en-IN"/>
              </w:rPr>
              <w:t>4.8 Chapter Summary</w:t>
            </w:r>
            <w:r w:rsidRPr="00995A92">
              <w:rPr>
                <w:noProof/>
              </w:rPr>
              <w:tab/>
            </w:r>
            <w:r w:rsidRPr="00995A92">
              <w:rPr>
                <w:noProof/>
              </w:rPr>
              <w:fldChar w:fldCharType="begin"/>
            </w:r>
            <w:r w:rsidRPr="00995A92">
              <w:rPr>
                <w:noProof/>
              </w:rPr>
              <w:instrText xml:space="preserve"> PAGEREF _Toc238674293 \h </w:instrText>
            </w:r>
            <w:r w:rsidRPr="00995A92">
              <w:rPr>
                <w:noProof/>
              </w:rPr>
            </w:r>
            <w:r w:rsidRPr="00995A92">
              <w:rPr>
                <w:noProof/>
              </w:rPr>
              <w:fldChar w:fldCharType="separate"/>
            </w:r>
            <w:r w:rsidR="00CC324E" w:rsidRPr="00995A92">
              <w:rPr>
                <w:noProof/>
              </w:rPr>
              <w:t>38</w:t>
            </w:r>
            <w:r w:rsidRPr="00995A92">
              <w:rPr>
                <w:noProof/>
              </w:rPr>
              <w:fldChar w:fldCharType="end"/>
            </w:r>
          </w:hyperlink>
        </w:p>
        <w:p w14:paraId="29124E60" w14:textId="77777777" w:rsidR="004A5CD4" w:rsidRPr="00995A92"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294" w:history="1">
            <w:r w:rsidRPr="00995A92">
              <w:rPr>
                <w:rStyle w:val="Hyperlink"/>
                <w:rFonts w:eastAsia="SimSun" w:cs="Mangal"/>
                <w:noProof/>
                <w:lang w:val="en-IN"/>
              </w:rPr>
              <w:t>5.0 Chapter 5: DATA ANALYSIS AND SYNTHESIS</w:t>
            </w:r>
            <w:r w:rsidRPr="00995A92">
              <w:rPr>
                <w:noProof/>
              </w:rPr>
              <w:tab/>
            </w:r>
            <w:r w:rsidRPr="00995A92">
              <w:rPr>
                <w:noProof/>
              </w:rPr>
              <w:fldChar w:fldCharType="begin"/>
            </w:r>
            <w:r w:rsidRPr="00995A92">
              <w:rPr>
                <w:noProof/>
              </w:rPr>
              <w:instrText xml:space="preserve"> PAGEREF _Toc238674294 \h </w:instrText>
            </w:r>
            <w:r w:rsidRPr="00995A92">
              <w:rPr>
                <w:noProof/>
              </w:rPr>
            </w:r>
            <w:r w:rsidRPr="00995A92">
              <w:rPr>
                <w:noProof/>
              </w:rPr>
              <w:fldChar w:fldCharType="separate"/>
            </w:r>
            <w:r w:rsidR="00CC324E" w:rsidRPr="00995A92">
              <w:rPr>
                <w:noProof/>
              </w:rPr>
              <w:t>39</w:t>
            </w:r>
            <w:r w:rsidRPr="00995A92">
              <w:rPr>
                <w:noProof/>
              </w:rPr>
              <w:fldChar w:fldCharType="end"/>
            </w:r>
          </w:hyperlink>
        </w:p>
        <w:p w14:paraId="3E558886" w14:textId="77777777" w:rsidR="004A5CD4" w:rsidRPr="00995A92"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5" w:history="1">
            <w:r w:rsidRPr="00995A92">
              <w:rPr>
                <w:rStyle w:val="Hyperlink"/>
                <w:noProof/>
                <w:lang w:val="en-IN"/>
              </w:rPr>
              <w:t>5.1 Introduction to Chapter</w:t>
            </w:r>
            <w:r w:rsidRPr="00995A92">
              <w:rPr>
                <w:noProof/>
              </w:rPr>
              <w:tab/>
            </w:r>
            <w:r w:rsidRPr="00995A92">
              <w:rPr>
                <w:noProof/>
              </w:rPr>
              <w:fldChar w:fldCharType="begin"/>
            </w:r>
            <w:r w:rsidRPr="00995A92">
              <w:rPr>
                <w:noProof/>
              </w:rPr>
              <w:instrText xml:space="preserve"> PAGEREF _Toc238674295 \h </w:instrText>
            </w:r>
            <w:r w:rsidRPr="00995A92">
              <w:rPr>
                <w:noProof/>
              </w:rPr>
            </w:r>
            <w:r w:rsidRPr="00995A92">
              <w:rPr>
                <w:noProof/>
              </w:rPr>
              <w:fldChar w:fldCharType="separate"/>
            </w:r>
            <w:r w:rsidR="00CC324E" w:rsidRPr="00995A92">
              <w:rPr>
                <w:noProof/>
              </w:rPr>
              <w:t>39</w:t>
            </w:r>
            <w:r w:rsidRPr="00995A92">
              <w:rPr>
                <w:noProof/>
              </w:rPr>
              <w:fldChar w:fldCharType="end"/>
            </w:r>
          </w:hyperlink>
        </w:p>
        <w:p w14:paraId="726359BD" w14:textId="77777777" w:rsidR="004A5CD4" w:rsidRPr="00995A92"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6" w:history="1">
            <w:r w:rsidRPr="00995A92">
              <w:rPr>
                <w:rStyle w:val="Hyperlink"/>
                <w:rFonts w:eastAsia="SimSun" w:cs="Mangal"/>
                <w:noProof/>
                <w:lang w:val="en-IN"/>
              </w:rPr>
              <w:t>5.2 Thematic Analysis</w:t>
            </w:r>
            <w:r w:rsidRPr="00995A92">
              <w:rPr>
                <w:noProof/>
              </w:rPr>
              <w:tab/>
            </w:r>
            <w:r w:rsidRPr="00995A92">
              <w:rPr>
                <w:noProof/>
              </w:rPr>
              <w:fldChar w:fldCharType="begin"/>
            </w:r>
            <w:r w:rsidRPr="00995A92">
              <w:rPr>
                <w:noProof/>
              </w:rPr>
              <w:instrText xml:space="preserve"> PAGEREF _Toc238674296 \h </w:instrText>
            </w:r>
            <w:r w:rsidRPr="00995A92">
              <w:rPr>
                <w:noProof/>
              </w:rPr>
            </w:r>
            <w:r w:rsidRPr="00995A92">
              <w:rPr>
                <w:noProof/>
              </w:rPr>
              <w:fldChar w:fldCharType="separate"/>
            </w:r>
            <w:r w:rsidR="00CC324E" w:rsidRPr="00995A92">
              <w:rPr>
                <w:noProof/>
              </w:rPr>
              <w:t>39</w:t>
            </w:r>
            <w:r w:rsidRPr="00995A92">
              <w:rPr>
                <w:noProof/>
              </w:rPr>
              <w:fldChar w:fldCharType="end"/>
            </w:r>
          </w:hyperlink>
        </w:p>
        <w:p w14:paraId="6876986D" w14:textId="77777777" w:rsidR="004A5CD4" w:rsidRPr="00995A92"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7" w:history="1">
            <w:r w:rsidRPr="00995A92">
              <w:rPr>
                <w:rStyle w:val="Hyperlink"/>
                <w:rFonts w:eastAsia="SimSun" w:cs="Mangal"/>
                <w:noProof/>
                <w:lang w:val="en-IN"/>
              </w:rPr>
              <w:t>5.3 Data Analysis Tool</w:t>
            </w:r>
            <w:r w:rsidRPr="00995A92">
              <w:rPr>
                <w:noProof/>
              </w:rPr>
              <w:tab/>
            </w:r>
            <w:r w:rsidRPr="00995A92">
              <w:rPr>
                <w:noProof/>
              </w:rPr>
              <w:fldChar w:fldCharType="begin"/>
            </w:r>
            <w:r w:rsidRPr="00995A92">
              <w:rPr>
                <w:noProof/>
              </w:rPr>
              <w:instrText xml:space="preserve"> PAGEREF _Toc238674297 \h </w:instrText>
            </w:r>
            <w:r w:rsidRPr="00995A92">
              <w:rPr>
                <w:noProof/>
              </w:rPr>
            </w:r>
            <w:r w:rsidRPr="00995A92">
              <w:rPr>
                <w:noProof/>
              </w:rPr>
              <w:fldChar w:fldCharType="separate"/>
            </w:r>
            <w:r w:rsidR="00CC324E" w:rsidRPr="00995A92">
              <w:rPr>
                <w:noProof/>
              </w:rPr>
              <w:t>40</w:t>
            </w:r>
            <w:r w:rsidRPr="00995A92">
              <w:rPr>
                <w:noProof/>
              </w:rPr>
              <w:fldChar w:fldCharType="end"/>
            </w:r>
          </w:hyperlink>
        </w:p>
        <w:p w14:paraId="28C275AD"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8" w:history="1">
            <w:r>
              <w:rPr>
                <w:rStyle w:val="Hyperlink"/>
                <w:rFonts w:eastAsia="Calibri"/>
                <w:noProof/>
                <w:lang w:val="en-IN"/>
              </w:rPr>
              <w:t>5.4 Characteristics of the identified studies</w:t>
            </w:r>
            <w:r>
              <w:rPr>
                <w:noProof/>
              </w:rPr>
              <w:tab/>
            </w:r>
            <w:r>
              <w:rPr>
                <w:noProof/>
              </w:rPr>
              <w:fldChar w:fldCharType="begin"/>
            </w:r>
            <w:r>
              <w:rPr>
                <w:noProof/>
              </w:rPr>
              <w:instrText xml:space="preserve"> PAGEREF _Toc238674298 \h </w:instrText>
            </w:r>
            <w:r>
              <w:rPr>
                <w:noProof/>
              </w:rPr>
            </w:r>
            <w:r>
              <w:rPr>
                <w:noProof/>
              </w:rPr>
              <w:fldChar w:fldCharType="separate"/>
            </w:r>
            <w:r w:rsidR="00CC324E">
              <w:rPr>
                <w:noProof/>
              </w:rPr>
              <w:t>40</w:t>
            </w:r>
            <w:r>
              <w:rPr>
                <w:noProof/>
              </w:rPr>
              <w:fldChar w:fldCharType="end"/>
            </w:r>
          </w:hyperlink>
        </w:p>
        <w:p w14:paraId="47292CCA"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299" w:history="1">
            <w:r>
              <w:rPr>
                <w:rStyle w:val="Hyperlink"/>
                <w:rFonts w:eastAsia="Calibri"/>
                <w:noProof/>
                <w:lang w:val="en-IN"/>
              </w:rPr>
              <w:t>5.5 Emerging Themes from included studies</w:t>
            </w:r>
            <w:r>
              <w:rPr>
                <w:noProof/>
              </w:rPr>
              <w:tab/>
            </w:r>
            <w:r>
              <w:rPr>
                <w:noProof/>
              </w:rPr>
              <w:fldChar w:fldCharType="begin"/>
            </w:r>
            <w:r>
              <w:rPr>
                <w:noProof/>
              </w:rPr>
              <w:instrText xml:space="preserve"> PAGEREF _Toc238674299 \h </w:instrText>
            </w:r>
            <w:r>
              <w:rPr>
                <w:noProof/>
              </w:rPr>
            </w:r>
            <w:r>
              <w:rPr>
                <w:noProof/>
              </w:rPr>
              <w:fldChar w:fldCharType="separate"/>
            </w:r>
            <w:r w:rsidR="00CC324E">
              <w:rPr>
                <w:noProof/>
              </w:rPr>
              <w:t>41</w:t>
            </w:r>
            <w:r>
              <w:rPr>
                <w:noProof/>
              </w:rPr>
              <w:fldChar w:fldCharType="end"/>
            </w:r>
          </w:hyperlink>
        </w:p>
        <w:p w14:paraId="11A80B0A" w14:textId="77777777" w:rsidR="004A5CD4" w:rsidRDefault="002244FC">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8674300" w:history="1">
            <w:r>
              <w:rPr>
                <w:rStyle w:val="Hyperlink"/>
                <w:noProof/>
              </w:rPr>
              <w:t>5.5.1 Theme 1: Experiences and Manifestations of Racial Discrimination</w:t>
            </w:r>
            <w:r>
              <w:rPr>
                <w:noProof/>
              </w:rPr>
              <w:tab/>
            </w:r>
            <w:r>
              <w:rPr>
                <w:noProof/>
              </w:rPr>
              <w:fldChar w:fldCharType="begin"/>
            </w:r>
            <w:r>
              <w:rPr>
                <w:noProof/>
              </w:rPr>
              <w:instrText xml:space="preserve"> PAGEREF _Toc238674300 \h </w:instrText>
            </w:r>
            <w:r>
              <w:rPr>
                <w:noProof/>
              </w:rPr>
            </w:r>
            <w:r>
              <w:rPr>
                <w:noProof/>
              </w:rPr>
              <w:fldChar w:fldCharType="separate"/>
            </w:r>
            <w:r w:rsidR="00CC324E">
              <w:rPr>
                <w:noProof/>
              </w:rPr>
              <w:t>42</w:t>
            </w:r>
            <w:r>
              <w:rPr>
                <w:noProof/>
              </w:rPr>
              <w:fldChar w:fldCharType="end"/>
            </w:r>
          </w:hyperlink>
        </w:p>
        <w:p w14:paraId="76BC474F" w14:textId="77777777" w:rsidR="004A5CD4" w:rsidRDefault="002244FC">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8674301" w:history="1">
            <w:r>
              <w:rPr>
                <w:rStyle w:val="Hyperlink"/>
                <w:noProof/>
              </w:rPr>
              <w:t>5.5.2 Theme 2: Adverse Psychological and Emotional Consequences</w:t>
            </w:r>
            <w:r>
              <w:rPr>
                <w:noProof/>
              </w:rPr>
              <w:tab/>
            </w:r>
            <w:r>
              <w:rPr>
                <w:noProof/>
              </w:rPr>
              <w:fldChar w:fldCharType="begin"/>
            </w:r>
            <w:r>
              <w:rPr>
                <w:noProof/>
              </w:rPr>
              <w:instrText xml:space="preserve"> PAGEREF _Toc238674301 \h </w:instrText>
            </w:r>
            <w:r>
              <w:rPr>
                <w:noProof/>
              </w:rPr>
            </w:r>
            <w:r>
              <w:rPr>
                <w:noProof/>
              </w:rPr>
              <w:fldChar w:fldCharType="separate"/>
            </w:r>
            <w:r w:rsidR="00CC324E">
              <w:rPr>
                <w:noProof/>
              </w:rPr>
              <w:t>43</w:t>
            </w:r>
            <w:r>
              <w:rPr>
                <w:noProof/>
              </w:rPr>
              <w:fldChar w:fldCharType="end"/>
            </w:r>
          </w:hyperlink>
        </w:p>
        <w:p w14:paraId="3008A93F" w14:textId="77777777" w:rsidR="004A5CD4" w:rsidRDefault="002244FC">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8674302" w:history="1">
            <w:r>
              <w:rPr>
                <w:rStyle w:val="Hyperlink"/>
                <w:noProof/>
              </w:rPr>
              <w:t>5.5.3 Theme 3: Behavioural, Social and Developmental Consequences</w:t>
            </w:r>
            <w:r>
              <w:rPr>
                <w:noProof/>
              </w:rPr>
              <w:tab/>
            </w:r>
            <w:r>
              <w:rPr>
                <w:noProof/>
              </w:rPr>
              <w:fldChar w:fldCharType="begin"/>
            </w:r>
            <w:r>
              <w:rPr>
                <w:noProof/>
              </w:rPr>
              <w:instrText xml:space="preserve"> PAGEREF _Toc238674302 \h </w:instrText>
            </w:r>
            <w:r>
              <w:rPr>
                <w:noProof/>
              </w:rPr>
            </w:r>
            <w:r>
              <w:rPr>
                <w:noProof/>
              </w:rPr>
              <w:fldChar w:fldCharType="separate"/>
            </w:r>
            <w:r w:rsidR="00CC324E">
              <w:rPr>
                <w:noProof/>
              </w:rPr>
              <w:t>45</w:t>
            </w:r>
            <w:r>
              <w:rPr>
                <w:noProof/>
              </w:rPr>
              <w:fldChar w:fldCharType="end"/>
            </w:r>
          </w:hyperlink>
        </w:p>
        <w:p w14:paraId="57519FFD"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03" w:history="1">
            <w:r>
              <w:rPr>
                <w:rStyle w:val="Hyperlink"/>
                <w:noProof/>
                <w:lang w:val="en-IN"/>
              </w:rPr>
              <w:t>5.5.4 Theme 4: Risk and Protective Factors Shaping Mental Health Outcomes</w:t>
            </w:r>
            <w:r>
              <w:rPr>
                <w:noProof/>
              </w:rPr>
              <w:tab/>
            </w:r>
            <w:r>
              <w:rPr>
                <w:noProof/>
              </w:rPr>
              <w:fldChar w:fldCharType="begin"/>
            </w:r>
            <w:r>
              <w:rPr>
                <w:noProof/>
              </w:rPr>
              <w:instrText xml:space="preserve"> PAGEREF _Toc238674303 \h </w:instrText>
            </w:r>
            <w:r>
              <w:rPr>
                <w:noProof/>
              </w:rPr>
            </w:r>
            <w:r>
              <w:rPr>
                <w:noProof/>
              </w:rPr>
              <w:fldChar w:fldCharType="separate"/>
            </w:r>
            <w:r w:rsidR="00CC324E">
              <w:rPr>
                <w:noProof/>
              </w:rPr>
              <w:t>47</w:t>
            </w:r>
            <w:r>
              <w:rPr>
                <w:noProof/>
              </w:rPr>
              <w:fldChar w:fldCharType="end"/>
            </w:r>
          </w:hyperlink>
        </w:p>
        <w:p w14:paraId="71739F66"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04" w:history="1">
            <w:r>
              <w:rPr>
                <w:rStyle w:val="Hyperlink"/>
                <w:noProof/>
              </w:rPr>
              <w:t>5.6 Chapter Summary</w:t>
            </w:r>
            <w:r>
              <w:rPr>
                <w:noProof/>
              </w:rPr>
              <w:tab/>
            </w:r>
            <w:r>
              <w:rPr>
                <w:noProof/>
              </w:rPr>
              <w:fldChar w:fldCharType="begin"/>
            </w:r>
            <w:r>
              <w:rPr>
                <w:noProof/>
              </w:rPr>
              <w:instrText xml:space="preserve"> PAGEREF _Toc238674304 \h </w:instrText>
            </w:r>
            <w:r>
              <w:rPr>
                <w:noProof/>
              </w:rPr>
            </w:r>
            <w:r>
              <w:rPr>
                <w:noProof/>
              </w:rPr>
              <w:fldChar w:fldCharType="separate"/>
            </w:r>
            <w:r w:rsidR="00CC324E">
              <w:rPr>
                <w:noProof/>
              </w:rPr>
              <w:t>49</w:t>
            </w:r>
            <w:r>
              <w:rPr>
                <w:noProof/>
              </w:rPr>
              <w:fldChar w:fldCharType="end"/>
            </w:r>
          </w:hyperlink>
        </w:p>
        <w:p w14:paraId="7BB6FADF"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305" w:history="1">
            <w:r>
              <w:rPr>
                <w:rStyle w:val="Hyperlink"/>
                <w:noProof/>
              </w:rPr>
              <w:t>6.0 Chapter 6: Discussion</w:t>
            </w:r>
            <w:r>
              <w:rPr>
                <w:noProof/>
              </w:rPr>
              <w:tab/>
            </w:r>
            <w:r>
              <w:rPr>
                <w:noProof/>
              </w:rPr>
              <w:fldChar w:fldCharType="begin"/>
            </w:r>
            <w:r>
              <w:rPr>
                <w:noProof/>
              </w:rPr>
              <w:instrText xml:space="preserve"> PAGEREF _Toc238674305 \h </w:instrText>
            </w:r>
            <w:r>
              <w:rPr>
                <w:noProof/>
              </w:rPr>
            </w:r>
            <w:r>
              <w:rPr>
                <w:noProof/>
              </w:rPr>
              <w:fldChar w:fldCharType="separate"/>
            </w:r>
            <w:r w:rsidR="00CC324E">
              <w:rPr>
                <w:noProof/>
              </w:rPr>
              <w:t>50</w:t>
            </w:r>
            <w:r>
              <w:rPr>
                <w:noProof/>
              </w:rPr>
              <w:fldChar w:fldCharType="end"/>
            </w:r>
          </w:hyperlink>
        </w:p>
        <w:p w14:paraId="35C32FBA"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06" w:history="1">
            <w:r>
              <w:rPr>
                <w:rStyle w:val="Hyperlink"/>
                <w:noProof/>
                <w:lang w:val="en-IN"/>
              </w:rPr>
              <w:t>6.1 Introduction</w:t>
            </w:r>
            <w:r>
              <w:rPr>
                <w:noProof/>
              </w:rPr>
              <w:tab/>
            </w:r>
            <w:r>
              <w:rPr>
                <w:noProof/>
              </w:rPr>
              <w:fldChar w:fldCharType="begin"/>
            </w:r>
            <w:r>
              <w:rPr>
                <w:noProof/>
              </w:rPr>
              <w:instrText xml:space="preserve"> PAGEREF _Toc238674306 \h </w:instrText>
            </w:r>
            <w:r>
              <w:rPr>
                <w:noProof/>
              </w:rPr>
            </w:r>
            <w:r>
              <w:rPr>
                <w:noProof/>
              </w:rPr>
              <w:fldChar w:fldCharType="separate"/>
            </w:r>
            <w:r w:rsidR="00CC324E">
              <w:rPr>
                <w:noProof/>
              </w:rPr>
              <w:t>50</w:t>
            </w:r>
            <w:r>
              <w:rPr>
                <w:noProof/>
              </w:rPr>
              <w:fldChar w:fldCharType="end"/>
            </w:r>
          </w:hyperlink>
        </w:p>
        <w:p w14:paraId="1C0AD002"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07" w:history="1">
            <w:r>
              <w:rPr>
                <w:rStyle w:val="Hyperlink"/>
                <w:noProof/>
                <w:lang w:val="en-IN"/>
              </w:rPr>
              <w:t>6.2 Discussion of Key Findings</w:t>
            </w:r>
            <w:r>
              <w:rPr>
                <w:noProof/>
              </w:rPr>
              <w:tab/>
            </w:r>
            <w:r>
              <w:rPr>
                <w:noProof/>
              </w:rPr>
              <w:fldChar w:fldCharType="begin"/>
            </w:r>
            <w:r>
              <w:rPr>
                <w:noProof/>
              </w:rPr>
              <w:instrText xml:space="preserve"> PAGEREF _Toc238674307 \h </w:instrText>
            </w:r>
            <w:r>
              <w:rPr>
                <w:noProof/>
              </w:rPr>
            </w:r>
            <w:r>
              <w:rPr>
                <w:noProof/>
              </w:rPr>
              <w:fldChar w:fldCharType="separate"/>
            </w:r>
            <w:r w:rsidR="00CC324E">
              <w:rPr>
                <w:noProof/>
              </w:rPr>
              <w:t>50</w:t>
            </w:r>
            <w:r>
              <w:rPr>
                <w:noProof/>
              </w:rPr>
              <w:fldChar w:fldCharType="end"/>
            </w:r>
          </w:hyperlink>
        </w:p>
        <w:p w14:paraId="65DAA39B"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08" w:history="1">
            <w:r>
              <w:rPr>
                <w:rStyle w:val="Hyperlink"/>
                <w:noProof/>
                <w:lang w:val="en-IN"/>
              </w:rPr>
              <w:t>6.3 Strengths and Limitations</w:t>
            </w:r>
            <w:r>
              <w:rPr>
                <w:noProof/>
              </w:rPr>
              <w:tab/>
            </w:r>
            <w:r>
              <w:rPr>
                <w:noProof/>
              </w:rPr>
              <w:fldChar w:fldCharType="begin"/>
            </w:r>
            <w:r>
              <w:rPr>
                <w:noProof/>
              </w:rPr>
              <w:instrText xml:space="preserve"> PAGEREF _Toc238674308 \h </w:instrText>
            </w:r>
            <w:r>
              <w:rPr>
                <w:noProof/>
              </w:rPr>
            </w:r>
            <w:r>
              <w:rPr>
                <w:noProof/>
              </w:rPr>
              <w:fldChar w:fldCharType="separate"/>
            </w:r>
            <w:r w:rsidR="00CC324E">
              <w:rPr>
                <w:noProof/>
              </w:rPr>
              <w:t>55</w:t>
            </w:r>
            <w:r>
              <w:rPr>
                <w:noProof/>
              </w:rPr>
              <w:fldChar w:fldCharType="end"/>
            </w:r>
          </w:hyperlink>
        </w:p>
        <w:p w14:paraId="0FC36B12"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09" w:history="1">
            <w:r>
              <w:rPr>
                <w:rStyle w:val="Hyperlink"/>
                <w:noProof/>
                <w:lang w:val="en-IN"/>
              </w:rPr>
              <w:t>6.4 Chapter Summary</w:t>
            </w:r>
            <w:r>
              <w:rPr>
                <w:noProof/>
              </w:rPr>
              <w:tab/>
            </w:r>
            <w:r>
              <w:rPr>
                <w:noProof/>
              </w:rPr>
              <w:fldChar w:fldCharType="begin"/>
            </w:r>
            <w:r>
              <w:rPr>
                <w:noProof/>
              </w:rPr>
              <w:instrText xml:space="preserve"> PAGEREF _Toc238674309 \h </w:instrText>
            </w:r>
            <w:r>
              <w:rPr>
                <w:noProof/>
              </w:rPr>
            </w:r>
            <w:r>
              <w:rPr>
                <w:noProof/>
              </w:rPr>
              <w:fldChar w:fldCharType="separate"/>
            </w:r>
            <w:r w:rsidR="00CC324E">
              <w:rPr>
                <w:noProof/>
              </w:rPr>
              <w:t>55</w:t>
            </w:r>
            <w:r>
              <w:rPr>
                <w:noProof/>
              </w:rPr>
              <w:fldChar w:fldCharType="end"/>
            </w:r>
          </w:hyperlink>
        </w:p>
        <w:p w14:paraId="56EF4B62"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310" w:history="1">
            <w:r>
              <w:rPr>
                <w:rStyle w:val="Hyperlink"/>
                <w:noProof/>
                <w:lang w:val="en-IN"/>
              </w:rPr>
              <w:t>7.0 Chapter 7: Recommendations and Conclusion</w:t>
            </w:r>
            <w:r>
              <w:rPr>
                <w:noProof/>
              </w:rPr>
              <w:tab/>
            </w:r>
            <w:r>
              <w:rPr>
                <w:noProof/>
              </w:rPr>
              <w:fldChar w:fldCharType="begin"/>
            </w:r>
            <w:r>
              <w:rPr>
                <w:noProof/>
              </w:rPr>
              <w:instrText xml:space="preserve"> PAGEREF _Toc238674310 \h </w:instrText>
            </w:r>
            <w:r>
              <w:rPr>
                <w:noProof/>
              </w:rPr>
            </w:r>
            <w:r>
              <w:rPr>
                <w:noProof/>
              </w:rPr>
              <w:fldChar w:fldCharType="separate"/>
            </w:r>
            <w:r w:rsidR="00CC324E">
              <w:rPr>
                <w:noProof/>
              </w:rPr>
              <w:t>55</w:t>
            </w:r>
            <w:r>
              <w:rPr>
                <w:noProof/>
              </w:rPr>
              <w:fldChar w:fldCharType="end"/>
            </w:r>
          </w:hyperlink>
        </w:p>
        <w:p w14:paraId="352BD122"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1" w:history="1">
            <w:r>
              <w:rPr>
                <w:rStyle w:val="Hyperlink"/>
                <w:noProof/>
                <w:lang w:val="en-IN"/>
              </w:rPr>
              <w:t>7.1 Introduction</w:t>
            </w:r>
            <w:r>
              <w:rPr>
                <w:noProof/>
              </w:rPr>
              <w:tab/>
            </w:r>
            <w:r>
              <w:rPr>
                <w:noProof/>
              </w:rPr>
              <w:fldChar w:fldCharType="begin"/>
            </w:r>
            <w:r>
              <w:rPr>
                <w:noProof/>
              </w:rPr>
              <w:instrText xml:space="preserve"> PAGEREF _Toc238674311 \h </w:instrText>
            </w:r>
            <w:r>
              <w:rPr>
                <w:noProof/>
              </w:rPr>
            </w:r>
            <w:r>
              <w:rPr>
                <w:noProof/>
              </w:rPr>
              <w:fldChar w:fldCharType="separate"/>
            </w:r>
            <w:r w:rsidR="00CC324E">
              <w:rPr>
                <w:noProof/>
              </w:rPr>
              <w:t>55</w:t>
            </w:r>
            <w:r>
              <w:rPr>
                <w:noProof/>
              </w:rPr>
              <w:fldChar w:fldCharType="end"/>
            </w:r>
          </w:hyperlink>
        </w:p>
        <w:p w14:paraId="6D02D9B8"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2" w:history="1">
            <w:r>
              <w:rPr>
                <w:rStyle w:val="Hyperlink"/>
                <w:noProof/>
                <w:lang w:val="en-IN"/>
              </w:rPr>
              <w:t>7.2 Implications of Findings</w:t>
            </w:r>
            <w:r>
              <w:rPr>
                <w:noProof/>
              </w:rPr>
              <w:tab/>
            </w:r>
            <w:r>
              <w:rPr>
                <w:noProof/>
              </w:rPr>
              <w:fldChar w:fldCharType="begin"/>
            </w:r>
            <w:r>
              <w:rPr>
                <w:noProof/>
              </w:rPr>
              <w:instrText xml:space="preserve"> PAGEREF _Toc238674312 \h </w:instrText>
            </w:r>
            <w:r>
              <w:rPr>
                <w:noProof/>
              </w:rPr>
            </w:r>
            <w:r>
              <w:rPr>
                <w:noProof/>
              </w:rPr>
              <w:fldChar w:fldCharType="separate"/>
            </w:r>
            <w:r w:rsidR="00CC324E">
              <w:rPr>
                <w:noProof/>
              </w:rPr>
              <w:t>56</w:t>
            </w:r>
            <w:r>
              <w:rPr>
                <w:noProof/>
              </w:rPr>
              <w:fldChar w:fldCharType="end"/>
            </w:r>
          </w:hyperlink>
        </w:p>
        <w:p w14:paraId="216755EA"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3" w:history="1">
            <w:r>
              <w:rPr>
                <w:rStyle w:val="Hyperlink"/>
                <w:noProof/>
                <w:lang w:val="en-IN"/>
              </w:rPr>
              <w:t>7.3 Recommendations for Practice</w:t>
            </w:r>
            <w:r>
              <w:rPr>
                <w:noProof/>
              </w:rPr>
              <w:tab/>
            </w:r>
            <w:r>
              <w:rPr>
                <w:noProof/>
              </w:rPr>
              <w:fldChar w:fldCharType="begin"/>
            </w:r>
            <w:r>
              <w:rPr>
                <w:noProof/>
              </w:rPr>
              <w:instrText xml:space="preserve"> PAGEREF _Toc238674313 \h </w:instrText>
            </w:r>
            <w:r>
              <w:rPr>
                <w:noProof/>
              </w:rPr>
            </w:r>
            <w:r>
              <w:rPr>
                <w:noProof/>
              </w:rPr>
              <w:fldChar w:fldCharType="separate"/>
            </w:r>
            <w:r w:rsidR="00CC324E">
              <w:rPr>
                <w:noProof/>
              </w:rPr>
              <w:t>57</w:t>
            </w:r>
            <w:r>
              <w:rPr>
                <w:noProof/>
              </w:rPr>
              <w:fldChar w:fldCharType="end"/>
            </w:r>
          </w:hyperlink>
        </w:p>
        <w:p w14:paraId="1457C568"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4" w:history="1">
            <w:r>
              <w:rPr>
                <w:rStyle w:val="Hyperlink"/>
                <w:noProof/>
                <w:lang w:val="en-IN"/>
              </w:rPr>
              <w:t>7.4 Recommendations for Future Research</w:t>
            </w:r>
            <w:r>
              <w:rPr>
                <w:noProof/>
              </w:rPr>
              <w:tab/>
            </w:r>
            <w:r>
              <w:rPr>
                <w:noProof/>
              </w:rPr>
              <w:fldChar w:fldCharType="begin"/>
            </w:r>
            <w:r>
              <w:rPr>
                <w:noProof/>
              </w:rPr>
              <w:instrText xml:space="preserve"> PAGEREF _Toc238674314 \h </w:instrText>
            </w:r>
            <w:r>
              <w:rPr>
                <w:noProof/>
              </w:rPr>
            </w:r>
            <w:r>
              <w:rPr>
                <w:noProof/>
              </w:rPr>
              <w:fldChar w:fldCharType="separate"/>
            </w:r>
            <w:r w:rsidR="00CC324E">
              <w:rPr>
                <w:noProof/>
              </w:rPr>
              <w:t>57</w:t>
            </w:r>
            <w:r>
              <w:rPr>
                <w:noProof/>
              </w:rPr>
              <w:fldChar w:fldCharType="end"/>
            </w:r>
          </w:hyperlink>
        </w:p>
        <w:p w14:paraId="063CE0A1"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5" w:history="1">
            <w:r>
              <w:rPr>
                <w:rStyle w:val="Hyperlink"/>
                <w:noProof/>
                <w:lang w:val="en-IN"/>
              </w:rPr>
              <w:t>7.5 Conclusion</w:t>
            </w:r>
            <w:r>
              <w:rPr>
                <w:noProof/>
              </w:rPr>
              <w:tab/>
            </w:r>
            <w:r>
              <w:rPr>
                <w:noProof/>
              </w:rPr>
              <w:fldChar w:fldCharType="begin"/>
            </w:r>
            <w:r>
              <w:rPr>
                <w:noProof/>
              </w:rPr>
              <w:instrText xml:space="preserve"> PAGEREF _Toc238674315 \h </w:instrText>
            </w:r>
            <w:r>
              <w:rPr>
                <w:noProof/>
              </w:rPr>
            </w:r>
            <w:r>
              <w:rPr>
                <w:noProof/>
              </w:rPr>
              <w:fldChar w:fldCharType="separate"/>
            </w:r>
            <w:r w:rsidR="00CC324E">
              <w:rPr>
                <w:noProof/>
              </w:rPr>
              <w:t>58</w:t>
            </w:r>
            <w:r>
              <w:rPr>
                <w:noProof/>
              </w:rPr>
              <w:fldChar w:fldCharType="end"/>
            </w:r>
          </w:hyperlink>
        </w:p>
        <w:p w14:paraId="68823CA7"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316" w:history="1">
            <w:r>
              <w:rPr>
                <w:rStyle w:val="Hyperlink"/>
                <w:noProof/>
              </w:rPr>
              <w:t>References</w:t>
            </w:r>
            <w:r>
              <w:rPr>
                <w:noProof/>
              </w:rPr>
              <w:tab/>
            </w:r>
            <w:r>
              <w:rPr>
                <w:noProof/>
              </w:rPr>
              <w:fldChar w:fldCharType="begin"/>
            </w:r>
            <w:r>
              <w:rPr>
                <w:noProof/>
              </w:rPr>
              <w:instrText xml:space="preserve"> PAGEREF _Toc238674316 \h </w:instrText>
            </w:r>
            <w:r>
              <w:rPr>
                <w:noProof/>
              </w:rPr>
            </w:r>
            <w:r>
              <w:rPr>
                <w:noProof/>
              </w:rPr>
              <w:fldChar w:fldCharType="separate"/>
            </w:r>
            <w:r w:rsidR="00CC324E">
              <w:rPr>
                <w:noProof/>
              </w:rPr>
              <w:t>60</w:t>
            </w:r>
            <w:r>
              <w:rPr>
                <w:noProof/>
              </w:rPr>
              <w:fldChar w:fldCharType="end"/>
            </w:r>
          </w:hyperlink>
        </w:p>
        <w:p w14:paraId="675DCD66" w14:textId="77777777" w:rsidR="004A5CD4" w:rsidRDefault="002244F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8674317" w:history="1">
            <w:r>
              <w:rPr>
                <w:rStyle w:val="Hyperlink"/>
                <w:noProof/>
              </w:rPr>
              <w:t>Appendices</w:t>
            </w:r>
            <w:r>
              <w:rPr>
                <w:noProof/>
              </w:rPr>
              <w:tab/>
            </w:r>
            <w:r>
              <w:rPr>
                <w:noProof/>
              </w:rPr>
              <w:fldChar w:fldCharType="begin"/>
            </w:r>
            <w:r>
              <w:rPr>
                <w:noProof/>
              </w:rPr>
              <w:instrText xml:space="preserve"> PAGEREF _Toc238674317 \h </w:instrText>
            </w:r>
            <w:r>
              <w:rPr>
                <w:noProof/>
              </w:rPr>
            </w:r>
            <w:r>
              <w:rPr>
                <w:noProof/>
              </w:rPr>
              <w:fldChar w:fldCharType="separate"/>
            </w:r>
            <w:r w:rsidR="00CC324E">
              <w:rPr>
                <w:noProof/>
              </w:rPr>
              <w:t>72</w:t>
            </w:r>
            <w:r>
              <w:rPr>
                <w:noProof/>
              </w:rPr>
              <w:fldChar w:fldCharType="end"/>
            </w:r>
          </w:hyperlink>
        </w:p>
        <w:p w14:paraId="149DB021"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8" w:history="1">
            <w:r>
              <w:rPr>
                <w:rStyle w:val="Hyperlink"/>
                <w:noProof/>
              </w:rPr>
              <w:t>Appendix A: CASP Checklist</w:t>
            </w:r>
            <w:r>
              <w:rPr>
                <w:noProof/>
              </w:rPr>
              <w:tab/>
            </w:r>
            <w:r>
              <w:rPr>
                <w:noProof/>
              </w:rPr>
              <w:fldChar w:fldCharType="begin"/>
            </w:r>
            <w:r>
              <w:rPr>
                <w:noProof/>
              </w:rPr>
              <w:instrText xml:space="preserve"> PAGEREF _Toc238674318 \h </w:instrText>
            </w:r>
            <w:r>
              <w:rPr>
                <w:noProof/>
              </w:rPr>
            </w:r>
            <w:r>
              <w:rPr>
                <w:noProof/>
              </w:rPr>
              <w:fldChar w:fldCharType="separate"/>
            </w:r>
            <w:r w:rsidR="00CC324E">
              <w:rPr>
                <w:noProof/>
              </w:rPr>
              <w:t>72</w:t>
            </w:r>
            <w:r>
              <w:rPr>
                <w:noProof/>
              </w:rPr>
              <w:fldChar w:fldCharType="end"/>
            </w:r>
          </w:hyperlink>
        </w:p>
        <w:p w14:paraId="007A8EF3"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19" w:history="1">
            <w:r>
              <w:rPr>
                <w:rStyle w:val="Hyperlink"/>
                <w:noProof/>
              </w:rPr>
              <w:t>Appendix B: JBI Analytical Cross-Sectional Studies Checklist</w:t>
            </w:r>
            <w:r>
              <w:rPr>
                <w:noProof/>
              </w:rPr>
              <w:tab/>
            </w:r>
            <w:r>
              <w:rPr>
                <w:noProof/>
              </w:rPr>
              <w:fldChar w:fldCharType="begin"/>
            </w:r>
            <w:r>
              <w:rPr>
                <w:noProof/>
              </w:rPr>
              <w:instrText xml:space="preserve"> PAGEREF _Toc238674319 \h </w:instrText>
            </w:r>
            <w:r>
              <w:rPr>
                <w:noProof/>
              </w:rPr>
            </w:r>
            <w:r>
              <w:rPr>
                <w:noProof/>
              </w:rPr>
              <w:fldChar w:fldCharType="separate"/>
            </w:r>
            <w:r w:rsidR="00CC324E">
              <w:rPr>
                <w:noProof/>
              </w:rPr>
              <w:t>73</w:t>
            </w:r>
            <w:r>
              <w:rPr>
                <w:noProof/>
              </w:rPr>
              <w:fldChar w:fldCharType="end"/>
            </w:r>
          </w:hyperlink>
        </w:p>
        <w:p w14:paraId="78CAB327"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20" w:history="1">
            <w:r>
              <w:rPr>
                <w:rStyle w:val="Hyperlink"/>
                <w:noProof/>
              </w:rPr>
              <w:t>Appendix C: JBI Cohort Studies Checklist</w:t>
            </w:r>
            <w:r>
              <w:rPr>
                <w:noProof/>
              </w:rPr>
              <w:tab/>
            </w:r>
            <w:r>
              <w:rPr>
                <w:noProof/>
              </w:rPr>
              <w:fldChar w:fldCharType="begin"/>
            </w:r>
            <w:r>
              <w:rPr>
                <w:noProof/>
              </w:rPr>
              <w:instrText xml:space="preserve"> PAGEREF _Toc238674320 \h </w:instrText>
            </w:r>
            <w:r>
              <w:rPr>
                <w:noProof/>
              </w:rPr>
            </w:r>
            <w:r>
              <w:rPr>
                <w:noProof/>
              </w:rPr>
              <w:fldChar w:fldCharType="separate"/>
            </w:r>
            <w:r w:rsidR="00CC324E">
              <w:rPr>
                <w:noProof/>
              </w:rPr>
              <w:t>73</w:t>
            </w:r>
            <w:r>
              <w:rPr>
                <w:noProof/>
              </w:rPr>
              <w:fldChar w:fldCharType="end"/>
            </w:r>
          </w:hyperlink>
        </w:p>
        <w:p w14:paraId="1347C5D3" w14:textId="77777777" w:rsidR="004A5CD4" w:rsidRDefault="002244F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8674321" w:history="1">
            <w:r>
              <w:rPr>
                <w:rStyle w:val="Hyperlink"/>
                <w:noProof/>
              </w:rPr>
              <w:t>Appendix D: Data extraction table</w:t>
            </w:r>
            <w:r>
              <w:rPr>
                <w:noProof/>
              </w:rPr>
              <w:tab/>
            </w:r>
            <w:r>
              <w:rPr>
                <w:noProof/>
              </w:rPr>
              <w:fldChar w:fldCharType="begin"/>
            </w:r>
            <w:r>
              <w:rPr>
                <w:noProof/>
              </w:rPr>
              <w:instrText xml:space="preserve"> PAGEREF _Toc238674321 \h </w:instrText>
            </w:r>
            <w:r>
              <w:rPr>
                <w:noProof/>
              </w:rPr>
            </w:r>
            <w:r>
              <w:rPr>
                <w:noProof/>
              </w:rPr>
              <w:fldChar w:fldCharType="separate"/>
            </w:r>
            <w:r w:rsidR="00CC324E">
              <w:rPr>
                <w:noProof/>
              </w:rPr>
              <w:t>75</w:t>
            </w:r>
            <w:r>
              <w:rPr>
                <w:noProof/>
              </w:rPr>
              <w:fldChar w:fldCharType="end"/>
            </w:r>
          </w:hyperlink>
        </w:p>
        <w:p w14:paraId="437CE8D3" w14:textId="77777777" w:rsidR="004A5CD4" w:rsidRDefault="002244FC">
          <w:pPr>
            <w:pStyle w:val="TOC1"/>
            <w:tabs>
              <w:tab w:val="right" w:leader="dot" w:pos="9016"/>
            </w:tabs>
            <w:rPr>
              <w:bCs/>
            </w:rPr>
          </w:pPr>
          <w:r>
            <w:rPr>
              <w:bCs/>
            </w:rPr>
            <w:fldChar w:fldCharType="end"/>
          </w:r>
        </w:p>
      </w:sdtContent>
    </w:sdt>
    <w:p w14:paraId="29FCB0D5" w14:textId="77777777" w:rsidR="004A5CD4" w:rsidRDefault="004A5CD4">
      <w:pPr>
        <w:spacing w:before="120" w:after="120"/>
      </w:pPr>
    </w:p>
    <w:p w14:paraId="5E18AE79" w14:textId="77777777" w:rsidR="004A5CD4" w:rsidRDefault="002244FC">
      <w:pPr>
        <w:spacing w:after="0" w:line="240" w:lineRule="auto"/>
        <w:jc w:val="left"/>
      </w:pPr>
      <w:r>
        <w:br w:type="page"/>
      </w:r>
    </w:p>
    <w:p w14:paraId="73EA42A7" w14:textId="77777777" w:rsidR="004A5CD4" w:rsidRDefault="002244FC">
      <w:pPr>
        <w:pStyle w:val="TableofFigures"/>
        <w:tabs>
          <w:tab w:val="right" w:leader="dot" w:pos="9016"/>
        </w:tabs>
        <w:jc w:val="center"/>
        <w:rPr>
          <w:b/>
          <w:bCs/>
          <w:sz w:val="28"/>
          <w:szCs w:val="24"/>
        </w:rPr>
      </w:pPr>
      <w:r>
        <w:rPr>
          <w:b/>
          <w:bCs/>
          <w:sz w:val="28"/>
          <w:szCs w:val="24"/>
        </w:rPr>
        <w:t>Table of Figures</w:t>
      </w:r>
    </w:p>
    <w:p w14:paraId="7D0BF3AE" w14:textId="77777777" w:rsidR="004A5CD4" w:rsidRDefault="002244FC">
      <w:pPr>
        <w:pStyle w:val="TableofFigures"/>
        <w:tabs>
          <w:tab w:val="right" w:leader="dot" w:pos="9016"/>
        </w:tabs>
      </w:pPr>
      <w:r>
        <w:fldChar w:fldCharType="begin"/>
      </w:r>
      <w:r>
        <w:instrText xml:space="preserve"> TOC \h \z \t "Heading 5" \c </w:instrText>
      </w:r>
      <w:r>
        <w:fldChar w:fldCharType="separate"/>
      </w:r>
      <w:hyperlink w:anchor="_Toc238133505" w:history="1">
        <w:r>
          <w:rPr>
            <w:rStyle w:val="Hyperlink"/>
          </w:rPr>
          <w:t>Figure 1: Percentage of children aged 8–16 years with a probable mental disorder in England, 2017–2023</w:t>
        </w:r>
        <w:r>
          <w:tab/>
        </w:r>
        <w:r>
          <w:fldChar w:fldCharType="begin"/>
        </w:r>
        <w:r>
          <w:instrText xml:space="preserve"> PAGEREF _Toc238133505 \h </w:instrText>
        </w:r>
        <w:r>
          <w:fldChar w:fldCharType="separate"/>
        </w:r>
        <w:r>
          <w:t>6</w:t>
        </w:r>
        <w:r>
          <w:fldChar w:fldCharType="end"/>
        </w:r>
      </w:hyperlink>
    </w:p>
    <w:p w14:paraId="4E905385" w14:textId="77777777" w:rsidR="004A5CD4" w:rsidRDefault="002244FC">
      <w:pPr>
        <w:pStyle w:val="TableofFigures"/>
        <w:tabs>
          <w:tab w:val="right" w:leader="dot" w:pos="9016"/>
        </w:tabs>
      </w:pPr>
      <w:hyperlink w:anchor="_Toc238133506" w:history="1">
        <w:r>
          <w:rPr>
            <w:rStyle w:val="Hyperlink"/>
            <w:rFonts w:cs="Times New Roman"/>
          </w:rPr>
          <w:t>Figure 2: Percentage of Children and Young People with Probable Mental Disorder by Age and Sex, 2023</w:t>
        </w:r>
        <w:r>
          <w:tab/>
        </w:r>
        <w:r>
          <w:fldChar w:fldCharType="begin"/>
        </w:r>
        <w:r>
          <w:instrText xml:space="preserve"> PAGEREF _Toc238133506 \h </w:instrText>
        </w:r>
        <w:r>
          <w:fldChar w:fldCharType="separate"/>
        </w:r>
        <w:r>
          <w:t>7</w:t>
        </w:r>
        <w:r>
          <w:fldChar w:fldCharType="end"/>
        </w:r>
      </w:hyperlink>
    </w:p>
    <w:p w14:paraId="11E0F228" w14:textId="77777777" w:rsidR="004A5CD4" w:rsidRDefault="002244FC">
      <w:pPr>
        <w:pStyle w:val="TableofFigures"/>
        <w:tabs>
          <w:tab w:val="right" w:leader="dot" w:pos="9016"/>
        </w:tabs>
      </w:pPr>
      <w:hyperlink w:anchor="_Toc238133507" w:history="1">
        <w:r>
          <w:rPr>
            <w:rStyle w:val="Hyperlink"/>
          </w:rPr>
          <w:t>Figure 3: Conceptual framework</w:t>
        </w:r>
        <w:r>
          <w:tab/>
        </w:r>
        <w:r>
          <w:fldChar w:fldCharType="begin"/>
        </w:r>
        <w:r>
          <w:instrText xml:space="preserve"> PAGEREF _Toc238133507 \h </w:instrText>
        </w:r>
        <w:r>
          <w:fldChar w:fldCharType="separate"/>
        </w:r>
        <w:r>
          <w:t>15</w:t>
        </w:r>
        <w:r>
          <w:fldChar w:fldCharType="end"/>
        </w:r>
      </w:hyperlink>
    </w:p>
    <w:p w14:paraId="7DB69E07" w14:textId="77777777" w:rsidR="004A5CD4" w:rsidRDefault="002244FC">
      <w:pPr>
        <w:pStyle w:val="TableofFigures"/>
        <w:tabs>
          <w:tab w:val="right" w:leader="dot" w:pos="9016"/>
        </w:tabs>
      </w:pPr>
      <w:hyperlink w:anchor="_Toc238133508" w:history="1">
        <w:r>
          <w:rPr>
            <w:rStyle w:val="Hyperlink"/>
          </w:rPr>
          <w:t>Figure 4: PRISMA 2020 Flow Diagram</w:t>
        </w:r>
        <w:r>
          <w:tab/>
        </w:r>
        <w:r>
          <w:fldChar w:fldCharType="begin"/>
        </w:r>
        <w:r>
          <w:instrText xml:space="preserve"> PAGEREF _Toc238133508 \h </w:instrText>
        </w:r>
        <w:r>
          <w:fldChar w:fldCharType="separate"/>
        </w:r>
        <w:r>
          <w:t>23</w:t>
        </w:r>
        <w:r>
          <w:fldChar w:fldCharType="end"/>
        </w:r>
      </w:hyperlink>
    </w:p>
    <w:p w14:paraId="61D966E8" w14:textId="77777777" w:rsidR="004A5CD4" w:rsidRDefault="002244FC">
      <w:pPr>
        <w:spacing w:before="120" w:after="120"/>
      </w:pPr>
      <w:r>
        <w:fldChar w:fldCharType="end"/>
      </w:r>
    </w:p>
    <w:p w14:paraId="6C4DAF91" w14:textId="77777777" w:rsidR="004A5CD4" w:rsidRDefault="004A5CD4">
      <w:pPr>
        <w:spacing w:before="120" w:after="120"/>
      </w:pPr>
    </w:p>
    <w:p w14:paraId="7B552CFB" w14:textId="77777777" w:rsidR="004A5CD4" w:rsidRDefault="002244FC">
      <w:pPr>
        <w:pStyle w:val="TableofFigures"/>
        <w:tabs>
          <w:tab w:val="right" w:leader="dot" w:pos="9016"/>
        </w:tabs>
        <w:jc w:val="center"/>
      </w:pPr>
      <w:r>
        <w:rPr>
          <w:b/>
          <w:bCs/>
          <w:sz w:val="28"/>
          <w:szCs w:val="24"/>
        </w:rPr>
        <w:br w:type="column"/>
        <w:t>Number of Tables</w:t>
      </w:r>
      <w:r>
        <w:rPr>
          <w:b/>
          <w:bCs/>
          <w:sz w:val="28"/>
          <w:szCs w:val="24"/>
        </w:rPr>
        <w:fldChar w:fldCharType="begin"/>
      </w:r>
      <w:r>
        <w:rPr>
          <w:b/>
          <w:bCs/>
          <w:sz w:val="28"/>
          <w:szCs w:val="24"/>
        </w:rPr>
        <w:instrText xml:space="preserve"> TOC \h \z \t "Heading 6" \c </w:instrText>
      </w:r>
      <w:r>
        <w:rPr>
          <w:b/>
          <w:bCs/>
          <w:sz w:val="28"/>
          <w:szCs w:val="24"/>
        </w:rPr>
        <w:fldChar w:fldCharType="separate"/>
      </w:r>
    </w:p>
    <w:p w14:paraId="0DAB9B30" w14:textId="77777777" w:rsidR="004A5CD4" w:rsidRDefault="002244FC">
      <w:pPr>
        <w:pStyle w:val="TableofFigures"/>
        <w:tabs>
          <w:tab w:val="right" w:leader="dot" w:pos="9016"/>
        </w:tabs>
        <w:rPr>
          <w:rFonts w:asciiTheme="minorHAnsi" w:eastAsiaTheme="minorEastAsia" w:hAnsiTheme="minorHAnsi"/>
          <w:kern w:val="2"/>
          <w:szCs w:val="24"/>
          <w:lang w:val="en-IN" w:eastAsia="en-IN"/>
          <w14:ligatures w14:val="standardContextual"/>
        </w:rPr>
      </w:pPr>
      <w:hyperlink w:anchor="_Toc238493935" w:history="1">
        <w:r>
          <w:rPr>
            <w:rStyle w:val="Hyperlink"/>
          </w:rPr>
          <w:t xml:space="preserve">Table 1: </w:t>
        </w:r>
        <w:r>
          <w:rPr>
            <w:rStyle w:val="Hyperlink"/>
            <w:lang w:eastAsia="en-IN"/>
          </w:rPr>
          <w:t>Search Sets and Boolean Combinations</w:t>
        </w:r>
        <w:r>
          <w:tab/>
        </w:r>
        <w:r>
          <w:fldChar w:fldCharType="begin"/>
        </w:r>
        <w:r>
          <w:instrText xml:space="preserve"> PAGEREF _Toc238493935 \h </w:instrText>
        </w:r>
        <w:r>
          <w:fldChar w:fldCharType="separate"/>
        </w:r>
        <w:r>
          <w:t>24</w:t>
        </w:r>
        <w:r>
          <w:fldChar w:fldCharType="end"/>
        </w:r>
      </w:hyperlink>
    </w:p>
    <w:p w14:paraId="0B6D399C" w14:textId="77777777" w:rsidR="004A5CD4" w:rsidRDefault="002244FC">
      <w:pPr>
        <w:pStyle w:val="TableofFigures"/>
        <w:tabs>
          <w:tab w:val="right" w:leader="dot" w:pos="9016"/>
        </w:tabs>
        <w:rPr>
          <w:rFonts w:asciiTheme="minorHAnsi" w:eastAsiaTheme="minorEastAsia" w:hAnsiTheme="minorHAnsi"/>
          <w:kern w:val="2"/>
          <w:szCs w:val="24"/>
          <w:lang w:val="en-IN" w:eastAsia="en-IN"/>
          <w14:ligatures w14:val="standardContextual"/>
        </w:rPr>
      </w:pPr>
      <w:hyperlink w:anchor="_Toc238493936" w:history="1">
        <w:r>
          <w:rPr>
            <w:rStyle w:val="Hyperlink"/>
          </w:rPr>
          <w:t>Table 2: PEO Framework</w:t>
        </w:r>
        <w:r>
          <w:tab/>
        </w:r>
        <w:r>
          <w:fldChar w:fldCharType="begin"/>
        </w:r>
        <w:r>
          <w:instrText xml:space="preserve"> PAGEREF _Toc238493936 \h </w:instrText>
        </w:r>
        <w:r>
          <w:fldChar w:fldCharType="separate"/>
        </w:r>
        <w:r>
          <w:t>25</w:t>
        </w:r>
        <w:r>
          <w:fldChar w:fldCharType="end"/>
        </w:r>
      </w:hyperlink>
    </w:p>
    <w:p w14:paraId="7847DFD9" w14:textId="77777777" w:rsidR="004A5CD4" w:rsidRDefault="002244FC">
      <w:pPr>
        <w:pStyle w:val="TableofFigures"/>
        <w:tabs>
          <w:tab w:val="right" w:leader="dot" w:pos="9016"/>
        </w:tabs>
        <w:rPr>
          <w:rFonts w:asciiTheme="minorHAnsi" w:eastAsiaTheme="minorEastAsia" w:hAnsiTheme="minorHAnsi"/>
          <w:kern w:val="2"/>
          <w:szCs w:val="24"/>
          <w:lang w:val="en-IN" w:eastAsia="en-IN"/>
          <w14:ligatures w14:val="standardContextual"/>
        </w:rPr>
      </w:pPr>
      <w:hyperlink w:anchor="_Toc238493937" w:history="1">
        <w:r>
          <w:rPr>
            <w:rStyle w:val="Hyperlink"/>
          </w:rPr>
          <w:t>Table 3: Overarching Themes and Sub-themes Emerging from the Included Studies</w:t>
        </w:r>
        <w:r>
          <w:tab/>
        </w:r>
        <w:r>
          <w:fldChar w:fldCharType="begin"/>
        </w:r>
        <w:r>
          <w:instrText xml:space="preserve"> PAGEREF _Toc238493937 \h </w:instrText>
        </w:r>
        <w:r>
          <w:fldChar w:fldCharType="separate"/>
        </w:r>
        <w:r>
          <w:t>43</w:t>
        </w:r>
        <w:r>
          <w:fldChar w:fldCharType="end"/>
        </w:r>
      </w:hyperlink>
    </w:p>
    <w:p w14:paraId="7863814A" w14:textId="77777777" w:rsidR="004A5CD4" w:rsidRDefault="002244FC">
      <w:pPr>
        <w:pStyle w:val="TableofFigures"/>
        <w:tabs>
          <w:tab w:val="right" w:leader="dot" w:pos="9016"/>
        </w:tabs>
        <w:rPr>
          <w:rFonts w:asciiTheme="minorHAnsi" w:eastAsiaTheme="minorEastAsia" w:hAnsiTheme="minorHAnsi"/>
          <w:kern w:val="2"/>
          <w:szCs w:val="24"/>
          <w:lang w:val="en-IN" w:eastAsia="en-IN"/>
          <w14:ligatures w14:val="standardContextual"/>
        </w:rPr>
      </w:pPr>
      <w:hyperlink w:anchor="_Toc238493938" w:history="1">
        <w:r>
          <w:rPr>
            <w:rStyle w:val="Hyperlink"/>
            <w:lang w:val="en-IN"/>
          </w:rPr>
          <w:t xml:space="preserve">Table 4: </w:t>
        </w:r>
        <w:r>
          <w:rPr>
            <w:rStyle w:val="Hyperlink"/>
          </w:rPr>
          <w:t>Implications table</w:t>
        </w:r>
        <w:r>
          <w:tab/>
        </w:r>
        <w:r>
          <w:fldChar w:fldCharType="begin"/>
        </w:r>
        <w:r>
          <w:instrText xml:space="preserve"> PAGEREF _Toc238493938 \h </w:instrText>
        </w:r>
        <w:r>
          <w:fldChar w:fldCharType="separate"/>
        </w:r>
        <w:r>
          <w:t>57</w:t>
        </w:r>
        <w:r>
          <w:fldChar w:fldCharType="end"/>
        </w:r>
      </w:hyperlink>
    </w:p>
    <w:p w14:paraId="1C63DEA8" w14:textId="77777777" w:rsidR="004A5CD4" w:rsidRDefault="002244FC">
      <w:pPr>
        <w:pStyle w:val="TableofFigures"/>
        <w:tabs>
          <w:tab w:val="right" w:leader="dot" w:pos="9016"/>
        </w:tabs>
        <w:jc w:val="center"/>
      </w:pPr>
      <w:r>
        <w:rPr>
          <w:b/>
          <w:bCs/>
          <w:sz w:val="28"/>
          <w:szCs w:val="24"/>
        </w:rPr>
        <w:fldChar w:fldCharType="end"/>
      </w:r>
    </w:p>
    <w:p w14:paraId="3E61A6BA" w14:textId="77777777" w:rsidR="004A5CD4" w:rsidRDefault="004A5CD4">
      <w:pPr>
        <w:spacing w:before="120" w:after="120"/>
      </w:pPr>
    </w:p>
    <w:p w14:paraId="4346034A" w14:textId="77777777" w:rsidR="004A5CD4" w:rsidRDefault="002244FC">
      <w:pPr>
        <w:spacing w:after="0" w:line="240" w:lineRule="auto"/>
        <w:jc w:val="left"/>
      </w:pPr>
      <w:r>
        <w:br w:type="page"/>
      </w:r>
    </w:p>
    <w:p w14:paraId="6FF8FFED" w14:textId="77777777" w:rsidR="004A5CD4" w:rsidRDefault="002244FC">
      <w:pPr>
        <w:spacing w:before="120" w:after="120"/>
        <w:rPr>
          <w:b/>
          <w:bCs/>
        </w:rPr>
      </w:pPr>
      <w:r>
        <w:rPr>
          <w:b/>
          <w:bCs/>
        </w:rPr>
        <w:t>List of Abbreviations</w:t>
      </w:r>
    </w:p>
    <w:tbl>
      <w:tblPr>
        <w:tblStyle w:val="TableGrid"/>
        <w:tblW w:w="0" w:type="auto"/>
        <w:tblLook w:val="04A0" w:firstRow="1" w:lastRow="0" w:firstColumn="1" w:lastColumn="0" w:noHBand="0" w:noVBand="1"/>
      </w:tblPr>
      <w:tblGrid>
        <w:gridCol w:w="1683"/>
        <w:gridCol w:w="7333"/>
      </w:tblGrid>
      <w:tr w:rsidR="004A5CD4" w14:paraId="468D5520" w14:textId="77777777">
        <w:tc>
          <w:tcPr>
            <w:tcW w:w="0" w:type="auto"/>
          </w:tcPr>
          <w:p w14:paraId="3E7F2354" w14:textId="77777777" w:rsidR="004A5CD4" w:rsidRDefault="002244FC">
            <w:pPr>
              <w:spacing w:before="120" w:after="120"/>
              <w:rPr>
                <w:b/>
                <w:bCs/>
                <w:lang w:val="en-IN"/>
              </w:rPr>
            </w:pPr>
            <w:r>
              <w:rPr>
                <w:b/>
                <w:bCs/>
                <w:lang w:val="en-IN"/>
              </w:rPr>
              <w:t>Abbreviation</w:t>
            </w:r>
          </w:p>
        </w:tc>
        <w:tc>
          <w:tcPr>
            <w:tcW w:w="0" w:type="auto"/>
          </w:tcPr>
          <w:p w14:paraId="2E7B2D80" w14:textId="77777777" w:rsidR="004A5CD4" w:rsidRDefault="002244FC">
            <w:pPr>
              <w:spacing w:before="120" w:after="120"/>
              <w:rPr>
                <w:b/>
                <w:bCs/>
                <w:lang w:val="en-IN"/>
              </w:rPr>
            </w:pPr>
            <w:r>
              <w:rPr>
                <w:b/>
                <w:bCs/>
                <w:lang w:val="en-IN"/>
              </w:rPr>
              <w:t>Full Form</w:t>
            </w:r>
          </w:p>
        </w:tc>
      </w:tr>
      <w:tr w:rsidR="004A5CD4" w14:paraId="601A093F" w14:textId="77777777">
        <w:tc>
          <w:tcPr>
            <w:tcW w:w="0" w:type="auto"/>
          </w:tcPr>
          <w:p w14:paraId="37078D5C" w14:textId="77777777" w:rsidR="004A5CD4" w:rsidRDefault="002244FC">
            <w:pPr>
              <w:spacing w:before="120" w:after="120"/>
              <w:rPr>
                <w:b/>
                <w:bCs/>
                <w:lang w:val="en-IN"/>
              </w:rPr>
            </w:pPr>
            <w:r>
              <w:rPr>
                <w:b/>
                <w:bCs/>
                <w:lang w:val="en-IN"/>
              </w:rPr>
              <w:t>ACE</w:t>
            </w:r>
          </w:p>
        </w:tc>
        <w:tc>
          <w:tcPr>
            <w:tcW w:w="0" w:type="auto"/>
          </w:tcPr>
          <w:p w14:paraId="37C6C901" w14:textId="77777777" w:rsidR="004A5CD4" w:rsidRDefault="002244FC">
            <w:pPr>
              <w:spacing w:before="120" w:after="120"/>
              <w:rPr>
                <w:lang w:val="en-IN"/>
              </w:rPr>
            </w:pPr>
            <w:r>
              <w:rPr>
                <w:lang w:val="en-IN"/>
              </w:rPr>
              <w:t>Adverse Childhood Experiences</w:t>
            </w:r>
          </w:p>
        </w:tc>
      </w:tr>
      <w:tr w:rsidR="004A5CD4" w14:paraId="76B4E090" w14:textId="77777777">
        <w:tc>
          <w:tcPr>
            <w:tcW w:w="0" w:type="auto"/>
          </w:tcPr>
          <w:p w14:paraId="61E1A694" w14:textId="77777777" w:rsidR="004A5CD4" w:rsidRDefault="002244FC">
            <w:pPr>
              <w:spacing w:before="120" w:after="120"/>
              <w:rPr>
                <w:b/>
                <w:bCs/>
                <w:lang w:val="en-IN"/>
              </w:rPr>
            </w:pPr>
            <w:r>
              <w:rPr>
                <w:b/>
                <w:bCs/>
                <w:lang w:val="en-IN"/>
              </w:rPr>
              <w:t>C-ACE</w:t>
            </w:r>
          </w:p>
        </w:tc>
        <w:tc>
          <w:tcPr>
            <w:tcW w:w="0" w:type="auto"/>
          </w:tcPr>
          <w:p w14:paraId="28C05CCD" w14:textId="77777777" w:rsidR="004A5CD4" w:rsidRDefault="002244FC">
            <w:pPr>
              <w:spacing w:before="120" w:after="120"/>
              <w:rPr>
                <w:lang w:val="en-IN"/>
              </w:rPr>
            </w:pPr>
            <w:r>
              <w:rPr>
                <w:lang w:val="en-IN"/>
              </w:rPr>
              <w:t>Culturally Informed Adverse Childhood Experience Framework</w:t>
            </w:r>
          </w:p>
        </w:tc>
      </w:tr>
      <w:tr w:rsidR="004A5CD4" w14:paraId="4CFF3289" w14:textId="77777777">
        <w:tc>
          <w:tcPr>
            <w:tcW w:w="0" w:type="auto"/>
          </w:tcPr>
          <w:p w14:paraId="1417E814" w14:textId="77777777" w:rsidR="004A5CD4" w:rsidRDefault="002244FC">
            <w:pPr>
              <w:spacing w:before="120" w:after="120"/>
              <w:rPr>
                <w:b/>
                <w:bCs/>
                <w:lang w:val="en-IN"/>
              </w:rPr>
            </w:pPr>
            <w:r>
              <w:rPr>
                <w:b/>
                <w:bCs/>
                <w:lang w:val="en-IN"/>
              </w:rPr>
              <w:t>CASP</w:t>
            </w:r>
          </w:p>
        </w:tc>
        <w:tc>
          <w:tcPr>
            <w:tcW w:w="0" w:type="auto"/>
          </w:tcPr>
          <w:p w14:paraId="742F132A" w14:textId="77777777" w:rsidR="004A5CD4" w:rsidRDefault="002244FC">
            <w:pPr>
              <w:spacing w:before="120" w:after="120"/>
              <w:rPr>
                <w:lang w:val="en-IN"/>
              </w:rPr>
            </w:pPr>
            <w:r>
              <w:rPr>
                <w:lang w:val="en-IN"/>
              </w:rPr>
              <w:t>Critical Appraisal Skills Programme</w:t>
            </w:r>
          </w:p>
        </w:tc>
      </w:tr>
      <w:tr w:rsidR="004A5CD4" w14:paraId="5923B81B" w14:textId="77777777">
        <w:tc>
          <w:tcPr>
            <w:tcW w:w="0" w:type="auto"/>
          </w:tcPr>
          <w:p w14:paraId="75428A68" w14:textId="77777777" w:rsidR="004A5CD4" w:rsidRDefault="002244FC">
            <w:pPr>
              <w:spacing w:before="120" w:after="120"/>
              <w:rPr>
                <w:b/>
                <w:bCs/>
                <w:lang w:val="en-IN"/>
              </w:rPr>
            </w:pPr>
            <w:r>
              <w:rPr>
                <w:b/>
                <w:bCs/>
                <w:lang w:val="en-IN"/>
              </w:rPr>
              <w:t>JBI</w:t>
            </w:r>
          </w:p>
        </w:tc>
        <w:tc>
          <w:tcPr>
            <w:tcW w:w="0" w:type="auto"/>
          </w:tcPr>
          <w:p w14:paraId="14C4B36A" w14:textId="77777777" w:rsidR="004A5CD4" w:rsidRDefault="002244FC">
            <w:pPr>
              <w:spacing w:before="120" w:after="120"/>
              <w:rPr>
                <w:lang w:val="en-IN"/>
              </w:rPr>
            </w:pPr>
            <w:r>
              <w:rPr>
                <w:lang w:val="en-IN"/>
              </w:rPr>
              <w:t>Joanna Briggs Institute</w:t>
            </w:r>
          </w:p>
        </w:tc>
      </w:tr>
      <w:tr w:rsidR="004A5CD4" w14:paraId="442195EC" w14:textId="77777777">
        <w:tc>
          <w:tcPr>
            <w:tcW w:w="0" w:type="auto"/>
          </w:tcPr>
          <w:p w14:paraId="4A5AD267" w14:textId="77777777" w:rsidR="004A5CD4" w:rsidRDefault="002244FC">
            <w:pPr>
              <w:spacing w:before="120" w:after="120"/>
              <w:rPr>
                <w:b/>
                <w:bCs/>
                <w:lang w:val="en-IN"/>
              </w:rPr>
            </w:pPr>
            <w:r>
              <w:rPr>
                <w:b/>
                <w:bCs/>
                <w:lang w:val="en-IN"/>
              </w:rPr>
              <w:t>PRISMA</w:t>
            </w:r>
          </w:p>
        </w:tc>
        <w:tc>
          <w:tcPr>
            <w:tcW w:w="0" w:type="auto"/>
          </w:tcPr>
          <w:p w14:paraId="19469728" w14:textId="77777777" w:rsidR="004A5CD4" w:rsidRDefault="002244FC">
            <w:pPr>
              <w:spacing w:before="120" w:after="120"/>
              <w:rPr>
                <w:lang w:val="en-IN"/>
              </w:rPr>
            </w:pPr>
            <w:r>
              <w:rPr>
                <w:lang w:val="en-IN"/>
              </w:rPr>
              <w:t>Preferred Reporting Items for Systematic Reviews and Meta-Analyses</w:t>
            </w:r>
          </w:p>
        </w:tc>
      </w:tr>
      <w:tr w:rsidR="004A5CD4" w14:paraId="3A1DD4C5" w14:textId="77777777">
        <w:tc>
          <w:tcPr>
            <w:tcW w:w="0" w:type="auto"/>
          </w:tcPr>
          <w:p w14:paraId="57816802" w14:textId="77777777" w:rsidR="004A5CD4" w:rsidRDefault="002244FC">
            <w:pPr>
              <w:spacing w:before="120" w:after="120"/>
              <w:rPr>
                <w:b/>
                <w:bCs/>
                <w:lang w:val="en-IN"/>
              </w:rPr>
            </w:pPr>
            <w:r>
              <w:rPr>
                <w:b/>
                <w:bCs/>
                <w:lang w:val="en-IN"/>
              </w:rPr>
              <w:t>SLR</w:t>
            </w:r>
          </w:p>
        </w:tc>
        <w:tc>
          <w:tcPr>
            <w:tcW w:w="0" w:type="auto"/>
          </w:tcPr>
          <w:p w14:paraId="1A7FF670" w14:textId="77777777" w:rsidR="004A5CD4" w:rsidRDefault="002244FC">
            <w:pPr>
              <w:spacing w:before="120" w:after="120"/>
              <w:rPr>
                <w:lang w:val="en-IN"/>
              </w:rPr>
            </w:pPr>
            <w:r>
              <w:rPr>
                <w:lang w:val="en-IN"/>
              </w:rPr>
              <w:t>Systematic Literature Review</w:t>
            </w:r>
          </w:p>
        </w:tc>
      </w:tr>
      <w:tr w:rsidR="004A5CD4" w14:paraId="265ABFD3" w14:textId="77777777">
        <w:tc>
          <w:tcPr>
            <w:tcW w:w="0" w:type="auto"/>
          </w:tcPr>
          <w:p w14:paraId="2578583E" w14:textId="77777777" w:rsidR="004A5CD4" w:rsidRDefault="002244FC">
            <w:pPr>
              <w:spacing w:before="120" w:after="120"/>
              <w:rPr>
                <w:b/>
                <w:bCs/>
                <w:lang w:val="en-IN"/>
              </w:rPr>
            </w:pPr>
            <w:r>
              <w:rPr>
                <w:b/>
                <w:bCs/>
                <w:lang w:val="en-IN"/>
              </w:rPr>
              <w:t>PEO</w:t>
            </w:r>
          </w:p>
        </w:tc>
        <w:tc>
          <w:tcPr>
            <w:tcW w:w="0" w:type="auto"/>
          </w:tcPr>
          <w:p w14:paraId="14DE11BA" w14:textId="77777777" w:rsidR="004A5CD4" w:rsidRDefault="002244FC">
            <w:pPr>
              <w:spacing w:before="120" w:after="120"/>
              <w:rPr>
                <w:lang w:val="en-IN"/>
              </w:rPr>
            </w:pPr>
            <w:r>
              <w:rPr>
                <w:lang w:val="en-IN"/>
              </w:rPr>
              <w:t>Population, Exposure, Outcome</w:t>
            </w:r>
          </w:p>
        </w:tc>
      </w:tr>
      <w:tr w:rsidR="004A5CD4" w14:paraId="4BFB6B3A" w14:textId="77777777">
        <w:tc>
          <w:tcPr>
            <w:tcW w:w="0" w:type="auto"/>
          </w:tcPr>
          <w:p w14:paraId="027DBE6C" w14:textId="77777777" w:rsidR="004A5CD4" w:rsidRDefault="002244FC">
            <w:pPr>
              <w:spacing w:before="120" w:after="120"/>
              <w:rPr>
                <w:b/>
                <w:bCs/>
                <w:lang w:val="en-IN"/>
              </w:rPr>
            </w:pPr>
            <w:r>
              <w:rPr>
                <w:b/>
                <w:bCs/>
                <w:lang w:val="en-IN"/>
              </w:rPr>
              <w:t>UK</w:t>
            </w:r>
          </w:p>
        </w:tc>
        <w:tc>
          <w:tcPr>
            <w:tcW w:w="0" w:type="auto"/>
          </w:tcPr>
          <w:p w14:paraId="2CFEF4A0" w14:textId="77777777" w:rsidR="004A5CD4" w:rsidRDefault="002244FC">
            <w:pPr>
              <w:spacing w:before="120" w:after="120"/>
              <w:rPr>
                <w:lang w:val="en-IN"/>
              </w:rPr>
            </w:pPr>
            <w:r>
              <w:rPr>
                <w:lang w:val="en-IN"/>
              </w:rPr>
              <w:t>United Kingdom</w:t>
            </w:r>
          </w:p>
        </w:tc>
      </w:tr>
      <w:tr w:rsidR="004A5CD4" w14:paraId="4A284563" w14:textId="77777777">
        <w:tc>
          <w:tcPr>
            <w:tcW w:w="0" w:type="auto"/>
          </w:tcPr>
          <w:p w14:paraId="074D7D65" w14:textId="77777777" w:rsidR="004A5CD4" w:rsidRDefault="002244FC">
            <w:pPr>
              <w:spacing w:before="120" w:after="120"/>
              <w:rPr>
                <w:b/>
                <w:bCs/>
                <w:lang w:val="en-IN"/>
              </w:rPr>
            </w:pPr>
            <w:r>
              <w:rPr>
                <w:b/>
                <w:bCs/>
                <w:lang w:val="en-IN"/>
              </w:rPr>
              <w:t>NHS</w:t>
            </w:r>
          </w:p>
        </w:tc>
        <w:tc>
          <w:tcPr>
            <w:tcW w:w="0" w:type="auto"/>
          </w:tcPr>
          <w:p w14:paraId="42D03FB1" w14:textId="77777777" w:rsidR="004A5CD4" w:rsidRDefault="002244FC">
            <w:pPr>
              <w:spacing w:before="120" w:after="120"/>
              <w:rPr>
                <w:lang w:val="en-IN"/>
              </w:rPr>
            </w:pPr>
            <w:r>
              <w:rPr>
                <w:lang w:val="en-IN"/>
              </w:rPr>
              <w:t>National Health Service</w:t>
            </w:r>
          </w:p>
        </w:tc>
      </w:tr>
      <w:tr w:rsidR="004A5CD4" w14:paraId="27081163" w14:textId="77777777">
        <w:tc>
          <w:tcPr>
            <w:tcW w:w="0" w:type="auto"/>
          </w:tcPr>
          <w:p w14:paraId="05FAC9E0" w14:textId="77777777" w:rsidR="004A5CD4" w:rsidRDefault="002244FC">
            <w:pPr>
              <w:spacing w:before="120" w:after="120"/>
              <w:rPr>
                <w:b/>
                <w:bCs/>
                <w:lang w:val="en-IN"/>
              </w:rPr>
            </w:pPr>
            <w:r>
              <w:rPr>
                <w:b/>
                <w:bCs/>
                <w:lang w:val="en-IN"/>
              </w:rPr>
              <w:t>CYP</w:t>
            </w:r>
          </w:p>
        </w:tc>
        <w:tc>
          <w:tcPr>
            <w:tcW w:w="0" w:type="auto"/>
          </w:tcPr>
          <w:p w14:paraId="011F40DD" w14:textId="77777777" w:rsidR="004A5CD4" w:rsidRDefault="002244FC">
            <w:pPr>
              <w:spacing w:before="120" w:after="120"/>
              <w:rPr>
                <w:lang w:val="en-IN"/>
              </w:rPr>
            </w:pPr>
            <w:r>
              <w:rPr>
                <w:lang w:val="en-IN"/>
              </w:rPr>
              <w:t>Children and Young People</w:t>
            </w:r>
          </w:p>
        </w:tc>
      </w:tr>
      <w:tr w:rsidR="004A5CD4" w14:paraId="202A9795" w14:textId="77777777">
        <w:tc>
          <w:tcPr>
            <w:tcW w:w="0" w:type="auto"/>
          </w:tcPr>
          <w:p w14:paraId="7B8FD828" w14:textId="77777777" w:rsidR="004A5CD4" w:rsidRDefault="002244FC">
            <w:pPr>
              <w:spacing w:before="120" w:after="120"/>
              <w:rPr>
                <w:b/>
                <w:bCs/>
                <w:lang w:val="en-IN"/>
              </w:rPr>
            </w:pPr>
            <w:r>
              <w:rPr>
                <w:b/>
                <w:bCs/>
                <w:lang w:val="en-IN"/>
              </w:rPr>
              <w:t>MH</w:t>
            </w:r>
          </w:p>
        </w:tc>
        <w:tc>
          <w:tcPr>
            <w:tcW w:w="0" w:type="auto"/>
          </w:tcPr>
          <w:p w14:paraId="58647007" w14:textId="77777777" w:rsidR="004A5CD4" w:rsidRDefault="002244FC">
            <w:pPr>
              <w:spacing w:before="120" w:after="120"/>
              <w:rPr>
                <w:lang w:val="en-IN"/>
              </w:rPr>
            </w:pPr>
            <w:r>
              <w:rPr>
                <w:lang w:val="en-IN"/>
              </w:rPr>
              <w:t>Mental Health</w:t>
            </w:r>
          </w:p>
        </w:tc>
      </w:tr>
      <w:tr w:rsidR="004A5CD4" w14:paraId="7C09BEC1" w14:textId="77777777">
        <w:tc>
          <w:tcPr>
            <w:tcW w:w="0" w:type="auto"/>
          </w:tcPr>
          <w:p w14:paraId="1D05FD35" w14:textId="77777777" w:rsidR="004A5CD4" w:rsidRDefault="002244FC">
            <w:pPr>
              <w:spacing w:before="120" w:after="120"/>
              <w:rPr>
                <w:b/>
                <w:bCs/>
                <w:lang w:val="en-IN"/>
              </w:rPr>
            </w:pPr>
            <w:r>
              <w:rPr>
                <w:b/>
                <w:bCs/>
                <w:lang w:val="en-IN"/>
              </w:rPr>
              <w:t>BAME</w:t>
            </w:r>
          </w:p>
        </w:tc>
        <w:tc>
          <w:tcPr>
            <w:tcW w:w="0" w:type="auto"/>
          </w:tcPr>
          <w:p w14:paraId="09CF9813" w14:textId="77777777" w:rsidR="004A5CD4" w:rsidRDefault="002244FC">
            <w:pPr>
              <w:spacing w:before="120" w:after="120"/>
              <w:rPr>
                <w:lang w:val="en-IN"/>
              </w:rPr>
            </w:pPr>
            <w:r>
              <w:rPr>
                <w:lang w:val="en-IN"/>
              </w:rPr>
              <w:t>Black, Asian and Minority Ethnic (where used in previous literature)</w:t>
            </w:r>
          </w:p>
        </w:tc>
      </w:tr>
      <w:tr w:rsidR="004A5CD4" w14:paraId="54643A28" w14:textId="77777777">
        <w:tc>
          <w:tcPr>
            <w:tcW w:w="0" w:type="auto"/>
          </w:tcPr>
          <w:p w14:paraId="1CE7F89D" w14:textId="77777777" w:rsidR="004A5CD4" w:rsidRDefault="002244FC">
            <w:pPr>
              <w:spacing w:before="120" w:after="120"/>
              <w:rPr>
                <w:b/>
                <w:bCs/>
                <w:lang w:val="en-IN"/>
              </w:rPr>
            </w:pPr>
            <w:r>
              <w:rPr>
                <w:b/>
                <w:bCs/>
                <w:lang w:val="en-IN"/>
              </w:rPr>
              <w:t>PTSD</w:t>
            </w:r>
          </w:p>
        </w:tc>
        <w:tc>
          <w:tcPr>
            <w:tcW w:w="0" w:type="auto"/>
          </w:tcPr>
          <w:p w14:paraId="0A395450" w14:textId="77777777" w:rsidR="004A5CD4" w:rsidRDefault="002244FC">
            <w:pPr>
              <w:spacing w:before="120" w:after="120"/>
              <w:rPr>
                <w:lang w:val="en-IN"/>
              </w:rPr>
            </w:pPr>
            <w:r>
              <w:rPr>
                <w:lang w:val="en-IN"/>
              </w:rPr>
              <w:t>Post-Traumatic Stress Disorder</w:t>
            </w:r>
          </w:p>
        </w:tc>
      </w:tr>
      <w:tr w:rsidR="004A5CD4" w14:paraId="02479182" w14:textId="77777777">
        <w:tc>
          <w:tcPr>
            <w:tcW w:w="0" w:type="auto"/>
          </w:tcPr>
          <w:p w14:paraId="2417FA1B" w14:textId="77777777" w:rsidR="004A5CD4" w:rsidRDefault="002244FC">
            <w:pPr>
              <w:spacing w:before="120" w:after="120"/>
              <w:rPr>
                <w:b/>
                <w:bCs/>
                <w:lang w:val="en-IN"/>
              </w:rPr>
            </w:pPr>
            <w:r>
              <w:rPr>
                <w:b/>
                <w:bCs/>
                <w:lang w:val="en-IN"/>
              </w:rPr>
              <w:t>IPA</w:t>
            </w:r>
          </w:p>
        </w:tc>
        <w:tc>
          <w:tcPr>
            <w:tcW w:w="0" w:type="auto"/>
          </w:tcPr>
          <w:p w14:paraId="46E2B506" w14:textId="77777777" w:rsidR="004A5CD4" w:rsidRDefault="002244FC">
            <w:pPr>
              <w:spacing w:before="120" w:after="120"/>
              <w:rPr>
                <w:lang w:val="en-IN"/>
              </w:rPr>
            </w:pPr>
            <w:r>
              <w:rPr>
                <w:lang w:val="en-IN"/>
              </w:rPr>
              <w:t>Interpretative Phenomenological Analysis</w:t>
            </w:r>
          </w:p>
        </w:tc>
      </w:tr>
      <w:tr w:rsidR="004A5CD4" w14:paraId="2712AC50" w14:textId="77777777">
        <w:tc>
          <w:tcPr>
            <w:tcW w:w="0" w:type="auto"/>
          </w:tcPr>
          <w:p w14:paraId="0EA5D20A" w14:textId="77777777" w:rsidR="004A5CD4" w:rsidRDefault="002244FC">
            <w:pPr>
              <w:spacing w:before="120" w:after="120"/>
              <w:rPr>
                <w:b/>
                <w:bCs/>
                <w:lang w:val="en-IN"/>
              </w:rPr>
            </w:pPr>
            <w:r>
              <w:rPr>
                <w:b/>
                <w:bCs/>
                <w:lang w:val="en-IN"/>
              </w:rPr>
              <w:t>SES</w:t>
            </w:r>
          </w:p>
        </w:tc>
        <w:tc>
          <w:tcPr>
            <w:tcW w:w="0" w:type="auto"/>
          </w:tcPr>
          <w:p w14:paraId="0A778AC0" w14:textId="77777777" w:rsidR="004A5CD4" w:rsidRDefault="002244FC">
            <w:pPr>
              <w:spacing w:before="120" w:after="120"/>
              <w:rPr>
                <w:lang w:val="en-IN"/>
              </w:rPr>
            </w:pPr>
            <w:r>
              <w:rPr>
                <w:lang w:val="en-IN"/>
              </w:rPr>
              <w:t>Socioeconomic Status</w:t>
            </w:r>
          </w:p>
        </w:tc>
      </w:tr>
      <w:tr w:rsidR="004A5CD4" w14:paraId="3B9501F7" w14:textId="77777777">
        <w:tc>
          <w:tcPr>
            <w:tcW w:w="0" w:type="auto"/>
          </w:tcPr>
          <w:p w14:paraId="12693442" w14:textId="77777777" w:rsidR="004A5CD4" w:rsidRDefault="002244FC">
            <w:pPr>
              <w:spacing w:before="120" w:after="120"/>
              <w:rPr>
                <w:b/>
                <w:bCs/>
                <w:lang w:val="en-IN"/>
              </w:rPr>
            </w:pPr>
            <w:r>
              <w:rPr>
                <w:b/>
                <w:bCs/>
                <w:lang w:val="en-IN"/>
              </w:rPr>
              <w:t>IRB</w:t>
            </w:r>
          </w:p>
        </w:tc>
        <w:tc>
          <w:tcPr>
            <w:tcW w:w="0" w:type="auto"/>
          </w:tcPr>
          <w:p w14:paraId="69068E7B" w14:textId="77777777" w:rsidR="004A5CD4" w:rsidRDefault="002244FC">
            <w:pPr>
              <w:spacing w:before="120" w:after="120"/>
              <w:rPr>
                <w:lang w:val="en-IN"/>
              </w:rPr>
            </w:pPr>
            <w:r>
              <w:rPr>
                <w:lang w:val="en-IN"/>
              </w:rPr>
              <w:t>Institutional Review Board</w:t>
            </w:r>
          </w:p>
        </w:tc>
      </w:tr>
      <w:tr w:rsidR="004A5CD4" w14:paraId="16607421" w14:textId="77777777">
        <w:tc>
          <w:tcPr>
            <w:tcW w:w="0" w:type="auto"/>
          </w:tcPr>
          <w:p w14:paraId="5E792F2E" w14:textId="77777777" w:rsidR="004A5CD4" w:rsidRDefault="002244FC">
            <w:pPr>
              <w:spacing w:before="120" w:after="120"/>
              <w:rPr>
                <w:b/>
                <w:bCs/>
                <w:lang w:val="en-IN"/>
              </w:rPr>
            </w:pPr>
            <w:r>
              <w:rPr>
                <w:b/>
                <w:bCs/>
                <w:lang w:val="en-IN"/>
              </w:rPr>
              <w:t>CINAHL</w:t>
            </w:r>
          </w:p>
        </w:tc>
        <w:tc>
          <w:tcPr>
            <w:tcW w:w="0" w:type="auto"/>
          </w:tcPr>
          <w:p w14:paraId="6A13D85E" w14:textId="77777777" w:rsidR="004A5CD4" w:rsidRDefault="002244FC">
            <w:pPr>
              <w:spacing w:before="120" w:after="120"/>
              <w:rPr>
                <w:lang w:val="en-IN"/>
              </w:rPr>
            </w:pPr>
            <w:r>
              <w:rPr>
                <w:lang w:val="en-IN"/>
              </w:rPr>
              <w:t>Cumulative Index to Nursing and Allied Health Literature</w:t>
            </w:r>
          </w:p>
        </w:tc>
      </w:tr>
      <w:tr w:rsidR="004A5CD4" w14:paraId="3F1EAC64" w14:textId="77777777">
        <w:tc>
          <w:tcPr>
            <w:tcW w:w="0" w:type="auto"/>
          </w:tcPr>
          <w:p w14:paraId="0D53D1A2" w14:textId="77777777" w:rsidR="004A5CD4" w:rsidRDefault="002244FC">
            <w:pPr>
              <w:spacing w:before="120" w:after="120"/>
              <w:rPr>
                <w:b/>
                <w:bCs/>
                <w:lang w:val="en-IN"/>
              </w:rPr>
            </w:pPr>
            <w:r>
              <w:rPr>
                <w:b/>
                <w:bCs/>
                <w:lang w:val="en-IN"/>
              </w:rPr>
              <w:t>MEDLINE</w:t>
            </w:r>
          </w:p>
        </w:tc>
        <w:tc>
          <w:tcPr>
            <w:tcW w:w="0" w:type="auto"/>
          </w:tcPr>
          <w:p w14:paraId="639DFDCE" w14:textId="77777777" w:rsidR="004A5CD4" w:rsidRDefault="002244FC">
            <w:pPr>
              <w:spacing w:before="120" w:after="120"/>
              <w:rPr>
                <w:lang w:val="en-IN"/>
              </w:rPr>
            </w:pPr>
            <w:r>
              <w:rPr>
                <w:lang w:val="en-IN"/>
              </w:rPr>
              <w:t>Medical Literature Analysis and Retrieval System Online</w:t>
            </w:r>
          </w:p>
        </w:tc>
      </w:tr>
      <w:tr w:rsidR="004A5CD4" w14:paraId="354D58FA" w14:textId="77777777">
        <w:tc>
          <w:tcPr>
            <w:tcW w:w="0" w:type="auto"/>
          </w:tcPr>
          <w:p w14:paraId="16C84907" w14:textId="77777777" w:rsidR="004A5CD4" w:rsidRDefault="002244FC">
            <w:pPr>
              <w:spacing w:before="120" w:after="120"/>
              <w:rPr>
                <w:b/>
                <w:bCs/>
                <w:lang w:val="en-IN"/>
              </w:rPr>
            </w:pPr>
            <w:r>
              <w:rPr>
                <w:b/>
                <w:bCs/>
                <w:lang w:val="en-IN"/>
              </w:rPr>
              <w:t>PICO</w:t>
            </w:r>
          </w:p>
        </w:tc>
        <w:tc>
          <w:tcPr>
            <w:tcW w:w="0" w:type="auto"/>
          </w:tcPr>
          <w:p w14:paraId="1CA65D13" w14:textId="77777777" w:rsidR="004A5CD4" w:rsidRDefault="002244FC">
            <w:pPr>
              <w:spacing w:before="120" w:after="120"/>
              <w:rPr>
                <w:lang w:val="en-IN"/>
              </w:rPr>
            </w:pPr>
            <w:r>
              <w:rPr>
                <w:lang w:val="en-IN"/>
              </w:rPr>
              <w:t>Population, Intervention, Comparison, Outcome</w:t>
            </w:r>
          </w:p>
        </w:tc>
      </w:tr>
      <w:tr w:rsidR="004A5CD4" w14:paraId="54A5B84D" w14:textId="77777777">
        <w:tc>
          <w:tcPr>
            <w:tcW w:w="0" w:type="auto"/>
          </w:tcPr>
          <w:p w14:paraId="735B35B3" w14:textId="77777777" w:rsidR="004A5CD4" w:rsidRDefault="002244FC">
            <w:pPr>
              <w:spacing w:before="120" w:after="120"/>
              <w:rPr>
                <w:b/>
                <w:bCs/>
                <w:lang w:val="en-IN"/>
              </w:rPr>
            </w:pPr>
            <w:r>
              <w:rPr>
                <w:b/>
                <w:bCs/>
                <w:lang w:val="en-IN"/>
              </w:rPr>
              <w:t>DSM</w:t>
            </w:r>
          </w:p>
        </w:tc>
        <w:tc>
          <w:tcPr>
            <w:tcW w:w="0" w:type="auto"/>
          </w:tcPr>
          <w:p w14:paraId="0D280DCA" w14:textId="77777777" w:rsidR="004A5CD4" w:rsidRDefault="002244FC">
            <w:pPr>
              <w:spacing w:before="120" w:after="120"/>
              <w:rPr>
                <w:lang w:val="en-IN"/>
              </w:rPr>
            </w:pPr>
            <w:r>
              <w:rPr>
                <w:lang w:val="en-IN"/>
              </w:rPr>
              <w:t>Diagnostic and Statistical Manual of Mental Disorders</w:t>
            </w:r>
          </w:p>
        </w:tc>
      </w:tr>
      <w:tr w:rsidR="004A5CD4" w14:paraId="74548668" w14:textId="77777777">
        <w:tc>
          <w:tcPr>
            <w:tcW w:w="0" w:type="auto"/>
          </w:tcPr>
          <w:p w14:paraId="749C4B78" w14:textId="77777777" w:rsidR="004A5CD4" w:rsidRDefault="002244FC">
            <w:pPr>
              <w:spacing w:before="120" w:after="120"/>
              <w:rPr>
                <w:b/>
                <w:bCs/>
                <w:lang w:val="en-IN"/>
              </w:rPr>
            </w:pPr>
            <w:r>
              <w:rPr>
                <w:b/>
                <w:bCs/>
                <w:lang w:val="en-IN"/>
              </w:rPr>
              <w:t>GAD</w:t>
            </w:r>
          </w:p>
        </w:tc>
        <w:tc>
          <w:tcPr>
            <w:tcW w:w="0" w:type="auto"/>
          </w:tcPr>
          <w:p w14:paraId="2B083135" w14:textId="77777777" w:rsidR="004A5CD4" w:rsidRDefault="002244FC">
            <w:pPr>
              <w:spacing w:before="120" w:after="120"/>
              <w:rPr>
                <w:lang w:val="en-IN"/>
              </w:rPr>
            </w:pPr>
            <w:r>
              <w:rPr>
                <w:lang w:val="en-IN"/>
              </w:rPr>
              <w:t>Generalised Anxiety Disorder</w:t>
            </w:r>
          </w:p>
        </w:tc>
      </w:tr>
    </w:tbl>
    <w:p w14:paraId="69B540E9" w14:textId="77777777" w:rsidR="004A5CD4" w:rsidRDefault="002244FC">
      <w:pPr>
        <w:spacing w:before="120" w:after="120"/>
        <w:rPr>
          <w:b/>
          <w:bCs/>
        </w:rPr>
      </w:pPr>
      <w:r>
        <w:rPr>
          <w:b/>
          <w:bCs/>
        </w:rPr>
        <w:br w:type="page"/>
      </w:r>
    </w:p>
    <w:p w14:paraId="69881185" w14:textId="77777777" w:rsidR="004A5CD4" w:rsidRDefault="002244FC">
      <w:pPr>
        <w:pStyle w:val="Heading1"/>
      </w:pPr>
      <w:bookmarkStart w:id="0" w:name="_Toc238674262"/>
      <w:r>
        <w:t>1.0 Chapter 1: Introduction and Background</w:t>
      </w:r>
      <w:bookmarkEnd w:id="0"/>
      <w:r>
        <w:t xml:space="preserve"> </w:t>
      </w:r>
    </w:p>
    <w:p w14:paraId="24150438" w14:textId="77777777" w:rsidR="004A5CD4" w:rsidRDefault="002244FC">
      <w:pPr>
        <w:pStyle w:val="Heading2"/>
      </w:pPr>
      <w:bookmarkStart w:id="1" w:name="_Toc237865736"/>
      <w:bookmarkStart w:id="2" w:name="_Toc238674263"/>
      <w:r>
        <w:t>1.1 Introduction to the topic</w:t>
      </w:r>
      <w:bookmarkEnd w:id="1"/>
      <w:bookmarkEnd w:id="2"/>
      <w:r>
        <w:t xml:space="preserve"> </w:t>
      </w:r>
    </w:p>
    <w:p w14:paraId="554F9735" w14:textId="77777777" w:rsidR="004A5CD4" w:rsidRDefault="002244FC">
      <w:r>
        <w:t>Racial differences are defined as not equal experiences and mental health outcomes between racial/ethnic groups, and racism is defined as interpersonal, institutional and structural processes that create inequalities. Racial discrimination is the unjust and discriminatory treatment of a person or group based on race or ethnicity. Young people under 18 years of age are at risk as they are developing their identity and coping strategies. Thus, this review investigates the association between school-based racism and mental health outcomes in children in the UK.</w:t>
      </w:r>
    </w:p>
    <w:p w14:paraId="6968B54D" w14:textId="77777777" w:rsidR="004A5CD4" w:rsidRDefault="002244FC">
      <w:pPr>
        <w:pStyle w:val="Heading2"/>
      </w:pPr>
      <w:bookmarkStart w:id="3" w:name="_Toc237865737"/>
      <w:bookmarkStart w:id="4" w:name="_Toc238674264"/>
      <w:r>
        <w:t>1.2 Background and Current Context</w:t>
      </w:r>
      <w:bookmarkEnd w:id="3"/>
      <w:bookmarkEnd w:id="4"/>
      <w:r>
        <w:t xml:space="preserve"> </w:t>
      </w:r>
    </w:p>
    <w:p w14:paraId="71003E23" w14:textId="77777777" w:rsidR="004A5CD4" w:rsidRDefault="002244FC">
      <w:r>
        <w:t>Children's mental health impacts emotional control, relationships, learning and future health and wellbeing</w:t>
      </w:r>
      <w:r>
        <w:rPr>
          <w:lang w:val="en-IN"/>
        </w:rPr>
        <w:t xml:space="preserve"> (Berry </w:t>
      </w:r>
      <w:r>
        <w:rPr>
          <w:i/>
          <w:iCs/>
          <w:lang w:val="en-IN"/>
        </w:rPr>
        <w:t xml:space="preserve">et al., </w:t>
      </w:r>
      <w:r>
        <w:rPr>
          <w:lang w:val="en-IN"/>
        </w:rPr>
        <w:t>2021)</w:t>
      </w:r>
      <w:r>
        <w:t>. Childhood and adolescence are critical periods since coping skills, psychological resilience and social identity still develop during this period before adulthood</w:t>
      </w:r>
      <w:r>
        <w:rPr>
          <w:lang w:val="en-IN"/>
        </w:rPr>
        <w:t xml:space="preserve"> (Cave </w:t>
      </w:r>
      <w:r>
        <w:rPr>
          <w:i/>
          <w:iCs/>
          <w:lang w:val="en-IN"/>
        </w:rPr>
        <w:t xml:space="preserve">et al., </w:t>
      </w:r>
      <w:r>
        <w:rPr>
          <w:lang w:val="en-IN"/>
        </w:rPr>
        <w:t>2025)</w:t>
      </w:r>
      <w:r>
        <w:t>. Approximately 1 in 7 young people aged 10-19 has a mental health problem, and anxiety, depression, and behavioural disorders are the most common causes of illness and disability (World Health Organisation, 2026). This statistic covers the age group 18–19 years, but is applicable, as most adolescents are covered under the 18-year age group population studied here. Importantly, many mental health issues start before the age of 18, indicating the need to investigate the harmful exposures, including racism, during childhood</w:t>
      </w:r>
      <w:r>
        <w:rPr>
          <w:lang w:val="en-IN"/>
        </w:rPr>
        <w:t xml:space="preserve"> (Alegría </w:t>
      </w:r>
      <w:r>
        <w:rPr>
          <w:i/>
          <w:iCs/>
          <w:lang w:val="en-IN"/>
        </w:rPr>
        <w:t xml:space="preserve">et al., </w:t>
      </w:r>
      <w:r>
        <w:rPr>
          <w:lang w:val="en-IN"/>
        </w:rPr>
        <w:t>2015)</w:t>
      </w:r>
      <w:r>
        <w:t>.</w:t>
      </w:r>
    </w:p>
    <w:p w14:paraId="315CA586" w14:textId="77777777" w:rsidR="004A5CD4" w:rsidRDefault="002244FC">
      <w:pPr>
        <w:spacing w:before="120" w:after="120"/>
        <w:jc w:val="center"/>
      </w:pPr>
      <w:r>
        <w:rPr>
          <w:noProof/>
          <w:lang w:val="en-IN" w:eastAsia="en-IN" w:bidi="hi-IN"/>
        </w:rPr>
        <w:drawing>
          <wp:inline distT="0" distB="0" distL="0" distR="0" wp14:anchorId="39B0B3D2" wp14:editId="4AEF43A0">
            <wp:extent cx="5006340" cy="2071370"/>
            <wp:effectExtent l="0" t="0" r="1016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06340" cy="2071370"/>
                    </a:xfrm>
                    <a:prstGeom prst="rect">
                      <a:avLst/>
                    </a:prstGeom>
                  </pic:spPr>
                </pic:pic>
              </a:graphicData>
            </a:graphic>
          </wp:inline>
        </w:drawing>
      </w:r>
    </w:p>
    <w:p w14:paraId="4A46D33B" w14:textId="77777777" w:rsidR="004A5CD4" w:rsidRDefault="002244FC">
      <w:pPr>
        <w:pStyle w:val="Heading5"/>
        <w:rPr>
          <w:b w:val="0"/>
        </w:rPr>
      </w:pPr>
      <w:bookmarkStart w:id="5" w:name="_Toc238133505"/>
      <w:r>
        <w:t>Figure 1: Percentage of children aged 8–16 years with a probable mental disorder in England, 2017–2023</w:t>
      </w:r>
      <w:bookmarkEnd w:id="5"/>
    </w:p>
    <w:p w14:paraId="1A225833" w14:textId="77777777" w:rsidR="004A5CD4" w:rsidRDefault="002244FC">
      <w:pPr>
        <w:spacing w:before="120" w:after="120"/>
        <w:jc w:val="center"/>
      </w:pPr>
      <w:r>
        <w:t>(Source: NHS England, 2023b)</w:t>
      </w:r>
    </w:p>
    <w:p w14:paraId="329E673B" w14:textId="77777777" w:rsidR="004A5CD4" w:rsidRDefault="002244FC">
      <w:pPr>
        <w:spacing w:before="120" w:after="120"/>
        <w:rPr>
          <w:rFonts w:cs="Times New Roman"/>
          <w:szCs w:val="24"/>
        </w:rPr>
      </w:pPr>
      <w:r>
        <w:rPr>
          <w:rStyle w:val="cursor-pointer"/>
          <w:rFonts w:cs="Times New Roman"/>
          <w:szCs w:val="24"/>
        </w:rPr>
        <w:t>The situation in England also indicates significant public health problems.</w:t>
      </w:r>
      <w:r>
        <w:rPr>
          <w:rFonts w:cs="Times New Roman"/>
          <w:szCs w:val="24"/>
        </w:rPr>
        <w:t xml:space="preserve"> </w:t>
      </w:r>
      <w:r>
        <w:rPr>
          <w:rStyle w:val="cursor-pointer"/>
          <w:rFonts w:cs="Times New Roman"/>
          <w:szCs w:val="24"/>
        </w:rPr>
        <w:t>The survey, conducted by NHS England, showed that in 2023, 20.3% of children aged 8-16 years had a likely mental disorder compared with 12.5% in 2017.</w:t>
      </w:r>
      <w:r>
        <w:rPr>
          <w:rFonts w:cs="Times New Roman"/>
          <w:szCs w:val="24"/>
        </w:rPr>
        <w:t xml:space="preserve"> The prevalence increased to 17.1% in 2020, 17.7% in 2021 and 19.0% in 2022 (NHS England, 2026). </w:t>
      </w:r>
      <w:r>
        <w:rPr>
          <w:rStyle w:val="cursor-pointer"/>
          <w:rFonts w:cs="Times New Roman"/>
          <w:szCs w:val="24"/>
        </w:rPr>
        <w:t>In 2023, 23.3% of young people (aged 17–19) had a probable mental disorder.</w:t>
      </w:r>
      <w:r>
        <w:rPr>
          <w:rFonts w:cs="Times New Roman"/>
          <w:szCs w:val="24"/>
        </w:rPr>
        <w:t xml:space="preserve"> </w:t>
      </w:r>
      <w:r>
        <w:rPr>
          <w:rStyle w:val="cursor-pointer"/>
          <w:rFonts w:cs="Times New Roman"/>
          <w:szCs w:val="24"/>
        </w:rPr>
        <w:t>The overall rise is not of itself an indicator of the impact of racial discrimination, but sets the broader frame of reference for racialised children having to deal with anxieties and stressors in the mental health landscape</w:t>
      </w:r>
      <w:r>
        <w:rPr>
          <w:rStyle w:val="cursor-pointer"/>
          <w:rFonts w:cs="Times New Roman"/>
          <w:szCs w:val="24"/>
          <w:lang w:val="en-IN"/>
        </w:rPr>
        <w:t xml:space="preserve"> (Hodgkinson </w:t>
      </w:r>
      <w:r>
        <w:rPr>
          <w:rStyle w:val="cursor-pointer"/>
          <w:rFonts w:cs="Times New Roman"/>
          <w:i/>
          <w:iCs/>
          <w:szCs w:val="24"/>
          <w:lang w:val="en-IN"/>
        </w:rPr>
        <w:t xml:space="preserve">et al., </w:t>
      </w:r>
      <w:r>
        <w:rPr>
          <w:rStyle w:val="cursor-pointer"/>
          <w:rFonts w:cs="Times New Roman"/>
          <w:szCs w:val="24"/>
          <w:lang w:val="en-IN"/>
        </w:rPr>
        <w:t>2017)</w:t>
      </w:r>
      <w:r>
        <w:rPr>
          <w:rStyle w:val="cursor-pointer"/>
          <w:rFonts w:cs="Times New Roman"/>
          <w:szCs w:val="24"/>
        </w:rPr>
        <w:t>.</w:t>
      </w:r>
      <w:r>
        <w:rPr>
          <w:rFonts w:cs="Times New Roman"/>
          <w:szCs w:val="24"/>
        </w:rPr>
        <w:t xml:space="preserve"> </w:t>
      </w:r>
    </w:p>
    <w:p w14:paraId="01EB1FF3" w14:textId="77777777" w:rsidR="004A5CD4" w:rsidRDefault="002244FC">
      <w:pPr>
        <w:pStyle w:val="pdq2pgselectionanchorcontainer"/>
        <w:spacing w:before="120" w:beforeAutospacing="0" w:after="120" w:afterAutospacing="0" w:line="360" w:lineRule="auto"/>
        <w:rPr>
          <w:rStyle w:val="cursor-pointer"/>
          <w:rFonts w:eastAsiaTheme="majorEastAsia"/>
        </w:rPr>
      </w:pPr>
      <w:r>
        <w:rPr>
          <w:rStyle w:val="cursor-pointer"/>
          <w:rFonts w:eastAsiaTheme="majorEastAsia"/>
        </w:rPr>
        <w:t>There are multiple pathways to the impact of racism on mental health</w:t>
      </w:r>
      <w:r>
        <w:rPr>
          <w:rStyle w:val="cursor-pointer"/>
          <w:rFonts w:eastAsiaTheme="majorEastAsia"/>
          <w:lang w:val="en-IN"/>
        </w:rPr>
        <w:t xml:space="preserve"> (Zhang and Monnat, 2022; Yalın Sapmaz </w:t>
      </w:r>
      <w:r>
        <w:rPr>
          <w:rStyle w:val="cursor-pointer"/>
          <w:rFonts w:eastAsiaTheme="majorEastAsia"/>
          <w:i/>
          <w:iCs/>
          <w:lang w:val="en-IN"/>
        </w:rPr>
        <w:t xml:space="preserve">et al., </w:t>
      </w:r>
      <w:r>
        <w:rPr>
          <w:rStyle w:val="cursor-pointer"/>
          <w:rFonts w:eastAsiaTheme="majorEastAsia"/>
          <w:lang w:val="en-IN"/>
        </w:rPr>
        <w:t>2017)</w:t>
      </w:r>
      <w:r>
        <w:rPr>
          <w:rStyle w:val="cursor-pointer"/>
          <w:rFonts w:eastAsiaTheme="majorEastAsia"/>
        </w:rPr>
        <w:t>.</w:t>
      </w:r>
      <w:r>
        <w:t xml:space="preserve"> </w:t>
      </w:r>
      <w:r>
        <w:rPr>
          <w:rStyle w:val="cursor-pointer"/>
          <w:rFonts w:eastAsiaTheme="majorEastAsia"/>
        </w:rPr>
        <w:t>Exposure can leave a lasting effect of fear, anger, humiliation, sadness and hypervigilance, and repeated exposure can lead to chronic psychosocial stress</w:t>
      </w:r>
      <w:r>
        <w:rPr>
          <w:rStyle w:val="cursor-pointer"/>
          <w:rFonts w:eastAsiaTheme="majorEastAsia"/>
          <w:lang w:val="en-IN"/>
        </w:rPr>
        <w:t xml:space="preserve"> (Cain </w:t>
      </w:r>
      <w:r>
        <w:rPr>
          <w:rStyle w:val="cursor-pointer"/>
          <w:rFonts w:eastAsiaTheme="majorEastAsia"/>
          <w:i/>
          <w:iCs/>
          <w:lang w:val="en-IN"/>
        </w:rPr>
        <w:t xml:space="preserve">et al., </w:t>
      </w:r>
      <w:r>
        <w:rPr>
          <w:rStyle w:val="cursor-pointer"/>
          <w:rFonts w:eastAsiaTheme="majorEastAsia"/>
          <w:lang w:val="en-IN"/>
        </w:rPr>
        <w:t>2022)</w:t>
      </w:r>
      <w:r>
        <w:rPr>
          <w:rStyle w:val="cursor-pointer"/>
          <w:rFonts w:eastAsiaTheme="majorEastAsia"/>
        </w:rPr>
        <w:t>.</w:t>
      </w:r>
      <w:r>
        <w:t xml:space="preserve"> </w:t>
      </w:r>
      <w:r>
        <w:rPr>
          <w:rStyle w:val="cursor-pointer"/>
          <w:rFonts w:eastAsiaTheme="majorEastAsia"/>
        </w:rPr>
        <w:t>Racism can also decrease feelings of belonging, negate self-esteem and racial identity, erode trust in teachers or professionals and limit access to supportive environments.</w:t>
      </w:r>
      <w:r>
        <w:t xml:space="preserve"> </w:t>
      </w:r>
      <w:r>
        <w:rPr>
          <w:rStyle w:val="cursor-pointer"/>
          <w:rFonts w:eastAsiaTheme="majorEastAsia"/>
        </w:rPr>
        <w:t>Poverty, migration status, gender and disability and other overlapping inequalities can exacerbate these effects</w:t>
      </w:r>
      <w:r>
        <w:rPr>
          <w:rStyle w:val="cursor-pointer"/>
          <w:rFonts w:eastAsiaTheme="majorEastAsia"/>
          <w:lang w:val="en-IN"/>
        </w:rPr>
        <w:t xml:space="preserve"> (Bignall </w:t>
      </w:r>
      <w:r>
        <w:rPr>
          <w:rStyle w:val="cursor-pointer"/>
          <w:rFonts w:eastAsiaTheme="majorEastAsia"/>
          <w:i/>
          <w:iCs/>
          <w:lang w:val="en-IN"/>
        </w:rPr>
        <w:t xml:space="preserve">et al., </w:t>
      </w:r>
      <w:r>
        <w:rPr>
          <w:rStyle w:val="cursor-pointer"/>
          <w:rFonts w:eastAsiaTheme="majorEastAsia"/>
          <w:lang w:val="en-IN"/>
        </w:rPr>
        <w:t>2019)</w:t>
      </w:r>
      <w:r>
        <w:rPr>
          <w:rStyle w:val="cursor-pointer"/>
          <w:rFonts w:eastAsiaTheme="majorEastAsia"/>
        </w:rPr>
        <w:t>.</w:t>
      </w:r>
      <w:r>
        <w:t xml:space="preserve"> </w:t>
      </w:r>
    </w:p>
    <w:p w14:paraId="343554C4" w14:textId="77777777" w:rsidR="004A5CD4" w:rsidRDefault="002244FC">
      <w:pPr>
        <w:spacing w:before="120" w:after="120"/>
        <w:rPr>
          <w:rStyle w:val="cursor-pointer"/>
          <w:rFonts w:cs="Times New Roman"/>
          <w:szCs w:val="24"/>
        </w:rPr>
      </w:pPr>
      <w:r>
        <w:rPr>
          <w:rStyle w:val="cursor-pointer"/>
          <w:rFonts w:cs="Times New Roman"/>
          <w:noProof/>
          <w:szCs w:val="24"/>
          <w:lang w:val="en-IN" w:eastAsia="en-IN" w:bidi="hi-IN"/>
        </w:rPr>
        <w:drawing>
          <wp:inline distT="0" distB="0" distL="0" distR="0" wp14:anchorId="58021DC7" wp14:editId="643D2E29">
            <wp:extent cx="5731510" cy="315341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731510" cy="3153410"/>
                    </a:xfrm>
                    <a:prstGeom prst="rect">
                      <a:avLst/>
                    </a:prstGeom>
                  </pic:spPr>
                </pic:pic>
              </a:graphicData>
            </a:graphic>
          </wp:inline>
        </w:drawing>
      </w:r>
    </w:p>
    <w:p w14:paraId="7D01B27A" w14:textId="77777777" w:rsidR="004A5CD4" w:rsidRDefault="002244FC">
      <w:pPr>
        <w:pStyle w:val="Heading5"/>
        <w:rPr>
          <w:rStyle w:val="cursor-pointer"/>
          <w:rFonts w:cs="Times New Roman"/>
          <w:b w:val="0"/>
          <w:szCs w:val="24"/>
        </w:rPr>
      </w:pPr>
      <w:bookmarkStart w:id="6" w:name="_Toc238133506"/>
      <w:r>
        <w:rPr>
          <w:rStyle w:val="cursor-pointer"/>
          <w:rFonts w:cs="Times New Roman"/>
          <w:szCs w:val="24"/>
        </w:rPr>
        <w:t>Figure 2: Percentage of Children and Young People with Probable Mental Disorder by Age and Sex, 2023</w:t>
      </w:r>
      <w:bookmarkEnd w:id="6"/>
    </w:p>
    <w:p w14:paraId="4528E9E8" w14:textId="77777777" w:rsidR="004A5CD4" w:rsidRDefault="002244FC">
      <w:pPr>
        <w:spacing w:before="120" w:after="120"/>
        <w:jc w:val="center"/>
        <w:rPr>
          <w:rStyle w:val="cursor-pointer"/>
          <w:rFonts w:cs="Times New Roman"/>
          <w:szCs w:val="24"/>
        </w:rPr>
      </w:pPr>
      <w:r>
        <w:rPr>
          <w:rStyle w:val="cursor-pointer"/>
          <w:rFonts w:cs="Times New Roman"/>
          <w:szCs w:val="24"/>
        </w:rPr>
        <w:t xml:space="preserve">(Source: </w:t>
      </w:r>
      <w:r>
        <w:t>NHS England, 2023b)</w:t>
      </w:r>
    </w:p>
    <w:p w14:paraId="4DA23F39" w14:textId="77777777" w:rsidR="004A5CD4" w:rsidRDefault="002244FC">
      <w:pPr>
        <w:spacing w:before="120" w:after="120"/>
        <w:rPr>
          <w:rStyle w:val="cursor-pointer"/>
          <w:rFonts w:cs="Times New Roman"/>
          <w:szCs w:val="24"/>
        </w:rPr>
      </w:pPr>
      <w:r>
        <w:rPr>
          <w:rStyle w:val="cursor-pointer"/>
          <w:rFonts w:cs="Times New Roman"/>
          <w:szCs w:val="24"/>
        </w:rPr>
        <w:t>Figures 1 and 2 combined show the rising prevalence of mental health issues across children and young people in England, and the significant differences in prevalence by age and gender.</w:t>
      </w:r>
      <w:r>
        <w:rPr>
          <w:rFonts w:cs="Times New Roman"/>
          <w:szCs w:val="24"/>
        </w:rPr>
        <w:t xml:space="preserve"> </w:t>
      </w:r>
      <w:r>
        <w:rPr>
          <w:rStyle w:val="cursor-pointer"/>
          <w:rFonts w:cs="Times New Roman"/>
          <w:szCs w:val="24"/>
        </w:rPr>
        <w:t>As seen in Figure 2, the prevalence of probable mental disorders has also gone up over time, having risen from 12.5% in 2017 to 20.3% among children aged 8–16 years and from 10.0% to 23.3% among young people aged 17–19 years.</w:t>
      </w:r>
      <w:r>
        <w:rPr>
          <w:rFonts w:cs="Times New Roman"/>
          <w:szCs w:val="24"/>
        </w:rPr>
        <w:t xml:space="preserve"> </w:t>
      </w:r>
      <w:r>
        <w:rPr>
          <w:rStyle w:val="cursor-pointer"/>
          <w:rFonts w:cs="Times New Roman"/>
          <w:szCs w:val="24"/>
        </w:rPr>
        <w:t>This is complemented by the findings presented in Figure 1, which show that mental health issues are more common among older adolescents (girls and young women) than among younger ones (boys and young men) with rates reaching 31.5% among 17-19 year old and 30.3% among 20-25 year old, respectively, compared with 15.3% and 13.4% respectively for boys and young men.</w:t>
      </w:r>
      <w:r>
        <w:rPr>
          <w:rFonts w:cs="Times New Roman"/>
          <w:szCs w:val="24"/>
        </w:rPr>
        <w:t xml:space="preserve"> </w:t>
      </w:r>
      <w:r>
        <w:rPr>
          <w:rStyle w:val="cursor-pointer"/>
          <w:rFonts w:cs="Times New Roman"/>
          <w:szCs w:val="24"/>
        </w:rPr>
        <w:t>These findings, combined, suggest that mental health is more vulnerable during the early years of adolescence, particularly among females, which highlights the need to explore social and racial factors that may contribute to mental health problems</w:t>
      </w:r>
      <w:r>
        <w:rPr>
          <w:rStyle w:val="cursor-pointer"/>
          <w:rFonts w:cs="Times New Roman"/>
          <w:szCs w:val="24"/>
          <w:lang w:val="en-IN"/>
        </w:rPr>
        <w:t xml:space="preserve"> (Assari </w:t>
      </w:r>
      <w:r>
        <w:rPr>
          <w:rStyle w:val="cursor-pointer"/>
          <w:rFonts w:cs="Times New Roman"/>
          <w:i/>
          <w:iCs/>
          <w:szCs w:val="24"/>
          <w:lang w:val="en-IN"/>
        </w:rPr>
        <w:t xml:space="preserve">et al., </w:t>
      </w:r>
      <w:r>
        <w:rPr>
          <w:rStyle w:val="cursor-pointer"/>
          <w:rFonts w:cs="Times New Roman"/>
          <w:szCs w:val="24"/>
          <w:lang w:val="en-IN"/>
        </w:rPr>
        <w:t>2017)</w:t>
      </w:r>
      <w:r>
        <w:rPr>
          <w:rStyle w:val="cursor-pointer"/>
          <w:rFonts w:cs="Times New Roman"/>
          <w:szCs w:val="24"/>
        </w:rPr>
        <w:t>.</w:t>
      </w:r>
    </w:p>
    <w:p w14:paraId="646054A8" w14:textId="77777777" w:rsidR="004A5CD4" w:rsidRDefault="002244FC">
      <w:pPr>
        <w:spacing w:before="120" w:after="120"/>
        <w:rPr>
          <w:rFonts w:cs="Times New Roman"/>
          <w:szCs w:val="24"/>
        </w:rPr>
      </w:pPr>
      <w:r>
        <w:rPr>
          <w:rStyle w:val="cursor-pointer"/>
          <w:rFonts w:cs="Times New Roman"/>
          <w:szCs w:val="24"/>
        </w:rPr>
        <w:t>Longitudinal evidence exists as well on the trajectory of racism, and these findings provide additional evidence of the persistence of racism.</w:t>
      </w:r>
      <w:r>
        <w:rPr>
          <w:rFonts w:cs="Times New Roman"/>
          <w:szCs w:val="24"/>
        </w:rPr>
        <w:t xml:space="preserve"> </w:t>
      </w:r>
      <w:r>
        <w:rPr>
          <w:rStyle w:val="cursor-pointer"/>
          <w:rFonts w:cs="Times New Roman"/>
          <w:szCs w:val="24"/>
        </w:rPr>
        <w:t>Females reporting racism at the age of 17 had an average of 0.58 points greater in psychological distress at age 25 than females who did not report racism (Mona et al., 2025).</w:t>
      </w:r>
      <w:r>
        <w:rPr>
          <w:rFonts w:cs="Times New Roman"/>
          <w:szCs w:val="24"/>
        </w:rPr>
        <w:t xml:space="preserve"> </w:t>
      </w:r>
      <w:r>
        <w:rPr>
          <w:rStyle w:val="cursor-pointer"/>
          <w:rFonts w:cs="Times New Roman"/>
          <w:szCs w:val="24"/>
        </w:rPr>
        <w:t>The effects were observed at maturity, but the exposure took place before 18, which further highlights the importance of preventing racism at the youth age.</w:t>
      </w:r>
      <w:r>
        <w:rPr>
          <w:rFonts w:cs="Times New Roman"/>
          <w:szCs w:val="24"/>
        </w:rPr>
        <w:t xml:space="preserve"> </w:t>
      </w:r>
    </w:p>
    <w:p w14:paraId="5E9CA0E6" w14:textId="77777777" w:rsidR="004A5CD4" w:rsidRDefault="002244FC">
      <w:pPr>
        <w:pStyle w:val="Heading2"/>
      </w:pPr>
      <w:bookmarkStart w:id="7" w:name="_Toc237865738"/>
      <w:bookmarkStart w:id="8" w:name="_Toc238674265"/>
      <w:r>
        <w:t>1.3 Rationale for Research or Problem Statement</w:t>
      </w:r>
      <w:bookmarkEnd w:id="7"/>
      <w:bookmarkEnd w:id="8"/>
      <w:r>
        <w:t xml:space="preserve"> </w:t>
      </w:r>
    </w:p>
    <w:p w14:paraId="39D578AA" w14:textId="77777777" w:rsidR="004A5CD4" w:rsidRDefault="002244FC">
      <w:r>
        <w:t>Despite evidence from the UK associating racism with anxiety, depression, psychological distress and poorer well-being, there are still significant gaps. Current reviews either look at ethnicity as a broader topic or consider other populations and contexts (Ghezae et al., 2025). This review is a focused review on children under the age of 18 who are subject to racism in school in the UK (including interpersonal, institutional and structural racism). It is also grounded in protective and exacerbating factors that relate to mental health outcomes and takes into account evidence that was recently available. Thus, a systematic review should be conducted to gain a more specific understanding of the impact of school-based racism on children's mental health and to guide school and public health responses (Guan et al., 2024).</w:t>
      </w:r>
    </w:p>
    <w:p w14:paraId="4D82D4D1" w14:textId="77777777" w:rsidR="004A5CD4" w:rsidRDefault="002244FC">
      <w:pPr>
        <w:pStyle w:val="Heading2"/>
        <w:tabs>
          <w:tab w:val="left" w:pos="3480"/>
        </w:tabs>
      </w:pPr>
      <w:bookmarkStart w:id="9" w:name="_Toc237865739"/>
      <w:bookmarkStart w:id="10" w:name="_Toc238674266"/>
      <w:r>
        <w:t>1.4 Research question</w:t>
      </w:r>
      <w:bookmarkEnd w:id="9"/>
      <w:bookmarkEnd w:id="10"/>
    </w:p>
    <w:p w14:paraId="2F2B4592" w14:textId="77777777" w:rsidR="004A5CD4" w:rsidRDefault="002244FC">
      <w:pPr>
        <w:spacing w:before="120" w:after="120"/>
        <w:rPr>
          <w:rFonts w:eastAsia="Times New Roman"/>
        </w:rPr>
      </w:pPr>
      <w:r>
        <w:rPr>
          <w:rFonts w:eastAsia="Times New Roman"/>
        </w:rPr>
        <w:t>What are the adversities of racism at school and its impact on the mental health conditions of UK children?</w:t>
      </w:r>
    </w:p>
    <w:p w14:paraId="2A18BE3E" w14:textId="77777777" w:rsidR="004A5CD4" w:rsidRDefault="002244FC">
      <w:pPr>
        <w:pStyle w:val="Heading2"/>
      </w:pPr>
      <w:bookmarkStart w:id="11" w:name="_Toc238674267"/>
      <w:bookmarkStart w:id="12" w:name="_Toc237865740"/>
      <w:r>
        <w:t xml:space="preserve">1.5 </w:t>
      </w:r>
      <w:bookmarkStart w:id="13" w:name="_Hlk132307459"/>
      <w:bookmarkStart w:id="14" w:name="_Hlk132203336"/>
      <w:r>
        <w:t>Research</w:t>
      </w:r>
      <w:bookmarkEnd w:id="13"/>
      <w:r>
        <w:t xml:space="preserve"> Aim</w:t>
      </w:r>
      <w:bookmarkEnd w:id="11"/>
      <w:bookmarkEnd w:id="12"/>
      <w:r>
        <w:t xml:space="preserve"> </w:t>
      </w:r>
      <w:bookmarkStart w:id="15" w:name="_Hlk132203607"/>
      <w:bookmarkEnd w:id="14"/>
    </w:p>
    <w:bookmarkEnd w:id="15"/>
    <w:p w14:paraId="12471FF3" w14:textId="77777777" w:rsidR="004A5CD4" w:rsidRDefault="002244FC">
      <w:pPr>
        <w:spacing w:before="120" w:after="120"/>
        <w:rPr>
          <w:rFonts w:eastAsia="Times New Roman"/>
        </w:rPr>
      </w:pPr>
      <w:r>
        <w:rPr>
          <w:rFonts w:eastAsia="Times New Roman"/>
        </w:rPr>
        <w:t xml:space="preserve">To examine the adversity of racism at school and its impacts on the mental health conditions of UK children. </w:t>
      </w:r>
    </w:p>
    <w:p w14:paraId="4DA1756F" w14:textId="77777777" w:rsidR="004A5CD4" w:rsidRDefault="002244FC">
      <w:pPr>
        <w:pStyle w:val="Heading2"/>
      </w:pPr>
      <w:bookmarkStart w:id="16" w:name="_Toc237865741"/>
      <w:bookmarkStart w:id="17" w:name="_Toc238674268"/>
      <w:r>
        <w:t>1.6 Research Objectives</w:t>
      </w:r>
      <w:bookmarkEnd w:id="16"/>
      <w:bookmarkEnd w:id="17"/>
    </w:p>
    <w:p w14:paraId="4622FA17" w14:textId="77777777" w:rsidR="004A5CD4" w:rsidRDefault="002244FC">
      <w:pPr>
        <w:numPr>
          <w:ilvl w:val="0"/>
          <w:numId w:val="1"/>
        </w:numPr>
        <w:spacing w:before="120" w:after="120"/>
        <w:rPr>
          <w:rFonts w:eastAsia="Times New Roman"/>
        </w:rPr>
      </w:pPr>
      <w:r>
        <w:rPr>
          <w:rFonts w:eastAsia="Times New Roman"/>
        </w:rPr>
        <w:t>To identify different types of racism experienced by children and young people under 18 years of age</w:t>
      </w:r>
    </w:p>
    <w:p w14:paraId="46E12B3B" w14:textId="77777777" w:rsidR="004A5CD4" w:rsidRDefault="002244FC">
      <w:pPr>
        <w:numPr>
          <w:ilvl w:val="0"/>
          <w:numId w:val="1"/>
        </w:numPr>
        <w:spacing w:before="120" w:after="120"/>
        <w:rPr>
          <w:rFonts w:eastAsia="Times New Roman"/>
        </w:rPr>
      </w:pPr>
      <w:r>
        <w:rPr>
          <w:rFonts w:eastAsia="Times New Roman"/>
        </w:rPr>
        <w:t>To examine the association between experiences of racial discrimination and mental health outcomes in children and young people under 18 years of age</w:t>
      </w:r>
    </w:p>
    <w:p w14:paraId="47445F55" w14:textId="77777777" w:rsidR="004A5CD4" w:rsidRDefault="002244FC">
      <w:pPr>
        <w:numPr>
          <w:ilvl w:val="0"/>
          <w:numId w:val="1"/>
        </w:numPr>
        <w:spacing w:before="120" w:after="120"/>
        <w:rPr>
          <w:rFonts w:eastAsia="Times New Roman"/>
        </w:rPr>
      </w:pPr>
      <w:r>
        <w:rPr>
          <w:rFonts w:eastAsia="Times New Roman"/>
        </w:rPr>
        <w:t xml:space="preserve">To explore the factors that may increase or reduce the effect of racial discrimination on children’s mental health.  </w:t>
      </w:r>
    </w:p>
    <w:p w14:paraId="250A251C" w14:textId="77777777" w:rsidR="004A5CD4" w:rsidRDefault="002244FC">
      <w:pPr>
        <w:numPr>
          <w:ilvl w:val="0"/>
          <w:numId w:val="1"/>
        </w:numPr>
        <w:spacing w:before="120" w:after="120"/>
        <w:rPr>
          <w:rFonts w:eastAsia="Times New Roman"/>
        </w:rPr>
      </w:pPr>
      <w:r>
        <w:rPr>
          <w:rFonts w:eastAsia="Times New Roman"/>
        </w:rPr>
        <w:t xml:space="preserve">To develop evidence-based recommendations for policymakers and future research.  </w:t>
      </w:r>
    </w:p>
    <w:p w14:paraId="113E65DC" w14:textId="77777777" w:rsidR="004A5CD4" w:rsidRDefault="002244FC">
      <w:pPr>
        <w:pStyle w:val="Heading2"/>
      </w:pPr>
      <w:bookmarkStart w:id="18" w:name="_Toc238674269"/>
      <w:bookmarkStart w:id="19" w:name="_Toc237865742"/>
      <w:r>
        <w:t>1.7 Chapter summary</w:t>
      </w:r>
      <w:bookmarkEnd w:id="18"/>
      <w:bookmarkEnd w:id="19"/>
      <w:r>
        <w:t xml:space="preserve"> </w:t>
      </w:r>
    </w:p>
    <w:p w14:paraId="21D675BA" w14:textId="77777777" w:rsidR="004A5CD4" w:rsidRDefault="002244FC">
      <w:pPr>
        <w:pStyle w:val="pdq2pgselectionanchorcontainer"/>
        <w:spacing w:before="120" w:beforeAutospacing="0" w:after="120" w:afterAutospacing="0" w:line="360" w:lineRule="auto"/>
      </w:pPr>
      <w:r>
        <w:t>This chapter provided the background to the research, the setting, the rationale and the problem the research was based on, and highlighted the evidence gaps concerning children in the UK and mental health linked to racial discrimination, and provided the justification and direction of this systematic literature review.</w:t>
      </w:r>
    </w:p>
    <w:p w14:paraId="3B6F1B04" w14:textId="77777777" w:rsidR="004A5CD4" w:rsidRDefault="002244FC">
      <w:pPr>
        <w:pStyle w:val="Heading1"/>
      </w:pPr>
      <w:r>
        <w:br w:type="page"/>
      </w:r>
      <w:bookmarkStart w:id="20" w:name="_Toc238674270"/>
      <w:bookmarkStart w:id="21" w:name="_Toc237865743"/>
      <w:r>
        <w:t>2.0 Chapter 2:  Literature Review</w:t>
      </w:r>
      <w:bookmarkEnd w:id="20"/>
      <w:bookmarkEnd w:id="21"/>
    </w:p>
    <w:p w14:paraId="306C3601" w14:textId="77777777" w:rsidR="004A5CD4" w:rsidRDefault="002244FC">
      <w:pPr>
        <w:pStyle w:val="Heading2"/>
      </w:pPr>
      <w:bookmarkStart w:id="22" w:name="_5ctjl4jhahzi"/>
      <w:bookmarkStart w:id="23" w:name="_Toc237865744"/>
      <w:bookmarkStart w:id="24" w:name="_Toc238674271"/>
      <w:bookmarkEnd w:id="22"/>
      <w:r>
        <w:t>2.1 Introduction</w:t>
      </w:r>
      <w:bookmarkEnd w:id="23"/>
      <w:bookmarkEnd w:id="24"/>
    </w:p>
    <w:p w14:paraId="42609E21" w14:textId="77777777" w:rsidR="004A5CD4" w:rsidRDefault="002244FC">
      <w:pPr>
        <w:spacing w:before="120" w:after="120"/>
      </w:pPr>
      <w:r>
        <w:t>This chapter provides a well-structured, comprehensive review of literature examining the racial disparity in the mental health of school children in the UK. Educational environments are increasingly recognising the role of systemic inequalities in shaping the outcomes of youth. It also tries to understand how racial discrimination manifests within schools. This review clearly focuses on the current academic research to clarify the fundamental concepts related to racial disparities and mental health. It also thoroughly evaluates various types of racism experienced in different school setting analysis they are direct and indirect psychological impacts on students, and even establishes are theoretical and conceptual Framework for understanding these dynamics. Finally, the chapter identifies the critical gaps in the existing literature to justify the present study.</w:t>
      </w:r>
    </w:p>
    <w:p w14:paraId="0F9F22B2" w14:textId="77777777" w:rsidR="004A5CD4" w:rsidRDefault="002244FC">
      <w:pPr>
        <w:pStyle w:val="Heading2"/>
      </w:pPr>
      <w:r>
        <w:t xml:space="preserve"> </w:t>
      </w:r>
      <w:bookmarkStart w:id="25" w:name="_v9h8fgivnz96"/>
      <w:bookmarkStart w:id="26" w:name="_Toc237865745"/>
      <w:bookmarkStart w:id="27" w:name="_Toc238674272"/>
      <w:bookmarkEnd w:id="25"/>
      <w:r>
        <w:t>2.2 Literature review</w:t>
      </w:r>
      <w:bookmarkEnd w:id="26"/>
      <w:bookmarkEnd w:id="27"/>
      <w:r>
        <w:t xml:space="preserve">  </w:t>
      </w:r>
    </w:p>
    <w:p w14:paraId="6702BDCF" w14:textId="77777777" w:rsidR="004A5CD4" w:rsidRDefault="002244FC">
      <w:pPr>
        <w:spacing w:before="120" w:after="120"/>
        <w:rPr>
          <w:b/>
          <w:bCs/>
          <w:i/>
          <w:iCs/>
        </w:rPr>
      </w:pPr>
      <w:bookmarkStart w:id="28" w:name="_oy0c7ac9v1ow"/>
      <w:bookmarkEnd w:id="28"/>
      <w:r>
        <w:rPr>
          <w:b/>
          <w:bCs/>
          <w:i/>
          <w:iCs/>
        </w:rPr>
        <w:t>Concept</w:t>
      </w:r>
    </w:p>
    <w:p w14:paraId="6F38A269" w14:textId="77777777" w:rsidR="004A5CD4" w:rsidRDefault="002244FC">
      <w:pPr>
        <w:spacing w:before="120" w:after="120"/>
      </w:pPr>
      <w:r>
        <w:t xml:space="preserve">By understanding the intersection between racial discrimination and child well-being, a clear conceptualisation must be made of both terms. According to Lewis et al. (2025), racial disparities in education refer to systemic, institutional and interpersonal inequities. These reflect the disproportionate limitations that students from racial and ethnic minority backgrounds have to face. As far as the UK context is concerned, the disparities extend beyond problems and discrimination to encompass unequal disciplinary practices (Lewis et al., 2025). It also includes curriculum bias and structural obstacles to academic attainment. Some research indicates that around 50-56% of Black students report encountering discriminatory behaviour from teachers' perceptions. This also extends to disciplinary discrimination in UK schools, reflecting how racial differences are deeply rooted within day-to-day institutional curriculum. </w:t>
      </w:r>
    </w:p>
    <w:p w14:paraId="6ABB8BC8" w14:textId="77777777" w:rsidR="004A5CD4" w:rsidRDefault="002244FC">
      <w:pPr>
        <w:spacing w:before="120" w:after="120"/>
      </w:pPr>
      <w:r>
        <w:t>Mental health in children and adolescents involves psychological, emotional and social well-being, according to Newlove-Delgado et al. (2022). It shapes how young people cope with stress and anxiety, build relationships and navigate academic settings. When children face constant stressful situations like discrimination and a negative outlook, their mental health deteriorates. This automatically shifts the focus to how the situations increase vulnerability to internalize condition like depression and anxiety. It also reveals that different ethnic minority youth experiences increase psychological distress because of chronic social stressors, according to Newlove-Delgado et al. (2022). By defining these core concepts, it can be ascertained that racial discrimination functions as a core social problem and determinant of health. This directly challenges the psychological resilience and academic growth of minority children.</w:t>
      </w:r>
    </w:p>
    <w:p w14:paraId="37EE583D" w14:textId="77777777" w:rsidR="004A5CD4" w:rsidRDefault="002244FC">
      <w:pPr>
        <w:spacing w:before="120" w:after="120"/>
        <w:rPr>
          <w:b/>
          <w:bCs/>
          <w:i/>
          <w:iCs/>
        </w:rPr>
      </w:pPr>
      <w:bookmarkStart w:id="29" w:name="_802iii77cdbo"/>
      <w:bookmarkEnd w:id="29"/>
      <w:r>
        <w:rPr>
          <w:b/>
          <w:bCs/>
          <w:i/>
          <w:iCs/>
        </w:rPr>
        <w:t>Different types of racism at school and their impact on children's mental health conditions.</w:t>
      </w:r>
    </w:p>
    <w:p w14:paraId="4DBBFB2B" w14:textId="77777777" w:rsidR="004A5CD4" w:rsidRDefault="002244FC">
      <w:pPr>
        <w:spacing w:before="120" w:after="120"/>
      </w:pPr>
      <w:r>
        <w:t>Racism within the UK school system functions predominantly in three distinct levels: interpersonal, institutional and internalised racism. Interpersonal racism involves direct verbal taunts, humiliation and physical bullying. Research data reflects that approximately 95-96% of black British students have faced racist language in school, as per Ghezae et al. (2025). This also extends to 31% witnessing discrimination daily. As per Heidelburg et al. (2022), this constant exposure create and unsafe educational environment</w:t>
      </w:r>
      <w:r>
        <w:rPr>
          <w:lang w:val="en-IN"/>
        </w:rPr>
        <w:t xml:space="preserve"> in American schools</w:t>
      </w:r>
      <w:r>
        <w:t xml:space="preserve"> where the students remain in a constant state of alertness and conservative behaviour. The mental health consequences of interpersonal abuse are chronic, with emotional distress. This also leads to social withdrawal, increased anxiety and constant sadness. </w:t>
      </w:r>
    </w:p>
    <w:p w14:paraId="3F9F86C0" w14:textId="77777777" w:rsidR="004A5CD4" w:rsidRDefault="002244FC">
      <w:pPr>
        <w:spacing w:before="120" w:after="120"/>
      </w:pPr>
      <w:r>
        <w:t>On the other hand, Vargas et al. (2023) point out that Institutional racism is deeply rooted in school policies, curriculum structures and teacher expectations. Disciplinary discrimination, like the disproportionate suspension and exclusion of black Caribbean students, shows the systemic bias. Also, Arneback and Jämte (2022) argue that the lack of curriculum diversity leaves the minoritised students feeling culturally excluded and invisible. This structural marginalisation fosters more internalised racism. This further extends to children who absorb negative societal stereotypes about their identity and physical appearance. The internalised discrimination significantly damages the self-esteem and self-worth of students. Simultaneously, these concepts are interconnected forms of discrimination that constantly damage and hurt a minor's sense of belonging. It also drives elevated rates of chronic psychological distress and behaviour problems across UK educational settings.</w:t>
      </w:r>
    </w:p>
    <w:p w14:paraId="66013D54" w14:textId="77777777" w:rsidR="004A5CD4" w:rsidRDefault="002244FC">
      <w:pPr>
        <w:spacing w:before="120" w:after="120"/>
        <w:rPr>
          <w:b/>
          <w:bCs/>
        </w:rPr>
      </w:pPr>
      <w:bookmarkStart w:id="30" w:name="_txek5q57ow2b"/>
      <w:bookmarkEnd w:id="30"/>
      <w:r>
        <w:rPr>
          <w:b/>
          <w:bCs/>
          <w:i/>
          <w:iCs/>
        </w:rPr>
        <w:t>Relationship between racism and mental health conditions of school children.</w:t>
      </w:r>
    </w:p>
    <w:p w14:paraId="589AA797" w14:textId="77777777" w:rsidR="004A5CD4" w:rsidRDefault="002244FC">
      <w:pPr>
        <w:spacing w:before="120" w:after="120"/>
      </w:pPr>
      <w:r>
        <w:t>The relationship that exists between school based precision and deteriorating mental health among children is well documented through empirical and longitudinal research in the context of the UK (Guan et al., 2024). Exposure to racial discrimination functions as a severe chronic stressor during the crucial growing-up years. As per Mona et al. (2025), recent evidence derived from the UK Next Steps study pinpoints that experiencing racism during adolescence significantly predicts an increase in psychological distress</w:t>
      </w:r>
      <w:r>
        <w:rPr>
          <w:lang w:val="en-IN"/>
        </w:rPr>
        <w:t xml:space="preserve"> (Pierce </w:t>
      </w:r>
      <w:r>
        <w:rPr>
          <w:i/>
          <w:iCs/>
          <w:lang w:val="en-IN"/>
        </w:rPr>
        <w:t xml:space="preserve">et al., </w:t>
      </w:r>
      <w:r>
        <w:rPr>
          <w:lang w:val="en-IN"/>
        </w:rPr>
        <w:t>2020)</w:t>
      </w:r>
      <w:r>
        <w:t xml:space="preserve">. This leads to early adulthood, even when the children possess a controlled socio-economic background. The psychological burden of discrimination develops through clinically significant symptoms (Mona et al., 2025). This includes persistent generalised anxiety, depressive mood disturbance and sleep disorder, and intense feelings of helplessness; sometimes it also leads to suicidal thoughts. </w:t>
      </w:r>
    </w:p>
    <w:p w14:paraId="401C3129" w14:textId="77777777" w:rsidR="004A5CD4" w:rsidRDefault="002244FC">
      <w:pPr>
        <w:spacing w:before="120" w:after="120"/>
      </w:pPr>
      <w:r>
        <w:t>Hood et al. (2023), on the contrary, argued that beyond the emotional suffering, experiencing racism also creates long-term psychological, social and physical harm</w:t>
      </w:r>
      <w:r>
        <w:rPr>
          <w:lang w:val="en-IN"/>
        </w:rPr>
        <w:t xml:space="preserve"> in USA</w:t>
      </w:r>
      <w:r>
        <w:t>.</w:t>
      </w:r>
      <w:r>
        <w:rPr>
          <w:lang w:val="en-IN"/>
        </w:rPr>
        <w:t xml:space="preserve"> </w:t>
      </w:r>
      <w:r>
        <w:t>With repeated experiences of racial bullying, unfair treatment from teachers or exclusion from school activities can often lead to anxiety, depression, anger issues, low confidence and poor academic performance. Another author, Fajrin et al. (2025), there are many children also withdraw from classmates after the harassment, as they avoid school or show disruptive behaviour because they no longer feel safe. In some cases, unhealthy coping methods such as smoking, alcohol or drug use are adopted by children to deal with the stress. For example, the United States shows that around 31.5% of high school students reported experiencing racism at school</w:t>
      </w:r>
      <w:r>
        <w:rPr>
          <w:lang w:val="en-IN"/>
        </w:rPr>
        <w:t xml:space="preserve"> (Fitzpatrick </w:t>
      </w:r>
      <w:r>
        <w:rPr>
          <w:i/>
          <w:iCs/>
          <w:lang w:val="en-IN"/>
        </w:rPr>
        <w:t xml:space="preserve">et al., </w:t>
      </w:r>
      <w:r>
        <w:rPr>
          <w:lang w:val="en-IN"/>
        </w:rPr>
        <w:t>2020)</w:t>
      </w:r>
      <w:r>
        <w:t>. McKinnon et al. (2024) argue that the students had a much higher level of poor mental health, suicidal risk and substance use than their peers. Similar patterns have also been reported in Australia and Canada, where Indigenous and minority students face higher levels of discrimination and poorer educational outcomes. These findings highlight that racism is becoming a very serious public Health issue globally that is damaging children's development and also limiting future opportunities rather than being only a social or educational problem</w:t>
      </w:r>
      <w:r>
        <w:rPr>
          <w:lang w:val="en-IN"/>
        </w:rPr>
        <w:t xml:space="preserve"> (Meade, 2021)</w:t>
      </w:r>
      <w:r>
        <w:t>.</w:t>
      </w:r>
    </w:p>
    <w:p w14:paraId="1496BB8D" w14:textId="77777777" w:rsidR="004A5CD4" w:rsidRDefault="002244FC">
      <w:pPr>
        <w:spacing w:before="120" w:after="120"/>
        <w:rPr>
          <w:b/>
          <w:bCs/>
          <w:i/>
          <w:iCs/>
        </w:rPr>
      </w:pPr>
      <w:bookmarkStart w:id="31" w:name="_m99stlamaoo3"/>
      <w:bookmarkEnd w:id="31"/>
      <w:r>
        <w:rPr>
          <w:b/>
          <w:bCs/>
          <w:i/>
          <w:iCs/>
        </w:rPr>
        <w:t>Relationship between racism and mental health conditions of school children</w:t>
      </w:r>
    </w:p>
    <w:p w14:paraId="75A5D8E6" w14:textId="77777777" w:rsidR="004A5CD4" w:rsidRDefault="002244FC">
      <w:pPr>
        <w:spacing w:before="120" w:after="120"/>
      </w:pPr>
      <w:r>
        <w:t>Mental health is the key factor that gets affected through racism in children, as it does not stop when they leave school. McKinnon et al. (2024) argue Racism continuous at home, in the neighbourhood, online, and in the wider society, thereby creating a constant pressure that affects both children and their families. When parents experience discrimination in jobs, housing or the healthcare sector, family stress often increases, which further puts pressure on children</w:t>
      </w:r>
      <w:r>
        <w:rPr>
          <w:lang w:val="en-IN"/>
        </w:rPr>
        <w:t xml:space="preserve"> (Gonzalez </w:t>
      </w:r>
      <w:r>
        <w:rPr>
          <w:i/>
          <w:iCs/>
          <w:lang w:val="en-IN"/>
        </w:rPr>
        <w:t xml:space="preserve">et al., </w:t>
      </w:r>
      <w:r>
        <w:rPr>
          <w:lang w:val="en-IN"/>
        </w:rPr>
        <w:t>2021)</w:t>
      </w:r>
      <w:r>
        <w:t xml:space="preserve">. Parents may become anxious, frustrated or emotionally exhausted, making it even harder to provide the support that children need when they encounter racism. Another author, Hood et al. (2023), notes that sometimes children cannot express their feelings openly to their parents even after facing racism because, for them, school is their second home where they feel safe, and the Teachers are their guiding force. As a result, children start feeling less secure and even struggle with anxiety, sadness or low confidence. This shows that racism is not only an individual experience, but it also becomes a family problem that affects children's emotional development. </w:t>
      </w:r>
    </w:p>
    <w:p w14:paraId="767EF719" w14:textId="77777777" w:rsidR="004A5CD4" w:rsidRDefault="002244FC">
      <w:pPr>
        <w:spacing w:before="120" w:after="120"/>
      </w:pPr>
      <w:r>
        <w:t xml:space="preserve">For example, </w:t>
      </w:r>
      <w:r>
        <w:rPr>
          <w:lang w:val="en-IN"/>
        </w:rPr>
        <w:t>in international country like India this kind of racism behaviour has been found.</w:t>
      </w:r>
      <w:r>
        <w:t xml:space="preserve"> Hans (2025) argues that not only U</w:t>
      </w:r>
      <w:r>
        <w:rPr>
          <w:lang w:val="en-IN"/>
        </w:rPr>
        <w:t>K</w:t>
      </w:r>
      <w:r>
        <w:t xml:space="preserve"> even in India, children belonging to Dalit and Adivasi communities also continue to face discrimination in school even today. This includes exclusion from classroom activities and unequal, disrespectful treatment by teachers, which has been linked to poor mental health and lower educational achievements. Another author, Muyambi and Ahiaku (2025), shows that in South Africa, despite the end of colonialism and apartheid they are many Black children who still attend under resource school and experience social inequality, which further increases stress and limits future opportunities. Another author, Stevens et al. (2024), also argues that across several European countries are there including France and Germany, children belonging to migrant and refugee families often encounter discrimination. This is because of their ethnicity, religion or language, which makes them feel aloof and less connected to school belonging. </w:t>
      </w:r>
    </w:p>
    <w:p w14:paraId="7FDA6A8C" w14:textId="77777777" w:rsidR="004A5CD4" w:rsidRDefault="002244FC">
      <w:pPr>
        <w:spacing w:before="120" w:after="120"/>
      </w:pPr>
      <w:r>
        <w:t>These examples highlight that racism is deeply embedded in social institutions rather than being limited only to isolated incidents in school. As per Wilton et al. (2024), children who repeatedly experience exclusion begin to question their own identity because it forces them to lose their confidence and integrity in public institutions. They even start feeling ashamed about their skin colour, language, and even their birth, which stays with them for a long period of time. The lack of culturally responsive mental health services for these problems persists because many children do not receive support in time</w:t>
      </w:r>
      <w:r>
        <w:rPr>
          <w:lang w:val="en-IN"/>
        </w:rPr>
        <w:t xml:space="preserve"> (Robinson, 2017)</w:t>
      </w:r>
      <w:r>
        <w:t>.</w:t>
      </w:r>
    </w:p>
    <w:p w14:paraId="79366F6C" w14:textId="77777777" w:rsidR="004A5CD4" w:rsidRDefault="002244FC">
      <w:pPr>
        <w:spacing w:before="120" w:after="120"/>
        <w:rPr>
          <w:b/>
          <w:bCs/>
          <w:i/>
          <w:iCs/>
        </w:rPr>
      </w:pPr>
      <w:bookmarkStart w:id="32" w:name="_m7zaq8jk8ogn"/>
      <w:bookmarkEnd w:id="32"/>
      <w:r>
        <w:rPr>
          <w:b/>
          <w:bCs/>
          <w:i/>
          <w:iCs/>
        </w:rPr>
        <w:t>Theoretical Framework</w:t>
      </w:r>
    </w:p>
    <w:p w14:paraId="385D7819" w14:textId="77777777" w:rsidR="004A5CD4" w:rsidRDefault="002244FC">
      <w:pPr>
        <w:spacing w:before="120" w:after="120"/>
      </w:pPr>
      <w:r>
        <w:t>This study is grounded in two complementary theoretical models, such as Structural Racism Theory and the Culturally Informed Adverse Childhood Experience Framework (C-ACE). Structural racism theory points out that racial inequality is not merely a collection of individual prejudices (Wien et al., 2024). Rather, it is a system of historical, cultural and institutional dynamics that constantly provides advantage to the white population while producing adverse outcomes for racialised groups. Complementing this macro-level perspective, the C-ACE Framework adapts the traditional adverse childhood experience model to incorporate racial discrimination, differentiation, and systemic oppression as severe childhood trauma (Guevara et al., 2024). This Framework highlights that experiencing or witnessing racism during critical developmental stages triggers the dominant toxic stress responses, which are similar to other recognised childhood traumas like abuse or household instability</w:t>
      </w:r>
      <w:r>
        <w:rPr>
          <w:lang w:val="en-IN"/>
        </w:rPr>
        <w:t xml:space="preserve"> (Brown </w:t>
      </w:r>
      <w:r>
        <w:rPr>
          <w:i/>
          <w:iCs/>
          <w:lang w:val="en-IN"/>
        </w:rPr>
        <w:t xml:space="preserve">et al., </w:t>
      </w:r>
      <w:r>
        <w:rPr>
          <w:lang w:val="en-IN"/>
        </w:rPr>
        <w:t>2025)</w:t>
      </w:r>
      <w:r>
        <w:t xml:space="preserve">. </w:t>
      </w:r>
    </w:p>
    <w:p w14:paraId="74D52647" w14:textId="77777777" w:rsidR="004A5CD4" w:rsidRDefault="002244FC">
      <w:pPr>
        <w:spacing w:before="120" w:after="120"/>
      </w:pPr>
      <w:r>
        <w:t>The Structural Racism Theory mainly provides a macro-level view</w:t>
      </w:r>
      <w:r>
        <w:rPr>
          <w:lang w:val="en-IN"/>
        </w:rPr>
        <w:t xml:space="preserve"> (Wien </w:t>
      </w:r>
      <w:r>
        <w:rPr>
          <w:i/>
          <w:iCs/>
          <w:lang w:val="en-IN"/>
        </w:rPr>
        <w:t xml:space="preserve">et al., </w:t>
      </w:r>
      <w:r>
        <w:rPr>
          <w:lang w:val="en-IN"/>
        </w:rPr>
        <w:t>2023)</w:t>
      </w:r>
      <w:r>
        <w:t>. Thereby, by explaining how institutional systems, including disciplinary policies and teacher biases, serve to continuously create an atmosphere of inequality. However, it lacks the mechanism that explains the psychological harm it does to the individual. The C-ACE Framework, on the other hand, tries to fill this gap at the very micro-level. This is mainly done by conceptualising the racial discrimination and micro aggressions that lead to severe childhood trauma</w:t>
      </w:r>
      <w:r>
        <w:rPr>
          <w:lang w:val="en-IN"/>
        </w:rPr>
        <w:t xml:space="preserve"> (Galán </w:t>
      </w:r>
      <w:r>
        <w:rPr>
          <w:i/>
          <w:iCs/>
          <w:lang w:val="en-IN"/>
        </w:rPr>
        <w:t xml:space="preserve">et al., </w:t>
      </w:r>
      <w:r>
        <w:rPr>
          <w:lang w:val="en-IN"/>
        </w:rPr>
        <w:t>2022)</w:t>
      </w:r>
      <w:r>
        <w:t>. This trauma often gets triggered and results in expressing toxic stress responses. If these frameworks are made to work alone, then structural racism theory can be insufficient to capture the impact on individuals' mental health. While the C-ACE framework can unduly over-emphasise individual trauma without holding the systematic structures accountable. Practically and systematically integrating structural racism theory along with C-ACE will help the study to move from mere descriptive to critical analysis</w:t>
      </w:r>
      <w:r>
        <w:rPr>
          <w:lang w:val="en-IN"/>
        </w:rPr>
        <w:t xml:space="preserve"> (Bernard </w:t>
      </w:r>
      <w:r>
        <w:rPr>
          <w:i/>
          <w:iCs/>
          <w:lang w:val="en-IN"/>
        </w:rPr>
        <w:t xml:space="preserve">et al., </w:t>
      </w:r>
      <w:r>
        <w:rPr>
          <w:lang w:val="en-IN"/>
        </w:rPr>
        <w:t>2021)</w:t>
      </w:r>
      <w:r>
        <w:t xml:space="preserve">. During the data interpretation, the structural racism theory will be used to properly analyse the systemic patterns, for example, the disproportionate suspension rate. On the contrary, C-ACE will help to clearly and broadly interpret the qualitative student accounts. While analysing how these institutional barriers can translate into chronic psychological distress and long-term mental health challenges. </w:t>
      </w:r>
    </w:p>
    <w:p w14:paraId="302A71C6" w14:textId="77777777" w:rsidR="004A5CD4" w:rsidRDefault="002244FC">
      <w:pPr>
        <w:spacing w:before="120" w:after="120"/>
        <w:rPr>
          <w:b/>
          <w:bCs/>
          <w:i/>
          <w:iCs/>
        </w:rPr>
      </w:pPr>
      <w:bookmarkStart w:id="33" w:name="_hh09iirdfue7"/>
      <w:bookmarkEnd w:id="33"/>
      <w:r>
        <w:rPr>
          <w:b/>
          <w:bCs/>
          <w:i/>
          <w:iCs/>
        </w:rPr>
        <w:t>Conceptual framework</w:t>
      </w:r>
    </w:p>
    <w:p w14:paraId="675B75B2" w14:textId="77777777" w:rsidR="004A5CD4" w:rsidRDefault="002244FC">
      <w:pPr>
        <w:spacing w:before="120" w:after="120"/>
      </w:pPr>
      <w:r>
        <w:rPr>
          <w:noProof/>
          <w:lang w:val="en-IN" w:eastAsia="en-IN" w:bidi="hi-IN"/>
        </w:rPr>
        <w:drawing>
          <wp:inline distT="0" distB="0" distL="114300" distR="114300" wp14:anchorId="1A20D70E" wp14:editId="78E6E6BC">
            <wp:extent cx="5730875" cy="2490470"/>
            <wp:effectExtent l="0" t="0" r="9525" b="1143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12"/>
                    <a:stretch>
                      <a:fillRect/>
                    </a:stretch>
                  </pic:blipFill>
                  <pic:spPr>
                    <a:xfrm>
                      <a:off x="0" y="0"/>
                      <a:ext cx="5730875" cy="2490470"/>
                    </a:xfrm>
                    <a:prstGeom prst="rect">
                      <a:avLst/>
                    </a:prstGeom>
                    <a:noFill/>
                    <a:ln>
                      <a:noFill/>
                    </a:ln>
                  </pic:spPr>
                </pic:pic>
              </a:graphicData>
            </a:graphic>
          </wp:inline>
        </w:drawing>
      </w:r>
    </w:p>
    <w:p w14:paraId="3ABF136B" w14:textId="77777777" w:rsidR="004A5CD4" w:rsidRDefault="002244FC">
      <w:pPr>
        <w:pStyle w:val="Heading5"/>
        <w:rPr>
          <w:color w:val="auto"/>
        </w:rPr>
      </w:pPr>
      <w:bookmarkStart w:id="34" w:name="_Toc238133507"/>
      <w:r>
        <w:rPr>
          <w:color w:val="auto"/>
        </w:rPr>
        <w:t>Figure 3: Conceptual framework</w:t>
      </w:r>
      <w:bookmarkEnd w:id="34"/>
    </w:p>
    <w:p w14:paraId="4F58BCF9" w14:textId="77777777" w:rsidR="004A5CD4" w:rsidRDefault="002244FC">
      <w:pPr>
        <w:spacing w:before="120" w:after="120"/>
        <w:jc w:val="center"/>
      </w:pPr>
      <w:r>
        <w:t>(Source: Self-Developed)</w:t>
      </w:r>
    </w:p>
    <w:p w14:paraId="1A5672C7" w14:textId="77777777" w:rsidR="004A5CD4" w:rsidRDefault="002244FC">
      <w:pPr>
        <w:spacing w:before="120" w:after="120"/>
      </w:pPr>
      <w:r>
        <w:t>The conceptual Framework for this study explains how ratio is paradise affect the mental health of the children, and it also disturbs identities as the main factor involved in this relationship. Ratio disparity is the independent variable, and it includes school-related experiences such as racial bullying, unfair treatment by teachers, discrimination and exclusion from cultural or social activities. Children's mental health is the dependent variable, and it is measured through outcomes such as clinical anxiety, symptoms of depression, emotional distress, low confidence and behaviour problems. The Framework also explain that this relationship is highly influenced by other important factors. Mediating variables include the experience of the children regarding racial discrimination/disparities and the lack of emotional or institutional support, thereby clearly explaining the psychological pathways. These factors help to explain how repeated experiences related to racism lead to poor mental health. Moderating variables, on the other hand, such as poverty, wider social inequalities, an unsafe school environment, and limited access to support services, can make the effect even worse, as it leads to stronger racism or weaker. Based on structural racism theory, the framework also suggests that when schools fail to provide safe homes, equal opportunities, a safe learning environment and appropriate support for all students, then ratio this parties are more likely to take place and harm mental health</w:t>
      </w:r>
      <w:r>
        <w:rPr>
          <w:lang w:val="en-IN"/>
        </w:rPr>
        <w:t xml:space="preserve"> (Wojciak </w:t>
      </w:r>
      <w:r>
        <w:rPr>
          <w:i/>
          <w:iCs/>
          <w:lang w:val="en-IN"/>
        </w:rPr>
        <w:t xml:space="preserve">et al., </w:t>
      </w:r>
      <w:r>
        <w:rPr>
          <w:lang w:val="en-IN"/>
        </w:rPr>
        <w:t>2022)</w:t>
      </w:r>
      <w:r>
        <w:t>. Thereby, the overall well-being of children from ethnic Marathi backgrounds is in question.</w:t>
      </w:r>
    </w:p>
    <w:p w14:paraId="017DF95D" w14:textId="77777777" w:rsidR="004A5CD4" w:rsidRDefault="002244FC">
      <w:pPr>
        <w:spacing w:before="120" w:after="120"/>
        <w:rPr>
          <w:b/>
          <w:bCs/>
          <w:i/>
          <w:iCs/>
        </w:rPr>
      </w:pPr>
      <w:bookmarkStart w:id="35" w:name="_2vwew96w3bq"/>
      <w:bookmarkEnd w:id="35"/>
      <w:r>
        <w:rPr>
          <w:b/>
          <w:bCs/>
          <w:i/>
          <w:iCs/>
        </w:rPr>
        <w:t xml:space="preserve">Literature Gap </w:t>
      </w:r>
    </w:p>
    <w:p w14:paraId="58D419AF" w14:textId="77777777" w:rsidR="004A5CD4" w:rsidRDefault="002244FC">
      <w:pPr>
        <w:spacing w:before="120" w:after="120"/>
      </w:pPr>
      <w:r>
        <w:t xml:space="preserve">The existing UK-based evidence that has been applied above for comparative studies shows that the gaps are methodological as well as conceptual. Guan et al. (2024) reviewed ethnicity and mental health conditions among UK children and adolescents. But at the same time, it also highlighted the substantial variation that exists between the studies, thus making the conclusion difficult or confusing. In contrast, Ghezae et al. (2025) specifically reviewed racism and mental health and found only 8 eligible UK studies. Thus, showing that the evidence on racism itself remains limited. However, their approach eventually analysed only the scope rather than providing a synthesis proposal. Mona et al. (2025) provided stronger longitudinal evidence from the Next Steps Study, thereby showing the racism reported at the age of 17. This is a very tender age that is associated with psychological distress, which shows its effect at the age of 25, but the outcome is further extended beyond the under-18 population. Simela et al. (2024) further show the link between the parental experiences of racism and offspring well-being. This also helps in masking the unique vulnerability of specific UK School cohorts like black Caribbean or black South Asian children. Few empirical studies vigorously examine the combined role of institutional School support and family-level stress. By critically analysing the UK-based evidence across primary and secondary education, the study directly addresses these empirical and geographical gaps. It also provides actionable insights for public health professionals and social policymakers. </w:t>
      </w:r>
    </w:p>
    <w:p w14:paraId="5BEA318E" w14:textId="77777777" w:rsidR="004A5CD4" w:rsidRDefault="002244FC">
      <w:pPr>
        <w:pStyle w:val="Heading2"/>
      </w:pPr>
      <w:bookmarkStart w:id="36" w:name="_bccjbu9qoyn8"/>
      <w:bookmarkStart w:id="37" w:name="_Toc237865746"/>
      <w:bookmarkStart w:id="38" w:name="_Toc238674273"/>
      <w:bookmarkEnd w:id="36"/>
      <w:r>
        <w:t>2.3 Chapter summary</w:t>
      </w:r>
      <w:bookmarkEnd w:id="37"/>
      <w:bookmarkEnd w:id="38"/>
    </w:p>
    <w:p w14:paraId="427BF7DE" w14:textId="77777777" w:rsidR="004A5CD4" w:rsidRDefault="002244FC">
      <w:pPr>
        <w:spacing w:before="120" w:after="120"/>
      </w:pPr>
      <w:r>
        <w:t xml:space="preserve">This chapter critically analyses and examines the existing literature on racial disparities and mental health outcomes. The synthesis and evaluation reflect how interpersonal and institutional discrimination in educational settings function as a chronic stress stimulus, impairing psychological well-being, driving emotional distress and worsening health outcomes. Structural racism theory and the C-ACE framework explain these institutional and trauma-based mechanisms and their importance. The key limitation remains regarding UK-specific imperial data and the role of school-level interventions. To address the limitation, further Chapter 3 research methodology will outline the systematic literature review design, philosophy, and other data search protocol. A deep analysis framework will be applied for investigating the relationship in more detail. </w:t>
      </w:r>
    </w:p>
    <w:p w14:paraId="28E0CCFA" w14:textId="77777777" w:rsidR="004A5CD4" w:rsidRDefault="002244FC">
      <w:pPr>
        <w:spacing w:after="0"/>
      </w:pPr>
      <w:r>
        <w:br w:type="page"/>
      </w:r>
    </w:p>
    <w:p w14:paraId="532457AE" w14:textId="77777777" w:rsidR="004A5CD4" w:rsidRDefault="002244FC">
      <w:pPr>
        <w:pStyle w:val="Heading1"/>
      </w:pPr>
      <w:bookmarkStart w:id="39" w:name="_Toc236932136"/>
      <w:bookmarkStart w:id="40" w:name="_Toc238674274"/>
      <w:bookmarkStart w:id="41" w:name="_Toc237865747"/>
      <w:r>
        <w:t>3.0 Chapter 3: M</w:t>
      </w:r>
      <w:bookmarkEnd w:id="39"/>
      <w:r>
        <w:t>ethodology</w:t>
      </w:r>
      <w:bookmarkEnd w:id="40"/>
      <w:bookmarkEnd w:id="41"/>
      <w:r>
        <w:t xml:space="preserve"> </w:t>
      </w:r>
    </w:p>
    <w:p w14:paraId="34448547" w14:textId="77777777" w:rsidR="004A5CD4" w:rsidRDefault="002244FC">
      <w:pPr>
        <w:pStyle w:val="Heading2"/>
        <w:spacing w:before="120" w:after="120"/>
        <w:rPr>
          <w:rFonts w:cs="Times New Roman"/>
        </w:rPr>
      </w:pPr>
      <w:bookmarkStart w:id="42" w:name="_Toc238674275"/>
      <w:bookmarkStart w:id="43" w:name="_Toc237865748"/>
      <w:bookmarkStart w:id="44" w:name="_Toc236932137"/>
      <w:r>
        <w:rPr>
          <w:rFonts w:cs="Times New Roman"/>
        </w:rPr>
        <w:t>3.1 Introduction to Chapter</w:t>
      </w:r>
      <w:bookmarkEnd w:id="42"/>
      <w:bookmarkEnd w:id="43"/>
      <w:bookmarkEnd w:id="44"/>
    </w:p>
    <w:p w14:paraId="43B9D12E" w14:textId="77777777" w:rsidR="004A5CD4" w:rsidRDefault="002244FC">
      <w:pPr>
        <w:spacing w:before="120" w:after="120"/>
        <w:rPr>
          <w:rFonts w:cs="Times New Roman"/>
          <w:iCs/>
        </w:rPr>
      </w:pPr>
      <w:r>
        <w:rPr>
          <w:rFonts w:cs="Times New Roman"/>
          <w:iCs/>
        </w:rPr>
        <w:t>This chapter describes the methodology used to conduct the systematic literature review examining racial discrimination, racial or ethnic inequalities and mental-health outcomes among children and young people under 18 years of age in UK educational contexts. It explains the review design, PEO framework, search strategy, databases, eligibility criteria, study-selection process, data extraction, quality appraisal and thematic synthesis. The review was conducted in accordance with PRISMA 2020 principles to support transparency and reproducibility</w:t>
      </w:r>
      <w:r>
        <w:rPr>
          <w:rFonts w:cs="Times New Roman"/>
          <w:iCs/>
          <w:lang w:val="en-IN"/>
        </w:rPr>
        <w:t>. It helps limit the chance of selection bias</w:t>
      </w:r>
      <w:r>
        <w:rPr>
          <w:rFonts w:cs="Times New Roman"/>
          <w:iCs/>
        </w:rPr>
        <w:t xml:space="preserve"> (Page et al., 2022).</w:t>
      </w:r>
    </w:p>
    <w:p w14:paraId="4A9AAA20" w14:textId="77777777" w:rsidR="004A5CD4" w:rsidRDefault="002244FC">
      <w:pPr>
        <w:pStyle w:val="Heading2"/>
        <w:spacing w:before="120" w:after="120"/>
        <w:rPr>
          <w:rFonts w:cs="Times New Roman"/>
          <w:szCs w:val="24"/>
        </w:rPr>
      </w:pPr>
      <w:bookmarkStart w:id="45" w:name="_Toc237865749"/>
      <w:bookmarkStart w:id="46" w:name="_Toc236932138"/>
      <w:bookmarkStart w:id="47" w:name="_Toc238674276"/>
      <w:r>
        <w:rPr>
          <w:rFonts w:cs="Times New Roman"/>
        </w:rPr>
        <w:t>3.2 Systematic Literature Review (SLR</w:t>
      </w:r>
      <w:r>
        <w:rPr>
          <w:rFonts w:cs="Times New Roman"/>
          <w:szCs w:val="24"/>
        </w:rPr>
        <w:t>)</w:t>
      </w:r>
      <w:bookmarkEnd w:id="45"/>
      <w:bookmarkEnd w:id="46"/>
      <w:bookmarkEnd w:id="47"/>
      <w:r>
        <w:rPr>
          <w:rFonts w:cs="Times New Roman"/>
          <w:szCs w:val="24"/>
        </w:rPr>
        <w:t xml:space="preserve"> </w:t>
      </w:r>
    </w:p>
    <w:p w14:paraId="2A7D745A" w14:textId="77777777" w:rsidR="004A5CD4" w:rsidRDefault="002244FC">
      <w:pPr>
        <w:spacing w:before="120" w:after="120"/>
        <w:rPr>
          <w:rFonts w:cs="Times New Roman"/>
          <w:iCs/>
          <w:szCs w:val="24"/>
        </w:rPr>
      </w:pPr>
      <w:r>
        <w:rPr>
          <w:rFonts w:cs="Times New Roman"/>
          <w:iCs/>
          <w:szCs w:val="24"/>
        </w:rPr>
        <w:t>A systematic literature review was selected because the research question required structured identification, comparison and critical evaluation of available UK evidence concerning racial discrimination and children's mental health</w:t>
      </w:r>
      <w:r>
        <w:rPr>
          <w:rFonts w:cs="Times New Roman"/>
          <w:iCs/>
          <w:szCs w:val="24"/>
          <w:lang w:val="en-IN"/>
        </w:rPr>
        <w:t xml:space="preserve"> of below 18 years</w:t>
      </w:r>
      <w:r>
        <w:rPr>
          <w:rFonts w:cs="Times New Roman"/>
          <w:iCs/>
          <w:szCs w:val="24"/>
        </w:rPr>
        <w:t>. The rigour of the review was strengthened through predefined eligibility criteria, systematic database searching, screening, data extraction, design-specific quality appraisal and thematic synthesis (White, 2025). However, the validity of the conclusions remained dependent on the quality, relevance and methodological diversity of the available studies.</w:t>
      </w:r>
    </w:p>
    <w:p w14:paraId="29E57BA9" w14:textId="77777777" w:rsidR="004A5CD4" w:rsidRDefault="002244FC">
      <w:pPr>
        <w:pStyle w:val="Heading2"/>
        <w:spacing w:before="120" w:after="120"/>
        <w:rPr>
          <w:rFonts w:cs="Times New Roman"/>
        </w:rPr>
      </w:pPr>
      <w:bookmarkStart w:id="48" w:name="_Toc236932139"/>
      <w:bookmarkStart w:id="49" w:name="_Toc237865750"/>
      <w:bookmarkStart w:id="50" w:name="_Toc238674277"/>
      <w:r>
        <w:rPr>
          <w:rFonts w:cs="Times New Roman"/>
        </w:rPr>
        <w:t>3.3 Search Strategy</w:t>
      </w:r>
      <w:bookmarkEnd w:id="48"/>
      <w:bookmarkEnd w:id="49"/>
      <w:bookmarkEnd w:id="50"/>
      <w:r>
        <w:rPr>
          <w:rFonts w:cs="Times New Roman"/>
        </w:rPr>
        <w:t xml:space="preserve"> </w:t>
      </w:r>
    </w:p>
    <w:p w14:paraId="63C5C980" w14:textId="77777777" w:rsidR="004A5CD4" w:rsidRDefault="002244FC">
      <w:pPr>
        <w:spacing w:before="120" w:after="120"/>
        <w:rPr>
          <w:rFonts w:cs="Times New Roman"/>
          <w:iCs/>
          <w:szCs w:val="24"/>
        </w:rPr>
      </w:pPr>
      <w:r>
        <w:rPr>
          <w:rFonts w:cs="Times New Roman"/>
          <w:iCs/>
          <w:szCs w:val="24"/>
        </w:rPr>
        <w:t>The PEO framework was used for this review since no interventions are considered. The Population is UK children and youth below 18 years, the Exposure is school-based racism or racial discrimination, and the Outcome is mental health and wellbeing. PEO is more appropriate for this exposure-related question than PICO (Butler, 2025). Searches included articles published between January 2012 and June 2026.</w:t>
      </w:r>
    </w:p>
    <w:p w14:paraId="35D01BCD" w14:textId="77777777" w:rsidR="004A5CD4" w:rsidRDefault="002244FC">
      <w:pPr>
        <w:pStyle w:val="Heading2"/>
        <w:spacing w:before="120" w:after="120"/>
        <w:rPr>
          <w:rFonts w:cs="Times New Roman"/>
          <w:szCs w:val="24"/>
        </w:rPr>
      </w:pPr>
      <w:bookmarkStart w:id="51" w:name="_Toc238674278"/>
      <w:bookmarkStart w:id="52" w:name="_Toc119400978"/>
      <w:bookmarkStart w:id="53" w:name="_Toc237865751"/>
      <w:bookmarkStart w:id="54" w:name="_Toc236932140"/>
      <w:r>
        <w:rPr>
          <w:rFonts w:cs="Times New Roman"/>
        </w:rPr>
        <w:t xml:space="preserve">3.4 Search </w:t>
      </w:r>
      <w:r>
        <w:rPr>
          <w:rFonts w:cs="Times New Roman"/>
          <w:szCs w:val="24"/>
        </w:rPr>
        <w:t>terms</w:t>
      </w:r>
      <w:bookmarkEnd w:id="51"/>
      <w:bookmarkEnd w:id="52"/>
      <w:bookmarkEnd w:id="53"/>
      <w:bookmarkEnd w:id="54"/>
      <w:r>
        <w:rPr>
          <w:rFonts w:cs="Times New Roman"/>
          <w:szCs w:val="24"/>
        </w:rPr>
        <w:t xml:space="preserve"> </w:t>
      </w:r>
    </w:p>
    <w:p w14:paraId="0BC75B52" w14:textId="77777777" w:rsidR="004A5CD4" w:rsidRDefault="002244FC">
      <w:r>
        <w:t>The search terms were developed using the PEO structure to ensure transparency and reproducibility of the search (Munn et al., 2024). The population terms included children and adolescents; the exposure terms included racism, racial discrimination, racial disparities, and racial bullying; and the outcomes included mental health, anxiety, depression, psychological distress, and well-being. The terms for the UK and the school setting were included for consistency with the research question.</w:t>
      </w:r>
    </w:p>
    <w:p w14:paraId="7A071614" w14:textId="77777777" w:rsidR="004A5CD4" w:rsidRDefault="002244FC">
      <w:r>
        <w:t>Use of synonyms and truncation was done since there is variability of terms in different databases and research articles, hence minimising the possibility of excluding evidence (Barry, Merkebu and Varpio, 2022). The OR operator was used to combine terms within each concept, while the AND operator was used to combine the Population, Exposure, Outcome, and setting concepts. Filters for language (English, and peer-reviewed journals were used between 20</w:t>
      </w:r>
      <w:r>
        <w:rPr>
          <w:lang w:val="en-IN"/>
        </w:rPr>
        <w:t>12</w:t>
      </w:r>
      <w:r>
        <w:t xml:space="preserve"> and 2026.</w:t>
      </w:r>
    </w:p>
    <w:p w14:paraId="7CE6ED6E" w14:textId="77777777" w:rsidR="004A5CD4" w:rsidRDefault="004A5CD4"/>
    <w:tbl>
      <w:tblPr>
        <w:tblW w:w="947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9"/>
        <w:gridCol w:w="7834"/>
      </w:tblGrid>
      <w:tr w:rsidR="004A5CD4" w14:paraId="731C2D4F" w14:textId="77777777">
        <w:trPr>
          <w:trHeight w:val="668"/>
          <w:tblHeader/>
          <w:tblCellSpacing w:w="15" w:type="dxa"/>
        </w:trPr>
        <w:tc>
          <w:tcPr>
            <w:tcW w:w="0" w:type="auto"/>
            <w:vAlign w:val="center"/>
          </w:tcPr>
          <w:p w14:paraId="422F9204" w14:textId="77777777" w:rsidR="004A5CD4" w:rsidRDefault="002244FC">
            <w:pPr>
              <w:spacing w:before="120" w:after="120"/>
              <w:rPr>
                <w:rFonts w:eastAsia="Times New Roman" w:cs="Times New Roman"/>
                <w:b/>
                <w:bCs/>
                <w:szCs w:val="24"/>
                <w:lang w:eastAsia="en-IN"/>
              </w:rPr>
            </w:pPr>
            <w:r>
              <w:rPr>
                <w:rFonts w:eastAsia="Times New Roman" w:cs="Times New Roman"/>
                <w:b/>
                <w:bCs/>
                <w:szCs w:val="24"/>
                <w:lang w:eastAsia="en-IN"/>
              </w:rPr>
              <w:t>Search set</w:t>
            </w:r>
          </w:p>
        </w:tc>
        <w:tc>
          <w:tcPr>
            <w:tcW w:w="0" w:type="auto"/>
            <w:vAlign w:val="center"/>
          </w:tcPr>
          <w:p w14:paraId="36018370" w14:textId="77777777" w:rsidR="004A5CD4" w:rsidRDefault="002244FC">
            <w:pPr>
              <w:spacing w:before="120" w:after="120"/>
              <w:rPr>
                <w:rFonts w:eastAsia="Times New Roman" w:cs="Times New Roman"/>
                <w:b/>
                <w:bCs/>
                <w:szCs w:val="24"/>
                <w:lang w:eastAsia="en-IN"/>
              </w:rPr>
            </w:pPr>
            <w:r>
              <w:rPr>
                <w:rFonts w:eastAsia="Times New Roman" w:cs="Times New Roman"/>
                <w:b/>
                <w:bCs/>
                <w:szCs w:val="24"/>
                <w:lang w:eastAsia="en-IN"/>
              </w:rPr>
              <w:t>Search terms combined with Boolean operators</w:t>
            </w:r>
          </w:p>
        </w:tc>
      </w:tr>
      <w:tr w:rsidR="004A5CD4" w14:paraId="475CA20E" w14:textId="77777777">
        <w:trPr>
          <w:trHeight w:val="1079"/>
          <w:tblCellSpacing w:w="15" w:type="dxa"/>
        </w:trPr>
        <w:tc>
          <w:tcPr>
            <w:tcW w:w="0" w:type="auto"/>
            <w:vAlign w:val="center"/>
          </w:tcPr>
          <w:p w14:paraId="1B0336CC" w14:textId="77777777" w:rsidR="004A5CD4" w:rsidRDefault="002244FC">
            <w:pPr>
              <w:spacing w:before="120" w:after="120"/>
              <w:rPr>
                <w:rFonts w:eastAsia="Times New Roman" w:cs="Times New Roman"/>
                <w:szCs w:val="24"/>
                <w:lang w:eastAsia="en-IN"/>
              </w:rPr>
            </w:pPr>
            <w:r>
              <w:rPr>
                <w:rFonts w:eastAsia="Times New Roman" w:cs="Times New Roman"/>
                <w:bCs/>
                <w:szCs w:val="24"/>
                <w:lang w:eastAsia="en-IN"/>
              </w:rPr>
              <w:t>Search 1 – Population</w:t>
            </w:r>
          </w:p>
        </w:tc>
        <w:tc>
          <w:tcPr>
            <w:tcW w:w="0" w:type="auto"/>
            <w:vAlign w:val="center"/>
          </w:tcPr>
          <w:p w14:paraId="6559F6C4" w14:textId="77777777" w:rsidR="004A5CD4" w:rsidRDefault="002244FC">
            <w:pPr>
              <w:spacing w:before="120" w:after="120"/>
              <w:rPr>
                <w:rFonts w:eastAsia="Times New Roman" w:cs="Times New Roman"/>
                <w:szCs w:val="24"/>
                <w:lang w:eastAsia="en-IN"/>
              </w:rPr>
            </w:pPr>
            <w:r>
              <w:rPr>
                <w:rFonts w:eastAsia="Times New Roman" w:cs="Times New Roman"/>
                <w:szCs w:val="24"/>
                <w:lang w:eastAsia="en-IN"/>
              </w:rPr>
              <w:t>"children" OR "child*" OR "adolescents" OR "adolescent*" OR "young people" OR "youth" OR "school-aged children" OR "minors"</w:t>
            </w:r>
          </w:p>
        </w:tc>
      </w:tr>
      <w:tr w:rsidR="004A5CD4" w14:paraId="77DFD49E" w14:textId="77777777">
        <w:trPr>
          <w:trHeight w:val="1516"/>
          <w:tblCellSpacing w:w="15" w:type="dxa"/>
        </w:trPr>
        <w:tc>
          <w:tcPr>
            <w:tcW w:w="0" w:type="auto"/>
            <w:vAlign w:val="center"/>
          </w:tcPr>
          <w:p w14:paraId="47C1DFA8" w14:textId="77777777" w:rsidR="004A5CD4" w:rsidRDefault="002244FC">
            <w:pPr>
              <w:spacing w:before="120" w:after="120"/>
              <w:rPr>
                <w:rFonts w:eastAsia="Times New Roman" w:cs="Times New Roman"/>
                <w:szCs w:val="24"/>
                <w:lang w:eastAsia="en-IN"/>
              </w:rPr>
            </w:pPr>
            <w:r>
              <w:rPr>
                <w:rFonts w:eastAsia="Times New Roman" w:cs="Times New Roman"/>
                <w:bCs/>
                <w:szCs w:val="24"/>
                <w:lang w:eastAsia="en-IN"/>
              </w:rPr>
              <w:t>Search 2 – Exposure</w:t>
            </w:r>
          </w:p>
        </w:tc>
        <w:tc>
          <w:tcPr>
            <w:tcW w:w="0" w:type="auto"/>
            <w:vAlign w:val="center"/>
          </w:tcPr>
          <w:p w14:paraId="73AE116F" w14:textId="77777777" w:rsidR="004A5CD4" w:rsidRDefault="002244FC">
            <w:pPr>
              <w:spacing w:before="120" w:after="120"/>
              <w:rPr>
                <w:rFonts w:eastAsia="Times New Roman" w:cs="Times New Roman"/>
                <w:szCs w:val="24"/>
                <w:lang w:eastAsia="en-IN"/>
              </w:rPr>
            </w:pPr>
            <w:r>
              <w:rPr>
                <w:rFonts w:eastAsia="Times New Roman" w:cs="Times New Roman"/>
                <w:szCs w:val="24"/>
                <w:lang w:eastAsia="en-IN"/>
              </w:rPr>
              <w:t>"racial discrimination" OR "racism" OR "racial disparities" OR "racial inequality" OR "ethnic inequalities" OR "racial bias" OR "racial bullying" OR "ethnic discrimination"</w:t>
            </w:r>
          </w:p>
        </w:tc>
      </w:tr>
      <w:tr w:rsidR="004A5CD4" w14:paraId="368158CA" w14:textId="77777777">
        <w:trPr>
          <w:trHeight w:val="1516"/>
          <w:tblCellSpacing w:w="15" w:type="dxa"/>
        </w:trPr>
        <w:tc>
          <w:tcPr>
            <w:tcW w:w="0" w:type="auto"/>
            <w:vAlign w:val="center"/>
          </w:tcPr>
          <w:p w14:paraId="60ECB6FE" w14:textId="77777777" w:rsidR="004A5CD4" w:rsidRDefault="002244FC">
            <w:pPr>
              <w:rPr>
                <w:rFonts w:eastAsia="Times New Roman" w:cs="Times New Roman"/>
                <w:szCs w:val="24"/>
                <w:lang w:eastAsia="en-IN"/>
              </w:rPr>
            </w:pPr>
            <w:r>
              <w:t>Search 3 – Outcome</w:t>
            </w:r>
          </w:p>
        </w:tc>
        <w:tc>
          <w:tcPr>
            <w:tcW w:w="0" w:type="auto"/>
            <w:vAlign w:val="center"/>
          </w:tcPr>
          <w:p w14:paraId="74352961" w14:textId="77777777" w:rsidR="004A5CD4" w:rsidRDefault="002244FC">
            <w:pPr>
              <w:spacing w:before="120" w:after="120"/>
              <w:rPr>
                <w:rFonts w:eastAsia="Times New Roman" w:cs="Times New Roman"/>
                <w:szCs w:val="24"/>
                <w:lang w:eastAsia="en-IN"/>
              </w:rPr>
            </w:pPr>
            <w:r>
              <w:rPr>
                <w:rFonts w:eastAsia="Times New Roman" w:cs="Times New Roman"/>
                <w:szCs w:val="24"/>
                <w:lang w:eastAsia="en-IN"/>
              </w:rPr>
              <w:t xml:space="preserve">"mental health" OR "psychological wellbeing" OR "wellbeing" OR "anxiety" OR "depression" OR "psychological distress" OR "emotional wellbeing" OR "behavioural problems" OR "resilience" </w:t>
            </w:r>
          </w:p>
        </w:tc>
      </w:tr>
      <w:tr w:rsidR="004A5CD4" w14:paraId="1EF92136" w14:textId="77777777">
        <w:trPr>
          <w:trHeight w:val="1516"/>
          <w:tblCellSpacing w:w="15" w:type="dxa"/>
        </w:trPr>
        <w:tc>
          <w:tcPr>
            <w:tcW w:w="0" w:type="auto"/>
            <w:vAlign w:val="center"/>
          </w:tcPr>
          <w:p w14:paraId="1B37FC1A" w14:textId="77777777" w:rsidR="004A5CD4" w:rsidRDefault="002244FC">
            <w:pPr>
              <w:spacing w:before="120" w:after="120"/>
              <w:rPr>
                <w:rFonts w:eastAsia="Times New Roman" w:cs="Times New Roman"/>
                <w:szCs w:val="24"/>
                <w:lang w:eastAsia="en-IN"/>
              </w:rPr>
            </w:pPr>
            <w:r>
              <w:t>Search 4 – geography</w:t>
            </w:r>
          </w:p>
        </w:tc>
        <w:tc>
          <w:tcPr>
            <w:tcW w:w="0" w:type="auto"/>
            <w:vAlign w:val="center"/>
          </w:tcPr>
          <w:p w14:paraId="4DCF2632" w14:textId="77777777" w:rsidR="004A5CD4" w:rsidRDefault="002244FC">
            <w:pPr>
              <w:rPr>
                <w:rFonts w:eastAsia="Times New Roman" w:cs="Times New Roman"/>
                <w:szCs w:val="24"/>
                <w:lang w:eastAsia="en-IN"/>
              </w:rPr>
            </w:pPr>
            <w:r>
              <w:t>"United Kingdom" OR "UK" OR "England "</w:t>
            </w:r>
          </w:p>
        </w:tc>
      </w:tr>
      <w:tr w:rsidR="004A5CD4" w14:paraId="227AB4A5" w14:textId="77777777">
        <w:trPr>
          <w:trHeight w:val="1516"/>
          <w:tblCellSpacing w:w="15" w:type="dxa"/>
        </w:trPr>
        <w:tc>
          <w:tcPr>
            <w:tcW w:w="0" w:type="auto"/>
            <w:vAlign w:val="center"/>
          </w:tcPr>
          <w:p w14:paraId="567BCE50" w14:textId="77777777" w:rsidR="004A5CD4" w:rsidRDefault="002244FC">
            <w:pPr>
              <w:spacing w:before="120" w:after="120"/>
            </w:pPr>
            <w:r>
              <w:t>Search 5 -setting</w:t>
            </w:r>
          </w:p>
        </w:tc>
        <w:tc>
          <w:tcPr>
            <w:tcW w:w="0" w:type="auto"/>
            <w:vAlign w:val="center"/>
          </w:tcPr>
          <w:p w14:paraId="66A6A7A8" w14:textId="77777777" w:rsidR="004A5CD4" w:rsidRDefault="002244FC">
            <w:r>
              <w:t>schools" OR "secondary schools" OR "primary school" OR "school setting" OR “educational setting”</w:t>
            </w:r>
          </w:p>
        </w:tc>
      </w:tr>
      <w:tr w:rsidR="004A5CD4" w14:paraId="665D8475" w14:textId="77777777">
        <w:trPr>
          <w:trHeight w:val="1952"/>
          <w:tblCellSpacing w:w="15" w:type="dxa"/>
        </w:trPr>
        <w:tc>
          <w:tcPr>
            <w:tcW w:w="0" w:type="auto"/>
            <w:vAlign w:val="center"/>
          </w:tcPr>
          <w:p w14:paraId="5870E4E6" w14:textId="77777777" w:rsidR="004A5CD4" w:rsidRDefault="002244FC">
            <w:pPr>
              <w:spacing w:before="120" w:after="120"/>
              <w:rPr>
                <w:rFonts w:eastAsia="Times New Roman" w:cs="Times New Roman"/>
                <w:szCs w:val="24"/>
                <w:lang w:eastAsia="en-IN"/>
              </w:rPr>
            </w:pPr>
            <w:r>
              <w:rPr>
                <w:rFonts w:eastAsia="Times New Roman" w:cs="Times New Roman"/>
                <w:bCs/>
                <w:szCs w:val="24"/>
                <w:lang w:eastAsia="en-IN"/>
              </w:rPr>
              <w:t>Final strategy string</w:t>
            </w:r>
          </w:p>
        </w:tc>
        <w:tc>
          <w:tcPr>
            <w:tcW w:w="0" w:type="auto"/>
            <w:vAlign w:val="center"/>
          </w:tcPr>
          <w:p w14:paraId="7E0A25EA" w14:textId="77777777" w:rsidR="004A5CD4" w:rsidRDefault="002244FC">
            <w:pPr>
              <w:spacing w:before="120" w:after="120"/>
              <w:rPr>
                <w:rFonts w:eastAsia="Times New Roman" w:cs="Times New Roman"/>
                <w:szCs w:val="24"/>
                <w:lang w:eastAsia="en-IN"/>
              </w:rPr>
            </w:pPr>
            <w:r>
              <w:rPr>
                <w:rFonts w:eastAsia="Times New Roman" w:cs="Times New Roman"/>
                <w:bCs/>
                <w:szCs w:val="24"/>
                <w:lang w:eastAsia="en-IN"/>
              </w:rPr>
              <w:t>Search 1 AND Search 2 AND Search 3 AND Search 4 AND Search 5</w:t>
            </w:r>
          </w:p>
        </w:tc>
      </w:tr>
      <w:tr w:rsidR="004A5CD4" w14:paraId="0F74C6A2" w14:textId="77777777">
        <w:trPr>
          <w:trHeight w:val="1952"/>
          <w:tblCellSpacing w:w="15" w:type="dxa"/>
        </w:trPr>
        <w:tc>
          <w:tcPr>
            <w:tcW w:w="0" w:type="auto"/>
            <w:vAlign w:val="center"/>
          </w:tcPr>
          <w:p w14:paraId="2CAF5F7C" w14:textId="77777777" w:rsidR="004A5CD4" w:rsidRDefault="002244FC">
            <w:pPr>
              <w:spacing w:before="120" w:after="120"/>
              <w:rPr>
                <w:rFonts w:eastAsia="Times New Roman" w:cs="Times New Roman"/>
                <w:bCs/>
                <w:szCs w:val="24"/>
                <w:lang w:eastAsia="en-IN"/>
              </w:rPr>
            </w:pPr>
            <w:r>
              <w:rPr>
                <w:rFonts w:eastAsia="Times New Roman" w:cs="Times New Roman"/>
                <w:bCs/>
                <w:szCs w:val="24"/>
                <w:lang w:eastAsia="en-IN"/>
              </w:rPr>
              <w:t xml:space="preserve">Limits applied </w:t>
            </w:r>
          </w:p>
        </w:tc>
        <w:tc>
          <w:tcPr>
            <w:tcW w:w="0" w:type="auto"/>
            <w:vAlign w:val="center"/>
          </w:tcPr>
          <w:p w14:paraId="5EEEEFDC" w14:textId="77777777" w:rsidR="004A5CD4" w:rsidRDefault="002244FC">
            <w:pPr>
              <w:spacing w:before="120" w:after="120"/>
              <w:rPr>
                <w:rFonts w:eastAsia="Times New Roman" w:cs="Times New Roman"/>
                <w:bCs/>
                <w:szCs w:val="24"/>
                <w:lang w:eastAsia="en-IN"/>
              </w:rPr>
            </w:pPr>
            <w:r>
              <w:rPr>
                <w:rFonts w:eastAsia="Times New Roman" w:cs="Times New Roman"/>
                <w:bCs/>
                <w:szCs w:val="24"/>
                <w:lang w:eastAsia="en-IN"/>
              </w:rPr>
              <w:t>English language; peer-reviewed journal articles; published between January 2012 and June 2026</w:t>
            </w:r>
          </w:p>
        </w:tc>
      </w:tr>
    </w:tbl>
    <w:p w14:paraId="0DF4E40F" w14:textId="77777777" w:rsidR="004A5CD4" w:rsidRDefault="002244FC">
      <w:pPr>
        <w:pStyle w:val="Heading6"/>
        <w:rPr>
          <w:color w:val="auto"/>
          <w:lang w:eastAsia="en-IN"/>
        </w:rPr>
      </w:pPr>
      <w:bookmarkStart w:id="55" w:name="_Toc238133542"/>
      <w:bookmarkStart w:id="56" w:name="_Toc238493935"/>
      <w:r>
        <w:rPr>
          <w:color w:val="auto"/>
        </w:rPr>
        <w:t xml:space="preserve">Table 1: </w:t>
      </w:r>
      <w:r>
        <w:rPr>
          <w:color w:val="auto"/>
          <w:lang w:eastAsia="en-IN"/>
        </w:rPr>
        <w:t>Search Sets and Boolean Combinations</w:t>
      </w:r>
      <w:bookmarkEnd w:id="55"/>
      <w:bookmarkEnd w:id="56"/>
    </w:p>
    <w:p w14:paraId="06DDD790" w14:textId="77777777" w:rsidR="004A5CD4" w:rsidRDefault="002244FC">
      <w:pPr>
        <w:pStyle w:val="NormalWeb"/>
        <w:spacing w:before="120" w:beforeAutospacing="0" w:after="120" w:afterAutospacing="0" w:line="360" w:lineRule="auto"/>
        <w:jc w:val="center"/>
      </w:pPr>
      <w:r>
        <w:t>(Source: Self-Developed)</w:t>
      </w:r>
    </w:p>
    <w:tbl>
      <w:tblPr>
        <w:tblStyle w:val="TableGrid"/>
        <w:tblW w:w="9498" w:type="dxa"/>
        <w:tblInd w:w="-5" w:type="dxa"/>
        <w:tblLook w:val="04A0" w:firstRow="1" w:lastRow="0" w:firstColumn="1" w:lastColumn="0" w:noHBand="0" w:noVBand="1"/>
      </w:tblPr>
      <w:tblGrid>
        <w:gridCol w:w="2694"/>
        <w:gridCol w:w="6804"/>
      </w:tblGrid>
      <w:tr w:rsidR="004A5CD4" w14:paraId="296FD33F" w14:textId="77777777">
        <w:tc>
          <w:tcPr>
            <w:tcW w:w="2694" w:type="dxa"/>
          </w:tcPr>
          <w:p w14:paraId="07A36710" w14:textId="77777777" w:rsidR="004A5CD4" w:rsidRDefault="002244FC">
            <w:pPr>
              <w:spacing w:before="120" w:after="120"/>
              <w:rPr>
                <w:rFonts w:eastAsia="Calibri" w:cs="Times New Roman"/>
                <w:b/>
              </w:rPr>
            </w:pPr>
            <w:r>
              <w:rPr>
                <w:rFonts w:eastAsia="Calibri" w:cs="Times New Roman"/>
                <w:b/>
              </w:rPr>
              <w:t>Population (P)</w:t>
            </w:r>
          </w:p>
        </w:tc>
        <w:tc>
          <w:tcPr>
            <w:tcW w:w="6804" w:type="dxa"/>
          </w:tcPr>
          <w:p w14:paraId="22B589AF" w14:textId="77777777" w:rsidR="004A5CD4" w:rsidRDefault="002244FC">
            <w:pPr>
              <w:spacing w:before="120" w:after="120"/>
              <w:rPr>
                <w:rFonts w:eastAsia="Calibri" w:cs="Times New Roman"/>
              </w:rPr>
            </w:pPr>
            <w:r>
              <w:rPr>
                <w:rFonts w:cs="Times New Roman"/>
              </w:rPr>
              <w:t>Children and young people under 18 years of age experiencing mental health and wellbeing issues.</w:t>
            </w:r>
          </w:p>
        </w:tc>
      </w:tr>
      <w:tr w:rsidR="004A5CD4" w14:paraId="7A3BA7AD" w14:textId="77777777">
        <w:tc>
          <w:tcPr>
            <w:tcW w:w="2694" w:type="dxa"/>
          </w:tcPr>
          <w:p w14:paraId="4207D51A" w14:textId="77777777" w:rsidR="004A5CD4" w:rsidRDefault="002244FC">
            <w:pPr>
              <w:spacing w:before="120" w:after="120"/>
              <w:rPr>
                <w:rFonts w:eastAsia="Calibri" w:cs="Times New Roman"/>
              </w:rPr>
            </w:pPr>
            <w:r>
              <w:rPr>
                <w:b/>
              </w:rPr>
              <w:t>Exposure (E)</w:t>
            </w:r>
          </w:p>
        </w:tc>
        <w:tc>
          <w:tcPr>
            <w:tcW w:w="6804" w:type="dxa"/>
          </w:tcPr>
          <w:p w14:paraId="41872FA5" w14:textId="77777777" w:rsidR="004A5CD4" w:rsidRDefault="002244FC">
            <w:pPr>
              <w:spacing w:before="120" w:after="120"/>
              <w:rPr>
                <w:rFonts w:eastAsia="Calibri" w:cs="Times New Roman"/>
              </w:rPr>
            </w:pPr>
            <w:r>
              <w:t>Experiences of school-based racial disparities, racism or racial discrimination, including interpersonal, institutional and structural forms of racism or racial bullying.</w:t>
            </w:r>
          </w:p>
        </w:tc>
      </w:tr>
      <w:tr w:rsidR="004A5CD4" w14:paraId="520F7FF0" w14:textId="77777777">
        <w:tc>
          <w:tcPr>
            <w:tcW w:w="2694" w:type="dxa"/>
          </w:tcPr>
          <w:p w14:paraId="5D9C96C6" w14:textId="77777777" w:rsidR="004A5CD4" w:rsidRDefault="002244FC">
            <w:pPr>
              <w:spacing w:before="120" w:after="120"/>
              <w:rPr>
                <w:rFonts w:eastAsia="Calibri" w:cs="Times New Roman"/>
                <w:b/>
              </w:rPr>
            </w:pPr>
            <w:r>
              <w:rPr>
                <w:rFonts w:eastAsia="Calibri" w:cs="Times New Roman"/>
                <w:b/>
              </w:rPr>
              <w:t>Outcome (O)</w:t>
            </w:r>
          </w:p>
        </w:tc>
        <w:tc>
          <w:tcPr>
            <w:tcW w:w="6804" w:type="dxa"/>
          </w:tcPr>
          <w:p w14:paraId="5B511E97" w14:textId="77777777" w:rsidR="004A5CD4" w:rsidRDefault="002244FC">
            <w:pPr>
              <w:spacing w:before="120" w:after="120"/>
              <w:rPr>
                <w:rFonts w:eastAsia="Calibri" w:cs="Times New Roman"/>
              </w:rPr>
            </w:pPr>
            <w:r>
              <w:rPr>
                <w:rFonts w:cs="Times New Roman"/>
              </w:rPr>
              <w:t>Mental health outcomes including anxiety, depression, psychological distress, emotional wellbeing, self-esteem, resilience, behavioural problems, and overall psychological wellbeing.</w:t>
            </w:r>
          </w:p>
        </w:tc>
      </w:tr>
    </w:tbl>
    <w:p w14:paraId="37AC0868" w14:textId="77777777" w:rsidR="004A5CD4" w:rsidRDefault="002244FC">
      <w:pPr>
        <w:pStyle w:val="Heading6"/>
        <w:rPr>
          <w:color w:val="auto"/>
        </w:rPr>
      </w:pPr>
      <w:bookmarkStart w:id="57" w:name="_Toc121483201"/>
      <w:bookmarkStart w:id="58" w:name="_Toc238493936"/>
      <w:bookmarkStart w:id="59" w:name="_Toc238133543"/>
      <w:r>
        <w:rPr>
          <w:color w:val="auto"/>
        </w:rPr>
        <w:t xml:space="preserve">Table 2: </w:t>
      </w:r>
      <w:bookmarkEnd w:id="57"/>
      <w:r>
        <w:rPr>
          <w:color w:val="auto"/>
        </w:rPr>
        <w:t>PEO Framework</w:t>
      </w:r>
      <w:bookmarkEnd w:id="58"/>
      <w:bookmarkEnd w:id="59"/>
    </w:p>
    <w:p w14:paraId="5DCB5F09" w14:textId="77777777" w:rsidR="004A5CD4" w:rsidRDefault="002244FC">
      <w:pPr>
        <w:spacing w:before="120" w:after="120"/>
        <w:jc w:val="center"/>
        <w:rPr>
          <w:rFonts w:cs="Times New Roman"/>
          <w:iCs/>
          <w:szCs w:val="24"/>
        </w:rPr>
      </w:pPr>
      <w:r>
        <w:rPr>
          <w:rFonts w:cs="Times New Roman"/>
          <w:iCs/>
          <w:szCs w:val="24"/>
        </w:rPr>
        <w:t>(Source: Self-Developed)</w:t>
      </w:r>
    </w:p>
    <w:p w14:paraId="5E09D3A1" w14:textId="77777777" w:rsidR="004A5CD4" w:rsidRDefault="002244FC">
      <w:pPr>
        <w:pStyle w:val="pdq2pgselectionanchorcontainer"/>
        <w:spacing w:before="120" w:beforeAutospacing="0" w:after="120" w:afterAutospacing="0" w:line="360" w:lineRule="auto"/>
        <w:rPr>
          <w:rStyle w:val="Strong"/>
          <w:rFonts w:eastAsiaTheme="majorEastAsia"/>
        </w:rPr>
      </w:pPr>
      <w:r>
        <w:rPr>
          <w:rStyle w:val="Strong"/>
          <w:rFonts w:eastAsiaTheme="majorEastAsia"/>
        </w:rPr>
        <w:t>Search Question</w:t>
      </w:r>
    </w:p>
    <w:p w14:paraId="3A08AEE4" w14:textId="77777777" w:rsidR="004A5CD4" w:rsidRDefault="002244FC">
      <w:pPr>
        <w:pStyle w:val="pdq2pgselectionanchorcontainer"/>
        <w:spacing w:before="120" w:beforeAutospacing="0" w:after="120" w:afterAutospacing="0" w:line="360" w:lineRule="auto"/>
        <w:rPr>
          <w:b/>
        </w:rPr>
      </w:pPr>
      <w:r>
        <w:t>What are the adversities of racism at school and its impact on the mental health conditions of UK children?</w:t>
      </w:r>
    </w:p>
    <w:p w14:paraId="7A2A2DC7" w14:textId="77777777" w:rsidR="004A5CD4" w:rsidRDefault="002244FC">
      <w:pPr>
        <w:pStyle w:val="Heading2"/>
        <w:spacing w:before="120" w:after="120"/>
        <w:rPr>
          <w:rFonts w:cs="Times New Roman"/>
        </w:rPr>
      </w:pPr>
      <w:bookmarkStart w:id="60" w:name="_Toc236932141"/>
      <w:bookmarkStart w:id="61" w:name="_Toc237865752"/>
      <w:bookmarkStart w:id="62" w:name="_Toc238674279"/>
      <w:bookmarkStart w:id="63" w:name="_Toc119400979"/>
      <w:r>
        <w:rPr>
          <w:rFonts w:cs="Times New Roman"/>
        </w:rPr>
        <w:t>3.5 Key Words</w:t>
      </w:r>
      <w:bookmarkEnd w:id="60"/>
      <w:bookmarkEnd w:id="61"/>
      <w:bookmarkEnd w:id="62"/>
      <w:bookmarkEnd w:id="63"/>
      <w:r>
        <w:rPr>
          <w:rFonts w:cs="Times New Roman"/>
        </w:rPr>
        <w:t xml:space="preserve"> </w:t>
      </w:r>
    </w:p>
    <w:p w14:paraId="3F2B1A0A" w14:textId="77777777" w:rsidR="004A5CD4" w:rsidRDefault="002244FC">
      <w:pPr>
        <w:pStyle w:val="pdq2pgselectionanchorcontainer"/>
        <w:spacing w:before="120" w:beforeAutospacing="0" w:after="120" w:afterAutospacing="0" w:line="360" w:lineRule="auto"/>
      </w:pPr>
      <w:r>
        <w:t>The main terms that have been used in EDB databases for locating relevant studies are referred to as keywords. The use of well-defined keywords has enhanced the precision and effectiveness of conducting a database search and identified literature that is highly relevant to the research question (MacFarlane, Russell-Rose, and Shokrane, 2022). Cross-cutting terms and concepts employed in this review have included racial disparities, racial discrimination, racism, mental health, psychological wellbeing, children, adolescent/young people, anxiety, and depression (da Silva Paiva et al., 2023).</w:t>
      </w:r>
    </w:p>
    <w:p w14:paraId="7392B6F0" w14:textId="77777777" w:rsidR="004A5CD4" w:rsidRDefault="002244FC">
      <w:pPr>
        <w:pStyle w:val="Heading2"/>
        <w:spacing w:before="120" w:after="120"/>
        <w:rPr>
          <w:rFonts w:cs="Times New Roman"/>
          <w:szCs w:val="24"/>
        </w:rPr>
      </w:pPr>
      <w:bookmarkStart w:id="64" w:name="_Toc237865753"/>
      <w:bookmarkStart w:id="65" w:name="_Toc236932142"/>
      <w:bookmarkStart w:id="66" w:name="_Toc238674280"/>
      <w:r>
        <w:rPr>
          <w:rFonts w:cs="Times New Roman"/>
        </w:rPr>
        <w:t>3.6 Databases</w:t>
      </w:r>
      <w:bookmarkEnd w:id="64"/>
      <w:bookmarkEnd w:id="65"/>
      <w:bookmarkEnd w:id="66"/>
      <w:r>
        <w:rPr>
          <w:rFonts w:cs="Times New Roman"/>
        </w:rPr>
        <w:t xml:space="preserve"> </w:t>
      </w:r>
    </w:p>
    <w:p w14:paraId="5E811610" w14:textId="77777777" w:rsidR="004A5CD4" w:rsidRDefault="002244FC">
      <w:pPr>
        <w:spacing w:before="120" w:after="120"/>
        <w:rPr>
          <w:rFonts w:cs="Times New Roman"/>
        </w:rPr>
      </w:pPr>
      <w:r>
        <w:rPr>
          <w:rFonts w:cs="Times New Roman"/>
        </w:rPr>
        <w:t>For the health evidence database selection, PubMed and MEDLINE were used, for psychology research PsycINFO; for nursing, CINAHL; while Scopus and Web of Science provided broad multidisciplinary search (Mathew, 2024). Several databases minimized the chance to miss any literature. The Google Scholar search engine was used for citation check and did not contribute to systematic searches (Cooper et al., 2025).</w:t>
      </w:r>
    </w:p>
    <w:p w14:paraId="19384DD7" w14:textId="77777777" w:rsidR="004A5CD4" w:rsidRDefault="002244FC">
      <w:pPr>
        <w:pStyle w:val="Heading2"/>
        <w:spacing w:before="120" w:after="120"/>
        <w:rPr>
          <w:rFonts w:cs="Times New Roman"/>
        </w:rPr>
      </w:pPr>
      <w:bookmarkStart w:id="67" w:name="_Toc236932143"/>
      <w:bookmarkStart w:id="68" w:name="_Toc237865754"/>
      <w:bookmarkStart w:id="69" w:name="_Toc238674281"/>
      <w:r>
        <w:rPr>
          <w:rFonts w:cs="Times New Roman"/>
        </w:rPr>
        <w:t>3.7 Inclusion/Exclusion Criteria</w:t>
      </w:r>
      <w:bookmarkEnd w:id="67"/>
      <w:bookmarkEnd w:id="68"/>
      <w:bookmarkEnd w:id="69"/>
    </w:p>
    <w:p w14:paraId="200EE568" w14:textId="77777777" w:rsidR="004A5CD4" w:rsidRDefault="002244FC">
      <w:r>
        <w:t xml:space="preserve">Eligibility criteria were predefined to maintain a transparent and reproducible process (Tricco et al., 2022). Inclusion and exclusion criteria were paired by population, geography, study design, exposure, outcomes, publication type, language and publication period </w:t>
      </w:r>
      <w:r>
        <w:rPr>
          <w:rStyle w:val="Strong"/>
        </w:rPr>
        <w:t>(</w:t>
      </w:r>
      <w:r>
        <w:t xml:space="preserve">Scotti et al., </w:t>
      </w:r>
      <w:r>
        <w:rPr>
          <w:rStyle w:val="Strong"/>
          <w:b w:val="0"/>
        </w:rPr>
        <w:t>2025)</w:t>
      </w:r>
      <w:r>
        <w:t>.</w:t>
      </w:r>
    </w:p>
    <w:tbl>
      <w:tblPr>
        <w:tblStyle w:val="TableGrid"/>
        <w:tblW w:w="0" w:type="auto"/>
        <w:tblLook w:val="04A0" w:firstRow="1" w:lastRow="0" w:firstColumn="1" w:lastColumn="0" w:noHBand="0" w:noVBand="1"/>
      </w:tblPr>
      <w:tblGrid>
        <w:gridCol w:w="5524"/>
        <w:gridCol w:w="3492"/>
      </w:tblGrid>
      <w:tr w:rsidR="004A5CD4" w14:paraId="20228CBE" w14:textId="77777777">
        <w:trPr>
          <w:trHeight w:val="315"/>
        </w:trPr>
        <w:tc>
          <w:tcPr>
            <w:tcW w:w="5524" w:type="dxa"/>
            <w:noWrap/>
          </w:tcPr>
          <w:p w14:paraId="76839860" w14:textId="77777777" w:rsidR="004A5CD4" w:rsidRDefault="002244FC">
            <w:pPr>
              <w:rPr>
                <w:b/>
                <w:bCs/>
                <w:lang w:val="en-IN"/>
              </w:rPr>
            </w:pPr>
            <w:r>
              <w:rPr>
                <w:b/>
                <w:bCs/>
              </w:rPr>
              <w:t>Inclusion criteria</w:t>
            </w:r>
          </w:p>
        </w:tc>
        <w:tc>
          <w:tcPr>
            <w:tcW w:w="3492" w:type="dxa"/>
            <w:noWrap/>
          </w:tcPr>
          <w:p w14:paraId="317993A9" w14:textId="77777777" w:rsidR="004A5CD4" w:rsidRDefault="002244FC">
            <w:pPr>
              <w:rPr>
                <w:b/>
                <w:bCs/>
              </w:rPr>
            </w:pPr>
            <w:r>
              <w:rPr>
                <w:b/>
                <w:bCs/>
              </w:rPr>
              <w:t>Exclusion criteria</w:t>
            </w:r>
          </w:p>
        </w:tc>
      </w:tr>
      <w:tr w:rsidR="004A5CD4" w14:paraId="2E4DAC7F" w14:textId="77777777">
        <w:trPr>
          <w:trHeight w:val="450"/>
        </w:trPr>
        <w:tc>
          <w:tcPr>
            <w:tcW w:w="5524" w:type="dxa"/>
            <w:noWrap/>
          </w:tcPr>
          <w:p w14:paraId="687E2066" w14:textId="77777777" w:rsidR="004A5CD4" w:rsidRDefault="002244FC">
            <w:r>
              <w:t>Population: Children and young people under 18 years of age. Retrospective studies involving adults were also eligible where participants clearly reported racial discrimination or racism occurring during childhood or adolescence before the age of 18.</w:t>
            </w:r>
          </w:p>
        </w:tc>
        <w:tc>
          <w:tcPr>
            <w:tcW w:w="3492" w:type="dxa"/>
            <w:noWrap/>
          </w:tcPr>
          <w:p w14:paraId="49ADDEEB" w14:textId="77777777" w:rsidR="004A5CD4" w:rsidRDefault="002244FC">
            <w:r>
              <w:t>Population: Studies involving adults where the relevant racial exposure occurred at age 18 or older, or where experiences occurring before age 18 could not be separately identified.</w:t>
            </w:r>
          </w:p>
        </w:tc>
      </w:tr>
      <w:tr w:rsidR="004A5CD4" w14:paraId="26B532A9" w14:textId="77777777">
        <w:trPr>
          <w:trHeight w:val="315"/>
        </w:trPr>
        <w:tc>
          <w:tcPr>
            <w:tcW w:w="5524" w:type="dxa"/>
            <w:noWrap/>
          </w:tcPr>
          <w:p w14:paraId="74DF56C8" w14:textId="77777777" w:rsidR="004A5CD4" w:rsidRDefault="002244FC">
            <w:r>
              <w:t>Setting: Studies involving primary schools, secondary schools or other UK educational settings, or studies in which experiences of racism occurring during school education were explicitly examined.</w:t>
            </w:r>
          </w:p>
        </w:tc>
        <w:tc>
          <w:tcPr>
            <w:tcW w:w="3492" w:type="dxa"/>
            <w:noWrap/>
          </w:tcPr>
          <w:p w14:paraId="37111DE9" w14:textId="77777777" w:rsidR="004A5CD4" w:rsidRDefault="002244FC">
            <w:r>
              <w:t>Setting: Studies with no relevant school or educational context, where school-based experiences could not be identified.</w:t>
            </w:r>
          </w:p>
        </w:tc>
      </w:tr>
      <w:tr w:rsidR="004A5CD4" w14:paraId="4CBC766E" w14:textId="77777777">
        <w:trPr>
          <w:trHeight w:val="345"/>
        </w:trPr>
        <w:tc>
          <w:tcPr>
            <w:tcW w:w="5524" w:type="dxa"/>
            <w:noWrap/>
          </w:tcPr>
          <w:p w14:paraId="10654E05" w14:textId="77777777" w:rsidR="004A5CD4" w:rsidRDefault="002244FC">
            <w:r>
              <w:t>Design: original empirical qualitative, quantitative or mixed-methods studies.</w:t>
            </w:r>
          </w:p>
        </w:tc>
        <w:tc>
          <w:tcPr>
            <w:tcW w:w="3492" w:type="dxa"/>
            <w:noWrap/>
          </w:tcPr>
          <w:p w14:paraId="196EDA61" w14:textId="77777777" w:rsidR="004A5CD4" w:rsidRDefault="002244FC">
            <w:r>
              <w:t>Design: reviews, protocols, editorials, commentaries or non-empirical studies.</w:t>
            </w:r>
          </w:p>
        </w:tc>
      </w:tr>
      <w:tr w:rsidR="004A5CD4" w14:paraId="34E3A20F" w14:textId="77777777">
        <w:trPr>
          <w:trHeight w:val="420"/>
        </w:trPr>
        <w:tc>
          <w:tcPr>
            <w:tcW w:w="5524" w:type="dxa"/>
            <w:noWrap/>
          </w:tcPr>
          <w:p w14:paraId="751846D4" w14:textId="77777777" w:rsidR="004A5CD4" w:rsidRDefault="002244FC">
            <w:r>
              <w:t>Exposure: Studies examining school-based racism, racial discrimination, racial bullying, discriminatory treatment or institutional racism. Studies examining racial/ethnic inequalities were also eligible where these were directly relevant to children's mental-health outcomes; however, ethnic differences were not interpreted as direct evidence of racism unless discrimination was explicitly measured.</w:t>
            </w:r>
          </w:p>
        </w:tc>
        <w:tc>
          <w:tcPr>
            <w:tcW w:w="3492" w:type="dxa"/>
            <w:noWrap/>
          </w:tcPr>
          <w:p w14:paraId="3F62304C" w14:textId="77777777" w:rsidR="004A5CD4" w:rsidRDefault="002244FC">
            <w:r>
              <w:t>Exposure: Studies that did not examine racism, racial discrimination, racial/ethnic inequalities or another clearly relevant racial exposure.</w:t>
            </w:r>
          </w:p>
        </w:tc>
      </w:tr>
      <w:tr w:rsidR="004A5CD4" w14:paraId="229AD807" w14:textId="77777777">
        <w:trPr>
          <w:trHeight w:val="315"/>
        </w:trPr>
        <w:tc>
          <w:tcPr>
            <w:tcW w:w="5524" w:type="dxa"/>
            <w:noWrap/>
          </w:tcPr>
          <w:p w14:paraId="1BCCFA1C" w14:textId="77777777" w:rsidR="004A5CD4" w:rsidRDefault="002244FC">
            <w:r>
              <w:t>Outcomes: Studies reporting mental-health or psychological-wellbeing outcomes, including anxiety, depression, psychological distress, emotional wellbeing, self-esteem, self-harm, internalising or externalising difficulties, behavioural problems or overall mental wellbeing.</w:t>
            </w:r>
          </w:p>
        </w:tc>
        <w:tc>
          <w:tcPr>
            <w:tcW w:w="3492" w:type="dxa"/>
            <w:noWrap/>
          </w:tcPr>
          <w:p w14:paraId="21A3C3CA" w14:textId="77777777" w:rsidR="004A5CD4" w:rsidRDefault="002244FC">
            <w:r>
              <w:t>Outcomes: Studies reporting only physical health, academic attainment or other outcomes without a relevant mental-health or psychological-wellbeing outcome</w:t>
            </w:r>
          </w:p>
        </w:tc>
      </w:tr>
      <w:tr w:rsidR="004A5CD4" w14:paraId="7F6950FF" w14:textId="77777777">
        <w:trPr>
          <w:trHeight w:val="315"/>
        </w:trPr>
        <w:tc>
          <w:tcPr>
            <w:tcW w:w="5524" w:type="dxa"/>
            <w:noWrap/>
          </w:tcPr>
          <w:p w14:paraId="295E4E80" w14:textId="77777777" w:rsidR="004A5CD4" w:rsidRDefault="002244FC">
            <w:r>
              <w:t>Publication: peer-reviewed, full-text journal articles.</w:t>
            </w:r>
          </w:p>
        </w:tc>
        <w:tc>
          <w:tcPr>
            <w:tcW w:w="3492" w:type="dxa"/>
            <w:noWrap/>
          </w:tcPr>
          <w:p w14:paraId="21F642B1" w14:textId="77777777" w:rsidR="004A5CD4" w:rsidRDefault="002244FC">
            <w:r>
              <w:t>Publication: abstracts, dissertations, books, grey literature or unavailable full texts.</w:t>
            </w:r>
          </w:p>
        </w:tc>
      </w:tr>
      <w:tr w:rsidR="004A5CD4" w14:paraId="0AF5E592" w14:textId="77777777">
        <w:trPr>
          <w:trHeight w:val="315"/>
        </w:trPr>
        <w:tc>
          <w:tcPr>
            <w:tcW w:w="5524" w:type="dxa"/>
            <w:noWrap/>
          </w:tcPr>
          <w:p w14:paraId="06553888" w14:textId="77777777" w:rsidR="004A5CD4" w:rsidRDefault="002244FC">
            <w:r>
              <w:t>Language: English.</w:t>
            </w:r>
          </w:p>
        </w:tc>
        <w:tc>
          <w:tcPr>
            <w:tcW w:w="3492" w:type="dxa"/>
            <w:noWrap/>
          </w:tcPr>
          <w:p w14:paraId="0E66707B" w14:textId="77777777" w:rsidR="004A5CD4" w:rsidRDefault="002244FC">
            <w:r>
              <w:t>Language: non-English.</w:t>
            </w:r>
          </w:p>
        </w:tc>
      </w:tr>
      <w:tr w:rsidR="004A5CD4" w14:paraId="132A82EC" w14:textId="77777777">
        <w:trPr>
          <w:trHeight w:val="315"/>
        </w:trPr>
        <w:tc>
          <w:tcPr>
            <w:tcW w:w="5524" w:type="dxa"/>
            <w:noWrap/>
          </w:tcPr>
          <w:p w14:paraId="1674BF13" w14:textId="77777777" w:rsidR="004A5CD4" w:rsidRDefault="002244FC">
            <w:r>
              <w:t>Dates: Between January 2012 to June 2026.</w:t>
            </w:r>
          </w:p>
        </w:tc>
        <w:tc>
          <w:tcPr>
            <w:tcW w:w="3492" w:type="dxa"/>
            <w:noWrap/>
          </w:tcPr>
          <w:p w14:paraId="17D2F5C0" w14:textId="77777777" w:rsidR="004A5CD4" w:rsidRDefault="002244FC">
            <w:r>
              <w:t>Dates: before January 2012 or after June 2026.</w:t>
            </w:r>
          </w:p>
        </w:tc>
      </w:tr>
    </w:tbl>
    <w:p w14:paraId="60ED45BD" w14:textId="77777777" w:rsidR="004A5CD4" w:rsidRDefault="002244FC">
      <w:pPr>
        <w:pStyle w:val="Heading2"/>
        <w:spacing w:before="120" w:after="120"/>
        <w:rPr>
          <w:rFonts w:cs="Times New Roman"/>
        </w:rPr>
      </w:pPr>
      <w:bookmarkStart w:id="70" w:name="_Toc238674282"/>
      <w:bookmarkStart w:id="71" w:name="_Toc237865757"/>
      <w:bookmarkStart w:id="72" w:name="_Toc236932146"/>
      <w:r>
        <w:rPr>
          <w:rFonts w:cs="Times New Roman"/>
        </w:rPr>
        <w:t>3.8 Search Results</w:t>
      </w:r>
      <w:bookmarkEnd w:id="70"/>
      <w:bookmarkEnd w:id="71"/>
      <w:bookmarkEnd w:id="72"/>
    </w:p>
    <w:p w14:paraId="099951BC" w14:textId="77777777" w:rsidR="004A5CD4" w:rsidRDefault="002244FC">
      <w:r>
        <w:t xml:space="preserve">Study selection followed the PRISMA 2020 process. Searches identified 100 records across PubMed, MEDLINE, PsycINFO, CINAHL, Scopus and Web of Science, while Google Scholar was used for supplementary citation checking. After removing 15 duplicates, 85 records underwent title and abstract screening, of which 50 were excluded. Full texts were sought for 35 records, although two could not be retrieved. The remaining 33 full-text articles were assessed against the eligibility criteria. </w:t>
      </w:r>
      <w:r>
        <w:rPr>
          <w:lang w:val="en-IN"/>
        </w:rPr>
        <w:t>25</w:t>
      </w:r>
      <w:r>
        <w:t xml:space="preserve"> articles were excluded because they did not meet the required population, exposure, setting or mental-health outcome criteria. Consequently, </w:t>
      </w:r>
      <w:r>
        <w:rPr>
          <w:lang w:val="en-IN"/>
        </w:rPr>
        <w:t>8</w:t>
      </w:r>
      <w:r>
        <w:t xml:space="preserve"> studies fulfilled the eligibility criteria and were included in the final synthesis. </w:t>
      </w:r>
    </w:p>
    <w:p w14:paraId="59E14641"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2576" behindDoc="0" locked="0" layoutInCell="1" allowOverlap="1" wp14:anchorId="4D2EB268" wp14:editId="137F2038">
                <wp:simplePos x="0" y="0"/>
                <wp:positionH relativeFrom="column">
                  <wp:posOffset>544195</wp:posOffset>
                </wp:positionH>
                <wp:positionV relativeFrom="paragraph">
                  <wp:posOffset>125730</wp:posOffset>
                </wp:positionV>
                <wp:extent cx="4345305" cy="262890"/>
                <wp:effectExtent l="6350" t="6350" r="17145" b="10160"/>
                <wp:wrapNone/>
                <wp:docPr id="29" name="Flowchart: Alternate Process 29"/>
                <wp:cNvGraphicFramePr/>
                <a:graphic xmlns:a="http://schemas.openxmlformats.org/drawingml/2006/main">
                  <a:graphicData uri="http://schemas.microsoft.com/office/word/2010/wordprocessingShape">
                    <wps:wsp>
                      <wps:cNvSpPr/>
                      <wps:spPr>
                        <a:xfrm>
                          <a:off x="0" y="0"/>
                          <a:ext cx="4345305"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A9DFD54"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4D2EB26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2.85pt;margin-top:9.9pt;width:342.15pt;height:20.7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t92hRWAgAABAUAAA4AAABkcnMvZTJvRG9jLnhtbKxUTW/bMAy9D9h/EHRf7KRJ1wZ1iiBF&#13;&#10;hwHFWqwbdlZkKjYgS5rExMl+/Sj5I8VWDMOwHBRKFJ8eH0nf3B4bzQ7gQ21NwaeTnDMw0pa12RX8&#13;&#10;65f7d1ecBRSmFNoaKPgJAr9dvX1z07olzGxldQmeEYgJy9YVvEJ0yywLsoJGhIl1YMiprG8E0tbv&#13;&#10;stKLltAbnc3y/DJrrS+dtxJCoNO7zslXCV8pkPioVABkuuDEDdPq07pNa7a6EcudF66qZc9D/AON&#13;&#10;RtSGXh2h7gQKtvf1b1BNLb0NVuFE2iazStUSUhKUzjT/JZ3nSjhIyZA6wY06hf8HKz8dnt2TZ6RD&#13;&#10;68IykB3TOCrfxH8iyI5JqNNZLjgik3Q6v5gvLvIFZ5Kcs8vZ1TVJTEDZOd75gB/ANiwaBVfatptK&#13;&#10;eFxrBG8EwlNXu6SdODwE7AGGQEI780oWnjREatp8BsXqkojMUnhqGthozw6Cyi2kBIPzzlWJErrj&#13;&#10;RU6/geYYkkgnxAitaq1H8OmfwHu2fUCMhdR1Y3T+F9FjSHrbGhyjm9pY/xqCxumQg+oCBqE6eaJS&#13;&#10;eNweh7pubXmiKnvbTUBw8r6mijyIgE/CU8eTJDTG+EhLLFLBbW9xVln/47XzeJ8akbyctTRBBQ/f&#13;&#10;98IDZ/qjoRa9ns7ncebSZr54P6ONf+nZvvSYfbOxVDbKi9glM95HPZjK2+YbTfs6vkouYSS9XXCJ&#13;&#10;fthssBtt+l5IWK/TNRozJ/DBPDsZwaPExq73aFXd9VqUqpOnl5AmLbVD/1WIo/xyn26dP16rnwAA&#13;&#10;AP//AwBQSwMEFAAGAAgAAAAhACjRI7njAAAADgEAAA8AAABkcnMvZG93bnJldi54bWxMj8FOwzAM&#13;&#10;hu9IvENkJC4TS1uJdeuaTggERxhlD5A1Xtu1caom28qeHnOCiyX7t3//X76ZbC/OOPrWkYJ4HoFA&#13;&#10;qpxpqVaw+3p9WILwQZPRvSNU8I0eNsXtTa4z4y70iecy1IJNyGdaQRPCkEnpqwat9nM3ILF2cKPV&#13;&#10;gduxlmbUFza3vUyiaCGtbok/NHrA5warrjxZBeWsi6ud3c7er1FXvq3aj+R6lErd300vay5PaxAB&#13;&#10;p/B3Ab8MnB8KDrZ3JzJe9AqWjylv8nzFGKynacSAewWLOAEhi1z+xyh+AAAA//8DAFBLAQItABQA&#13;&#10;BgAIAAAAIQBaIpOj/wAAAOUBAAATAAAAAAAAAAAAAAAAAAAAAABbQ29udGVudF9UeXBlc10ueG1s&#13;&#10;UEsBAi0AFAAGAAgAAAAhAKdKzzjXAAAAlgEAAAsAAAAAAAAAAAAAAAAAMAEAAF9yZWxzLy5yZWxz&#13;&#10;UEsBAi0AFAAGAAgAAAAhAOt92hRWAgAABAUAAA4AAAAAAAAAAAAAAAAAMAIAAGRycy9lMm9Eb2Mu&#13;&#10;eG1sUEsBAi0AFAAGAAgAAAAhACjRI7njAAAADgEAAA8AAAAAAAAAAAAAAAAAsgQAAGRycy9kb3du&#13;&#10;cmV2LnhtbFBLBQYAAAAABAAEAPMAAADCBQAAAAA=&#13;&#10;" fillcolor="#ffc000 [3207]" strokecolor="#7f5f00 [1607]" strokeweight="1pt">
                <v:textbox>
                  <w:txbxContent>
                    <w:p w14:paraId="0A9DFD54"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Identification of studies via databases and registers</w:t>
                      </w:r>
                    </w:p>
                  </w:txbxContent>
                </v:textbox>
              </v:shape>
            </w:pict>
          </mc:Fallback>
        </mc:AlternateContent>
      </w:r>
    </w:p>
    <w:p w14:paraId="325104DB" w14:textId="77777777" w:rsidR="004A5CD4" w:rsidRDefault="004A5CD4">
      <w:pPr>
        <w:spacing w:after="0" w:line="240" w:lineRule="auto"/>
      </w:pPr>
    </w:p>
    <w:p w14:paraId="693405D8"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60288" behindDoc="0" locked="0" layoutInCell="1" allowOverlap="1" wp14:anchorId="0F03AF0E" wp14:editId="1B5F7418">
                <wp:simplePos x="0" y="0"/>
                <wp:positionH relativeFrom="column">
                  <wp:posOffset>3039110</wp:posOffset>
                </wp:positionH>
                <wp:positionV relativeFrom="paragraph">
                  <wp:posOffset>76835</wp:posOffset>
                </wp:positionV>
                <wp:extent cx="1887220" cy="1242695"/>
                <wp:effectExtent l="6350" t="6350" r="11430" b="8255"/>
                <wp:wrapNone/>
                <wp:docPr id="1852154609" name="Rectangle 1852154609"/>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E5BB8"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 xml:space="preserve">Records removed </w:t>
                            </w:r>
                            <w:r>
                              <w:rPr>
                                <w:rFonts w:cs="Arial"/>
                                <w:i/>
                                <w:iCs/>
                                <w:color w:val="000000" w:themeColor="text1"/>
                                <w:sz w:val="18"/>
                                <w:szCs w:val="20"/>
                              </w:rPr>
                              <w:t>before screening</w:t>
                            </w:r>
                            <w:r>
                              <w:rPr>
                                <w:rFonts w:cs="Arial"/>
                                <w:color w:val="000000" w:themeColor="text1"/>
                                <w:sz w:val="18"/>
                                <w:szCs w:val="20"/>
                              </w:rPr>
                              <w:t>:</w:t>
                            </w:r>
                          </w:p>
                          <w:p w14:paraId="0F01A5A5"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Duplicate records removed (n = 15)</w:t>
                            </w:r>
                          </w:p>
                          <w:p w14:paraId="4D3C71E6" w14:textId="77777777" w:rsidR="004A5CD4" w:rsidRDefault="004A5CD4">
                            <w:pPr>
                              <w:spacing w:after="0" w:line="240" w:lineRule="auto"/>
                              <w:ind w:left="284"/>
                              <w:rPr>
                                <w:rFonts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F03AF0E" id="Rectangle 1852154609" o:spid="_x0000_s1027" style="position:absolute;left:0;text-align:left;margin-left:239.3pt;margin-top:6.05pt;width:148.6pt;height:97.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005RFxAgAARAUAAA4AAABkcnMvZTJvRG9jLnhtbKxUTW/bMAy9D9h/EHRfHRvp2gR1iiBF&#13;&#10;hgHFWjQbdlZkqRYgi5qkxM5+/Sj5I8FW7DDMB1kSyUfyieTdfddochTOKzAlza9mlAjDoVLmtaTf&#13;&#10;vm4/3FLiAzMV02BESU/C0/vV+3d3rV2KAmrQlXAEQYxftrakdQh2mWWe16Jh/gqsMCiU4BoW8Ohe&#13;&#10;s8qxFtEbnRWz2cesBVdZB1x4j7cPvZCuEr6UgocnKb0IRJcUYwtpdWndpzVb3bHlq2O2VnyIg/1D&#13;&#10;GA1TBr1OUA8sMHJw6g+oRnEHHmS44tBkIKXiIiWB6eSz39LZ1cyKlAyy4+3Ek/9/sPzLcWefHUEe&#13;&#10;WuuXHvcxjU66Jv4xQNIlok5nukQXCMfb/Pb2piiQVo7CvJgXi8WCRqTsDGCdD58ENCRuSurwRRJP&#13;&#10;7Pjow6A76kSHBrZK6yhgS23i6kGrKl6mQywMsdGOHBk+aejy0eGFGrqPptk5obQLJy162Bchiaow&#13;&#10;gyLFkqrtDMo4Fybkvahmleh9Xc/wm7yNcaRktUHECC0xzAl8QBg1e5QRfEh9MIi2IpXrZD37W2iD&#13;&#10;9WSSfIMJk3WjDLi3EDQmNvruDUaienoiU6Hbd8gPvmlSjVd7qE5YJQ76DvKWbxU+6CPz4Zk57Bhk&#13;&#10;BsdAeMJFamhLCsOOkhrcz7fuoz4WMkopabEDS+p/HJgTlOjPBkt8kc/nsWfTYX59EyvNXUr2lxJz&#13;&#10;aDaAJYExY3RpG/WDHrfSQfMdp8U6ekURMxx9l5QHNx42oR8NOG+4WK+TGrapZeHR7CyP4JFpA+tD&#13;&#10;AKn6+j3TMzCJnZqqYpgqcRRcnpPWefitfgEAAP//AwBQSwMEFAAGAAgAAAAhAGUh2BblAAAAEAEA&#13;&#10;AA8AAABkcnMvZG93bnJldi54bWxMT01PwzAMvSPxHyIjcZlY2grWqWs6ISbQDmgSAw7c3MY0ZU1S&#13;&#10;NdlW/j3mBBfL1nt+H+V6sr040Rg67xSk8wQEucbrzrUK3l4fb5YgQkSnsfeOFHxTgHV1eVFiof3Z&#13;&#10;vdBpH1vBIi4UqMDEOBRShsaQxTD3AznGPv1oMfI5tlKPeGZx28ssSRbSYufYweBAD4aaw/5oFXxs&#13;&#10;p9h+pU/x+YCz99nW1M1uUyt1fTVtVjzuVyAiTfHvA347cH6oOFjtj04H0Su4zZcLpjKQpSCYkOd3&#13;&#10;XKhWkCU5L7Iq5f8i1Q8AAAD//wMAUEsBAi0AFAAGAAgAAAAhAFoik6P/AAAA5QEAABMAAAAAAAAA&#13;&#10;AAAAAAAAAAAAAFtDb250ZW50X1R5cGVzXS54bWxQSwECLQAUAAYACAAAACEAp0rPONcAAACWAQAA&#13;&#10;CwAAAAAAAAAAAAAAAAAwAQAAX3JlbHMvLnJlbHNQSwECLQAUAAYACAAAACEAXTTlEXECAABEBQAA&#13;&#10;DgAAAAAAAAAAAAAAAAAwAgAAZHJzL2Uyb0RvYy54bWxQSwECLQAUAAYACAAAACEAZSHYFuUAAAAQ&#13;&#10;AQAADwAAAAAAAAAAAAAAAADNBAAAZHJzL2Rvd25yZXYueG1sUEsFBgAAAAAEAAQA8wAAAN8FAAAA&#13;&#10;AA==&#13;&#10;" filled="f" strokecolor="black [3213]" strokeweight="1pt">
                <v:textbox>
                  <w:txbxContent>
                    <w:p w14:paraId="6FAE5BB8"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 xml:space="preserve">Records removed </w:t>
                      </w:r>
                      <w:r>
                        <w:rPr>
                          <w:rFonts w:cs="Arial"/>
                          <w:i/>
                          <w:iCs/>
                          <w:color w:val="000000" w:themeColor="text1"/>
                          <w:sz w:val="18"/>
                          <w:szCs w:val="20"/>
                        </w:rPr>
                        <w:t>before screening</w:t>
                      </w:r>
                      <w:r>
                        <w:rPr>
                          <w:rFonts w:cs="Arial"/>
                          <w:color w:val="000000" w:themeColor="text1"/>
                          <w:sz w:val="18"/>
                          <w:szCs w:val="20"/>
                        </w:rPr>
                        <w:t>:</w:t>
                      </w:r>
                    </w:p>
                    <w:p w14:paraId="0F01A5A5"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Duplicate records removed (n = 15)</w:t>
                      </w:r>
                    </w:p>
                    <w:p w14:paraId="4D3C71E6" w14:textId="77777777" w:rsidR="004A5CD4" w:rsidRDefault="004A5CD4">
                      <w:pPr>
                        <w:spacing w:after="0" w:line="240" w:lineRule="auto"/>
                        <w:ind w:left="284"/>
                        <w:rPr>
                          <w:rFonts w:cs="Arial"/>
                          <w:color w:val="000000" w:themeColor="text1"/>
                          <w:sz w:val="18"/>
                          <w:szCs w:val="20"/>
                        </w:rPr>
                      </w:pPr>
                    </w:p>
                  </w:txbxContent>
                </v:textbox>
              </v:rect>
            </w:pict>
          </mc:Fallback>
        </mc:AlternateContent>
      </w:r>
      <w:r>
        <w:rPr>
          <w:noProof/>
          <w:lang w:val="en-IN" w:eastAsia="en-IN" w:bidi="hi-IN"/>
        </w:rPr>
        <mc:AlternateContent>
          <mc:Choice Requires="wps">
            <w:drawing>
              <wp:anchor distT="0" distB="0" distL="114300" distR="114300" simplePos="0" relativeHeight="251659264" behindDoc="0" locked="0" layoutInCell="1" allowOverlap="1" wp14:anchorId="37F5858D" wp14:editId="61113AFA">
                <wp:simplePos x="0" y="0"/>
                <wp:positionH relativeFrom="column">
                  <wp:posOffset>559435</wp:posOffset>
                </wp:positionH>
                <wp:positionV relativeFrom="paragraph">
                  <wp:posOffset>76835</wp:posOffset>
                </wp:positionV>
                <wp:extent cx="1887220" cy="1243330"/>
                <wp:effectExtent l="6350" t="6350" r="11430" b="7620"/>
                <wp:wrapNone/>
                <wp:docPr id="101616901" name="Rectangle 10161690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483976"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Records identified from*:</w:t>
                            </w:r>
                          </w:p>
                          <w:p w14:paraId="31D12069"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Databases (n = 100)</w:t>
                            </w:r>
                          </w:p>
                          <w:p w14:paraId="3ED52CFE"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Registers (n =0)</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7F5858D" id="Rectangle 101616901" o:spid="_x0000_s1028" style="position:absolute;left:0;text-align:left;margin-left:44.05pt;margin-top:6.05pt;width:148.6pt;height:97.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sjM+pxAgAARAUAAA4AAABkcnMvZTJvRG9jLnhtbKxUTW/bMAy9D9h/EHRfHWfpmgVxiiBF&#13;&#10;hgHFWjQbdlZkKRYgi5qkxM5+/Sj5I8FW7DAsB4USyUfymeTyvq01OQnnFZiC5jcTSoThUCpzKOi3&#13;&#10;r9t3c0p8YKZkGowo6Fl4er96+2bZ2IWYQgW6FI4giPGLxha0CsEusszzStTM34AVBpUSXM0CXt0h&#13;&#10;Kx1rEL3W2XQy+ZA14ErrgAvv8fWhU9JVwpdS8PAkpReB6IJibiGdLp37dGarJVscHLOV4n0e7B/S&#13;&#10;qJkyGHWEemCBkaNTf0DVijvwIMMNhzoDKRUXqQgsJ5/8Vs6uYlakYpAdb0ee/P+D5V9OO/vsCPLQ&#13;&#10;WL/wKMcyWunq+I8JkjYRdb7QJdpAOL7m8/nddIq0clTm09n72/mMRqTsAmCdD58E1CQKBXX4RRJP&#13;&#10;7PToQ2872MSABrZK66hgC23i6UGrMj6mS2wMsdGOnBh+0tDmQ8ArMwwfXbNLQUkKZy062BchiSqx&#13;&#10;gmnKJXXbBZRxLkzIO1XFStHFup3gb4w25JGK1QYRI7TENEfwHmGw7FAG8L703iH6itSuo/fkb6n1&#13;&#10;3qNLig0mjN61MuBeQ9BY2BC7cxiI6uiJTIV23yI/kZ5oGp/2UJ6xSxx0E+Qt3yr8oI/Mh2fmcGKQ&#13;&#10;GVwD4QkPqaEpKPQSJRW4n6+9R3tsZNRS0uAEFtT/ODInKNGfDbb4x3w2izObLrPbu9hp7lqzv9aY&#13;&#10;Y70BbAksD7NLYrQPehClg/o7bot1jIoqZjjGLigPbrhsQrcacN9wsV4nMxxTy8Kj2VkewSPTBtbH&#13;&#10;AFJ1/Xuhp2cSJzV1Rb9V4iq4viery/Jb/QIAAP//AwBQSwMEFAAGAAgAAAAhAFnf7wPkAAAADwEA&#13;&#10;AA8AAABkcnMvZG93bnJldi54bWxMT01PwzAMvSPxHyIjcZlY2k5A6ZpOiAm0w4TEgAM3tzFNWZNU&#13;&#10;TbaVf485wcWW/ez3Ua4m24sjjaHzTkE6T0CQa7zuXKvg7fXxKgcRIjqNvXek4JsCrKrzsxIL7U/u&#13;&#10;hY672AomcaFABSbGoZAyNIYshrkfyDH26UeLkcexlXrEE5PbXmZJciMtdo4VDA70YKjZ7w5Wwcdm&#13;&#10;iu1X+hS3e5y9zzambp7XtVKXF9N6yeV+CSLSFP8+4DcD+4eKjdX+4HQQvYI8T/mS9xl3xhf59QJE&#13;&#10;rSBLbu9AyKqU/3NUPwAAAP//AwBQSwECLQAUAAYACAAAACEAWiKTo/8AAADlAQAAEwAAAAAAAAAA&#13;&#10;AAAAAAAAAAAAW0NvbnRlbnRfVHlwZXNdLnhtbFBLAQItABQABgAIAAAAIQCnSs841wAAAJYBAAAL&#13;&#10;AAAAAAAAAAAAAAAAADABAABfcmVscy8ucmVsc1BLAQItABQABgAIAAAAIQALIzPqcQIAAEQFAAAO&#13;&#10;AAAAAAAAAAAAAAAAADACAABkcnMvZTJvRG9jLnhtbFBLAQItABQABgAIAAAAIQBZ3+8D5AAAAA8B&#13;&#10;AAAPAAAAAAAAAAAAAAAAAM0EAABkcnMvZG93bnJldi54bWxQSwUGAAAAAAQABADzAAAA3gUAAAAA&#13;&#10;" filled="f" strokecolor="black [3213]" strokeweight="1pt">
                <v:textbox>
                  <w:txbxContent>
                    <w:p w14:paraId="14483976"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Records identified from*:</w:t>
                      </w:r>
                    </w:p>
                    <w:p w14:paraId="31D12069"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Databases (n = 100)</w:t>
                      </w:r>
                    </w:p>
                    <w:p w14:paraId="3ED52CFE"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Registers (n =0)</w:t>
                      </w:r>
                    </w:p>
                  </w:txbxContent>
                </v:textbox>
              </v:rect>
            </w:pict>
          </mc:Fallback>
        </mc:AlternateContent>
      </w:r>
    </w:p>
    <w:p w14:paraId="0BD129D5" w14:textId="77777777" w:rsidR="004A5CD4" w:rsidRDefault="004A5CD4">
      <w:pPr>
        <w:spacing w:after="0" w:line="240" w:lineRule="auto"/>
      </w:pPr>
    </w:p>
    <w:p w14:paraId="723E753E"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3600" behindDoc="0" locked="0" layoutInCell="1" allowOverlap="1" wp14:anchorId="6D1070F8" wp14:editId="2ACAC65E">
                <wp:simplePos x="0" y="0"/>
                <wp:positionH relativeFrom="column">
                  <wp:posOffset>-403225</wp:posOffset>
                </wp:positionH>
                <wp:positionV relativeFrom="paragraph">
                  <wp:posOffset>222250</wp:posOffset>
                </wp:positionV>
                <wp:extent cx="1276985" cy="262890"/>
                <wp:effectExtent l="6350" t="6350" r="10160" b="12065"/>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61958DB"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6D1070F8" id="Flowchart: Alternate Process 31" o:spid="_x0000_s1029" type="#_x0000_t176" style="position:absolute;left:0;text-align:left;margin-left:-31.75pt;margin-top:17.5pt;width:100.55pt;height:20.7pt;rotation:-90;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HatvWcAgAAzwUAAA4AAABkcnMvZTJvRG9jLnhtbKxU32/TMBB+R+J/sPzO0oS226qlU9Vp&#13;&#10;CGmwiYF4dh17seTYxr42KX89ZydNC2wgIfJg3Q/fd3dfznd13TWa7IQPypqS5mcTSoThtlLmqaRf&#13;&#10;Pt++uaAkADMV09aIku5FoNfL16+uWrcQha2troQnCGLConUlrQHcIssCr0XDwpl1wqBTWt8wQNU/&#13;&#10;ZZVnLaI3Oismk3nWWl85b7kIAa03vZMuE76UgsO9lEEA0SXF2iCdPp2bdGbLK7Z48szVig91sH8o&#13;&#10;o2HKYNYR6oYBI1uvfoNqFPc2WAln3DaZlVJxkZrAdvLJL+081syJ1AyyE9zIU/h/sPzj7tE9eII8&#13;&#10;tC4sAsqxjU76hniLfOVz5Bm/1B3WS7rE2/7InuiAcLTmxfn88mJGCUdnMS8uLpFxxM16uAjrfIB3&#13;&#10;wjYkCiWV2rbrmnlYaRDeMBAP/a9MydjuLsAAcAiMIMFqVd0qrZMSJ0WstSc7hv+YcS4MzFK83jYf&#13;&#10;bNXb56mFCMYWaMeh6O3T0Y5VpqmLWKnmn9Jo87fM0OWHbk8iETWGZkdukwR7LVIp5pOQRFXIXpFq&#13;&#10;Hks4bWfau2pWid48e7lqHREjtESCRvD8T+ADxUNAjBXp5YzR/b9/obQhegxJua2BMbpRxvrn8msY&#13;&#10;GZN9wIGonp7IFHSbDvkp6dtEbjRtbLXHgU3DiQMWHL9VOE13LMAD8/h40YgbCe7xiANWUjtIlNTW&#13;&#10;f3/OHu/jm0IvJS0ug5KGb1vmBSX6vcHXdplPp3F9JGU6Oy9Q8aeezanHbJu1xWHE9rC6JMb7oA+i&#13;&#10;9Lb5iotrFbOiixmOuUvKwR+UNfRbClcfF6tVuoYbwzG4M4+OR/DItLGrLVip+ndypGdgEpdGmuVh&#13;&#10;wcWtdKqnW8c9vPwBAAD//wMAUEsDBBQABgAIAAAAIQBFPvY64AAAAA8BAAAPAAAAZHJzL2Rvd25y&#13;&#10;ZXYueG1sTE/LTsMwELwj8Q/WInFrHUoa2jROhUD5AFoO5ebG2yQiXgfbTcLfs5zgstJoHjtT7Gfb&#13;&#10;ixF96BwpeFgmIJBqZzpqFLwfq8UGRIiajO4doYJvDLAvb28KnRs30RuOh9gIDqGQawVtjEMuZahb&#13;&#10;tDos3YDE3MV5qyND30jj9cThtperJMmk1R3xh1YP+NJi/Xm4WgXT0T9mJ/9RD1+0CWNvqyo9VUrd&#13;&#10;382vOz7POxAR5/jngN8N3B9KLnZ2VzJB9IyzlJUKFmm6BcGC9RPvOTOxzlYgZFnI/zvKHwAAAP//&#13;&#10;AwBQSwECLQAUAAYACAAAACEAWiKTo/8AAADlAQAAEwAAAAAAAAAAAAAAAAAAAAAAW0NvbnRlbnRf&#13;&#10;VHlwZXNdLnhtbFBLAQItABQABgAIAAAAIQCnSs841wAAAJYBAAALAAAAAAAAAAAAAAAAADABAABf&#13;&#10;cmVscy8ucmVsc1BLAQItABQABgAIAAAAIQDB2rb1nAIAAM8FAAAOAAAAAAAAAAAAAAAAADACAABk&#13;&#10;cnMvZTJvRG9jLnhtbFBLAQItABQABgAIAAAAIQBFPvY64AAAAA8BAAAPAAAAAAAAAAAAAAAAAPgE&#13;&#10;AABkcnMvZG93bnJldi54bWxQSwUGAAAAAAQABADzAAAABQYAAAAA&#13;&#10;" fillcolor="#8eaadb [1944]" strokecolor="black [3213]" strokeweight="1pt">
                <v:textbox>
                  <w:txbxContent>
                    <w:p w14:paraId="161958DB"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Identification</w:t>
                      </w:r>
                    </w:p>
                  </w:txbxContent>
                </v:textbox>
              </v:shape>
            </w:pict>
          </mc:Fallback>
        </mc:AlternateContent>
      </w:r>
    </w:p>
    <w:p w14:paraId="6124B373" w14:textId="77777777" w:rsidR="004A5CD4" w:rsidRDefault="004A5CD4">
      <w:pPr>
        <w:spacing w:after="0" w:line="240" w:lineRule="auto"/>
      </w:pPr>
    </w:p>
    <w:p w14:paraId="58051A38"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68480" behindDoc="0" locked="0" layoutInCell="1" allowOverlap="1" wp14:anchorId="4028C9C2" wp14:editId="77D0E77F">
                <wp:simplePos x="0" y="0"/>
                <wp:positionH relativeFrom="column">
                  <wp:posOffset>2453640</wp:posOffset>
                </wp:positionH>
                <wp:positionV relativeFrom="paragraph">
                  <wp:posOffset>9525</wp:posOffset>
                </wp:positionV>
                <wp:extent cx="563245" cy="0"/>
                <wp:effectExtent l="0" t="38100" r="8255" b="3810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3.2pt;margin-top:0.75pt;height:0pt;width:44.35pt;z-index:251668480;mso-width-relative:page;mso-height-relative:page;" filled="f" stroked="t" coordsize="21600,21600" o:gfxdata="UEsDBAoAAAAAAIdO4kAAAAAAAAAAAAAAAAAEAAAAZHJzL1BLAwQUAAAACACHTuJAkhYmjdMAAAAH&#10;AQAADwAAAGRycy9kb3ducmV2LnhtbE2OwU7DMBBE70j8g7VI3KgT0pYQ4vSAlBtCohTO23hJQuN1&#10;FLtp+XsWLnAcvdHMKzdnN6iZptB7NpAuElDEjbc9twZ2r/VNDipEZIuDZzLwRQE21eVFiYX1J36h&#10;eRtbJSMcCjTQxTgWWoemI4dh4UdiYR9+chglTq22E55k3A36NknW2mHP8tDhSI8dNYft0Rl4er7P&#10;d4d0nuu6ef/MJq4x02/GXF+lyQOoSOf4V4YffVGHSpz2/sg2qMFAlq+XUhWwAiV8ebdKQe1/s65K&#10;/d+/+gZQSwMEFAAAAAgAh07iQNgcjdrrAQAA5QMAAA4AAABkcnMvZTJvRG9jLnhtbK1Ty27bMBC8&#10;F+g/ELzXsp3GDQTLQWE3vRStgbQfsKYoiQBf2GUs+++7pBWnTS85VAeK5HJnd4bD9f3JWXHUSCb4&#10;Ri5mcym0V6E1vm/kr58PH+6koAS+BRu8buRZk7zfvH+3HmOtl2EIttUoGMRTPcZGDinFuqpIDdoB&#10;zULUnoNdQAeJl9hXLcLI6M5Wy/l8VY0B24hBaSLe3V2CckLEtwCGrjNK74J6ctqnCypqC4kp0WAi&#10;yU3ptuu0Sj+6jnQStpHMNJWRi/D8kMdqs4a6R4iDUVML8JYWXnFyYDwXvULtIIF4QvMPlDMKA4Uu&#10;zVRw1YVIUYRZLOavtHkcIOrChaWmeBWd/h+s+n7cozAtO+GjFB4c3/hjQjD9kMRnxDCKbfCedQwo&#10;+AjrNUaqOW3r9zitKO4xkz916PKfaYlT0fh81VifklC8ebu6WX5i9dVzqHrJi0jpqw5O5Ekjaerj&#10;2sCiSAzHb5S4Mic+J+SiPjwYa8t9Wi/GRq5ubnMdYI927A2eusg8yfdSgO3Z/CphQaRgTZuzMw5h&#10;f9haFEfIlilfZs3V/jqWS++Ahsu5ErqYyZnE78Ma18i7azbUCYz94luRzpElTmjA91ZPyNZzgazr&#10;Rck8O4T2XAQu+3z7pYXJqdlef65L9svr3Pw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khYmjdMA&#10;AAAHAQAADwAAAAAAAAABACAAAAAiAAAAZHJzL2Rvd25yZXYueG1sUEsBAhQAFAAAAAgAh07iQNgc&#10;jdrrAQAA5QMAAA4AAAAAAAAAAQAgAAAAIgEAAGRycy9lMm9Eb2MueG1sUEsFBgAAAAAGAAYAWQEA&#10;AH8FAAAAAA==&#10;">
                <v:fill on="f" focussize="0,0"/>
                <v:stroke weight="0.5pt" color="#000000 [3213]" miterlimit="8" joinstyle="miter" endarrow="block"/>
                <v:imagedata o:title=""/>
                <o:lock v:ext="edit" aspectratio="f"/>
              </v:shape>
            </w:pict>
          </mc:Fallback>
        </mc:AlternateContent>
      </w:r>
    </w:p>
    <w:p w14:paraId="56CBAF35" w14:textId="77777777" w:rsidR="004A5CD4" w:rsidRDefault="004A5CD4">
      <w:pPr>
        <w:spacing w:after="0" w:line="240" w:lineRule="auto"/>
      </w:pPr>
    </w:p>
    <w:p w14:paraId="5F0D6E6D" w14:textId="77777777" w:rsidR="004A5CD4" w:rsidRDefault="004A5CD4">
      <w:pPr>
        <w:spacing w:after="0" w:line="240" w:lineRule="auto"/>
      </w:pPr>
    </w:p>
    <w:p w14:paraId="21523433"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6672" behindDoc="0" locked="0" layoutInCell="1" allowOverlap="1" wp14:anchorId="244DF30B" wp14:editId="5D71A2DE">
                <wp:simplePos x="0" y="0"/>
                <wp:positionH relativeFrom="column">
                  <wp:posOffset>1400175</wp:posOffset>
                </wp:positionH>
                <wp:positionV relativeFrom="paragraph">
                  <wp:posOffset>128905</wp:posOffset>
                </wp:positionV>
                <wp:extent cx="0" cy="281305"/>
                <wp:effectExtent l="38100" t="0" r="38100" b="107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10.25pt;margin-top:10.15pt;height:22.15pt;width:0pt;z-index:251676672;mso-width-relative:page;mso-height-relative:page;" filled="f" stroked="t" coordsize="21600,21600" o:gfxdata="UEsDBAoAAAAAAIdO4kAAAAAAAAAAAAAAAAAEAAAAZHJzL1BLAwQUAAAACACHTuJAN6UVhNQAAAAJ&#10;AQAADwAAAGRycy9kb3ducmV2LnhtbE2PTU/DMAyG70j8h8hI3FjSFqpRmu6A1BtCYgzOXmPassap&#10;kqwb/54gDnDzx6PXj+vN2U5iIR9GxxqylQJB3Dkzcq9h99rerEGEiGxwckwavijAprm8qLEy7sQv&#10;tGxjL1IIhwo1DDHOlZShG8hiWLmZOO0+nLcYU+t7aTyeUridZK5UKS2OnC4MONPjQN1he7Qanp7v&#10;17tDtixt271/Fp5bLOSb1tdXmXoAEekc/2D40U/q0CSnvTuyCWLSkOfqLqGpUAWIBPwO9hrK2xJk&#10;U8v/HzTfUEsDBBQAAAAIAIdO4kCX0Zh56gEAAOUDAAAOAAAAZHJzL2Uyb0RvYy54bWytU01v2zAM&#10;vQ/YfxB0X5ykaFcYcYohWXcZtgDdfgAjy7YAfYFU4+Tfj5K9dOsuPcwHmaLIR74navNwdlacNJIJ&#10;vpGrxVIK7VVoje8b+fPH44d7KSiBb8EGrxt50SQftu/fbcZY63UYgm01CgbxVI+xkUNKsa4qUoN2&#10;QIsQtefDLqCDxFvsqxZhZHRnq/VyeVeNAduIQWki9u6nQzkj4lsAQ9cZpfdBPTvt04SK2kJiSjSY&#10;SHJbuu06rdL3riOdhG0kM01l5SJsH/NabTdQ9whxMGpuAd7SwitODoznoleoPSQQz2j+gXJGYaDQ&#10;pYUKrpqIFEWYxWr5SpunAaIuXFhqilfR6f/Bqm+nAwrTNnL9UQoPjm/8KSGYfkjiE2IYxS54zzoG&#10;FBzCeo2Rak7b+QPOO4oHzOTPHbr8Z1riXDS+XDXW5yTU5FTsXd+vbpa3Ga56yYtI6YsOTmSjkTT3&#10;cW1gVSSG01dKU+LvhFzUh0djLfuhtl6Mjby7ueVbVsAz2vFssOki8yTfSwG25+FXCQsiBWvanJ2T&#10;CfvjzqI4QR6Z8s1t/hWWS++BhimuHOUwqJ1J/D6scY28v2ZDncDYz74V6RJZ4oQGfG/1jGw965B1&#10;nZTM1jG0lyJw8fPtF6XmSc3j9ee+ZL+8zu0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N6UVhNQA&#10;AAAJAQAADwAAAAAAAAABACAAAAAiAAAAZHJzL2Rvd25yZXYueG1sUEsBAhQAFAAAAAgAh07iQJfR&#10;mHnqAQAA5QMAAA4AAAAAAAAAAQAgAAAAIwEAAGRycy9lMm9Eb2MueG1sUEsFBgAAAAAGAAYAWQEA&#10;AH8FAAAAAA==&#10;">
                <v:fill on="f" focussize="0,0"/>
                <v:stroke weight="0.5pt" color="#000000 [3213]" miterlimit="8" joinstyle="miter" endarrow="block"/>
                <v:imagedata o:title=""/>
                <o:lock v:ext="edit" aspectratio="f"/>
              </v:shape>
            </w:pict>
          </mc:Fallback>
        </mc:AlternateContent>
      </w:r>
    </w:p>
    <w:p w14:paraId="69A951E1" w14:textId="77777777" w:rsidR="004A5CD4" w:rsidRDefault="004A5CD4">
      <w:pPr>
        <w:spacing w:after="0" w:line="240" w:lineRule="auto"/>
      </w:pPr>
    </w:p>
    <w:p w14:paraId="1FB71E46"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69504" behindDoc="0" locked="0" layoutInCell="1" allowOverlap="1" wp14:anchorId="6B820F7D" wp14:editId="77991D60">
                <wp:simplePos x="0" y="0"/>
                <wp:positionH relativeFrom="column">
                  <wp:posOffset>2453640</wp:posOffset>
                </wp:positionH>
                <wp:positionV relativeFrom="paragraph">
                  <wp:posOffset>328295</wp:posOffset>
                </wp:positionV>
                <wp:extent cx="563245" cy="0"/>
                <wp:effectExtent l="0" t="38100" r="8255" b="3810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3.2pt;margin-top:25.85pt;height:0pt;width:44.35pt;z-index:251669504;mso-width-relative:page;mso-height-relative:page;" filled="f" stroked="t" coordsize="21600,21600" o:gfxdata="UEsDBAoAAAAAAIdO4kAAAAAAAAAAAAAAAAAEAAAAZHJzL1BLAwQUAAAACACHTuJAz39p/dYAAAAJ&#10;AQAADwAAAGRycy9kb3ducmV2LnhtbE2PTU/DMAyG70j8h8hI3Fgauo/SNd0BqTeExBicvcZryxqn&#10;arJu/HuCOLCj7Uevn7fYXGwvJhp951iDmiUgiGtnOm407N6rhwyED8gGe8ek4Zs8bMrbmwJz4878&#10;RtM2NCKGsM9RQxvCkEvp65Ys+pkbiOPt4EaLIY5jI82I5xhue/mYJEtpseP4ocWBnluqj9uT1fDy&#10;+pTtjmqaqqr+/EpHrjCVH1rf36lkDSLQJfzD8Ksf1aGMTnt3YuNFryHNlvOIalioFYgIzFcLBWL/&#10;t5BlIa8blD9QSwMEFAAAAAgAh07iQEfZ1X7rAQAA5QMAAA4AAABkcnMvZTJvRG9jLnhtbK1TTW/b&#10;MAy9D9h/EHRfnKRLUBhxiiFZdxm2Au1+ACPLtgB9gVTj5N+PktN06y49zAeZEsVHvkdqc3dyVhw1&#10;kgm+kYvZXArtVWiN7xv56+n+060UlMC3YIPXjTxrknfbjx82Y6z1MgzBthoFg3iqx9jIIaVYVxWp&#10;QTugWYjas7ML6CDxFvuqRRgZ3dlqOZ+vqzFgGzEoTcSn+8kpL4j4HsDQdUbpfVDPTvs0oaK2kJgS&#10;DSaS3JZqu06r9LPrSCdhG8lMU1k5CduHvFbbDdQ9QhyMupQA7ynhDScHxnPSK9QeEohnNP9AOaMw&#10;UOjSTAVXTUSKIsxiMX+jzeMAURcuLDXFq+j0/2DVj+MDCtPyJKyk8OC4448JwfRDEl8Qwyh2wXvW&#10;MaDgK6zXGKnmsJ1/wMuO4gNm8qcOXf4zLXEqGp+vGutTEooPV+ub5WdOpV5c1WtcRErfdHAiG42k&#10;Sx3XAhZFYjh+p8SZOfAlICf14d5YW/ppvRgbub5ZcZcV8Ix2PBtsusg8yfdSgO15+FXCgkjBmjZH&#10;ZxzC/rCzKI6QR6Z8mTVn++taTr0HGqZ7xTUNkzOJ34c1rpG312ioExj71bcinSNLnNCA762+IFvP&#10;CbKuk5LZOoT2XAQu59z9UsJlUvN4/bkv0a+vc/s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z39p&#10;/dYAAAAJAQAADwAAAAAAAAABACAAAAAiAAAAZHJzL2Rvd25yZXYueG1sUEsBAhQAFAAAAAgAh07i&#10;QEfZ1X7rAQAA5QMAAA4AAAAAAAAAAQAgAAAAJQEAAGRycy9lMm9Eb2MueG1sUEsFBgAAAAAGAAYA&#10;WQEAAIIFAAAAAA==&#10;">
                <v:fill on="f" focussize="0,0"/>
                <v:stroke weight="0.5pt" color="#000000 [3213]" miterlimit="8" joinstyle="miter" endarrow="block"/>
                <v:imagedata o:title=""/>
                <o:lock v:ext="edit" aspectratio="f"/>
              </v:shape>
            </w:pict>
          </mc:Fallback>
        </mc:AlternateContent>
      </w:r>
      <w:r>
        <w:rPr>
          <w:noProof/>
          <w:lang w:val="en-IN" w:eastAsia="en-IN" w:bidi="hi-IN"/>
        </w:rPr>
        <mc:AlternateContent>
          <mc:Choice Requires="wps">
            <w:drawing>
              <wp:anchor distT="0" distB="0" distL="114300" distR="114300" simplePos="0" relativeHeight="251661312" behindDoc="0" locked="0" layoutInCell="1" allowOverlap="1" wp14:anchorId="4808EC87" wp14:editId="1966CC3D">
                <wp:simplePos x="0" y="0"/>
                <wp:positionH relativeFrom="column">
                  <wp:posOffset>559435</wp:posOffset>
                </wp:positionH>
                <wp:positionV relativeFrom="paragraph">
                  <wp:posOffset>74930</wp:posOffset>
                </wp:positionV>
                <wp:extent cx="1887220" cy="526415"/>
                <wp:effectExtent l="6350" t="6350" r="11430" b="13335"/>
                <wp:wrapNone/>
                <wp:docPr id="1745243330" name="Rectangle 174524333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38D126"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Records screened</w:t>
                            </w:r>
                          </w:p>
                          <w:p w14:paraId="59BCA287"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85)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808EC87" id="Rectangle 1745243330" o:spid="_x0000_s1030" style="position:absolute;left:0;text-align:left;margin-left:44.05pt;margin-top:5.9pt;width:148.6pt;height:41.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2UjEJwAgAAQwUAAA4AAABkcnMvZTJvRG9jLnhtbKxUTW/bMAy9D9h/EHRfHAdJ2wV1iqBF&#13;&#10;hwHBWjQbdlZkqRYgi5qkxM5+/Sj5K9iKHYbloFAi+Ug+k7y9a2tNTsJ5Baag+WxOiTAcSmVeC/rt&#13;&#10;6+OHG0p8YKZkGowo6Fl4erd5/+62sWuxgAp0KRxBEOPXjS1oFYJdZ5nnlaiZn4EVBpUSXM0CXt1r&#13;&#10;VjrWIHqts8V8fpU14ErrgAvv8fWhU9JNwpdS8PAkpReB6IJibiGdLp2HdGabW7Z+dcxWivd5sH9I&#13;&#10;o2bKYNQR6oEFRo5O/QFVK+7AgwwzDnUGUiouUhFYTj7/rZx9xaxIxSA73o48+f8Hy7+c9vbZEeSh&#13;&#10;sX7tUY5ltNLV8R8TJG0i6jzRJdpAOL7mNzfXiwXSylG5Wlwt8xWNQNnkb50PnwTUJAoFdfhBEk3s&#13;&#10;tPOhtx1sYjwDj0rrqGBrbeLpQasyPqZL7Atxrx05Mfyioc2HgBdmGD66ZlM9SQpnLTrYFyGJKrGA&#13;&#10;RcolNdsEyjgXJuSdqmKl6GKt5vgbow15pGK1QcQILTHNEbxHGCw7lAG8L713iL4idevoPf9bar33&#13;&#10;6JJigwmjd60MuLcQNBY2xO4cBqI6eiJToT20yE9Bl8k0Ph2gPGOTOOgGyFv+qPCD7pgPz8zhwCAz&#13;&#10;uAXCEx5SQ1NQ6CVKKnA/33qP9tjHqKWkwQEsqP9xZE5Qoj8b7PCP+XIZRzZdlqvr2GjuUnO41Jhj&#13;&#10;fQ/YElgeZpfEaB/0IEoH9XdcFtsYFVXMcIxdUB7ccLkP3WbAdcPFdpvMcEotCzuztzyCR6YNbI8B&#13;&#10;pOr6d6KnZxIHNXVFv1TiJri8J6tp921+AQAA//8DAFBLAwQUAAYACAAAACEAUfneceUAAAAOAQAA&#13;&#10;DwAAAGRycy9kb3ducmV2LnhtbEyPQU/DMAyF70j8h8hIXKYtLYNRuqYTYgLtgJAYcODmNqYpa5Kq&#13;&#10;ybby72dOcLFkP/v5fcVqtJ040BBa7xSkswQEudrr1jUK3t8epxmIENFp7LwjBT8UYFWenxWYa390&#13;&#10;r3TYxkawiQs5KjAx9rmUoTZkMcx8T461Lz9YjNwOjdQDHtncdvIqSRbSYuv4g8GeHgzVu+3eKvjc&#13;&#10;jLH5Tp/i8w4nH5ONqeqXdaXU5cW4XnK5X4KINMa/C/hl4PxQcrDK750OolOQZSlv8jxlDNbn2c0c&#13;&#10;RKXg7voWhCwL+R+jPAEAAP//AwBQSwECLQAUAAYACAAAACEAWiKTo/8AAADlAQAAEwAAAAAAAAAA&#13;&#10;AAAAAAAAAAAAW0NvbnRlbnRfVHlwZXNdLnhtbFBLAQItABQABgAIAAAAIQCnSs841wAAAJYBAAAL&#13;&#10;AAAAAAAAAAAAAAAAADABAABfcmVscy8ucmVsc1BLAQItABQABgAIAAAAIQAdlIxCcAIAAEMFAAAO&#13;&#10;AAAAAAAAAAAAAAAAADACAABkcnMvZTJvRG9jLnhtbFBLAQItABQABgAIAAAAIQBR+d5x5QAAAA4B&#13;&#10;AAAPAAAAAAAAAAAAAAAAAMwEAABkcnMvZG93bnJldi54bWxQSwUGAAAAAAQABADzAAAA3gUAAAAA&#13;&#10;" filled="f" strokecolor="black [3213]" strokeweight="1pt">
                <v:textbox>
                  <w:txbxContent>
                    <w:p w14:paraId="7738D126"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Records screened</w:t>
                      </w:r>
                    </w:p>
                    <w:p w14:paraId="59BCA287"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85)</w:t>
                      </w:r>
                    </w:p>
                  </w:txbxContent>
                </v:textbox>
              </v:rect>
            </w:pict>
          </mc:Fallback>
        </mc:AlternateContent>
      </w:r>
      <w:r>
        <w:rPr>
          <w:noProof/>
          <w:lang w:val="en-IN" w:eastAsia="en-IN" w:bidi="hi-IN"/>
        </w:rPr>
        <mc:AlternateContent>
          <mc:Choice Requires="wps">
            <w:drawing>
              <wp:anchor distT="0" distB="0" distL="114300" distR="114300" simplePos="0" relativeHeight="251662336" behindDoc="0" locked="0" layoutInCell="1" allowOverlap="1" wp14:anchorId="17B607CB" wp14:editId="3D55C319">
                <wp:simplePos x="0" y="0"/>
                <wp:positionH relativeFrom="column">
                  <wp:posOffset>3048000</wp:posOffset>
                </wp:positionH>
                <wp:positionV relativeFrom="paragraph">
                  <wp:posOffset>74930</wp:posOffset>
                </wp:positionV>
                <wp:extent cx="1887220" cy="526415"/>
                <wp:effectExtent l="6350" t="6350" r="11430" b="133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BD504D"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Records excluded**</w:t>
                            </w:r>
                          </w:p>
                          <w:p w14:paraId="34BEA02C"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50)</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7B607CB" id="Rectangle 4" o:spid="_x0000_s1031" style="position:absolute;left:0;text-align:left;margin-left:240pt;margin-top:5.9pt;width:148.6pt;height:41.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II8yRwAgAAQwUAAA4AAABkcnMvZTJvRG9jLnhtbKxUTW/bMAy9D9h/EHRfHAdJ2wV1iqBF&#13;&#10;hwHBWjQbdlZkqRYgi5qkxM5+/Sj5K9iKHYb5IEsi+Ug+kby9a2tNTsJ5Baag+WxOiTAcSmVeC/rt&#13;&#10;6+OHG0p8YKZkGowo6Fl4erd5/+62sWuxgAp0KRxBEOPXjS1oFYJdZ5nnlaiZn4EVBoUSXM0CHt1r&#13;&#10;VjrWIHqts8V8fpU14ErrgAvv8fahE9JNwpdS8PAkpReB6IJibCGtLq2HtGabW7Z+dcxWivdxsH8I&#13;&#10;o2bKoNcR6oEFRo5O/QFVK+7AgwwzDnUGUiouUhKYTj7/LZ19xaxIySA73o48+f8Hy7+c9vbZEeSh&#13;&#10;sX7tcR/TaKWr4x8DJG0i6jzRJdpAON7mNzfXiwXSylG4Wlwt8xWNQNlkb50PnwTUJG4K6vBBEk3s&#13;&#10;tPOh1x10oj8Dj0rrKGBrbeLqQasyXqZDrAtxrx05MXzR0OaDwws1dB9NsymftAtnLTrYFyGJKjGB&#13;&#10;RYolFdsEyjgXJuSdqGKl6Hyt5viN3oY4UrLaIGKElhjmCN4jDJodygDep94bRFuRqnW0nv8ttN56&#13;&#10;NEm+wYTRulYG3FsIGhMbfHcGA1EdPZGp0B5a5AefNKnGqwOUZywSB10DecsfFT7ojvnwzBw2DDKD&#13;&#10;UyA84SI1NAWFfkdJBe7nW/dRH+sYpZQ02IAF9T+OzAlK9GeDFf4xXy5jy6bDcnUdC81dSg6XEnOs&#13;&#10;7wFLAtPD6NI26gc9bKWD+jsOi230iiJmOPouKA9uONyHbjLguOFiu01q2KWWhZ3ZWx7BI9MGtscA&#13;&#10;UnX1O9HTM4mNmqqiHypxElyek9Y0+za/AAAA//8DAFBLAwQUAAYACAAAACEALuAojOYAAAAPAQAA&#13;&#10;DwAAAGRycy9kb3ducmV2LnhtbEyPQUvDQBCF74L/YRnBS7GblGJqmk0Ri9KDFKztwdsku2Zjs7Mh&#13;&#10;u23jv3c86WVgeG/evK9Yja4TZzOE1pOCdJqAMFR73VKjYP/+fLcAESKSxs6TUfBtAqzK66sCc+0v&#13;&#10;9GbOu9gIDqGQowIbY59LGWprHIap7w2x9ukHh5HXoZF6wAuHu07OkuReOmyJP1jszZM19XF3cgo+&#13;&#10;NmNsvtKX+HrEyWGysVW9XVdK3d6M6yWPxyWIaMb4dwG/DNwfSi5W+RPpIDoF80XCQJGFlDnYkGXZ&#13;&#10;DESl4GGegZBlIf9zlD8AAAD//wMAUEsBAi0AFAAGAAgAAAAhAFoik6P/AAAA5QEAABMAAAAAAAAA&#13;&#10;AAAAAAAAAAAAAFtDb250ZW50X1R5cGVzXS54bWxQSwECLQAUAAYACAAAACEAp0rPONcAAACWAQAA&#13;&#10;CwAAAAAAAAAAAAAAAAAwAQAAX3JlbHMvLnJlbHNQSwECLQAUAAYACAAAACEAwgjzJHACAABDBQAA&#13;&#10;DgAAAAAAAAAAAAAAAAAwAgAAZHJzL2Uyb0RvYy54bWxQSwECLQAUAAYACAAAACEALuAojOYAAAAP&#13;&#10;AQAADwAAAAAAAAAAAAAAAADMBAAAZHJzL2Rvd25yZXYueG1sUEsFBgAAAAAEAAQA8wAAAN8FAAAA&#13;&#10;AA==&#13;&#10;" filled="f" strokecolor="black [3213]" strokeweight="1pt">
                <v:textbox>
                  <w:txbxContent>
                    <w:p w14:paraId="77BD504D"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Records excluded**</w:t>
                      </w:r>
                    </w:p>
                    <w:p w14:paraId="34BEA02C"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50)</w:t>
                      </w:r>
                    </w:p>
                  </w:txbxContent>
                </v:textbox>
              </v:rect>
            </w:pict>
          </mc:Fallback>
        </mc:AlternateContent>
      </w:r>
    </w:p>
    <w:p w14:paraId="4F112EBB" w14:textId="77777777" w:rsidR="004A5CD4" w:rsidRDefault="004A5CD4">
      <w:pPr>
        <w:spacing w:after="0" w:line="240" w:lineRule="auto"/>
      </w:pPr>
    </w:p>
    <w:p w14:paraId="613AAAD3" w14:textId="77777777" w:rsidR="004A5CD4" w:rsidRDefault="004A5CD4">
      <w:pPr>
        <w:spacing w:after="0" w:line="240" w:lineRule="auto"/>
      </w:pPr>
    </w:p>
    <w:p w14:paraId="22B85A43"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7696" behindDoc="0" locked="0" layoutInCell="1" allowOverlap="1" wp14:anchorId="1E2A7372" wp14:editId="5D9B9C54">
                <wp:simplePos x="0" y="0"/>
                <wp:positionH relativeFrom="column">
                  <wp:posOffset>1400175</wp:posOffset>
                </wp:positionH>
                <wp:positionV relativeFrom="paragraph">
                  <wp:posOffset>99695</wp:posOffset>
                </wp:positionV>
                <wp:extent cx="0" cy="281305"/>
                <wp:effectExtent l="38100" t="0" r="38100" b="107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10.25pt;margin-top:7.85pt;height:22.15pt;width:0pt;z-index:251677696;mso-width-relative:page;mso-height-relative:page;" filled="f" stroked="t" coordsize="21600,21600" o:gfxdata="UEsDBAoAAAAAAIdO4kAAAAAAAAAAAAAAAAAEAAAAZHJzL1BLAwQUAAAACACHTuJALVw/zNUAAAAJ&#10;AQAADwAAAGRycy9kb3ducmV2LnhtbE2PwU7DMAyG70i8Q2Qkbixpp43RNd0BqTeExBicvSZryxqn&#10;SrJuvD1GHNjR/j/9/lxuLm4Qkw2x96QhmykQlhpvemo17N7rhxWImJAMDp6shm8bYVPd3pRYGH+m&#10;NzttUyu4hGKBGrqUxkLK2HTWYZz50RJnBx8cJh5DK03AM5e7QeZKLaXDnvhCh6N97mxz3J6chpfX&#10;p9XumE1TXTefX/NANc7lh9b3d5lag0j2kv5h+NVndajYae9PZKIYNOS5WjDKweIRBAN/i72GpVIg&#10;q1Jef1D9AFBLAwQUAAAACACHTuJAjzvWK+oBAADlAwAADgAAAGRycy9lMm9Eb2MueG1srVNNb9sw&#10;DL0P2H8QdF+cD7QIjDjFkKy7DFuAbj+AkWVbgL5AqnHy70fJWbp2lx7mg0xR4iPfI7V5ODsrThrJ&#10;BN/IxWwuhfYqtMb3jfz18/HTWgpK4FuwwetGXjTJh+3HD5sx1noZhmBbjYJBPNVjbOSQUqyritSg&#10;HdAsRO35sAvoIPEW+6pFGBnd2Wo5n99XY8A2YlCaiL376VBeEfE9gKHrjNL7oJ6d9mlCRW0hMSUa&#10;TCS5LdV2nVbpR9eRTsI2kpmmsnISto95rbYbqHuEOBh1LQHeU8IbTg6M56Q3qD0kEM9o/oFyRmGg&#10;0KWZCq6aiBRFmMVi/kabpwGiLlxYaoo30en/warvpwMK0zZydSeFB8cdf0oIph+S+IwYRrEL3rOO&#10;AQVfYb3GSDWH7fwBrzuKB8zkzx26/Gda4lw0vtw01uck1ORU7F2uF6t5gate4iJS+qqDE9loJF3r&#10;uBWwKBLD6RslzsyBfwJyUh8ejbWln9aLsZH3qzvusgKe0Y5ng00XmSf5XgqwPQ+/SlgQKVjT5uiM&#10;Q9gfdxbFCfLIlC+z5myvruXUe6BhuleOpmFyJvH7sMY1cn2LhjqBsV98K9IlssQJDfje6iuy9Zwg&#10;6zopma1jaC9F4OLn7pcSrpOax+vvfYl+eZ3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C1cP8zV&#10;AAAACQEAAA8AAAAAAAAAAQAgAAAAIgAAAGRycy9kb3ducmV2LnhtbFBLAQIUABQAAAAIAIdO4kCP&#10;O9Yr6gEAAOUDAAAOAAAAAAAAAAEAIAAAACQBAABkcnMvZTJvRG9jLnhtbFBLBQYAAAAABgAGAFkB&#10;AACABQAAAAA=&#10;">
                <v:fill on="f" focussize="0,0"/>
                <v:stroke weight="0.5pt" color="#000000 [3213]" miterlimit="8" joinstyle="miter" endarrow="block"/>
                <v:imagedata o:title=""/>
                <o:lock v:ext="edit" aspectratio="f"/>
              </v:shape>
            </w:pict>
          </mc:Fallback>
        </mc:AlternateContent>
      </w:r>
    </w:p>
    <w:p w14:paraId="156B8E9D" w14:textId="77777777" w:rsidR="004A5CD4" w:rsidRDefault="004A5CD4">
      <w:pPr>
        <w:spacing w:after="0" w:line="240" w:lineRule="auto"/>
      </w:pPr>
    </w:p>
    <w:p w14:paraId="5A4AE172"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63360" behindDoc="0" locked="0" layoutInCell="1" allowOverlap="1" wp14:anchorId="35C91A08" wp14:editId="7EF884BC">
                <wp:simplePos x="0" y="0"/>
                <wp:positionH relativeFrom="column">
                  <wp:posOffset>560705</wp:posOffset>
                </wp:positionH>
                <wp:positionV relativeFrom="paragraph">
                  <wp:posOffset>47625</wp:posOffset>
                </wp:positionV>
                <wp:extent cx="1887220" cy="526415"/>
                <wp:effectExtent l="6350" t="6350" r="11430" b="133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E5CA54"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sought for retrieval</w:t>
                            </w:r>
                          </w:p>
                          <w:p w14:paraId="6B8FE097"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35)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5C91A08" id="Rectangle 5" o:spid="_x0000_s1032" style="position:absolute;left:0;text-align:left;margin-left:44.15pt;margin-top:3.75pt;width:148.6pt;height:41.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Otc45xAgAAQwUAAA4AAABkcnMvZTJvRG9jLnhtbKxUTW/bMAy9D9h/EHRfHAdJmgV1iqBF&#13;&#10;hwHBWjQbdlZkqRYgi5qkxM5+/Sj5I8FW7DAsB4USyUfymeTtXVtrchLOKzAFzSdTSoThUCrzWtBv&#13;&#10;Xx8/rCjxgZmSaTCioGfh6d3m/bvbxq7FDCrQpXAEQYxfN7agVQh2nWWeV6JmfgJWGFRKcDULeHWv&#13;&#10;WelYg+i1zmbT6TJrwJXWARfe4+tDp6SbhC+l4OFJSi8C0QXF3EI6XToP6cw2t2z96pitFO/zYP+Q&#13;&#10;Rs2Uwagj1AMLjByd+gOqVtyBBxkmHOoMpFRcpCKwnHz6Wzn7ilmRikF2vB158v8Pln857e2zI8hD&#13;&#10;Y/3aoxzLaKWr4z8mSNpE1PlCl2gD4fiar1Y3sxnSylG5mC3n+YJGoOzib50PnwTUJAoFdfhBEk3s&#13;&#10;tPOhtx1sYjwDj0rrqGBrbeLpQasyPqZL7Atxrx05Mfyioc2HgFdmGD66Zpd6khTOWnSwL0ISVWIB&#13;&#10;s5RLarYLKONcmJB3qoqVoou1mOJvjDbkkYrVBhEjtMQ0R/AeYbDsUAbwvvTeIfqK1K2j9/RvqfXe&#13;&#10;o0uKDSaM3rUy4N5C0FjYELtzGIjq6IlMhfbQIj8FXSbT+HSA8oxN4qAbIG/5o8IPumM+PDOHA4PM&#13;&#10;4BYIT3hIDU1BoZcoqcD9fOs92mMfo5aSBgewoP7HkTlBif5ssMM/5vN5HNl0mS9uYqO5a83hWmOO&#13;&#10;9T1gS2B5mF0So33Qgygd1N9xWWxjVFQxwzF2QXlww+U+dJsB1w0X220ywym1LOzM3vIIHpk2sD0G&#13;&#10;kKrr3ws9PZM4qKkr+qUSN8H1PVlddt/mFwAAAP//AwBQSwMEFAAGAAgAAAAhAJw+AwLjAAAADQEA&#13;&#10;AA8AAABkcnMvZG93bnJldi54bWxMT01PwzAMvSPxHyIjcZlYOsagdHUnxATaASEx4MAtbUxb1jhV&#13;&#10;k23l32NOcLFsvef3ka9G16kDDaH1jDCbJqCIK29brhHeXh8uUlAhGram80wI3xRgVZye5Caz/sgv&#13;&#10;dNjGWokIh8wgNDH2mdahasiZMPU9sWCffnAmyjnU2g7mKOKu05dJcq2daVkcGtPTfUPVbrt3CB+b&#13;&#10;MdZfs8f4tDOT98mmKavndYl4fjaulzLulqAijfHvA347SH4oJFjp92yD6hDSdC5MhJsFKIHn6UKW&#13;&#10;EuE2uQKli1z/b1H8AAAA//8DAFBLAQItABQABgAIAAAAIQBaIpOj/wAAAOUBAAATAAAAAAAAAAAA&#13;&#10;AAAAAAAAAABbQ29udGVudF9UeXBlc10ueG1sUEsBAi0AFAAGAAgAAAAhAKdKzzjXAAAAlgEAAAsA&#13;&#10;AAAAAAAAAAAAAAAAMAEAAF9yZWxzLy5yZWxzUEsBAi0AFAAGAAgAAAAhAKOtc45xAgAAQwUAAA4A&#13;&#10;AAAAAAAAAAAAAAAAMAIAAGRycy9lMm9Eb2MueG1sUEsBAi0AFAAGAAgAAAAhAJw+AwLjAAAADQEA&#13;&#10;AA8AAAAAAAAAAAAAAAAAzQQAAGRycy9kb3ducmV2LnhtbFBLBQYAAAAABAAEAPMAAADdBQAAAAA=&#13;&#10;" filled="f" strokecolor="black [3213]" strokeweight="1pt">
                <v:textbox>
                  <w:txbxContent>
                    <w:p w14:paraId="55E5CA54"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sought for retrieval</w:t>
                      </w:r>
                    </w:p>
                    <w:p w14:paraId="6B8FE097"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35)</w:t>
                      </w:r>
                    </w:p>
                  </w:txbxContent>
                </v:textbox>
              </v:rect>
            </w:pict>
          </mc:Fallback>
        </mc:AlternateContent>
      </w:r>
      <w:r>
        <w:rPr>
          <w:noProof/>
          <w:lang w:val="en-IN" w:eastAsia="en-IN" w:bidi="hi-IN"/>
        </w:rPr>
        <mc:AlternateContent>
          <mc:Choice Requires="wps">
            <w:drawing>
              <wp:anchor distT="0" distB="0" distL="114300" distR="114300" simplePos="0" relativeHeight="251670528" behindDoc="0" locked="0" layoutInCell="1" allowOverlap="1" wp14:anchorId="1F092CB7" wp14:editId="3E052B18">
                <wp:simplePos x="0" y="0"/>
                <wp:positionH relativeFrom="column">
                  <wp:posOffset>2463165</wp:posOffset>
                </wp:positionH>
                <wp:positionV relativeFrom="paragraph">
                  <wp:posOffset>320675</wp:posOffset>
                </wp:positionV>
                <wp:extent cx="563245" cy="0"/>
                <wp:effectExtent l="0" t="38100" r="8255" b="3810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3.95pt;margin-top:25.25pt;height:0pt;width:44.35pt;z-index:251670528;mso-width-relative:page;mso-height-relative:page;" filled="f" stroked="t" coordsize="21600,21600" o:gfxdata="UEsDBAoAAAAAAIdO4kAAAAAAAAAAAAAAAAAEAAAAZHJzL1BLAwQUAAAACACHTuJAWo//5tYAAAAJ&#10;AQAADwAAAGRycy9kb3ducmV2LnhtbE2PwU7DMAyG70i8Q2QkbiwpZV1Xmu6A1BtCYgzOXmPassap&#10;mqwbb08QB3a0/en395ebsx3ETJPvHWtIFgoEceNMz62G3Vt9l4PwAdng4Jg0fJOHTXV9VWJh3Ilf&#10;ad6GVsQQ9gVq6EIYCyl905FFv3Ajcbx9usliiOPUSjPhKYbbQd4rlUmLPccPHY701FFz2B6thueX&#10;db47JPNc183HVzpxjal81/r2JlGPIAKdwz8Mv/pRHarotHdHNl4MGtJ8tY6ohqVagojAwyrLQOz/&#10;FrIq5WWD6gdQSwMEFAAAAAgAh07iQIXpKT/sAQAA5QMAAA4AAABkcnMvZTJvRG9jLnhtbK1TTW/b&#10;MAy9D9h/EHRfnKRLUBhxiiFZdxm2Au1+ACPLtgB9gVTj5N+PktN06y49zAeZEsVHvkdqc3dyVhw1&#10;kgm+kYvZXArtVWiN7xv56+n+060UlMC3YIPXjTxrknfbjx82Y6z1MgzBthoFg3iqx9jIIaVYVxWp&#10;QTugWYjas7ML6CDxFvuqRRgZ3dlqOZ+vqzFgGzEoTcSn+8kpL4j4HsDQdUbpfVDPTvs0oaK2kJgS&#10;DSaS3JZqu06r9LPrSCdhG8lMU1k5CduHvFbbDdQ9QhyMupQA7ynhDScHxnPSK9QeEohnNP9AOaMw&#10;UOjSTAVXTUSKIsxiMX+jzeMAURcuLDXFq+j0/2DVj+MDCtPyJKyl8OC4448JwfRDEl8Qwyh2wXvW&#10;MaDgK6zXGKnmsJ1/wMuO4gNm8qcOXf4zLXEqGp+vGutTEooPV+ub5eeVFOrFVb3GRaT0TQcnstFI&#10;utRxLWBRJIbjd0qcmQNfAnJSH+6NtaWf1ouxkeubFXdZAc9ox7PBpovMk3wvBdieh18lLIgUrGlz&#10;dMYh7A87i+IIeWTKl1lztr+u5dR7oGG6V1zTMDmT+H1Y4xp5e42GOoGxX30r0jmyxAkN+N7qC7L1&#10;nCDrOimZrUNoz0Xgcs7dLyVcJjWP15/7Ev36Or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qP&#10;/+bWAAAACQEAAA8AAAAAAAAAAQAgAAAAIgAAAGRycy9kb3ducmV2LnhtbFBLAQIUABQAAAAIAIdO&#10;4kCF6Sk/7AEAAOUDAAAOAAAAAAAAAAEAIAAAACUBAABkcnMvZTJvRG9jLnhtbFBLBQYAAAAABgAG&#10;AFkBAACDBQAAAAA=&#10;">
                <v:fill on="f" focussize="0,0"/>
                <v:stroke weight="0.5pt" color="#000000 [3213]" miterlimit="8" joinstyle="miter" endarrow="block"/>
                <v:imagedata o:title=""/>
                <o:lock v:ext="edit" aspectratio="f"/>
              </v:shape>
            </w:pict>
          </mc:Fallback>
        </mc:AlternateContent>
      </w:r>
      <w:r>
        <w:rPr>
          <w:noProof/>
          <w:lang w:val="en-IN" w:eastAsia="en-IN" w:bidi="hi-IN"/>
        </w:rPr>
        <mc:AlternateContent>
          <mc:Choice Requires="wps">
            <w:drawing>
              <wp:anchor distT="0" distB="0" distL="114300" distR="114300" simplePos="0" relativeHeight="251664384" behindDoc="0" locked="0" layoutInCell="1" allowOverlap="1" wp14:anchorId="6752FD8D" wp14:editId="75D5EF26">
                <wp:simplePos x="0" y="0"/>
                <wp:positionH relativeFrom="column">
                  <wp:posOffset>3049270</wp:posOffset>
                </wp:positionH>
                <wp:positionV relativeFrom="paragraph">
                  <wp:posOffset>66675</wp:posOffset>
                </wp:positionV>
                <wp:extent cx="1887220" cy="526415"/>
                <wp:effectExtent l="6350" t="6350" r="11430" b="133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357C8D"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not retrieved</w:t>
                            </w:r>
                          </w:p>
                          <w:p w14:paraId="63F7F5E7"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752FD8D" id="Rectangle 6" o:spid="_x0000_s1033" style="position:absolute;left:0;text-align:left;margin-left:240.1pt;margin-top:5.25pt;width:148.6pt;height:41.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xDOhxAgAAQwUAAA4AAABkcnMvZTJvRG9jLnhtbKxUTW/bMAy9D9h/EHRfHAdJkwV1iqBF&#13;&#10;hwHBWjQbdlZkqRYgi5qkxM5+/Sj5I8FW7DAsB4USyUfymeTtXVtrchLOKzAFzSdTSoThUCrzWtBv&#13;&#10;Xx8/rCjxgZmSaTCioGfh6d3m/bvbxq7FDCrQpXAEQYxfN7agVQh2nWWeV6JmfgJWGFRKcDULeHWv&#13;&#10;WelYg+i1zmbT6U3WgCutAy68x9eHTkk3CV9KwcOTlF4EoguKuYV0unQe0pltbtn61TFbKd7nwf4h&#13;&#10;jZopg1FHqAcWGDk69QdUrbgDDzJMONQZSKm4SEVgOfn0t3L2FbMiFYPseDvy5P8fLP9y2ttnR5CH&#13;&#10;xvq1RzmW0UpXx39MkLSJqPOFLtEGwvE1X62WsxnSylG5mN3M8wWNQNnF3zofPgmoSRQK6vCDJJrY&#13;&#10;aedDbzvYxHgGHpXWUcHW2sTTg1ZlfEyX2BfiXjtyYvhFQ5sPAa/MMHx0zS71JCmctehgX4QkqsQC&#13;&#10;ZimX1GwXUMa5MCHvVBUrRRdrMcXfGG3IIxWrDSJGaIlpjuA9wmDZoQzgfem9Q/QVqVtH7+nfUuu9&#13;&#10;R5cUG0wYvWtlwL2FoLGwIXbnMBDV0ROZCu2hRX4Kukym8ekA5RmbxEE3QN7yR4UfdMd8eGYOBwaZ&#13;&#10;wS0QnvCQGpqCQi9RUoH7+dZ7tMc+Ri0lDQ5gQf2PI3OCEv3ZYId/zOfzOLLpMl8sY6O5a83hWmOO&#13;&#10;9T1gS2B5mF0So33Qgygd1N9xWWxjVFQxwzF2QXlww+U+dJsB1w0X220ywym1LOzM3vIIHpk2sD0G&#13;&#10;kKrr3ws9PZM4qKkr+qUSN8H1PVlddt/mFwAAAP//AwBQSwMEFAAGAAgAAAAhABdiCmzlAAAADwEA&#13;&#10;AA8AAABkcnMvZG93bnJldi54bWxMT01PwzAMvSPxHyIjcZm2ZGOso2s6ISbQDgiJAQdubmPasiap&#13;&#10;mmwr/37mBBdb1nt+H9l6sK04Uh8a7zRMJwoEudKbxlUa3t8ex0sQIaIz2HpHGn4owDq/vMgwNf7k&#13;&#10;Xum4i5VgERdS1FDH2KVShrImi2HiO3KMffneYuSzr6Tp8cTitpUzpRbSYuPYocaOHmoq97uD1fC5&#13;&#10;HWL1PX2Kz3scfYy2dVG+bAqtr6+GzYrH/QpEpCH+fcBvB84POQcr/MGZIFoN86WaMZUBdQuCCUmS&#13;&#10;zEEUGu5ueMs8k/975GcAAAD//wMAUEsBAi0AFAAGAAgAAAAhAFoik6P/AAAA5QEAABMAAAAAAAAA&#13;&#10;AAAAAAAAAAAAAFtDb250ZW50X1R5cGVzXS54bWxQSwECLQAUAAYACAAAACEAp0rPONcAAACWAQAA&#13;&#10;CwAAAAAAAAAAAAAAAAAwAQAAX3JlbHMvLnJlbHNQSwECLQAUAAYACAAAACEAfDEM6HECAABDBQAA&#13;&#10;DgAAAAAAAAAAAAAAAAAwAgAAZHJzL2Uyb0RvYy54bWxQSwECLQAUAAYACAAAACEAF2IKbOUAAAAP&#13;&#10;AQAADwAAAAAAAAAAAAAAAADNBAAAZHJzL2Rvd25yZXYueG1sUEsFBgAAAAAEAAQA8wAAAN8FAAAA&#13;&#10;AA==&#13;&#10;" filled="f" strokecolor="black [3213]" strokeweight="1pt">
                <v:textbox>
                  <w:txbxContent>
                    <w:p w14:paraId="09357C8D"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not retrieved</w:t>
                      </w:r>
                    </w:p>
                    <w:p w14:paraId="63F7F5E7"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2)</w:t>
                      </w:r>
                    </w:p>
                  </w:txbxContent>
                </v:textbox>
              </v:rect>
            </w:pict>
          </mc:Fallback>
        </mc:AlternateContent>
      </w:r>
    </w:p>
    <w:p w14:paraId="05B7A60A" w14:textId="77777777" w:rsidR="004A5CD4" w:rsidRDefault="004A5CD4">
      <w:pPr>
        <w:spacing w:after="0" w:line="240" w:lineRule="auto"/>
      </w:pPr>
    </w:p>
    <w:p w14:paraId="71697604"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4624" behindDoc="0" locked="0" layoutInCell="1" allowOverlap="1" wp14:anchorId="2B447858" wp14:editId="7CC9A540">
                <wp:simplePos x="0" y="0"/>
                <wp:positionH relativeFrom="column">
                  <wp:posOffset>-1160780</wp:posOffset>
                </wp:positionH>
                <wp:positionV relativeFrom="paragraph">
                  <wp:posOffset>140335</wp:posOffset>
                </wp:positionV>
                <wp:extent cx="2787650" cy="262890"/>
                <wp:effectExtent l="6350" t="6350" r="10160" b="12700"/>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0BC2F79"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Screening</w:t>
                            </w:r>
                          </w:p>
                          <w:p w14:paraId="2E76207B" w14:textId="77777777" w:rsidR="004A5CD4" w:rsidRDefault="004A5CD4">
                            <w:pPr>
                              <w:spacing w:after="0" w:line="240" w:lineRule="auto"/>
                              <w:rPr>
                                <w:rFonts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2B447858" id="Flowchart: Alternate Process 32" o:spid="_x0000_s1034" type="#_x0000_t176" style="position:absolute;left:0;text-align:left;margin-left:-91.4pt;margin-top:11.05pt;width:219.5pt;height:20.7pt;rotation:-90;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RZrxieAgAAzwUAAA4AAABkcnMvZTJvRG9jLnhtbKxU32/TMBB+R+J/sPzO0nZtt1VLp6rT&#13;&#10;ENJg0wbi2XXsJZLjM/a1SfnrOTtpVmADCZEH6374vrv7cr7Lq7Y2bKd8qMDmfHwy4kxZCUVln3L+&#13;&#10;5fPNu3POAgpbCANW5XyvAr9avn1z2biFmkAJplCeEYgNi8blvER0iywLslS1CCfglCWnBl8LJNU/&#13;&#10;ZYUXDaHXJpuMRvOsAV84D1KFQNbrzsmXCV9rJfFO66CQmZxTbZhOn85NOrPlpVg8eeHKSvZ1iH8o&#13;&#10;oxaVpawD1LVAwba++g2qrqSHABpPJNQZaF1JlZqgdsajX9p5LIVTqRliJ7iBp/D/YOWn3aO794x4&#13;&#10;aFxYBJJjG632NfNAfI3nxDN9qTuql7WJt/0ze6pFJsk6OTs/Oz2dcSbJOZlPzi+IccLNOrgI63zA&#13;&#10;9wpqFoWcawPNuhQeVwaVtwLVffcrUzKxuw3YAxwCI0gAUxU3lTFJiZOi1saznaB/LKRUFmcp3mzr&#13;&#10;j1B09nlqIYKJBdlpKDr7dLBTlWnqIlaq+ac0xv4tM7bjQ7dHkYQaQ7NnbpOEe6NSKfZBaVYVkb1U&#13;&#10;81DCcTvTzlWKQnXm2etVm4gYoTURNICP/wTeU9wHxFiVXs4Q3f37V0rro4eQlBssDtF1ZcG/lN/g&#13;&#10;wJjuAg5EdfREprDdtMRPzmmP9CO6gWJPA5uGkwYsOHlT0TTdioD3wtPjJSNtJLyjIw5YzqGXOCvB&#13;&#10;f3/JHu/TmyIvZw0tg5yHb1vhFWfmg6XXdjGeTuP6SMp0djYhxR97Nsceu63XQMNI7VF1SYz30RxE&#13;&#10;7aH+SotrFbOSS1hJuXMu0R+UNXZbilafVKtVukYbwwm8tY9ORvDItIXVFkFX3TuJjHX09EzS0kiz&#13;&#10;3C+4uJWO9XTreQ8vfwAAAP//AwBQSwMEFAAGAAgAAAAhAFQ6PZnjAAAAEAEAAA8AAABkcnMvZG93&#13;&#10;bnJldi54bWxMj8FOwzAQRO9I/IO1lbi1TtPiVGmcCoHyAbQ9lJsbmyRqvA62m4S/ZznBZaXRzs7O&#13;&#10;Kw6z7dlofOgcSlivEmAGa6c7bCScT9VyByxEhVr1Do2EbxPgUD4+FCrXbsJ3Mx5jwygEQ64ktDEO&#13;&#10;Oeehbo1VYeUGg7T7dN6qSNI3XHs1UbjteZokglvVIX1o1WBeW1PfjncrYTr5jbj4j3r4wl0Ye1tV&#13;&#10;20sl5dNiftvTeNkDi2aOfxfwy0D9oaRiV3dHHVhPWhBPlLBcZyIDRo7nbAvsKiEV6QYYLwv+H6T8&#13;&#10;AQAA//8DAFBLAQItABQABgAIAAAAIQBaIpOj/wAAAOUBAAATAAAAAAAAAAAAAAAAAAAAAABbQ29u&#13;&#10;dGVudF9UeXBlc10ueG1sUEsBAi0AFAAGAAgAAAAhAKdKzzjXAAAAlgEAAAsAAAAAAAAAAAAAAAAA&#13;&#10;MAEAAF9yZWxzLy5yZWxzUEsBAi0AFAAGAAgAAAAhAPRZrxieAgAAzwUAAA4AAAAAAAAAAAAAAAAA&#13;&#10;MAIAAGRycy9lMm9Eb2MueG1sUEsBAi0AFAAGAAgAAAAhAFQ6PZnjAAAAEAEAAA8AAAAAAAAAAAAA&#13;&#10;AAAA+gQAAGRycy9kb3ducmV2LnhtbFBLBQYAAAAABAAEAPMAAAAKBgAAAAA=&#13;&#10;" fillcolor="#8eaadb [1944]" strokecolor="black [3213]" strokeweight="1pt">
                <v:textbox>
                  <w:txbxContent>
                    <w:p w14:paraId="60BC2F79"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Screening</w:t>
                      </w:r>
                    </w:p>
                    <w:p w14:paraId="2E76207B" w14:textId="77777777" w:rsidR="004A5CD4" w:rsidRDefault="004A5CD4">
                      <w:pPr>
                        <w:spacing w:after="0" w:line="240" w:lineRule="auto"/>
                        <w:rPr>
                          <w:rFonts w:cs="Arial"/>
                          <w:b/>
                          <w:color w:val="000000" w:themeColor="text1"/>
                          <w:sz w:val="18"/>
                          <w:szCs w:val="18"/>
                        </w:rPr>
                      </w:pPr>
                    </w:p>
                  </w:txbxContent>
                </v:textbox>
              </v:shape>
            </w:pict>
          </mc:Fallback>
        </mc:AlternateContent>
      </w:r>
    </w:p>
    <w:p w14:paraId="75E173FB"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8720" behindDoc="0" locked="0" layoutInCell="1" allowOverlap="1" wp14:anchorId="5ED58DEC" wp14:editId="41B2725F">
                <wp:simplePos x="0" y="0"/>
                <wp:positionH relativeFrom="column">
                  <wp:posOffset>1409700</wp:posOffset>
                </wp:positionH>
                <wp:positionV relativeFrom="paragraph">
                  <wp:posOffset>56515</wp:posOffset>
                </wp:positionV>
                <wp:extent cx="0" cy="281305"/>
                <wp:effectExtent l="38100" t="0" r="38100" b="107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11pt;margin-top:4.45pt;height:22.15pt;width:0pt;z-index:251678720;mso-width-relative:page;mso-height-relative:page;" filled="f" stroked="t" coordsize="21600,21600" o:gfxdata="UEsDBAoAAAAAAIdO4kAAAAAAAAAAAAAAAAAEAAAAZHJzL1BLAwQUAAAACACHTuJApFNZt9QAAAAI&#10;AQAADwAAAGRycy9kb3ducmV2LnhtbE2PwU7DMBBE70j8g7VI3KgTR6A0xOkBKTeERGk5b+MlCY3X&#10;ke2m5e8x4gDH0Yxm3tSbi53EQj6MjjXkqwwEcefMyL2G3Vt7V4IIEdng5Jg0fFGATXN9VWNl3Jlf&#10;adnGXqQSDhVqGGKcKylDN5DFsHIzcfI+nLcYk/S9NB7PqdxOUmXZg7Q4cloYcKangbrj9mQ1PL+s&#10;y90xX5a27d4/C88tFnKv9e1Nnj2CiHSJf2H4wU/o0CSmgzuxCWLSoJRKX6KGcg0i+b/6oOG+UCCb&#10;Wv4/0HwDUEsDBBQAAAAIAIdO4kBNCypq6gEAAOUDAAAOAAAAZHJzL2Uyb0RvYy54bWytU01v2zAM&#10;vQ/YfxB0X5w0aBAYdYohWXcZtgDdfgAry7YAfYFU4+Tfj5K9dO0uPcwHmaLIR74n6u7+7Kw4aSQT&#10;fCNXi6UU2qvQGt838tfPh09bKSiBb8EGrxt50STvdx8/3I2x1jdhCLbVKBjEUz3GRg4pxbqqSA3a&#10;AS1C1J4Pu4AOEm+xr1qEkdGdrW6Wy001BmwjBqWJ2HuYDuWMiO8BDF1nlD4E9ey0TxMqaguJKdFg&#10;Isld6bbrtEo/uo50EraRzDSVlYuw/ZTXancHdY8QB6PmFuA9Lbzh5MB4LnqFOkAC8YzmHyhnFAYK&#10;XVqo4KqJSFGEWayWb7R5HCDqwoWlpngVnf4frPp+OqIwbSPXGyk8OL7xx4Rg+iGJz4hhFPvgPesY&#10;UHAI6zVGqjlt74847ygeMZM/d+jyn2mJc9H4ctVYn5NQk1Ox92a7Wi9vM1z1kheR0lcdnMhGI2nu&#10;49rAqkgMp2+UpsQ/CbmoDw/GWvZDbb0YG7lZ3/ItK+AZ7Xg22HSReZLvpQDb8/CrhAWRgjVtzs7J&#10;hP3T3qI4QR6Z8s1tvgrLpQ9AwxRXjnIY1M4kfh/WuEZur9lQJzD2i29FukSWOKEB31s9I1vPOmRd&#10;JyWz9RTaSxG4+Pn2i1LzpObx+ntfsl9e5+4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FNZt9QA&#10;AAAIAQAADwAAAAAAAAABACAAAAAiAAAAZHJzL2Rvd25yZXYueG1sUEsBAhQAFAAAAAgAh07iQE0L&#10;KmrqAQAA5QMAAA4AAAAAAAAAAQAgAAAAIwEAAGRycy9lMm9Eb2MueG1sUEsFBgAAAAAGAAYAWQEA&#10;AH8FAAAAAA==&#10;">
                <v:fill on="f" focussize="0,0"/>
                <v:stroke weight="0.5pt" color="#000000 [3213]" miterlimit="8" joinstyle="miter" endarrow="block"/>
                <v:imagedata o:title=""/>
                <o:lock v:ext="edit" aspectratio="f"/>
              </v:shape>
            </w:pict>
          </mc:Fallback>
        </mc:AlternateContent>
      </w:r>
    </w:p>
    <w:p w14:paraId="652B600A" w14:textId="77777777" w:rsidR="004A5CD4" w:rsidRDefault="004A5CD4">
      <w:pPr>
        <w:spacing w:after="0" w:line="240" w:lineRule="auto"/>
      </w:pPr>
    </w:p>
    <w:p w14:paraId="4C104336"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1552" behindDoc="0" locked="0" layoutInCell="1" allowOverlap="1" wp14:anchorId="75DA85F8" wp14:editId="5B5264AB">
                <wp:simplePos x="0" y="0"/>
                <wp:positionH relativeFrom="column">
                  <wp:posOffset>2476500</wp:posOffset>
                </wp:positionH>
                <wp:positionV relativeFrom="paragraph">
                  <wp:posOffset>294640</wp:posOffset>
                </wp:positionV>
                <wp:extent cx="563245" cy="0"/>
                <wp:effectExtent l="0" t="38100" r="8255" b="3810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5pt;margin-top:23.2pt;height:0pt;width:44.35pt;z-index:251671552;mso-width-relative:page;mso-height-relative:page;" filled="f" stroked="t" coordsize="21600,21600" o:gfxdata="UEsDBAoAAAAAAIdO4kAAAAAAAAAAAAAAAAAEAAAAZHJzL1BLAwQUAAAACACHTuJA3wiQ49YAAAAJ&#10;AQAADwAAAGRycy9kb3ducmV2LnhtbE2PwU7DMBBE70j8g7VI3KgdErVpGqcHpNwQEqVw3sZLkjZe&#10;R7Gblr/HiAMcZ2c0+6bcXu0gZpp871hDslAgiBtnem417N/qhxyED8gGB8ek4Ys8bKvbmxIL4y78&#10;SvMutCKWsC9QQxfCWEjpm44s+oUbiaP36SaLIcqplWbCSyy3g3xUaikt9hw/dDjSU0fNaXe2Gp5f&#10;1vn+lMxzXTcfx3TiGlP5rvX9XaI2IAJdw18YfvAjOlSR6eDObLwYNKRrFbcEDdkyAxED2SpfgTj8&#10;HmRVyv8Lqm9QSwMEFAAAAAgAh07iQAQErbbsAQAA5QMAAA4AAABkcnMvZTJvRG9jLnhtbK1TTW/b&#10;MAy9D9h/EHRfnKRLVhhxiiFZdxm2At1+ACPLtgB9gVTj5N+PUtx06y49zAeZEsVHvkdqc3dyVhw1&#10;kgm+kYvZXArtVWiN7xv56+f9h1spKIFvwQavG3nWJO+2799txljrZRiCbTUKBvFUj7GRQ0qxripS&#10;g3ZAsxC1Z2cX0EHiLfZVizAyurPVcj5fV2PANmJQmohP9xennBDxLYCh64zS+6CenPbpgoraQmJK&#10;NJhIcluq7Tqt0o+uI52EbSQzTWXlJGwf8lptN1D3CHEwaioB3lLCK04OjOekV6g9JBBPaP6BckZh&#10;oNClmQquuhApijCLxfyVNo8DRF24sNQUr6LT/4NV348PKEzLk/BJCg+OO/6YEEw/JPEZMYxiF7xn&#10;HQMKvsJ6jZFqDtv5B5x2FB8wkz916PKfaYlT0fh81VifklB8uFrfLD+upFDPruolLiKlrzo4kY1G&#10;0lTHtYBFkRiO3yhxZg58DshJfbg31pZ+Wi/GRq5vVtxlBTyjHc8Gmy4yT/K9FGB7Hn6VsCBSsKbN&#10;0RmHsD/sLIoj5JEpX2bN2f66llPvgYbLveK6DJMzid+HNa6Rt9doqBMY+8W3Ip0jS5zQgO+tnpCt&#10;5wRZ14uS2TqE9lwELufc/VLCNKl5vP7cl+iX17n9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N8I&#10;kOPWAAAACQEAAA8AAAAAAAAAAQAgAAAAIgAAAGRycy9kb3ducmV2LnhtbFBLAQIUABQAAAAIAIdO&#10;4kAEBK227AEAAOUDAAAOAAAAAAAAAAEAIAAAACUBAABkcnMvZTJvRG9jLnhtbFBLBQYAAAAABgAG&#10;AFkBAACDBQAAAAA=&#10;">
                <v:fill on="f" focussize="0,0"/>
                <v:stroke weight="0.5pt" color="#000000 [3213]" miterlimit="8" joinstyle="miter" endarrow="block"/>
                <v:imagedata o:title=""/>
                <o:lock v:ext="edit" aspectratio="f"/>
              </v:shape>
            </w:pict>
          </mc:Fallback>
        </mc:AlternateContent>
      </w:r>
      <w:r>
        <w:rPr>
          <w:noProof/>
          <w:lang w:val="en-IN" w:eastAsia="en-IN" w:bidi="hi-IN"/>
        </w:rPr>
        <mc:AlternateContent>
          <mc:Choice Requires="wps">
            <w:drawing>
              <wp:anchor distT="0" distB="0" distL="114300" distR="114300" simplePos="0" relativeHeight="251665408" behindDoc="0" locked="0" layoutInCell="1" allowOverlap="1" wp14:anchorId="02ECCB6B" wp14:editId="51446C6F">
                <wp:simplePos x="0" y="0"/>
                <wp:positionH relativeFrom="column">
                  <wp:posOffset>561975</wp:posOffset>
                </wp:positionH>
                <wp:positionV relativeFrom="paragraph">
                  <wp:posOffset>13335</wp:posOffset>
                </wp:positionV>
                <wp:extent cx="1887220" cy="526415"/>
                <wp:effectExtent l="6350" t="6350" r="11430" b="133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90653E"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assessed for eligibility</w:t>
                            </w:r>
                          </w:p>
                          <w:p w14:paraId="4688D570"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33)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2ECCB6B" id="Rectangle 8" o:spid="_x0000_s1035" style="position:absolute;left:0;text-align:left;margin-left:44.25pt;margin-top:1.05pt;width:148.6pt;height:41.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XYuNwAgAAQwUAAA4AAABkcnMvZTJvRG9jLnhtbKxUS2/bMAy+D9h/EHRfHAdJH0GdImjR&#13;&#10;YUCwFsuGnRVZqgXIoiYpsbNfP0p+BVuxw7AcFEokP5KfSd7dt7UmJ+G8AlPQfDanRBgOpTKvBf32&#13;&#10;9enDDSU+MFMyDUYU9Cw8vd+8f3fX2LVYQAW6FI4giPHrxha0CsGus8zzStTMz8AKg0oJrmYBr+41&#13;&#10;Kx1rEL3W2WI+v8oacKV1wIX3+PrYKekm4UspeHiW0otAdEExt5BOl85DOrPNHVu/OmYrxfs82D+k&#13;&#10;UTNlMOoI9cgCI0en/oCqFXfgQYYZhzoDKRUXqQgsJ5//Vs6+YlakYpAdb0ee/P+D5Z9Pe/viCPLQ&#13;&#10;WL/2KMcyWunq+I8JkjYRdZ7oEm0gHF/zm5vrxQJp5ahcLa6W+YpGoGzyt86HjwJqEoWCOvwgiSZ2&#13;&#10;2vnQ2w42MZ6BJ6V1VLC1NvH0oFUZH9Ml9oV40I6cGH7R0OZDwAszDB9ds6meJIWzFh3sFyGJKrGA&#13;&#10;RcolNdsEyjgXJuSdqmKl6GKt5vgbow15pGK1QcQILTHNEbxHGCw7lAG8L713iL4idevoPf9bar33&#13;&#10;6JJigwmjd60MuLcQNBY2xO4cBqI6eiJToT20yE9Bb5NpfDpAecYmcdANkLf8SeEH3TEfXpjDgUFm&#13;&#10;cAuEZzykhqag0EuUVOB+vvUe7bGPUUtJgwNYUP/jyJygRH8y2OG3+XIZRzZdlqvr2GjuUnO41Jhj&#13;&#10;/QDYElgeZpfEaB/0IEoH9XdcFtsYFVXMcIxdUB7ccHkI3WbAdcPFdpvMcEotCzuztzyCR6YNbI8B&#13;&#10;pOr6d6KnZxIHNXVFv1TiJri8J6tp921+AQAA//8DAFBLAwQUAAYACAAAACEAQAsVkeQAAAANAQAA&#13;&#10;DwAAAGRycy9kb3ducmV2LnhtbEyPQU/DMAyF70j8h8hIXCaWdqhQdU0nxATaASExtgM3tzFNWZNU&#13;&#10;TbaVf485wcWS/ezn95WryfbiRGPovFOQzhMQ5BqvO9cq2L0/3eQgQkSnsfeOFHxTgFV1eVFiof3Z&#13;&#10;vdFpG1vBJi4UqMDEOBRShsaQxTD3AznWPv1oMXI7tlKPeGZz28tFktxJi53jDwYHejTUHLZHq+Bj&#13;&#10;M8X2K32OLwec7WcbUzev61qp66tpveTysAQRaYp/F/DLwPmh4mC1PzodRK8gzzPeVLBIQbB8m2f3&#13;&#10;IGqeZ8wpq1L+p6h+AAAA//8DAFBLAQItABQABgAIAAAAIQBaIpOj/wAAAOUBAAATAAAAAAAAAAAA&#13;&#10;AAAAAAAAAABbQ29udGVudF9UeXBlc10ueG1sUEsBAi0AFAAGAAgAAAAhAKdKzzjXAAAAlgEAAAsA&#13;&#10;AAAAAAAAAAAAAAAAMAEAAF9yZWxzLy5yZWxzUEsBAi0AFAAGAAgAAAAhAIWXYuNwAgAAQwUAAA4A&#13;&#10;AAAAAAAAAAAAAAAAMAIAAGRycy9lMm9Eb2MueG1sUEsBAi0AFAAGAAgAAAAhAEALFZHkAAAADQEA&#13;&#10;AA8AAAAAAAAAAAAAAAAAzAQAAGRycy9kb3ducmV2LnhtbFBLBQYAAAAABAAEAPMAAADdBQAAAAA=&#13;&#10;" filled="f" strokecolor="black [3213]" strokeweight="1pt">
                <v:textbox>
                  <w:txbxContent>
                    <w:p w14:paraId="2890653E"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assessed for eligibility</w:t>
                      </w:r>
                    </w:p>
                    <w:p w14:paraId="4688D570"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(n = 33)</w:t>
                      </w:r>
                    </w:p>
                  </w:txbxContent>
                </v:textbox>
              </v:rect>
            </w:pict>
          </mc:Fallback>
        </mc:AlternateContent>
      </w:r>
      <w:r>
        <w:rPr>
          <w:noProof/>
          <w:lang w:val="en-IN" w:eastAsia="en-IN" w:bidi="hi-IN"/>
        </w:rPr>
        <mc:AlternateContent>
          <mc:Choice Requires="wps">
            <w:drawing>
              <wp:anchor distT="0" distB="0" distL="114300" distR="114300" simplePos="0" relativeHeight="251666432" behindDoc="0" locked="0" layoutInCell="1" allowOverlap="1" wp14:anchorId="4900D0BE" wp14:editId="3F54E184">
                <wp:simplePos x="0" y="0"/>
                <wp:positionH relativeFrom="column">
                  <wp:posOffset>3057525</wp:posOffset>
                </wp:positionH>
                <wp:positionV relativeFrom="paragraph">
                  <wp:posOffset>10795</wp:posOffset>
                </wp:positionV>
                <wp:extent cx="1887220" cy="1133475"/>
                <wp:effectExtent l="6350" t="6350" r="11430" b="158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7325C9"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excluded:</w:t>
                            </w:r>
                          </w:p>
                          <w:p w14:paraId="587D5E9E"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Reason 1</w:t>
                            </w:r>
                            <w:r>
                              <w:rPr>
                                <w:rFonts w:cs="Arial"/>
                                <w:color w:val="000000" w:themeColor="text1"/>
                                <w:sz w:val="18"/>
                                <w:szCs w:val="20"/>
                                <w:lang w:val="en-IN"/>
                              </w:rPr>
                              <w:t>: Not relevant to the research topic</w:t>
                            </w:r>
                            <w:r>
                              <w:rPr>
                                <w:rFonts w:cs="Arial"/>
                                <w:color w:val="000000" w:themeColor="text1"/>
                                <w:sz w:val="18"/>
                                <w:szCs w:val="20"/>
                              </w:rPr>
                              <w:t xml:space="preserve"> (n = 10)</w:t>
                            </w:r>
                          </w:p>
                          <w:p w14:paraId="5CA3C1FE"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Reason 2</w:t>
                            </w:r>
                            <w:r>
                              <w:rPr>
                                <w:rFonts w:cs="Arial"/>
                                <w:color w:val="000000" w:themeColor="text1"/>
                                <w:sz w:val="18"/>
                                <w:szCs w:val="20"/>
                                <w:lang w:val="en-IN"/>
                              </w:rPr>
                              <w:t>: Paid papers or abstract-only</w:t>
                            </w:r>
                            <w:r>
                              <w:rPr>
                                <w:rFonts w:cs="Arial"/>
                                <w:color w:val="000000" w:themeColor="text1"/>
                                <w:sz w:val="18"/>
                                <w:szCs w:val="20"/>
                              </w:rPr>
                              <w:t xml:space="preserve"> (n = 9)</w:t>
                            </w:r>
                          </w:p>
                          <w:p w14:paraId="11560B03"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Reason 3</w:t>
                            </w:r>
                            <w:r>
                              <w:rPr>
                                <w:rFonts w:cs="Arial"/>
                                <w:color w:val="000000" w:themeColor="text1"/>
                                <w:sz w:val="18"/>
                                <w:szCs w:val="20"/>
                                <w:lang w:val="en-IN"/>
                              </w:rPr>
                              <w:t>: Did not meet the inclusion criteria</w:t>
                            </w:r>
                            <w:r>
                              <w:rPr>
                                <w:rFonts w:cs="Arial"/>
                                <w:color w:val="000000" w:themeColor="text1"/>
                                <w:sz w:val="18"/>
                                <w:szCs w:val="20"/>
                              </w:rPr>
                              <w:t xml:space="preserve"> (n = </w:t>
                            </w:r>
                            <w:r>
                              <w:rPr>
                                <w:rFonts w:cs="Arial"/>
                                <w:color w:val="000000" w:themeColor="text1"/>
                                <w:sz w:val="18"/>
                                <w:szCs w:val="20"/>
                                <w:lang w:val="en-IN"/>
                              </w:rPr>
                              <w:t>6</w:t>
                            </w:r>
                            <w:r>
                              <w:rPr>
                                <w:rFonts w:cs="Arial"/>
                                <w:color w:val="000000" w:themeColor="text1"/>
                                <w:sz w:val="18"/>
                                <w:szCs w:val="20"/>
                              </w:rPr>
                              <w:t>)</w:t>
                            </w:r>
                          </w:p>
                          <w:p w14:paraId="2CF12E7C" w14:textId="77777777" w:rsidR="004A5CD4" w:rsidRDefault="004A5CD4">
                            <w:pPr>
                              <w:spacing w:after="0" w:line="240" w:lineRule="auto"/>
                              <w:ind w:left="284"/>
                              <w:rPr>
                                <w:rFonts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900D0BE" id="Rectangle 9" o:spid="_x0000_s1036" style="position:absolute;left:0;text-align:left;margin-left:240.75pt;margin-top:.85pt;width:148.6pt;height:8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8LTP5yAgAARQUAAA4AAABkcnMvZTJvRG9jLnhtbKxUTW/bMAy9D9h/EHRfHKfJ2gVxiiBF&#13;&#10;hgHFWqwbdlZkKRYgi5qkxM5+/Sj5I8FW7DDMB5kSyUfyieLqvq01OQnnFZiC5pMpJcJwKJU5FPTb&#13;&#10;1927O0p8YKZkGowo6Fl4er9++2bV2KWYQQW6FI4giPHLxha0CsEus8zzStTMT8AKg0oJrmYBt+6Q&#13;&#10;lY41iF7rbDadvs8acKV1wIX3ePrQKek64UspeHiS0otAdEExt5BWl9Z9WrP1ii0PjtlK8T4P9g9p&#13;&#10;1EwZjDpCPbDAyNGpP6BqxR14kGHCoc5ASsVFKgLLyae/lfNSMStSMciOtyNP/v/B8s+nF/vsCPLQ&#13;&#10;WL/0KMcyWunq+McESZuIOl/oEm0gHE/zu7vb2Qxp5ajM85ub+e2CRqTsAmCdDx8F1CQKBXV4I4kn&#13;&#10;dnr0obcdbGJAAzuldVSwpTZx9aBVGQ/TJjaG2GpHTgyvNLT5EPDKDMNH1+xSUJLCWYsO9ouQRJVY&#13;&#10;wSzlkrrtAso4FybknapipehiLab4jdGGPFKx2iBihJaY5gjeIwyWHcoA3pfeO0Rfkdp19J7+LbXe&#13;&#10;e3RJscGE0btWBtxrCBoLG2J3DgNRHT2RqdDuW+QH77SrN57toTxjmzjonpC3fKfwRh+ZD8/M4ZNB&#13;&#10;U5wD4QkXqaEpKPQSJRW4n6+dR3vsZNRS0uATLKj/cWROUKI/GezxD/l8jrAhbeaL29hq7lqzv9aY&#13;&#10;Y70F7AmsD7NLYrQPehClg/o7jotNjIoqZjjGLigPbthsQzcbcOBwsdkkM3ynloVH82J5BI9UG9gc&#13;&#10;A0jVNfCFnp5KfKqpLfqxEmfB9T5ZXabf+hcAAAD//wMAUEsDBBQABgAIAAAAIQCGf0Yy4wAAAA8B&#13;&#10;AAAPAAAAZHJzL2Rvd25yZXYueG1sTE9NT8MwDL0j8R8iI3GZWNoJaNU1nRATaAeExGCH3dwmNGWN&#13;&#10;UzXZVv495gQXy0/Pfh/lanK9OJkxdJ4UpPMEhKHG645aBR/vTzc5iBCRNPaejIJvE2BVXV6UWGh/&#13;&#10;pjdz2sZWsAiFAhXYGIdCytBY4zDM/WCIuU8/OowMx1bqEc8s7nq5SJJ76bAjdrA4mEdrmsP26BTs&#13;&#10;N1Nsv9Ln+HLA2W62sXXzuq6Vur6a1kseD0sQ0Uzx7wN+O3B+qDhY7Y+kg+gV3ObpHZ8ykYFgPsty&#13;&#10;XmrGebIAIatS/u9R/QAAAP//AwBQSwECLQAUAAYACAAAACEAWiKTo/8AAADlAQAAEwAAAAAAAAAA&#13;&#10;AAAAAAAAAAAAW0NvbnRlbnRfVHlwZXNdLnhtbFBLAQItABQABgAIAAAAIQCnSs841wAAAJYBAAAL&#13;&#10;AAAAAAAAAAAAAAAAADABAABfcmVscy8ucmVsc1BLAQItABQABgAIAAAAIQDPC0z+cgIAAEUFAAAO&#13;&#10;AAAAAAAAAAAAAAAAADACAABkcnMvZTJvRG9jLnhtbFBLAQItABQABgAIAAAAIQCGf0Yy4wAAAA8B&#13;&#10;AAAPAAAAAAAAAAAAAAAAAM4EAABkcnMvZG93bnJldi54bWxQSwUGAAAAAAQABADzAAAA3gUAAAAA&#13;&#10;" filled="f" strokecolor="black [3213]" strokeweight="1pt">
                <v:textbox>
                  <w:txbxContent>
                    <w:p w14:paraId="2C7325C9"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excluded:</w:t>
                      </w:r>
                    </w:p>
                    <w:p w14:paraId="587D5E9E"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Reason 1</w:t>
                      </w:r>
                      <w:r>
                        <w:rPr>
                          <w:rFonts w:cs="Arial"/>
                          <w:color w:val="000000" w:themeColor="text1"/>
                          <w:sz w:val="18"/>
                          <w:szCs w:val="20"/>
                          <w:lang w:val="en-IN"/>
                        </w:rPr>
                        <w:t>: Not relevant to the research topic</w:t>
                      </w:r>
                      <w:r>
                        <w:rPr>
                          <w:rFonts w:cs="Arial"/>
                          <w:color w:val="000000" w:themeColor="text1"/>
                          <w:sz w:val="18"/>
                          <w:szCs w:val="20"/>
                        </w:rPr>
                        <w:t xml:space="preserve"> (n = 10)</w:t>
                      </w:r>
                    </w:p>
                    <w:p w14:paraId="5CA3C1FE"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Reason 2</w:t>
                      </w:r>
                      <w:r>
                        <w:rPr>
                          <w:rFonts w:cs="Arial"/>
                          <w:color w:val="000000" w:themeColor="text1"/>
                          <w:sz w:val="18"/>
                          <w:szCs w:val="20"/>
                          <w:lang w:val="en-IN"/>
                        </w:rPr>
                        <w:t>: Paid papers or abstract-only</w:t>
                      </w:r>
                      <w:r>
                        <w:rPr>
                          <w:rFonts w:cs="Arial"/>
                          <w:color w:val="000000" w:themeColor="text1"/>
                          <w:sz w:val="18"/>
                          <w:szCs w:val="20"/>
                        </w:rPr>
                        <w:t xml:space="preserve"> (n = 9)</w:t>
                      </w:r>
                    </w:p>
                    <w:p w14:paraId="11560B03" w14:textId="77777777" w:rsidR="004A5CD4" w:rsidRDefault="002244FC">
                      <w:pPr>
                        <w:spacing w:after="0" w:line="240" w:lineRule="auto"/>
                        <w:ind w:left="284"/>
                        <w:rPr>
                          <w:rFonts w:cs="Arial"/>
                          <w:color w:val="000000" w:themeColor="text1"/>
                          <w:sz w:val="18"/>
                          <w:szCs w:val="20"/>
                        </w:rPr>
                      </w:pPr>
                      <w:r>
                        <w:rPr>
                          <w:rFonts w:cs="Arial"/>
                          <w:color w:val="000000" w:themeColor="text1"/>
                          <w:sz w:val="18"/>
                          <w:szCs w:val="20"/>
                        </w:rPr>
                        <w:t>Reason 3</w:t>
                      </w:r>
                      <w:r>
                        <w:rPr>
                          <w:rFonts w:cs="Arial"/>
                          <w:color w:val="000000" w:themeColor="text1"/>
                          <w:sz w:val="18"/>
                          <w:szCs w:val="20"/>
                          <w:lang w:val="en-IN"/>
                        </w:rPr>
                        <w:t>: Did not meet the inclusion criteria</w:t>
                      </w:r>
                      <w:r>
                        <w:rPr>
                          <w:rFonts w:cs="Arial"/>
                          <w:color w:val="000000" w:themeColor="text1"/>
                          <w:sz w:val="18"/>
                          <w:szCs w:val="20"/>
                        </w:rPr>
                        <w:t xml:space="preserve"> (n = </w:t>
                      </w:r>
                      <w:r>
                        <w:rPr>
                          <w:rFonts w:cs="Arial"/>
                          <w:color w:val="000000" w:themeColor="text1"/>
                          <w:sz w:val="18"/>
                          <w:szCs w:val="20"/>
                          <w:lang w:val="en-IN"/>
                        </w:rPr>
                        <w:t>6</w:t>
                      </w:r>
                      <w:r>
                        <w:rPr>
                          <w:rFonts w:cs="Arial"/>
                          <w:color w:val="000000" w:themeColor="text1"/>
                          <w:sz w:val="18"/>
                          <w:szCs w:val="20"/>
                        </w:rPr>
                        <w:t>)</w:t>
                      </w:r>
                    </w:p>
                    <w:p w14:paraId="2CF12E7C" w14:textId="77777777" w:rsidR="004A5CD4" w:rsidRDefault="004A5CD4">
                      <w:pPr>
                        <w:spacing w:after="0" w:line="240" w:lineRule="auto"/>
                        <w:ind w:left="284"/>
                        <w:rPr>
                          <w:rFonts w:cs="Arial"/>
                          <w:color w:val="000000" w:themeColor="text1"/>
                          <w:sz w:val="18"/>
                          <w:szCs w:val="20"/>
                        </w:rPr>
                      </w:pPr>
                    </w:p>
                  </w:txbxContent>
                </v:textbox>
              </v:rect>
            </w:pict>
          </mc:Fallback>
        </mc:AlternateContent>
      </w:r>
    </w:p>
    <w:p w14:paraId="26EF57D2" w14:textId="77777777" w:rsidR="004A5CD4" w:rsidRDefault="004A5CD4">
      <w:pPr>
        <w:spacing w:after="0" w:line="240" w:lineRule="auto"/>
      </w:pPr>
    </w:p>
    <w:p w14:paraId="4708C7AA" w14:textId="77777777" w:rsidR="004A5CD4" w:rsidRDefault="004A5CD4">
      <w:pPr>
        <w:spacing w:after="0" w:line="240" w:lineRule="auto"/>
      </w:pPr>
    </w:p>
    <w:p w14:paraId="36E09D53"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9744" behindDoc="0" locked="0" layoutInCell="1" allowOverlap="1" wp14:anchorId="365C4C49" wp14:editId="0DE7635D">
                <wp:simplePos x="0" y="0"/>
                <wp:positionH relativeFrom="column">
                  <wp:posOffset>1400810</wp:posOffset>
                </wp:positionH>
                <wp:positionV relativeFrom="paragraph">
                  <wp:posOffset>29210</wp:posOffset>
                </wp:positionV>
                <wp:extent cx="0" cy="746125"/>
                <wp:effectExtent l="38100" t="0" r="38100" b="31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10.3pt;margin-top:2.3pt;height:58.75pt;width:0pt;z-index:251679744;mso-width-relative:page;mso-height-relative:page;" filled="f" stroked="t" coordsize="21600,21600" o:gfxdata="UEsDBAoAAAAAAIdO4kAAAAAAAAAAAAAAAAAEAAAAZHJzL1BLAwQUAAAACACHTuJACeSRetQAAAAJ&#10;AQAADwAAAGRycy9kb3ducmV2LnhtbE2PwU7DMBBE70j8g7VI3KgdF1UlxOkBKTeERGk5b2OThMbr&#10;yHbT8vcs4gCn1WieZmeqzcWPYnYxDYEMFAsFwlEb7ECdgd1bc7cGkTKSxTGQM/DlEmzq66sKSxvO&#10;9Ormbe4Eh1Aq0UCf81RKmdreeUyLMDli7yNEj5ll7KSNeOZwP0qt1Ep6HIg/9Di5p961x+3JG3h+&#10;eVjvjsU8N037/rmM1OBS7o25vSnUI4jsLvkPhp/6XB1q7nQIJ7JJjAa0VitGDdzzYf9XHxjUugBZ&#10;V/L/gvobUEsDBBQAAAAIAIdO4kBcvey66wEAAOUDAAAOAAAAZHJzL2Uyb0RvYy54bWytU01v2zAM&#10;vQ/YfxB0X5x0a9cZcYohWXcZtgDdfgAjy7YAfYFU4+Tfj5LddOsuPcwHmaLIR74nan13clYcNZIJ&#10;vpGrxVIK7VVoje8b+evn/btbKSiBb8EGrxt51iTvNm/frMdY66swBNtqFAziqR5jI4eUYl1VpAbt&#10;gBYhas+HXUAHibfYVy3CyOjOVlfL5U01BmwjBqWJ2LubDuWMiK8BDF1nlN4F9ei0TxMqaguJKdFg&#10;IslN6bbrtEo/uo50EraRzDSVlYuwfchrtVlD3SPEwai5BXhNCy84OTCei16gdpBAPKL5B8oZhYFC&#10;lxYquGoiUhRhFqvlC20eBoi6cGGpKV5Ep/8Hq74f9yhMy5PwSQoPjm/8ISGYfkjiM2IYxTZ4zzoG&#10;FBzCeo2Rak7b+j3OO4p7zORPHbr8Z1riVDQ+XzTWpyTU5FTs/fjhZnW9ynDVc15ESl91cCIbjaS5&#10;j0sDqyIxHL9RmhKfEnJRH+6NteyH2noxNvLm/TXfsgKe0Y5ng00XmSf5XgqwPQ+/SlgQKVjT5uyc&#10;TNgfthbFEfLIlG9u86+wXHoHNExx5SiHQe1M4vdhjWvk7SUb6gTGfvGtSOfIEic04HurZ2TrWYes&#10;66Rktg6hPReBi59vvyg1T2oerz/3Jfv5dW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AnkkXrU&#10;AAAACQEAAA8AAAAAAAAAAQAgAAAAIgAAAGRycy9kb3ducmV2LnhtbFBLAQIUABQAAAAIAIdO4kBc&#10;vey66wEAAOUDAAAOAAAAAAAAAAEAIAAAACMBAABkcnMvZTJvRG9jLnhtbFBLBQYAAAAABgAGAFkB&#10;AACABQAAAAA=&#10;">
                <v:fill on="f" focussize="0,0"/>
                <v:stroke weight="0.5pt" color="#000000 [3213]" miterlimit="8" joinstyle="miter" endarrow="block"/>
                <v:imagedata o:title=""/>
                <o:lock v:ext="edit" aspectratio="f"/>
              </v:shape>
            </w:pict>
          </mc:Fallback>
        </mc:AlternateContent>
      </w:r>
    </w:p>
    <w:p w14:paraId="62004773" w14:textId="77777777" w:rsidR="004A5CD4" w:rsidRDefault="004A5CD4">
      <w:pPr>
        <w:spacing w:after="0" w:line="240" w:lineRule="auto"/>
      </w:pPr>
    </w:p>
    <w:p w14:paraId="3FC1FFDD" w14:textId="77777777" w:rsidR="004A5CD4" w:rsidRDefault="004A5CD4">
      <w:pPr>
        <w:spacing w:after="0" w:line="240" w:lineRule="auto"/>
      </w:pPr>
    </w:p>
    <w:p w14:paraId="10818925" w14:textId="77777777" w:rsidR="004A5CD4" w:rsidRDefault="004A5CD4">
      <w:pPr>
        <w:spacing w:after="0" w:line="240" w:lineRule="auto"/>
      </w:pPr>
    </w:p>
    <w:p w14:paraId="54770B56"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67456" behindDoc="0" locked="0" layoutInCell="1" allowOverlap="1" wp14:anchorId="00DBAE45" wp14:editId="06B94B7C">
                <wp:simplePos x="0" y="0"/>
                <wp:positionH relativeFrom="column">
                  <wp:posOffset>540385</wp:posOffset>
                </wp:positionH>
                <wp:positionV relativeFrom="paragraph">
                  <wp:posOffset>110490</wp:posOffset>
                </wp:positionV>
                <wp:extent cx="1887220" cy="723900"/>
                <wp:effectExtent l="6350" t="6350" r="11430" b="63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D151B6"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Studies included in review</w:t>
                            </w:r>
                          </w:p>
                          <w:p w14:paraId="6738878F"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8</w:t>
                            </w:r>
                            <w:r>
                              <w:rPr>
                                <w:rFonts w:cs="Arial"/>
                                <w:color w:val="000000" w:themeColor="text1"/>
                                <w:sz w:val="18"/>
                                <w:szCs w:val="20"/>
                              </w:rPr>
                              <w:t>)</w:t>
                            </w:r>
                          </w:p>
                          <w:p w14:paraId="7EB56DFC"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of included studies</w:t>
                            </w:r>
                          </w:p>
                          <w:p w14:paraId="1149521D"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8</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0DBAE45" id="Rectangle 13" o:spid="_x0000_s1037" style="position:absolute;left:0;text-align:left;margin-left:42.55pt;margin-top:8.7pt;width:148.6pt;height: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HlvHRwAgAARAUAAA4AAABkcnMvZTJvRG9jLnhtbKxUTW/bMAy9D9h/EHRf7WTpmgZxiiBF&#13;&#10;hgHFWiwbdlZkKRYgi5qkxM5+/Sj5I8FW7DDMB5kSyUfyieLyoa01OQnnFZiCTm5ySoThUCpzKOi3&#13;&#10;r9t3c0p8YKZkGowo6Fl4+rB6+2bZ2IWYQgW6FI4giPGLxha0CsEusszzStTM34AVBpUSXM0Cbt0h&#13;&#10;Kx1rEL3W2TTPP2QNuNI64MJ7PH3slHSV8KUUPDxL6UUguqCYW0irS+s+rdlqyRYHx2yleJ8H+4c0&#13;&#10;aqYMRh2hHllg5OjUH1C14g48yHDDoc5ASsVFKgLLmeS/lbOrmBWpGGTH25En//9g+efTzr44gjw0&#13;&#10;1i88yrGMVro6/jFB0iaizhe6RBsIx9PJfH43nSKtHJV30/f3OcoIlF38rfPho4CaRKGgDi8k0cRO&#13;&#10;Tz70toNNjGdgq7SOCrbQJq4etCrjYdrEvhAb7ciJ4Y2GdjIEvDLD8NE1u9STpHDWooP9IiRRJRYw&#13;&#10;TbmkZruAMs6FCZNOVbFSdLFuc/zGaEMeqVhtEDFCS0xzBO8RBssOZQDvS+8doq9I3Tp6539Lrfce&#13;&#10;XVJsMGH0rpUB9xqCxsKG2J3DQFRHT2QqtPsW+cH77Wzj2R7KM3aJg+4Fecu3Cm/0ifnwwhy+GKQG&#13;&#10;x0B4xkVqaAoKvURJBe7na+fRHhsZtZQ0+AIL6n8cmROU6E8GW/x+MpshbEib2e1d7DR3rdlfa8yx&#13;&#10;3gD2BOaM2SUx2gc9iNJB/R2nxTpGRRUzHGMXlAc3bDahGw04b7hYr5MZPlPLwpPZWR7BI9UG1scA&#13;&#10;UnUNfKGnpxJfamqLfqrEUXC9T1aX4bf6BQAA//8DAFBLAwQUAAYACAAAACEAiLUeKuQAAAAPAQAA&#13;&#10;DwAAAGRycy9kb3ducmV2LnhtbExPTU/DMAy9I/EfIiNxmVjalY+qazohJtAOExIDDtzcJjRljVM1&#13;&#10;2Vb+PeYEF0t+z34f5WpyvTiaMXSeFKTzBIShxuuOWgVvr49XOYgQkTT2noyCbxNgVZ2flVhof6IX&#13;&#10;c9zFVrAIhQIV2BiHQsrQWOMwzP1giLlPPzqMvI6t1COeWNz1cpEkt9JhR+xgcTAP1jT73cEp+NhM&#13;&#10;sf1Kn+J2j7P32cbWzfO6VuryYlovedwvQUQzxb8P+O3A+aHiYLU/kA6iV5DfpHzJ+N01COazfJGB&#13;&#10;qBnIUkZkVcr/PaofAAAA//8DAFBLAQItABQABgAIAAAAIQBaIpOj/wAAAOUBAAATAAAAAAAAAAAA&#13;&#10;AAAAAAAAAABbQ29udGVudF9UeXBlc10ueG1sUEsBAi0AFAAGAAgAAAAhAKdKzzjXAAAAlgEAAAsA&#13;&#10;AAAAAAAAAAAAAAAAMAEAAF9yZWxzLy5yZWxzUEsBAi0AFAAGAAgAAAAhAEHlvHRwAgAARAUAAA4A&#13;&#10;AAAAAAAAAAAAAAAAMAIAAGRycy9lMm9Eb2MueG1sUEsBAi0AFAAGAAgAAAAhAIi1HirkAAAADwEA&#13;&#10;AA8AAAAAAAAAAAAAAAAAzAQAAGRycy9kb3ducmV2LnhtbFBLBQYAAAAABAAEAPMAAADdBQAAAAA=&#13;&#10;" filled="f" strokecolor="black [3213]" strokeweight="1pt">
                <v:textbox>
                  <w:txbxContent>
                    <w:p w14:paraId="46D151B6"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Studies included in review</w:t>
                      </w:r>
                    </w:p>
                    <w:p w14:paraId="6738878F"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8</w:t>
                      </w:r>
                      <w:r>
                        <w:rPr>
                          <w:rFonts w:cs="Arial"/>
                          <w:color w:val="000000" w:themeColor="text1"/>
                          <w:sz w:val="18"/>
                          <w:szCs w:val="20"/>
                        </w:rPr>
                        <w:t>)</w:t>
                      </w:r>
                    </w:p>
                    <w:p w14:paraId="7EB56DFC"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Reports of included studies</w:t>
                      </w:r>
                    </w:p>
                    <w:p w14:paraId="1149521D" w14:textId="77777777" w:rsidR="004A5CD4" w:rsidRDefault="002244FC">
                      <w:pPr>
                        <w:spacing w:after="0" w:line="240" w:lineRule="auto"/>
                        <w:rPr>
                          <w:rFonts w:cs="Arial"/>
                          <w:color w:val="000000" w:themeColor="text1"/>
                          <w:sz w:val="18"/>
                          <w:szCs w:val="20"/>
                        </w:rPr>
                      </w:pPr>
                      <w:r>
                        <w:rPr>
                          <w:rFonts w:cs="Arial"/>
                          <w:color w:val="000000" w:themeColor="text1"/>
                          <w:sz w:val="18"/>
                          <w:szCs w:val="20"/>
                        </w:rPr>
                        <w:t xml:space="preserve">(n = </w:t>
                      </w:r>
                      <w:r>
                        <w:rPr>
                          <w:rFonts w:cs="Arial"/>
                          <w:color w:val="000000" w:themeColor="text1"/>
                          <w:sz w:val="18"/>
                          <w:szCs w:val="20"/>
                          <w:lang w:val="en-IN"/>
                        </w:rPr>
                        <w:t>8</w:t>
                      </w:r>
                      <w:r>
                        <w:rPr>
                          <w:rFonts w:cs="Arial"/>
                          <w:color w:val="000000" w:themeColor="text1"/>
                          <w:sz w:val="18"/>
                          <w:szCs w:val="20"/>
                        </w:rPr>
                        <w:t>)</w:t>
                      </w:r>
                    </w:p>
                  </w:txbxContent>
                </v:textbox>
              </v:rect>
            </w:pict>
          </mc:Fallback>
        </mc:AlternateContent>
      </w:r>
    </w:p>
    <w:p w14:paraId="75FAB33D" w14:textId="77777777" w:rsidR="004A5CD4" w:rsidRDefault="002244FC">
      <w:pPr>
        <w:spacing w:after="0" w:line="240" w:lineRule="auto"/>
      </w:pPr>
      <w:r>
        <w:rPr>
          <w:noProof/>
          <w:lang w:val="en-IN" w:eastAsia="en-IN" w:bidi="hi-IN"/>
        </w:rPr>
        <mc:AlternateContent>
          <mc:Choice Requires="wps">
            <w:drawing>
              <wp:anchor distT="0" distB="0" distL="114300" distR="114300" simplePos="0" relativeHeight="251675648" behindDoc="0" locked="0" layoutInCell="1" allowOverlap="1" wp14:anchorId="0D91934A" wp14:editId="24CC488D">
                <wp:simplePos x="0" y="0"/>
                <wp:positionH relativeFrom="column">
                  <wp:posOffset>-133350</wp:posOffset>
                </wp:positionH>
                <wp:positionV relativeFrom="paragraph">
                  <wp:posOffset>170180</wp:posOffset>
                </wp:positionV>
                <wp:extent cx="764540" cy="262890"/>
                <wp:effectExtent l="6350" t="6350" r="10160" b="16510"/>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A1C4305"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D91934A" id="Flowchart: Alternate Process 33" o:spid="_x0000_s1038" type="#_x0000_t176" style="position:absolute;left:0;text-align:left;margin-left:-10.5pt;margin-top:13.4pt;width:60.2pt;height:20.7pt;rotation:-90;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DyD+cAgAAzwUAAA4AAABkcnMvZTJvRG9jLnhtbKxU32/TMBB+R+J/sPzO0oau26qlU9Vp&#13;&#10;CGmwioF4dh17ieT4jH1tWv56zk6aFthAQuTBuh++7+6+nO/6ZtcYtlU+1GALPj4bcaashLK2TwX/&#13;&#10;8vnuzSVnAYUthQGrCr5Xgd/MX7+6bt1M5VCBKZVnBGLDrHUFrxDdLMuCrFQjwhk4ZcmpwTcCSfVP&#13;&#10;WelFS+iNyfLRaJq14EvnQaoQyHrbOfk84WutJD5oHRQyU3CqDdPp07lOZza/FrMnL1xVy74O8Q9l&#13;&#10;NKK2lHWAuhUo2MbXv0E1tfQQQOOZhCYDrWupUhPUznj0SzuPlXAqNUPsBDfwFP4frPy4fXQrz4iH&#13;&#10;1oVZIDm2sdO+YR6Ir/GUeKYvdUf1sl3ibX9kT+2QSbJeTCd5/pYzSb58ml9eEeEEm3VoEdX5gO8U&#13;&#10;NCwKBdcG2mUlPC4MKm8FqlX3J1Musb0P2AMcAiNIAFOXd7UxSYmDopbGs62gXyykVBbPU7zZNB+g&#13;&#10;7OzT1EEEEzOy00x09slgpyrT0EWsVPNPaYz9W2bcjQ/dnkQSagzNjtQmCfdGpVLsJ6VZXRJ5eap5&#13;&#10;KOG0nUnnqkSpOvP5y1WbiBihNRE0gI//BN5T3AfEWJUezhDd/foXSuujh5CUGywO0U1twT+X3+DA&#13;&#10;mO4CDkR19ESmcLfeET80hXliN9rWUO5pYNNw0oQFJ+9qGqd7EXAlPD1eMtJGwgc64oQVHHqJswr8&#13;&#10;9+fs8T69KfJy1tIyKHj4thFecWbeW3ptV+PJJK6PpEzOL3JS/Klnfeqxm2YJNI3UH1WXxHgfzUHU&#13;&#10;HpqvtLgWMSu5hJWUu+AS/UFZYrelaPVJtVika7QxnMB7++hkBI9UW1hsEHTdPZQjPT2VtDTSMPcL&#13;&#10;Lm6lUz3dOu7h+Q8AAAD//wMAUEsDBBQABgAIAAAAIQALFvBl4AAAAA8BAAAPAAAAZHJzL2Rvd25y&#13;&#10;ZXYueG1sTE9BTsMwELwj8QdrK3FrnRbapmmcCoHyAFoO5ebGSxI1XgfbTcLvWU5wWWl2Zmdn8sNk&#13;&#10;OzGgD60jBctFAgKpcqalWsH7qZynIELUZHTnCBV8Y4BDcX+X68y4kd5wOMZasAmFTCtoYuwzKUPV&#13;&#10;oNVh4Xok5j6dtzoy9LU0Xo9sbju5SpKNtLol/tDoHl8arK7Hm1Uwnvzj5uw/qv6L0jB0tiyfzqVS&#13;&#10;D7Ppdc/jeQ8i4hT/LuC3A+eHgoNd3I1MEB3jdM1KBfPlaguCBevdDsSFiWTLC1nk8n+P4gcAAP//&#13;&#10;AwBQSwECLQAUAAYACAAAACEAWiKTo/8AAADlAQAAEwAAAAAAAAAAAAAAAAAAAAAAW0NvbnRlbnRf&#13;&#10;VHlwZXNdLnhtbFBLAQItABQABgAIAAAAIQCnSs841wAAAJYBAAALAAAAAAAAAAAAAAAAADABAABf&#13;&#10;cmVscy8ucmVsc1BLAQItABQABgAIAAAAIQDMw8g/nAIAAM8FAAAOAAAAAAAAAAAAAAAAADACAABk&#13;&#10;cnMvZTJvRG9jLnhtbFBLAQItABQABgAIAAAAIQALFvBl4AAAAA8BAAAPAAAAAAAAAAAAAAAAAPgE&#13;&#10;AABkcnMvZG93bnJldi54bWxQSwUGAAAAAAQABADzAAAABQYAAAAA&#13;&#10;" fillcolor="#8eaadb [1944]" strokecolor="black [3213]" strokeweight="1pt">
                <v:textbox>
                  <w:txbxContent>
                    <w:p w14:paraId="5A1C4305" w14:textId="77777777" w:rsidR="004A5CD4" w:rsidRDefault="002244FC">
                      <w:pPr>
                        <w:spacing w:after="0"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2DBB1290" w14:textId="77777777" w:rsidR="004A5CD4" w:rsidRDefault="004A5CD4">
      <w:pPr>
        <w:spacing w:after="0" w:line="240" w:lineRule="auto"/>
      </w:pPr>
    </w:p>
    <w:p w14:paraId="7CC3EB43" w14:textId="77777777" w:rsidR="004A5CD4" w:rsidRDefault="004A5CD4">
      <w:pPr>
        <w:spacing w:after="0" w:line="240" w:lineRule="auto"/>
      </w:pPr>
    </w:p>
    <w:p w14:paraId="03255817" w14:textId="77777777" w:rsidR="004A5CD4" w:rsidRDefault="004A5CD4">
      <w:pPr>
        <w:spacing w:before="120" w:after="120" w:line="240" w:lineRule="auto"/>
        <w:jc w:val="center"/>
        <w:rPr>
          <w:rFonts w:cs="Times New Roman"/>
          <w:b/>
          <w:iCs/>
        </w:rPr>
      </w:pPr>
    </w:p>
    <w:p w14:paraId="4AB1094D" w14:textId="77777777" w:rsidR="004A5CD4" w:rsidRDefault="002244FC">
      <w:pPr>
        <w:pStyle w:val="Heading5"/>
        <w:rPr>
          <w:color w:val="auto"/>
        </w:rPr>
      </w:pPr>
      <w:bookmarkStart w:id="73" w:name="_Toc238133508"/>
      <w:r>
        <w:rPr>
          <w:color w:val="auto"/>
        </w:rPr>
        <w:t>Figure 4: PRISMA 2020 Flow Diagram</w:t>
      </w:r>
      <w:bookmarkEnd w:id="73"/>
    </w:p>
    <w:p w14:paraId="04BEA97E" w14:textId="77777777" w:rsidR="004A5CD4" w:rsidRDefault="002244FC">
      <w:pPr>
        <w:spacing w:before="120" w:after="120" w:line="240" w:lineRule="auto"/>
        <w:jc w:val="center"/>
        <w:rPr>
          <w:rFonts w:cs="Times New Roman"/>
          <w:iCs/>
        </w:rPr>
      </w:pPr>
      <w:r>
        <w:rPr>
          <w:rFonts w:cs="Times New Roman"/>
          <w:iCs/>
        </w:rPr>
        <w:t>(Source: Self-Developed)</w:t>
      </w:r>
    </w:p>
    <w:p w14:paraId="2178FB13" w14:textId="77777777" w:rsidR="004A5CD4" w:rsidRDefault="002244FC">
      <w:pPr>
        <w:pStyle w:val="Heading2"/>
      </w:pPr>
      <w:bookmarkStart w:id="74" w:name="_Toc238674283"/>
      <w:r>
        <w:t>3.9 Data extraction, analysis and quality appraisal</w:t>
      </w:r>
      <w:bookmarkEnd w:id="74"/>
    </w:p>
    <w:p w14:paraId="3944D980" w14:textId="77777777" w:rsidR="004A5CD4" w:rsidRDefault="002244FC">
      <w:r>
        <w:t>Data from the eight included studies were systematically extracted using a standardised framework covering study characteristics, participants, exposure measures, mental-health outcomes, findings and methodological limitations. Qualitative studies were critically appraised using the CASP Qualitative Studies Checklist, while cross-sectional and cohort studies were assessed using the relevant JBI checklists. Full appraisal details are presented in Chapter 4 and Appendices A–C. The extracted findings were subsequently synthesised thematically using an adapted approach informed by Braun and Clarke’s six-phase thematic analysis framework. Detailed synthesis and development of the overarching findings are presented in Chapter 5.</w:t>
      </w:r>
    </w:p>
    <w:p w14:paraId="2158D5EC" w14:textId="77777777" w:rsidR="004A5CD4" w:rsidRDefault="002244FC">
      <w:pPr>
        <w:pStyle w:val="Heading2"/>
        <w:spacing w:before="120" w:after="120"/>
        <w:rPr>
          <w:rFonts w:cs="Times New Roman"/>
        </w:rPr>
      </w:pPr>
      <w:bookmarkStart w:id="75" w:name="_Toc236932147"/>
      <w:bookmarkStart w:id="76" w:name="_Toc237865758"/>
      <w:bookmarkStart w:id="77" w:name="_Toc238674284"/>
      <w:r>
        <w:rPr>
          <w:rFonts w:cs="Times New Roman"/>
        </w:rPr>
        <w:t>3.10 Ethical Considerations</w:t>
      </w:r>
      <w:bookmarkEnd w:id="75"/>
      <w:bookmarkEnd w:id="76"/>
      <w:bookmarkEnd w:id="77"/>
    </w:p>
    <w:p w14:paraId="68139114" w14:textId="77777777" w:rsidR="004A5CD4" w:rsidRDefault="002244FC">
      <w:r>
        <w:t>Ethics in research are those principles of ethics which involve integrity, transparency, and respect for participants during the course of research (Resnik, 2024). This thesis will use secondary data and involve no human participants. As a result, ethical considerations in this thesis include proper documentation of results, honesty, proper citation and avoiding plagiarism. Ethical considerations will adhere to the University's ethics and integrity guidelines (Agnihotry et al., 2025).</w:t>
      </w:r>
    </w:p>
    <w:p w14:paraId="51B19E02" w14:textId="77777777" w:rsidR="004A5CD4" w:rsidRDefault="002244FC">
      <w:pPr>
        <w:pStyle w:val="Heading2"/>
        <w:spacing w:before="120" w:after="120"/>
        <w:rPr>
          <w:rFonts w:cs="Times New Roman"/>
          <w:iCs/>
        </w:rPr>
      </w:pPr>
      <w:bookmarkStart w:id="78" w:name="_Toc236932148"/>
      <w:bookmarkStart w:id="79" w:name="_Toc237865759"/>
      <w:bookmarkStart w:id="80" w:name="_Toc238674285"/>
      <w:r>
        <w:rPr>
          <w:rFonts w:cs="Times New Roman"/>
        </w:rPr>
        <w:t>3.11 Chapter Summary</w:t>
      </w:r>
      <w:bookmarkEnd w:id="78"/>
      <w:bookmarkEnd w:id="79"/>
      <w:bookmarkEnd w:id="80"/>
    </w:p>
    <w:p w14:paraId="2607823A" w14:textId="77777777" w:rsidR="004A5CD4" w:rsidRDefault="002244FC">
      <w:pPr>
        <w:spacing w:after="200"/>
        <w:rPr>
          <w:rFonts w:cs="Times New Roman"/>
          <w:szCs w:val="24"/>
        </w:rPr>
      </w:pPr>
      <w:r>
        <w:rPr>
          <w:rFonts w:cs="Times New Roman"/>
          <w:szCs w:val="24"/>
        </w:rPr>
        <w:t>This chapter has outlined and justified the systematic literature review methodology adopted for this study, guided by the PRISMA 2020 framework. It explained how the PEO framework was used to structure the research question and generate search terms, described the databases searched and the rationale for using multiple sources, set out the inclusion and exclusion criteria applied, and reported the search results using a PRISMA flow diagram. Ethical considerations relevant to reviewing secondary, published data were also addressed. Having established how the evidence base for this review was identified and selected, the next chapter presents the findings of the studies included in the review.</w:t>
      </w:r>
    </w:p>
    <w:p w14:paraId="091BBA33" w14:textId="77777777" w:rsidR="004A5CD4" w:rsidRDefault="004A5CD4">
      <w:pPr>
        <w:spacing w:before="120" w:after="120"/>
        <w:rPr>
          <w:rFonts w:cs="Times New Roman"/>
        </w:rPr>
      </w:pPr>
    </w:p>
    <w:p w14:paraId="07C2E2D0" w14:textId="77777777" w:rsidR="004A5CD4" w:rsidRDefault="002244FC">
      <w:pPr>
        <w:pStyle w:val="Heading1"/>
      </w:pPr>
      <w:bookmarkStart w:id="81" w:name="_Toc238674286"/>
      <w:r>
        <w:t>4.0 Chapter 4: Data Extraction and Evaluation</w:t>
      </w:r>
      <w:bookmarkEnd w:id="81"/>
      <w:r>
        <w:t xml:space="preserve"> </w:t>
      </w:r>
    </w:p>
    <w:p w14:paraId="5A840673" w14:textId="77777777" w:rsidR="004A5CD4" w:rsidRDefault="002244FC">
      <w:pPr>
        <w:pStyle w:val="Heading2"/>
      </w:pPr>
      <w:bookmarkStart w:id="82" w:name="_Toc238674287"/>
      <w:r>
        <w:t>4.1 Introduction</w:t>
      </w:r>
      <w:bookmarkEnd w:id="82"/>
    </w:p>
    <w:p w14:paraId="15F84F29" w14:textId="77777777" w:rsidR="004A5CD4" w:rsidRDefault="002244FC">
      <w:r>
        <w:t xml:space="preserve">This chapter reports the systematic retrieval and critical analysis of the eight studies that were identified for the review. It explains what the process of data extraction is and introduces the appraisal tools used for qualitative and quantitative research, as well as the methodological quality, strengths, limitations and relevance of each study to the research aim and objectives. </w:t>
      </w:r>
    </w:p>
    <w:p w14:paraId="72018227" w14:textId="77777777" w:rsidR="004A5CD4" w:rsidRDefault="002244FC">
      <w:pPr>
        <w:pStyle w:val="Heading2"/>
        <w:rPr>
          <w:lang w:val="en-IN"/>
        </w:rPr>
      </w:pPr>
      <w:bookmarkStart w:id="83" w:name="_Toc238674288"/>
      <w:r>
        <w:rPr>
          <w:lang w:val="en-IN"/>
        </w:rPr>
        <w:t>4.2 Data Extraction</w:t>
      </w:r>
      <w:bookmarkEnd w:id="83"/>
    </w:p>
    <w:p w14:paraId="3EEAFD17" w14:textId="77777777" w:rsidR="004A5CD4" w:rsidRDefault="002244FC">
      <w:pPr>
        <w:rPr>
          <w:lang w:val="en-IN"/>
        </w:rPr>
      </w:pPr>
      <w:r>
        <w:t xml:space="preserve">Data extraction involved systematically recording relevant information from each included study in a standardised format to support comparison and evidence synthesis (Higgins et al., 2023). A predesigned data-extraction form was applied to all eight included studies. The extracted information included author and year, study location, research aim, study design, participant characteristics, sample size, setting, data-collection and analysis methods, exposure to racial discrimination or inequality, mental-health outcomes, key findings, ethical considerations, strengths and methodological limitations. The completed data-extraction table is presented in </w:t>
      </w:r>
      <w:r>
        <w:rPr>
          <w:b/>
          <w:bCs/>
        </w:rPr>
        <w:t>Appendix D</w:t>
      </w:r>
      <w:r>
        <w:t>. The extracted information was then used to support the critical appraisal and thematic synthesis presented in Chapters 4 and 5</w:t>
      </w:r>
      <w:r>
        <w:rPr>
          <w:lang w:val="en-IN"/>
        </w:rPr>
        <w:t>.</w:t>
      </w:r>
      <w:r>
        <w:t xml:space="preserve"> </w:t>
      </w:r>
    </w:p>
    <w:p w14:paraId="57FC3CFC" w14:textId="77777777" w:rsidR="004A5CD4" w:rsidRDefault="002244FC">
      <w:pPr>
        <w:pStyle w:val="Heading2"/>
        <w:rPr>
          <w:lang w:val="en-IN"/>
        </w:rPr>
      </w:pPr>
      <w:bookmarkStart w:id="84" w:name="_Toc238674289"/>
      <w:r>
        <w:rPr>
          <w:lang w:val="en-IN"/>
        </w:rPr>
        <w:t>4.3 Introduction to Critical Appraisal and Paper Quality Assessment</w:t>
      </w:r>
      <w:bookmarkEnd w:id="84"/>
    </w:p>
    <w:p w14:paraId="02BC8364" w14:textId="77777777" w:rsidR="004A5CD4" w:rsidRDefault="002244FC">
      <w:pPr>
        <w:rPr>
          <w:lang w:val="en-IN"/>
        </w:rPr>
      </w:pPr>
      <w:r>
        <w:t>Critical appraisal is a systematic evaluation of research evidence to assess its validity, methodological quality, relevance and applicability to a review question. It considers the appropriateness of study methods, the credibility of findings and the support of conclusions based on the evidence provided</w:t>
      </w:r>
      <w:r>
        <w:rPr>
          <w:lang w:val="en-IN"/>
        </w:rPr>
        <w:t xml:space="preserve"> (Joanna Briggs Institute, 2020)</w:t>
      </w:r>
      <w:r>
        <w:t>. It is important to appraise research papers because not all research papers are good. The process recognises the possibility of bias, weaknesses in design, ethical issues and limits that could impact reliability. It also allows for consistent comparisons of studies and provides a basis for the review's findings and recommendations to be based on the most compelling and informative evidence</w:t>
      </w:r>
      <w:r>
        <w:rPr>
          <w:lang w:val="en-IN"/>
        </w:rPr>
        <w:t>.</w:t>
      </w:r>
    </w:p>
    <w:p w14:paraId="15093FC3" w14:textId="77777777" w:rsidR="004A5CD4" w:rsidRDefault="002244FC">
      <w:pPr>
        <w:pStyle w:val="Heading2"/>
        <w:rPr>
          <w:lang w:val="en-IN"/>
        </w:rPr>
      </w:pPr>
      <w:bookmarkStart w:id="85" w:name="_Toc238674290"/>
      <w:r>
        <w:rPr>
          <w:lang w:val="en-IN"/>
        </w:rPr>
        <w:t>4.4 Critical Appraisal Tools</w:t>
      </w:r>
      <w:bookmarkEnd w:id="85"/>
    </w:p>
    <w:p w14:paraId="1EDFEAAB" w14:textId="77777777" w:rsidR="004A5CD4" w:rsidRDefault="002244FC">
      <w:pPr>
        <w:rPr>
          <w:lang w:val="en-IN"/>
        </w:rPr>
      </w:pPr>
      <w:r>
        <w:t xml:space="preserve">Critical appraisal tools provide a structured framework for assessing the methodological quality, credibility, relevance and risk of bias of included studies. Because appraisal criteria differ according to research design, design-specific tools were applied in this review. The </w:t>
      </w:r>
      <w:r>
        <w:rPr>
          <w:b/>
          <w:bCs/>
        </w:rPr>
        <w:t>Critical Appraisal Skills Programme (CASP) Qualitative Studies Checklist</w:t>
      </w:r>
      <w:r>
        <w:t xml:space="preserve"> was used for qualitative studies because it evaluates methodological appropriateness, recruitment, data collection, researcher reflexivity, ethical considerations, analysis and the credibility of qualitative findings (Critical Appraisal Skills Programme, 2024). Quantitative studies were assessed using the relevant </w:t>
      </w:r>
      <w:r>
        <w:rPr>
          <w:b/>
          <w:bCs/>
        </w:rPr>
        <w:t>Joanna Briggs Institute (JBI) critical appraisal checklists</w:t>
      </w:r>
      <w:r>
        <w:t>. The JBI Analytical Cross-Sectional Studies Checklist was applied to cross-sectional studies, while the JBI Cohort Studies Checklist was used for longitudinal cohort designs. These tools assess areas such as participant selection, measurement of exposure and outcomes, identification of confounding factors, statistical analysis and, where applicable, follow-up procedures. Although structured appraisal tools improve consistency and transparency, they do not eliminate subjective judgement because interpretation remains necessary when applying individual criteria. The following sections therefore present the CASP appraisal of qualitative studies and the appropriate JBI appraisal of quantitative studies</w:t>
      </w:r>
      <w:r>
        <w:rPr>
          <w:lang w:val="en-IN"/>
        </w:rPr>
        <w:t>.</w:t>
      </w:r>
    </w:p>
    <w:p w14:paraId="0F3A6FE6" w14:textId="77777777" w:rsidR="004A5CD4" w:rsidRDefault="002244FC">
      <w:pPr>
        <w:pStyle w:val="Heading2"/>
      </w:pPr>
      <w:bookmarkStart w:id="86" w:name="_Toc238674291"/>
      <w:r>
        <w:rPr>
          <w:lang w:val="en-IN"/>
        </w:rPr>
        <w:t xml:space="preserve">4.5 </w:t>
      </w:r>
      <w:r>
        <w:t>Qualitative Appraisal</w:t>
      </w:r>
      <w:bookmarkEnd w:id="86"/>
    </w:p>
    <w:p w14:paraId="4FE392DC" w14:textId="77777777" w:rsidR="004A5CD4" w:rsidRDefault="002244FC">
      <w:pPr>
        <w:rPr>
          <w:lang w:val="en-IN"/>
        </w:rPr>
      </w:pPr>
      <w:r>
        <w:rPr>
          <w:lang w:val="en-IN"/>
        </w:rPr>
        <w:t>Three qualitative studies were appraised using the Critical Appraisal Skills Programme (CASP) Qualitative Studies Checklist (2024): Stoll et al. (2025), O’Neill et al. (2021) and Simela et al. (2024). CASP was selected because it provides a structured framework for evaluating the methodological rigour, credibility and relevance of qualitative research. The checklist considers the clarity of the research aim, appropriateness of the qualitative methodology and research design, recruitment strategy, data collection, researcher–participant relationship, ethical considerations, analytical rigour, clarity of findings and contribution of the research (Critical Appraisal Skills Programme, 2024).</w:t>
      </w:r>
    </w:p>
    <w:p w14:paraId="6885E6A0" w14:textId="77777777" w:rsidR="004A5CD4" w:rsidRDefault="002244FC">
      <w:pPr>
        <w:rPr>
          <w:lang w:val="en-IN"/>
        </w:rPr>
      </w:pPr>
      <w:r>
        <w:rPr>
          <w:lang w:val="en-IN"/>
        </w:rPr>
        <w:t>CASP does not provide a numerical quality score; instead, it supports a transparent and systematic judgement of the strengths and limitations of each study. However, application of the checklist still requires reviewer interpretation and therefore does not eliminate subjective judgement. Importantly, methodological quality was considered separately from eligibility and relevance to the review question. A study could be methodologically rigorous but would not be retained if it failed to meet the predefined inclusion criteria. CASP was therefore used to assess the quality and credibility of the qualitative studies only after eligibility had been established during the study-selection process.</w:t>
      </w:r>
    </w:p>
    <w:p w14:paraId="73ED66C2" w14:textId="77777777" w:rsidR="004A5CD4" w:rsidRDefault="002244FC">
      <w:pPr>
        <w:rPr>
          <w:lang w:val="en-IN"/>
        </w:rPr>
      </w:pPr>
      <w:r>
        <w:rPr>
          <w:lang w:val="en-IN"/>
        </w:rPr>
        <w:t>Stoll et al. (2025) was closely aligned with the review topic because it examined racial discrimination and other adverse childhood experiences within UK education and their relationship with mental health and wellbeing. Although participants were adults aged 18–50 years at the time of interview, the study was eligible under the predefined inclusion criteria because participants retrospectively described experiences of racism occurring during childhood and adolescence before the age of 18. Eligibility was therefore determined by the age at which the relevant exposure occurred rather than solely by participants’ age at interview.</w:t>
      </w:r>
    </w:p>
    <w:p w14:paraId="758C0A1F" w14:textId="77777777" w:rsidR="004A5CD4" w:rsidRDefault="002244FC">
      <w:pPr>
        <w:rPr>
          <w:lang w:val="en-IN"/>
        </w:rPr>
      </w:pPr>
      <w:r>
        <w:rPr>
          <w:lang w:val="en-IN"/>
        </w:rPr>
        <w:t>The study used Biographical Narrative Interpretive Method interviews alongside Interpretative Phenomenological Analysis, which was appropriate for exploring detailed personal experiences of racism. Purposive recruitment of 15 Black participants, ethical approval, safeguarding procedures and written consent supported methodological rigour. Credibility was further strengthened through reflexive practice, consultation with Black students and teachers, collaborative analysis, verbatim participant extracts and member checking involving six participants.</w:t>
      </w:r>
    </w:p>
    <w:p w14:paraId="186D4BD0" w14:textId="77777777" w:rsidR="004A5CD4" w:rsidRDefault="002244FC">
      <w:pPr>
        <w:rPr>
          <w:lang w:val="en-IN"/>
        </w:rPr>
      </w:pPr>
      <w:r>
        <w:rPr>
          <w:lang w:val="en-IN"/>
        </w:rPr>
        <w:t>Nevertheless, the retrospective design remains an important methodological limitation. Adult recollections of childhood experiences may be affected by recall and selection bias, while the self-selected university-based sample limits transferability to children currently experiencing racism in UK schools. Consequently, the study provides methodologically credible and directly relevant retrospective evidence, but its findings should be interpreted cautiously when applying them to contemporary experiences of children under 18.</w:t>
      </w:r>
    </w:p>
    <w:p w14:paraId="34022A7A" w14:textId="77777777" w:rsidR="004A5CD4" w:rsidRDefault="002244FC">
      <w:pPr>
        <w:rPr>
          <w:lang w:val="en-IN"/>
        </w:rPr>
      </w:pPr>
      <w:r>
        <w:t>Simela et al. (2024) used four online focus groups involving 14 parents of school-aged children and 14 adolescents who had experienced racism in the United Kingdom. The qualitative design was appropriate for exploring how racism operates within families and influences parent–child interactions, mental health and wellbeing. Iterative coding produced four interconnected themes concerning experiences of racism, parenting and relationships, mental health effects, and identity and environmental context. The study provides strong direct relevance to the UK focus and incorporates adolescent perspectives. However, more than half of participants lived in London, fathers were underrepresented and participants were comparatively socioeconomically advantaged, limiting transferability to all UK families. Overall, the study provides methodologically credible and directly relevant qualitative evidence, particularly concerning intergenerational and family-level pathways linking racism with child wellbeing.</w:t>
      </w:r>
    </w:p>
    <w:p w14:paraId="522461D6" w14:textId="77777777" w:rsidR="004A5CD4" w:rsidRDefault="002244FC">
      <w:pPr>
        <w:rPr>
          <w:lang w:val="en-IN"/>
        </w:rPr>
      </w:pPr>
      <w:r>
        <w:t>The only qualitative paper with children directly involved was that of O'Neill et al. (2021). It involved 32 youth aged 11–12 years from six sites across England and employed ideal-type analysis to identify perceived causes of emotional distress. Independence, reflexive thought, independent verification and 100% accuracy by a co-judge improved dependability. There was clear attention to ethical issues, parental consent, child assent, confidentiality and safeguarding. It was a secondary analysis of interviews with HeadStart children; however, perceived causes were unevenly discussed, with racism as a secondary focus. The participants were teacher-identified, predominantly White British and one Black African, reducing the relevance to racial inequality. Contextual detail might also be eliminated in ideal-type condensation. In summary, all three studies are ethically and analytically sound, but have limitations in eligibility and transferability that diminish their evidential weight</w:t>
      </w:r>
      <w:r>
        <w:rPr>
          <w:lang w:val="en-IN"/>
        </w:rPr>
        <w:t>.</w:t>
      </w:r>
    </w:p>
    <w:p w14:paraId="58CA2E93" w14:textId="77777777" w:rsidR="004A5CD4" w:rsidRDefault="002244FC">
      <w:pPr>
        <w:rPr>
          <w:b/>
          <w:bCs/>
          <w:lang w:val="en-IN"/>
        </w:rPr>
      </w:pPr>
      <w:r>
        <w:rPr>
          <w:b/>
          <w:bCs/>
          <w:lang w:val="en-IN"/>
        </w:rPr>
        <w:t>4.6 Quantitative appraisal</w:t>
      </w:r>
    </w:p>
    <w:p w14:paraId="5F69A374" w14:textId="77777777" w:rsidR="004A5CD4" w:rsidRDefault="002244FC">
      <w:pPr>
        <w:rPr>
          <w:lang w:val="en-IN"/>
        </w:rPr>
      </w:pPr>
      <w:r>
        <w:rPr>
          <w:lang w:val="en-IN"/>
        </w:rPr>
        <w:t>Five quantitative studies were critically appraised in the final review: Stepanous et al. (2025), Nawaz et al. (2025), Blakey et al. (2021), Bains and Gutman (2021), and Astell-Burt et al. (2012). These studies used either cross-sectional or longitudinal cohort approaches to examine racial or ethnic inequalities, discrimination, mental health, wellbeing and related social or contextual factors among children and adolescents.</w:t>
      </w:r>
    </w:p>
    <w:p w14:paraId="72B0821D" w14:textId="77777777" w:rsidR="004A5CD4" w:rsidRDefault="002244FC">
      <w:pPr>
        <w:rPr>
          <w:lang w:val="en-IN"/>
        </w:rPr>
      </w:pPr>
      <w:r>
        <w:rPr>
          <w:lang w:val="en-IN"/>
        </w:rPr>
        <w:t xml:space="preserve">The Joanna Briggs Institute (JBI) critical appraisal tools were selected because they provide study-design-specific criteria for assessing methodological quality and risk of bias. Rather than applying the same checklist to all quantitative studies, the appraisal tool was matched to each study design. The </w:t>
      </w:r>
      <w:r>
        <w:rPr>
          <w:b/>
          <w:bCs/>
          <w:lang w:val="en-IN"/>
        </w:rPr>
        <w:t>JBI Analytical Cross-Sectional Studies Checklist</w:t>
      </w:r>
      <w:r>
        <w:rPr>
          <w:lang w:val="en-IN"/>
        </w:rPr>
        <w:t xml:space="preserve"> was used for Stepanous et al. (2025), Nawaz et al. (2025) and Blakey et al. (2021), while the </w:t>
      </w:r>
      <w:r>
        <w:rPr>
          <w:b/>
          <w:bCs/>
          <w:lang w:val="en-IN"/>
        </w:rPr>
        <w:t>JBI Cohort Studies Checklist</w:t>
      </w:r>
      <w:r>
        <w:rPr>
          <w:lang w:val="en-IN"/>
        </w:rPr>
        <w:t xml:space="preserve"> was applied to Bains and Gutman (2021) and Astell-Burt et al. (2012).</w:t>
      </w:r>
    </w:p>
    <w:p w14:paraId="787C7EBA" w14:textId="77777777" w:rsidR="004A5CD4" w:rsidRDefault="002244FC">
      <w:pPr>
        <w:rPr>
          <w:lang w:val="en-IN"/>
        </w:rPr>
      </w:pPr>
      <w:r>
        <w:rPr>
          <w:lang w:val="en-IN"/>
        </w:rPr>
        <w:t>The JBI Analytical Cross-Sectional Studies Checklist evaluates areas including clearly defined inclusion criteria, description of participants and settings, valid and reliable measurement of exposures and outcomes, identification and management of confounding factors, and appropriateness of statistical analysis. This was suitable for Stepanous et al. (2025), which used cross-sectional #BeeWell data; Nawaz et al. (2025), which conducted a cross-sectional secondary analysis of the 2023 OxWell Student Survey; and Blakey et al. (2021), which analysed baseline data from the REACH cohort.</w:t>
      </w:r>
    </w:p>
    <w:p w14:paraId="5B16B0DC" w14:textId="77777777" w:rsidR="004A5CD4" w:rsidRDefault="002244FC">
      <w:pPr>
        <w:rPr>
          <w:lang w:val="en-IN"/>
        </w:rPr>
      </w:pPr>
      <w:r>
        <w:rPr>
          <w:lang w:val="en-IN"/>
        </w:rPr>
        <w:t>In contrast, the JBI Cohort Studies Checklist was appropriate for Bains and Gutman (2021) and Astell-Burt et al. (2012) because both examined changes or trajectories over time. In addition to assessing exposure and outcome measurement, confounding and statistical analysis, the cohort checklist considers whether exposure precedes the outcome, the adequacy and completeness of follow-up, and strategies used to address loss to follow-up.</w:t>
      </w:r>
    </w:p>
    <w:p w14:paraId="108BDB8A" w14:textId="77777777" w:rsidR="004A5CD4" w:rsidRDefault="002244FC">
      <w:pPr>
        <w:rPr>
          <w:lang w:val="en-IN"/>
        </w:rPr>
      </w:pPr>
      <w:r>
        <w:rPr>
          <w:lang w:val="en-IN"/>
        </w:rPr>
        <w:t xml:space="preserve">The use of separate design-specific checklists increased the transparency and methodological consistency of the appraisal process. However, appraisal tools structure rather than eliminate reviewer judgement, as interpretation is still required when determining whether individual criteria have been satisfied. Therefore, methodological quality was evaluated in relation to the strengths and limitations of each study rather than through a single numerical score. </w:t>
      </w:r>
      <w:r>
        <w:t xml:space="preserve">The completed JBI Analytical Cross-Sectional Studies Checklist is presented in Appendix B, while the JBI Cohort Studies Checklist is presented in Appendix C </w:t>
      </w:r>
      <w:r>
        <w:rPr>
          <w:lang w:val="en-IN"/>
        </w:rPr>
        <w:t>(Joanna Briggs Institute, 2020).</w:t>
      </w:r>
    </w:p>
    <w:p w14:paraId="6071FB06" w14:textId="77777777" w:rsidR="004A5CD4" w:rsidRDefault="002244FC">
      <w:pPr>
        <w:rPr>
          <w:lang w:val="en-IN"/>
        </w:rPr>
      </w:pPr>
      <w:r>
        <w:rPr>
          <w:lang w:val="en-IN"/>
        </w:rPr>
        <w:t>Three of the five quantitative studies were cross-sectional. Stepanous et al. (2025) conducted a secondary cross-sectional analysis of the #BeeWell dataset, Nawaz et al. (2025) analysed cross-sectional data from English secondary-school participants in the 2023 OxWell Student Survey, and Blakey et al. (2021) analysed baseline data from the REACH accelerated cohort. The remaining two studies were longitudinal: Bains and Gutman (2021) analysed repeated data from the UK Millennium Cohort Study, while Astell-Burt et al. (2012) examined psychological-wellbeing trajectories using longitudinal data from London adolescents. Cross-sectional studies are useful for identifying associations and comparing population groups but cannot establish temporal or causal relationships, whereas longitudinal cohort studies provide stronger evidence concerning change over time, although they remain susceptible to confounding, attrition and other observational biases.</w:t>
      </w:r>
    </w:p>
    <w:p w14:paraId="0FB7F05F" w14:textId="77777777" w:rsidR="004A5CD4" w:rsidRDefault="002244FC">
      <w:pPr>
        <w:rPr>
          <w:b/>
          <w:bCs/>
          <w:lang w:val="en-IN"/>
        </w:rPr>
      </w:pPr>
      <w:r>
        <w:rPr>
          <w:b/>
          <w:bCs/>
          <w:lang w:val="en-IN"/>
        </w:rPr>
        <w:t>Appraisal of Stepanous et al. (2025)</w:t>
      </w:r>
    </w:p>
    <w:p w14:paraId="1E8D222A" w14:textId="77777777" w:rsidR="004A5CD4" w:rsidRDefault="002244FC">
      <w:pPr>
        <w:rPr>
          <w:lang w:val="en-IN"/>
        </w:rPr>
      </w:pPr>
      <w:r>
        <w:t>Stepanous et al. (2025) explored ethnic disparities in adolescent mental health and examined the interaction between ethnicity and discrimination, bullying, socioeconomic status, gender, family support, and neighbour ethnicity density. The cross-sectional secondary design was suitable for comparing wellbeing between a very large populations at one time. A large number of adolescents (84,774) were included in the initial analytical sample from two #BeeWell regions with excellent statistical power. The analysis was pre-registered, which improves transparency and helps to minimise selective analysis</w:t>
      </w:r>
      <w:r>
        <w:rPr>
          <w:lang w:val="en-IN"/>
        </w:rPr>
        <w:t xml:space="preserve">. </w:t>
      </w:r>
    </w:p>
    <w:p w14:paraId="27645AD5" w14:textId="77777777" w:rsidR="004A5CD4" w:rsidRDefault="002244FC">
      <w:pPr>
        <w:rPr>
          <w:lang w:val="en-IN"/>
        </w:rPr>
      </w:pPr>
      <w:r>
        <w:rPr>
          <w:lang w:val="en-IN"/>
        </w:rPr>
        <w:t xml:space="preserve">Another positive strength was the quality of measurements. The Short Warwick–Edinburgh Mental Wellbeing Scale was used to assess mental wellbeing and detailed administrative classifications to record ethnicity. The researchers also explored measurement invariance, that is, whether there were ethnic differences that were due to different interpretations of the wellbeing items. Multiple comparisons were corrected for by multiple imputation, and missingness was studied systematically. </w:t>
      </w:r>
    </w:p>
    <w:p w14:paraId="4FFD7259" w14:textId="77777777" w:rsidR="004A5CD4" w:rsidRDefault="002244FC">
      <w:pPr>
        <w:rPr>
          <w:lang w:val="en-IN"/>
        </w:rPr>
      </w:pPr>
      <w:r>
        <w:rPr>
          <w:lang w:val="en-IN"/>
        </w:rPr>
        <w:t>However, exposure and outcome variables were captured at the same time, so it is not possible to determine if discrimination caused lower wellbeing. Reversible causality is thus still a possibility. Additionally, the secondary analysis restricted the authors to variables provided by #BeeWell, which were not necessarily important exposures, such as substance use. The data were not nationally representative, and included an overrepresentation of White British pupils, even for its size. Small ethnic groups were amalgamated, which may mask unique experiences. The study was therefore assessed as high quality for cross-sectional evidence, but was unable to show cause and effect.</w:t>
      </w:r>
    </w:p>
    <w:p w14:paraId="4918996C" w14:textId="77777777" w:rsidR="004A5CD4" w:rsidRDefault="002244FC">
      <w:pPr>
        <w:rPr>
          <w:b/>
          <w:bCs/>
          <w:lang w:val="en-IN"/>
        </w:rPr>
      </w:pPr>
      <w:r>
        <w:rPr>
          <w:b/>
          <w:bCs/>
          <w:lang w:val="en-IN"/>
        </w:rPr>
        <w:t>Appraisal of Nawaz et al. (2025)</w:t>
      </w:r>
    </w:p>
    <w:p w14:paraId="4FC29CF3" w14:textId="77777777" w:rsidR="004A5CD4" w:rsidRDefault="002244FC">
      <w:pPr>
        <w:rPr>
          <w:lang w:val="en-IN"/>
        </w:rPr>
      </w:pPr>
      <w:r>
        <w:rPr>
          <w:lang w:val="en-IN"/>
        </w:rPr>
        <w:t>Nawaz et al. (2025) conducted a cross-sectional secondary analysis of the 2023 OxWell Student Survey to examine associations between school experiences and self-harm among young people attending English secondary schools. The design was appropriate for identifying relationships between school-level experiences and self-harm, and multilevel logistic regression enabled individual and school-level factors to be considered simultaneously. The study assessed relevant school experiences including bullying, racism, teacher relationships and whether adults listened to pupils, alongside validated measures of mental health and wellbeing. Notably, perceptions that schools dealt poorly with racism were associated with a 20% higher likelihood of self-harm (OR=1.20, 95% CI 1.04–1.38), strengthening its relevance to this review.</w:t>
      </w:r>
    </w:p>
    <w:p w14:paraId="780BF283" w14:textId="77777777" w:rsidR="004A5CD4" w:rsidRDefault="002244FC">
      <w:pPr>
        <w:rPr>
          <w:lang w:val="en-IN"/>
        </w:rPr>
      </w:pPr>
      <w:r>
        <w:rPr>
          <w:lang w:val="en-IN"/>
        </w:rPr>
        <w:t>Methodological strengths include the use of a large school-based dataset, appropriate statistical modelling and consideration of several individual and contextual variables. However, the cross-sectional design prevents determination of temporal direction or causality; poor school experiences cannot therefore be concluded to cause self-harm. Self-reported experiences and self-harm may also introduce reporting bias. Furthermore, racism was one of several school-related exposures rather than the study’s exclusive focus. Overall, the study provides methodologically credible and directly relevant UK evidence, but its findings should be interpreted as associations rather than causal relationships.</w:t>
      </w:r>
    </w:p>
    <w:p w14:paraId="7D637C6E" w14:textId="77777777" w:rsidR="004A5CD4" w:rsidRDefault="002244FC">
      <w:pPr>
        <w:rPr>
          <w:b/>
          <w:bCs/>
          <w:lang w:val="en-IN"/>
        </w:rPr>
      </w:pPr>
      <w:r>
        <w:rPr>
          <w:b/>
          <w:bCs/>
          <w:lang w:val="en-IN"/>
        </w:rPr>
        <w:t>Appraisal of Blakey et al. (2021)</w:t>
      </w:r>
    </w:p>
    <w:p w14:paraId="6CA976ED" w14:textId="77777777" w:rsidR="004A5CD4" w:rsidRDefault="002244FC">
      <w:pPr>
        <w:rPr>
          <w:lang w:val="en-IN"/>
        </w:rPr>
      </w:pPr>
      <w:r>
        <w:rPr>
          <w:lang w:val="en-IN"/>
        </w:rPr>
        <w:t xml:space="preserve">Blakey et al. (2021) sought to determine the prevalence of conduct problems in adolescents at ethnic minority schools in ethnically diverse inner-city London schools, and to see if racial discrimination, socioeconomic status, parenting, and troublesome friendships accounted for ethnic differences. The baseline questionnaire data were collected from 4,353 pupils (aged 11-14), and multilevel logistic regression was used to take into account the clustering effect of pupils within schools. The large sample, 88% participation rate, weighting and detailed ethnic categories minimised selection bias and allowed for meaningful comparisons. There was also good reporting of ethical approval, pupil assent and parental opt-out procedures. </w:t>
      </w:r>
    </w:p>
    <w:p w14:paraId="3C4462C0" w14:textId="77777777" w:rsidR="004A5CD4" w:rsidRDefault="002244FC">
      <w:pPr>
        <w:rPr>
          <w:lang w:val="en-IN"/>
        </w:rPr>
      </w:pPr>
      <w:r>
        <w:rPr>
          <w:lang w:val="en-IN"/>
        </w:rPr>
        <w:t xml:space="preserve">Valid scales were employed to assess the study, such as the Strengths and Difficulties Questionnaire and Modified Parental Bond Instrument. The internal consistency of the conduct subscale, however, was only moderate (Cronbach's alpha = 0.62). Racial discrimination was assessed with a single yes/no question, not capturing the frequency, severity, source and structural nature of racism. Measures of problematic friendships and parental control were also streamlined: parental control might be coercive or protective. </w:t>
      </w:r>
    </w:p>
    <w:p w14:paraId="268D34F2" w14:textId="77777777" w:rsidR="004A5CD4" w:rsidRDefault="002244FC">
      <w:pPr>
        <w:rPr>
          <w:lang w:val="en-IN"/>
        </w:rPr>
      </w:pPr>
      <w:r>
        <w:rPr>
          <w:lang w:val="en-IN"/>
        </w:rPr>
        <w:t>Self-reporting decreased the effect of teacher racial bias, but added recall and social-desirability bias. Most importantly, the baseline analysis was cross-sectional; thus, strong conclusions about the effect of racial discrimination on conduct problems or the effect of conduct problems on perceptions and exposure were not drawn. The geographically concentrated London sample further limits the national generalisability. The study was judged moderate to high quality overall, with good sampling and analysis, but some problems with measurement precision and causal inference.</w:t>
      </w:r>
    </w:p>
    <w:p w14:paraId="1234EF8C" w14:textId="77777777" w:rsidR="004A5CD4" w:rsidRDefault="002244FC">
      <w:pPr>
        <w:rPr>
          <w:b/>
          <w:bCs/>
          <w:lang w:val="en-IN"/>
        </w:rPr>
      </w:pPr>
      <w:r>
        <w:rPr>
          <w:b/>
          <w:bCs/>
          <w:lang w:val="en-IN"/>
        </w:rPr>
        <w:t>Appraisal of Bains and Gutman (2021)</w:t>
      </w:r>
    </w:p>
    <w:p w14:paraId="13D69A37" w14:textId="77777777" w:rsidR="004A5CD4" w:rsidRDefault="002244FC">
      <w:pPr>
        <w:rPr>
          <w:lang w:val="en-IN"/>
        </w:rPr>
      </w:pPr>
      <w:r>
        <w:rPr>
          <w:lang w:val="en-IN"/>
        </w:rPr>
        <w:t xml:space="preserve">Bains and Gutman (2021) used the nationally representative Millennium Cohort Study to investigate ethnic differences in patterns of internalising and externalising problems between the ages of 3 and 14. Growth-curve modelling was used because there was an interest in developmental changes rather than differences in one time period. Analysis was adjusted for the complex sampling design, and included attrition weights and adjustment for child sex, household income, maternal education, maternal depression and maternal immigrant status. Partially missing observations could also be used in the models by using maximum-likelihood estimation. </w:t>
      </w:r>
    </w:p>
    <w:p w14:paraId="2AE6E6FB" w14:textId="77777777" w:rsidR="004A5CD4" w:rsidRDefault="002244FC">
      <w:pPr>
        <w:rPr>
          <w:lang w:val="en-IN"/>
        </w:rPr>
      </w:pPr>
      <w:r>
        <w:rPr>
          <w:lang w:val="en-IN"/>
        </w:rPr>
        <w:t xml:space="preserve">Large national sample and repeated measures enhanced temporal analysis and external validity. Highly diverse ethnic groups were not lumped together. Some minority ethnic subgroups were, however, much smaller than the White comparison group, and thus less precise. Most mental health measures were self-reported by parents, which could lead to informant and cultural interpretation bias. The internal reliability of the age-three internalising measure was less than preferred, and only a few socioeconomic status measures were controlled. </w:t>
      </w:r>
    </w:p>
    <w:p w14:paraId="7737EB18" w14:textId="77777777" w:rsidR="004A5CD4" w:rsidRDefault="002244FC">
      <w:pPr>
        <w:rPr>
          <w:lang w:val="en-IN"/>
        </w:rPr>
      </w:pPr>
      <w:r>
        <w:rPr>
          <w:lang w:val="en-IN"/>
        </w:rPr>
        <w:t>One major limitation in relevance is that the study did not directly address racial discrimination as the primary exposure, but instead considered ethnicity and mental-health trajectories. The authors stated that the impact of racism was still unclear and suggested that the proxy measure be used in further studies. The study thus offers robust evidence for ethnic variation, but is unable to determine whether racism caused such variation. It was rated to be of high methodological quality and moderate direct relevance to the review question.</w:t>
      </w:r>
    </w:p>
    <w:p w14:paraId="3742F599" w14:textId="77777777" w:rsidR="004A5CD4" w:rsidRDefault="002244FC">
      <w:pPr>
        <w:rPr>
          <w:b/>
          <w:bCs/>
          <w:lang w:val="en-IN"/>
        </w:rPr>
      </w:pPr>
      <w:r>
        <w:rPr>
          <w:b/>
          <w:bCs/>
          <w:lang w:val="en-IN"/>
        </w:rPr>
        <w:t>Appraisal of Astell-Burt et al. (2012)</w:t>
      </w:r>
    </w:p>
    <w:p w14:paraId="1ED4CE6B" w14:textId="77777777" w:rsidR="004A5CD4" w:rsidRDefault="002244FC">
      <w:pPr>
        <w:rPr>
          <w:lang w:val="en-IN"/>
        </w:rPr>
      </w:pPr>
      <w:r>
        <w:rPr>
          <w:lang w:val="en-IN"/>
        </w:rPr>
        <w:t>Astell-Burt et al. (2012) examined associations between racism, ethnic density, ethnic diversity, deprivation and psychological-wellbeing trajectories among 4,782 adolescents aged 11–16 years from 51 London schools. The longitudinal cohort design and multilevel modelling were appropriate for examining changes in wellbeing across adolescence while considering individual, school and neighbourhood influences. The Strengths and Difficulties Questionnaire provided a standardised measure of psychological wellbeing, while analyses accounted for ethnicity, age, gender, migration, socioeconomic circumstances, parenting and family characteristics.</w:t>
      </w:r>
    </w:p>
    <w:p w14:paraId="64FF9E8F" w14:textId="77777777" w:rsidR="004A5CD4" w:rsidRDefault="002244FC">
      <w:pPr>
        <w:rPr>
          <w:lang w:val="en-IN"/>
        </w:rPr>
      </w:pPr>
      <w:r>
        <w:rPr>
          <w:lang w:val="en-IN"/>
        </w:rPr>
        <w:t>Methodological strengths included the large and ethnically diverse sample, repeated observations, consideration of multiple contextual factors and sensitivity analyses addressing missing racism data. However, the observational design could not eliminate residual confounding or reverse causality. Exposure and neighbourhood measurements were not perfectly aligned, non-random selection into schools and neighbourhoods remained possible, and the London-based sample limits generalisability across the wider UK.</w:t>
      </w:r>
    </w:p>
    <w:p w14:paraId="3D72BCED" w14:textId="77777777" w:rsidR="004A5CD4" w:rsidRDefault="002244FC">
      <w:pPr>
        <w:rPr>
          <w:lang w:val="en-IN"/>
        </w:rPr>
      </w:pPr>
      <w:r>
        <w:rPr>
          <w:lang w:val="en-IN"/>
        </w:rPr>
        <w:t xml:space="preserve">Methodologically, the study provides relatively strong longitudinal evidence because it examines changes over time and explicitly measures racism alongside relevant contextual factors. Its direct relevance to the review question is also high because the participants were under 18, attended UK schools and racism was explicitly examined. </w:t>
      </w:r>
      <w:r>
        <w:t>Overall, Astell-Burt et al. (2012) provides relatively strong longitudinal evidence and high direct relevance to the review because it explicitly measured racism among adolescents in UK schools. Nevertheless, residual confounding, possible reverse causality and the London-based sample limit the strength and generalisability of its conclusions</w:t>
      </w:r>
      <w:r>
        <w:rPr>
          <w:lang w:val="en-IN"/>
        </w:rPr>
        <w:t xml:space="preserve">. </w:t>
      </w:r>
    </w:p>
    <w:p w14:paraId="75C695EE" w14:textId="77777777" w:rsidR="004A5CD4" w:rsidRDefault="002244FC">
      <w:pPr>
        <w:pStyle w:val="Heading2"/>
        <w:rPr>
          <w:lang w:val="en-IN"/>
        </w:rPr>
      </w:pPr>
      <w:bookmarkStart w:id="87" w:name="_Toc238674292"/>
      <w:r>
        <w:rPr>
          <w:lang w:val="en-IN"/>
        </w:rPr>
        <w:t>4.7 Overall Appraisal of the Quantitative Evidence</w:t>
      </w:r>
      <w:bookmarkEnd w:id="87"/>
    </w:p>
    <w:p w14:paraId="5E72B063" w14:textId="77777777" w:rsidR="004A5CD4" w:rsidRDefault="002244FC">
      <w:pPr>
        <w:rPr>
          <w:lang w:val="en-IN"/>
        </w:rPr>
      </w:pPr>
      <w:r>
        <w:rPr>
          <w:lang w:val="en-IN"/>
        </w:rPr>
        <w:t>The five quantitative studies differed in both methodological strength and direct relevance to the review question. Bains and Gutman (2021) and Astell-Burt et al. (2012) provided stronger evidence concerning developmental patterns because their longitudinal designs incorporated repeated measurements over time. Stepanous et al. (2025), Nawaz et al. (2025) and Blakey et al. (2021) provided large, contemporary cross-sectional datasets and appropriately adjusted analyses, but their designs could establish associations rather than temporal or causal relationships.</w:t>
      </w:r>
    </w:p>
    <w:p w14:paraId="70E5B994" w14:textId="77777777" w:rsidR="004A5CD4" w:rsidRDefault="002244FC">
      <w:pPr>
        <w:rPr>
          <w:lang w:val="en-IN"/>
        </w:rPr>
      </w:pPr>
      <w:r>
        <w:rPr>
          <w:lang w:val="en-IN"/>
        </w:rPr>
        <w:t>Direct relevance also varied independently of methodological quality. Studies explicitly measuring racial discrimination, including Astell-Burt et al. (2012), Blakey et al. (2021) and relevant analyses within Stepanous et al. (2025) and Nawaz et al. (2025), provided more direct evidence for the review question than studies primarily examining ethnic differences without measuring racism as the principal exposure. Consequently, greater confidence can be placed in studies combining rigorous methodology with direct measurement of racial discrimination, while findings based mainly on ethnicity should not automatically be interpreted as evidence of racism.</w:t>
      </w:r>
    </w:p>
    <w:p w14:paraId="380D4705" w14:textId="77777777" w:rsidR="004A5CD4" w:rsidRDefault="002244FC">
      <w:pPr>
        <w:pStyle w:val="Heading2"/>
        <w:rPr>
          <w:lang w:val="en-IN"/>
        </w:rPr>
      </w:pPr>
      <w:bookmarkStart w:id="88" w:name="_Toc238674293"/>
      <w:r>
        <w:rPr>
          <w:lang w:val="en-IN"/>
        </w:rPr>
        <w:t>4.7 Chapter Summary</w:t>
      </w:r>
      <w:bookmarkEnd w:id="88"/>
    </w:p>
    <w:p w14:paraId="706A6600" w14:textId="77777777" w:rsidR="004A5CD4" w:rsidRDefault="002244FC">
      <w:pPr>
        <w:rPr>
          <w:lang w:val="en-IN"/>
        </w:rPr>
      </w:pPr>
      <w:r>
        <w:rPr>
          <w:lang w:val="en-IN"/>
        </w:rPr>
        <w:t>This chapter presented the data extraction and critical appraisal of the eight studies included in the systematic review. A standardised data-extraction approach was used to record study design, population, setting, exposure and outcome measures, principal findings, ethical considerations, methodological strengths and limitations. Three qualitative studies were appraised using the CASP Qualitative Studies Checklist, while five quantitative studies were evaluated using design-specific JBI tools. The JBI Analytical Cross-Sectional Studies Checklist was applied to Stepanous et al. (2025), Nawaz et al. (2025) and Blakey et al. (2021), whereas the JBI Cohort Studies Checklist was applied to Bains and Gutman (2021) and Astell-Burt et al. (2012).</w:t>
      </w:r>
    </w:p>
    <w:p w14:paraId="3CD81060" w14:textId="77777777" w:rsidR="004A5CD4" w:rsidRDefault="002244FC">
      <w:pPr>
        <w:rPr>
          <w:lang w:val="en-IN"/>
        </w:rPr>
      </w:pPr>
      <w:r>
        <w:rPr>
          <w:lang w:val="en-IN"/>
        </w:rPr>
        <w:t>The appraisal demonstrated that methodological quality and direct relevance were not necessarily equivalent. Some studies employed strong designs but did not directly measure racism, while others were highly relevant to the research question but contained limitations affecting causal interpretation or generalisability. Overall, the evidence base supports examination of associations between racial discrimination, racial or ethnic inequalities and children's mental health, while methodological heterogeneity requires cautious interpretation. Chapter 5 therefore synthesises the findings according to their evidential strength and relevance to the research aim and objectives.</w:t>
      </w:r>
    </w:p>
    <w:p w14:paraId="47F90ED0" w14:textId="77777777" w:rsidR="004A5CD4" w:rsidRDefault="004A5CD4"/>
    <w:p w14:paraId="38BA1688" w14:textId="77777777" w:rsidR="004A5CD4" w:rsidRDefault="002244FC">
      <w:pPr>
        <w:rPr>
          <w:rFonts w:eastAsia="SimSun" w:cs="Mangal"/>
          <w:b/>
          <w:sz w:val="28"/>
          <w:szCs w:val="32"/>
          <w:lang w:val="en-IN"/>
        </w:rPr>
      </w:pPr>
      <w:r>
        <w:rPr>
          <w:rFonts w:eastAsia="SimSun" w:cs="Mangal"/>
          <w:b/>
          <w:sz w:val="28"/>
          <w:szCs w:val="32"/>
          <w:lang w:val="en-IN"/>
        </w:rPr>
        <w:br w:type="page"/>
      </w:r>
    </w:p>
    <w:p w14:paraId="55FF387F" w14:textId="77777777" w:rsidR="004A5CD4" w:rsidRDefault="002244FC">
      <w:pPr>
        <w:keepNext/>
        <w:keepLines/>
        <w:spacing w:before="240" w:after="0"/>
        <w:outlineLvl w:val="0"/>
        <w:rPr>
          <w:rFonts w:eastAsia="SimSun" w:cs="Mangal"/>
          <w:b/>
          <w:sz w:val="28"/>
          <w:szCs w:val="32"/>
          <w:lang w:val="en-IN"/>
        </w:rPr>
      </w:pPr>
      <w:bookmarkStart w:id="89" w:name="_Toc238674294"/>
      <w:r>
        <w:rPr>
          <w:rFonts w:eastAsia="SimSun" w:cs="Mangal"/>
          <w:b/>
          <w:sz w:val="28"/>
          <w:szCs w:val="32"/>
          <w:lang w:val="en-IN"/>
        </w:rPr>
        <w:t>5.0 Chapter 5: DATA ANALYSIS AND SYNTHESIS</w:t>
      </w:r>
      <w:bookmarkEnd w:id="89"/>
      <w:r>
        <w:rPr>
          <w:rFonts w:eastAsia="SimSun" w:cs="Mangal"/>
          <w:b/>
          <w:sz w:val="28"/>
          <w:szCs w:val="32"/>
          <w:lang w:val="en-IN"/>
        </w:rPr>
        <w:t xml:space="preserve"> </w:t>
      </w:r>
    </w:p>
    <w:p w14:paraId="3B2738DA" w14:textId="77777777" w:rsidR="004A5CD4" w:rsidRDefault="002244FC">
      <w:pPr>
        <w:pStyle w:val="Heading2"/>
        <w:rPr>
          <w:lang w:val="en-IN"/>
        </w:rPr>
      </w:pPr>
      <w:bookmarkStart w:id="90" w:name="_Toc238674295"/>
      <w:r>
        <w:rPr>
          <w:lang w:val="en-IN"/>
        </w:rPr>
        <w:t>5.1 Introduction to Chapter</w:t>
      </w:r>
      <w:bookmarkEnd w:id="90"/>
      <w:r>
        <w:rPr>
          <w:lang w:val="en-IN"/>
        </w:rPr>
        <w:t xml:space="preserve"> </w:t>
      </w:r>
    </w:p>
    <w:p w14:paraId="6ABCDF6E" w14:textId="77777777" w:rsidR="004A5CD4" w:rsidRDefault="002244FC">
      <w:pPr>
        <w:rPr>
          <w:rFonts w:eastAsia="Calibri" w:cs="Mangal"/>
          <w:lang w:val="en-IN"/>
        </w:rPr>
      </w:pPr>
      <w:r>
        <w:rPr>
          <w:rFonts w:eastAsia="Calibri" w:cs="Mangal"/>
        </w:rPr>
        <w:t>The analysis and synthesis of the evidence retrieved from the eight studies in the systematic literature review are presented in this chapter. The eight included studies used a range of qualitative, quantitative and longitudinal approaches, allowing the relationship between racial or ethnic disparities. The mental health and wellbeing of children and adolescents are examined from different methodological perspectives. The chapter sets out the thematic approach and analytical framework adopted to synthesise the evidence. It then provides an overview of the nature and geographical context of the selected studies and introduces the themes and sub-themes that have been uncovered by the results. These themes are presented in a comparative way to find patterns, similarities and differences, and factors that affect the relationship between racial discrimination and mental health. Throughout the synthesis, a distinction was maintained between studies that directly examined racial discrimination or racism and studies that identified ethnic disparities without directly measuring discriminatory experiences.</w:t>
      </w:r>
    </w:p>
    <w:p w14:paraId="6AD46FCD" w14:textId="77777777" w:rsidR="004A5CD4" w:rsidRDefault="002244FC">
      <w:pPr>
        <w:keepNext/>
        <w:keepLines/>
        <w:spacing w:before="40" w:after="0"/>
        <w:outlineLvl w:val="1"/>
        <w:rPr>
          <w:rFonts w:eastAsia="SimSun" w:cs="Mangal"/>
          <w:b/>
          <w:szCs w:val="26"/>
          <w:lang w:val="en-IN"/>
        </w:rPr>
      </w:pPr>
      <w:bookmarkStart w:id="91" w:name="_Toc238674296"/>
      <w:r>
        <w:rPr>
          <w:rFonts w:eastAsia="SimSun" w:cs="Mangal"/>
          <w:b/>
          <w:szCs w:val="26"/>
          <w:lang w:val="en-IN"/>
        </w:rPr>
        <w:t>5.2 Thematic Analysis</w:t>
      </w:r>
      <w:bookmarkEnd w:id="91"/>
      <w:r>
        <w:rPr>
          <w:rFonts w:eastAsia="SimSun" w:cs="Mangal"/>
          <w:b/>
          <w:szCs w:val="26"/>
          <w:lang w:val="en-IN"/>
        </w:rPr>
        <w:t xml:space="preserve"> </w:t>
      </w:r>
    </w:p>
    <w:p w14:paraId="72D1FA70" w14:textId="77777777" w:rsidR="004A5CD4" w:rsidRDefault="002244FC">
      <w:r>
        <w:t xml:space="preserve">Thematic synthesis was selected because the eight included studies differed considerably in research design, participant characteristics, exposure measures and mental-health outcomes (Ahmed </w:t>
      </w:r>
      <w:r>
        <w:rPr>
          <w:i/>
          <w:iCs/>
        </w:rPr>
        <w:t>et al</w:t>
      </w:r>
      <w:r>
        <w:t>., 2025). Some studies directly investigated racial discrimination or racism, whereas others reported ethnic differences in wellbeing, behavioural difficulties or access to mental-health support. This level of methodological and outcome heterogeneity made direct statistical pooling inappropriate. A meta-analysis would have required sufficiently comparable exposure measures, outcome measures and effect estimates across the included studies, which were not consistently available. Therefore, thematic synthesis provided a suitable method for integrating qualitative findings with patterns reported in quantitative studies. It enabled recurring concepts to be identified across the evidence and organised into themes concerning discriminatory experiences, psychological outcomes, behavioural and social consequences, and contextual risk or protective factors. In this review, quantitative findings were not statistically combined but were interpreted alongside qualitative findings according to the concepts and outcome patterns they represented.</w:t>
      </w:r>
    </w:p>
    <w:p w14:paraId="7C819B56" w14:textId="77777777" w:rsidR="004A5CD4" w:rsidRDefault="002244FC">
      <w:pPr>
        <w:keepNext/>
        <w:keepLines/>
        <w:spacing w:before="40" w:after="0"/>
        <w:outlineLvl w:val="1"/>
        <w:rPr>
          <w:rFonts w:eastAsia="SimSun" w:cs="Mangal"/>
          <w:b/>
          <w:szCs w:val="26"/>
          <w:lang w:val="en-IN"/>
        </w:rPr>
      </w:pPr>
      <w:bookmarkStart w:id="92" w:name="_Toc238674297"/>
      <w:r>
        <w:rPr>
          <w:rFonts w:eastAsia="SimSun" w:cs="Mangal"/>
          <w:b/>
          <w:szCs w:val="26"/>
          <w:lang w:val="en-IN"/>
        </w:rPr>
        <w:t>5.3 Data Analysis Tool</w:t>
      </w:r>
      <w:bookmarkEnd w:id="92"/>
    </w:p>
    <w:p w14:paraId="13312DCD" w14:textId="77777777" w:rsidR="004A5CD4" w:rsidRDefault="002244FC">
      <w:pPr>
        <w:rPr>
          <w:rFonts w:eastAsia="Calibri" w:cs="Mangal"/>
          <w:lang w:val="en-IN"/>
        </w:rPr>
      </w:pPr>
      <w:r>
        <w:rPr>
          <w:rFonts w:eastAsia="Calibri" w:cs="Mangal"/>
        </w:rPr>
        <w:t>The analysis was informed by the six phases of thematic analysis described by Braun and Clarke (2006). First, the researcher became familiar with the evidence by repeatedly reviewing the extracted findings from all eight included studies. Particular attention was given to findings concerning racial discrimination, ethnicity, psychological wellbeing, behavioural difficulties, bullying, social relationships and contextual factors. Second, initial codes were assigned to recurring findings, including racial bullying, discriminatory treatment, emotional distress, anxiety, conduct problems, family support, socioeconomic circumstances and ethnic density. Third, related codes were grouped into broader candidate themes. For example, codes concerning anxiety, reduced wellbeing and emotional distress were grouped under psychological and emotional consequences. Fourth, the candidate themes were reviewed against the findings of all included studies to ensure that they accurately represented similarities and differences across the evidence. Fifth, themes and sub-themes were clearly defined and named. Finally, findings from individual studies were compared within each theme and synthesised narratively. Throughout this process, studies directly measuring racism or racial discrimination were distinguished from studies reporting ethnic disparities without measuring racism.</w:t>
      </w:r>
    </w:p>
    <w:p w14:paraId="60B6D92D" w14:textId="77777777" w:rsidR="004A5CD4" w:rsidRDefault="002244FC">
      <w:pPr>
        <w:pStyle w:val="Heading2"/>
        <w:rPr>
          <w:rFonts w:eastAsia="Calibri"/>
          <w:lang w:val="en-IN"/>
        </w:rPr>
      </w:pPr>
      <w:bookmarkStart w:id="93" w:name="_Toc238674298"/>
      <w:r>
        <w:rPr>
          <w:rFonts w:eastAsia="Calibri"/>
          <w:lang w:val="en-IN"/>
        </w:rPr>
        <w:t>5.4 Characteristics of the identified studies</w:t>
      </w:r>
      <w:bookmarkEnd w:id="93"/>
    </w:p>
    <w:p w14:paraId="61B68D08" w14:textId="77777777" w:rsidR="004A5CD4" w:rsidRDefault="002244FC">
      <w:pPr>
        <w:rPr>
          <w:rFonts w:eastAsia="Calibri" w:cs="Mangal"/>
          <w:lang w:val="en-IN"/>
        </w:rPr>
      </w:pPr>
      <w:r>
        <w:rPr>
          <w:rFonts w:eastAsia="Calibri" w:cs="Mangal"/>
        </w:rPr>
        <w:t>Eight studies were included in the final synthesis. All contributed UK-relevant evidence concerning racial or ethnic inequalities, discrimination and the mental health or wellbeing of children and young people. O’Neill et al. (2021), Blakey et al. (2021), Astell-Burt et al. (2012), Bains and Gutman (2021), Stepanous et al. (2025) and Stoll et al. (2025) examined different aspects of children's racialised experiences, ethnic inequalities, wellbeing or behavioural outcomes. Nawaz et al. (2025) added contemporary school-based evidence concerning young people's school experiences and self-harm through the OxWell study. Simela et al. (2024) contributed qualitative UK evidence from parents and adolescents showing how racism can have interconnected effects on parent–child relationships and mental health across generations. The studies therefore provided complementary evidence from qualitative, cross-sectional and longitudinal perspectives, although they varied in whether racism was measured directly or inferred through racial or ethnic differences.</w:t>
      </w:r>
    </w:p>
    <w:p w14:paraId="334D4526" w14:textId="77777777" w:rsidR="004A5CD4" w:rsidRDefault="002244FC">
      <w:pPr>
        <w:pStyle w:val="Heading2"/>
        <w:rPr>
          <w:rFonts w:eastAsia="Calibri"/>
          <w:lang w:val="en-IN"/>
        </w:rPr>
      </w:pPr>
      <w:bookmarkStart w:id="94" w:name="_Toc238674299"/>
      <w:r>
        <w:rPr>
          <w:rFonts w:eastAsia="Calibri"/>
          <w:lang w:val="en-IN"/>
        </w:rPr>
        <w:t>5.5 Emerging Themes from included studies</w:t>
      </w:r>
      <w:bookmarkEnd w:id="94"/>
    </w:p>
    <w:tbl>
      <w:tblPr>
        <w:tblStyle w:val="TableGrid"/>
        <w:tblW w:w="9209" w:type="dxa"/>
        <w:tblLook w:val="04A0" w:firstRow="1" w:lastRow="0" w:firstColumn="1" w:lastColumn="0" w:noHBand="0" w:noVBand="1"/>
      </w:tblPr>
      <w:tblGrid>
        <w:gridCol w:w="2541"/>
        <w:gridCol w:w="2983"/>
        <w:gridCol w:w="3685"/>
      </w:tblGrid>
      <w:tr w:rsidR="004A5CD4" w14:paraId="63D35DAD" w14:textId="77777777">
        <w:tc>
          <w:tcPr>
            <w:tcW w:w="0" w:type="auto"/>
          </w:tcPr>
          <w:p w14:paraId="36628318" w14:textId="77777777" w:rsidR="004A5CD4" w:rsidRDefault="002244FC">
            <w:pPr>
              <w:jc w:val="center"/>
              <w:rPr>
                <w:b/>
                <w:bCs/>
                <w:lang w:val="en-IN"/>
              </w:rPr>
            </w:pPr>
            <w:bookmarkStart w:id="95" w:name="_Toc238133544"/>
            <w:r>
              <w:rPr>
                <w:b/>
                <w:bCs/>
                <w:lang w:val="en-IN"/>
              </w:rPr>
              <w:t>Overarching Theme</w:t>
            </w:r>
          </w:p>
        </w:tc>
        <w:tc>
          <w:tcPr>
            <w:tcW w:w="2983" w:type="dxa"/>
          </w:tcPr>
          <w:p w14:paraId="7C4C03B6" w14:textId="77777777" w:rsidR="004A5CD4" w:rsidRDefault="002244FC">
            <w:pPr>
              <w:jc w:val="center"/>
              <w:rPr>
                <w:b/>
                <w:bCs/>
                <w:lang w:val="en-IN"/>
              </w:rPr>
            </w:pPr>
            <w:r>
              <w:rPr>
                <w:b/>
                <w:bCs/>
                <w:lang w:val="en-IN"/>
              </w:rPr>
              <w:t>Sub-themes</w:t>
            </w:r>
          </w:p>
        </w:tc>
        <w:tc>
          <w:tcPr>
            <w:tcW w:w="3685" w:type="dxa"/>
          </w:tcPr>
          <w:p w14:paraId="0B374EB6" w14:textId="77777777" w:rsidR="004A5CD4" w:rsidRDefault="002244FC">
            <w:pPr>
              <w:jc w:val="center"/>
              <w:rPr>
                <w:b/>
                <w:bCs/>
                <w:lang w:val="en-IN"/>
              </w:rPr>
            </w:pPr>
            <w:r>
              <w:rPr>
                <w:b/>
                <w:bCs/>
                <w:lang w:val="en-IN"/>
              </w:rPr>
              <w:t>Articles where theme/sub-theme was identified</w:t>
            </w:r>
          </w:p>
        </w:tc>
      </w:tr>
      <w:tr w:rsidR="004A5CD4" w14:paraId="01FC9B2B" w14:textId="77777777">
        <w:tc>
          <w:tcPr>
            <w:tcW w:w="0" w:type="auto"/>
          </w:tcPr>
          <w:p w14:paraId="3EBDB394" w14:textId="77777777" w:rsidR="004A5CD4" w:rsidRDefault="002244FC">
            <w:pPr>
              <w:rPr>
                <w:lang w:val="en-IN"/>
              </w:rPr>
            </w:pPr>
            <w:r>
              <w:rPr>
                <w:lang w:val="en-IN"/>
              </w:rPr>
              <w:t>Theme 1: Experiences and manifestations of racial discrimination</w:t>
            </w:r>
          </w:p>
        </w:tc>
        <w:tc>
          <w:tcPr>
            <w:tcW w:w="2983" w:type="dxa"/>
          </w:tcPr>
          <w:p w14:paraId="0E9F06AA" w14:textId="77777777" w:rsidR="004A5CD4" w:rsidRDefault="002244FC">
            <w:pPr>
              <w:rPr>
                <w:lang w:val="en-IN"/>
              </w:rPr>
            </w:pPr>
            <w:r>
              <w:rPr>
                <w:lang w:val="en-IN"/>
              </w:rPr>
              <w:t>1.1 Interpersonal racism, racial bullying and discriminatory treatment</w:t>
            </w:r>
          </w:p>
        </w:tc>
        <w:tc>
          <w:tcPr>
            <w:tcW w:w="3685" w:type="dxa"/>
          </w:tcPr>
          <w:p w14:paraId="05CF6FB1" w14:textId="77777777" w:rsidR="004A5CD4" w:rsidRDefault="002244FC">
            <w:pPr>
              <w:rPr>
                <w:lang w:val="en-IN"/>
              </w:rPr>
            </w:pPr>
            <w:r>
              <w:rPr>
                <w:lang w:val="en-IN"/>
              </w:rPr>
              <w:t>Stoll et al. (2025); Stepanous et al. (2025); Blakey et al. (2021); Astell-Burt et al. (2012); Simela et al. (2024)</w:t>
            </w:r>
          </w:p>
        </w:tc>
      </w:tr>
      <w:tr w:rsidR="004A5CD4" w14:paraId="7C9B4D61" w14:textId="77777777">
        <w:tc>
          <w:tcPr>
            <w:tcW w:w="0" w:type="auto"/>
          </w:tcPr>
          <w:p w14:paraId="52D96722" w14:textId="77777777" w:rsidR="004A5CD4" w:rsidRDefault="004A5CD4">
            <w:pPr>
              <w:rPr>
                <w:lang w:val="en-IN"/>
              </w:rPr>
            </w:pPr>
          </w:p>
        </w:tc>
        <w:tc>
          <w:tcPr>
            <w:tcW w:w="2983" w:type="dxa"/>
          </w:tcPr>
          <w:p w14:paraId="79566B20" w14:textId="77777777" w:rsidR="004A5CD4" w:rsidRDefault="002244FC">
            <w:pPr>
              <w:rPr>
                <w:lang w:val="en-IN"/>
              </w:rPr>
            </w:pPr>
            <w:r>
              <w:rPr>
                <w:lang w:val="en-IN"/>
              </w:rPr>
              <w:t>1.2 Institutional and school-based racial inequalities</w:t>
            </w:r>
          </w:p>
        </w:tc>
        <w:tc>
          <w:tcPr>
            <w:tcW w:w="3685" w:type="dxa"/>
          </w:tcPr>
          <w:p w14:paraId="0358B16D" w14:textId="77777777" w:rsidR="004A5CD4" w:rsidRDefault="002244FC">
            <w:pPr>
              <w:rPr>
                <w:lang w:val="en-IN"/>
              </w:rPr>
            </w:pPr>
            <w:r>
              <w:rPr>
                <w:lang w:val="en-IN"/>
              </w:rPr>
              <w:t>Stoll et al. (2025); Blakey et al. (2021); Astell-Burt et al. (2012); Bains and Gutman (2021); Nawaz et al. (2025)</w:t>
            </w:r>
          </w:p>
        </w:tc>
      </w:tr>
      <w:tr w:rsidR="004A5CD4" w14:paraId="6DC88259" w14:textId="77777777">
        <w:tc>
          <w:tcPr>
            <w:tcW w:w="0" w:type="auto"/>
          </w:tcPr>
          <w:p w14:paraId="6CF47793" w14:textId="77777777" w:rsidR="004A5CD4" w:rsidRDefault="002244FC">
            <w:pPr>
              <w:rPr>
                <w:lang w:val="en-IN"/>
              </w:rPr>
            </w:pPr>
            <w:r>
              <w:rPr>
                <w:lang w:val="en-IN"/>
              </w:rPr>
              <w:t>Theme 2: Adverse psychological and emotional consequences</w:t>
            </w:r>
          </w:p>
        </w:tc>
        <w:tc>
          <w:tcPr>
            <w:tcW w:w="2983" w:type="dxa"/>
          </w:tcPr>
          <w:p w14:paraId="799C2D79" w14:textId="77777777" w:rsidR="004A5CD4" w:rsidRDefault="002244FC">
            <w:pPr>
              <w:rPr>
                <w:lang w:val="en-IN"/>
              </w:rPr>
            </w:pPr>
            <w:r>
              <w:rPr>
                <w:lang w:val="en-IN"/>
              </w:rPr>
              <w:t>2.1 Reduced mental wellbeing, emotional distress, anxiety and trauma-related experiences</w:t>
            </w:r>
          </w:p>
        </w:tc>
        <w:tc>
          <w:tcPr>
            <w:tcW w:w="3685" w:type="dxa"/>
          </w:tcPr>
          <w:p w14:paraId="77896A86" w14:textId="77777777" w:rsidR="004A5CD4" w:rsidRDefault="002244FC">
            <w:pPr>
              <w:rPr>
                <w:lang w:val="en-IN"/>
              </w:rPr>
            </w:pPr>
            <w:r>
              <w:rPr>
                <w:lang w:val="en-IN"/>
              </w:rPr>
              <w:t>Stoll et al. (2025); Stepanous et al. (2025); Simela et al. (2024); O’Neill et al. (2021); Astell-Burt et al. (2012); Nawaz et al. (2025)</w:t>
            </w:r>
          </w:p>
        </w:tc>
      </w:tr>
      <w:tr w:rsidR="004A5CD4" w14:paraId="4C78A232" w14:textId="77777777">
        <w:tc>
          <w:tcPr>
            <w:tcW w:w="0" w:type="auto"/>
          </w:tcPr>
          <w:p w14:paraId="403D9149" w14:textId="77777777" w:rsidR="004A5CD4" w:rsidRDefault="004A5CD4">
            <w:pPr>
              <w:rPr>
                <w:lang w:val="en-IN"/>
              </w:rPr>
            </w:pPr>
          </w:p>
        </w:tc>
        <w:tc>
          <w:tcPr>
            <w:tcW w:w="2983" w:type="dxa"/>
          </w:tcPr>
          <w:p w14:paraId="14FB683A" w14:textId="77777777" w:rsidR="004A5CD4" w:rsidRDefault="002244FC">
            <w:pPr>
              <w:rPr>
                <w:lang w:val="en-IN"/>
              </w:rPr>
            </w:pPr>
            <w:r>
              <w:rPr>
                <w:lang w:val="en-IN"/>
              </w:rPr>
              <w:t>2.2 Internalising problems and psychological difficulties</w:t>
            </w:r>
          </w:p>
        </w:tc>
        <w:tc>
          <w:tcPr>
            <w:tcW w:w="3685" w:type="dxa"/>
          </w:tcPr>
          <w:p w14:paraId="0BDA3039" w14:textId="77777777" w:rsidR="004A5CD4" w:rsidRDefault="002244FC">
            <w:pPr>
              <w:rPr>
                <w:lang w:val="en-IN"/>
              </w:rPr>
            </w:pPr>
            <w:r>
              <w:rPr>
                <w:lang w:val="en-IN"/>
              </w:rPr>
              <w:t>Bains and Gutman (2021); Stepanous et al. (2025); O’Neill et al. (2021); Astell-Burt et al. (2012); Simela et al. (2024)</w:t>
            </w:r>
          </w:p>
        </w:tc>
      </w:tr>
      <w:tr w:rsidR="004A5CD4" w14:paraId="3DC8D108" w14:textId="77777777">
        <w:tc>
          <w:tcPr>
            <w:tcW w:w="0" w:type="auto"/>
          </w:tcPr>
          <w:p w14:paraId="4AF32770" w14:textId="77777777" w:rsidR="004A5CD4" w:rsidRDefault="002244FC">
            <w:pPr>
              <w:rPr>
                <w:lang w:val="en-IN"/>
              </w:rPr>
            </w:pPr>
            <w:r>
              <w:rPr>
                <w:lang w:val="en-IN"/>
              </w:rPr>
              <w:t>Theme 3: Behavioural, social and developmental consequences</w:t>
            </w:r>
          </w:p>
        </w:tc>
        <w:tc>
          <w:tcPr>
            <w:tcW w:w="2983" w:type="dxa"/>
          </w:tcPr>
          <w:p w14:paraId="6D3CD445" w14:textId="77777777" w:rsidR="004A5CD4" w:rsidRDefault="002244FC">
            <w:pPr>
              <w:rPr>
                <w:lang w:val="en-IN"/>
              </w:rPr>
            </w:pPr>
            <w:r>
              <w:rPr>
                <w:lang w:val="en-IN"/>
              </w:rPr>
              <w:t>3.1 Conduct and externalising problems</w:t>
            </w:r>
          </w:p>
        </w:tc>
        <w:tc>
          <w:tcPr>
            <w:tcW w:w="3685" w:type="dxa"/>
          </w:tcPr>
          <w:p w14:paraId="51A83A13" w14:textId="77777777" w:rsidR="004A5CD4" w:rsidRDefault="002244FC">
            <w:pPr>
              <w:rPr>
                <w:lang w:val="en-IN"/>
              </w:rPr>
            </w:pPr>
            <w:r>
              <w:rPr>
                <w:lang w:val="en-IN"/>
              </w:rPr>
              <w:t>Blakey et al. (2021); Bains and Gutman (2021)</w:t>
            </w:r>
          </w:p>
        </w:tc>
      </w:tr>
      <w:tr w:rsidR="004A5CD4" w14:paraId="5E2F5854" w14:textId="77777777">
        <w:tc>
          <w:tcPr>
            <w:tcW w:w="0" w:type="auto"/>
          </w:tcPr>
          <w:p w14:paraId="5C07E97C" w14:textId="77777777" w:rsidR="004A5CD4" w:rsidRDefault="004A5CD4">
            <w:pPr>
              <w:rPr>
                <w:lang w:val="en-IN"/>
              </w:rPr>
            </w:pPr>
          </w:p>
        </w:tc>
        <w:tc>
          <w:tcPr>
            <w:tcW w:w="2983" w:type="dxa"/>
          </w:tcPr>
          <w:p w14:paraId="36952220" w14:textId="77777777" w:rsidR="004A5CD4" w:rsidRDefault="002244FC">
            <w:pPr>
              <w:rPr>
                <w:lang w:val="en-IN"/>
              </w:rPr>
            </w:pPr>
            <w:r>
              <w:rPr>
                <w:lang w:val="en-IN"/>
              </w:rPr>
              <w:t>3.2 Social relationships, bullying and feelings of insecurity</w:t>
            </w:r>
          </w:p>
        </w:tc>
        <w:tc>
          <w:tcPr>
            <w:tcW w:w="3685" w:type="dxa"/>
          </w:tcPr>
          <w:p w14:paraId="124AE491" w14:textId="77777777" w:rsidR="004A5CD4" w:rsidRDefault="002244FC">
            <w:pPr>
              <w:rPr>
                <w:lang w:val="en-IN"/>
              </w:rPr>
            </w:pPr>
            <w:r>
              <w:rPr>
                <w:lang w:val="en-IN"/>
              </w:rPr>
              <w:t>O’Neill et al. (2021); Stepanous et al. (2025); Stoll et al. (2025); Simela et al. (2024); Nawaz et al. (2025)</w:t>
            </w:r>
          </w:p>
        </w:tc>
      </w:tr>
      <w:tr w:rsidR="004A5CD4" w14:paraId="32E006C3" w14:textId="77777777">
        <w:tc>
          <w:tcPr>
            <w:tcW w:w="0" w:type="auto"/>
          </w:tcPr>
          <w:p w14:paraId="595C7D8F" w14:textId="77777777" w:rsidR="004A5CD4" w:rsidRDefault="004A5CD4">
            <w:pPr>
              <w:rPr>
                <w:lang w:val="en-IN"/>
              </w:rPr>
            </w:pPr>
          </w:p>
        </w:tc>
        <w:tc>
          <w:tcPr>
            <w:tcW w:w="2983" w:type="dxa"/>
          </w:tcPr>
          <w:p w14:paraId="4C49B821" w14:textId="77777777" w:rsidR="004A5CD4" w:rsidRDefault="002244FC">
            <w:pPr>
              <w:rPr>
                <w:lang w:val="en-IN"/>
              </w:rPr>
            </w:pPr>
            <w:r>
              <w:rPr>
                <w:lang w:val="en-IN"/>
              </w:rPr>
              <w:t>3.3 Persistence of inequalities across childhood and adolescence</w:t>
            </w:r>
          </w:p>
        </w:tc>
        <w:tc>
          <w:tcPr>
            <w:tcW w:w="3685" w:type="dxa"/>
          </w:tcPr>
          <w:p w14:paraId="4329BA61" w14:textId="77777777" w:rsidR="004A5CD4" w:rsidRDefault="002244FC">
            <w:pPr>
              <w:rPr>
                <w:lang w:val="en-IN"/>
              </w:rPr>
            </w:pPr>
            <w:r>
              <w:rPr>
                <w:lang w:val="en-IN"/>
              </w:rPr>
              <w:t>Bains and Gutman (2021); Astell-Burt et al. (2012); Stoll et al. (2025); Simela et al. (2024)</w:t>
            </w:r>
          </w:p>
        </w:tc>
      </w:tr>
      <w:tr w:rsidR="004A5CD4" w14:paraId="6D8CFB1B" w14:textId="77777777">
        <w:tc>
          <w:tcPr>
            <w:tcW w:w="0" w:type="auto"/>
          </w:tcPr>
          <w:p w14:paraId="5770336A" w14:textId="77777777" w:rsidR="004A5CD4" w:rsidRDefault="002244FC">
            <w:pPr>
              <w:rPr>
                <w:lang w:val="en-IN"/>
              </w:rPr>
            </w:pPr>
            <w:r>
              <w:rPr>
                <w:lang w:val="en-IN"/>
              </w:rPr>
              <w:t>Theme 4: Risk and protective factors shaping mental-health outcomes</w:t>
            </w:r>
          </w:p>
        </w:tc>
        <w:tc>
          <w:tcPr>
            <w:tcW w:w="2983" w:type="dxa"/>
          </w:tcPr>
          <w:p w14:paraId="06715BC7" w14:textId="77777777" w:rsidR="004A5CD4" w:rsidRDefault="002244FC">
            <w:pPr>
              <w:rPr>
                <w:lang w:val="en-IN"/>
              </w:rPr>
            </w:pPr>
            <w:r>
              <w:rPr>
                <w:lang w:val="en-IN"/>
              </w:rPr>
              <w:t>4.1 Socioeconomic circumstances, ethnicity and neighbourhood/school environment</w:t>
            </w:r>
          </w:p>
        </w:tc>
        <w:tc>
          <w:tcPr>
            <w:tcW w:w="3685" w:type="dxa"/>
          </w:tcPr>
          <w:p w14:paraId="45DA94D8" w14:textId="77777777" w:rsidR="004A5CD4" w:rsidRDefault="002244FC">
            <w:pPr>
              <w:rPr>
                <w:lang w:val="en-IN"/>
              </w:rPr>
            </w:pPr>
            <w:r>
              <w:rPr>
                <w:lang w:val="en-IN"/>
              </w:rPr>
              <w:t>Stepanous et al. (2025); Blakey et al. (2021); Bains and Gutman (2021); Astell-Burt et al. (2012); Nawaz et al. (2025); Simela et al. (2024)</w:t>
            </w:r>
          </w:p>
        </w:tc>
      </w:tr>
      <w:tr w:rsidR="004A5CD4" w14:paraId="79449E49" w14:textId="77777777">
        <w:tc>
          <w:tcPr>
            <w:tcW w:w="0" w:type="auto"/>
          </w:tcPr>
          <w:p w14:paraId="548A3670" w14:textId="77777777" w:rsidR="004A5CD4" w:rsidRDefault="004A5CD4">
            <w:pPr>
              <w:rPr>
                <w:lang w:val="en-IN"/>
              </w:rPr>
            </w:pPr>
          </w:p>
        </w:tc>
        <w:tc>
          <w:tcPr>
            <w:tcW w:w="2983" w:type="dxa"/>
          </w:tcPr>
          <w:p w14:paraId="55575BA6" w14:textId="77777777" w:rsidR="004A5CD4" w:rsidRDefault="002244FC">
            <w:pPr>
              <w:rPr>
                <w:lang w:val="en-IN"/>
              </w:rPr>
            </w:pPr>
            <w:r>
              <w:rPr>
                <w:lang w:val="en-IN"/>
              </w:rPr>
              <w:t>4.2 Family, peer and social support as potential protective factors</w:t>
            </w:r>
          </w:p>
        </w:tc>
        <w:tc>
          <w:tcPr>
            <w:tcW w:w="3685" w:type="dxa"/>
          </w:tcPr>
          <w:p w14:paraId="1363DDE7" w14:textId="77777777" w:rsidR="004A5CD4" w:rsidRDefault="002244FC">
            <w:pPr>
              <w:rPr>
                <w:lang w:val="en-IN"/>
              </w:rPr>
            </w:pPr>
            <w:r>
              <w:rPr>
                <w:lang w:val="en-IN"/>
              </w:rPr>
              <w:t>Stepanous et al. (2025); Blakey et al. (2021); Bains and Gutman (2021); Simela et al. (2024)</w:t>
            </w:r>
          </w:p>
        </w:tc>
      </w:tr>
      <w:tr w:rsidR="004A5CD4" w14:paraId="0B40BD59" w14:textId="77777777">
        <w:tc>
          <w:tcPr>
            <w:tcW w:w="0" w:type="auto"/>
          </w:tcPr>
          <w:p w14:paraId="58795FA3" w14:textId="77777777" w:rsidR="004A5CD4" w:rsidRDefault="004A5CD4">
            <w:pPr>
              <w:rPr>
                <w:lang w:val="en-IN"/>
              </w:rPr>
            </w:pPr>
          </w:p>
        </w:tc>
        <w:tc>
          <w:tcPr>
            <w:tcW w:w="2983" w:type="dxa"/>
          </w:tcPr>
          <w:p w14:paraId="4356D97D" w14:textId="77777777" w:rsidR="004A5CD4" w:rsidRDefault="002244FC">
            <w:pPr>
              <w:rPr>
                <w:lang w:val="en-IN"/>
              </w:rPr>
            </w:pPr>
            <w:r>
              <w:rPr>
                <w:lang w:val="en-IN"/>
              </w:rPr>
              <w:t>4.3 Ethnic density, social identity and belonging</w:t>
            </w:r>
          </w:p>
        </w:tc>
        <w:tc>
          <w:tcPr>
            <w:tcW w:w="3685" w:type="dxa"/>
          </w:tcPr>
          <w:p w14:paraId="75E2721D" w14:textId="77777777" w:rsidR="004A5CD4" w:rsidRDefault="002244FC">
            <w:pPr>
              <w:rPr>
                <w:lang w:val="en-IN"/>
              </w:rPr>
            </w:pPr>
            <w:r>
              <w:rPr>
                <w:lang w:val="en-IN"/>
              </w:rPr>
              <w:t>Stepanous et al. (2025); Astell-Burt et al. (2012); Simela et al. (2024)</w:t>
            </w:r>
          </w:p>
        </w:tc>
      </w:tr>
    </w:tbl>
    <w:p w14:paraId="4DACA7B8" w14:textId="77777777" w:rsidR="004A5CD4" w:rsidRDefault="004A5CD4">
      <w:pPr>
        <w:pStyle w:val="Heading6"/>
        <w:rPr>
          <w:color w:val="auto"/>
        </w:rPr>
      </w:pPr>
    </w:p>
    <w:p w14:paraId="73AB1402" w14:textId="77777777" w:rsidR="004A5CD4" w:rsidRDefault="002244FC">
      <w:pPr>
        <w:pStyle w:val="Heading6"/>
        <w:rPr>
          <w:color w:val="auto"/>
        </w:rPr>
      </w:pPr>
      <w:bookmarkStart w:id="96" w:name="_Toc238493937"/>
      <w:r>
        <w:rPr>
          <w:color w:val="auto"/>
        </w:rPr>
        <w:t>Table 3: Overarching Themes and Sub-themes Emerging from the Included Studies</w:t>
      </w:r>
      <w:bookmarkEnd w:id="95"/>
      <w:bookmarkEnd w:id="96"/>
    </w:p>
    <w:p w14:paraId="052B8C96" w14:textId="77777777" w:rsidR="004A5CD4" w:rsidRDefault="002244FC">
      <w:pPr>
        <w:jc w:val="center"/>
      </w:pPr>
      <w:r>
        <w:t>(Source: Self-Developed)</w:t>
      </w:r>
    </w:p>
    <w:p w14:paraId="72BD13B5" w14:textId="77777777" w:rsidR="004A5CD4" w:rsidRDefault="002244FC">
      <w:pPr>
        <w:pStyle w:val="Heading3"/>
      </w:pPr>
      <w:bookmarkStart w:id="97" w:name="_Toc238674300"/>
      <w:r>
        <w:t>5.5.1 Theme 1: Experiences and Manifestations of Racial Discrimination</w:t>
      </w:r>
      <w:bookmarkEnd w:id="97"/>
    </w:p>
    <w:p w14:paraId="5AA9EFF4" w14:textId="77777777" w:rsidR="004A5CD4" w:rsidRDefault="002244FC">
      <w:pPr>
        <w:rPr>
          <w:lang w:val="en-IN"/>
        </w:rPr>
      </w:pPr>
      <w:r>
        <w:t>The first overarching theme concerned the ways in which racial discrimination was represented across the included studies. The findings showed that discriminatory experiences occurred through interpersonal encounters, including racial bullying and unequal treatment, as well as within wider school and social environments. However, the included studies did not measure racism in the same way. Some directly examined racial discrimination, whereas others reported differences between ethnic groups without directly measuring discriminatory experiences. Two related sub-themes were identified: interpersonal racism, racial bullying and discriminatory treatment; and institutional and school-based racial inequalities.</w:t>
      </w:r>
    </w:p>
    <w:p w14:paraId="44673E61" w14:textId="77777777" w:rsidR="004A5CD4" w:rsidRDefault="002244FC">
      <w:pPr>
        <w:pStyle w:val="Heading4"/>
        <w:rPr>
          <w:color w:val="auto"/>
          <w:lang w:val="en-IN"/>
        </w:rPr>
      </w:pPr>
      <w:r>
        <w:rPr>
          <w:color w:val="auto"/>
          <w:lang w:val="en-IN"/>
        </w:rPr>
        <w:t>5.5.1.1 Interpersonal racism, racial bullying and discriminatory treatment</w:t>
      </w:r>
    </w:p>
    <w:p w14:paraId="47D0E7CE" w14:textId="77777777" w:rsidR="004A5CD4" w:rsidRDefault="002244FC">
      <w:pPr>
        <w:rPr>
          <w:lang w:val="en-IN"/>
        </w:rPr>
      </w:pPr>
      <w:r>
        <w:t>Interpersonal racial discrimination was identified across several included studies. Stoll et al. (2025) reported experiences of racial discrimination within educational settings, where participants described racism as part of adverse experiences during their schooling. Stepanous et al. (2025) similarly considered discrimination and bullying when examining ethnic inequalities in adolescent mental wellbeing. Blakey et al. (2021) examined racial discrimination among pupils aged 11–14 in ethnically diverse London schools and considered its relationship with conduct problems and wider social factors. Collectively, these studies show that discriminatory treatment can occur through interactions with peers and within educational environments. Although the studies used different approaches to examining discrimination, they consistently identified interpersonal experiences as an important component of racialised experiences among young people</w:t>
      </w:r>
      <w:r>
        <w:rPr>
          <w:lang w:val="en-IN"/>
        </w:rPr>
        <w:t>.</w:t>
      </w:r>
    </w:p>
    <w:p w14:paraId="34599823" w14:textId="77777777" w:rsidR="004A5CD4" w:rsidRDefault="002244FC">
      <w:pPr>
        <w:pStyle w:val="Heading4"/>
        <w:rPr>
          <w:color w:val="auto"/>
          <w:lang w:val="en-IN"/>
        </w:rPr>
      </w:pPr>
      <w:r>
        <w:rPr>
          <w:color w:val="auto"/>
          <w:lang w:val="en-IN"/>
        </w:rPr>
        <w:t>5.5.1.2 Institutional and school-based racial inequalities</w:t>
      </w:r>
    </w:p>
    <w:p w14:paraId="6C2E496F" w14:textId="77777777" w:rsidR="004A5CD4" w:rsidRDefault="002244FC">
      <w:pPr>
        <w:rPr>
          <w:lang w:val="en-IN"/>
        </w:rPr>
      </w:pPr>
      <w:r>
        <w:t>School and neighbourhood environments also emerged as important contexts within the evidence. Astell-Burt et al. (2012) examined racism alongside ethnic density, deprivation and school and neighbourhood characteristics among adolescents in London, demonstrating that racialised experiences were situated within broader social environments. Blakey et al. (2021) similarly considered racial discrimination alongside socioeconomic and social factors within ethnically diverse schools. In comparison, Bains and Gutman (2021) identified differences in mental-health trajectories between ethnic groups but did not directly measure racial discrimination. The findings therefore demonstrate two related patterns: some studies identified discriminatory experiences within educational environments, whereas others demonstrated ethnic inequalities in outcomes without directly attributing these differences to racism.</w:t>
      </w:r>
    </w:p>
    <w:p w14:paraId="46C4158B" w14:textId="77777777" w:rsidR="004A5CD4" w:rsidRDefault="002244FC">
      <w:pPr>
        <w:pStyle w:val="Heading3"/>
      </w:pPr>
      <w:bookmarkStart w:id="98" w:name="_Toc238674301"/>
      <w:r>
        <w:t>5.5.2 Theme 2: Adverse Psychological and Emotional Consequences</w:t>
      </w:r>
      <w:bookmarkEnd w:id="98"/>
    </w:p>
    <w:p w14:paraId="6B7B56D3" w14:textId="77777777" w:rsidR="004A5CD4" w:rsidRDefault="002244FC">
      <w:pPr>
        <w:rPr>
          <w:lang w:val="en-IN"/>
        </w:rPr>
      </w:pPr>
      <w:r>
        <w:rPr>
          <w:lang w:val="en-IN"/>
        </w:rPr>
        <w:t>The second overarching theme concerned psychological and emotional outcomes associated with racial discrimination and racial or ethnic inequalities. Studies directly examining discrimination generally identified poorer wellbeing, emotional distress or related psychological difficulties among young people reporting racialised experiences (Stoll et al., 2025; Astell-Burt et al., 2012; Nawaz et al., 2025). Other studies identified differences in mental-health outcomes between ethnic groups without directly establishing racism as the explanatory exposure (Bains and Gutman, 2021; Stepanous et al., 2025). Two sub-themes therefore emerged: reduced mental wellbeing, anxiety and emotional distress; and internalising and psychological difficulties.</w:t>
      </w:r>
    </w:p>
    <w:p w14:paraId="75BEDAFA" w14:textId="77777777" w:rsidR="004A5CD4" w:rsidRDefault="002244FC">
      <w:pPr>
        <w:pStyle w:val="Heading4"/>
        <w:rPr>
          <w:color w:val="auto"/>
          <w:lang w:val="en-IN"/>
        </w:rPr>
      </w:pPr>
      <w:r>
        <w:rPr>
          <w:color w:val="auto"/>
          <w:lang w:val="en-IN"/>
        </w:rPr>
        <w:t>5.5.2.1 Reduced Mental Wellbeing, Anxiety and Emotional Distress</w:t>
      </w:r>
    </w:p>
    <w:p w14:paraId="35E3B277" w14:textId="77777777" w:rsidR="004A5CD4" w:rsidRDefault="002244FC">
      <w:pPr>
        <w:rPr>
          <w:color w:val="EE0000"/>
          <w:lang w:val="en-IN"/>
        </w:rPr>
      </w:pPr>
      <w:r>
        <w:t>Reduced psychological wellbeing and emotional distress were reported across several studies. Stepanous et al. (2025) identified ethnic inequalities in adolescent mental wellbeing while considering discrimination, bullying, socioeconomic circumstances and family support. Similarly, Stoll et al. (2025) identified adverse mental health and wellbeing experiences in relation to racial discrimination within education. O’Neill et al. (2021) found that young people identified several social causes of emotional distress, with racism appearing among the experiences discussed. Nawaz et al. (2025) extend the evidence by examining school experiences in relation to self-harm among young people in the OxWell study, illustrating the relevance of school environments to severe psychological and behavioural distress. Simela et al. (2024) provide complementary qualitative evidence showing that experiences of racism within UK families were connected with poorer mental health and wellbeing across both parent and child generations. Together, these studies strengthen the UK-specific evidence that racialised and school-related experiences need to be interpreted within children's wider psychological, relational and social environments. Taken together, the studies identified inequalities across subjective wellbeing, emotional distress, internalising difficulties and self-harm, although only some directly measured experiences of racial discrimination</w:t>
      </w:r>
      <w:r>
        <w:rPr>
          <w:color w:val="EE0000"/>
        </w:rPr>
        <w:t>.</w:t>
      </w:r>
    </w:p>
    <w:p w14:paraId="7B424CA1" w14:textId="77777777" w:rsidR="004A5CD4" w:rsidRDefault="002244FC">
      <w:pPr>
        <w:pStyle w:val="Heading4"/>
        <w:rPr>
          <w:color w:val="auto"/>
          <w:lang w:val="en-IN"/>
        </w:rPr>
      </w:pPr>
      <w:r>
        <w:rPr>
          <w:color w:val="auto"/>
          <w:lang w:val="en-IN"/>
        </w:rPr>
        <w:t>5.5.2.2 Internalising and Psychological Difficulties</w:t>
      </w:r>
    </w:p>
    <w:p w14:paraId="3982AEAE" w14:textId="77777777" w:rsidR="004A5CD4" w:rsidRDefault="002244FC">
      <w:pPr>
        <w:rPr>
          <w:lang w:val="en-IN"/>
        </w:rPr>
      </w:pPr>
      <w:r>
        <w:t>Internalising psychological difficulties were also identified across the evidence. Bains and Gutman (2021) found differences in developmental trajectories of internalising problems among ethnic groups from early childhood to adolescence. Astell-Burt et al. (2012) similarly examined psychological wellbeing across adolescence while considering racism and individual, school and neighbourhood factors. Stepanous et al. (2025) further demonstrated inequalities in adolescent wellbeing across ethnic groups in relation to a range of social and contextual factors. Across these studies, poorer psychological outcomes were not restricted to isolated episodes but were also evident across developmental stages and different social contexts.</w:t>
      </w:r>
    </w:p>
    <w:p w14:paraId="65741C28" w14:textId="77777777" w:rsidR="004A5CD4" w:rsidRDefault="002244FC">
      <w:pPr>
        <w:pStyle w:val="Heading3"/>
      </w:pPr>
      <w:bookmarkStart w:id="99" w:name="_Toc238674302"/>
      <w:r>
        <w:t>5.5.3 Theme 3: Behavioural, Social and Developmental Consequences</w:t>
      </w:r>
      <w:bookmarkEnd w:id="99"/>
    </w:p>
    <w:p w14:paraId="3269074B" w14:textId="77777777" w:rsidR="004A5CD4" w:rsidRDefault="002244FC">
      <w:pPr>
        <w:rPr>
          <w:lang w:val="en-IN"/>
        </w:rPr>
      </w:pPr>
      <w:r>
        <w:t>The third overarching theme concerned behavioural, social and developmental outcomes associated with racial discrimination and racial or ethnic disparities. The included studies showed that differences were evident not only in emotional wellbeing but also in conduct problems, peer relationships, bullying experiences and patterns of mental-health development across childhood and adolescence. Three sub-themes were identified: conduct and externalising problems; social relationships, bullying and feelings of insecurity; and persistence of inequalities across childhood and adolescence. The table attributes persistence to Bains &amp; Gutman, Astell-Burt, Stoll and Simela, but the written synthesis relies mainly on the two longitudinal studies.</w:t>
      </w:r>
    </w:p>
    <w:p w14:paraId="02499D25" w14:textId="77777777" w:rsidR="004A5CD4" w:rsidRDefault="002244FC">
      <w:pPr>
        <w:pStyle w:val="Heading4"/>
        <w:rPr>
          <w:color w:val="auto"/>
          <w:lang w:val="en-IN"/>
        </w:rPr>
      </w:pPr>
      <w:r>
        <w:rPr>
          <w:color w:val="auto"/>
          <w:lang w:val="en-IN"/>
        </w:rPr>
        <w:t>5.5.3.1 Conduct and Externalising Problems</w:t>
      </w:r>
    </w:p>
    <w:p w14:paraId="5D1E4033" w14:textId="77777777" w:rsidR="004A5CD4" w:rsidRDefault="002244FC">
      <w:pPr>
        <w:rPr>
          <w:lang w:val="en-IN"/>
        </w:rPr>
      </w:pPr>
      <w:r>
        <w:rPr>
          <w:lang w:val="en-IN"/>
        </w:rPr>
        <w:t>Conduct and externalising problems emerged as an important behavioural outcome across the included studies. Blakey et al. (2021) examined conduct problems among 4,353 adolescents aged 11–14 years attending ethnically diverse inner-city London schools. The study considered racial discrimination alongside socioeconomic circumstances, parenting and problematic peer relationships, showing that behavioural outcomes occurred within a wider social context. Bains and Gutman (2021) similarly identified ethnic differences in externalising problems across childhood and adolescence using longitudinal data from the UK Millennium Cohort Study.</w:t>
      </w:r>
    </w:p>
    <w:p w14:paraId="6C91C15D" w14:textId="77777777" w:rsidR="004A5CD4" w:rsidRDefault="002244FC">
      <w:pPr>
        <w:rPr>
          <w:lang w:val="en-IN"/>
        </w:rPr>
      </w:pPr>
      <w:r>
        <w:rPr>
          <w:lang w:val="en-IN"/>
        </w:rPr>
        <w:t>Across both studies, behavioural difficulties varied between racial and ethnic groups, although the nature of the evidence differed. Blakey et al. (2021) directly incorporated racial discrimination when examining conduct problems, whereas Bains and Gutman (2021) focused on ethnic differences in developmental trajectories without directly measuring experiences of racial discrimination. Taken together, the findings indicate that conduct and externalising difficulties form part of the broader pattern of mental-health and behavioural inequalities identified among children and adolescents from different racial and ethnic backgrounds.</w:t>
      </w:r>
    </w:p>
    <w:p w14:paraId="2EB3FFA7" w14:textId="77777777" w:rsidR="004A5CD4" w:rsidRDefault="002244FC">
      <w:pPr>
        <w:pStyle w:val="Heading4"/>
        <w:rPr>
          <w:color w:val="auto"/>
          <w:lang w:val="en-IN"/>
        </w:rPr>
      </w:pPr>
      <w:r>
        <w:rPr>
          <w:color w:val="auto"/>
          <w:lang w:val="en-IN"/>
        </w:rPr>
        <w:t>5.5.3.2 Social Relationships, Bullying and Feelings of Insecurity</w:t>
      </w:r>
    </w:p>
    <w:p w14:paraId="4A636EAD" w14:textId="77777777" w:rsidR="004A5CD4" w:rsidRDefault="002244FC">
      <w:pPr>
        <w:rPr>
          <w:lang w:val="en-IN"/>
        </w:rPr>
      </w:pPr>
      <w:r>
        <w:rPr>
          <w:lang w:val="en-IN"/>
        </w:rPr>
        <w:t xml:space="preserve">A similar theme was seen with children's social experiences and relationships. Stepanous et al. (2025) included bullying with discrimination in their study of mental wellbeing among adolescents because they posited that racial discrimination could happen in various other peer and social contexts. Family support and other contextual factors were also explored, with the study showing that children's wellbeing is situated within several overlapping relationships and contexts. </w:t>
      </w:r>
    </w:p>
    <w:p w14:paraId="6399C7D9" w14:textId="77777777" w:rsidR="004A5CD4" w:rsidRDefault="002244FC">
      <w:pPr>
        <w:rPr>
          <w:lang w:val="en-IN"/>
        </w:rPr>
      </w:pPr>
      <w:r>
        <w:t>Simela et al. (2024) provide more directly relevant evidence concerning relationships and social insecurity because adolescents and parents in the UK described interconnected experiences of racism affecting parent–child relationships, mental health and wellbeing. Participants also identified social cohesion, safe spaces and education as potentially important responses. This complements Stepanous et al. (2025), where bullying, discrimination, family support and social context were considered alongside adolescent wellbeing, suggesting that racialised distress is embedded within children's wider interpersonal environments</w:t>
      </w:r>
      <w:r>
        <w:rPr>
          <w:lang w:val="en-IN"/>
        </w:rPr>
        <w:t xml:space="preserve">. O'Neill et al. (2021) provide more age-relevant evidence as they directly engaged with 32 young people aged between 11–12 and examined their understanding of emotional distress. However, racism was only a second priority, and the majority of the participants were white British, which limited the validity of the conclusions reached specifically in relation to racialised social experiences. </w:t>
      </w:r>
    </w:p>
    <w:p w14:paraId="1D94CA58" w14:textId="77777777" w:rsidR="004A5CD4" w:rsidRDefault="002244FC">
      <w:pPr>
        <w:pStyle w:val="Heading4"/>
        <w:rPr>
          <w:lang w:val="en-IN"/>
        </w:rPr>
      </w:pPr>
      <w:r>
        <w:rPr>
          <w:lang w:val="en-IN"/>
        </w:rPr>
        <w:t>5.5.3.3 Persistence of Inequalities Across Childhood and Adolescence</w:t>
      </w:r>
    </w:p>
    <w:p w14:paraId="702344C4" w14:textId="77777777" w:rsidR="004A5CD4" w:rsidRDefault="002244FC">
      <w:pPr>
        <w:rPr>
          <w:lang w:val="en-IN"/>
        </w:rPr>
      </w:pPr>
      <w:r>
        <w:rPr>
          <w:lang w:val="en-IN"/>
        </w:rPr>
        <w:t>The synthesis also implies that racial and ethnic disparities need to be viewed as developmental rather than simply as short-term conditions. The longitudinal study by Bains and Gutman (2021) showed that problems could be internal or external and viewed as trajectories from early childhood to adolescence. Similarly, Astell-Burt et al. (2012) looked at the psychological-wellbeing trajectories of adolescents aged 11 to 16, taking into account the effects of racism and contextual factors over time. So, both studies move away from single incidents of mental health and focus on patterns.</w:t>
      </w:r>
    </w:p>
    <w:p w14:paraId="14121941" w14:textId="77777777" w:rsidR="004A5CD4" w:rsidRDefault="002244FC">
      <w:pPr>
        <w:rPr>
          <w:lang w:val="en-IN"/>
        </w:rPr>
      </w:pPr>
      <w:r>
        <w:rPr>
          <w:lang w:val="en-IN"/>
        </w:rPr>
        <w:t>However, caution remains necessary. The assessment of the dissertation acknowledges the importance of longitudinal studies for establishing evidence of developmental pathways and notes that causal conclusions are limited as only some studies explicitly measured discrimination. Overall, the findings from Theme 3 suggest that there is a possibility that racial and ethnic inequalities are related not only to psychological distress but also to behavioural problems, social experiences and developmental patterns. The evidence thus indicates that racism and racial inequality may be relevant to children's general social and behavioural functioning and that longitudinal studies are needed to directly measure racial discrimination.</w:t>
      </w:r>
    </w:p>
    <w:p w14:paraId="155F8472" w14:textId="77777777" w:rsidR="004A5CD4" w:rsidRDefault="002244FC">
      <w:pPr>
        <w:pStyle w:val="Heading2"/>
        <w:rPr>
          <w:lang w:val="en-IN"/>
        </w:rPr>
      </w:pPr>
      <w:bookmarkStart w:id="100" w:name="_Toc238674303"/>
      <w:r>
        <w:rPr>
          <w:lang w:val="en-IN"/>
        </w:rPr>
        <w:t>5.5.4 Theme 4: Risk and Protective Factors Shaping Mental Health Outcomes</w:t>
      </w:r>
      <w:bookmarkEnd w:id="100"/>
    </w:p>
    <w:p w14:paraId="0C68B4E0" w14:textId="77777777" w:rsidR="004A5CD4" w:rsidRDefault="002244FC">
      <w:pPr>
        <w:rPr>
          <w:lang w:val="en-IN"/>
        </w:rPr>
      </w:pPr>
      <w:r>
        <w:t>The fourth overarching theme identified factors that might either exacerbate, mitigate or otherwise influence the link between racial disparities and children's mental health. This theme is especially applicable to the third research purpose of investigating what amplifies or diminishes the impact of racial discrimination. In the quantitative studies, discrimination was mostly not analysed in isolation. Rather, the socioeconomic status, family relationships, peer experiences, school, neighbourhood, ethnicity, and social identity were examined along with mental health outcomes. In sum, this indicates that racial discrimination is part of a broader social ecology, rather than a direct pathway</w:t>
      </w:r>
      <w:r>
        <w:rPr>
          <w:lang w:val="en-IN"/>
        </w:rPr>
        <w:t xml:space="preserve">. </w:t>
      </w:r>
    </w:p>
    <w:p w14:paraId="27EFB657" w14:textId="77777777" w:rsidR="004A5CD4" w:rsidRDefault="002244FC">
      <w:pPr>
        <w:pStyle w:val="Heading4"/>
        <w:rPr>
          <w:lang w:val="en-IN"/>
        </w:rPr>
      </w:pPr>
      <w:r>
        <w:rPr>
          <w:lang w:val="en-IN"/>
        </w:rPr>
        <w:t>5.5.4.1 Socioeconomic Circumstances and School/Neighbourhood Environment</w:t>
      </w:r>
    </w:p>
    <w:p w14:paraId="3232ED97" w14:textId="77777777" w:rsidR="004A5CD4" w:rsidRDefault="002244FC">
      <w:pPr>
        <w:rPr>
          <w:lang w:val="en-IN"/>
        </w:rPr>
      </w:pPr>
      <w:r>
        <w:rPr>
          <w:lang w:val="en-IN"/>
        </w:rPr>
        <w:t>The themes of socioeconomic and environmental conditions appeared over and over. Socioeconomic status, gender, neighbourhood ethnic density, ethnicity and discrimination were analysed in the #BeeWell dataset by Stepanous et al. (2025). The large sample size of 84,774 adolescents allowed for robust comparisons of wellbeing among social groups. However, these relationships cannot necessarily be interpreted as causal as a result of the cross-sectional design.</w:t>
      </w:r>
    </w:p>
    <w:p w14:paraId="66D1865B" w14:textId="77777777" w:rsidR="004A5CD4" w:rsidRDefault="002244FC">
      <w:pPr>
        <w:rPr>
          <w:lang w:val="en-IN"/>
        </w:rPr>
      </w:pPr>
      <w:r>
        <w:rPr>
          <w:lang w:val="en-IN"/>
        </w:rPr>
        <w:t>Likewise, Blakey et al. (2021) looked at socioeconomic status and racial discrimination in their study of conduct problems. This continues to reinforce the idea that racial inequalities and socioeconomic disadvantage can intersect when evaluating children's outcomes. Bains and Gutman (2021) also made adjustments to their longitudinal analysis for household income, maternal education, maternal depression and maternal immigrant status. Thus, it seems consistently significant that socioeconomic conditions play a role in understanding social ethnic disparities, either as a confounding or as an explanatory variable, but not as a mediator of the effects of racism.</w:t>
      </w:r>
    </w:p>
    <w:p w14:paraId="0F1C3C5C" w14:textId="77777777" w:rsidR="004A5CD4" w:rsidRDefault="002244FC">
      <w:pPr>
        <w:rPr>
          <w:lang w:val="en-IN"/>
        </w:rPr>
      </w:pPr>
      <w:r>
        <w:rPr>
          <w:lang w:val="en-IN"/>
        </w:rPr>
        <w:t xml:space="preserve">Astell-Burt et al. (2012) offer the most detailed contextual background by examining the relationship between the three measures of ethnic density, diversity and deprivation in schools in London and racism. The individual, school and neighbourhood factors were added together to demonstrate that the wellbeing of children is affected by a range of factors that go beyond the individual. </w:t>
      </w:r>
    </w:p>
    <w:p w14:paraId="49444D18" w14:textId="77777777" w:rsidR="004A5CD4" w:rsidRDefault="002244FC">
      <w:pPr>
        <w:pStyle w:val="Heading4"/>
        <w:rPr>
          <w:lang w:val="en-IN"/>
        </w:rPr>
      </w:pPr>
      <w:r>
        <w:rPr>
          <w:lang w:val="en-IN"/>
        </w:rPr>
        <w:t>5.5.4.2 Family, Peer and Social Support</w:t>
      </w:r>
    </w:p>
    <w:p w14:paraId="5C4E69FC" w14:textId="77777777" w:rsidR="004A5CD4" w:rsidRDefault="002244FC">
      <w:pPr>
        <w:rPr>
          <w:lang w:val="en-IN"/>
        </w:rPr>
      </w:pPr>
      <w:r>
        <w:rPr>
          <w:lang w:val="en-IN"/>
        </w:rPr>
        <w:t xml:space="preserve">Another common contextual factor was family and peer relationships. Stepanous et al. (2025) explicitly considered family support in interaction with ethnicity, discrimination, bullying and other social identity markers. Correspondingly, Blakey et al. (2021) included parenting and problematic friendships when examining conduct problems among ethnically diverse adolescents. One of the measures used was the Modified Parental Bond Instrument, but the dissertation also notes that a simplified measure of parental control and problematic friendships might mask the effects of specific behaviours. </w:t>
      </w:r>
    </w:p>
    <w:p w14:paraId="4744C156" w14:textId="77777777" w:rsidR="004A5CD4" w:rsidRDefault="002244FC">
      <w:pPr>
        <w:rPr>
          <w:lang w:val="en-IN"/>
        </w:rPr>
      </w:pPr>
      <w:r>
        <w:rPr>
          <w:lang w:val="en-IN"/>
        </w:rPr>
        <w:t>The studies thus indicate that racial discrimination is not detached from children's near-world, but has taken its place. The reaction of young people to stressors can be shaped by the supportive or challenging family and peer environment. However, the evidence provided, which is part of the package, does not clearly show a specific protective effect in all studies. Therefore, it is better to consider family and peer support as a factor that can modify the mental-health impacts of racism, rather than assuming that support from these groups is generally protective.</w:t>
      </w:r>
    </w:p>
    <w:p w14:paraId="33B9E373" w14:textId="77777777" w:rsidR="004A5CD4" w:rsidRDefault="002244FC">
      <w:pPr>
        <w:rPr>
          <w:lang w:val="en-IN"/>
        </w:rPr>
      </w:pPr>
      <w:r>
        <w:t>Simela et al. (2024) strengthen this interpretation by showing that parental and child experiences of racism can operate bidirectionally within families, influencing parenting behaviour, parent–child relationships and mental wellbeing. The findings also indicated that intersecting identities could alter these experiences and highlighted social cohesion and safe spaces as potentially supportive contextual factors.</w:t>
      </w:r>
    </w:p>
    <w:p w14:paraId="7D577922" w14:textId="77777777" w:rsidR="004A5CD4" w:rsidRDefault="002244FC">
      <w:pPr>
        <w:pStyle w:val="Heading4"/>
        <w:rPr>
          <w:lang w:val="en-IN"/>
        </w:rPr>
      </w:pPr>
      <w:r>
        <w:rPr>
          <w:lang w:val="en-IN"/>
        </w:rPr>
        <w:t>5.5.4.3 Ethnic Density, Social Identity and Belonging</w:t>
      </w:r>
    </w:p>
    <w:p w14:paraId="1FCEFCB3" w14:textId="77777777" w:rsidR="004A5CD4" w:rsidRDefault="002244FC">
      <w:pPr>
        <w:rPr>
          <w:lang w:val="en-IN"/>
        </w:rPr>
      </w:pPr>
      <w:r>
        <w:rPr>
          <w:lang w:val="en-IN"/>
        </w:rPr>
        <w:t>The last sub-theme was on ethnic density, ethnic identity and social belonging in general. Stepanous et al. (2025) explored neighbourhood ethnicity density in addition to ethnicity and other risk and protective factors, and tested for the consistency of the results for wellbeing measures across ethnic groups. Similarly, Astell-Burt et al. (2012) specifically investigated ethnic density/ethnic diversity and racism as well as deprivation and psychological wellbeing. Combined, the findings from these studies suggest that ethnic differences in the make-up of children's environments could be relevant in interpreting their racialised experience of mental health.</w:t>
      </w:r>
    </w:p>
    <w:p w14:paraId="62C10F5B" w14:textId="77777777" w:rsidR="004A5CD4" w:rsidRDefault="002244FC">
      <w:pPr>
        <w:rPr>
          <w:lang w:val="en-IN"/>
        </w:rPr>
      </w:pPr>
      <w:r>
        <w:rPr>
          <w:lang w:val="en-IN"/>
        </w:rPr>
        <w:t>The synthesis also shows that effects of racial disparities are not consistent across contexts. Children's experiences and mental-health trajectories are shaped by socioeconomic situations, school and neighbourhood contexts, family dynamics, peer experiences, and ethnic context. Concurrently, methodological differences make it hard to make definitive statements about the factors that predict protection or exacerbation of harm across studies. Theme 4 therefore underscores the importance of future research in the UK to directly consider racism as well as family, school, socioeconomic and neighbourhood conditions to better separate protective and aggravating pathways.</w:t>
      </w:r>
    </w:p>
    <w:p w14:paraId="2376F5F8" w14:textId="77777777" w:rsidR="004A5CD4" w:rsidRDefault="002244FC">
      <w:pPr>
        <w:pStyle w:val="Heading2"/>
      </w:pPr>
      <w:bookmarkStart w:id="101" w:name="_Toc238674304"/>
      <w:r>
        <w:t>5.6 Chapter Summary</w:t>
      </w:r>
      <w:bookmarkEnd w:id="101"/>
    </w:p>
    <w:p w14:paraId="25C6F1C1" w14:textId="77777777" w:rsidR="004A5CD4" w:rsidRDefault="002244FC">
      <w:r>
        <w:t>This chapter presented the thematic synthesis of the studies included in the systematic literature review. Four overarching themes were identified: experiences and manifestations of racial discrimination; adverse psychological and emotional consequences; behavioural, social and developmental consequences; and risk and protective factors shaping mental-health outcomes. Across the evidence, racial discrimination and racial or ethnic disparities were associated with reduced psychological wellbeing, emotional distress, behavioural difficulties and adverse social experiences. Socioeconomic circumstances, family and peer relationships, school and neighbourhood environments, and ethnic density also emerged as important contextual factors. Importantly, the synthesis distinguished studies that directly measured racial discrimination from those that reported ethnic differences without directly examining racism. The following chapter discusses these findings in relation to existing literature, the research objectives and the methodological strengths and limitations of the evidence.</w:t>
      </w:r>
    </w:p>
    <w:p w14:paraId="5C35379A" w14:textId="77777777" w:rsidR="004A5CD4" w:rsidRDefault="002244FC">
      <w:r>
        <w:br w:type="page"/>
      </w:r>
    </w:p>
    <w:p w14:paraId="00A2FB85" w14:textId="77777777" w:rsidR="004A5CD4" w:rsidRDefault="002244FC">
      <w:pPr>
        <w:pStyle w:val="Heading1"/>
      </w:pPr>
      <w:bookmarkStart w:id="102" w:name="_Toc238674305"/>
      <w:r>
        <w:t>6.0 Chapter 6: Discussion</w:t>
      </w:r>
      <w:bookmarkEnd w:id="102"/>
    </w:p>
    <w:p w14:paraId="0797D85D" w14:textId="77777777" w:rsidR="004A5CD4" w:rsidRDefault="002244FC">
      <w:pPr>
        <w:pStyle w:val="Heading2"/>
        <w:rPr>
          <w:lang w:val="en-IN"/>
        </w:rPr>
      </w:pPr>
      <w:bookmarkStart w:id="103" w:name="_Toc238674306"/>
      <w:r>
        <w:rPr>
          <w:lang w:val="en-IN"/>
        </w:rPr>
        <w:t>6.1 Introduction</w:t>
      </w:r>
      <w:bookmarkEnd w:id="103"/>
    </w:p>
    <w:p w14:paraId="6754205B" w14:textId="77777777" w:rsidR="004A5CD4" w:rsidRDefault="002244FC">
      <w:pPr>
        <w:rPr>
          <w:lang w:val="en-IN"/>
        </w:rPr>
      </w:pPr>
      <w:r>
        <w:t>This chapter discusses the findings of the systematic literature review in relation to existing evidence, the research objectives and the theoretical framework. In the four themes identified in Chapter 5, there are areas of agreement, inconsistency and uncertainty, which are critically interpreted. The chapter also assesses the methodological strengths and weaknesses of the review and the evidence included</w:t>
      </w:r>
      <w:r>
        <w:rPr>
          <w:lang w:val="en-IN"/>
        </w:rPr>
        <w:t xml:space="preserve">. </w:t>
      </w:r>
      <w:r>
        <w:t>The discussion also considers where the findings agree with, differ from or extend previous UK evidence and evaluates how methodological differences influence confidence in the conclusions.</w:t>
      </w:r>
    </w:p>
    <w:p w14:paraId="216A2DB9" w14:textId="77777777" w:rsidR="004A5CD4" w:rsidRDefault="002244FC">
      <w:pPr>
        <w:pStyle w:val="Heading2"/>
        <w:rPr>
          <w:lang w:val="en-IN"/>
        </w:rPr>
      </w:pPr>
      <w:bookmarkStart w:id="104" w:name="_Toc238674307"/>
      <w:r>
        <w:rPr>
          <w:lang w:val="en-IN"/>
        </w:rPr>
        <w:t>6.2 Discussion of Key Findings</w:t>
      </w:r>
      <w:bookmarkEnd w:id="104"/>
    </w:p>
    <w:p w14:paraId="0168C83C" w14:textId="77777777" w:rsidR="004A5CD4" w:rsidRDefault="002244FC">
      <w:pPr>
        <w:rPr>
          <w:b/>
          <w:bCs/>
          <w:lang w:val="en-IN"/>
        </w:rPr>
      </w:pPr>
      <w:r>
        <w:rPr>
          <w:b/>
          <w:bCs/>
          <w:lang w:val="en-IN"/>
        </w:rPr>
        <w:t>Key finding 1: Experiences and Manifestations of Racial Discrimination</w:t>
      </w:r>
    </w:p>
    <w:p w14:paraId="2BD657DA" w14:textId="77777777" w:rsidR="004A5CD4" w:rsidRDefault="002244FC">
      <w:pPr>
        <w:rPr>
          <w:lang w:val="en-IN"/>
        </w:rPr>
      </w:pPr>
      <w:r>
        <w:rPr>
          <w:lang w:val="en-IN"/>
        </w:rPr>
        <w:t>This research finding highlights that racism towards children is not just happening between peers but also in interpersonal and institutional processes. Stoll et al. (2025) and Stepanous et al. (2025) found discriminatory treatment, racialised bullying or racism in educational settings, while Blakey et al. (2021) found racism in educational contexts. This broadly aligns with the background literature, as Ghezae et al. (2025) reported experiences of racist language and many discriminatory incidents suffered by black British students, and Vargas et al. (2023), in addition to Arneback and Jämte (2022), who identified racism in school policies, disciplinary practices, and teacher expectations/curriculum exclusion. Hence, the first objective is supported by the review, as racism can manifest in direct interpersonal treatment and in the broader school environment.</w:t>
      </w:r>
    </w:p>
    <w:p w14:paraId="58F5068F" w14:textId="77777777" w:rsidR="004A5CD4" w:rsidRDefault="002244FC">
      <w:pPr>
        <w:rPr>
          <w:lang w:val="en-IN"/>
        </w:rPr>
      </w:pPr>
      <w:r>
        <w:rPr>
          <w:lang w:val="en-IN"/>
        </w:rPr>
        <w:t>An individual's bias creates racial inequities, and so do institutional and historical arrangements, also as per the Structural Racism Theory (Wien et al. 2024). But institutional racism is not as well established as interpersonal discrimination. For example, Bains and Gutman (2021) found ethnic variations in mental-health outcomes without actually quantifying racism. Ethnic disparity does not necessarily reflect discriminatory causation, as socioeconomic factors, family factors or other factors could also be at play. Thus, the results lend themselves to structural interpretation, but this interpretation is constrained by the exposure measurement variability. This is significant because, while the literature reviewed identified institutional racism as a key mechanism, the studies included in this paper offer more evidence of racial/ethnic inequities than of the specific institutional processes driving them.</w:t>
      </w:r>
    </w:p>
    <w:p w14:paraId="4B09826A" w14:textId="77777777" w:rsidR="004A5CD4" w:rsidRDefault="002244FC">
      <w:pPr>
        <w:rPr>
          <w:b/>
          <w:bCs/>
          <w:lang w:val="en-IN"/>
        </w:rPr>
      </w:pPr>
      <w:r>
        <w:rPr>
          <w:b/>
          <w:bCs/>
          <w:lang w:val="en-IN"/>
        </w:rPr>
        <w:t>Key Finding 2: Adverse Psychological and Emotional Consequences</w:t>
      </w:r>
    </w:p>
    <w:p w14:paraId="46DCF24D" w14:textId="77777777" w:rsidR="004A5CD4" w:rsidRDefault="002244FC">
      <w:pPr>
        <w:rPr>
          <w:lang w:val="en-IN"/>
        </w:rPr>
      </w:pPr>
      <w:r>
        <w:rPr>
          <w:lang w:val="en-IN"/>
        </w:rPr>
        <w:t>Another key finding offers the most support to the main research question. In all analyses, racial discrimination/racial/ethnic inequality was linked to less wellbeing, emotional distress, anxiety, and trauma-related experiences and internalising difficulties. The results corroborated Ghezae et al. (2025), who found a relationship between racism and anxiety, depression, psychological distress and poorer wellbeing, and also with Mona et al. (2025) findings of a longitudinal association between racism during adolescence and psychological distress later in life. The consistency of the included studies and background literature increases the interpretation that racism is an important social determinant of youth mental health.</w:t>
      </w:r>
    </w:p>
    <w:p w14:paraId="25484CFD" w14:textId="77777777" w:rsidR="004A5CD4" w:rsidRDefault="002244FC">
      <w:pPr>
        <w:rPr>
          <w:lang w:val="en-IN"/>
        </w:rPr>
      </w:pPr>
      <w:r>
        <w:rPr>
          <w:lang w:val="en-IN"/>
        </w:rPr>
        <w:t xml:space="preserve">The results can also be analysed using the Culturally Informed Adverse Childhood Experience framework (Guevara et al., 2024). The emotional distress noted across studies is theoretically feasible as the cumulative result of repeated discrimination, microaggressions and systemic oppression as chronic childhood stressors, rather than just a short-term effect of the stressors. Stoll et al. (2025) provide qualitative support for this interpretation in their narrative on racial discrimination and wellbeing, and Astell-Burt et al. (2012) explore trajectories of wellbeing in light of racism and factors within the context. However, it is undesirable to use causal language. Stepanous et al. (2025) was cross-sectional, and there were several studies that assessed ethnicity instead of discriminatory exposure. </w:t>
      </w:r>
    </w:p>
    <w:p w14:paraId="61BE57A8" w14:textId="77777777" w:rsidR="004A5CD4" w:rsidRDefault="002244FC">
      <w:pPr>
        <w:rPr>
          <w:lang w:val="en-IN"/>
        </w:rPr>
      </w:pPr>
      <w:r>
        <w:rPr>
          <w:lang w:val="en-IN"/>
        </w:rPr>
        <w:t>The strength of this finding varies according to how exposure was measured. Studies that directly examined racial discrimination, particularly Stoll et al. (2025), provide more direct support for a relationship between racism and poorer wellbeing than studies that primarily compared ethnic groups. Simela et al. (2024) extends this evidence by demonstrating through UK qualitative accounts that racism can affect mental health not only through children's own experiences but also through interconnected parent and child experiences. Nawaz et al. (2025) adds contemporary evidence that adverse school experiences are associated with self-harm among young people, although this should not be interpreted as demonstrating a causal effect of racism unless racial discrimination was directly measured within the relevant analysis. Consequently, the evidence is consistent with racism operating as an important psychosocial stressor, but differences in exposure measurement and study design prevent a simple causal conclusion.</w:t>
      </w:r>
    </w:p>
    <w:p w14:paraId="5E35A863" w14:textId="77777777" w:rsidR="004A5CD4" w:rsidRDefault="002244FC">
      <w:pPr>
        <w:rPr>
          <w:b/>
          <w:bCs/>
          <w:lang w:val="en-IN"/>
        </w:rPr>
      </w:pPr>
      <w:r>
        <w:rPr>
          <w:b/>
          <w:bCs/>
          <w:lang w:val="en-IN"/>
        </w:rPr>
        <w:t>Key Finding 3: Behavioural, Social and Developmental Consequences</w:t>
      </w:r>
    </w:p>
    <w:p w14:paraId="4B89CE6F" w14:textId="77777777" w:rsidR="004A5CD4" w:rsidRDefault="002244FC">
      <w:pPr>
        <w:rPr>
          <w:lang w:val="en-IN"/>
        </w:rPr>
      </w:pPr>
      <w:r>
        <w:rPr>
          <w:lang w:val="en-IN"/>
        </w:rPr>
        <w:t>The third key finding indicates that racial discrimination and racial or ethnic inequalities may be associated with behavioural, relational and developmental difficulties in addition to internalising symptoms such as anxiety and depression. Blakey et al. (2021) provide the most direct evidence within this finding because racial discrimination was explicitly measured alongside conduct problems among adolescents in London schools. Bains and Gutman (2021), by contrast, identified ethnic differences in externalising trajectories from childhood through adolescence but did not directly measure racism. This distinction is important because ethnic variation in behavioural outcomes cannot automatically be attributed to discriminatory exposure.</w:t>
      </w:r>
    </w:p>
    <w:p w14:paraId="00C14475" w14:textId="77777777" w:rsidR="004A5CD4" w:rsidRDefault="002244FC">
      <w:pPr>
        <w:rPr>
          <w:lang w:val="en-IN"/>
        </w:rPr>
      </w:pPr>
      <w:r>
        <w:rPr>
          <w:lang w:val="en-IN"/>
        </w:rPr>
        <w:t>The findings broadly correspond with wider literature suggesting that discriminatory experiences may be accompanied by anger, withdrawal, school avoidance, behavioural difficulties and reduced feelings of safety (Hood et al., 2023; Fajrin et al., 2025). However, the strength of this evidence is uneven. Blakey et al. (2021) measured racial discrimination using a single yes/no item, which did not capture its frequency, severity, source or institutional dimensions. Its cross-sectional analysis also means that the temporal direction of the association remains uncertain. Behavioural difficulties could influence perceptions or reporting of discrimination, while family relationships, peer environments, socioeconomic circumstances and disciplinary practices may also contribute to the observed outcomes. Consequently, the evidence supports an association rather than a simple causal pathway from racism to behavioural problems.</w:t>
      </w:r>
    </w:p>
    <w:p w14:paraId="116BDE99" w14:textId="77777777" w:rsidR="004A5CD4" w:rsidRDefault="002244FC">
      <w:pPr>
        <w:rPr>
          <w:lang w:val="en-IN"/>
        </w:rPr>
      </w:pPr>
      <w:r>
        <w:rPr>
          <w:lang w:val="en-IN"/>
        </w:rPr>
        <w:t>The developmental dimension is supported more strongly by longitudinal evidence. Bains and Gutman (2021) demonstrated that internalising and externalising difficulties followed different trajectories across childhood and adolescence, while Astell-Burt et al. (2012) examined changes in psychological wellbeing across adolescence in relation to racism and contextual factors. These findings are consistent with Mona et al. (2025), who reported that experiences of racism during adolescence were associated with later psychological distress. Nevertheless, longitudinal evidence directly measuring racism remains as per Astell-Burt et al. (2012).</w:t>
      </w:r>
    </w:p>
    <w:p w14:paraId="72475FDC" w14:textId="77777777" w:rsidR="004A5CD4" w:rsidRDefault="002244FC">
      <w:pPr>
        <w:rPr>
          <w:lang w:val="en-IN"/>
        </w:rPr>
      </w:pPr>
      <w:r>
        <w:rPr>
          <w:lang w:val="en-IN"/>
        </w:rPr>
        <w:t>The final study set also strengthens the relational component of this finding. Simela et al. (2024) showed that experiences of racism could affect parent–child relationships, family interactions and young people's wellbeing, indicating that racialised distress may operate within wider social relationships rather than solely at the individual level. Nawaz et al. (2025) further demonstrated associations between adverse school experiences and self-harm among young people, reinforcing the importance of school and relational contexts, although these findings should not be interpreted as evidence that racism alone caused self-harm.</w:t>
      </w:r>
    </w:p>
    <w:p w14:paraId="37355CD1" w14:textId="77777777" w:rsidR="004A5CD4" w:rsidRDefault="002244FC">
      <w:pPr>
        <w:rPr>
          <w:lang w:val="en-IN"/>
        </w:rPr>
      </w:pPr>
      <w:r>
        <w:rPr>
          <w:lang w:val="en-IN"/>
        </w:rPr>
        <w:t>Overall, Key Finding 3 partly supports the research question by demonstrating that racialised inequalities may extend beyond psychological distress into behavioural, social and developmental domains. However, confidence is greater where racism was measured directly, while evidence based primarily on ethnicity or broader school experiences requires more cautious interpretation. The current evidence therefore identifies plausible behavioural and developmental pathways but remains insufficient to establish causation.</w:t>
      </w:r>
    </w:p>
    <w:p w14:paraId="15369093" w14:textId="77777777" w:rsidR="004A5CD4" w:rsidRDefault="002244FC">
      <w:pPr>
        <w:rPr>
          <w:b/>
          <w:bCs/>
          <w:lang w:val="en-IN"/>
        </w:rPr>
      </w:pPr>
      <w:r>
        <w:rPr>
          <w:b/>
          <w:bCs/>
          <w:lang w:val="en-IN"/>
        </w:rPr>
        <w:t>Key finding 4: Risk and Protective Factors Shaping Mental-Health Outcomes</w:t>
      </w:r>
    </w:p>
    <w:p w14:paraId="6955184A" w14:textId="77777777" w:rsidR="004A5CD4" w:rsidRDefault="002244FC">
      <w:pPr>
        <w:rPr>
          <w:lang w:val="en-IN"/>
        </w:rPr>
      </w:pPr>
      <w:r>
        <w:rPr>
          <w:lang w:val="en-IN"/>
        </w:rPr>
        <w:t>The fourth key finding indicates that the relationship between racial discrimination and children's mental health is shaped by multiple social and contextual influences rather than operating through a single pathway. Stepanous et al. (2025), Blakey et al. (2021), Bains and Gutman (2021) and Astell-Burt et al. (2012) examined factors including socioeconomic circumstances, family relationships, peer experiences, school environment and ethnic density alongside mental-health outcomes. Simela et al. (2024) adds qualitative evidence that parental experiences of racism, family relationships, social identity and wider environmental conditions may also shape how racialised experiences affect children and adolescents. Together, these findings address the third research objective by identifying factors that may increase vulnerability or potentially reduce psychological harm.</w:t>
      </w:r>
    </w:p>
    <w:p w14:paraId="0091B444" w14:textId="77777777" w:rsidR="004A5CD4" w:rsidRDefault="002244FC">
      <w:pPr>
        <w:rPr>
          <w:lang w:val="en-IN"/>
        </w:rPr>
      </w:pPr>
      <w:r>
        <w:rPr>
          <w:lang w:val="en-IN"/>
        </w:rPr>
        <w:t xml:space="preserve">However, these variables should not automatically be described as protective factors or mediators. A </w:t>
      </w:r>
      <w:r>
        <w:rPr>
          <w:b/>
          <w:bCs/>
          <w:lang w:val="en-IN"/>
        </w:rPr>
        <w:t>confounder</w:t>
      </w:r>
      <w:r>
        <w:rPr>
          <w:lang w:val="en-IN"/>
        </w:rPr>
        <w:t xml:space="preserve">, such as socioeconomic disadvantage, may be associated with both exposure to racism and poorer mental health without lying on the causal pathway. A </w:t>
      </w:r>
      <w:r>
        <w:rPr>
          <w:b/>
          <w:bCs/>
          <w:lang w:val="en-IN"/>
        </w:rPr>
        <w:t>mediator</w:t>
      </w:r>
      <w:r>
        <w:rPr>
          <w:lang w:val="en-IN"/>
        </w:rPr>
        <w:t xml:space="preserve"> would explain how racism produces an outcome, whereas a </w:t>
      </w:r>
      <w:r>
        <w:rPr>
          <w:b/>
          <w:bCs/>
          <w:lang w:val="en-IN"/>
        </w:rPr>
        <w:t>moderator</w:t>
      </w:r>
      <w:r>
        <w:rPr>
          <w:lang w:val="en-IN"/>
        </w:rPr>
        <w:t xml:space="preserve"> would alter the strength or direction of that association. A genuine </w:t>
      </w:r>
      <w:r>
        <w:rPr>
          <w:b/>
          <w:bCs/>
          <w:lang w:val="en-IN"/>
        </w:rPr>
        <w:t>protective factor</w:t>
      </w:r>
      <w:r>
        <w:rPr>
          <w:lang w:val="en-IN"/>
        </w:rPr>
        <w:t xml:space="preserve"> would need evidence that it consistently reduces adverse outcomes. The included studies do not establish these roles with equal confidence. For example, family support was examined alongside discrimination and wellbeing in Stepanous et al. (2025), but this does not demonstrate that support consistently buffers the effects of racism. Similarly, ethnic density may influence belonging and social identity, but its effects are difficult to separate from neighbourhood deprivation, school context and other environmental characteristics.</w:t>
      </w:r>
    </w:p>
    <w:p w14:paraId="70BD3EF6" w14:textId="77777777" w:rsidR="004A5CD4" w:rsidRDefault="002244FC">
      <w:pPr>
        <w:rPr>
          <w:lang w:val="en-IN"/>
        </w:rPr>
      </w:pPr>
      <w:r>
        <w:rPr>
          <w:lang w:val="en-IN"/>
        </w:rPr>
        <w:t>The evidence is therefore strongest in demonstrating that racism is embedded within a broader social ecology. Blakey et al. (2021) incorporated socioeconomic, parenting and peer factors when examining discrimination and conduct problems, while Bains and Gutman (2021) adjusted for household and family characteristics but did not directly measure racism. Consequently, the latter provides evidence about contextual influences on ethnic mental-health inequalities rather than direct evidence of factors modifying the effects of racial discrimination. Simela et al. (2024) strengthens the family-level interpretation by showing that racism may have interconnected consequences across parent–child relationships and wellbeing, although its qualitative design cannot establish whether particular family processes act as causal mediators or protective mechanisms.</w:t>
      </w:r>
    </w:p>
    <w:p w14:paraId="27254E4B" w14:textId="77777777" w:rsidR="004A5CD4" w:rsidRDefault="002244FC">
      <w:pPr>
        <w:rPr>
          <w:lang w:val="en-IN"/>
        </w:rPr>
      </w:pPr>
      <w:r>
        <w:rPr>
          <w:lang w:val="en-IN"/>
        </w:rPr>
        <w:t>These findings partly support Structural Racism Theory and the C-ACE framework. Structural Racism Theory is supported by evidence that individual mental-health outcomes occur within wider school, neighbourhood and socioeconomic environments, while C-ACE provides a plausible explanation for how repeated racialised stress may contribute to psychological harm. Nevertheless, the empirical evidence is less definitive than the theoretical models. Heterogeneity in study populations, exposure measures and research designs limits direct comparison, and several studies were cross-sectional or examined ethnicity rather than racism itself. Therefore, the review provides stronger evidence for contextual patterns and plausible mechanisms than for specific causal, mediating or protective pathways.</w:t>
      </w:r>
    </w:p>
    <w:p w14:paraId="5D3959E7" w14:textId="77777777" w:rsidR="004A5CD4" w:rsidRDefault="002244FC">
      <w:pPr>
        <w:rPr>
          <w:lang w:val="en-IN"/>
        </w:rPr>
      </w:pPr>
      <w:r>
        <w:rPr>
          <w:lang w:val="en-IN"/>
        </w:rPr>
        <w:t>Overall, Key Finding 4 demonstrates that children's responses to racial discrimination should be interpreted within interacting family, peer, school, socioeconomic and neighbourhood contexts. This supports an ecological and intersectional interpretation of the research question, but future longitudinal studies are needed to determine which factors genuinely exacerbate, mediate, moderate or protect against the mental-health effects of racism.</w:t>
      </w:r>
    </w:p>
    <w:p w14:paraId="7C3AD7C5" w14:textId="77777777" w:rsidR="004A5CD4" w:rsidRDefault="002244FC">
      <w:pPr>
        <w:pStyle w:val="Heading2"/>
        <w:rPr>
          <w:lang w:val="en-IN"/>
        </w:rPr>
      </w:pPr>
      <w:bookmarkStart w:id="105" w:name="_Toc238674308"/>
      <w:r>
        <w:rPr>
          <w:lang w:val="en-IN"/>
        </w:rPr>
        <w:t>6.3 Strengths and Limitations</w:t>
      </w:r>
      <w:bookmarkEnd w:id="105"/>
    </w:p>
    <w:p w14:paraId="78748D22" w14:textId="77777777" w:rsidR="004A5CD4" w:rsidRDefault="002244FC">
      <w:pPr>
        <w:rPr>
          <w:lang w:val="en-IN"/>
        </w:rPr>
      </w:pPr>
      <w:r>
        <w:rPr>
          <w:lang w:val="en-IN"/>
        </w:rPr>
        <w:t>This review used a structured PRISMA-guided process, multiple databases, predefined eligibility criteria and appropriate quality-appraisal tools. Combining qualitative and quantitative evidence enabled consideration of children’s and families’ experiences alongside psychological, behavioural and developmental outcomes. Thematic synthesis also supported comparison across diverse studies while preserving contextual differences.</w:t>
      </w:r>
    </w:p>
    <w:p w14:paraId="2A575933" w14:textId="77777777" w:rsidR="004A5CD4" w:rsidRDefault="002244FC">
      <w:pPr>
        <w:rPr>
          <w:lang w:val="en-IN"/>
        </w:rPr>
      </w:pPr>
      <w:r>
        <w:rPr>
          <w:lang w:val="en-IN"/>
        </w:rPr>
        <w:t xml:space="preserve">However, only eight studies were included, and substantial variation in samples, settings, measures and outcomes prevented statistical pooling. Several studies were cross-sectional, limiting causal interpretation. Some did not measure racism directly but examined ethnic inequalities, which may also reflect socioeconomic, cultural or environmental factors. </w:t>
      </w:r>
      <w:r>
        <w:t>Measures of discrimination were sometimes limited, while geographical concentration, underrepresentation of smaller ethnic groups and retrospective reporting reduced generalisability and increased the potential for bias. Overall, the review identifies recurring associations and plausible mechanisms, but the methodological limitations of the evidence mean that the findings should not be interpreted as definitive proof that racism causes adverse mental-health outcomes.</w:t>
      </w:r>
    </w:p>
    <w:p w14:paraId="7405B923" w14:textId="77777777" w:rsidR="004A5CD4" w:rsidRDefault="002244FC">
      <w:pPr>
        <w:pStyle w:val="Heading2"/>
        <w:rPr>
          <w:lang w:val="en-IN"/>
        </w:rPr>
      </w:pPr>
      <w:bookmarkStart w:id="106" w:name="_Toc238674309"/>
      <w:r>
        <w:rPr>
          <w:lang w:val="en-IN"/>
        </w:rPr>
        <w:t>6.4 Chapter Summary</w:t>
      </w:r>
      <w:bookmarkEnd w:id="106"/>
    </w:p>
    <w:p w14:paraId="1A9C7C16" w14:textId="77777777" w:rsidR="004A5CD4" w:rsidRDefault="002244FC">
      <w:pPr>
        <w:rPr>
          <w:lang w:val="en-IN"/>
        </w:rPr>
      </w:pPr>
      <w:r>
        <w:t>This chapter critically analysed the existing research and theoretical framework of the study. In general, adverse psychological, behavioural and social outcomes were linked to racial discrimination, with contextual effects modifying these associations. There is methodological heterogeneity and few direct, longitudinal UK studies to support conclusions of association rather than causation</w:t>
      </w:r>
      <w:r>
        <w:rPr>
          <w:lang w:val="en-IN"/>
        </w:rPr>
        <w:t>.</w:t>
      </w:r>
    </w:p>
    <w:p w14:paraId="005121F3" w14:textId="77777777" w:rsidR="004A5CD4" w:rsidRDefault="002244FC">
      <w:pPr>
        <w:pStyle w:val="Heading1"/>
        <w:rPr>
          <w:lang w:val="en-IN"/>
        </w:rPr>
      </w:pPr>
      <w:bookmarkStart w:id="107" w:name="_Toc238674310"/>
      <w:r>
        <w:rPr>
          <w:lang w:val="en-IN"/>
        </w:rPr>
        <w:t>7.0 Chapter 7: Recommendations and Conclusion</w:t>
      </w:r>
      <w:bookmarkEnd w:id="107"/>
    </w:p>
    <w:p w14:paraId="43902578" w14:textId="77777777" w:rsidR="004A5CD4" w:rsidRDefault="002244FC">
      <w:pPr>
        <w:pStyle w:val="Heading2"/>
        <w:rPr>
          <w:lang w:val="en-IN"/>
        </w:rPr>
      </w:pPr>
      <w:bookmarkStart w:id="108" w:name="_Toc238674311"/>
      <w:r>
        <w:rPr>
          <w:lang w:val="en-IN"/>
        </w:rPr>
        <w:t>7.1 Introduction</w:t>
      </w:r>
      <w:bookmarkEnd w:id="108"/>
    </w:p>
    <w:p w14:paraId="0BFA3D4C" w14:textId="77777777" w:rsidR="004A5CD4" w:rsidRDefault="002244FC">
      <w:pPr>
        <w:rPr>
          <w:lang w:val="en-IN"/>
        </w:rPr>
      </w:pPr>
      <w:r>
        <w:t>This chapter is the end of the systematic literature review on the impact of racist discrimination and racial inequalities on children and young people under 18 years of age. The chapter then reflects on the implications for public health, education and child mental health practice. It then provides recommendations for practice and research arising directly from the evidence collated in the review. Lastly, the overall conclusion restates the research question, research objectives, and key findings, explaining the importance of the evidence and acknowledging limitations on the conclusions' strength and generalisability</w:t>
      </w:r>
      <w:r>
        <w:rPr>
          <w:lang w:val="en-IN"/>
        </w:rPr>
        <w:t>.</w:t>
      </w:r>
    </w:p>
    <w:p w14:paraId="1A0E402A" w14:textId="77777777" w:rsidR="004A5CD4" w:rsidRDefault="002244FC">
      <w:pPr>
        <w:pStyle w:val="Heading2"/>
        <w:rPr>
          <w:lang w:val="en-IN"/>
        </w:rPr>
      </w:pPr>
      <w:bookmarkStart w:id="109" w:name="_Toc238674312"/>
      <w:r>
        <w:rPr>
          <w:lang w:val="en-IN"/>
        </w:rPr>
        <w:t>7.2 Implications of Findings</w:t>
      </w:r>
      <w:bookmarkEnd w:id="109"/>
    </w:p>
    <w:p w14:paraId="2FC03D89" w14:textId="77777777" w:rsidR="004A5CD4" w:rsidRDefault="002244FC">
      <w:pPr>
        <w:rPr>
          <w:lang w:val="en-IN"/>
        </w:rPr>
      </w:pPr>
      <w:r>
        <w:rPr>
          <w:lang w:val="en-IN"/>
        </w:rPr>
        <w:t>The results have implications for public health, educational practice, and child mental-health services. The review shows that there is evidence to link racial discrimination with low psychological health, emotional distress, anxiety, behavioural problems and negative social interactions. Such effects seem to be influenced by school contexts, socio-economic status, family, peer experiences and ethnic context.</w:t>
      </w:r>
    </w:p>
    <w:p w14:paraId="7D058609" w14:textId="77777777" w:rsidR="004A5CD4" w:rsidRDefault="002244FC">
      <w:r>
        <w:rPr>
          <w:lang w:val="en-IN"/>
        </w:rPr>
        <w:t xml:space="preserve">Racism should not be seen solely as a matter of discipline and equality in schools, but as a broader factor that affects children's mental health. </w:t>
      </w:r>
      <w:r>
        <w:t>Racism should therefore be considered not only as an equality or disciplinary issue but also as a factor relevant to children's psychological and social wellbeing. Findings relating to discrimination, emotional distress and social relationships indicate that schools and child mental-health practitioners should consider racialised experiences when assessing children's wellbeing. The evidence also demonstrates that these experiences interact with family relationships, school environments, socioeconomic circumstances and wider social contexts, supporting responses that extend beyond individual-level treatment.</w:t>
      </w:r>
    </w:p>
    <w:tbl>
      <w:tblPr>
        <w:tblStyle w:val="TableGrid"/>
        <w:tblW w:w="0" w:type="auto"/>
        <w:tblLook w:val="04A0" w:firstRow="1" w:lastRow="0" w:firstColumn="1" w:lastColumn="0" w:noHBand="0" w:noVBand="1"/>
      </w:tblPr>
      <w:tblGrid>
        <w:gridCol w:w="3008"/>
        <w:gridCol w:w="6008"/>
      </w:tblGrid>
      <w:tr w:rsidR="004A5CD4" w14:paraId="60FA9426" w14:textId="77777777">
        <w:tc>
          <w:tcPr>
            <w:tcW w:w="0" w:type="auto"/>
          </w:tcPr>
          <w:p w14:paraId="57F3FC3B" w14:textId="77777777" w:rsidR="004A5CD4" w:rsidRDefault="002244FC">
            <w:pPr>
              <w:rPr>
                <w:b/>
                <w:bCs/>
                <w:lang w:val="en-IN"/>
              </w:rPr>
            </w:pPr>
            <w:r>
              <w:rPr>
                <w:b/>
                <w:bCs/>
                <w:lang w:val="en-IN"/>
              </w:rPr>
              <w:t>Chapter 5 finding</w:t>
            </w:r>
          </w:p>
        </w:tc>
        <w:tc>
          <w:tcPr>
            <w:tcW w:w="0" w:type="auto"/>
          </w:tcPr>
          <w:p w14:paraId="4620521A" w14:textId="77777777" w:rsidR="004A5CD4" w:rsidRDefault="002244FC">
            <w:pPr>
              <w:rPr>
                <w:b/>
                <w:bCs/>
                <w:lang w:val="en-IN"/>
              </w:rPr>
            </w:pPr>
            <w:r>
              <w:rPr>
                <w:b/>
                <w:bCs/>
                <w:lang w:val="en-IN"/>
              </w:rPr>
              <w:t>Main implication</w:t>
            </w:r>
          </w:p>
        </w:tc>
      </w:tr>
      <w:tr w:rsidR="004A5CD4" w14:paraId="67B75F6D" w14:textId="77777777">
        <w:tc>
          <w:tcPr>
            <w:tcW w:w="0" w:type="auto"/>
          </w:tcPr>
          <w:p w14:paraId="08125471" w14:textId="77777777" w:rsidR="004A5CD4" w:rsidRDefault="002244FC">
            <w:pPr>
              <w:rPr>
                <w:lang w:val="en-IN"/>
              </w:rPr>
            </w:pPr>
            <w:r>
              <w:rPr>
                <w:lang w:val="en-IN"/>
              </w:rPr>
              <w:t>Experiences and manifestations of racial discrimination</w:t>
            </w:r>
          </w:p>
        </w:tc>
        <w:tc>
          <w:tcPr>
            <w:tcW w:w="0" w:type="auto"/>
          </w:tcPr>
          <w:p w14:paraId="423E3656" w14:textId="77777777" w:rsidR="004A5CD4" w:rsidRDefault="002244FC">
            <w:pPr>
              <w:rPr>
                <w:lang w:val="en-IN"/>
              </w:rPr>
            </w:pPr>
            <w:r>
              <w:rPr>
                <w:lang w:val="en-IN"/>
              </w:rPr>
              <w:t>Schools require clearer anti-racist prevention, reporting and response procedures.</w:t>
            </w:r>
          </w:p>
        </w:tc>
      </w:tr>
      <w:tr w:rsidR="004A5CD4" w14:paraId="698396C5" w14:textId="77777777">
        <w:tc>
          <w:tcPr>
            <w:tcW w:w="0" w:type="auto"/>
          </w:tcPr>
          <w:p w14:paraId="00D4BECE" w14:textId="77777777" w:rsidR="004A5CD4" w:rsidRDefault="002244FC">
            <w:pPr>
              <w:rPr>
                <w:lang w:val="en-IN"/>
              </w:rPr>
            </w:pPr>
            <w:r>
              <w:rPr>
                <w:lang w:val="en-IN"/>
              </w:rPr>
              <w:t>Adverse psychological and emotional consequences</w:t>
            </w:r>
          </w:p>
        </w:tc>
        <w:tc>
          <w:tcPr>
            <w:tcW w:w="0" w:type="auto"/>
          </w:tcPr>
          <w:p w14:paraId="7CA88F04" w14:textId="77777777" w:rsidR="004A5CD4" w:rsidRDefault="002244FC">
            <w:pPr>
              <w:rPr>
                <w:lang w:val="en-IN"/>
              </w:rPr>
            </w:pPr>
            <w:r>
              <w:rPr>
                <w:lang w:val="en-IN"/>
              </w:rPr>
              <w:t>School and mental-health staff should recognise racial discrimination as a potential contributor to psychological distress.</w:t>
            </w:r>
          </w:p>
        </w:tc>
      </w:tr>
      <w:tr w:rsidR="004A5CD4" w14:paraId="0DB4396C" w14:textId="77777777">
        <w:tc>
          <w:tcPr>
            <w:tcW w:w="0" w:type="auto"/>
          </w:tcPr>
          <w:p w14:paraId="783BF4C8" w14:textId="77777777" w:rsidR="004A5CD4" w:rsidRDefault="002244FC">
            <w:pPr>
              <w:rPr>
                <w:lang w:val="en-IN"/>
              </w:rPr>
            </w:pPr>
            <w:r>
              <w:rPr>
                <w:lang w:val="en-IN"/>
              </w:rPr>
              <w:t>Behavioural, social and developmental consequences</w:t>
            </w:r>
          </w:p>
        </w:tc>
        <w:tc>
          <w:tcPr>
            <w:tcW w:w="0" w:type="auto"/>
          </w:tcPr>
          <w:p w14:paraId="2F2A881B" w14:textId="77777777" w:rsidR="004A5CD4" w:rsidRDefault="002244FC">
            <w:pPr>
              <w:rPr>
                <w:lang w:val="en-IN"/>
              </w:rPr>
            </w:pPr>
            <w:r>
              <w:rPr>
                <w:lang w:val="en-IN"/>
              </w:rPr>
              <w:t>Behavioural difficulties should be interpreted alongside children's social and discriminatory experiences rather than viewed only as individual misconduct.</w:t>
            </w:r>
          </w:p>
        </w:tc>
      </w:tr>
      <w:tr w:rsidR="004A5CD4" w14:paraId="44B1D918" w14:textId="77777777">
        <w:tc>
          <w:tcPr>
            <w:tcW w:w="0" w:type="auto"/>
          </w:tcPr>
          <w:p w14:paraId="560B8DE5" w14:textId="77777777" w:rsidR="004A5CD4" w:rsidRDefault="002244FC">
            <w:pPr>
              <w:rPr>
                <w:lang w:val="en-IN"/>
              </w:rPr>
            </w:pPr>
            <w:r>
              <w:rPr>
                <w:lang w:val="en-IN"/>
              </w:rPr>
              <w:t>Risk and protective factors</w:t>
            </w:r>
          </w:p>
        </w:tc>
        <w:tc>
          <w:tcPr>
            <w:tcW w:w="0" w:type="auto"/>
          </w:tcPr>
          <w:p w14:paraId="144F63BC" w14:textId="77777777" w:rsidR="004A5CD4" w:rsidRDefault="002244FC">
            <w:pPr>
              <w:rPr>
                <w:lang w:val="en-IN"/>
              </w:rPr>
            </w:pPr>
            <w:r>
              <w:rPr>
                <w:lang w:val="en-IN"/>
              </w:rPr>
              <w:t>Responses should consider family relationships, school climate, socioeconomic context, identity and social support.</w:t>
            </w:r>
          </w:p>
        </w:tc>
      </w:tr>
    </w:tbl>
    <w:p w14:paraId="75E25797" w14:textId="77777777" w:rsidR="004A5CD4" w:rsidRDefault="002244FC">
      <w:pPr>
        <w:pStyle w:val="Heading6"/>
      </w:pPr>
      <w:bookmarkStart w:id="110" w:name="_Toc238493938"/>
      <w:r>
        <w:rPr>
          <w:lang w:val="en-IN"/>
        </w:rPr>
        <w:t xml:space="preserve">Table 4: </w:t>
      </w:r>
      <w:r>
        <w:t>Implications table</w:t>
      </w:r>
      <w:bookmarkEnd w:id="110"/>
    </w:p>
    <w:p w14:paraId="07472EF3" w14:textId="77777777" w:rsidR="004A5CD4" w:rsidRDefault="002244FC">
      <w:pPr>
        <w:jc w:val="center"/>
        <w:rPr>
          <w:lang w:val="en-IN"/>
        </w:rPr>
      </w:pPr>
      <w:r>
        <w:t>(Source: Self-Developed)</w:t>
      </w:r>
    </w:p>
    <w:p w14:paraId="50E0D3C1" w14:textId="77777777" w:rsidR="004A5CD4" w:rsidRDefault="002244FC">
      <w:pPr>
        <w:pStyle w:val="Heading2"/>
        <w:tabs>
          <w:tab w:val="left" w:pos="4491"/>
        </w:tabs>
        <w:rPr>
          <w:lang w:val="en-IN"/>
        </w:rPr>
      </w:pPr>
      <w:bookmarkStart w:id="111" w:name="_Toc238674313"/>
      <w:r>
        <w:rPr>
          <w:lang w:val="en-IN"/>
        </w:rPr>
        <w:t>7.3 Recommendations for Practice</w:t>
      </w:r>
      <w:bookmarkEnd w:id="111"/>
    </w:p>
    <w:p w14:paraId="5C2864C9" w14:textId="77777777" w:rsidR="004A5CD4" w:rsidRDefault="002244FC">
      <w:pPr>
        <w:rPr>
          <w:lang w:val="en-IN"/>
        </w:rPr>
      </w:pPr>
      <w:r>
        <w:t>The findings support several evidence-informed priorities for educational and mental-health practice, although the review does not establish the effectiveness of specific interventions. First, schools should strengthen procedures for identifying, documenting and responding to racial bullying and discriminatory treatment because Key Finding 1 identified racism within interpersonal and school contexts (Stoll et al., 2025; Blakey et al., 2021). This should include accessible and confidential reporting routes and clear escalation procedures. Second, school counsellors, safeguarding staff and child mental-health practitioners should sensitively explore experiences of racial discrimination when assessing emotional distress, particularly where young people report poor school experiences or self-harm (Stepanous et al., 2025; Nawaz et al., 2025). Third, support should consider family, peer and school context rather than treating psychological distress solely as an individual problem, reflecting Key Findings 3 and 4 and the family-level evidence reported by Simela et al. (2024). These recommendations should be implemented as evidence-informed priorities and evaluated locally rather than assumed to be universally effective.</w:t>
      </w:r>
    </w:p>
    <w:p w14:paraId="14AF4C69" w14:textId="77777777" w:rsidR="004A5CD4" w:rsidRDefault="002244FC">
      <w:pPr>
        <w:pStyle w:val="Heading2"/>
        <w:tabs>
          <w:tab w:val="left" w:pos="5880"/>
        </w:tabs>
        <w:rPr>
          <w:lang w:val="en-IN"/>
        </w:rPr>
      </w:pPr>
      <w:bookmarkStart w:id="112" w:name="_Toc238674314"/>
      <w:r>
        <w:rPr>
          <w:lang w:val="en-IN"/>
        </w:rPr>
        <w:t>7.4 Recommendations for Future Research</w:t>
      </w:r>
      <w:bookmarkEnd w:id="112"/>
    </w:p>
    <w:p w14:paraId="2413265F" w14:textId="77777777" w:rsidR="004A5CD4" w:rsidRDefault="002244FC">
      <w:pPr>
        <w:rPr>
          <w:lang w:val="en-IN"/>
        </w:rPr>
      </w:pPr>
      <w:r>
        <w:t>Future UK research should prioritise longitudinal studies that directly measure racial discrimination and mental-health outcomes across childhood and adolescence. This is necessary because several included quantitative studies were cross-sectional, limiting conclusions about temporal direction and causality. Research should also recruit larger and more geographically diverse samples and analyse specific racial and ethnic groups separately, as several existing studies were concentrated in particular regions or contained small minority subgroups. More qualitative research involving children directly is required because some evidence, including Stoll et al. (2025), relied on retrospective adult accounts, which may introduce recall bias. Future studies should also use multidimensional measures capturing the frequency, severity, source and type of racial discrimination rather than limited single-item measures. Finally, the roles of family support, school climate, socioeconomic circumstances, ethnic density and social belonging should be examined explicitly as potential mediators, moderators or protective factors, because the current evidence does not clearly establish these mechanisms.</w:t>
      </w:r>
    </w:p>
    <w:p w14:paraId="0DB3D645" w14:textId="77777777" w:rsidR="004A5CD4" w:rsidRDefault="002244FC">
      <w:pPr>
        <w:pStyle w:val="Heading2"/>
        <w:rPr>
          <w:lang w:val="en-IN"/>
        </w:rPr>
      </w:pPr>
      <w:bookmarkStart w:id="113" w:name="_Toc238674315"/>
      <w:r>
        <w:rPr>
          <w:lang w:val="en-IN"/>
        </w:rPr>
        <w:t>7.5 Conclusion</w:t>
      </w:r>
      <w:bookmarkEnd w:id="113"/>
    </w:p>
    <w:p w14:paraId="472FBAAE" w14:textId="77777777" w:rsidR="004A5CD4" w:rsidRDefault="002244FC">
      <w:pPr>
        <w:rPr>
          <w:lang w:val="en-IN"/>
        </w:rPr>
      </w:pPr>
      <w:r>
        <w:rPr>
          <w:lang w:val="en-IN"/>
        </w:rPr>
        <w:t xml:space="preserve">This systematic review explored the nature of racism in educational and broader social settings, and its effects on </w:t>
      </w:r>
      <w:r>
        <w:t>the mental health and wellbeing of children and young people under 18 years of age</w:t>
      </w:r>
      <w:r>
        <w:rPr>
          <w:lang w:val="en-IN"/>
        </w:rPr>
        <w:t>. The main research question was whether racism in schools impacts children's mental health in the UK. The study also sought to classify forms of racism, to look at links between racism and mental-health outcomes, to identify factors that might make it more or less likely that this would happen, and to suggest policy recommendations and future research.</w:t>
      </w:r>
    </w:p>
    <w:p w14:paraId="0D198619" w14:textId="77777777" w:rsidR="004A5CD4" w:rsidRDefault="002244FC">
      <w:pPr>
        <w:rPr>
          <w:lang w:val="en-IN"/>
        </w:rPr>
      </w:pPr>
      <w:r>
        <w:rPr>
          <w:lang w:val="en-IN"/>
        </w:rPr>
        <w:t>Four key themes emerged from the evidence synthesis: experiences and manifestations of racial discrimination, adverse psychological and emotional outcomes, behavioural, social and developmental outcomes, and risk and protective factors influencing mental-health outcomes. The first theme demonstrated how racial discrimination can be experienced at an interpersonal level, such as when racism manifests itself in the form of racial bullying or unequal treatment, as well as in broader educational and social contexts. Some studies, however, did not directly measure experiences of racism, and others measured racism in different ways.</w:t>
      </w:r>
    </w:p>
    <w:p w14:paraId="273A1B3D" w14:textId="77777777" w:rsidR="004A5CD4" w:rsidRDefault="002244FC">
      <w:pPr>
        <w:rPr>
          <w:lang w:val="en-IN"/>
        </w:rPr>
      </w:pPr>
      <w:r>
        <w:rPr>
          <w:lang w:val="en-IN"/>
        </w:rPr>
        <w:t>The second theme showed that racial discrimination and racial/ethnic inequalities were linked to lower wellbeing, anxiety, emotional distress, internalising problems and other psychological issues. The results generally confirmed the theoretical explanation that repeated experiences of discrimination can act as important social and psychological stressors. However, due to the lack of a consistent causal relationship, the review was unable to confirm one consistently, as several were cross-sectional and some reported ethnicity instead of racism.</w:t>
      </w:r>
    </w:p>
    <w:p w14:paraId="7B33C8CD" w14:textId="77777777" w:rsidR="004A5CD4" w:rsidRDefault="002244FC">
      <w:pPr>
        <w:rPr>
          <w:lang w:val="en-IN"/>
        </w:rPr>
      </w:pPr>
      <w:r>
        <w:rPr>
          <w:lang w:val="en-IN"/>
        </w:rPr>
        <w:t>The third theme showed that it is not only a psychological issue, but it can also have behavioural implications, social insecurity, and experiences of bullying and developmental patterns throughout childhood and adolescence. Longitudinal studies indicated that some inequities might persist from one developmental phase to the next, but the evidence was too weak to conclude that this was due to racism alone.</w:t>
      </w:r>
    </w:p>
    <w:p w14:paraId="0CAB51EB" w14:textId="77777777" w:rsidR="004A5CD4" w:rsidRDefault="002244FC">
      <w:pPr>
        <w:rPr>
          <w:lang w:val="en-IN"/>
        </w:rPr>
      </w:pPr>
      <w:r>
        <w:rPr>
          <w:lang w:val="en-IN"/>
        </w:rPr>
        <w:t>The final theme demonstrated that a range of wider factors affect children's performance, such as the socioeconomic context, family and peer dynamics, school and neighbourhood contexts, and ethnic density. This demonstrates that the mental-health impact of racial discrimination is complex and influenced by multiple interacting social factors.</w:t>
      </w:r>
    </w:p>
    <w:p w14:paraId="23725800" w14:textId="77777777" w:rsidR="004A5CD4" w:rsidRDefault="002244FC">
      <w:pPr>
        <w:rPr>
          <w:lang w:val="en-IN"/>
        </w:rPr>
      </w:pPr>
      <w:r>
        <w:rPr>
          <w:lang w:val="en-IN"/>
        </w:rPr>
        <w:t>The overall findings of the review are that racial discrimination is a significant factor related to decreased mental health and wellbeing among children and adolescents. The evidence available is, however, methodologically heterodox and not consistently causal. The study therefore underscores the need for developing and implementing anti-racist educational practice, culturally responsive support and more robust research in the UK that can directly measure the children's experience of racism across time.</w:t>
      </w:r>
    </w:p>
    <w:p w14:paraId="74A6B13E" w14:textId="77777777" w:rsidR="004A5CD4" w:rsidRDefault="004A5CD4">
      <w:pPr>
        <w:rPr>
          <w:lang w:val="en-IN"/>
        </w:rPr>
      </w:pPr>
    </w:p>
    <w:p w14:paraId="39EA8F09" w14:textId="77777777" w:rsidR="004A5CD4" w:rsidRDefault="004A5CD4">
      <w:pPr>
        <w:rPr>
          <w:lang w:val="en-IN"/>
        </w:rPr>
      </w:pPr>
    </w:p>
    <w:p w14:paraId="767E1B51" w14:textId="77777777" w:rsidR="004A5CD4" w:rsidRDefault="004A5CD4"/>
    <w:p w14:paraId="5EEAE477" w14:textId="77777777" w:rsidR="004A5CD4" w:rsidRDefault="004A5CD4">
      <w:pPr>
        <w:rPr>
          <w:lang w:val="en-IN"/>
        </w:rPr>
      </w:pPr>
    </w:p>
    <w:p w14:paraId="744B949A" w14:textId="77777777" w:rsidR="004A5CD4" w:rsidRDefault="004A5CD4">
      <w:pPr>
        <w:rPr>
          <w:lang w:val="en-IN"/>
        </w:rPr>
      </w:pPr>
    </w:p>
    <w:p w14:paraId="1290BCF4" w14:textId="77777777" w:rsidR="004A5CD4" w:rsidRDefault="004A5CD4"/>
    <w:p w14:paraId="55AD8A6C" w14:textId="77777777" w:rsidR="004A5CD4" w:rsidRDefault="004A5CD4">
      <w:pPr>
        <w:rPr>
          <w:lang w:val="en-IN"/>
        </w:rPr>
      </w:pPr>
    </w:p>
    <w:p w14:paraId="7DA42A65" w14:textId="77777777" w:rsidR="004A5CD4" w:rsidRDefault="004A5CD4">
      <w:pPr>
        <w:spacing w:after="200"/>
        <w:rPr>
          <w:rFonts w:cs="Times New Roman"/>
          <w:color w:val="000000" w:themeColor="text1"/>
          <w:szCs w:val="24"/>
        </w:rPr>
      </w:pPr>
    </w:p>
    <w:p w14:paraId="1DFB6ABE" w14:textId="77777777" w:rsidR="004A5CD4" w:rsidRDefault="002244FC">
      <w:r>
        <w:br w:type="page"/>
      </w:r>
    </w:p>
    <w:p w14:paraId="513AACDA" w14:textId="77777777" w:rsidR="004A5CD4" w:rsidRDefault="002244FC">
      <w:pPr>
        <w:pStyle w:val="Heading1"/>
        <w:rPr>
          <w:rFonts w:eastAsia="SimSun" w:cs="Arial"/>
          <w:color w:val="222222"/>
          <w:sz w:val="24"/>
          <w:szCs w:val="24"/>
          <w:shd w:val="clear" w:color="auto" w:fill="FFFFFF"/>
        </w:rPr>
      </w:pPr>
      <w:bookmarkStart w:id="114" w:name="_Toc238674316"/>
      <w:r>
        <w:t>References</w:t>
      </w:r>
      <w:bookmarkEnd w:id="114"/>
    </w:p>
    <w:p w14:paraId="5305F904" w14:textId="77777777" w:rsidR="004A5CD4" w:rsidRDefault="002244FC">
      <w:pPr>
        <w:spacing w:before="120" w:after="120"/>
        <w:rPr>
          <w:rFonts w:cs="Arial"/>
          <w:szCs w:val="24"/>
        </w:rPr>
      </w:pPr>
      <w:r>
        <w:rPr>
          <w:rFonts w:cs="Arial"/>
          <w:szCs w:val="24"/>
        </w:rPr>
        <w:t>Agnihotry, A., Thakkar, R., Gill, K.S., Schoenbaum, T., Dobbins, M., Stevenson, R.G., Couban, R. and Ray, S. (2025). Key strategies for evidence synthesis through systematic reviews in Dentistry. </w:t>
      </w:r>
      <w:r>
        <w:rPr>
          <w:rFonts w:cs="Arial"/>
          <w:i/>
          <w:iCs/>
          <w:szCs w:val="24"/>
        </w:rPr>
        <w:t>Dentistry Review</w:t>
      </w:r>
      <w:r>
        <w:rPr>
          <w:rFonts w:cs="Arial"/>
          <w:szCs w:val="24"/>
        </w:rPr>
        <w:t>, </w:t>
      </w:r>
      <w:r>
        <w:rPr>
          <w:rFonts w:cs="Arial"/>
          <w:i/>
          <w:iCs/>
          <w:szCs w:val="24"/>
        </w:rPr>
        <w:t>5</w:t>
      </w:r>
      <w:r>
        <w:rPr>
          <w:rFonts w:cs="Arial"/>
          <w:szCs w:val="24"/>
        </w:rPr>
        <w:t>(1), p.100152.</w:t>
      </w:r>
      <w:hyperlink r:id="rId13" w:history="1">
        <w:r>
          <w:rPr>
            <w:rStyle w:val="Hyperlink"/>
            <w:rFonts w:cs="Arial"/>
            <w:szCs w:val="24"/>
          </w:rPr>
          <w:t>https://www.sciencedirect.com/science/article/pii/S277255962500001X</w:t>
        </w:r>
      </w:hyperlink>
    </w:p>
    <w:p w14:paraId="272EF5C8" w14:textId="77777777" w:rsidR="004A5CD4" w:rsidRDefault="002244FC">
      <w:pPr>
        <w:rPr>
          <w:rFonts w:eastAsia="Calibri" w:cs="Arial"/>
          <w:szCs w:val="24"/>
          <w:lang w:val="en-IN"/>
        </w:rPr>
      </w:pPr>
      <w:r>
        <w:rPr>
          <w:rFonts w:eastAsia="Calibri" w:cs="Arial"/>
          <w:szCs w:val="24"/>
        </w:rPr>
        <w:t>Ahmed, S.K., Mohammed, R.A., Nashwan, A.J., Ibrahim, R.H., Abdalla, A.Q., Ameen, B.M.M. and Khdhir, R.M., 2025. Using thematic analysis in qualitative research. </w:t>
      </w:r>
      <w:r>
        <w:rPr>
          <w:rFonts w:eastAsia="Calibri" w:cs="Arial"/>
          <w:i/>
          <w:iCs/>
          <w:szCs w:val="24"/>
        </w:rPr>
        <w:t>Journal of medicine, surgery, and public health</w:t>
      </w:r>
      <w:r>
        <w:rPr>
          <w:rFonts w:eastAsia="Calibri" w:cs="Arial"/>
          <w:szCs w:val="24"/>
        </w:rPr>
        <w:t>, </w:t>
      </w:r>
      <w:r>
        <w:rPr>
          <w:rFonts w:eastAsia="Calibri" w:cs="Arial"/>
          <w:i/>
          <w:iCs/>
          <w:szCs w:val="24"/>
        </w:rPr>
        <w:t>6</w:t>
      </w:r>
      <w:r>
        <w:rPr>
          <w:rFonts w:eastAsia="Calibri" w:cs="Arial"/>
          <w:szCs w:val="24"/>
        </w:rPr>
        <w:t xml:space="preserve">, p.100198. </w:t>
      </w:r>
      <w:hyperlink r:id="rId14" w:history="1">
        <w:r>
          <w:rPr>
            <w:rStyle w:val="Hyperlink"/>
            <w:rFonts w:eastAsia="Calibri" w:cs="Arial"/>
            <w:szCs w:val="24"/>
          </w:rPr>
          <w:t>https://www.sciencedirect.com/science/article/pii/S2949916X25000222</w:t>
        </w:r>
      </w:hyperlink>
      <w:r>
        <w:rPr>
          <w:rFonts w:eastAsia="Calibri" w:cs="Arial"/>
          <w:szCs w:val="24"/>
        </w:rPr>
        <w:t xml:space="preserve"> </w:t>
      </w:r>
    </w:p>
    <w:p w14:paraId="4F97BFA3"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Alegría, M., Green, J.G., McLaughlin, K.A. and Loder, S., </w:t>
      </w:r>
      <w:r>
        <w:rPr>
          <w:rFonts w:eastAsia="SimSun" w:cs="Arial"/>
          <w:color w:val="222222"/>
          <w:szCs w:val="24"/>
          <w:shd w:val="clear" w:color="auto" w:fill="FFFFFF"/>
          <w:lang w:val="en-IN"/>
        </w:rPr>
        <w:t>(</w:t>
      </w:r>
      <w:r>
        <w:rPr>
          <w:rFonts w:eastAsia="SimSun" w:cs="Arial"/>
          <w:color w:val="222222"/>
          <w:szCs w:val="24"/>
          <w:shd w:val="clear" w:color="auto" w:fill="FFFFFF"/>
        </w:rPr>
        <w:t>2015</w:t>
      </w:r>
      <w:r>
        <w:rPr>
          <w:rFonts w:eastAsia="SimSun" w:cs="Arial"/>
          <w:color w:val="222222"/>
          <w:szCs w:val="24"/>
          <w:shd w:val="clear" w:color="auto" w:fill="FFFFFF"/>
          <w:lang w:val="en-IN"/>
        </w:rPr>
        <w:t>)</w:t>
      </w:r>
      <w:r>
        <w:rPr>
          <w:rFonts w:eastAsia="SimSun" w:cs="Arial"/>
          <w:color w:val="222222"/>
          <w:szCs w:val="24"/>
          <w:shd w:val="clear" w:color="auto" w:fill="FFFFFF"/>
        </w:rPr>
        <w:t>. Disparities in child and adolescent mental health and mental health services in the US. </w:t>
      </w:r>
      <w:r>
        <w:rPr>
          <w:rFonts w:eastAsia="SimSun" w:cs="Arial"/>
          <w:i/>
          <w:iCs/>
          <w:color w:val="222222"/>
          <w:szCs w:val="24"/>
          <w:shd w:val="clear" w:color="auto" w:fill="FFFFFF"/>
        </w:rPr>
        <w:t>New York, NY: William T. Grant Foundation</w:t>
      </w:r>
      <w:r>
        <w:rPr>
          <w:rFonts w:eastAsia="SimSun" w:cs="Arial"/>
          <w:color w:val="222222"/>
          <w:szCs w:val="24"/>
          <w:shd w:val="clear" w:color="auto" w:fill="FFFFFF"/>
        </w:rPr>
        <w:t>, </w:t>
      </w:r>
      <w:r>
        <w:rPr>
          <w:rFonts w:eastAsia="SimSun" w:cs="Arial"/>
          <w:i/>
          <w:iCs/>
          <w:color w:val="222222"/>
          <w:szCs w:val="24"/>
          <w:shd w:val="clear" w:color="auto" w:fill="FFFFFF"/>
        </w:rPr>
        <w:t>26</w:t>
      </w:r>
      <w:r>
        <w:rPr>
          <w:rFonts w:eastAsia="SimSun" w:cs="Arial"/>
          <w:color w:val="222222"/>
          <w:szCs w:val="24"/>
          <w:shd w:val="clear" w:color="auto" w:fill="FFFFFF"/>
        </w:rPr>
        <w:t>.</w:t>
      </w:r>
      <w:r>
        <w:rPr>
          <w:rFonts w:eastAsia="SimSun" w:cs="Arial"/>
          <w:color w:val="222222"/>
          <w:szCs w:val="24"/>
          <w:shd w:val="clear" w:color="auto" w:fill="FFFFFF"/>
          <w:lang w:val="en-IN"/>
        </w:rPr>
        <w:t xml:space="preserve"> </w:t>
      </w:r>
      <w:hyperlink r:id="rId15" w:history="1">
        <w:r>
          <w:rPr>
            <w:rStyle w:val="Hyperlink"/>
            <w:rFonts w:eastAsia="SimSun" w:cs="Arial"/>
            <w:szCs w:val="24"/>
            <w:shd w:val="clear" w:color="auto" w:fill="FFFFFF"/>
            <w:lang w:val="en-IN"/>
          </w:rPr>
          <w:t>http://cfs.cbcs.usf.edu/projects-research/_docs/Disparities_in_child_and_adolescent_health.pdf</w:t>
        </w:r>
      </w:hyperlink>
      <w:r>
        <w:rPr>
          <w:rFonts w:eastAsia="SimSun" w:cs="Arial"/>
          <w:color w:val="222222"/>
          <w:szCs w:val="24"/>
          <w:shd w:val="clear" w:color="auto" w:fill="FFFFFF"/>
          <w:lang w:val="en-IN"/>
        </w:rPr>
        <w:t xml:space="preserve"> </w:t>
      </w:r>
    </w:p>
    <w:p w14:paraId="0B9FC315"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Alegría, M., Green, J.G., McLaughlin, K.A. and Loder, S., </w:t>
      </w:r>
      <w:r>
        <w:rPr>
          <w:rFonts w:eastAsia="SimSun" w:cs="Arial"/>
          <w:color w:val="222222"/>
          <w:szCs w:val="24"/>
          <w:shd w:val="clear" w:color="auto" w:fill="FFFFFF"/>
          <w:lang w:val="en-IN"/>
        </w:rPr>
        <w:t>(</w:t>
      </w:r>
      <w:r>
        <w:rPr>
          <w:rFonts w:eastAsia="SimSun" w:cs="Arial"/>
          <w:color w:val="222222"/>
          <w:szCs w:val="24"/>
          <w:shd w:val="clear" w:color="auto" w:fill="FFFFFF"/>
        </w:rPr>
        <w:t>2015</w:t>
      </w:r>
      <w:r>
        <w:rPr>
          <w:rFonts w:eastAsia="SimSun" w:cs="Arial"/>
          <w:color w:val="222222"/>
          <w:szCs w:val="24"/>
          <w:shd w:val="clear" w:color="auto" w:fill="FFFFFF"/>
          <w:lang w:val="en-IN"/>
        </w:rPr>
        <w:t>)</w:t>
      </w:r>
      <w:r>
        <w:rPr>
          <w:rFonts w:eastAsia="SimSun" w:cs="Arial"/>
          <w:color w:val="222222"/>
          <w:szCs w:val="24"/>
          <w:shd w:val="clear" w:color="auto" w:fill="FFFFFF"/>
        </w:rPr>
        <w:t>. Disparities in child and adolescent mental health and mental health services in the US. </w:t>
      </w:r>
      <w:r>
        <w:rPr>
          <w:rFonts w:eastAsia="SimSun" w:cs="Arial"/>
          <w:i/>
          <w:iCs/>
          <w:color w:val="222222"/>
          <w:szCs w:val="24"/>
          <w:shd w:val="clear" w:color="auto" w:fill="FFFFFF"/>
        </w:rPr>
        <w:t>New York, NY: William T. Grant Foundation</w:t>
      </w:r>
      <w:r>
        <w:rPr>
          <w:rFonts w:eastAsia="SimSun" w:cs="Arial"/>
          <w:color w:val="222222"/>
          <w:szCs w:val="24"/>
          <w:shd w:val="clear" w:color="auto" w:fill="FFFFFF"/>
        </w:rPr>
        <w:t>, </w:t>
      </w:r>
      <w:r>
        <w:rPr>
          <w:rFonts w:eastAsia="SimSun" w:cs="Arial"/>
          <w:i/>
          <w:iCs/>
          <w:color w:val="222222"/>
          <w:szCs w:val="24"/>
          <w:shd w:val="clear" w:color="auto" w:fill="FFFFFF"/>
        </w:rPr>
        <w:t>26</w:t>
      </w:r>
      <w:r>
        <w:rPr>
          <w:rFonts w:eastAsia="SimSun" w:cs="Arial"/>
          <w:color w:val="222222"/>
          <w:szCs w:val="24"/>
          <w:shd w:val="clear" w:color="auto" w:fill="FFFFFF"/>
        </w:rPr>
        <w:t>.</w:t>
      </w:r>
      <w:r>
        <w:rPr>
          <w:rFonts w:eastAsia="SimSun" w:cs="Arial"/>
          <w:color w:val="222222"/>
          <w:szCs w:val="24"/>
          <w:shd w:val="clear" w:color="auto" w:fill="FFFFFF"/>
          <w:lang w:val="en-IN"/>
        </w:rPr>
        <w:t xml:space="preserve"> </w:t>
      </w:r>
      <w:hyperlink r:id="rId16" w:history="1">
        <w:r>
          <w:rPr>
            <w:rStyle w:val="Hyperlink"/>
            <w:rFonts w:eastAsia="SimSun" w:cs="Arial"/>
            <w:szCs w:val="24"/>
            <w:shd w:val="clear" w:color="auto" w:fill="FFFFFF"/>
            <w:lang w:val="en-IN"/>
          </w:rPr>
          <w:t>http://cfs.cbcs.usf.edu/projects-research/_docs/Disparities_in_child_and_adolescent_health.pdf</w:t>
        </w:r>
      </w:hyperlink>
      <w:r>
        <w:rPr>
          <w:rFonts w:eastAsia="SimSun" w:cs="Arial"/>
          <w:color w:val="222222"/>
          <w:szCs w:val="24"/>
          <w:shd w:val="clear" w:color="auto" w:fill="FFFFFF"/>
          <w:lang w:val="en-IN"/>
        </w:rPr>
        <w:t xml:space="preserve"> </w:t>
      </w:r>
    </w:p>
    <w:p w14:paraId="0B0BC191" w14:textId="77777777" w:rsidR="004A5CD4" w:rsidRDefault="002244FC">
      <w:pPr>
        <w:spacing w:before="120" w:after="120"/>
        <w:rPr>
          <w:rFonts w:cs="Arial"/>
          <w:szCs w:val="24"/>
        </w:rPr>
      </w:pPr>
      <w:r>
        <w:rPr>
          <w:rFonts w:cs="Arial"/>
          <w:szCs w:val="24"/>
        </w:rPr>
        <w:t xml:space="preserve">Arneback, E. and Jämte, J., 2022. How to counteract racism in education–A typology of teachers’ anti-racist actions. </w:t>
      </w:r>
      <w:r>
        <w:rPr>
          <w:rFonts w:cs="Arial"/>
          <w:i/>
          <w:iCs/>
          <w:szCs w:val="24"/>
        </w:rPr>
        <w:t>Race Ethnicity and Education</w:t>
      </w:r>
      <w:r>
        <w:rPr>
          <w:rFonts w:cs="Arial"/>
          <w:szCs w:val="24"/>
        </w:rPr>
        <w:t xml:space="preserve">, </w:t>
      </w:r>
      <w:r>
        <w:rPr>
          <w:rFonts w:cs="Arial"/>
          <w:i/>
          <w:iCs/>
          <w:szCs w:val="24"/>
        </w:rPr>
        <w:t>25</w:t>
      </w:r>
      <w:r>
        <w:rPr>
          <w:rFonts w:cs="Arial"/>
          <w:szCs w:val="24"/>
        </w:rPr>
        <w:t xml:space="preserve">(2), pp.192-211. </w:t>
      </w:r>
    </w:p>
    <w:p w14:paraId="5D0D8F59"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Assari, S., Moazen-Zadeh, E., Caldwell, C.H. and Zimmerman, M.A.,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Racial discrimination during adolescence predicts mental health deterioration in adulthood: Gender differences among Blacks. </w:t>
      </w:r>
      <w:r>
        <w:rPr>
          <w:rFonts w:eastAsia="SimSun" w:cs="Arial"/>
          <w:i/>
          <w:iCs/>
          <w:color w:val="222222"/>
          <w:szCs w:val="24"/>
          <w:shd w:val="clear" w:color="auto" w:fill="FFFFFF"/>
        </w:rPr>
        <w:t>Frontiers in public health</w:t>
      </w:r>
      <w:r>
        <w:rPr>
          <w:rFonts w:eastAsia="SimSun" w:cs="Arial"/>
          <w:color w:val="222222"/>
          <w:szCs w:val="24"/>
          <w:shd w:val="clear" w:color="auto" w:fill="FFFFFF"/>
        </w:rPr>
        <w:t>, </w:t>
      </w:r>
      <w:r>
        <w:rPr>
          <w:rFonts w:eastAsia="SimSun" w:cs="Arial"/>
          <w:i/>
          <w:iCs/>
          <w:color w:val="222222"/>
          <w:szCs w:val="24"/>
          <w:shd w:val="clear" w:color="auto" w:fill="FFFFFF"/>
        </w:rPr>
        <w:t>5</w:t>
      </w:r>
      <w:r>
        <w:rPr>
          <w:rFonts w:eastAsia="SimSun" w:cs="Arial"/>
          <w:color w:val="222222"/>
          <w:szCs w:val="24"/>
          <w:shd w:val="clear" w:color="auto" w:fill="FFFFFF"/>
        </w:rPr>
        <w:t>, p.104.</w:t>
      </w:r>
      <w:r>
        <w:rPr>
          <w:rFonts w:eastAsia="SimSun" w:cs="Arial"/>
          <w:color w:val="222222"/>
          <w:szCs w:val="24"/>
          <w:shd w:val="clear" w:color="auto" w:fill="FFFFFF"/>
          <w:lang w:val="en-IN"/>
        </w:rPr>
        <w:t xml:space="preserve"> </w:t>
      </w:r>
      <w:hyperlink r:id="rId17" w:history="1">
        <w:r>
          <w:rPr>
            <w:rStyle w:val="Hyperlink"/>
            <w:rFonts w:eastAsia="SimSun" w:cs="Arial"/>
            <w:szCs w:val="24"/>
            <w:shd w:val="clear" w:color="auto" w:fill="FFFFFF"/>
            <w:lang w:val="en-IN"/>
          </w:rPr>
          <w:t>https://www.frontiersin.org/journals/public-health/articles/10.3389/fpubh.2017.00104/full</w:t>
        </w:r>
      </w:hyperlink>
      <w:r>
        <w:rPr>
          <w:rFonts w:eastAsia="SimSun" w:cs="Arial"/>
          <w:color w:val="222222"/>
          <w:szCs w:val="24"/>
          <w:shd w:val="clear" w:color="auto" w:fill="FFFFFF"/>
          <w:lang w:val="en-IN"/>
        </w:rPr>
        <w:t xml:space="preserve"> </w:t>
      </w:r>
    </w:p>
    <w:p w14:paraId="6C412198" w14:textId="77777777" w:rsidR="004A5CD4" w:rsidRDefault="002244FC">
      <w:pPr>
        <w:rPr>
          <w:rFonts w:cs="Arial"/>
          <w:szCs w:val="24"/>
          <w:lang w:val="en-IN"/>
        </w:rPr>
      </w:pPr>
      <w:r>
        <w:rPr>
          <w:rFonts w:cs="Arial"/>
          <w:szCs w:val="24"/>
        </w:rPr>
        <w:t>Astell-Burt, T., Maynard, M.J., Lenguerrand, E. and Harding, S., 2012. Racism, ethnic density and psychological well-being through adolescence: evidence from the Determinants of adolescent social well-being and health longitudinal study. </w:t>
      </w:r>
      <w:r>
        <w:rPr>
          <w:rFonts w:cs="Arial"/>
          <w:i/>
          <w:iCs/>
          <w:szCs w:val="24"/>
        </w:rPr>
        <w:t>Ethnicity &amp; health</w:t>
      </w:r>
      <w:r>
        <w:rPr>
          <w:rFonts w:cs="Arial"/>
          <w:szCs w:val="24"/>
        </w:rPr>
        <w:t>, </w:t>
      </w:r>
      <w:r>
        <w:rPr>
          <w:rFonts w:cs="Arial"/>
          <w:i/>
          <w:iCs/>
          <w:szCs w:val="24"/>
        </w:rPr>
        <w:t>17</w:t>
      </w:r>
      <w:r>
        <w:rPr>
          <w:rFonts w:cs="Arial"/>
          <w:szCs w:val="24"/>
        </w:rPr>
        <w:t xml:space="preserve">(1-2), pp.71-87. </w:t>
      </w:r>
      <w:hyperlink r:id="rId18" w:history="1">
        <w:r>
          <w:rPr>
            <w:rStyle w:val="Hyperlink"/>
            <w:rFonts w:cs="Arial"/>
            <w:szCs w:val="24"/>
          </w:rPr>
          <w:t>https://www.tandfonline.com/doi/pdf/10.1080/13557858.2011.645153</w:t>
        </w:r>
      </w:hyperlink>
      <w:r>
        <w:rPr>
          <w:rFonts w:cs="Arial"/>
          <w:szCs w:val="24"/>
        </w:rPr>
        <w:t xml:space="preserve"> </w:t>
      </w:r>
    </w:p>
    <w:p w14:paraId="19B2C360" w14:textId="77777777" w:rsidR="004A5CD4" w:rsidRDefault="002244FC">
      <w:pPr>
        <w:rPr>
          <w:rFonts w:cs="Arial"/>
          <w:szCs w:val="24"/>
        </w:rPr>
      </w:pPr>
      <w:r>
        <w:rPr>
          <w:rFonts w:cs="Arial"/>
          <w:szCs w:val="24"/>
        </w:rPr>
        <w:t>Bains, S. and Gutman, L.M., 2021. Mental health in ethnic minority populations in the UK: developmental trajectories from early childhood to mid adolescence. </w:t>
      </w:r>
      <w:r>
        <w:rPr>
          <w:rFonts w:cs="Arial"/>
          <w:i/>
          <w:iCs/>
          <w:szCs w:val="24"/>
        </w:rPr>
        <w:t>Journal of Youth and Adolescence</w:t>
      </w:r>
      <w:r>
        <w:rPr>
          <w:rFonts w:cs="Arial"/>
          <w:szCs w:val="24"/>
        </w:rPr>
        <w:t>, </w:t>
      </w:r>
      <w:r>
        <w:rPr>
          <w:rFonts w:cs="Arial"/>
          <w:i/>
          <w:iCs/>
          <w:szCs w:val="24"/>
        </w:rPr>
        <w:t>50</w:t>
      </w:r>
      <w:r>
        <w:rPr>
          <w:rFonts w:cs="Arial"/>
          <w:szCs w:val="24"/>
        </w:rPr>
        <w:t xml:space="preserve">(11), pp.2151-2165. </w:t>
      </w:r>
      <w:hyperlink r:id="rId19" w:history="1">
        <w:r>
          <w:rPr>
            <w:rStyle w:val="Hyperlink"/>
            <w:rFonts w:cs="Arial"/>
            <w:szCs w:val="24"/>
          </w:rPr>
          <w:t>https://link.springer.com/content/pdf/10.1007/s10964-021-01481-5.pdf</w:t>
        </w:r>
      </w:hyperlink>
      <w:r>
        <w:rPr>
          <w:rFonts w:cs="Arial"/>
          <w:szCs w:val="24"/>
        </w:rPr>
        <w:t xml:space="preserve"> </w:t>
      </w:r>
    </w:p>
    <w:p w14:paraId="79FDF6CA" w14:textId="77777777" w:rsidR="004A5CD4" w:rsidRDefault="002244FC">
      <w:pPr>
        <w:rPr>
          <w:rFonts w:cs="Arial"/>
          <w:szCs w:val="24"/>
          <w:lang w:val="en-IN"/>
        </w:rPr>
      </w:pPr>
      <w:r>
        <w:rPr>
          <w:rFonts w:cs="Arial"/>
          <w:szCs w:val="24"/>
        </w:rPr>
        <w:t>Barker, T.H., Stone, J.C., Sears, K., Klugar, M., Leonardi-Bee, J., Tufanaru, C., Aromataris, E. and Munn, Z., 2023. Revising the JBI quantitative critical appraisal tools to improve their applicability: an overview of methods and the development process. </w:t>
      </w:r>
      <w:r>
        <w:rPr>
          <w:rFonts w:cs="Arial"/>
          <w:i/>
          <w:iCs/>
          <w:szCs w:val="24"/>
        </w:rPr>
        <w:t>JBI evidence synthesis</w:t>
      </w:r>
      <w:r>
        <w:rPr>
          <w:rFonts w:cs="Arial"/>
          <w:szCs w:val="24"/>
        </w:rPr>
        <w:t>, </w:t>
      </w:r>
      <w:r>
        <w:rPr>
          <w:rFonts w:cs="Arial"/>
          <w:i/>
          <w:iCs/>
          <w:szCs w:val="24"/>
        </w:rPr>
        <w:t>21</w:t>
      </w:r>
      <w:r>
        <w:rPr>
          <w:rFonts w:cs="Arial"/>
          <w:szCs w:val="24"/>
        </w:rPr>
        <w:t xml:space="preserve">(3), pp.478-493. </w:t>
      </w:r>
    </w:p>
    <w:p w14:paraId="1EF19713" w14:textId="77777777" w:rsidR="004A5CD4" w:rsidRDefault="002244FC">
      <w:pPr>
        <w:spacing w:before="120" w:after="120"/>
        <w:rPr>
          <w:rFonts w:cs="Arial"/>
          <w:szCs w:val="24"/>
        </w:rPr>
      </w:pPr>
      <w:r>
        <w:rPr>
          <w:rFonts w:cs="Arial"/>
          <w:szCs w:val="24"/>
        </w:rPr>
        <w:t>Barry, E.S., Merkebu, J. and Varpio, L. (2022). State-of-the-art literature review methodology: A six-step approach for knowledge synthesis. </w:t>
      </w:r>
      <w:r>
        <w:rPr>
          <w:rFonts w:cs="Arial"/>
          <w:i/>
          <w:iCs/>
          <w:szCs w:val="24"/>
        </w:rPr>
        <w:t>Perspectives on Medical Education</w:t>
      </w:r>
      <w:r>
        <w:rPr>
          <w:rFonts w:cs="Arial"/>
          <w:szCs w:val="24"/>
        </w:rPr>
        <w:t>, </w:t>
      </w:r>
      <w:r>
        <w:rPr>
          <w:rFonts w:cs="Arial"/>
          <w:i/>
          <w:iCs/>
          <w:szCs w:val="24"/>
        </w:rPr>
        <w:t>11</w:t>
      </w:r>
      <w:r>
        <w:rPr>
          <w:rFonts w:cs="Arial"/>
          <w:szCs w:val="24"/>
        </w:rPr>
        <w:t xml:space="preserve">(5), pp.281-288. </w:t>
      </w:r>
      <w:hyperlink r:id="rId20" w:history="1">
        <w:r>
          <w:rPr>
            <w:rStyle w:val="Hyperlink"/>
            <w:rFonts w:cs="Arial"/>
            <w:szCs w:val="24"/>
          </w:rPr>
          <w:t>https://link.springer.com/content/pdf/10.1007/s40037-022-00725-9.pdf</w:t>
        </w:r>
      </w:hyperlink>
    </w:p>
    <w:p w14:paraId="353D78C3"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Bernard, D.L., Calhoun, C.D., Banks, D.E., Halliday, C.A., Hughes-Halbert, C. and Danielson, C.K., </w:t>
      </w:r>
      <w:r>
        <w:rPr>
          <w:rFonts w:eastAsia="SimSun" w:cs="Arial"/>
          <w:color w:val="222222"/>
          <w:szCs w:val="24"/>
          <w:shd w:val="clear" w:color="auto" w:fill="FFFFFF"/>
          <w:lang w:val="en-IN"/>
        </w:rPr>
        <w:t>(</w:t>
      </w:r>
      <w:r>
        <w:rPr>
          <w:rFonts w:eastAsia="SimSun" w:cs="Arial"/>
          <w:color w:val="222222"/>
          <w:szCs w:val="24"/>
          <w:shd w:val="clear" w:color="auto" w:fill="FFFFFF"/>
        </w:rPr>
        <w:t>2021</w:t>
      </w:r>
      <w:r>
        <w:rPr>
          <w:rFonts w:eastAsia="SimSun" w:cs="Arial"/>
          <w:color w:val="222222"/>
          <w:szCs w:val="24"/>
          <w:shd w:val="clear" w:color="auto" w:fill="FFFFFF"/>
          <w:lang w:val="en-IN"/>
        </w:rPr>
        <w:t>)</w:t>
      </w:r>
      <w:r>
        <w:rPr>
          <w:rFonts w:eastAsia="SimSun" w:cs="Arial"/>
          <w:color w:val="222222"/>
          <w:szCs w:val="24"/>
          <w:shd w:val="clear" w:color="auto" w:fill="FFFFFF"/>
        </w:rPr>
        <w:t>. Making the “C-ACE” for a culturally-informed adverse childhood experiences framework to understand the pervasive mental health impact of racism on Black youth. </w:t>
      </w:r>
      <w:r>
        <w:rPr>
          <w:rFonts w:eastAsia="SimSun" w:cs="Arial"/>
          <w:i/>
          <w:iCs/>
          <w:color w:val="222222"/>
          <w:szCs w:val="24"/>
          <w:shd w:val="clear" w:color="auto" w:fill="FFFFFF"/>
        </w:rPr>
        <w:t>Journal of child &amp; adolescent trauma</w:t>
      </w:r>
      <w:r>
        <w:rPr>
          <w:rFonts w:eastAsia="SimSun" w:cs="Arial"/>
          <w:color w:val="222222"/>
          <w:szCs w:val="24"/>
          <w:shd w:val="clear" w:color="auto" w:fill="FFFFFF"/>
        </w:rPr>
        <w:t>, </w:t>
      </w:r>
      <w:r>
        <w:rPr>
          <w:rFonts w:eastAsia="SimSun" w:cs="Arial"/>
          <w:i/>
          <w:iCs/>
          <w:color w:val="222222"/>
          <w:szCs w:val="24"/>
          <w:shd w:val="clear" w:color="auto" w:fill="FFFFFF"/>
        </w:rPr>
        <w:t>14</w:t>
      </w:r>
      <w:r>
        <w:rPr>
          <w:rFonts w:eastAsia="SimSun" w:cs="Arial"/>
          <w:color w:val="222222"/>
          <w:szCs w:val="24"/>
          <w:shd w:val="clear" w:color="auto" w:fill="FFFFFF"/>
        </w:rPr>
        <w:t>(2), pp.233-247.</w:t>
      </w:r>
      <w:r>
        <w:rPr>
          <w:rFonts w:eastAsia="SimSun" w:cs="Arial"/>
          <w:color w:val="222222"/>
          <w:szCs w:val="24"/>
          <w:shd w:val="clear" w:color="auto" w:fill="FFFFFF"/>
          <w:lang w:val="en-IN"/>
        </w:rPr>
        <w:t xml:space="preserve">  </w:t>
      </w:r>
      <w:hyperlink r:id="rId21" w:history="1">
        <w:r>
          <w:rPr>
            <w:rStyle w:val="Hyperlink"/>
            <w:rFonts w:eastAsia="SimSun" w:cs="Arial"/>
            <w:szCs w:val="24"/>
            <w:shd w:val="clear" w:color="auto" w:fill="FFFFFF"/>
            <w:lang w:val="en-IN"/>
          </w:rPr>
          <w:t>https://link.springer.com/article/10.1007/s40653-020-00319-9</w:t>
        </w:r>
      </w:hyperlink>
      <w:r>
        <w:rPr>
          <w:rFonts w:eastAsia="SimSun" w:cs="Arial"/>
          <w:color w:val="222222"/>
          <w:szCs w:val="24"/>
          <w:shd w:val="clear" w:color="auto" w:fill="FFFFFF"/>
          <w:lang w:val="en-IN"/>
        </w:rPr>
        <w:t xml:space="preserve"> </w:t>
      </w:r>
    </w:p>
    <w:p w14:paraId="124EA7E9"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Berry, O.O., Londoño Tobón, A. and Njoroge, W.F., </w:t>
      </w:r>
      <w:r>
        <w:rPr>
          <w:rFonts w:eastAsia="SimSun" w:cs="Arial"/>
          <w:color w:val="222222"/>
          <w:szCs w:val="24"/>
          <w:shd w:val="clear" w:color="auto" w:fill="FFFFFF"/>
          <w:lang w:val="en-IN"/>
        </w:rPr>
        <w:t>(</w:t>
      </w:r>
      <w:r>
        <w:rPr>
          <w:rFonts w:eastAsia="SimSun" w:cs="Arial"/>
          <w:color w:val="222222"/>
          <w:szCs w:val="24"/>
          <w:shd w:val="clear" w:color="auto" w:fill="FFFFFF"/>
        </w:rPr>
        <w:t>2021</w:t>
      </w:r>
      <w:r>
        <w:rPr>
          <w:rFonts w:eastAsia="SimSun" w:cs="Arial"/>
          <w:color w:val="222222"/>
          <w:szCs w:val="24"/>
          <w:shd w:val="clear" w:color="auto" w:fill="FFFFFF"/>
          <w:lang w:val="en-IN"/>
        </w:rPr>
        <w:t>)</w:t>
      </w:r>
      <w:r>
        <w:rPr>
          <w:rFonts w:eastAsia="SimSun" w:cs="Arial"/>
          <w:color w:val="222222"/>
          <w:szCs w:val="24"/>
          <w:shd w:val="clear" w:color="auto" w:fill="FFFFFF"/>
        </w:rPr>
        <w:t>. Social determinants of health: the impact of racism on early childhood mental health. </w:t>
      </w:r>
      <w:r>
        <w:rPr>
          <w:rFonts w:eastAsia="SimSun" w:cs="Arial"/>
          <w:i/>
          <w:iCs/>
          <w:color w:val="222222"/>
          <w:szCs w:val="24"/>
          <w:shd w:val="clear" w:color="auto" w:fill="FFFFFF"/>
        </w:rPr>
        <w:t>Current psychiatry reports</w:t>
      </w:r>
      <w:r>
        <w:rPr>
          <w:rFonts w:eastAsia="SimSun" w:cs="Arial"/>
          <w:color w:val="222222"/>
          <w:szCs w:val="24"/>
          <w:shd w:val="clear" w:color="auto" w:fill="FFFFFF"/>
        </w:rPr>
        <w:t>, </w:t>
      </w:r>
      <w:r>
        <w:rPr>
          <w:rFonts w:eastAsia="SimSun" w:cs="Arial"/>
          <w:i/>
          <w:iCs/>
          <w:color w:val="222222"/>
          <w:szCs w:val="24"/>
          <w:shd w:val="clear" w:color="auto" w:fill="FFFFFF"/>
        </w:rPr>
        <w:t>23</w:t>
      </w:r>
      <w:r>
        <w:rPr>
          <w:rFonts w:eastAsia="SimSun" w:cs="Arial"/>
          <w:color w:val="222222"/>
          <w:szCs w:val="24"/>
          <w:shd w:val="clear" w:color="auto" w:fill="FFFFFF"/>
        </w:rPr>
        <w:t>(5), p.23.</w:t>
      </w:r>
      <w:r>
        <w:rPr>
          <w:rFonts w:eastAsia="SimSun" w:cs="Arial"/>
          <w:color w:val="222222"/>
          <w:szCs w:val="24"/>
          <w:shd w:val="clear" w:color="auto" w:fill="FFFFFF"/>
          <w:lang w:val="en-IN"/>
        </w:rPr>
        <w:t xml:space="preserve"> </w:t>
      </w:r>
      <w:hyperlink r:id="rId22" w:history="1">
        <w:r>
          <w:rPr>
            <w:rStyle w:val="Hyperlink"/>
            <w:rFonts w:eastAsia="SimSun" w:cs="Arial"/>
            <w:szCs w:val="24"/>
            <w:shd w:val="clear" w:color="auto" w:fill="FFFFFF"/>
            <w:lang w:val="en-IN"/>
          </w:rPr>
          <w:t>https://link.springer.com/article/10.1007/s11920-021-01240-0</w:t>
        </w:r>
      </w:hyperlink>
      <w:r>
        <w:rPr>
          <w:rFonts w:eastAsia="SimSun" w:cs="Arial"/>
          <w:color w:val="222222"/>
          <w:szCs w:val="24"/>
          <w:shd w:val="clear" w:color="auto" w:fill="FFFFFF"/>
          <w:lang w:val="en-IN"/>
        </w:rPr>
        <w:t xml:space="preserve"> </w:t>
      </w:r>
    </w:p>
    <w:p w14:paraId="6E8C4BAA"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Berry, O.O., Londoño Tobón, A. and Njoroge, W.F., </w:t>
      </w:r>
      <w:r>
        <w:rPr>
          <w:rFonts w:eastAsia="SimSun" w:cs="Arial"/>
          <w:color w:val="222222"/>
          <w:szCs w:val="24"/>
          <w:shd w:val="clear" w:color="auto" w:fill="FFFFFF"/>
          <w:lang w:val="en-IN"/>
        </w:rPr>
        <w:t>(</w:t>
      </w:r>
      <w:r>
        <w:rPr>
          <w:rFonts w:eastAsia="SimSun" w:cs="Arial"/>
          <w:color w:val="222222"/>
          <w:szCs w:val="24"/>
          <w:shd w:val="clear" w:color="auto" w:fill="FFFFFF"/>
        </w:rPr>
        <w:t>2021</w:t>
      </w:r>
      <w:r>
        <w:rPr>
          <w:rFonts w:eastAsia="SimSun" w:cs="Arial"/>
          <w:color w:val="222222"/>
          <w:szCs w:val="24"/>
          <w:shd w:val="clear" w:color="auto" w:fill="FFFFFF"/>
          <w:lang w:val="en-IN"/>
        </w:rPr>
        <w:t>)</w:t>
      </w:r>
      <w:r>
        <w:rPr>
          <w:rFonts w:eastAsia="SimSun" w:cs="Arial"/>
          <w:color w:val="222222"/>
          <w:szCs w:val="24"/>
          <w:shd w:val="clear" w:color="auto" w:fill="FFFFFF"/>
        </w:rPr>
        <w:t>. Social determinants of health: the impact of racism on early childhood mental health. </w:t>
      </w:r>
      <w:r>
        <w:rPr>
          <w:rFonts w:eastAsia="SimSun" w:cs="Arial"/>
          <w:i/>
          <w:iCs/>
          <w:color w:val="222222"/>
          <w:szCs w:val="24"/>
          <w:shd w:val="clear" w:color="auto" w:fill="FFFFFF"/>
        </w:rPr>
        <w:t>Current psychiatry reports</w:t>
      </w:r>
      <w:r>
        <w:rPr>
          <w:rFonts w:eastAsia="SimSun" w:cs="Arial"/>
          <w:color w:val="222222"/>
          <w:szCs w:val="24"/>
          <w:shd w:val="clear" w:color="auto" w:fill="FFFFFF"/>
        </w:rPr>
        <w:t>, </w:t>
      </w:r>
      <w:r>
        <w:rPr>
          <w:rFonts w:eastAsia="SimSun" w:cs="Arial"/>
          <w:i/>
          <w:iCs/>
          <w:color w:val="222222"/>
          <w:szCs w:val="24"/>
          <w:shd w:val="clear" w:color="auto" w:fill="FFFFFF"/>
        </w:rPr>
        <w:t>23</w:t>
      </w:r>
      <w:r>
        <w:rPr>
          <w:rFonts w:eastAsia="SimSun" w:cs="Arial"/>
          <w:color w:val="222222"/>
          <w:szCs w:val="24"/>
          <w:shd w:val="clear" w:color="auto" w:fill="FFFFFF"/>
        </w:rPr>
        <w:t>(5), p.23.</w:t>
      </w:r>
      <w:r>
        <w:rPr>
          <w:rFonts w:eastAsia="SimSun" w:cs="Arial"/>
          <w:color w:val="222222"/>
          <w:szCs w:val="24"/>
          <w:shd w:val="clear" w:color="auto" w:fill="FFFFFF"/>
          <w:lang w:val="en-IN"/>
        </w:rPr>
        <w:t xml:space="preserve"> </w:t>
      </w:r>
      <w:hyperlink r:id="rId23" w:history="1">
        <w:r>
          <w:rPr>
            <w:rStyle w:val="Hyperlink"/>
            <w:rFonts w:eastAsia="SimSun" w:cs="Arial"/>
            <w:szCs w:val="24"/>
            <w:shd w:val="clear" w:color="auto" w:fill="FFFFFF"/>
            <w:lang w:val="en-IN"/>
          </w:rPr>
          <w:t>https://link.springer.com/article/10.1007/s11920-021-01240-0</w:t>
        </w:r>
      </w:hyperlink>
      <w:r>
        <w:rPr>
          <w:rFonts w:eastAsia="SimSun" w:cs="Arial"/>
          <w:color w:val="222222"/>
          <w:szCs w:val="24"/>
          <w:shd w:val="clear" w:color="auto" w:fill="FFFFFF"/>
          <w:lang w:val="en-IN"/>
        </w:rPr>
        <w:t xml:space="preserve"> </w:t>
      </w:r>
    </w:p>
    <w:p w14:paraId="173FB78A"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Bignall, T., Jeraj, S., Helsby, E. and Butt, J., </w:t>
      </w:r>
      <w:r>
        <w:rPr>
          <w:rFonts w:eastAsia="SimSun" w:cs="Arial"/>
          <w:color w:val="222222"/>
          <w:szCs w:val="24"/>
          <w:shd w:val="clear" w:color="auto" w:fill="FFFFFF"/>
          <w:lang w:val="en-IN"/>
        </w:rPr>
        <w:t>(</w:t>
      </w:r>
      <w:r>
        <w:rPr>
          <w:rFonts w:eastAsia="SimSun" w:cs="Arial"/>
          <w:color w:val="222222"/>
          <w:szCs w:val="24"/>
          <w:shd w:val="clear" w:color="auto" w:fill="FFFFFF"/>
        </w:rPr>
        <w:t>2019</w:t>
      </w:r>
      <w:r>
        <w:rPr>
          <w:rFonts w:eastAsia="SimSun" w:cs="Arial"/>
          <w:color w:val="222222"/>
          <w:szCs w:val="24"/>
          <w:shd w:val="clear" w:color="auto" w:fill="FFFFFF"/>
          <w:lang w:val="en-IN"/>
        </w:rPr>
        <w:t>)</w:t>
      </w:r>
      <w:r>
        <w:rPr>
          <w:rFonts w:eastAsia="SimSun" w:cs="Arial"/>
          <w:color w:val="222222"/>
          <w:szCs w:val="24"/>
          <w:shd w:val="clear" w:color="auto" w:fill="FFFFFF"/>
        </w:rPr>
        <w:t>. Racial disparities in mental health. </w:t>
      </w:r>
      <w:r>
        <w:rPr>
          <w:rFonts w:eastAsia="SimSun" w:cs="Arial"/>
          <w:i/>
          <w:iCs/>
          <w:color w:val="222222"/>
          <w:szCs w:val="24"/>
          <w:shd w:val="clear" w:color="auto" w:fill="FFFFFF"/>
        </w:rPr>
        <w:t>London: Race Equity Foundation</w:t>
      </w:r>
      <w:r>
        <w:rPr>
          <w:rFonts w:eastAsia="SimSun" w:cs="Arial"/>
          <w:color w:val="222222"/>
          <w:szCs w:val="24"/>
          <w:shd w:val="clear" w:color="auto" w:fill="FFFFFF"/>
        </w:rPr>
        <w:t>.</w:t>
      </w:r>
      <w:r>
        <w:rPr>
          <w:rFonts w:eastAsia="SimSun" w:cs="Arial"/>
          <w:color w:val="222222"/>
          <w:szCs w:val="24"/>
          <w:shd w:val="clear" w:color="auto" w:fill="FFFFFF"/>
          <w:lang w:val="en-IN"/>
        </w:rPr>
        <w:t xml:space="preserve"> </w:t>
      </w:r>
      <w:hyperlink r:id="rId24" w:history="1">
        <w:r>
          <w:rPr>
            <w:rStyle w:val="Hyperlink"/>
            <w:rFonts w:eastAsia="SimSun" w:cs="Arial"/>
            <w:szCs w:val="24"/>
            <w:shd w:val="clear" w:color="auto" w:fill="FFFFFF"/>
            <w:lang w:val="en-IN"/>
          </w:rPr>
          <w:t>https://www.raceequalityfoundation.org.uk/wp-content/uploads/2022/10/mental-health-report-v5-2.pdf</w:t>
        </w:r>
      </w:hyperlink>
      <w:r>
        <w:rPr>
          <w:rFonts w:eastAsia="SimSun" w:cs="Arial"/>
          <w:color w:val="222222"/>
          <w:szCs w:val="24"/>
          <w:shd w:val="clear" w:color="auto" w:fill="FFFFFF"/>
          <w:lang w:val="en-IN"/>
        </w:rPr>
        <w:t xml:space="preserve"> </w:t>
      </w:r>
    </w:p>
    <w:p w14:paraId="0270E980"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Bignall, T., Jeraj, S., Helsby, E. and Butt, J., </w:t>
      </w:r>
      <w:r>
        <w:rPr>
          <w:rFonts w:eastAsia="SimSun" w:cs="Arial"/>
          <w:color w:val="222222"/>
          <w:szCs w:val="24"/>
          <w:shd w:val="clear" w:color="auto" w:fill="FFFFFF"/>
          <w:lang w:val="en-IN"/>
        </w:rPr>
        <w:t>(</w:t>
      </w:r>
      <w:r>
        <w:rPr>
          <w:rFonts w:eastAsia="SimSun" w:cs="Arial"/>
          <w:color w:val="222222"/>
          <w:szCs w:val="24"/>
          <w:shd w:val="clear" w:color="auto" w:fill="FFFFFF"/>
        </w:rPr>
        <w:t>2019</w:t>
      </w:r>
      <w:r>
        <w:rPr>
          <w:rFonts w:eastAsia="SimSun" w:cs="Arial"/>
          <w:color w:val="222222"/>
          <w:szCs w:val="24"/>
          <w:shd w:val="clear" w:color="auto" w:fill="FFFFFF"/>
          <w:lang w:val="en-IN"/>
        </w:rPr>
        <w:t>)</w:t>
      </w:r>
      <w:r>
        <w:rPr>
          <w:rFonts w:eastAsia="SimSun" w:cs="Arial"/>
          <w:color w:val="222222"/>
          <w:szCs w:val="24"/>
          <w:shd w:val="clear" w:color="auto" w:fill="FFFFFF"/>
        </w:rPr>
        <w:t>. Racial disparities in mental health. </w:t>
      </w:r>
      <w:r>
        <w:rPr>
          <w:rFonts w:eastAsia="SimSun" w:cs="Arial"/>
          <w:i/>
          <w:iCs/>
          <w:color w:val="222222"/>
          <w:szCs w:val="24"/>
          <w:shd w:val="clear" w:color="auto" w:fill="FFFFFF"/>
        </w:rPr>
        <w:t>London: Race Equity Foundation</w:t>
      </w:r>
      <w:r>
        <w:rPr>
          <w:rFonts w:eastAsia="SimSun" w:cs="Arial"/>
          <w:color w:val="222222"/>
          <w:szCs w:val="24"/>
          <w:shd w:val="clear" w:color="auto" w:fill="FFFFFF"/>
        </w:rPr>
        <w:t>.</w:t>
      </w:r>
      <w:r>
        <w:rPr>
          <w:rFonts w:eastAsia="SimSun" w:cs="Arial"/>
          <w:color w:val="222222"/>
          <w:szCs w:val="24"/>
          <w:shd w:val="clear" w:color="auto" w:fill="FFFFFF"/>
          <w:lang w:val="en-IN"/>
        </w:rPr>
        <w:t xml:space="preserve"> </w:t>
      </w:r>
      <w:hyperlink r:id="rId25" w:history="1">
        <w:r>
          <w:rPr>
            <w:rStyle w:val="Hyperlink"/>
            <w:rFonts w:eastAsia="SimSun" w:cs="Arial"/>
            <w:szCs w:val="24"/>
            <w:shd w:val="clear" w:color="auto" w:fill="FFFFFF"/>
            <w:lang w:val="en-IN"/>
          </w:rPr>
          <w:t>https://www.raceequalityfoundation.org.uk/wp-content/uploads/2022/10/mental-health-report-v5-2.pdf</w:t>
        </w:r>
      </w:hyperlink>
      <w:r>
        <w:rPr>
          <w:rFonts w:eastAsia="SimSun" w:cs="Arial"/>
          <w:color w:val="222222"/>
          <w:szCs w:val="24"/>
          <w:shd w:val="clear" w:color="auto" w:fill="FFFFFF"/>
          <w:lang w:val="en-IN"/>
        </w:rPr>
        <w:t xml:space="preserve"> </w:t>
      </w:r>
    </w:p>
    <w:p w14:paraId="40BA881A" w14:textId="77777777" w:rsidR="004A5CD4" w:rsidRDefault="002244FC">
      <w:pPr>
        <w:rPr>
          <w:rFonts w:cs="Arial"/>
          <w:szCs w:val="24"/>
          <w:lang w:val="en-IN"/>
        </w:rPr>
      </w:pPr>
      <w:r>
        <w:rPr>
          <w:rFonts w:cs="Arial"/>
          <w:szCs w:val="24"/>
        </w:rPr>
        <w:t>Blakey, R., Morgan, C., Gayer-Anderson, C., Davis, S., Beards, S., Harding, S., Pinfold, V., Bhui, K., Knowles, G. and Viding, E., 2021. Prevalence of conduct problems and social risk factors in ethnically diverse inner-city schools. </w:t>
      </w:r>
      <w:r>
        <w:rPr>
          <w:rFonts w:cs="Arial"/>
          <w:i/>
          <w:iCs/>
          <w:szCs w:val="24"/>
        </w:rPr>
        <w:t>BMC public health</w:t>
      </w:r>
      <w:r>
        <w:rPr>
          <w:rFonts w:cs="Arial"/>
          <w:szCs w:val="24"/>
        </w:rPr>
        <w:t>, </w:t>
      </w:r>
      <w:r>
        <w:rPr>
          <w:rFonts w:cs="Arial"/>
          <w:i/>
          <w:iCs/>
          <w:szCs w:val="24"/>
        </w:rPr>
        <w:t>21</w:t>
      </w:r>
      <w:r>
        <w:rPr>
          <w:rFonts w:cs="Arial"/>
          <w:szCs w:val="24"/>
        </w:rPr>
        <w:t xml:space="preserve">(1), p.849. </w:t>
      </w:r>
      <w:hyperlink r:id="rId26" w:history="1">
        <w:r>
          <w:rPr>
            <w:rStyle w:val="Hyperlink"/>
            <w:rFonts w:cs="Arial"/>
            <w:szCs w:val="24"/>
          </w:rPr>
          <w:t>https://link.springer.com/content/pdf/10.1186/s12889-021-10834-5.pdf</w:t>
        </w:r>
      </w:hyperlink>
      <w:r>
        <w:rPr>
          <w:rFonts w:cs="Arial"/>
          <w:szCs w:val="24"/>
        </w:rPr>
        <w:t xml:space="preserve"> </w:t>
      </w:r>
    </w:p>
    <w:p w14:paraId="4F04148E" w14:textId="77777777" w:rsidR="004A5CD4" w:rsidRDefault="002244FC">
      <w:pPr>
        <w:spacing w:after="200"/>
        <w:rPr>
          <w:rFonts w:cs="Arial"/>
          <w:color w:val="000000" w:themeColor="text1"/>
          <w:szCs w:val="24"/>
        </w:rPr>
      </w:pPr>
      <w:r>
        <w:rPr>
          <w:rFonts w:cs="Arial"/>
          <w:color w:val="000000" w:themeColor="text1"/>
          <w:szCs w:val="24"/>
        </w:rPr>
        <w:t>British Educational Research Association (2018). Ethical Guidelines for Educational Research (4</w:t>
      </w:r>
      <w:r>
        <w:rPr>
          <w:rFonts w:cs="Arial"/>
          <w:color w:val="000000" w:themeColor="text1"/>
          <w:szCs w:val="24"/>
          <w:vertAlign w:val="superscript"/>
        </w:rPr>
        <w:t>th</w:t>
      </w:r>
      <w:r>
        <w:rPr>
          <w:rFonts w:cs="Arial"/>
          <w:color w:val="000000" w:themeColor="text1"/>
          <w:szCs w:val="24"/>
        </w:rPr>
        <w:t xml:space="preserve"> ed.) </w:t>
      </w:r>
      <w:hyperlink r:id="rId27" w:history="1">
        <w:r>
          <w:rPr>
            <w:rStyle w:val="Hyperlink"/>
            <w:rFonts w:cs="Arial"/>
            <w:szCs w:val="24"/>
          </w:rPr>
          <w:t>https://www.bera.ac.uk/publication/ethical-guidelines-for-educational-research-2018</w:t>
        </w:r>
      </w:hyperlink>
      <w:r>
        <w:rPr>
          <w:rFonts w:cs="Arial"/>
          <w:color w:val="000000" w:themeColor="text1"/>
          <w:szCs w:val="24"/>
          <w:lang w:val="en-IN"/>
        </w:rPr>
        <w:t xml:space="preserve"> </w:t>
      </w:r>
      <w:r>
        <w:rPr>
          <w:rFonts w:cs="Arial"/>
          <w:color w:val="000000" w:themeColor="text1"/>
          <w:szCs w:val="24"/>
        </w:rPr>
        <w:t>⁠</w:t>
      </w:r>
    </w:p>
    <w:p w14:paraId="6A956486" w14:textId="77777777" w:rsidR="004A5CD4" w:rsidRDefault="002244FC">
      <w:pPr>
        <w:spacing w:after="200"/>
        <w:rPr>
          <w:rFonts w:cs="Arial"/>
          <w:color w:val="000000" w:themeColor="text1"/>
          <w:szCs w:val="24"/>
        </w:rPr>
      </w:pPr>
      <w:r>
        <w:rPr>
          <w:rFonts w:cs="Arial"/>
          <w:color w:val="000000" w:themeColor="text1"/>
          <w:szCs w:val="24"/>
        </w:rPr>
        <w:t>British Educational Research Association (2018). Ethical Guidelines for Educational Research (4</w:t>
      </w:r>
      <w:r>
        <w:rPr>
          <w:rFonts w:cs="Arial"/>
          <w:color w:val="000000" w:themeColor="text1"/>
          <w:szCs w:val="24"/>
          <w:vertAlign w:val="superscript"/>
        </w:rPr>
        <w:t>th</w:t>
      </w:r>
      <w:r>
        <w:rPr>
          <w:rFonts w:cs="Arial"/>
          <w:color w:val="000000" w:themeColor="text1"/>
          <w:szCs w:val="24"/>
        </w:rPr>
        <w:t xml:space="preserve"> ed.) </w:t>
      </w:r>
      <w:hyperlink r:id="rId28" w:history="1">
        <w:r>
          <w:rPr>
            <w:rStyle w:val="Hyperlink"/>
            <w:rFonts w:cs="Arial"/>
            <w:szCs w:val="24"/>
          </w:rPr>
          <w:t>https://www.bera.ac.uk/publication/ethical-guidelines-for-educational-research-2018</w:t>
        </w:r>
      </w:hyperlink>
      <w:r>
        <w:rPr>
          <w:rFonts w:cs="Arial"/>
          <w:color w:val="000000" w:themeColor="text1"/>
          <w:szCs w:val="24"/>
          <w:lang w:val="en-IN"/>
        </w:rPr>
        <w:t xml:space="preserve"> </w:t>
      </w:r>
      <w:r>
        <w:rPr>
          <w:rFonts w:cs="Arial"/>
          <w:color w:val="000000" w:themeColor="text1"/>
          <w:szCs w:val="24"/>
        </w:rPr>
        <w:t>⁠</w:t>
      </w:r>
    </w:p>
    <w:p w14:paraId="003E59D3"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Brown, T.H., Homan, P. and Ray, V., </w:t>
      </w:r>
      <w:r>
        <w:rPr>
          <w:rFonts w:eastAsia="SimSun" w:cs="Arial"/>
          <w:color w:val="222222"/>
          <w:szCs w:val="24"/>
          <w:shd w:val="clear" w:color="auto" w:fill="FFFFFF"/>
          <w:lang w:val="en-IN"/>
        </w:rPr>
        <w:t>(</w:t>
      </w:r>
      <w:r>
        <w:rPr>
          <w:rFonts w:eastAsia="SimSun" w:cs="Arial"/>
          <w:color w:val="222222"/>
          <w:szCs w:val="24"/>
          <w:shd w:val="clear" w:color="auto" w:fill="FFFFFF"/>
        </w:rPr>
        <w:t>2025</w:t>
      </w:r>
      <w:r>
        <w:rPr>
          <w:rFonts w:eastAsia="SimSun" w:cs="Arial"/>
          <w:color w:val="222222"/>
          <w:szCs w:val="24"/>
          <w:shd w:val="clear" w:color="auto" w:fill="FFFFFF"/>
          <w:lang w:val="en-IN"/>
        </w:rPr>
        <w:t>)</w:t>
      </w:r>
      <w:r>
        <w:rPr>
          <w:rFonts w:eastAsia="SimSun" w:cs="Arial"/>
          <w:color w:val="222222"/>
          <w:szCs w:val="24"/>
          <w:shd w:val="clear" w:color="auto" w:fill="FFFFFF"/>
        </w:rPr>
        <w:t>. Advancing the scientific study of structural racism: Concepts, measures, and methods. </w:t>
      </w:r>
      <w:r>
        <w:rPr>
          <w:rFonts w:eastAsia="SimSun" w:cs="Arial"/>
          <w:i/>
          <w:iCs/>
          <w:color w:val="222222"/>
          <w:szCs w:val="24"/>
          <w:shd w:val="clear" w:color="auto" w:fill="FFFFFF"/>
        </w:rPr>
        <w:t>Annual review of sociology</w:t>
      </w:r>
      <w:r>
        <w:rPr>
          <w:rFonts w:eastAsia="SimSun" w:cs="Arial"/>
          <w:color w:val="222222"/>
          <w:szCs w:val="24"/>
          <w:shd w:val="clear" w:color="auto" w:fill="FFFFFF"/>
        </w:rPr>
        <w:t>, </w:t>
      </w:r>
      <w:r>
        <w:rPr>
          <w:rFonts w:eastAsia="SimSun" w:cs="Arial"/>
          <w:i/>
          <w:iCs/>
          <w:color w:val="222222"/>
          <w:szCs w:val="24"/>
          <w:shd w:val="clear" w:color="auto" w:fill="FFFFFF"/>
        </w:rPr>
        <w:t>51</w:t>
      </w:r>
      <w:r>
        <w:rPr>
          <w:rFonts w:eastAsia="SimSun" w:cs="Arial"/>
          <w:color w:val="222222"/>
          <w:szCs w:val="24"/>
          <w:shd w:val="clear" w:color="auto" w:fill="FFFFFF"/>
        </w:rPr>
        <w:t>(1), pp.43-65.</w:t>
      </w:r>
      <w:r>
        <w:rPr>
          <w:rFonts w:eastAsia="SimSun" w:cs="Arial"/>
          <w:color w:val="222222"/>
          <w:szCs w:val="24"/>
          <w:shd w:val="clear" w:color="auto" w:fill="FFFFFF"/>
          <w:lang w:val="en-IN"/>
        </w:rPr>
        <w:t xml:space="preserve"> </w:t>
      </w:r>
      <w:hyperlink r:id="rId29" w:history="1">
        <w:r>
          <w:rPr>
            <w:rStyle w:val="Hyperlink"/>
            <w:rFonts w:eastAsia="SimSun" w:cs="Arial"/>
            <w:szCs w:val="24"/>
            <w:shd w:val="clear" w:color="auto" w:fill="FFFFFF"/>
            <w:lang w:val="en-IN"/>
          </w:rPr>
          <w:t>https://www.annualreviews.org/content/journals/10.1146/annurev-soc-090924-021305</w:t>
        </w:r>
      </w:hyperlink>
      <w:r>
        <w:rPr>
          <w:rFonts w:eastAsia="SimSun" w:cs="Arial"/>
          <w:color w:val="222222"/>
          <w:szCs w:val="24"/>
          <w:shd w:val="clear" w:color="auto" w:fill="FFFFFF"/>
          <w:lang w:val="en-IN"/>
        </w:rPr>
        <w:t xml:space="preserve"> </w:t>
      </w:r>
    </w:p>
    <w:p w14:paraId="7308B1C4" w14:textId="77777777" w:rsidR="004A5CD4" w:rsidRDefault="002244FC">
      <w:pPr>
        <w:spacing w:before="120" w:after="120"/>
        <w:rPr>
          <w:rFonts w:cs="Arial"/>
          <w:szCs w:val="24"/>
        </w:rPr>
      </w:pPr>
      <w:r>
        <w:rPr>
          <w:rFonts w:cs="Arial"/>
          <w:szCs w:val="24"/>
        </w:rPr>
        <w:t>Butler, S. (2025). Understanding literature reviews: a guide for enhancing nursing practice globally. </w:t>
      </w:r>
      <w:r>
        <w:rPr>
          <w:rFonts w:cs="Arial"/>
          <w:i/>
          <w:iCs/>
          <w:szCs w:val="24"/>
        </w:rPr>
        <w:t>Nurse Researcher</w:t>
      </w:r>
      <w:r>
        <w:rPr>
          <w:rFonts w:cs="Arial"/>
          <w:szCs w:val="24"/>
        </w:rPr>
        <w:t>, </w:t>
      </w:r>
      <w:r>
        <w:rPr>
          <w:rFonts w:cs="Arial"/>
          <w:i/>
          <w:iCs/>
          <w:szCs w:val="24"/>
        </w:rPr>
        <w:t>33</w:t>
      </w:r>
      <w:r>
        <w:rPr>
          <w:rFonts w:cs="Arial"/>
          <w:szCs w:val="24"/>
        </w:rPr>
        <w:t xml:space="preserve">(2). </w:t>
      </w:r>
      <w:hyperlink r:id="rId30" w:history="1">
        <w:r>
          <w:rPr>
            <w:rStyle w:val="Hyperlink"/>
            <w:rFonts w:cs="Arial"/>
            <w:szCs w:val="24"/>
          </w:rPr>
          <w:t>https://hull-repository.worktribe.com/index.php/preview/5009820/Types%20of%20Literature%20Reviews%20for%20Nurses%20V3.pdf</w:t>
        </w:r>
      </w:hyperlink>
    </w:p>
    <w:p w14:paraId="2F989C4C"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Cain, K.S., Meyer, S.C., Cummer, E., Patel, K.K., Casacchia, N.J., Montez, K., Palakshappa, D. and Brown, C.L., </w:t>
      </w:r>
      <w:r>
        <w:rPr>
          <w:rFonts w:eastAsia="SimSun" w:cs="Arial"/>
          <w:color w:val="222222"/>
          <w:szCs w:val="24"/>
          <w:shd w:val="clear" w:color="auto" w:fill="FFFFFF"/>
          <w:lang w:val="en-IN"/>
        </w:rPr>
        <w:t>(</w:t>
      </w:r>
      <w:r>
        <w:rPr>
          <w:rFonts w:eastAsia="SimSun" w:cs="Arial"/>
          <w:color w:val="222222"/>
          <w:szCs w:val="24"/>
          <w:shd w:val="clear" w:color="auto" w:fill="FFFFFF"/>
        </w:rPr>
        <w:t>2022</w:t>
      </w:r>
      <w:r>
        <w:rPr>
          <w:rFonts w:eastAsia="SimSun" w:cs="Arial"/>
          <w:color w:val="222222"/>
          <w:szCs w:val="24"/>
          <w:shd w:val="clear" w:color="auto" w:fill="FFFFFF"/>
          <w:lang w:val="en-IN"/>
        </w:rPr>
        <w:t>)</w:t>
      </w:r>
      <w:r>
        <w:rPr>
          <w:rFonts w:eastAsia="SimSun" w:cs="Arial"/>
          <w:color w:val="222222"/>
          <w:szCs w:val="24"/>
          <w:shd w:val="clear" w:color="auto" w:fill="FFFFFF"/>
        </w:rPr>
        <w:t>. Association of food insecurity with mental health outcomes in parents and children. </w:t>
      </w:r>
      <w:r>
        <w:rPr>
          <w:rFonts w:eastAsia="SimSun" w:cs="Arial"/>
          <w:i/>
          <w:iCs/>
          <w:color w:val="222222"/>
          <w:szCs w:val="24"/>
          <w:shd w:val="clear" w:color="auto" w:fill="FFFFFF"/>
        </w:rPr>
        <w:t>Academic pediatrics</w:t>
      </w:r>
      <w:r>
        <w:rPr>
          <w:rFonts w:eastAsia="SimSun" w:cs="Arial"/>
          <w:color w:val="222222"/>
          <w:szCs w:val="24"/>
          <w:shd w:val="clear" w:color="auto" w:fill="FFFFFF"/>
        </w:rPr>
        <w:t>, </w:t>
      </w:r>
      <w:r>
        <w:rPr>
          <w:rFonts w:eastAsia="SimSun" w:cs="Arial"/>
          <w:i/>
          <w:iCs/>
          <w:color w:val="222222"/>
          <w:szCs w:val="24"/>
          <w:shd w:val="clear" w:color="auto" w:fill="FFFFFF"/>
        </w:rPr>
        <w:t>22</w:t>
      </w:r>
      <w:r>
        <w:rPr>
          <w:rFonts w:eastAsia="SimSun" w:cs="Arial"/>
          <w:color w:val="222222"/>
          <w:szCs w:val="24"/>
          <w:shd w:val="clear" w:color="auto" w:fill="FFFFFF"/>
        </w:rPr>
        <w:t>(7), pp.1105-1114.</w:t>
      </w:r>
      <w:r>
        <w:rPr>
          <w:rFonts w:eastAsia="SimSun" w:cs="Arial"/>
          <w:color w:val="222222"/>
          <w:szCs w:val="24"/>
          <w:shd w:val="clear" w:color="auto" w:fill="FFFFFF"/>
          <w:lang w:val="en-IN"/>
        </w:rPr>
        <w:t xml:space="preserve"> </w:t>
      </w:r>
      <w:hyperlink r:id="rId31" w:history="1">
        <w:r>
          <w:rPr>
            <w:rStyle w:val="Hyperlink"/>
            <w:rFonts w:eastAsia="SimSun" w:cs="Arial"/>
            <w:szCs w:val="24"/>
            <w:shd w:val="clear" w:color="auto" w:fill="FFFFFF"/>
            <w:lang w:val="en-IN"/>
          </w:rPr>
          <w:t>https://www.sciencedirect.com/science/article/pii/S1876285922002431</w:t>
        </w:r>
      </w:hyperlink>
      <w:r>
        <w:rPr>
          <w:rFonts w:eastAsia="SimSun" w:cs="Arial"/>
          <w:color w:val="222222"/>
          <w:szCs w:val="24"/>
          <w:shd w:val="clear" w:color="auto" w:fill="FFFFFF"/>
          <w:lang w:val="en-IN"/>
        </w:rPr>
        <w:t xml:space="preserve"> </w:t>
      </w:r>
    </w:p>
    <w:p w14:paraId="0CB0EDA6"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Cain, K.S., Meyer, S.C., Cummer, E., Patel, K.K., Casacchia, N.J., Montez, K., Palakshappa, D. and Brown, C.L., </w:t>
      </w:r>
      <w:r>
        <w:rPr>
          <w:rFonts w:eastAsia="SimSun" w:cs="Arial"/>
          <w:color w:val="222222"/>
          <w:szCs w:val="24"/>
          <w:shd w:val="clear" w:color="auto" w:fill="FFFFFF"/>
          <w:lang w:val="en-IN"/>
        </w:rPr>
        <w:t>(</w:t>
      </w:r>
      <w:r>
        <w:rPr>
          <w:rFonts w:eastAsia="SimSun" w:cs="Arial"/>
          <w:color w:val="222222"/>
          <w:szCs w:val="24"/>
          <w:shd w:val="clear" w:color="auto" w:fill="FFFFFF"/>
        </w:rPr>
        <w:t>2022</w:t>
      </w:r>
      <w:r>
        <w:rPr>
          <w:rFonts w:eastAsia="SimSun" w:cs="Arial"/>
          <w:color w:val="222222"/>
          <w:szCs w:val="24"/>
          <w:shd w:val="clear" w:color="auto" w:fill="FFFFFF"/>
          <w:lang w:val="en-IN"/>
        </w:rPr>
        <w:t>)</w:t>
      </w:r>
      <w:r>
        <w:rPr>
          <w:rFonts w:eastAsia="SimSun" w:cs="Arial"/>
          <w:color w:val="222222"/>
          <w:szCs w:val="24"/>
          <w:shd w:val="clear" w:color="auto" w:fill="FFFFFF"/>
        </w:rPr>
        <w:t>. Association of food insecurity with mental health outcomes in parents and children. </w:t>
      </w:r>
      <w:r>
        <w:rPr>
          <w:rFonts w:eastAsia="SimSun" w:cs="Arial"/>
          <w:i/>
          <w:iCs/>
          <w:color w:val="222222"/>
          <w:szCs w:val="24"/>
          <w:shd w:val="clear" w:color="auto" w:fill="FFFFFF"/>
        </w:rPr>
        <w:t>Academic pediatrics</w:t>
      </w:r>
      <w:r>
        <w:rPr>
          <w:rFonts w:eastAsia="SimSun" w:cs="Arial"/>
          <w:color w:val="222222"/>
          <w:szCs w:val="24"/>
          <w:shd w:val="clear" w:color="auto" w:fill="FFFFFF"/>
        </w:rPr>
        <w:t>, </w:t>
      </w:r>
      <w:r>
        <w:rPr>
          <w:rFonts w:eastAsia="SimSun" w:cs="Arial"/>
          <w:i/>
          <w:iCs/>
          <w:color w:val="222222"/>
          <w:szCs w:val="24"/>
          <w:shd w:val="clear" w:color="auto" w:fill="FFFFFF"/>
        </w:rPr>
        <w:t>22</w:t>
      </w:r>
      <w:r>
        <w:rPr>
          <w:rFonts w:eastAsia="SimSun" w:cs="Arial"/>
          <w:color w:val="222222"/>
          <w:szCs w:val="24"/>
          <w:shd w:val="clear" w:color="auto" w:fill="FFFFFF"/>
        </w:rPr>
        <w:t>(7), pp.1105-1114.</w:t>
      </w:r>
      <w:r>
        <w:rPr>
          <w:rFonts w:eastAsia="SimSun" w:cs="Arial"/>
          <w:color w:val="222222"/>
          <w:szCs w:val="24"/>
          <w:shd w:val="clear" w:color="auto" w:fill="FFFFFF"/>
          <w:lang w:val="en-IN"/>
        </w:rPr>
        <w:t xml:space="preserve"> </w:t>
      </w:r>
      <w:hyperlink r:id="rId32" w:history="1">
        <w:r>
          <w:rPr>
            <w:rStyle w:val="Hyperlink"/>
            <w:rFonts w:eastAsia="SimSun" w:cs="Arial"/>
            <w:szCs w:val="24"/>
            <w:shd w:val="clear" w:color="auto" w:fill="FFFFFF"/>
            <w:lang w:val="en-IN"/>
          </w:rPr>
          <w:t>https://www.sciencedirect.com/science/article/pii/S1876285922002431</w:t>
        </w:r>
      </w:hyperlink>
      <w:r>
        <w:rPr>
          <w:rFonts w:eastAsia="SimSun" w:cs="Arial"/>
          <w:color w:val="222222"/>
          <w:szCs w:val="24"/>
          <w:shd w:val="clear" w:color="auto" w:fill="FFFFFF"/>
          <w:lang w:val="en-IN"/>
        </w:rPr>
        <w:t xml:space="preserve"> </w:t>
      </w:r>
    </w:p>
    <w:p w14:paraId="7A99AB34"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Cave, L., Cooper, M.N., Zubrick, S.R. and Shepherd, C.C.,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Racial discrimination and child and adolescent health in longitudinal studies: A systematic review. </w:t>
      </w:r>
      <w:r>
        <w:rPr>
          <w:rFonts w:eastAsia="SimSun" w:cs="Arial"/>
          <w:i/>
          <w:iCs/>
          <w:color w:val="222222"/>
          <w:szCs w:val="24"/>
          <w:shd w:val="clear" w:color="auto" w:fill="FFFFFF"/>
        </w:rPr>
        <w:t>Social science &amp; medicine</w:t>
      </w:r>
      <w:r>
        <w:rPr>
          <w:rFonts w:eastAsia="SimSun" w:cs="Arial"/>
          <w:color w:val="222222"/>
          <w:szCs w:val="24"/>
          <w:shd w:val="clear" w:color="auto" w:fill="FFFFFF"/>
        </w:rPr>
        <w:t>, </w:t>
      </w:r>
      <w:r>
        <w:rPr>
          <w:rFonts w:eastAsia="SimSun" w:cs="Arial"/>
          <w:i/>
          <w:iCs/>
          <w:color w:val="222222"/>
          <w:szCs w:val="24"/>
          <w:shd w:val="clear" w:color="auto" w:fill="FFFFFF"/>
        </w:rPr>
        <w:t>250</w:t>
      </w:r>
      <w:r>
        <w:rPr>
          <w:rFonts w:eastAsia="SimSun" w:cs="Arial"/>
          <w:color w:val="222222"/>
          <w:szCs w:val="24"/>
          <w:shd w:val="clear" w:color="auto" w:fill="FFFFFF"/>
        </w:rPr>
        <w:t>, p.112864.</w:t>
      </w:r>
      <w:r>
        <w:rPr>
          <w:rFonts w:eastAsia="SimSun" w:cs="Arial"/>
          <w:color w:val="222222"/>
          <w:szCs w:val="24"/>
          <w:shd w:val="clear" w:color="auto" w:fill="FFFFFF"/>
          <w:lang w:val="en-IN"/>
        </w:rPr>
        <w:t xml:space="preserve"> </w:t>
      </w:r>
      <w:hyperlink r:id="rId33" w:history="1">
        <w:r>
          <w:rPr>
            <w:rStyle w:val="Hyperlink"/>
            <w:rFonts w:eastAsia="SimSun" w:cs="Arial"/>
            <w:szCs w:val="24"/>
            <w:shd w:val="clear" w:color="auto" w:fill="FFFFFF"/>
            <w:lang w:val="en-IN"/>
          </w:rPr>
          <w:t>https://www.sciencedirect.com/science/article/pii/S0277953620300836</w:t>
        </w:r>
      </w:hyperlink>
      <w:r>
        <w:rPr>
          <w:rFonts w:eastAsia="SimSun" w:cs="Arial"/>
          <w:color w:val="222222"/>
          <w:szCs w:val="24"/>
          <w:shd w:val="clear" w:color="auto" w:fill="FFFFFF"/>
          <w:lang w:val="en-IN"/>
        </w:rPr>
        <w:t xml:space="preserve"> </w:t>
      </w:r>
    </w:p>
    <w:p w14:paraId="7449E90B"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Cave, L., Cooper, M.N., Zubrick, S.R. and Shepherd, C.C.,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Racial discrimination and child and adolescent health in longitudinal studies: A systematic review. </w:t>
      </w:r>
      <w:r>
        <w:rPr>
          <w:rFonts w:eastAsia="SimSun" w:cs="Arial"/>
          <w:i/>
          <w:iCs/>
          <w:color w:val="222222"/>
          <w:szCs w:val="24"/>
          <w:shd w:val="clear" w:color="auto" w:fill="FFFFFF"/>
        </w:rPr>
        <w:t>Social science &amp; medicine</w:t>
      </w:r>
      <w:r>
        <w:rPr>
          <w:rFonts w:eastAsia="SimSun" w:cs="Arial"/>
          <w:color w:val="222222"/>
          <w:szCs w:val="24"/>
          <w:shd w:val="clear" w:color="auto" w:fill="FFFFFF"/>
        </w:rPr>
        <w:t>, </w:t>
      </w:r>
      <w:r>
        <w:rPr>
          <w:rFonts w:eastAsia="SimSun" w:cs="Arial"/>
          <w:i/>
          <w:iCs/>
          <w:color w:val="222222"/>
          <w:szCs w:val="24"/>
          <w:shd w:val="clear" w:color="auto" w:fill="FFFFFF"/>
        </w:rPr>
        <w:t>250</w:t>
      </w:r>
      <w:r>
        <w:rPr>
          <w:rFonts w:eastAsia="SimSun" w:cs="Arial"/>
          <w:color w:val="222222"/>
          <w:szCs w:val="24"/>
          <w:shd w:val="clear" w:color="auto" w:fill="FFFFFF"/>
        </w:rPr>
        <w:t>, p.112864.</w:t>
      </w:r>
      <w:r>
        <w:rPr>
          <w:rFonts w:eastAsia="SimSun" w:cs="Arial"/>
          <w:color w:val="222222"/>
          <w:szCs w:val="24"/>
          <w:shd w:val="clear" w:color="auto" w:fill="FFFFFF"/>
          <w:lang w:val="en-IN"/>
        </w:rPr>
        <w:t xml:space="preserve"> </w:t>
      </w:r>
      <w:hyperlink r:id="rId34" w:history="1">
        <w:r>
          <w:rPr>
            <w:rStyle w:val="Hyperlink"/>
            <w:rFonts w:eastAsia="SimSun" w:cs="Arial"/>
            <w:szCs w:val="24"/>
            <w:shd w:val="clear" w:color="auto" w:fill="FFFFFF"/>
            <w:lang w:val="en-IN"/>
          </w:rPr>
          <w:t>https://www.sciencedirect.com/science/article/pii/S0277953620300836</w:t>
        </w:r>
      </w:hyperlink>
      <w:r>
        <w:rPr>
          <w:rFonts w:eastAsia="SimSun" w:cs="Arial"/>
          <w:color w:val="222222"/>
          <w:szCs w:val="24"/>
          <w:shd w:val="clear" w:color="auto" w:fill="FFFFFF"/>
          <w:lang w:val="en-IN"/>
        </w:rPr>
        <w:t xml:space="preserve"> </w:t>
      </w:r>
    </w:p>
    <w:p w14:paraId="527E2E46"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Cave, L., Cooper, M.N., Zubrick, S.R. and Shepherd, C.C.,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Racial discrimination and child and adolescent health in longitudinal studies: A systematic review. </w:t>
      </w:r>
      <w:r>
        <w:rPr>
          <w:rFonts w:eastAsia="SimSun" w:cs="Arial"/>
          <w:i/>
          <w:iCs/>
          <w:color w:val="222222"/>
          <w:szCs w:val="24"/>
          <w:shd w:val="clear" w:color="auto" w:fill="FFFFFF"/>
        </w:rPr>
        <w:t>Social science &amp; medicine</w:t>
      </w:r>
      <w:r>
        <w:rPr>
          <w:rFonts w:eastAsia="SimSun" w:cs="Arial"/>
          <w:color w:val="222222"/>
          <w:szCs w:val="24"/>
          <w:shd w:val="clear" w:color="auto" w:fill="FFFFFF"/>
        </w:rPr>
        <w:t>, </w:t>
      </w:r>
      <w:r>
        <w:rPr>
          <w:rFonts w:eastAsia="SimSun" w:cs="Arial"/>
          <w:i/>
          <w:iCs/>
          <w:color w:val="222222"/>
          <w:szCs w:val="24"/>
          <w:shd w:val="clear" w:color="auto" w:fill="FFFFFF"/>
        </w:rPr>
        <w:t>250</w:t>
      </w:r>
      <w:r>
        <w:rPr>
          <w:rFonts w:eastAsia="SimSun" w:cs="Arial"/>
          <w:color w:val="222222"/>
          <w:szCs w:val="24"/>
          <w:shd w:val="clear" w:color="auto" w:fill="FFFFFF"/>
        </w:rPr>
        <w:t>, p.112864.</w:t>
      </w:r>
      <w:r>
        <w:rPr>
          <w:rFonts w:eastAsia="SimSun" w:cs="Arial"/>
          <w:color w:val="222222"/>
          <w:szCs w:val="24"/>
          <w:shd w:val="clear" w:color="auto" w:fill="FFFFFF"/>
          <w:lang w:val="en-IN"/>
        </w:rPr>
        <w:t xml:space="preserve"> </w:t>
      </w:r>
      <w:hyperlink r:id="rId35" w:history="1">
        <w:r>
          <w:rPr>
            <w:rStyle w:val="Hyperlink"/>
            <w:rFonts w:eastAsia="SimSun" w:cs="Arial"/>
            <w:szCs w:val="24"/>
            <w:shd w:val="clear" w:color="auto" w:fill="FFFFFF"/>
            <w:lang w:val="en-IN"/>
          </w:rPr>
          <w:t>https://www.sciencedirect.com/science/article/pii/S0277953620300836</w:t>
        </w:r>
      </w:hyperlink>
      <w:r>
        <w:rPr>
          <w:rFonts w:eastAsia="SimSun" w:cs="Arial"/>
          <w:color w:val="222222"/>
          <w:szCs w:val="24"/>
          <w:shd w:val="clear" w:color="auto" w:fill="FFFFFF"/>
          <w:lang w:val="en-IN"/>
        </w:rPr>
        <w:t xml:space="preserve"> </w:t>
      </w:r>
    </w:p>
    <w:p w14:paraId="4DC22732" w14:textId="77777777" w:rsidR="004A5CD4" w:rsidRDefault="002244FC">
      <w:pPr>
        <w:spacing w:before="120" w:after="120"/>
        <w:rPr>
          <w:rFonts w:cs="Arial"/>
          <w:szCs w:val="24"/>
        </w:rPr>
      </w:pPr>
      <w:r>
        <w:rPr>
          <w:rFonts w:cs="Arial"/>
          <w:szCs w:val="24"/>
        </w:rPr>
        <w:t>Cooper, C., Premji, Z., Worsley, C., Tomlinson, E., Dawson, S., and Prentice, E. (2025). A New Process Model of Study Identification Specific to the Identification of Randomised Studies for Systematic Reviews of Medical Interventions. </w:t>
      </w:r>
      <w:r>
        <w:rPr>
          <w:rFonts w:cs="Arial"/>
          <w:i/>
          <w:iCs/>
          <w:szCs w:val="24"/>
        </w:rPr>
        <w:t>Cochrane Evidence Synthesis and Methods</w:t>
      </w:r>
      <w:r>
        <w:rPr>
          <w:rFonts w:cs="Arial"/>
          <w:szCs w:val="24"/>
        </w:rPr>
        <w:t>, </w:t>
      </w:r>
      <w:r>
        <w:rPr>
          <w:rFonts w:cs="Arial"/>
          <w:i/>
          <w:iCs/>
          <w:szCs w:val="24"/>
        </w:rPr>
        <w:t>3</w:t>
      </w:r>
      <w:r>
        <w:rPr>
          <w:rFonts w:cs="Arial"/>
          <w:szCs w:val="24"/>
        </w:rPr>
        <w:t xml:space="preserve">(3), e70026. </w:t>
      </w:r>
      <w:hyperlink r:id="rId36" w:history="1">
        <w:r>
          <w:rPr>
            <w:rStyle w:val="Hyperlink"/>
            <w:rFonts w:cs="Arial"/>
            <w:szCs w:val="24"/>
          </w:rPr>
          <w:t>https://onlinelibrary.wiley.com/doi/pdf/10.1002/cesm.70026</w:t>
        </w:r>
      </w:hyperlink>
    </w:p>
    <w:p w14:paraId="2C6674FE" w14:textId="77777777" w:rsidR="004A5CD4" w:rsidRDefault="002244FC">
      <w:pPr>
        <w:rPr>
          <w:rFonts w:cs="Arial"/>
          <w:szCs w:val="24"/>
          <w:lang w:val="en-IN"/>
        </w:rPr>
      </w:pPr>
      <w:r>
        <w:rPr>
          <w:rFonts w:cs="Arial"/>
          <w:szCs w:val="24"/>
          <w:lang w:val="en-IN"/>
        </w:rPr>
        <w:t xml:space="preserve">Critical Appraisal Skills Programme (2024). </w:t>
      </w:r>
      <w:r>
        <w:rPr>
          <w:rFonts w:cs="Arial"/>
          <w:i/>
          <w:iCs/>
          <w:szCs w:val="24"/>
          <w:lang w:val="en-IN"/>
        </w:rPr>
        <w:t>CASP qualitative studies checklist</w:t>
      </w:r>
      <w:r>
        <w:rPr>
          <w:rFonts w:cs="Arial"/>
          <w:szCs w:val="24"/>
          <w:lang w:val="en-IN"/>
        </w:rPr>
        <w:t xml:space="preserve">. [online] </w:t>
      </w:r>
      <w:r>
        <w:rPr>
          <w:rFonts w:cs="Arial"/>
          <w:i/>
          <w:iCs/>
          <w:szCs w:val="24"/>
          <w:lang w:val="en-IN"/>
        </w:rPr>
        <w:t>CASP - Critical Appraisal Skills Programme</w:t>
      </w:r>
      <w:r>
        <w:rPr>
          <w:rFonts w:cs="Arial"/>
          <w:szCs w:val="24"/>
          <w:lang w:val="en-IN"/>
        </w:rPr>
        <w:t xml:space="preserve">. Available at: </w:t>
      </w:r>
      <w:hyperlink r:id="rId37" w:history="1">
        <w:r>
          <w:rPr>
            <w:rStyle w:val="Hyperlink"/>
            <w:rFonts w:cs="Arial"/>
            <w:szCs w:val="24"/>
            <w:lang w:val="en-IN"/>
          </w:rPr>
          <w:t>https://casp-uk.net/casp-tools-checklists/qualitative-studies-checklist/</w:t>
        </w:r>
      </w:hyperlink>
      <w:r>
        <w:rPr>
          <w:rFonts w:cs="Arial"/>
          <w:szCs w:val="24"/>
          <w:lang w:val="en-IN"/>
        </w:rPr>
        <w:t xml:space="preserve"> [Accessed 6 Aug. 2026].</w:t>
      </w:r>
    </w:p>
    <w:p w14:paraId="71A30737" w14:textId="77777777" w:rsidR="004A5CD4" w:rsidRDefault="002244FC">
      <w:pPr>
        <w:spacing w:before="120" w:after="120"/>
        <w:rPr>
          <w:rFonts w:cs="Arial"/>
          <w:szCs w:val="24"/>
        </w:rPr>
      </w:pPr>
      <w:r>
        <w:rPr>
          <w:rFonts w:cs="Arial"/>
          <w:szCs w:val="24"/>
        </w:rPr>
        <w:t>da Silva Paiva, J., dos Santos Sousa, V. T., de Araújo Martins, F. V., do Nascimento Nogueira, M. R., de Vasconcelos, P. F., and Costa, E. C. (2023). Strategies for training multidisciplinary primary care teams in patient safety: an integrative review. </w:t>
      </w:r>
      <w:r>
        <w:rPr>
          <w:rFonts w:cs="Arial"/>
          <w:i/>
          <w:iCs/>
          <w:szCs w:val="24"/>
        </w:rPr>
        <w:t>Revista de Enfermagem da UFPI</w:t>
      </w:r>
      <w:r>
        <w:rPr>
          <w:rFonts w:cs="Arial"/>
          <w:szCs w:val="24"/>
        </w:rPr>
        <w:t>, </w:t>
      </w:r>
      <w:r>
        <w:rPr>
          <w:rFonts w:cs="Arial"/>
          <w:i/>
          <w:iCs/>
          <w:szCs w:val="24"/>
        </w:rPr>
        <w:t>12</w:t>
      </w:r>
      <w:r>
        <w:rPr>
          <w:rFonts w:cs="Arial"/>
          <w:szCs w:val="24"/>
        </w:rPr>
        <w:t xml:space="preserve">(1). </w:t>
      </w:r>
      <w:hyperlink r:id="rId38" w:history="1">
        <w:r>
          <w:rPr>
            <w:rStyle w:val="Hyperlink"/>
            <w:rFonts w:cs="Arial"/>
            <w:szCs w:val="24"/>
          </w:rPr>
          <w:t>https://www.periodicos.ufpi.br/index.php/reufpi/article/download/3902/3783</w:t>
        </w:r>
      </w:hyperlink>
    </w:p>
    <w:p w14:paraId="1658CC1C" w14:textId="77777777" w:rsidR="004A5CD4" w:rsidRDefault="002244FC">
      <w:pPr>
        <w:spacing w:before="120" w:after="120"/>
        <w:rPr>
          <w:rFonts w:cs="Arial"/>
          <w:szCs w:val="24"/>
        </w:rPr>
      </w:pPr>
      <w:r>
        <w:rPr>
          <w:rFonts w:cs="Arial"/>
          <w:szCs w:val="24"/>
        </w:rPr>
        <w:t xml:space="preserve">Fajrin, S.N., Kamaruddin, S.A. and Torro, S., 2025. Social Interaction Among Elementary School Children Who Are Victims Of Bullying. </w:t>
      </w:r>
      <w:r>
        <w:rPr>
          <w:rFonts w:cs="Arial"/>
          <w:i/>
          <w:iCs/>
          <w:szCs w:val="24"/>
        </w:rPr>
        <w:t>Journal of Research and Multidisciplinary</w:t>
      </w:r>
      <w:r>
        <w:rPr>
          <w:rFonts w:cs="Arial"/>
          <w:szCs w:val="24"/>
        </w:rPr>
        <w:t xml:space="preserve">, </w:t>
      </w:r>
      <w:r>
        <w:rPr>
          <w:rFonts w:cs="Arial"/>
          <w:i/>
          <w:iCs/>
          <w:szCs w:val="24"/>
        </w:rPr>
        <w:t>8</w:t>
      </w:r>
      <w:r>
        <w:rPr>
          <w:rFonts w:cs="Arial"/>
          <w:szCs w:val="24"/>
        </w:rPr>
        <w:t xml:space="preserve">(1), pp.1020-1029. </w:t>
      </w:r>
    </w:p>
    <w:p w14:paraId="679AFCB3"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Fitzpatrick, K.M., Harris, C. and Drawve, G.,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Fear of COVID-19 and the mental health consequences in America. </w:t>
      </w:r>
      <w:r>
        <w:rPr>
          <w:rFonts w:eastAsia="SimSun" w:cs="Arial"/>
          <w:i/>
          <w:iCs/>
          <w:color w:val="222222"/>
          <w:szCs w:val="24"/>
          <w:shd w:val="clear" w:color="auto" w:fill="FFFFFF"/>
        </w:rPr>
        <w:t>Psychological trauma: theory, research, practice, and policy</w:t>
      </w:r>
      <w:r>
        <w:rPr>
          <w:rFonts w:eastAsia="SimSun" w:cs="Arial"/>
          <w:color w:val="222222"/>
          <w:szCs w:val="24"/>
          <w:shd w:val="clear" w:color="auto" w:fill="FFFFFF"/>
        </w:rPr>
        <w:t>, </w:t>
      </w:r>
      <w:r>
        <w:rPr>
          <w:rFonts w:eastAsia="SimSun" w:cs="Arial"/>
          <w:i/>
          <w:iCs/>
          <w:color w:val="222222"/>
          <w:szCs w:val="24"/>
          <w:shd w:val="clear" w:color="auto" w:fill="FFFFFF"/>
        </w:rPr>
        <w:t>12</w:t>
      </w:r>
      <w:r>
        <w:rPr>
          <w:rFonts w:eastAsia="SimSun" w:cs="Arial"/>
          <w:color w:val="222222"/>
          <w:szCs w:val="24"/>
          <w:shd w:val="clear" w:color="auto" w:fill="FFFFFF"/>
        </w:rPr>
        <w:t>(S1), p.S17.</w:t>
      </w:r>
      <w:r>
        <w:rPr>
          <w:rFonts w:eastAsia="SimSun" w:cs="Arial"/>
          <w:color w:val="222222"/>
          <w:szCs w:val="24"/>
          <w:shd w:val="clear" w:color="auto" w:fill="FFFFFF"/>
          <w:lang w:val="en-IN"/>
        </w:rPr>
        <w:t xml:space="preserve"> </w:t>
      </w:r>
      <w:hyperlink r:id="rId39" w:history="1">
        <w:r>
          <w:rPr>
            <w:rStyle w:val="Hyperlink"/>
            <w:rFonts w:eastAsia="SimSun" w:cs="Arial"/>
            <w:szCs w:val="24"/>
            <w:shd w:val="clear" w:color="auto" w:fill="FFFFFF"/>
            <w:lang w:val="en-IN"/>
          </w:rPr>
          <w:t>https://psycnet.apa.org/record/2020-38568-001</w:t>
        </w:r>
      </w:hyperlink>
      <w:r>
        <w:rPr>
          <w:rFonts w:eastAsia="SimSun" w:cs="Arial"/>
          <w:color w:val="222222"/>
          <w:szCs w:val="24"/>
          <w:shd w:val="clear" w:color="auto" w:fill="FFFFFF"/>
          <w:lang w:val="en-IN"/>
        </w:rPr>
        <w:t xml:space="preserve"> </w:t>
      </w:r>
    </w:p>
    <w:p w14:paraId="3FDD5783"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Fitzpatrick, K.M., Harris, C. and Drawve, G.,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Fear of COVID-19 and the mental health consequences in America. </w:t>
      </w:r>
      <w:r>
        <w:rPr>
          <w:rFonts w:eastAsia="SimSun" w:cs="Arial"/>
          <w:i/>
          <w:iCs/>
          <w:color w:val="222222"/>
          <w:szCs w:val="24"/>
          <w:shd w:val="clear" w:color="auto" w:fill="FFFFFF"/>
        </w:rPr>
        <w:t>Psychological trauma: theory, research, practice, and policy</w:t>
      </w:r>
      <w:r>
        <w:rPr>
          <w:rFonts w:eastAsia="SimSun" w:cs="Arial"/>
          <w:color w:val="222222"/>
          <w:szCs w:val="24"/>
          <w:shd w:val="clear" w:color="auto" w:fill="FFFFFF"/>
        </w:rPr>
        <w:t>, </w:t>
      </w:r>
      <w:r>
        <w:rPr>
          <w:rFonts w:eastAsia="SimSun" w:cs="Arial"/>
          <w:i/>
          <w:iCs/>
          <w:color w:val="222222"/>
          <w:szCs w:val="24"/>
          <w:shd w:val="clear" w:color="auto" w:fill="FFFFFF"/>
        </w:rPr>
        <w:t>12</w:t>
      </w:r>
      <w:r>
        <w:rPr>
          <w:rFonts w:eastAsia="SimSun" w:cs="Arial"/>
          <w:color w:val="222222"/>
          <w:szCs w:val="24"/>
          <w:shd w:val="clear" w:color="auto" w:fill="FFFFFF"/>
        </w:rPr>
        <w:t>(S1), p.S17.</w:t>
      </w:r>
      <w:r>
        <w:rPr>
          <w:rFonts w:eastAsia="SimSun" w:cs="Arial"/>
          <w:color w:val="222222"/>
          <w:szCs w:val="24"/>
          <w:shd w:val="clear" w:color="auto" w:fill="FFFFFF"/>
          <w:lang w:val="en-IN"/>
        </w:rPr>
        <w:t xml:space="preserve"> </w:t>
      </w:r>
      <w:hyperlink r:id="rId40" w:history="1">
        <w:r>
          <w:rPr>
            <w:rStyle w:val="Hyperlink"/>
            <w:rFonts w:eastAsia="SimSun" w:cs="Arial"/>
            <w:szCs w:val="24"/>
            <w:shd w:val="clear" w:color="auto" w:fill="FFFFFF"/>
            <w:lang w:val="en-IN"/>
          </w:rPr>
          <w:t>https://psycnet.apa.org/record/2020-38568-001</w:t>
        </w:r>
      </w:hyperlink>
      <w:r>
        <w:rPr>
          <w:rFonts w:eastAsia="SimSun" w:cs="Arial"/>
          <w:color w:val="222222"/>
          <w:szCs w:val="24"/>
          <w:shd w:val="clear" w:color="auto" w:fill="FFFFFF"/>
          <w:lang w:val="en-IN"/>
        </w:rPr>
        <w:t xml:space="preserve"> </w:t>
      </w:r>
    </w:p>
    <w:p w14:paraId="2973196D"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Galán, C.A., Auguste, E.E., Smith, N.A. and Meza, J.I., </w:t>
      </w:r>
      <w:r>
        <w:rPr>
          <w:rFonts w:eastAsia="SimSun" w:cs="Arial"/>
          <w:color w:val="222222"/>
          <w:szCs w:val="24"/>
          <w:shd w:val="clear" w:color="auto" w:fill="FFFFFF"/>
          <w:lang w:val="en-IN"/>
        </w:rPr>
        <w:t>(</w:t>
      </w:r>
      <w:r>
        <w:rPr>
          <w:rFonts w:eastAsia="SimSun" w:cs="Arial"/>
          <w:color w:val="222222"/>
          <w:szCs w:val="24"/>
          <w:shd w:val="clear" w:color="auto" w:fill="FFFFFF"/>
        </w:rPr>
        <w:t>202</w:t>
      </w:r>
      <w:r>
        <w:rPr>
          <w:rFonts w:eastAsia="SimSun" w:cs="Arial"/>
          <w:color w:val="222222"/>
          <w:szCs w:val="24"/>
          <w:shd w:val="clear" w:color="auto" w:fill="FFFFFF"/>
          <w:lang w:val="en-IN"/>
        </w:rPr>
        <w:t>)</w:t>
      </w:r>
      <w:r>
        <w:rPr>
          <w:rFonts w:eastAsia="SimSun" w:cs="Arial"/>
          <w:color w:val="222222"/>
          <w:szCs w:val="24"/>
          <w:shd w:val="clear" w:color="auto" w:fill="FFFFFF"/>
        </w:rPr>
        <w:t>2. An intersectional‐contextual approach to racial trauma exposure risk and coping among Black youth. </w:t>
      </w:r>
      <w:r>
        <w:rPr>
          <w:rFonts w:eastAsia="SimSun" w:cs="Arial"/>
          <w:i/>
          <w:iCs/>
          <w:color w:val="222222"/>
          <w:szCs w:val="24"/>
          <w:shd w:val="clear" w:color="auto" w:fill="FFFFFF"/>
        </w:rPr>
        <w:t>Journal of Research on Adolescence</w:t>
      </w:r>
      <w:r>
        <w:rPr>
          <w:rFonts w:eastAsia="SimSun" w:cs="Arial"/>
          <w:color w:val="222222"/>
          <w:szCs w:val="24"/>
          <w:shd w:val="clear" w:color="auto" w:fill="FFFFFF"/>
        </w:rPr>
        <w:t>, </w:t>
      </w:r>
      <w:r>
        <w:rPr>
          <w:rFonts w:eastAsia="SimSun" w:cs="Arial"/>
          <w:i/>
          <w:iCs/>
          <w:color w:val="222222"/>
          <w:szCs w:val="24"/>
          <w:shd w:val="clear" w:color="auto" w:fill="FFFFFF"/>
        </w:rPr>
        <w:t>32</w:t>
      </w:r>
      <w:r>
        <w:rPr>
          <w:rFonts w:eastAsia="SimSun" w:cs="Arial"/>
          <w:color w:val="222222"/>
          <w:szCs w:val="24"/>
          <w:shd w:val="clear" w:color="auto" w:fill="FFFFFF"/>
        </w:rPr>
        <w:t>(2), pp.583-595.</w:t>
      </w:r>
      <w:r>
        <w:rPr>
          <w:rFonts w:eastAsia="SimSun" w:cs="Arial"/>
          <w:color w:val="222222"/>
          <w:szCs w:val="24"/>
          <w:shd w:val="clear" w:color="auto" w:fill="FFFFFF"/>
          <w:lang w:val="en-IN"/>
        </w:rPr>
        <w:t xml:space="preserve"> </w:t>
      </w:r>
      <w:hyperlink r:id="rId41" w:history="1">
        <w:r>
          <w:rPr>
            <w:rStyle w:val="Hyperlink"/>
            <w:rFonts w:eastAsia="SimSun" w:cs="Arial"/>
            <w:szCs w:val="24"/>
            <w:shd w:val="clear" w:color="auto" w:fill="FFFFFF"/>
            <w:lang w:val="en-IN"/>
          </w:rPr>
          <w:t>https://onlinelibrary.wiley.com/doi/abs/10.1111/jora.12757</w:t>
        </w:r>
      </w:hyperlink>
      <w:r>
        <w:rPr>
          <w:rFonts w:eastAsia="SimSun" w:cs="Arial"/>
          <w:color w:val="222222"/>
          <w:szCs w:val="24"/>
          <w:shd w:val="clear" w:color="auto" w:fill="FFFFFF"/>
          <w:lang w:val="en-IN"/>
        </w:rPr>
        <w:t xml:space="preserve"> </w:t>
      </w:r>
    </w:p>
    <w:p w14:paraId="3FA34676" w14:textId="77777777" w:rsidR="004A5CD4" w:rsidRDefault="002244FC">
      <w:pPr>
        <w:spacing w:before="120" w:after="120"/>
        <w:rPr>
          <w:rFonts w:cs="Arial"/>
          <w:szCs w:val="24"/>
        </w:rPr>
      </w:pPr>
      <w:r>
        <w:rPr>
          <w:rFonts w:cs="Arial"/>
          <w:szCs w:val="24"/>
        </w:rPr>
        <w:t xml:space="preserve">Ghezae, F.T., Zungu, Z., John, A., Abdinasir, K., Bhui, K., Adebiyi, A. and Creswell, C., 2025. The association between experiences of racism and mental health in children and young people in the UK: rapid scoping review. </w:t>
      </w:r>
      <w:r>
        <w:rPr>
          <w:rFonts w:cs="Arial"/>
          <w:i/>
          <w:iCs/>
          <w:szCs w:val="24"/>
        </w:rPr>
        <w:t>BJPsych Open</w:t>
      </w:r>
      <w:r>
        <w:rPr>
          <w:rFonts w:cs="Arial"/>
          <w:szCs w:val="24"/>
        </w:rPr>
        <w:t xml:space="preserve">, </w:t>
      </w:r>
      <w:r>
        <w:rPr>
          <w:rFonts w:cs="Arial"/>
          <w:i/>
          <w:iCs/>
          <w:szCs w:val="24"/>
        </w:rPr>
        <w:t>11</w:t>
      </w:r>
      <w:r>
        <w:rPr>
          <w:rFonts w:cs="Arial"/>
          <w:szCs w:val="24"/>
        </w:rPr>
        <w:t xml:space="preserve">(1), p.e26. </w:t>
      </w:r>
    </w:p>
    <w:p w14:paraId="75D2EADD"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Gonzalez, V.J., Kimbro, R.T., Cutitta, K.E., Shabosky, J.C., Bilal, M.F., Penny, D.J. and Lopez, K.N., </w:t>
      </w:r>
      <w:r>
        <w:rPr>
          <w:rFonts w:eastAsia="SimSun" w:cs="Arial"/>
          <w:color w:val="222222"/>
          <w:szCs w:val="24"/>
          <w:shd w:val="clear" w:color="auto" w:fill="FFFFFF"/>
          <w:lang w:val="en-IN"/>
        </w:rPr>
        <w:t>(</w:t>
      </w:r>
      <w:r>
        <w:rPr>
          <w:rFonts w:eastAsia="SimSun" w:cs="Arial"/>
          <w:color w:val="222222"/>
          <w:szCs w:val="24"/>
          <w:shd w:val="clear" w:color="auto" w:fill="FFFFFF"/>
        </w:rPr>
        <w:t>20</w:t>
      </w:r>
      <w:r>
        <w:rPr>
          <w:rFonts w:eastAsia="SimSun" w:cs="Arial"/>
          <w:color w:val="222222"/>
          <w:szCs w:val="24"/>
          <w:shd w:val="clear" w:color="auto" w:fill="FFFFFF"/>
          <w:lang w:val="en-IN"/>
        </w:rPr>
        <w:t>2</w:t>
      </w:r>
      <w:r>
        <w:rPr>
          <w:rFonts w:eastAsia="SimSun" w:cs="Arial"/>
          <w:color w:val="222222"/>
          <w:szCs w:val="24"/>
          <w:shd w:val="clear" w:color="auto" w:fill="FFFFFF"/>
        </w:rPr>
        <w:t>1</w:t>
      </w:r>
      <w:r>
        <w:rPr>
          <w:rFonts w:eastAsia="SimSun" w:cs="Arial"/>
          <w:color w:val="222222"/>
          <w:szCs w:val="24"/>
          <w:shd w:val="clear" w:color="auto" w:fill="FFFFFF"/>
          <w:lang w:val="en-IN"/>
        </w:rPr>
        <w:t>)</w:t>
      </w:r>
      <w:r>
        <w:rPr>
          <w:rFonts w:eastAsia="SimSun" w:cs="Arial"/>
          <w:color w:val="222222"/>
          <w:szCs w:val="24"/>
          <w:shd w:val="clear" w:color="auto" w:fill="FFFFFF"/>
        </w:rPr>
        <w:t>. Mental health disorders in children with congenital heart disease. </w:t>
      </w:r>
      <w:r>
        <w:rPr>
          <w:rFonts w:eastAsia="SimSun" w:cs="Arial"/>
          <w:i/>
          <w:iCs/>
          <w:color w:val="222222"/>
          <w:szCs w:val="24"/>
          <w:shd w:val="clear" w:color="auto" w:fill="FFFFFF"/>
        </w:rPr>
        <w:t>Pediatrics</w:t>
      </w:r>
      <w:r>
        <w:rPr>
          <w:rFonts w:eastAsia="SimSun" w:cs="Arial"/>
          <w:color w:val="222222"/>
          <w:szCs w:val="24"/>
          <w:shd w:val="clear" w:color="auto" w:fill="FFFFFF"/>
        </w:rPr>
        <w:t>, </w:t>
      </w:r>
      <w:r>
        <w:rPr>
          <w:rFonts w:eastAsia="SimSun" w:cs="Arial"/>
          <w:i/>
          <w:iCs/>
          <w:color w:val="222222"/>
          <w:szCs w:val="24"/>
          <w:shd w:val="clear" w:color="auto" w:fill="FFFFFF"/>
        </w:rPr>
        <w:t>147</w:t>
      </w:r>
      <w:r>
        <w:rPr>
          <w:rFonts w:eastAsia="SimSun" w:cs="Arial"/>
          <w:color w:val="222222"/>
          <w:szCs w:val="24"/>
          <w:shd w:val="clear" w:color="auto" w:fill="FFFFFF"/>
        </w:rPr>
        <w:t>(2).</w:t>
      </w:r>
      <w:r>
        <w:rPr>
          <w:rFonts w:eastAsia="SimSun" w:cs="Arial"/>
          <w:color w:val="222222"/>
          <w:szCs w:val="24"/>
          <w:shd w:val="clear" w:color="auto" w:fill="FFFFFF"/>
          <w:lang w:val="en-IN"/>
        </w:rPr>
        <w:t xml:space="preserve"> </w:t>
      </w:r>
      <w:hyperlink r:id="rId42" w:history="1">
        <w:r>
          <w:rPr>
            <w:rStyle w:val="Hyperlink"/>
            <w:rFonts w:eastAsia="SimSun" w:cs="Arial"/>
            <w:szCs w:val="24"/>
            <w:shd w:val="clear" w:color="auto" w:fill="FFFFFF"/>
            <w:lang w:val="en-IN"/>
          </w:rPr>
          <w:t>https://publications.aap.org/pediatrics/article/147/2/e20201693/36284?utm_source=TrendMD&amp;utm_medium=TrendMD&amp;utm_campaign=Pediatrics_TrendMD_0</w:t>
        </w:r>
      </w:hyperlink>
      <w:r>
        <w:rPr>
          <w:rFonts w:eastAsia="SimSun" w:cs="Arial"/>
          <w:color w:val="222222"/>
          <w:szCs w:val="24"/>
          <w:shd w:val="clear" w:color="auto" w:fill="FFFFFF"/>
          <w:lang w:val="en-IN"/>
        </w:rPr>
        <w:t xml:space="preserve"> </w:t>
      </w:r>
    </w:p>
    <w:p w14:paraId="378923DC"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Gonzalez, V.J., Kimbro, R.T., Cutitta, K.E., Shabosky, J.C., Bilal, M.F., Penny, D.J. and Lopez, K.N., </w:t>
      </w:r>
      <w:r>
        <w:rPr>
          <w:rFonts w:eastAsia="SimSun" w:cs="Arial"/>
          <w:color w:val="222222"/>
          <w:szCs w:val="24"/>
          <w:shd w:val="clear" w:color="auto" w:fill="FFFFFF"/>
          <w:lang w:val="en-IN"/>
        </w:rPr>
        <w:t>(</w:t>
      </w:r>
      <w:r>
        <w:rPr>
          <w:rFonts w:eastAsia="SimSun" w:cs="Arial"/>
          <w:color w:val="222222"/>
          <w:szCs w:val="24"/>
          <w:shd w:val="clear" w:color="auto" w:fill="FFFFFF"/>
        </w:rPr>
        <w:t>20</w:t>
      </w:r>
      <w:r>
        <w:rPr>
          <w:rFonts w:eastAsia="SimSun" w:cs="Arial"/>
          <w:color w:val="222222"/>
          <w:szCs w:val="24"/>
          <w:shd w:val="clear" w:color="auto" w:fill="FFFFFF"/>
          <w:lang w:val="en-IN"/>
        </w:rPr>
        <w:t>2</w:t>
      </w:r>
      <w:r>
        <w:rPr>
          <w:rFonts w:eastAsia="SimSun" w:cs="Arial"/>
          <w:color w:val="222222"/>
          <w:szCs w:val="24"/>
          <w:shd w:val="clear" w:color="auto" w:fill="FFFFFF"/>
        </w:rPr>
        <w:t>1</w:t>
      </w:r>
      <w:r>
        <w:rPr>
          <w:rFonts w:eastAsia="SimSun" w:cs="Arial"/>
          <w:color w:val="222222"/>
          <w:szCs w:val="24"/>
          <w:shd w:val="clear" w:color="auto" w:fill="FFFFFF"/>
          <w:lang w:val="en-IN"/>
        </w:rPr>
        <w:t>)</w:t>
      </w:r>
      <w:r>
        <w:rPr>
          <w:rFonts w:eastAsia="SimSun" w:cs="Arial"/>
          <w:color w:val="222222"/>
          <w:szCs w:val="24"/>
          <w:shd w:val="clear" w:color="auto" w:fill="FFFFFF"/>
        </w:rPr>
        <w:t>. Mental health disorders in children with congenital heart disease. </w:t>
      </w:r>
      <w:r>
        <w:rPr>
          <w:rFonts w:eastAsia="SimSun" w:cs="Arial"/>
          <w:i/>
          <w:iCs/>
          <w:color w:val="222222"/>
          <w:szCs w:val="24"/>
          <w:shd w:val="clear" w:color="auto" w:fill="FFFFFF"/>
        </w:rPr>
        <w:t>Pediatrics</w:t>
      </w:r>
      <w:r>
        <w:rPr>
          <w:rFonts w:eastAsia="SimSun" w:cs="Arial"/>
          <w:color w:val="222222"/>
          <w:szCs w:val="24"/>
          <w:shd w:val="clear" w:color="auto" w:fill="FFFFFF"/>
        </w:rPr>
        <w:t>, </w:t>
      </w:r>
      <w:r>
        <w:rPr>
          <w:rFonts w:eastAsia="SimSun" w:cs="Arial"/>
          <w:i/>
          <w:iCs/>
          <w:color w:val="222222"/>
          <w:szCs w:val="24"/>
          <w:shd w:val="clear" w:color="auto" w:fill="FFFFFF"/>
        </w:rPr>
        <w:t>147</w:t>
      </w:r>
      <w:r>
        <w:rPr>
          <w:rFonts w:eastAsia="SimSun" w:cs="Arial"/>
          <w:color w:val="222222"/>
          <w:szCs w:val="24"/>
          <w:shd w:val="clear" w:color="auto" w:fill="FFFFFF"/>
        </w:rPr>
        <w:t>(2).</w:t>
      </w:r>
      <w:r>
        <w:rPr>
          <w:rFonts w:eastAsia="SimSun" w:cs="Arial"/>
          <w:color w:val="222222"/>
          <w:szCs w:val="24"/>
          <w:shd w:val="clear" w:color="auto" w:fill="FFFFFF"/>
          <w:lang w:val="en-IN"/>
        </w:rPr>
        <w:t xml:space="preserve"> </w:t>
      </w:r>
      <w:hyperlink r:id="rId43" w:history="1">
        <w:r>
          <w:rPr>
            <w:rStyle w:val="Hyperlink"/>
            <w:rFonts w:eastAsia="SimSun" w:cs="Arial"/>
            <w:szCs w:val="24"/>
            <w:shd w:val="clear" w:color="auto" w:fill="FFFFFF"/>
            <w:lang w:val="en-IN"/>
          </w:rPr>
          <w:t>https://publications.aap.org/pediatrics/article/147/2/e20201693/36284?utm_source=TrendMD&amp;utm_medium=TrendMD&amp;utm_campaign=Pediatrics_TrendMD_0</w:t>
        </w:r>
      </w:hyperlink>
      <w:r>
        <w:rPr>
          <w:rFonts w:eastAsia="SimSun" w:cs="Arial"/>
          <w:color w:val="222222"/>
          <w:szCs w:val="24"/>
          <w:shd w:val="clear" w:color="auto" w:fill="FFFFFF"/>
          <w:lang w:val="en-IN"/>
        </w:rPr>
        <w:t xml:space="preserve"> </w:t>
      </w:r>
    </w:p>
    <w:p w14:paraId="23318744" w14:textId="77777777" w:rsidR="004A5CD4" w:rsidRDefault="002244FC">
      <w:pPr>
        <w:spacing w:after="200"/>
        <w:rPr>
          <w:rFonts w:cs="Arial"/>
          <w:color w:val="000000" w:themeColor="text1"/>
          <w:szCs w:val="24"/>
        </w:rPr>
      </w:pPr>
      <w:r>
        <w:rPr>
          <w:rFonts w:cs="Arial"/>
          <w:color w:val="000000" w:themeColor="text1"/>
          <w:szCs w:val="24"/>
        </w:rPr>
        <w:t xml:space="preserve">Grewal, A., Kataria, H. and Dhawan, I. (2016). “Literature search for research planning and identification of research problem” https://pmc.ncbi.nlm.nih.gov/articles/PMC5037941/⁠ </w:t>
      </w:r>
    </w:p>
    <w:p w14:paraId="3E1EF519" w14:textId="77777777" w:rsidR="004A5CD4" w:rsidRDefault="002244FC">
      <w:pPr>
        <w:spacing w:before="120" w:after="120"/>
        <w:rPr>
          <w:rFonts w:cs="Arial"/>
          <w:szCs w:val="24"/>
        </w:rPr>
      </w:pPr>
      <w:r>
        <w:rPr>
          <w:rFonts w:cs="Arial"/>
          <w:szCs w:val="24"/>
        </w:rPr>
        <w:t xml:space="preserve">Guan, S., Coughlan, B., Evans, K. and Duschinsky, R., 2024. Associations between ethnicity and mental health problems among children and adolescents in the United Kingdom: A systematic review and narrative synthesis. </w:t>
      </w:r>
      <w:r>
        <w:rPr>
          <w:rFonts w:cs="Arial"/>
          <w:i/>
          <w:iCs/>
          <w:szCs w:val="24"/>
        </w:rPr>
        <w:t>BMC Public Health</w:t>
      </w:r>
      <w:r>
        <w:rPr>
          <w:rFonts w:cs="Arial"/>
          <w:szCs w:val="24"/>
        </w:rPr>
        <w:t xml:space="preserve">, </w:t>
      </w:r>
      <w:r>
        <w:rPr>
          <w:rFonts w:cs="Arial"/>
          <w:i/>
          <w:iCs/>
          <w:szCs w:val="24"/>
        </w:rPr>
        <w:t>24</w:t>
      </w:r>
      <w:r>
        <w:rPr>
          <w:rFonts w:cs="Arial"/>
          <w:szCs w:val="24"/>
        </w:rPr>
        <w:t xml:space="preserve">(1), p.3267. </w:t>
      </w:r>
    </w:p>
    <w:p w14:paraId="44AD9F2B" w14:textId="77777777" w:rsidR="004A5CD4" w:rsidRDefault="002244FC">
      <w:pPr>
        <w:spacing w:before="120" w:after="120"/>
        <w:rPr>
          <w:rFonts w:cs="Arial"/>
          <w:szCs w:val="24"/>
        </w:rPr>
      </w:pPr>
      <w:r>
        <w:rPr>
          <w:rFonts w:cs="Arial"/>
          <w:szCs w:val="24"/>
        </w:rPr>
        <w:t xml:space="preserve">Guevara, A.M.M., Cottam, S., Wall, C. and Johnson, S.L., 2024. Expanding ACES in child and family service systems: Incorporating context and resilience. </w:t>
      </w:r>
      <w:r>
        <w:rPr>
          <w:rFonts w:cs="Arial"/>
          <w:i/>
          <w:iCs/>
          <w:szCs w:val="24"/>
        </w:rPr>
        <w:t>Child Protection and Practice</w:t>
      </w:r>
      <w:r>
        <w:rPr>
          <w:rFonts w:cs="Arial"/>
          <w:szCs w:val="24"/>
        </w:rPr>
        <w:t xml:space="preserve">, </w:t>
      </w:r>
      <w:r>
        <w:rPr>
          <w:rFonts w:cs="Arial"/>
          <w:i/>
          <w:iCs/>
          <w:szCs w:val="24"/>
        </w:rPr>
        <w:t>3</w:t>
      </w:r>
      <w:r>
        <w:rPr>
          <w:rFonts w:cs="Arial"/>
          <w:szCs w:val="24"/>
        </w:rPr>
        <w:t xml:space="preserve">, p.100065. </w:t>
      </w:r>
    </w:p>
    <w:p w14:paraId="53BFFB5A" w14:textId="77777777" w:rsidR="004A5CD4" w:rsidRDefault="002244FC">
      <w:pPr>
        <w:spacing w:before="120" w:after="120"/>
        <w:rPr>
          <w:rFonts w:cs="Arial"/>
          <w:szCs w:val="24"/>
        </w:rPr>
      </w:pPr>
      <w:r>
        <w:rPr>
          <w:rFonts w:cs="Arial"/>
          <w:szCs w:val="24"/>
        </w:rPr>
        <w:t xml:space="preserve">Hans, V., 2025. Dalits and Indigenous Society of India. </w:t>
      </w:r>
      <w:r>
        <w:rPr>
          <w:rFonts w:cs="Arial"/>
          <w:i/>
          <w:iCs/>
          <w:szCs w:val="24"/>
        </w:rPr>
        <w:t>Dalits and Indigenous Society of India (May 07, 2025)</w:t>
      </w:r>
      <w:r>
        <w:rPr>
          <w:rFonts w:cs="Arial"/>
          <w:szCs w:val="24"/>
        </w:rPr>
        <w:t xml:space="preserve">. </w:t>
      </w:r>
    </w:p>
    <w:p w14:paraId="071A9785" w14:textId="77777777" w:rsidR="004A5CD4" w:rsidRDefault="002244FC">
      <w:pPr>
        <w:spacing w:before="120" w:after="120"/>
        <w:rPr>
          <w:rFonts w:cs="Arial"/>
          <w:szCs w:val="24"/>
        </w:rPr>
      </w:pPr>
      <w:r>
        <w:rPr>
          <w:rFonts w:cs="Arial"/>
          <w:szCs w:val="24"/>
        </w:rPr>
        <w:t xml:space="preserve">Heidelburg, K., Phelps, C. and Collins, T.A., 2022. Reconceptualising school safety for Black students. </w:t>
      </w:r>
      <w:r>
        <w:rPr>
          <w:rFonts w:cs="Arial"/>
          <w:i/>
          <w:iCs/>
          <w:szCs w:val="24"/>
        </w:rPr>
        <w:t>School Psychology International</w:t>
      </w:r>
      <w:r>
        <w:rPr>
          <w:rFonts w:cs="Arial"/>
          <w:szCs w:val="24"/>
        </w:rPr>
        <w:t xml:space="preserve">, </w:t>
      </w:r>
      <w:r>
        <w:rPr>
          <w:rFonts w:cs="Arial"/>
          <w:i/>
          <w:iCs/>
          <w:szCs w:val="24"/>
        </w:rPr>
        <w:t>43</w:t>
      </w:r>
      <w:r>
        <w:rPr>
          <w:rFonts w:cs="Arial"/>
          <w:szCs w:val="24"/>
        </w:rPr>
        <w:t xml:space="preserve">(6), pp.591-612. </w:t>
      </w:r>
    </w:p>
    <w:p w14:paraId="22338B68" w14:textId="77777777" w:rsidR="004A5CD4" w:rsidRDefault="002244FC">
      <w:pPr>
        <w:spacing w:after="200"/>
        <w:rPr>
          <w:rFonts w:cs="Arial"/>
          <w:color w:val="000000" w:themeColor="text1"/>
          <w:szCs w:val="24"/>
        </w:rPr>
      </w:pPr>
      <w:r>
        <w:rPr>
          <w:rFonts w:cs="Arial"/>
          <w:color w:val="000000" w:themeColor="text1"/>
          <w:szCs w:val="24"/>
        </w:rPr>
        <w:t>Higgins, J.P.T. et al. (eds) (2023). Cochrane Handbook for Systematic Reviews of Interventions (Version 6.4) https://training.cochrane.org/handbook⁠</w:t>
      </w:r>
    </w:p>
    <w:p w14:paraId="2E77D033"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Hodgkinson, S., Godoy, L., Beers, L.S. and Lewin, A.,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Improving mental health access for low-income children and families in the primary care setting. </w:t>
      </w:r>
      <w:r>
        <w:rPr>
          <w:rFonts w:eastAsia="SimSun" w:cs="Arial"/>
          <w:i/>
          <w:iCs/>
          <w:color w:val="222222"/>
          <w:szCs w:val="24"/>
          <w:shd w:val="clear" w:color="auto" w:fill="FFFFFF"/>
        </w:rPr>
        <w:t>Pediatrics</w:t>
      </w:r>
      <w:r>
        <w:rPr>
          <w:rFonts w:eastAsia="SimSun" w:cs="Arial"/>
          <w:color w:val="222222"/>
          <w:szCs w:val="24"/>
          <w:shd w:val="clear" w:color="auto" w:fill="FFFFFF"/>
        </w:rPr>
        <w:t>, </w:t>
      </w:r>
      <w:r>
        <w:rPr>
          <w:rFonts w:eastAsia="SimSun" w:cs="Arial"/>
          <w:i/>
          <w:iCs/>
          <w:color w:val="222222"/>
          <w:szCs w:val="24"/>
          <w:shd w:val="clear" w:color="auto" w:fill="FFFFFF"/>
        </w:rPr>
        <w:t>139</w:t>
      </w:r>
      <w:r>
        <w:rPr>
          <w:rFonts w:eastAsia="SimSun" w:cs="Arial"/>
          <w:color w:val="222222"/>
          <w:szCs w:val="24"/>
          <w:shd w:val="clear" w:color="auto" w:fill="FFFFFF"/>
        </w:rPr>
        <w:t>(1), p.e20151175.</w:t>
      </w:r>
      <w:r>
        <w:rPr>
          <w:rFonts w:eastAsia="SimSun" w:cs="Arial"/>
          <w:color w:val="222222"/>
          <w:szCs w:val="24"/>
          <w:shd w:val="clear" w:color="auto" w:fill="FFFFFF"/>
          <w:lang w:val="en-IN"/>
        </w:rPr>
        <w:t xml:space="preserve"> </w:t>
      </w:r>
      <w:hyperlink r:id="rId44" w:history="1">
        <w:r>
          <w:rPr>
            <w:rStyle w:val="Hyperlink"/>
            <w:rFonts w:eastAsia="SimSun" w:cs="Arial"/>
            <w:szCs w:val="24"/>
            <w:shd w:val="clear" w:color="auto" w:fill="FFFFFF"/>
            <w:lang w:val="en-IN"/>
          </w:rPr>
          <w:t>https://publications.aap.org/pediatrics/article-abstract/139/1/e20151175/51726</w:t>
        </w:r>
      </w:hyperlink>
      <w:r>
        <w:rPr>
          <w:rFonts w:eastAsia="SimSun" w:cs="Arial"/>
          <w:color w:val="222222"/>
          <w:szCs w:val="24"/>
          <w:shd w:val="clear" w:color="auto" w:fill="FFFFFF"/>
          <w:lang w:val="en-IN"/>
        </w:rPr>
        <w:t xml:space="preserve"> </w:t>
      </w:r>
    </w:p>
    <w:p w14:paraId="457B0FF1"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Hodgkinson, S., Godoy, L., Beers, L.S. and Lewin, A.,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Improving mental health access for low-income children and families in the primary care setting. </w:t>
      </w:r>
      <w:r>
        <w:rPr>
          <w:rFonts w:eastAsia="SimSun" w:cs="Arial"/>
          <w:i/>
          <w:iCs/>
          <w:color w:val="222222"/>
          <w:szCs w:val="24"/>
          <w:shd w:val="clear" w:color="auto" w:fill="FFFFFF"/>
        </w:rPr>
        <w:t>Pediatrics</w:t>
      </w:r>
      <w:r>
        <w:rPr>
          <w:rFonts w:eastAsia="SimSun" w:cs="Arial"/>
          <w:color w:val="222222"/>
          <w:szCs w:val="24"/>
          <w:shd w:val="clear" w:color="auto" w:fill="FFFFFF"/>
        </w:rPr>
        <w:t>, </w:t>
      </w:r>
      <w:r>
        <w:rPr>
          <w:rFonts w:eastAsia="SimSun" w:cs="Arial"/>
          <w:i/>
          <w:iCs/>
          <w:color w:val="222222"/>
          <w:szCs w:val="24"/>
          <w:shd w:val="clear" w:color="auto" w:fill="FFFFFF"/>
        </w:rPr>
        <w:t>139</w:t>
      </w:r>
      <w:r>
        <w:rPr>
          <w:rFonts w:eastAsia="SimSun" w:cs="Arial"/>
          <w:color w:val="222222"/>
          <w:szCs w:val="24"/>
          <w:shd w:val="clear" w:color="auto" w:fill="FFFFFF"/>
        </w:rPr>
        <w:t>(1), p.e20151175.</w:t>
      </w:r>
      <w:r>
        <w:rPr>
          <w:rFonts w:eastAsia="SimSun" w:cs="Arial"/>
          <w:color w:val="222222"/>
          <w:szCs w:val="24"/>
          <w:shd w:val="clear" w:color="auto" w:fill="FFFFFF"/>
          <w:lang w:val="en-IN"/>
        </w:rPr>
        <w:t xml:space="preserve"> </w:t>
      </w:r>
      <w:hyperlink r:id="rId45" w:history="1">
        <w:r>
          <w:rPr>
            <w:rStyle w:val="Hyperlink"/>
            <w:rFonts w:eastAsia="SimSun" w:cs="Arial"/>
            <w:szCs w:val="24"/>
            <w:shd w:val="clear" w:color="auto" w:fill="FFFFFF"/>
            <w:lang w:val="en-IN"/>
          </w:rPr>
          <w:t>https://publications.aap.org/pediatrics/article-abstract/139/1/e20151175/51726</w:t>
        </w:r>
      </w:hyperlink>
      <w:r>
        <w:rPr>
          <w:rFonts w:eastAsia="SimSun" w:cs="Arial"/>
          <w:color w:val="222222"/>
          <w:szCs w:val="24"/>
          <w:shd w:val="clear" w:color="auto" w:fill="FFFFFF"/>
          <w:lang w:val="en-IN"/>
        </w:rPr>
        <w:t xml:space="preserve"> </w:t>
      </w:r>
    </w:p>
    <w:p w14:paraId="1D1F5B1B" w14:textId="77777777" w:rsidR="004A5CD4" w:rsidRDefault="002244FC">
      <w:pPr>
        <w:spacing w:before="120" w:after="120"/>
        <w:rPr>
          <w:rFonts w:cs="Arial"/>
          <w:szCs w:val="24"/>
        </w:rPr>
      </w:pPr>
      <w:r>
        <w:rPr>
          <w:rFonts w:cs="Arial"/>
          <w:szCs w:val="24"/>
        </w:rPr>
        <w:t xml:space="preserve">Hood, A.M., Morais, C.A., Fields, L.N., Merriwether, E.N., Brooks, A.K., Clark, J.F., McGill, L.S., Janevic, M.R., Letzen, J.E. and Campbell, L.C., 2023. Racism exposure and trauma accumulation perpetuate pain inequities—advocating for change (RESTORATIVE): A conceptual model. </w:t>
      </w:r>
      <w:r>
        <w:rPr>
          <w:rFonts w:cs="Arial"/>
          <w:i/>
          <w:iCs/>
          <w:szCs w:val="24"/>
        </w:rPr>
        <w:t>American Psychologist</w:t>
      </w:r>
      <w:r>
        <w:rPr>
          <w:rFonts w:cs="Arial"/>
          <w:szCs w:val="24"/>
        </w:rPr>
        <w:t xml:space="preserve">, </w:t>
      </w:r>
      <w:r>
        <w:rPr>
          <w:rFonts w:cs="Arial"/>
          <w:i/>
          <w:iCs/>
          <w:szCs w:val="24"/>
        </w:rPr>
        <w:t>78</w:t>
      </w:r>
      <w:r>
        <w:rPr>
          <w:rFonts w:cs="Arial"/>
          <w:szCs w:val="24"/>
        </w:rPr>
        <w:t xml:space="preserve">(2), p.143. </w:t>
      </w:r>
    </w:p>
    <w:p w14:paraId="56F6EA62" w14:textId="77777777" w:rsidR="004A5CD4" w:rsidRDefault="002244FC">
      <w:pPr>
        <w:rPr>
          <w:rFonts w:cs="Arial"/>
          <w:szCs w:val="24"/>
          <w:lang w:val="en-IN"/>
        </w:rPr>
      </w:pPr>
      <w:r>
        <w:rPr>
          <w:rFonts w:cs="Arial"/>
          <w:szCs w:val="24"/>
          <w:lang w:val="en-IN"/>
        </w:rPr>
        <w:t xml:space="preserve">Joanna Briggs Institute (2020). </w:t>
      </w:r>
      <w:r>
        <w:rPr>
          <w:rFonts w:cs="Arial"/>
          <w:i/>
          <w:iCs/>
          <w:szCs w:val="24"/>
          <w:lang w:val="en-IN"/>
        </w:rPr>
        <w:t>Critical appraisal tools</w:t>
      </w:r>
      <w:r>
        <w:rPr>
          <w:rFonts w:cs="Arial"/>
          <w:szCs w:val="24"/>
          <w:lang w:val="en-IN"/>
        </w:rPr>
        <w:t xml:space="preserve">. [online] </w:t>
      </w:r>
      <w:r>
        <w:rPr>
          <w:rFonts w:cs="Arial"/>
          <w:i/>
          <w:iCs/>
          <w:szCs w:val="24"/>
          <w:lang w:val="en-IN"/>
        </w:rPr>
        <w:t>JBI</w:t>
      </w:r>
      <w:r>
        <w:rPr>
          <w:rFonts w:cs="Arial"/>
          <w:szCs w:val="24"/>
          <w:lang w:val="en-IN"/>
        </w:rPr>
        <w:t xml:space="preserve">. Available at: </w:t>
      </w:r>
      <w:hyperlink r:id="rId46" w:history="1">
        <w:r>
          <w:rPr>
            <w:rStyle w:val="Hyperlink"/>
            <w:rFonts w:cs="Arial"/>
            <w:szCs w:val="24"/>
            <w:lang w:val="en-IN"/>
          </w:rPr>
          <w:t>https://jbi.global/critical-appraisal-tools</w:t>
        </w:r>
      </w:hyperlink>
      <w:r>
        <w:rPr>
          <w:rFonts w:cs="Arial"/>
          <w:szCs w:val="24"/>
          <w:lang w:val="en-IN"/>
        </w:rPr>
        <w:t xml:space="preserve"> [Accessed 6 Aug. 2026].</w:t>
      </w:r>
    </w:p>
    <w:p w14:paraId="598A87B1" w14:textId="77777777" w:rsidR="004A5CD4" w:rsidRDefault="002244FC">
      <w:pPr>
        <w:spacing w:before="120" w:after="120"/>
        <w:rPr>
          <w:rFonts w:cs="Arial"/>
          <w:szCs w:val="24"/>
        </w:rPr>
      </w:pPr>
      <w:r>
        <w:rPr>
          <w:rFonts w:cs="Arial"/>
          <w:szCs w:val="24"/>
        </w:rPr>
        <w:t xml:space="preserve">Lewis, K., Dale, H., Lewer, D., Downs, J. and Blackburn, R., 2025. Disparities in adolescent mental health-related National Health Service presentations in England: secondary school cohort study. </w:t>
      </w:r>
      <w:r>
        <w:rPr>
          <w:rFonts w:cs="Arial"/>
          <w:i/>
          <w:iCs/>
          <w:szCs w:val="24"/>
        </w:rPr>
        <w:t>medRxiv</w:t>
      </w:r>
      <w:r>
        <w:rPr>
          <w:rFonts w:cs="Arial"/>
          <w:szCs w:val="24"/>
        </w:rPr>
        <w:t xml:space="preserve">, pp.2025-11. </w:t>
      </w:r>
    </w:p>
    <w:p w14:paraId="32848631" w14:textId="77777777" w:rsidR="004A5CD4" w:rsidRDefault="002244FC">
      <w:pPr>
        <w:spacing w:before="120" w:after="120"/>
        <w:rPr>
          <w:rFonts w:cs="Arial"/>
          <w:szCs w:val="24"/>
        </w:rPr>
      </w:pPr>
      <w:r>
        <w:rPr>
          <w:rFonts w:cs="Arial"/>
          <w:szCs w:val="24"/>
        </w:rPr>
        <w:t>MacFarlane, A., Russell-Rose, T., and Shokraneh, F. (2022). Search strategy formulation for systematic reviews: Issues, challenges and opportunities. </w:t>
      </w:r>
      <w:r>
        <w:rPr>
          <w:rFonts w:cs="Arial"/>
          <w:i/>
          <w:iCs/>
          <w:szCs w:val="24"/>
        </w:rPr>
        <w:t>Intelligent Systems with Applications</w:t>
      </w:r>
      <w:r>
        <w:rPr>
          <w:rFonts w:cs="Arial"/>
          <w:szCs w:val="24"/>
        </w:rPr>
        <w:t>, </w:t>
      </w:r>
      <w:r>
        <w:rPr>
          <w:rFonts w:cs="Arial"/>
          <w:i/>
          <w:iCs/>
          <w:szCs w:val="24"/>
        </w:rPr>
        <w:t>15</w:t>
      </w:r>
      <w:r>
        <w:rPr>
          <w:rFonts w:cs="Arial"/>
          <w:szCs w:val="24"/>
        </w:rPr>
        <w:t xml:space="preserve">, 200091. </w:t>
      </w:r>
      <w:hyperlink r:id="rId47" w:history="1">
        <w:r>
          <w:rPr>
            <w:rStyle w:val="Hyperlink"/>
            <w:rFonts w:cs="Arial"/>
            <w:szCs w:val="24"/>
          </w:rPr>
          <w:t>https://www.sciencedirect.com/science/article/pii/S266730532200031X</w:t>
        </w:r>
      </w:hyperlink>
    </w:p>
    <w:p w14:paraId="211CC711" w14:textId="77777777" w:rsidR="004A5CD4" w:rsidRDefault="002244FC">
      <w:pPr>
        <w:spacing w:before="120" w:after="120"/>
        <w:rPr>
          <w:rFonts w:cs="Arial"/>
          <w:szCs w:val="24"/>
        </w:rPr>
      </w:pPr>
      <w:r>
        <w:rPr>
          <w:rFonts w:cs="Arial"/>
          <w:szCs w:val="24"/>
        </w:rPr>
        <w:t>Martinez, E. C., Valdés, J. R. F., Castillo, J. L., Castillo, J. V., Montecino, R. M. B., Jimenez, J. E. M., and Diarte, E. (2023). Ten steps to conduct a systematic review. </w:t>
      </w:r>
      <w:r>
        <w:rPr>
          <w:rFonts w:cs="Arial"/>
          <w:i/>
          <w:iCs/>
          <w:szCs w:val="24"/>
        </w:rPr>
        <w:t>Cureus</w:t>
      </w:r>
      <w:r>
        <w:rPr>
          <w:rFonts w:cs="Arial"/>
          <w:szCs w:val="24"/>
        </w:rPr>
        <w:t>, </w:t>
      </w:r>
      <w:r>
        <w:rPr>
          <w:rFonts w:cs="Arial"/>
          <w:i/>
          <w:iCs/>
          <w:szCs w:val="24"/>
        </w:rPr>
        <w:t>15</w:t>
      </w:r>
      <w:r>
        <w:rPr>
          <w:rFonts w:cs="Arial"/>
          <w:szCs w:val="24"/>
        </w:rPr>
        <w:t xml:space="preserve">(12). </w:t>
      </w:r>
      <w:hyperlink r:id="rId48" w:history="1">
        <w:r>
          <w:rPr>
            <w:rStyle w:val="Hyperlink"/>
            <w:rFonts w:cs="Arial"/>
            <w:szCs w:val="24"/>
          </w:rPr>
          <w:t>https://www.cureus.com/articles/217671-10-steps-to-conduct-a-systematic-review.pdf</w:t>
        </w:r>
      </w:hyperlink>
    </w:p>
    <w:p w14:paraId="680D92AB" w14:textId="77777777" w:rsidR="004A5CD4" w:rsidRDefault="002244FC">
      <w:pPr>
        <w:spacing w:before="120" w:after="120"/>
        <w:rPr>
          <w:rFonts w:cs="Arial"/>
          <w:szCs w:val="24"/>
        </w:rPr>
      </w:pPr>
      <w:r>
        <w:rPr>
          <w:rFonts w:cs="Arial"/>
          <w:szCs w:val="24"/>
        </w:rPr>
        <w:t>Mathew, M. J. (2024). Literature search in systematic reviews: How much is good enough?. </w:t>
      </w:r>
      <w:r>
        <w:rPr>
          <w:rFonts w:cs="Arial"/>
          <w:i/>
          <w:iCs/>
          <w:szCs w:val="24"/>
        </w:rPr>
        <w:t>Clinical Epidemiology and Global Health</w:t>
      </w:r>
      <w:r>
        <w:rPr>
          <w:rFonts w:cs="Arial"/>
          <w:szCs w:val="24"/>
        </w:rPr>
        <w:t>, </w:t>
      </w:r>
      <w:r>
        <w:rPr>
          <w:rFonts w:cs="Arial"/>
          <w:i/>
          <w:iCs/>
          <w:szCs w:val="24"/>
        </w:rPr>
        <w:t>25</w:t>
      </w:r>
      <w:r>
        <w:rPr>
          <w:rFonts w:cs="Arial"/>
          <w:szCs w:val="24"/>
        </w:rPr>
        <w:t xml:space="preserve">, 101485. </w:t>
      </w:r>
      <w:hyperlink r:id="rId49" w:history="1">
        <w:r>
          <w:rPr>
            <w:rStyle w:val="Hyperlink"/>
            <w:rFonts w:cs="Arial"/>
            <w:szCs w:val="24"/>
          </w:rPr>
          <w:t>https://www.sciencedirect.com/science/article/pii/S2213398423002725</w:t>
        </w:r>
      </w:hyperlink>
    </w:p>
    <w:p w14:paraId="6BC08C80" w14:textId="77777777" w:rsidR="004A5CD4" w:rsidRDefault="002244FC">
      <w:pPr>
        <w:spacing w:before="120" w:after="120"/>
        <w:rPr>
          <w:rFonts w:cs="Arial"/>
          <w:szCs w:val="24"/>
        </w:rPr>
      </w:pPr>
      <w:r>
        <w:rPr>
          <w:rFonts w:cs="Arial"/>
          <w:szCs w:val="24"/>
        </w:rPr>
        <w:t xml:space="preserve">McKinnon, I.I., Krause, K.H., Suarez, N.A., Jones, T.M., Verlenden, J.V., Cavalier, Y., Cammack, A.L., Mattson, C.L., Njai, R., Smith-Grant, J. and Mbaka, C., 2024. Experiences of racism in school and associations with mental health, suicide risk, and substance use among high school students—Youth Risk Behaviour Survey, United States, 2023. </w:t>
      </w:r>
      <w:r>
        <w:rPr>
          <w:rFonts w:cs="Arial"/>
          <w:i/>
          <w:iCs/>
          <w:szCs w:val="24"/>
        </w:rPr>
        <w:t>MMWR Supplements</w:t>
      </w:r>
      <w:r>
        <w:rPr>
          <w:rFonts w:cs="Arial"/>
          <w:szCs w:val="24"/>
        </w:rPr>
        <w:t xml:space="preserve">, </w:t>
      </w:r>
      <w:r>
        <w:rPr>
          <w:rFonts w:cs="Arial"/>
          <w:i/>
          <w:iCs/>
          <w:szCs w:val="24"/>
        </w:rPr>
        <w:t>73</w:t>
      </w:r>
      <w:r>
        <w:rPr>
          <w:rFonts w:cs="Arial"/>
          <w:szCs w:val="24"/>
        </w:rPr>
        <w:t xml:space="preserve">. </w:t>
      </w:r>
    </w:p>
    <w:p w14:paraId="54DAF74C"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Meade, J., </w:t>
      </w:r>
      <w:r>
        <w:rPr>
          <w:rFonts w:eastAsia="SimSun" w:cs="Arial"/>
          <w:color w:val="222222"/>
          <w:szCs w:val="24"/>
          <w:shd w:val="clear" w:color="auto" w:fill="FFFFFF"/>
          <w:lang w:val="en-IN"/>
        </w:rPr>
        <w:t>(</w:t>
      </w:r>
      <w:r>
        <w:rPr>
          <w:rFonts w:eastAsia="SimSun" w:cs="Arial"/>
          <w:color w:val="222222"/>
          <w:szCs w:val="24"/>
          <w:shd w:val="clear" w:color="auto" w:fill="FFFFFF"/>
        </w:rPr>
        <w:t>2021</w:t>
      </w:r>
      <w:r>
        <w:rPr>
          <w:rFonts w:eastAsia="SimSun" w:cs="Arial"/>
          <w:color w:val="222222"/>
          <w:szCs w:val="24"/>
          <w:shd w:val="clear" w:color="auto" w:fill="FFFFFF"/>
          <w:lang w:val="en-IN"/>
        </w:rPr>
        <w:t>)</w:t>
      </w:r>
      <w:r>
        <w:rPr>
          <w:rFonts w:eastAsia="SimSun" w:cs="Arial"/>
          <w:color w:val="222222"/>
          <w:szCs w:val="24"/>
          <w:shd w:val="clear" w:color="auto" w:fill="FFFFFF"/>
        </w:rPr>
        <w:t>. Mental health effects of the COVID-19 pandemic on children and adolescents: a review of the current research. </w:t>
      </w:r>
      <w:r>
        <w:rPr>
          <w:rFonts w:eastAsia="SimSun" w:cs="Arial"/>
          <w:i/>
          <w:iCs/>
          <w:color w:val="222222"/>
          <w:szCs w:val="24"/>
          <w:shd w:val="clear" w:color="auto" w:fill="FFFFFF"/>
        </w:rPr>
        <w:t>Pediatric Clinics of North America</w:t>
      </w:r>
      <w:r>
        <w:rPr>
          <w:rFonts w:eastAsia="SimSun" w:cs="Arial"/>
          <w:color w:val="222222"/>
          <w:szCs w:val="24"/>
          <w:shd w:val="clear" w:color="auto" w:fill="FFFFFF"/>
        </w:rPr>
        <w:t>, </w:t>
      </w:r>
      <w:r>
        <w:rPr>
          <w:rFonts w:eastAsia="SimSun" w:cs="Arial"/>
          <w:i/>
          <w:iCs/>
          <w:color w:val="222222"/>
          <w:szCs w:val="24"/>
          <w:shd w:val="clear" w:color="auto" w:fill="FFFFFF"/>
        </w:rPr>
        <w:t>68</w:t>
      </w:r>
      <w:r>
        <w:rPr>
          <w:rFonts w:eastAsia="SimSun" w:cs="Arial"/>
          <w:color w:val="222222"/>
          <w:szCs w:val="24"/>
          <w:shd w:val="clear" w:color="auto" w:fill="FFFFFF"/>
        </w:rPr>
        <w:t>(5), p.945.</w:t>
      </w:r>
      <w:r>
        <w:rPr>
          <w:rFonts w:eastAsia="SimSun" w:cs="Arial"/>
          <w:color w:val="222222"/>
          <w:szCs w:val="24"/>
          <w:shd w:val="clear" w:color="auto" w:fill="FFFFFF"/>
          <w:lang w:val="en-IN"/>
        </w:rPr>
        <w:t xml:space="preserve"> </w:t>
      </w:r>
      <w:hyperlink r:id="rId50" w:history="1">
        <w:r>
          <w:rPr>
            <w:rStyle w:val="Hyperlink"/>
            <w:rFonts w:eastAsia="SimSun" w:cs="Arial"/>
            <w:szCs w:val="24"/>
            <w:shd w:val="clear" w:color="auto" w:fill="FFFFFF"/>
            <w:lang w:val="en-IN"/>
          </w:rPr>
          <w:t>https://pmc.ncbi.nlm.nih.gov/articles/PMC8445752/</w:t>
        </w:r>
      </w:hyperlink>
      <w:r>
        <w:rPr>
          <w:rFonts w:eastAsia="SimSun" w:cs="Arial"/>
          <w:color w:val="222222"/>
          <w:szCs w:val="24"/>
          <w:shd w:val="clear" w:color="auto" w:fill="FFFFFF"/>
          <w:lang w:val="en-IN"/>
        </w:rPr>
        <w:t xml:space="preserve"> </w:t>
      </w:r>
    </w:p>
    <w:p w14:paraId="6F4DEE8E"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Meade, J., </w:t>
      </w:r>
      <w:r>
        <w:rPr>
          <w:rFonts w:eastAsia="SimSun" w:cs="Arial"/>
          <w:color w:val="222222"/>
          <w:szCs w:val="24"/>
          <w:shd w:val="clear" w:color="auto" w:fill="FFFFFF"/>
          <w:lang w:val="en-IN"/>
        </w:rPr>
        <w:t>(</w:t>
      </w:r>
      <w:r>
        <w:rPr>
          <w:rFonts w:eastAsia="SimSun" w:cs="Arial"/>
          <w:color w:val="222222"/>
          <w:szCs w:val="24"/>
          <w:shd w:val="clear" w:color="auto" w:fill="FFFFFF"/>
        </w:rPr>
        <w:t>2021</w:t>
      </w:r>
      <w:r>
        <w:rPr>
          <w:rFonts w:eastAsia="SimSun" w:cs="Arial"/>
          <w:color w:val="222222"/>
          <w:szCs w:val="24"/>
          <w:shd w:val="clear" w:color="auto" w:fill="FFFFFF"/>
          <w:lang w:val="en-IN"/>
        </w:rPr>
        <w:t>)</w:t>
      </w:r>
      <w:r>
        <w:rPr>
          <w:rFonts w:eastAsia="SimSun" w:cs="Arial"/>
          <w:color w:val="222222"/>
          <w:szCs w:val="24"/>
          <w:shd w:val="clear" w:color="auto" w:fill="FFFFFF"/>
        </w:rPr>
        <w:t>. Mental health effects of the COVID-19 pandemic on children and adolescents: a review of the current research. </w:t>
      </w:r>
      <w:r>
        <w:rPr>
          <w:rFonts w:eastAsia="SimSun" w:cs="Arial"/>
          <w:i/>
          <w:iCs/>
          <w:color w:val="222222"/>
          <w:szCs w:val="24"/>
          <w:shd w:val="clear" w:color="auto" w:fill="FFFFFF"/>
        </w:rPr>
        <w:t>Pediatric Clinics of North America</w:t>
      </w:r>
      <w:r>
        <w:rPr>
          <w:rFonts w:eastAsia="SimSun" w:cs="Arial"/>
          <w:color w:val="222222"/>
          <w:szCs w:val="24"/>
          <w:shd w:val="clear" w:color="auto" w:fill="FFFFFF"/>
        </w:rPr>
        <w:t>, </w:t>
      </w:r>
      <w:r>
        <w:rPr>
          <w:rFonts w:eastAsia="SimSun" w:cs="Arial"/>
          <w:i/>
          <w:iCs/>
          <w:color w:val="222222"/>
          <w:szCs w:val="24"/>
          <w:shd w:val="clear" w:color="auto" w:fill="FFFFFF"/>
        </w:rPr>
        <w:t>68</w:t>
      </w:r>
      <w:r>
        <w:rPr>
          <w:rFonts w:eastAsia="SimSun" w:cs="Arial"/>
          <w:color w:val="222222"/>
          <w:szCs w:val="24"/>
          <w:shd w:val="clear" w:color="auto" w:fill="FFFFFF"/>
        </w:rPr>
        <w:t>(5), p.945.</w:t>
      </w:r>
      <w:r>
        <w:rPr>
          <w:rFonts w:eastAsia="SimSun" w:cs="Arial"/>
          <w:color w:val="222222"/>
          <w:szCs w:val="24"/>
          <w:shd w:val="clear" w:color="auto" w:fill="FFFFFF"/>
          <w:lang w:val="en-IN"/>
        </w:rPr>
        <w:t xml:space="preserve"> </w:t>
      </w:r>
      <w:hyperlink r:id="rId51" w:history="1">
        <w:r>
          <w:rPr>
            <w:rStyle w:val="Hyperlink"/>
            <w:rFonts w:eastAsia="SimSun" w:cs="Arial"/>
            <w:szCs w:val="24"/>
            <w:shd w:val="clear" w:color="auto" w:fill="FFFFFF"/>
            <w:lang w:val="en-IN"/>
          </w:rPr>
          <w:t>https://pmc.ncbi.nlm.nih.gov/articles/PMC8445752/</w:t>
        </w:r>
      </w:hyperlink>
      <w:r>
        <w:rPr>
          <w:rFonts w:eastAsia="SimSun" w:cs="Arial"/>
          <w:color w:val="222222"/>
          <w:szCs w:val="24"/>
          <w:shd w:val="clear" w:color="auto" w:fill="FFFFFF"/>
          <w:lang w:val="en-IN"/>
        </w:rPr>
        <w:t xml:space="preserve"> </w:t>
      </w:r>
    </w:p>
    <w:p w14:paraId="1BC5B686" w14:textId="77777777" w:rsidR="004A5CD4" w:rsidRDefault="002244FC">
      <w:pPr>
        <w:spacing w:after="200"/>
        <w:rPr>
          <w:rFonts w:cs="Arial"/>
          <w:color w:val="000000" w:themeColor="text1"/>
          <w:szCs w:val="24"/>
        </w:rPr>
      </w:pPr>
      <w:r>
        <w:rPr>
          <w:rFonts w:cs="Arial"/>
          <w:color w:val="000000" w:themeColor="text1"/>
          <w:szCs w:val="24"/>
        </w:rPr>
        <w:t>Methley, A.M. et al. (2014). “PICO, PICOS and SPIDER: a comparison study of specificity and sensitivity in three search tools for qualitative systematic reviews” https://bmchealthservres.biomedcentral.com/articles/10.1186/s12913-014-0579-0⁠</w:t>
      </w:r>
    </w:p>
    <w:p w14:paraId="0AF7EC9A" w14:textId="77777777" w:rsidR="004A5CD4" w:rsidRDefault="002244FC">
      <w:pPr>
        <w:spacing w:before="120" w:after="120"/>
        <w:rPr>
          <w:rFonts w:cs="Arial"/>
          <w:szCs w:val="24"/>
        </w:rPr>
      </w:pPr>
      <w:r>
        <w:rPr>
          <w:rFonts w:cs="Arial"/>
          <w:szCs w:val="24"/>
        </w:rPr>
        <w:t xml:space="preserve">Mona, H., Lacey, R. and John, A., 2025. Experience of racism in young people and future mental health in England: longitudinal analysis from the Next Steps Study. </w:t>
      </w:r>
      <w:r>
        <w:rPr>
          <w:rFonts w:cs="Arial"/>
          <w:i/>
          <w:iCs/>
          <w:szCs w:val="24"/>
        </w:rPr>
        <w:t>BMJ Mental Health</w:t>
      </w:r>
      <w:r>
        <w:rPr>
          <w:rFonts w:cs="Arial"/>
          <w:szCs w:val="24"/>
        </w:rPr>
        <w:t xml:space="preserve">, </w:t>
      </w:r>
      <w:r>
        <w:rPr>
          <w:rFonts w:cs="Arial"/>
          <w:i/>
          <w:iCs/>
          <w:szCs w:val="24"/>
        </w:rPr>
        <w:t>28</w:t>
      </w:r>
      <w:r>
        <w:rPr>
          <w:rFonts w:cs="Arial"/>
          <w:szCs w:val="24"/>
        </w:rPr>
        <w:t xml:space="preserve">(1). </w:t>
      </w:r>
    </w:p>
    <w:p w14:paraId="643C9314" w14:textId="77777777" w:rsidR="004A5CD4" w:rsidRDefault="002244FC">
      <w:pPr>
        <w:spacing w:before="120" w:after="120"/>
        <w:rPr>
          <w:rFonts w:cs="Arial"/>
          <w:szCs w:val="24"/>
        </w:rPr>
      </w:pPr>
      <w:r>
        <w:rPr>
          <w:rFonts w:cs="Arial"/>
          <w:szCs w:val="24"/>
        </w:rPr>
        <w:t xml:space="preserve">Muyambi, G.C. and Ahiaku, P.K.A., 2025. Inequalities and education in South Africa: A scoping review. </w:t>
      </w:r>
      <w:r>
        <w:rPr>
          <w:rFonts w:cs="Arial"/>
          <w:i/>
          <w:iCs/>
          <w:szCs w:val="24"/>
        </w:rPr>
        <w:t>International Journal of Educational Research Open</w:t>
      </w:r>
      <w:r>
        <w:rPr>
          <w:rFonts w:cs="Arial"/>
          <w:szCs w:val="24"/>
        </w:rPr>
        <w:t xml:space="preserve">, </w:t>
      </w:r>
      <w:r>
        <w:rPr>
          <w:rFonts w:cs="Arial"/>
          <w:i/>
          <w:iCs/>
          <w:szCs w:val="24"/>
        </w:rPr>
        <w:t>8</w:t>
      </w:r>
      <w:r>
        <w:rPr>
          <w:rFonts w:cs="Arial"/>
          <w:szCs w:val="24"/>
        </w:rPr>
        <w:t xml:space="preserve">, p.100408. </w:t>
      </w:r>
    </w:p>
    <w:p w14:paraId="02E35CE2" w14:textId="77777777" w:rsidR="004A5CD4" w:rsidRDefault="002244FC">
      <w:pPr>
        <w:spacing w:before="120" w:after="120"/>
        <w:rPr>
          <w:rFonts w:cs="Arial"/>
          <w:szCs w:val="24"/>
        </w:rPr>
      </w:pPr>
      <w:r>
        <w:rPr>
          <w:rFonts w:cs="Arial"/>
          <w:szCs w:val="24"/>
        </w:rPr>
        <w:t xml:space="preserve">Newlove-Delgado, T., Marcheselli, F., Williams, T., Mandalia, D., Davis, J., McManus, S., Savic, M., Treloar, W. and Ford, T., 2022. Mental Health of Children and Young People in England, 2022-wave 3 follow-up to the 2017 survey. </w:t>
      </w:r>
    </w:p>
    <w:p w14:paraId="676EEBD1" w14:textId="77777777" w:rsidR="004A5CD4" w:rsidRDefault="002244FC">
      <w:pPr>
        <w:pStyle w:val="NormalWeb"/>
        <w:spacing w:before="120" w:beforeAutospacing="0" w:after="120" w:afterAutospacing="0" w:line="360" w:lineRule="auto"/>
        <w:rPr>
          <w:rFonts w:cs="Arial"/>
        </w:rPr>
      </w:pPr>
      <w:r>
        <w:rPr>
          <w:rFonts w:cs="Arial"/>
        </w:rPr>
        <w:t xml:space="preserve">NHS England (2023b). </w:t>
      </w:r>
      <w:r>
        <w:rPr>
          <w:rFonts w:cs="Arial"/>
          <w:i/>
          <w:iCs/>
        </w:rPr>
        <w:t>Mental health of children and young people in England, 2023 - Wave 4 follow-up to the 2017 survey</w:t>
      </w:r>
      <w:r>
        <w:rPr>
          <w:rFonts w:cs="Arial"/>
        </w:rPr>
        <w:t xml:space="preserve">. Available at: </w:t>
      </w:r>
      <w:hyperlink r:id="rId52" w:history="1">
        <w:r>
          <w:rPr>
            <w:rStyle w:val="Hyperlink"/>
            <w:rFonts w:cs="Arial"/>
          </w:rPr>
          <w:t>https://digital.nhs.uk/data-and-information/publications/statistical/mental-health-of-children-and-young-people-in-england/2023-wave-4-follow-up/part-1-mental-health</w:t>
        </w:r>
      </w:hyperlink>
      <w:r>
        <w:rPr>
          <w:rFonts w:cs="Arial"/>
        </w:rPr>
        <w:t xml:space="preserve"> [Accessed 31 July 2026b].</w:t>
      </w:r>
    </w:p>
    <w:p w14:paraId="2559A718" w14:textId="77777777" w:rsidR="004A5CD4" w:rsidRDefault="002244FC">
      <w:pPr>
        <w:pStyle w:val="NormalWeb"/>
        <w:spacing w:before="120" w:beforeAutospacing="0" w:after="120" w:afterAutospacing="0" w:line="360" w:lineRule="auto"/>
        <w:rPr>
          <w:rFonts w:cs="Arial"/>
        </w:rPr>
      </w:pPr>
      <w:r>
        <w:rPr>
          <w:rFonts w:cs="Arial"/>
        </w:rPr>
        <w:t xml:space="preserve">NHS England (2026). </w:t>
      </w:r>
      <w:r>
        <w:rPr>
          <w:rFonts w:cs="Arial"/>
          <w:i/>
          <w:iCs/>
        </w:rPr>
        <w:t>Mental health of children and young people in England, 2023 - Wave 4 follow-up to the 2017 survey</w:t>
      </w:r>
      <w:r>
        <w:rPr>
          <w:rFonts w:cs="Arial"/>
        </w:rPr>
        <w:t xml:space="preserve">. [online] </w:t>
      </w:r>
      <w:r>
        <w:rPr>
          <w:rFonts w:cs="Arial"/>
          <w:i/>
          <w:iCs/>
        </w:rPr>
        <w:t>NHS Digital</w:t>
      </w:r>
      <w:r>
        <w:rPr>
          <w:rFonts w:cs="Arial"/>
        </w:rPr>
        <w:t xml:space="preserve">. Available at: </w:t>
      </w:r>
      <w:hyperlink r:id="rId53" w:history="1">
        <w:r>
          <w:rPr>
            <w:rStyle w:val="Hyperlink"/>
            <w:rFonts w:cs="Arial"/>
          </w:rPr>
          <w:t>https://digital.nhs.uk/data-and-information/publications/statistical/mental-health-of-children-and-young-people-in-england/2023-wave-4-follow-up/part-1-mental-health</w:t>
        </w:r>
      </w:hyperlink>
      <w:r>
        <w:rPr>
          <w:rFonts w:cs="Arial"/>
        </w:rPr>
        <w:t xml:space="preserve"> [Accessed 31 July 2026].</w:t>
      </w:r>
    </w:p>
    <w:p w14:paraId="7B6BF8FD" w14:textId="77777777" w:rsidR="004A5CD4" w:rsidRDefault="002244FC">
      <w:pPr>
        <w:rPr>
          <w:rFonts w:cs="Arial"/>
          <w:szCs w:val="24"/>
          <w:lang w:val="en-IN"/>
        </w:rPr>
      </w:pPr>
      <w:r>
        <w:rPr>
          <w:rFonts w:cs="Arial"/>
          <w:szCs w:val="24"/>
        </w:rPr>
        <w:t>O'Neill, A., Stapley, E., Stock, S., Merrick, H. and Humphrey, N., 2021. Adolescents' understanding of what causes emotional distress: a qualitative exploration in a non-clinical sample using ideal-type analysis. </w:t>
      </w:r>
      <w:r>
        <w:rPr>
          <w:rFonts w:cs="Arial"/>
          <w:i/>
          <w:iCs/>
          <w:szCs w:val="24"/>
        </w:rPr>
        <w:t>Frontiers in public health</w:t>
      </w:r>
      <w:r>
        <w:rPr>
          <w:rFonts w:cs="Arial"/>
          <w:szCs w:val="24"/>
        </w:rPr>
        <w:t>, </w:t>
      </w:r>
      <w:r>
        <w:rPr>
          <w:rFonts w:cs="Arial"/>
          <w:i/>
          <w:iCs/>
          <w:szCs w:val="24"/>
        </w:rPr>
        <w:t>9</w:t>
      </w:r>
      <w:r>
        <w:rPr>
          <w:rFonts w:cs="Arial"/>
          <w:szCs w:val="24"/>
        </w:rPr>
        <w:t xml:space="preserve">, p.673321. </w:t>
      </w:r>
      <w:hyperlink r:id="rId54" w:history="1">
        <w:r>
          <w:rPr>
            <w:rStyle w:val="Hyperlink"/>
            <w:rFonts w:cs="Arial"/>
            <w:szCs w:val="24"/>
          </w:rPr>
          <w:t>https://www.frontiersin.org/journals/public-health/articles/10.3389/fpubh.2021.673321/pdf</w:t>
        </w:r>
      </w:hyperlink>
      <w:r>
        <w:rPr>
          <w:rFonts w:cs="Arial"/>
          <w:szCs w:val="24"/>
        </w:rPr>
        <w:t xml:space="preserve"> </w:t>
      </w:r>
    </w:p>
    <w:p w14:paraId="783C07BB" w14:textId="77777777" w:rsidR="004A5CD4" w:rsidRDefault="002244FC">
      <w:pPr>
        <w:spacing w:before="120" w:after="120"/>
        <w:rPr>
          <w:rFonts w:cs="Arial"/>
          <w:szCs w:val="24"/>
        </w:rPr>
      </w:pPr>
      <w:r>
        <w:rPr>
          <w:rFonts w:cs="Arial"/>
          <w:szCs w:val="24"/>
        </w:rPr>
        <w:t>Page, MJ, McKenzie, JE, Bossuyt, PM, Boutron, I., Hoffmann, TC, Mulrow, CD, and Moher, D. (2022). The PRISMA 2020 statement: an updated guideline for reporting systematic reviews. </w:t>
      </w:r>
      <w:r>
        <w:rPr>
          <w:rFonts w:cs="Arial"/>
          <w:i/>
          <w:iCs/>
          <w:szCs w:val="24"/>
        </w:rPr>
        <w:t>Revista panamericana de salud publica</w:t>
      </w:r>
      <w:r>
        <w:rPr>
          <w:rFonts w:cs="Arial"/>
          <w:szCs w:val="24"/>
        </w:rPr>
        <w:t> , </w:t>
      </w:r>
      <w:r>
        <w:rPr>
          <w:rFonts w:cs="Arial"/>
          <w:i/>
          <w:iCs/>
          <w:szCs w:val="24"/>
        </w:rPr>
        <w:t>46</w:t>
      </w:r>
      <w:r>
        <w:rPr>
          <w:rFonts w:cs="Arial"/>
          <w:szCs w:val="24"/>
        </w:rPr>
        <w:t xml:space="preserve"> , e112. </w:t>
      </w:r>
      <w:hyperlink r:id="rId55" w:history="1">
        <w:r>
          <w:rPr>
            <w:rStyle w:val="Hyperlink"/>
            <w:rFonts w:cs="Arial"/>
            <w:szCs w:val="24"/>
          </w:rPr>
          <w:t>https://pmc.ncbi.nlm.nih.gov/articles/PMC9798848/pdf/rpsp-46-e112.pdf</w:t>
        </w:r>
      </w:hyperlink>
    </w:p>
    <w:p w14:paraId="32017A82" w14:textId="77777777" w:rsidR="004A5CD4" w:rsidRDefault="002244FC">
      <w:pPr>
        <w:spacing w:after="200"/>
        <w:rPr>
          <w:rFonts w:cs="Arial"/>
          <w:color w:val="000000" w:themeColor="text1"/>
          <w:szCs w:val="24"/>
        </w:rPr>
      </w:pPr>
      <w:r>
        <w:rPr>
          <w:rFonts w:cs="Arial"/>
          <w:color w:val="000000" w:themeColor="text1"/>
          <w:szCs w:val="24"/>
        </w:rPr>
        <w:t>Petticrew, M. and Roberts, H. (2006). Systematic Reviews in the Social Sciences: A Practical Guide https://onlinelibrary.wiley.com/doi/book/10.1002/9780470754889⁠</w:t>
      </w:r>
    </w:p>
    <w:p w14:paraId="7DC5A484"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Pierce, M., Hope, H., Ford, T., Hatch, S., Hotopf, M., John, A., Kontopantelis, E., Webb, R., Wessely, S., McManus, S. and Abel, K.M.,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Mental health before and during the COVID-19 pandemic: a longitudinal probability sample survey of the UK population. </w:t>
      </w:r>
      <w:r>
        <w:rPr>
          <w:rFonts w:eastAsia="SimSun" w:cs="Arial"/>
          <w:i/>
          <w:iCs/>
          <w:color w:val="222222"/>
          <w:szCs w:val="24"/>
          <w:shd w:val="clear" w:color="auto" w:fill="FFFFFF"/>
        </w:rPr>
        <w:t>The Lancet Psychiatry</w:t>
      </w:r>
      <w:r>
        <w:rPr>
          <w:rFonts w:eastAsia="SimSun" w:cs="Arial"/>
          <w:color w:val="222222"/>
          <w:szCs w:val="24"/>
          <w:shd w:val="clear" w:color="auto" w:fill="FFFFFF"/>
        </w:rPr>
        <w:t>, </w:t>
      </w:r>
      <w:r>
        <w:rPr>
          <w:rFonts w:eastAsia="SimSun" w:cs="Arial"/>
          <w:i/>
          <w:iCs/>
          <w:color w:val="222222"/>
          <w:szCs w:val="24"/>
          <w:shd w:val="clear" w:color="auto" w:fill="FFFFFF"/>
        </w:rPr>
        <w:t>7</w:t>
      </w:r>
      <w:r>
        <w:rPr>
          <w:rFonts w:eastAsia="SimSun" w:cs="Arial"/>
          <w:color w:val="222222"/>
          <w:szCs w:val="24"/>
          <w:shd w:val="clear" w:color="auto" w:fill="FFFFFF"/>
        </w:rPr>
        <w:t>(10), pp.883-892.</w:t>
      </w:r>
      <w:r>
        <w:rPr>
          <w:rFonts w:eastAsia="SimSun" w:cs="Arial"/>
          <w:color w:val="222222"/>
          <w:szCs w:val="24"/>
          <w:shd w:val="clear" w:color="auto" w:fill="FFFFFF"/>
          <w:lang w:val="en-IN"/>
        </w:rPr>
        <w:t xml:space="preserve"> </w:t>
      </w:r>
      <w:hyperlink r:id="rId56" w:history="1">
        <w:r>
          <w:rPr>
            <w:rStyle w:val="Hyperlink"/>
            <w:rFonts w:eastAsia="SimSun" w:cs="Arial"/>
            <w:szCs w:val="24"/>
            <w:shd w:val="clear" w:color="auto" w:fill="FFFFFF"/>
            <w:lang w:val="en-IN"/>
          </w:rPr>
          <w:t>https://www.thelancet.com/journals/lanpsy/article/PIIS2215-0366(20)30308-4/abstract</w:t>
        </w:r>
      </w:hyperlink>
      <w:r>
        <w:rPr>
          <w:rFonts w:eastAsia="SimSun" w:cs="Arial"/>
          <w:color w:val="222222"/>
          <w:szCs w:val="24"/>
          <w:shd w:val="clear" w:color="auto" w:fill="FFFFFF"/>
          <w:lang w:val="en-IN"/>
        </w:rPr>
        <w:t xml:space="preserve"> </w:t>
      </w:r>
    </w:p>
    <w:p w14:paraId="22454D3F"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Pierce, M., Hope, H., Ford, T., Hatch, S., Hotopf, M., John, A., Kontopantelis, E., Webb, R., Wessely, S., McManus, S. and Abel, K.M., </w:t>
      </w:r>
      <w:r>
        <w:rPr>
          <w:rFonts w:eastAsia="SimSun" w:cs="Arial"/>
          <w:color w:val="222222"/>
          <w:szCs w:val="24"/>
          <w:shd w:val="clear" w:color="auto" w:fill="FFFFFF"/>
          <w:lang w:val="en-IN"/>
        </w:rPr>
        <w:t>(</w:t>
      </w:r>
      <w:r>
        <w:rPr>
          <w:rFonts w:eastAsia="SimSun" w:cs="Arial"/>
          <w:color w:val="222222"/>
          <w:szCs w:val="24"/>
          <w:shd w:val="clear" w:color="auto" w:fill="FFFFFF"/>
        </w:rPr>
        <w:t>2020</w:t>
      </w:r>
      <w:r>
        <w:rPr>
          <w:rFonts w:eastAsia="SimSun" w:cs="Arial"/>
          <w:color w:val="222222"/>
          <w:szCs w:val="24"/>
          <w:shd w:val="clear" w:color="auto" w:fill="FFFFFF"/>
          <w:lang w:val="en-IN"/>
        </w:rPr>
        <w:t>)</w:t>
      </w:r>
      <w:r>
        <w:rPr>
          <w:rFonts w:eastAsia="SimSun" w:cs="Arial"/>
          <w:color w:val="222222"/>
          <w:szCs w:val="24"/>
          <w:shd w:val="clear" w:color="auto" w:fill="FFFFFF"/>
        </w:rPr>
        <w:t>. Mental health before and during the COVID-19 pandemic: a longitudinal probability sample survey of the UK population. </w:t>
      </w:r>
      <w:r>
        <w:rPr>
          <w:rFonts w:eastAsia="SimSun" w:cs="Arial"/>
          <w:i/>
          <w:iCs/>
          <w:color w:val="222222"/>
          <w:szCs w:val="24"/>
          <w:shd w:val="clear" w:color="auto" w:fill="FFFFFF"/>
        </w:rPr>
        <w:t>The Lancet Psychiatry</w:t>
      </w:r>
      <w:r>
        <w:rPr>
          <w:rFonts w:eastAsia="SimSun" w:cs="Arial"/>
          <w:color w:val="222222"/>
          <w:szCs w:val="24"/>
          <w:shd w:val="clear" w:color="auto" w:fill="FFFFFF"/>
        </w:rPr>
        <w:t>, </w:t>
      </w:r>
      <w:r>
        <w:rPr>
          <w:rFonts w:eastAsia="SimSun" w:cs="Arial"/>
          <w:i/>
          <w:iCs/>
          <w:color w:val="222222"/>
          <w:szCs w:val="24"/>
          <w:shd w:val="clear" w:color="auto" w:fill="FFFFFF"/>
        </w:rPr>
        <w:t>7</w:t>
      </w:r>
      <w:r>
        <w:rPr>
          <w:rFonts w:eastAsia="SimSun" w:cs="Arial"/>
          <w:color w:val="222222"/>
          <w:szCs w:val="24"/>
          <w:shd w:val="clear" w:color="auto" w:fill="FFFFFF"/>
        </w:rPr>
        <w:t>(10), pp.883-892.</w:t>
      </w:r>
      <w:r>
        <w:rPr>
          <w:rFonts w:eastAsia="SimSun" w:cs="Arial"/>
          <w:color w:val="222222"/>
          <w:szCs w:val="24"/>
          <w:shd w:val="clear" w:color="auto" w:fill="FFFFFF"/>
          <w:lang w:val="en-IN"/>
        </w:rPr>
        <w:t xml:space="preserve"> </w:t>
      </w:r>
      <w:hyperlink r:id="rId57" w:history="1">
        <w:r>
          <w:rPr>
            <w:rStyle w:val="Hyperlink"/>
            <w:rFonts w:eastAsia="SimSun" w:cs="Arial"/>
            <w:szCs w:val="24"/>
            <w:shd w:val="clear" w:color="auto" w:fill="FFFFFF"/>
            <w:lang w:val="en-IN"/>
          </w:rPr>
          <w:t>https://www.thelancet.com/journals/lanpsy/article/PIIS2215-0366(20)30308-4/abstract</w:t>
        </w:r>
      </w:hyperlink>
      <w:r>
        <w:rPr>
          <w:rFonts w:eastAsia="SimSun" w:cs="Arial"/>
          <w:color w:val="222222"/>
          <w:szCs w:val="24"/>
          <w:shd w:val="clear" w:color="auto" w:fill="FFFFFF"/>
          <w:lang w:val="en-IN"/>
        </w:rPr>
        <w:t xml:space="preserve"> </w:t>
      </w:r>
    </w:p>
    <w:p w14:paraId="57B135F0" w14:textId="77777777" w:rsidR="004A5CD4" w:rsidRDefault="002244FC">
      <w:pPr>
        <w:spacing w:before="120" w:after="120"/>
        <w:rPr>
          <w:rFonts w:cs="Arial"/>
          <w:szCs w:val="24"/>
        </w:rPr>
      </w:pPr>
      <w:r>
        <w:rPr>
          <w:rFonts w:cs="Arial"/>
          <w:szCs w:val="24"/>
        </w:rPr>
        <w:t>Resnik, D. B. (2024). Biosafety, biosecurity, and bioethics: DB Resnik. </w:t>
      </w:r>
      <w:r>
        <w:rPr>
          <w:rFonts w:cs="Arial"/>
          <w:i/>
          <w:iCs/>
          <w:szCs w:val="24"/>
        </w:rPr>
        <w:t>Monash Bioethics Review</w:t>
      </w:r>
      <w:r>
        <w:rPr>
          <w:rFonts w:cs="Arial"/>
          <w:szCs w:val="24"/>
        </w:rPr>
        <w:t>, </w:t>
      </w:r>
      <w:r>
        <w:rPr>
          <w:rFonts w:cs="Arial"/>
          <w:i/>
          <w:iCs/>
          <w:szCs w:val="24"/>
        </w:rPr>
        <w:t>42</w:t>
      </w:r>
      <w:r>
        <w:rPr>
          <w:rFonts w:cs="Arial"/>
          <w:szCs w:val="24"/>
        </w:rPr>
        <w:t xml:space="preserve">(1), 137-167. </w:t>
      </w:r>
      <w:hyperlink r:id="rId58" w:history="1">
        <w:r>
          <w:rPr>
            <w:rStyle w:val="Hyperlink"/>
            <w:rFonts w:cs="Arial"/>
            <w:szCs w:val="24"/>
          </w:rPr>
          <w:t>https://link.springer.com/content/pdf/10.1007/s40592-024-00204-3.pdf</w:t>
        </w:r>
      </w:hyperlink>
    </w:p>
    <w:p w14:paraId="446F200A"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Robinson, L.R.,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Differences in health care, family, and community factors associated with mental, behavioral, and developmental disorders among children aged 2–8 years in rural and urban areas—United States, 2011–2012. </w:t>
      </w:r>
      <w:r>
        <w:rPr>
          <w:rFonts w:eastAsia="SimSun" w:cs="Arial"/>
          <w:i/>
          <w:iCs/>
          <w:color w:val="222222"/>
          <w:szCs w:val="24"/>
          <w:shd w:val="clear" w:color="auto" w:fill="FFFFFF"/>
        </w:rPr>
        <w:t>MMWR. Surveillance Summaries</w:t>
      </w:r>
      <w:r>
        <w:rPr>
          <w:rFonts w:eastAsia="SimSun" w:cs="Arial"/>
          <w:color w:val="222222"/>
          <w:szCs w:val="24"/>
          <w:shd w:val="clear" w:color="auto" w:fill="FFFFFF"/>
        </w:rPr>
        <w:t>, </w:t>
      </w:r>
      <w:r>
        <w:rPr>
          <w:rFonts w:eastAsia="SimSun" w:cs="Arial"/>
          <w:i/>
          <w:iCs/>
          <w:color w:val="222222"/>
          <w:szCs w:val="24"/>
          <w:shd w:val="clear" w:color="auto" w:fill="FFFFFF"/>
        </w:rPr>
        <w:t>66</w:t>
      </w:r>
      <w:r>
        <w:rPr>
          <w:rFonts w:eastAsia="SimSun" w:cs="Arial"/>
          <w:color w:val="222222"/>
          <w:szCs w:val="24"/>
          <w:shd w:val="clear" w:color="auto" w:fill="FFFFFF"/>
        </w:rPr>
        <w:t>.</w:t>
      </w:r>
      <w:r>
        <w:rPr>
          <w:rFonts w:eastAsia="SimSun" w:cs="Arial"/>
          <w:color w:val="222222"/>
          <w:szCs w:val="24"/>
          <w:shd w:val="clear" w:color="auto" w:fill="FFFFFF"/>
          <w:lang w:val="en-IN"/>
        </w:rPr>
        <w:t xml:space="preserve"> </w:t>
      </w:r>
      <w:hyperlink r:id="rId59" w:history="1">
        <w:r>
          <w:rPr>
            <w:rStyle w:val="Hyperlink"/>
            <w:rFonts w:eastAsia="SimSun" w:cs="Arial"/>
            <w:szCs w:val="24"/>
            <w:shd w:val="clear" w:color="auto" w:fill="FFFFFF"/>
            <w:lang w:val="en-IN"/>
          </w:rPr>
          <w:t>https://www.cdc.gov/mmwr/volumes/66/ss/ss6608a1.htm?utm</w:t>
        </w:r>
      </w:hyperlink>
      <w:r>
        <w:rPr>
          <w:rFonts w:eastAsia="SimSun" w:cs="Arial"/>
          <w:color w:val="222222"/>
          <w:szCs w:val="24"/>
          <w:shd w:val="clear" w:color="auto" w:fill="FFFFFF"/>
          <w:lang w:val="en-IN"/>
        </w:rPr>
        <w:t xml:space="preserve"> </w:t>
      </w:r>
    </w:p>
    <w:p w14:paraId="762CF007"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Robinson, L.R.,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Differences in health care, family, and community factors associated with mental, behavioral, and developmental disorders among children aged 2–8 years in rural and urban areas—United States, 2011–2012. </w:t>
      </w:r>
      <w:r>
        <w:rPr>
          <w:rFonts w:eastAsia="SimSun" w:cs="Arial"/>
          <w:i/>
          <w:iCs/>
          <w:color w:val="222222"/>
          <w:szCs w:val="24"/>
          <w:shd w:val="clear" w:color="auto" w:fill="FFFFFF"/>
        </w:rPr>
        <w:t>MMWR. Surveillance Summaries</w:t>
      </w:r>
      <w:r>
        <w:rPr>
          <w:rFonts w:eastAsia="SimSun" w:cs="Arial"/>
          <w:color w:val="222222"/>
          <w:szCs w:val="24"/>
          <w:shd w:val="clear" w:color="auto" w:fill="FFFFFF"/>
        </w:rPr>
        <w:t>, </w:t>
      </w:r>
      <w:r>
        <w:rPr>
          <w:rFonts w:eastAsia="SimSun" w:cs="Arial"/>
          <w:i/>
          <w:iCs/>
          <w:color w:val="222222"/>
          <w:szCs w:val="24"/>
          <w:shd w:val="clear" w:color="auto" w:fill="FFFFFF"/>
        </w:rPr>
        <w:t>66</w:t>
      </w:r>
      <w:r>
        <w:rPr>
          <w:rFonts w:eastAsia="SimSun" w:cs="Arial"/>
          <w:color w:val="222222"/>
          <w:szCs w:val="24"/>
          <w:shd w:val="clear" w:color="auto" w:fill="FFFFFF"/>
        </w:rPr>
        <w:t>.</w:t>
      </w:r>
      <w:r>
        <w:rPr>
          <w:rFonts w:eastAsia="SimSun" w:cs="Arial"/>
          <w:color w:val="222222"/>
          <w:szCs w:val="24"/>
          <w:shd w:val="clear" w:color="auto" w:fill="FFFFFF"/>
          <w:lang w:val="en-IN"/>
        </w:rPr>
        <w:t xml:space="preserve"> </w:t>
      </w:r>
      <w:hyperlink r:id="rId60" w:history="1">
        <w:r>
          <w:rPr>
            <w:rStyle w:val="Hyperlink"/>
            <w:rFonts w:eastAsia="SimSun" w:cs="Arial"/>
            <w:szCs w:val="24"/>
            <w:shd w:val="clear" w:color="auto" w:fill="FFFFFF"/>
            <w:lang w:val="en-IN"/>
          </w:rPr>
          <w:t>https://www.cdc.gov/mmwr/volumes/66/ss/ss6608a1.htm?utm</w:t>
        </w:r>
      </w:hyperlink>
      <w:r>
        <w:rPr>
          <w:rFonts w:eastAsia="SimSun" w:cs="Arial"/>
          <w:color w:val="222222"/>
          <w:szCs w:val="24"/>
          <w:shd w:val="clear" w:color="auto" w:fill="FFFFFF"/>
          <w:lang w:val="en-IN"/>
        </w:rPr>
        <w:t xml:space="preserve"> </w:t>
      </w:r>
    </w:p>
    <w:p w14:paraId="350138ED" w14:textId="77777777" w:rsidR="004A5CD4" w:rsidRDefault="002244FC">
      <w:pPr>
        <w:spacing w:before="120" w:after="120"/>
        <w:rPr>
          <w:rFonts w:cs="Arial"/>
          <w:szCs w:val="24"/>
        </w:rPr>
      </w:pPr>
      <w:r>
        <w:rPr>
          <w:rFonts w:cs="Arial"/>
          <w:szCs w:val="24"/>
        </w:rPr>
        <w:t>Scotti, K. L., Young, S., Gainey, M. A., and Lan, H. (2025). Artificial intelligence and automation in evidence synthesis: an investigation of methods employed in Cochrane, Campbell Collaboration, and Environmental Evidence Reviews. </w:t>
      </w:r>
      <w:r>
        <w:rPr>
          <w:rFonts w:cs="Arial"/>
          <w:i/>
          <w:iCs/>
          <w:szCs w:val="24"/>
        </w:rPr>
        <w:t>Cochrane Evidence Synthesis and Methods</w:t>
      </w:r>
      <w:r>
        <w:rPr>
          <w:rFonts w:cs="Arial"/>
          <w:szCs w:val="24"/>
        </w:rPr>
        <w:t>, </w:t>
      </w:r>
      <w:r>
        <w:rPr>
          <w:rFonts w:cs="Arial"/>
          <w:i/>
          <w:iCs/>
          <w:szCs w:val="24"/>
        </w:rPr>
        <w:t>3</w:t>
      </w:r>
      <w:r>
        <w:rPr>
          <w:rFonts w:cs="Arial"/>
          <w:szCs w:val="24"/>
        </w:rPr>
        <w:t xml:space="preserve">(5), e70046. </w:t>
      </w:r>
      <w:hyperlink r:id="rId61" w:history="1">
        <w:r>
          <w:rPr>
            <w:rStyle w:val="Hyperlink"/>
            <w:rFonts w:cs="Arial"/>
            <w:szCs w:val="24"/>
          </w:rPr>
          <w:t>https://onlinelibrary.wiley.com/doi/pdf/10.1002/cesm.70046</w:t>
        </w:r>
      </w:hyperlink>
    </w:p>
    <w:p w14:paraId="0AF1A3A8" w14:textId="77777777" w:rsidR="004A5CD4" w:rsidRDefault="002244FC">
      <w:pPr>
        <w:pStyle w:val="ListParagraph"/>
        <w:spacing w:before="120" w:after="120" w:line="360" w:lineRule="auto"/>
        <w:ind w:left="0" w:firstLine="0"/>
        <w:rPr>
          <w:rFonts w:ascii="Arial" w:hAnsi="Arial" w:cs="Arial"/>
          <w:sz w:val="24"/>
          <w:szCs w:val="24"/>
        </w:rPr>
      </w:pPr>
      <w:r>
        <w:rPr>
          <w:rFonts w:ascii="Arial" w:hAnsi="Arial" w:cs="Arial"/>
          <w:sz w:val="24"/>
          <w:szCs w:val="24"/>
        </w:rPr>
        <w:t>Simela, C., Akanbi‐Akinlolu, T., Okundi, M., Abdalla, H., McAdams, T.A., Harris, A., Augustine, A., Le, H., Abdinasir, K., Ayorech, Z. and Ahmadzadeh, Y.I. 2024. Intergenerational consequences of racism in the United Kingdom: a qualitative investigation into parents' exposure to racism and offspring mental health and well‐being. </w:t>
      </w:r>
      <w:r>
        <w:rPr>
          <w:rFonts w:ascii="Arial" w:hAnsi="Arial" w:cs="Arial"/>
          <w:i/>
          <w:iCs/>
          <w:sz w:val="24"/>
          <w:szCs w:val="24"/>
        </w:rPr>
        <w:t>Child and Adolescent Mental Health</w:t>
      </w:r>
      <w:r>
        <w:rPr>
          <w:rFonts w:ascii="Arial" w:hAnsi="Arial" w:cs="Arial"/>
          <w:sz w:val="24"/>
          <w:szCs w:val="24"/>
        </w:rPr>
        <w:t>, </w:t>
      </w:r>
      <w:r>
        <w:rPr>
          <w:rFonts w:ascii="Arial" w:hAnsi="Arial" w:cs="Arial"/>
          <w:i/>
          <w:iCs/>
          <w:sz w:val="24"/>
          <w:szCs w:val="24"/>
        </w:rPr>
        <w:t>29</w:t>
      </w:r>
      <w:r>
        <w:rPr>
          <w:rFonts w:ascii="Arial" w:hAnsi="Arial" w:cs="Arial"/>
          <w:sz w:val="24"/>
          <w:szCs w:val="24"/>
        </w:rPr>
        <w:t xml:space="preserve">(2), pp.181-191. </w:t>
      </w:r>
      <w:hyperlink r:id="rId62" w:history="1"/>
    </w:p>
    <w:p w14:paraId="73202969" w14:textId="77777777" w:rsidR="004A5CD4" w:rsidRDefault="002244FC">
      <w:pPr>
        <w:rPr>
          <w:rFonts w:cs="Arial"/>
          <w:szCs w:val="24"/>
          <w:lang w:val="en-IN"/>
        </w:rPr>
      </w:pPr>
      <w:r>
        <w:rPr>
          <w:rFonts w:cs="Arial"/>
          <w:szCs w:val="24"/>
        </w:rPr>
        <w:t>Stepanous, J., Irizar, P., Mills-Webb, K., Kapadia, D., Cheng, Q., Marquez, J. and Humphrey, N., 2025. Ethnic inequalities in adolescent mental wellbeing: An interaction analysis of social identity markers, risk and protective factors. </w:t>
      </w:r>
      <w:r>
        <w:rPr>
          <w:rFonts w:cs="Arial"/>
          <w:i/>
          <w:iCs/>
          <w:szCs w:val="24"/>
        </w:rPr>
        <w:t>SSM-Mental Health</w:t>
      </w:r>
      <w:r>
        <w:rPr>
          <w:rFonts w:cs="Arial"/>
          <w:szCs w:val="24"/>
        </w:rPr>
        <w:t xml:space="preserve">, p.100535. </w:t>
      </w:r>
      <w:hyperlink r:id="rId63" w:history="1">
        <w:r>
          <w:rPr>
            <w:rStyle w:val="Hyperlink"/>
            <w:rFonts w:cs="Arial"/>
            <w:szCs w:val="24"/>
          </w:rPr>
          <w:t>https://www.sciencedirect.com/science/article/pii/S2666560325001471</w:t>
        </w:r>
      </w:hyperlink>
      <w:r>
        <w:rPr>
          <w:rFonts w:cs="Arial"/>
          <w:szCs w:val="24"/>
        </w:rPr>
        <w:t xml:space="preserve"> </w:t>
      </w:r>
    </w:p>
    <w:p w14:paraId="33E1A8FE" w14:textId="77777777" w:rsidR="004A5CD4" w:rsidRDefault="002244FC">
      <w:pPr>
        <w:spacing w:before="120" w:after="120"/>
        <w:rPr>
          <w:rFonts w:cs="Arial"/>
          <w:szCs w:val="24"/>
        </w:rPr>
      </w:pPr>
      <w:r>
        <w:rPr>
          <w:rFonts w:cs="Arial"/>
          <w:szCs w:val="24"/>
        </w:rPr>
        <w:t xml:space="preserve">Stevens, A.J., Boukari, Y., English, S., Kadir, A., Kumar, B.N. and Devakumar, D., 2024. Discriminatory, racist and xenophobic policies and practice against child refugees, asylum seekers and undocumented migrants in European health systems. </w:t>
      </w:r>
      <w:r>
        <w:rPr>
          <w:rFonts w:cs="Arial"/>
          <w:i/>
          <w:iCs/>
          <w:szCs w:val="24"/>
        </w:rPr>
        <w:t>The Lancet Regional Health–Europe</w:t>
      </w:r>
      <w:r>
        <w:rPr>
          <w:rFonts w:cs="Arial"/>
          <w:szCs w:val="24"/>
        </w:rPr>
        <w:t xml:space="preserve">, </w:t>
      </w:r>
      <w:r>
        <w:rPr>
          <w:rFonts w:cs="Arial"/>
          <w:i/>
          <w:iCs/>
          <w:szCs w:val="24"/>
        </w:rPr>
        <w:t>41</w:t>
      </w:r>
      <w:r>
        <w:rPr>
          <w:rFonts w:cs="Arial"/>
          <w:szCs w:val="24"/>
        </w:rPr>
        <w:t xml:space="preserve">. </w:t>
      </w:r>
    </w:p>
    <w:p w14:paraId="731CD7E3" w14:textId="77777777" w:rsidR="004A5CD4" w:rsidRDefault="002244FC">
      <w:pPr>
        <w:rPr>
          <w:rFonts w:cs="Arial"/>
          <w:szCs w:val="24"/>
        </w:rPr>
      </w:pPr>
      <w:r>
        <w:rPr>
          <w:rFonts w:cs="Arial"/>
          <w:szCs w:val="24"/>
        </w:rPr>
        <w:t>Stoll, N., Kayn, S., Lempp, H. and Hatch, S., 2025. Impact of racial discrimination in education and other adverse childhood experiences on black students’ mental health and wellbeing: an interpretative phenomenological analysis study. </w:t>
      </w:r>
      <w:r>
        <w:rPr>
          <w:rFonts w:cs="Arial"/>
          <w:i/>
          <w:iCs/>
          <w:szCs w:val="24"/>
        </w:rPr>
        <w:t>International journal of qualitative studies on health and well-being</w:t>
      </w:r>
      <w:r>
        <w:rPr>
          <w:rFonts w:cs="Arial"/>
          <w:szCs w:val="24"/>
        </w:rPr>
        <w:t>, </w:t>
      </w:r>
      <w:r>
        <w:rPr>
          <w:rFonts w:cs="Arial"/>
          <w:i/>
          <w:iCs/>
          <w:szCs w:val="24"/>
        </w:rPr>
        <w:t>20</w:t>
      </w:r>
      <w:r>
        <w:rPr>
          <w:rFonts w:cs="Arial"/>
          <w:szCs w:val="24"/>
        </w:rPr>
        <w:t xml:space="preserve">(1), p.2507754. </w:t>
      </w:r>
      <w:hyperlink r:id="rId64" w:history="1">
        <w:r>
          <w:rPr>
            <w:rStyle w:val="Hyperlink"/>
            <w:rFonts w:cs="Arial"/>
            <w:szCs w:val="24"/>
          </w:rPr>
          <w:t>https://www.tandfonline.com/doi/pdf/10.1080/17482631.2025.2507754</w:t>
        </w:r>
      </w:hyperlink>
      <w:r>
        <w:rPr>
          <w:rFonts w:cs="Arial"/>
          <w:szCs w:val="24"/>
        </w:rPr>
        <w:t xml:space="preserve"> </w:t>
      </w:r>
    </w:p>
    <w:p w14:paraId="34930179" w14:textId="77777777" w:rsidR="004A5CD4" w:rsidRDefault="002244FC">
      <w:pPr>
        <w:spacing w:before="120" w:after="120"/>
        <w:rPr>
          <w:rFonts w:cs="Arial"/>
          <w:szCs w:val="24"/>
        </w:rPr>
      </w:pPr>
      <w:r>
        <w:rPr>
          <w:rFonts w:cs="Arial"/>
          <w:szCs w:val="24"/>
        </w:rPr>
        <w:t>Trape, C. A., Sivalli Campos, C. M., de Freitas Oliveira, C., Tavares da Silva, J. G. S., Uchimura, L. Y. T., Figueiro, M. F., and Yonekura, T. (2025). Scoping review of evidence synthesis: Concepts, types and methods. </w:t>
      </w:r>
      <w:r>
        <w:rPr>
          <w:rFonts w:cs="Arial"/>
          <w:i/>
          <w:iCs/>
          <w:szCs w:val="24"/>
        </w:rPr>
        <w:t>PLoS One</w:t>
      </w:r>
      <w:r>
        <w:rPr>
          <w:rFonts w:cs="Arial"/>
          <w:szCs w:val="24"/>
        </w:rPr>
        <w:t>, </w:t>
      </w:r>
      <w:r>
        <w:rPr>
          <w:rFonts w:cs="Arial"/>
          <w:i/>
          <w:iCs/>
          <w:szCs w:val="24"/>
        </w:rPr>
        <w:t>20</w:t>
      </w:r>
      <w:r>
        <w:rPr>
          <w:rFonts w:cs="Arial"/>
          <w:szCs w:val="24"/>
        </w:rPr>
        <w:t xml:space="preserve">(5), e0323555. </w:t>
      </w:r>
      <w:hyperlink r:id="rId65" w:history="1">
        <w:r>
          <w:rPr>
            <w:rStyle w:val="Hyperlink"/>
            <w:rFonts w:cs="Arial"/>
            <w:szCs w:val="24"/>
          </w:rPr>
          <w:t>https://journals.plos.org/plosone/article/file?id=10.1371/journal.pone.0323555&amp;type=printable</w:t>
        </w:r>
      </w:hyperlink>
    </w:p>
    <w:p w14:paraId="06AC48EA" w14:textId="77777777" w:rsidR="004A5CD4" w:rsidRDefault="002244FC">
      <w:pPr>
        <w:spacing w:before="120" w:after="120"/>
        <w:rPr>
          <w:rFonts w:cs="Arial"/>
          <w:szCs w:val="24"/>
        </w:rPr>
      </w:pPr>
      <w:r>
        <w:rPr>
          <w:rFonts w:cs="Arial"/>
          <w:szCs w:val="24"/>
        </w:rPr>
        <w:t>Tricco, A. C., Khalil, H., Holly, C., Feyissa, G., Godfrey, C., Evans, C. and Munn, Z. (2022). Rapid reviews and the methodological rigor of evidence synthesis: a JBI position statement. </w:t>
      </w:r>
      <w:r>
        <w:rPr>
          <w:rFonts w:cs="Arial"/>
          <w:i/>
          <w:iCs/>
          <w:szCs w:val="24"/>
        </w:rPr>
        <w:t>JBI evidence synthesis</w:t>
      </w:r>
      <w:r>
        <w:rPr>
          <w:rFonts w:cs="Arial"/>
          <w:szCs w:val="24"/>
        </w:rPr>
        <w:t>, </w:t>
      </w:r>
      <w:r>
        <w:rPr>
          <w:rFonts w:cs="Arial"/>
          <w:i/>
          <w:iCs/>
          <w:szCs w:val="24"/>
        </w:rPr>
        <w:t>20</w:t>
      </w:r>
      <w:r>
        <w:rPr>
          <w:rFonts w:cs="Arial"/>
          <w:szCs w:val="24"/>
        </w:rPr>
        <w:t xml:space="preserve">(4), 944-949. </w:t>
      </w:r>
      <w:hyperlink r:id="rId66" w:history="1">
        <w:r>
          <w:rPr>
            <w:rStyle w:val="Hyperlink"/>
            <w:rFonts w:cs="Arial"/>
            <w:szCs w:val="24"/>
          </w:rPr>
          <w:t>https://nottingham-repository.worktribe.com/OutputFile/8307565</w:t>
        </w:r>
      </w:hyperlink>
    </w:p>
    <w:p w14:paraId="1A75F733" w14:textId="77777777" w:rsidR="004A5CD4" w:rsidRDefault="002244FC">
      <w:pPr>
        <w:spacing w:before="120" w:after="120"/>
        <w:rPr>
          <w:rFonts w:cs="Arial"/>
          <w:szCs w:val="24"/>
          <w:lang w:val="en-IN"/>
        </w:rPr>
      </w:pPr>
      <w:r>
        <w:rPr>
          <w:rFonts w:eastAsia="SimSun" w:cs="Arial"/>
          <w:color w:val="222222"/>
          <w:szCs w:val="24"/>
          <w:shd w:val="clear" w:color="auto" w:fill="FFFFFF"/>
        </w:rPr>
        <w:t xml:space="preserve">Vargas, E.A., Scherer, L.A., Fiske, S.T., Barabino, G.A. and National Academies of Sciences, Engineering, and Medicine, </w:t>
      </w:r>
      <w:r>
        <w:rPr>
          <w:rFonts w:eastAsia="SimSun" w:cs="Arial"/>
          <w:color w:val="222222"/>
          <w:szCs w:val="24"/>
          <w:shd w:val="clear" w:color="auto" w:fill="FFFFFF"/>
          <w:lang w:val="en-IN"/>
        </w:rPr>
        <w:t>(</w:t>
      </w:r>
      <w:r>
        <w:rPr>
          <w:rFonts w:eastAsia="SimSun" w:cs="Arial"/>
          <w:color w:val="222222"/>
          <w:szCs w:val="24"/>
          <w:shd w:val="clear" w:color="auto" w:fill="FFFFFF"/>
        </w:rPr>
        <w:t>2023</w:t>
      </w:r>
      <w:r>
        <w:rPr>
          <w:rFonts w:eastAsia="SimSun" w:cs="Arial"/>
          <w:color w:val="222222"/>
          <w:szCs w:val="24"/>
          <w:shd w:val="clear" w:color="auto" w:fill="FFFFFF"/>
          <w:lang w:val="en-IN"/>
        </w:rPr>
        <w:t>)</w:t>
      </w:r>
      <w:r>
        <w:rPr>
          <w:rFonts w:eastAsia="SimSun" w:cs="Arial"/>
          <w:color w:val="222222"/>
          <w:szCs w:val="24"/>
          <w:shd w:val="clear" w:color="auto" w:fill="FFFFFF"/>
        </w:rPr>
        <w:t>. The historical and contemporary context for structural, systemic, and institutional racism in the United States. In </w:t>
      </w:r>
      <w:r>
        <w:rPr>
          <w:rFonts w:eastAsia="SimSun" w:cs="Arial"/>
          <w:i/>
          <w:iCs/>
          <w:color w:val="222222"/>
          <w:szCs w:val="24"/>
          <w:shd w:val="clear" w:color="auto" w:fill="FFFFFF"/>
        </w:rPr>
        <w:t>Advancing antiracism, diversity, equity, and inclusion in STEMM organizations: Beyond broadening participation</w:t>
      </w:r>
      <w:r>
        <w:rPr>
          <w:rFonts w:eastAsia="SimSun" w:cs="Arial"/>
          <w:color w:val="222222"/>
          <w:szCs w:val="24"/>
          <w:shd w:val="clear" w:color="auto" w:fill="FFFFFF"/>
        </w:rPr>
        <w:t>. National Academies Press (US)</w:t>
      </w:r>
      <w:r>
        <w:rPr>
          <w:rFonts w:cs="Arial"/>
          <w:szCs w:val="24"/>
        </w:rPr>
        <w:t xml:space="preserve">. </w:t>
      </w:r>
      <w:r>
        <w:rPr>
          <w:rFonts w:cs="Arial"/>
          <w:szCs w:val="24"/>
          <w:lang w:val="en-IN"/>
        </w:rPr>
        <w:t xml:space="preserve"> </w:t>
      </w:r>
      <w:hyperlink r:id="rId67" w:history="1">
        <w:r>
          <w:rPr>
            <w:rStyle w:val="Hyperlink"/>
            <w:rFonts w:cs="Arial"/>
            <w:szCs w:val="24"/>
            <w:lang w:val="en-IN"/>
          </w:rPr>
          <w:t>https://www.ncbi.nlm.nih.gov/books/NBK593028/</w:t>
        </w:r>
      </w:hyperlink>
      <w:r>
        <w:rPr>
          <w:rFonts w:cs="Arial"/>
          <w:szCs w:val="24"/>
          <w:lang w:val="en-IN"/>
        </w:rPr>
        <w:t xml:space="preserve"> </w:t>
      </w:r>
    </w:p>
    <w:p w14:paraId="3A99303A" w14:textId="77777777" w:rsidR="004A5CD4" w:rsidRDefault="002244FC">
      <w:pPr>
        <w:spacing w:before="120" w:after="120"/>
        <w:rPr>
          <w:rFonts w:cs="Arial"/>
          <w:szCs w:val="24"/>
          <w:lang w:val="en-IN"/>
        </w:rPr>
      </w:pPr>
      <w:r>
        <w:rPr>
          <w:rFonts w:eastAsia="SimSun" w:cs="Arial"/>
          <w:color w:val="222222"/>
          <w:szCs w:val="24"/>
          <w:shd w:val="clear" w:color="auto" w:fill="FFFFFF"/>
        </w:rPr>
        <w:t xml:space="preserve">Vargas, E.A., Scherer, L.A., Fiske, S.T., Barabino, G.A. and National Academies of Sciences, Engineering, and Medicine, </w:t>
      </w:r>
      <w:r>
        <w:rPr>
          <w:rFonts w:eastAsia="SimSun" w:cs="Arial"/>
          <w:color w:val="222222"/>
          <w:szCs w:val="24"/>
          <w:shd w:val="clear" w:color="auto" w:fill="FFFFFF"/>
          <w:lang w:val="en-IN"/>
        </w:rPr>
        <w:t>(</w:t>
      </w:r>
      <w:r>
        <w:rPr>
          <w:rFonts w:eastAsia="SimSun" w:cs="Arial"/>
          <w:color w:val="222222"/>
          <w:szCs w:val="24"/>
          <w:shd w:val="clear" w:color="auto" w:fill="FFFFFF"/>
        </w:rPr>
        <w:t>2023</w:t>
      </w:r>
      <w:r>
        <w:rPr>
          <w:rFonts w:eastAsia="SimSun" w:cs="Arial"/>
          <w:color w:val="222222"/>
          <w:szCs w:val="24"/>
          <w:shd w:val="clear" w:color="auto" w:fill="FFFFFF"/>
          <w:lang w:val="en-IN"/>
        </w:rPr>
        <w:t>)</w:t>
      </w:r>
      <w:r>
        <w:rPr>
          <w:rFonts w:eastAsia="SimSun" w:cs="Arial"/>
          <w:color w:val="222222"/>
          <w:szCs w:val="24"/>
          <w:shd w:val="clear" w:color="auto" w:fill="FFFFFF"/>
        </w:rPr>
        <w:t>. The historical and contemporary context for structural, systemic, and institutional racism in the United States. In </w:t>
      </w:r>
      <w:r>
        <w:rPr>
          <w:rFonts w:eastAsia="SimSun" w:cs="Arial"/>
          <w:i/>
          <w:iCs/>
          <w:color w:val="222222"/>
          <w:szCs w:val="24"/>
          <w:shd w:val="clear" w:color="auto" w:fill="FFFFFF"/>
        </w:rPr>
        <w:t>Advancing antiracism, diversity, equity, and inclusion in STEMM organizations: Beyond broadening participation</w:t>
      </w:r>
      <w:r>
        <w:rPr>
          <w:rFonts w:eastAsia="SimSun" w:cs="Arial"/>
          <w:color w:val="222222"/>
          <w:szCs w:val="24"/>
          <w:shd w:val="clear" w:color="auto" w:fill="FFFFFF"/>
        </w:rPr>
        <w:t>. National Academies Press (US).</w:t>
      </w:r>
      <w:r>
        <w:rPr>
          <w:rFonts w:eastAsia="SimSun" w:cs="Arial"/>
          <w:color w:val="222222"/>
          <w:szCs w:val="24"/>
          <w:shd w:val="clear" w:color="auto" w:fill="FFFFFF"/>
          <w:lang w:val="en-IN"/>
        </w:rPr>
        <w:t xml:space="preserve"> </w:t>
      </w:r>
      <w:hyperlink r:id="rId68" w:history="1">
        <w:r>
          <w:rPr>
            <w:rStyle w:val="Hyperlink"/>
            <w:rFonts w:cs="Arial"/>
            <w:szCs w:val="24"/>
            <w:lang w:val="en-IN"/>
          </w:rPr>
          <w:t>https://www.ncbi.nlm.nih.gov/books/NBK593028/</w:t>
        </w:r>
      </w:hyperlink>
      <w:r>
        <w:rPr>
          <w:rFonts w:cs="Arial"/>
          <w:szCs w:val="24"/>
          <w:lang w:val="en-IN"/>
        </w:rPr>
        <w:t xml:space="preserve">  </w:t>
      </w:r>
    </w:p>
    <w:p w14:paraId="21DBEC9A" w14:textId="77777777" w:rsidR="004A5CD4" w:rsidRDefault="002244FC">
      <w:pPr>
        <w:spacing w:before="120" w:after="120"/>
        <w:rPr>
          <w:rFonts w:cs="Arial"/>
          <w:szCs w:val="24"/>
        </w:rPr>
      </w:pPr>
      <w:r>
        <w:rPr>
          <w:rFonts w:cs="Arial"/>
          <w:szCs w:val="24"/>
        </w:rPr>
        <w:t>White, S. J., Barker, T. H., Merlin, T., Holland, G., Sanders, S., O’Mahony, A. and Munn, Z. (2025). Methods for developing diagnostic criteria for conditions without objective tests, biomarkers or reference standards: a scoping review. </w:t>
      </w:r>
      <w:r>
        <w:rPr>
          <w:rFonts w:cs="Arial"/>
          <w:i/>
          <w:iCs/>
          <w:szCs w:val="24"/>
        </w:rPr>
        <w:t>Journal of Clinical Epidemiology</w:t>
      </w:r>
      <w:r>
        <w:rPr>
          <w:rFonts w:cs="Arial"/>
          <w:szCs w:val="24"/>
        </w:rPr>
        <w:t xml:space="preserve">, 112052. </w:t>
      </w:r>
      <w:hyperlink r:id="rId69" w:history="1">
        <w:r>
          <w:rPr>
            <w:rStyle w:val="Hyperlink"/>
            <w:rFonts w:cs="Arial"/>
            <w:szCs w:val="24"/>
          </w:rPr>
          <w:t>https://www.sciencedirect.com/science/article/pii/S0895435625003853/pdf?md5=03952c27259a603f7fa9a11f46fbc824&amp;pid=1-s2.0-S0895435625003853-main.pdf</w:t>
        </w:r>
      </w:hyperlink>
    </w:p>
    <w:p w14:paraId="0D108705"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Wien, S., Miller, A.L. and Kramer, M.R., </w:t>
      </w:r>
      <w:r>
        <w:rPr>
          <w:rFonts w:eastAsia="SimSun" w:cs="Arial"/>
          <w:color w:val="222222"/>
          <w:szCs w:val="24"/>
          <w:shd w:val="clear" w:color="auto" w:fill="FFFFFF"/>
          <w:lang w:val="en-IN"/>
        </w:rPr>
        <w:t>(</w:t>
      </w:r>
      <w:r>
        <w:rPr>
          <w:rFonts w:eastAsia="SimSun" w:cs="Arial"/>
          <w:color w:val="222222"/>
          <w:szCs w:val="24"/>
          <w:shd w:val="clear" w:color="auto" w:fill="FFFFFF"/>
        </w:rPr>
        <w:t>2023</w:t>
      </w:r>
      <w:r>
        <w:rPr>
          <w:rFonts w:eastAsia="SimSun" w:cs="Arial"/>
          <w:color w:val="222222"/>
          <w:szCs w:val="24"/>
          <w:shd w:val="clear" w:color="auto" w:fill="FFFFFF"/>
          <w:lang w:val="en-IN"/>
        </w:rPr>
        <w:t>)</w:t>
      </w:r>
      <w:r>
        <w:rPr>
          <w:rFonts w:eastAsia="SimSun" w:cs="Arial"/>
          <w:color w:val="222222"/>
          <w:szCs w:val="24"/>
          <w:shd w:val="clear" w:color="auto" w:fill="FFFFFF"/>
        </w:rPr>
        <w:t>. Structural racism theory, measurement, and methods: a scoping review. </w:t>
      </w:r>
      <w:r>
        <w:rPr>
          <w:rFonts w:eastAsia="SimSun" w:cs="Arial"/>
          <w:i/>
          <w:iCs/>
          <w:color w:val="222222"/>
          <w:szCs w:val="24"/>
          <w:shd w:val="clear" w:color="auto" w:fill="FFFFFF"/>
        </w:rPr>
        <w:t>Frontiers in Public Health</w:t>
      </w:r>
      <w:r>
        <w:rPr>
          <w:rFonts w:eastAsia="SimSun" w:cs="Arial"/>
          <w:color w:val="222222"/>
          <w:szCs w:val="24"/>
          <w:shd w:val="clear" w:color="auto" w:fill="FFFFFF"/>
        </w:rPr>
        <w:t>, </w:t>
      </w:r>
      <w:r>
        <w:rPr>
          <w:rFonts w:eastAsia="SimSun" w:cs="Arial"/>
          <w:i/>
          <w:iCs/>
          <w:color w:val="222222"/>
          <w:szCs w:val="24"/>
          <w:shd w:val="clear" w:color="auto" w:fill="FFFFFF"/>
        </w:rPr>
        <w:t>11</w:t>
      </w:r>
      <w:r>
        <w:rPr>
          <w:rFonts w:eastAsia="SimSun" w:cs="Arial"/>
          <w:color w:val="222222"/>
          <w:szCs w:val="24"/>
          <w:shd w:val="clear" w:color="auto" w:fill="FFFFFF"/>
        </w:rPr>
        <w:t>, p.1069476.</w:t>
      </w:r>
      <w:r>
        <w:rPr>
          <w:rFonts w:eastAsia="SimSun" w:cs="Arial"/>
          <w:color w:val="222222"/>
          <w:szCs w:val="24"/>
          <w:shd w:val="clear" w:color="auto" w:fill="FFFFFF"/>
          <w:lang w:val="en-IN"/>
        </w:rPr>
        <w:t xml:space="preserve"> </w:t>
      </w:r>
      <w:hyperlink r:id="rId70" w:history="1">
        <w:r>
          <w:rPr>
            <w:rStyle w:val="Hyperlink"/>
            <w:rFonts w:eastAsia="SimSun" w:cs="Arial"/>
            <w:szCs w:val="24"/>
            <w:shd w:val="clear" w:color="auto" w:fill="FFFFFF"/>
            <w:lang w:val="en-IN"/>
          </w:rPr>
          <w:t>https://www.frontiersin.org/journals/public-health/articles/10.3389/fpubh.2023.1069476/full</w:t>
        </w:r>
      </w:hyperlink>
      <w:r>
        <w:rPr>
          <w:rFonts w:eastAsia="SimSun" w:cs="Arial"/>
          <w:color w:val="222222"/>
          <w:szCs w:val="24"/>
          <w:shd w:val="clear" w:color="auto" w:fill="FFFFFF"/>
          <w:lang w:val="en-IN"/>
        </w:rPr>
        <w:t xml:space="preserve"> </w:t>
      </w:r>
    </w:p>
    <w:p w14:paraId="4E1891B3" w14:textId="77777777" w:rsidR="004A5CD4" w:rsidRDefault="002244FC">
      <w:pPr>
        <w:spacing w:before="120" w:after="120"/>
        <w:rPr>
          <w:rFonts w:cs="Arial"/>
          <w:szCs w:val="24"/>
          <w:lang w:val="en-IN"/>
        </w:rPr>
      </w:pPr>
      <w:r>
        <w:rPr>
          <w:rFonts w:cs="Arial"/>
          <w:szCs w:val="24"/>
        </w:rPr>
        <w:t xml:space="preserve">Wien, S., Miller, A.L. and Kramer, M.R., 2023. Structural racism theory, measurement, and methods: a scoping review. </w:t>
      </w:r>
      <w:r>
        <w:rPr>
          <w:rFonts w:cs="Arial"/>
          <w:i/>
          <w:iCs/>
          <w:szCs w:val="24"/>
        </w:rPr>
        <w:t>Frontiers in Public Health</w:t>
      </w:r>
      <w:r>
        <w:rPr>
          <w:rFonts w:cs="Arial"/>
          <w:szCs w:val="24"/>
        </w:rPr>
        <w:t xml:space="preserve">, </w:t>
      </w:r>
      <w:r>
        <w:rPr>
          <w:rFonts w:cs="Arial"/>
          <w:i/>
          <w:iCs/>
          <w:szCs w:val="24"/>
        </w:rPr>
        <w:t>11</w:t>
      </w:r>
      <w:r>
        <w:rPr>
          <w:rFonts w:cs="Arial"/>
          <w:szCs w:val="24"/>
        </w:rPr>
        <w:t xml:space="preserve">, p.1069476. </w:t>
      </w:r>
      <w:hyperlink r:id="rId71" w:history="1">
        <w:r>
          <w:rPr>
            <w:rStyle w:val="Hyperlink"/>
            <w:rFonts w:cs="Arial"/>
            <w:szCs w:val="24"/>
          </w:rPr>
          <w:t>https://www.frontiersin.org/journals/public-health/articles/10.3389/fpubh.2023.1069476/full</w:t>
        </w:r>
      </w:hyperlink>
      <w:r>
        <w:rPr>
          <w:rFonts w:cs="Arial"/>
          <w:szCs w:val="24"/>
          <w:lang w:val="en-IN"/>
        </w:rPr>
        <w:t xml:space="preserve"> </w:t>
      </w:r>
    </w:p>
    <w:p w14:paraId="1F9A536D" w14:textId="77777777" w:rsidR="004A5CD4" w:rsidRDefault="002244FC">
      <w:pPr>
        <w:spacing w:before="120" w:after="120"/>
        <w:rPr>
          <w:rFonts w:cs="Arial"/>
          <w:szCs w:val="24"/>
        </w:rPr>
      </w:pPr>
      <w:r>
        <w:rPr>
          <w:rFonts w:eastAsia="SimSun" w:cs="Arial"/>
          <w:color w:val="222222"/>
          <w:szCs w:val="24"/>
          <w:shd w:val="clear" w:color="auto" w:fill="FFFFFF"/>
        </w:rPr>
        <w:t xml:space="preserve">Wilton, L.S., Sullivan, J., Albuja, A.F. and Perry, S.P., </w:t>
      </w:r>
      <w:r>
        <w:rPr>
          <w:rFonts w:eastAsia="SimSun" w:cs="Arial"/>
          <w:color w:val="222222"/>
          <w:szCs w:val="24"/>
          <w:shd w:val="clear" w:color="auto" w:fill="FFFFFF"/>
          <w:lang w:val="en-IN"/>
        </w:rPr>
        <w:t>(</w:t>
      </w:r>
      <w:r>
        <w:rPr>
          <w:rFonts w:eastAsia="SimSun" w:cs="Arial"/>
          <w:color w:val="222222"/>
          <w:szCs w:val="24"/>
          <w:shd w:val="clear" w:color="auto" w:fill="FFFFFF"/>
        </w:rPr>
        <w:t>2024</w:t>
      </w:r>
      <w:r>
        <w:rPr>
          <w:rFonts w:eastAsia="SimSun" w:cs="Arial"/>
          <w:color w:val="222222"/>
          <w:szCs w:val="24"/>
          <w:shd w:val="clear" w:color="auto" w:fill="FFFFFF"/>
          <w:lang w:val="en-IN"/>
        </w:rPr>
        <w:t>)</w:t>
      </w:r>
      <w:r>
        <w:rPr>
          <w:rFonts w:eastAsia="SimSun" w:cs="Arial"/>
          <w:color w:val="222222"/>
          <w:szCs w:val="24"/>
          <w:shd w:val="clear" w:color="auto" w:fill="FFFFFF"/>
        </w:rPr>
        <w:t>. Understanding the challenges and opportunities of talking to children about race and racism in child‐facing institutions. </w:t>
      </w:r>
      <w:r>
        <w:rPr>
          <w:rFonts w:eastAsia="SimSun" w:cs="Arial"/>
          <w:i/>
          <w:iCs/>
          <w:color w:val="222222"/>
          <w:szCs w:val="24"/>
          <w:shd w:val="clear" w:color="auto" w:fill="FFFFFF"/>
        </w:rPr>
        <w:t>Social Issues and Policy Review</w:t>
      </w:r>
      <w:r>
        <w:rPr>
          <w:rFonts w:eastAsia="SimSun" w:cs="Arial"/>
          <w:color w:val="222222"/>
          <w:szCs w:val="24"/>
          <w:shd w:val="clear" w:color="auto" w:fill="FFFFFF"/>
        </w:rPr>
        <w:t>, </w:t>
      </w:r>
      <w:r>
        <w:rPr>
          <w:rFonts w:eastAsia="SimSun" w:cs="Arial"/>
          <w:i/>
          <w:iCs/>
          <w:color w:val="222222"/>
          <w:szCs w:val="24"/>
          <w:shd w:val="clear" w:color="auto" w:fill="FFFFFF"/>
        </w:rPr>
        <w:t>18</w:t>
      </w:r>
      <w:r>
        <w:rPr>
          <w:rFonts w:eastAsia="SimSun" w:cs="Arial"/>
          <w:color w:val="222222"/>
          <w:szCs w:val="24"/>
          <w:shd w:val="clear" w:color="auto" w:fill="FFFFFF"/>
        </w:rPr>
        <w:t>(1), pp.89-124.</w:t>
      </w:r>
      <w:r>
        <w:rPr>
          <w:rFonts w:eastAsia="SimSun" w:cs="Arial"/>
          <w:color w:val="222222"/>
          <w:szCs w:val="24"/>
          <w:shd w:val="clear" w:color="auto" w:fill="FFFFFF"/>
          <w:lang w:val="en-IN"/>
        </w:rPr>
        <w:t xml:space="preserve"> </w:t>
      </w:r>
      <w:hyperlink r:id="rId72" w:history="1">
        <w:r>
          <w:rPr>
            <w:rStyle w:val="Hyperlink"/>
            <w:rFonts w:eastAsia="SimSun" w:cs="Arial"/>
            <w:szCs w:val="24"/>
            <w:shd w:val="clear" w:color="auto" w:fill="FFFFFF"/>
            <w:lang w:val="en-IN"/>
          </w:rPr>
          <w:t>https://spssi.onlinelibrary.wiley.com/doi/abs/10.1111/sipr.12098</w:t>
        </w:r>
      </w:hyperlink>
      <w:r>
        <w:rPr>
          <w:rFonts w:eastAsia="SimSun" w:cs="Arial"/>
          <w:color w:val="222222"/>
          <w:szCs w:val="24"/>
          <w:shd w:val="clear" w:color="auto" w:fill="FFFFFF"/>
          <w:lang w:val="en-IN"/>
        </w:rPr>
        <w:t xml:space="preserve"> </w:t>
      </w:r>
      <w:r>
        <w:rPr>
          <w:rFonts w:cs="Arial"/>
          <w:szCs w:val="24"/>
        </w:rPr>
        <w:t xml:space="preserve"> </w:t>
      </w:r>
    </w:p>
    <w:p w14:paraId="7E7F3670" w14:textId="77777777" w:rsidR="004A5CD4" w:rsidRDefault="002244FC">
      <w:pPr>
        <w:pStyle w:val="NormalWeb"/>
        <w:spacing w:before="120" w:beforeAutospacing="0" w:after="120" w:afterAutospacing="0" w:line="360" w:lineRule="auto"/>
        <w:rPr>
          <w:rFonts w:cs="Arial"/>
        </w:rPr>
      </w:pPr>
      <w:r>
        <w:rPr>
          <w:rFonts w:cs="Arial"/>
        </w:rPr>
        <w:t xml:space="preserve">World Health Organisation (2026). </w:t>
      </w:r>
      <w:r>
        <w:rPr>
          <w:rFonts w:cs="Arial"/>
          <w:i/>
          <w:iCs/>
        </w:rPr>
        <w:t>Mental Health of Adolescents</w:t>
      </w:r>
      <w:r>
        <w:rPr>
          <w:rFonts w:cs="Arial"/>
        </w:rPr>
        <w:t xml:space="preserve">. Available at: </w:t>
      </w:r>
      <w:hyperlink r:id="rId73" w:history="1">
        <w:r>
          <w:rPr>
            <w:rStyle w:val="Hyperlink"/>
            <w:rFonts w:cs="Arial"/>
          </w:rPr>
          <w:t>https://www.who.int/news-room/fact-sheets/detail/adolescent-mental-health</w:t>
        </w:r>
      </w:hyperlink>
      <w:r>
        <w:rPr>
          <w:rFonts w:cs="Arial"/>
        </w:rPr>
        <w:t xml:space="preserve"> [Accessed 31 July 2026].</w:t>
      </w:r>
    </w:p>
    <w:p w14:paraId="71586F94"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Yalın Sapmaz, Ş., Uzel Tanrıverdi, B., Öztürk, M., Gözaçanlar, Ö., Yörük Ülker, G. and Özkan, Y.,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Immigration-related mental health disorders in refugees 5–18 years old living in Turkey. </w:t>
      </w:r>
      <w:r>
        <w:rPr>
          <w:rFonts w:eastAsia="SimSun" w:cs="Arial"/>
          <w:i/>
          <w:iCs/>
          <w:color w:val="222222"/>
          <w:szCs w:val="24"/>
          <w:shd w:val="clear" w:color="auto" w:fill="FFFFFF"/>
        </w:rPr>
        <w:t>Neuropsychiatric disease and treatment</w:t>
      </w:r>
      <w:r>
        <w:rPr>
          <w:rFonts w:eastAsia="SimSun" w:cs="Arial"/>
          <w:color w:val="222222"/>
          <w:szCs w:val="24"/>
          <w:shd w:val="clear" w:color="auto" w:fill="FFFFFF"/>
        </w:rPr>
        <w:t>, pp.2813-2821.</w:t>
      </w:r>
      <w:r>
        <w:rPr>
          <w:rFonts w:eastAsia="SimSun" w:cs="Arial"/>
          <w:color w:val="222222"/>
          <w:szCs w:val="24"/>
          <w:shd w:val="clear" w:color="auto" w:fill="FFFFFF"/>
          <w:lang w:val="en-IN"/>
        </w:rPr>
        <w:t xml:space="preserve"> </w:t>
      </w:r>
      <w:hyperlink r:id="rId74" w:history="1">
        <w:r>
          <w:rPr>
            <w:rStyle w:val="Hyperlink"/>
            <w:rFonts w:eastAsia="SimSun" w:cs="Arial"/>
            <w:szCs w:val="24"/>
            <w:shd w:val="clear" w:color="auto" w:fill="FFFFFF"/>
            <w:lang w:val="en-IN"/>
          </w:rPr>
          <w:t>https://www.tandfonline.com/doi/abs/10.2147/NDT.S150592</w:t>
        </w:r>
      </w:hyperlink>
      <w:r>
        <w:rPr>
          <w:rFonts w:eastAsia="SimSun" w:cs="Arial"/>
          <w:color w:val="222222"/>
          <w:szCs w:val="24"/>
          <w:shd w:val="clear" w:color="auto" w:fill="FFFFFF"/>
          <w:lang w:val="en-IN"/>
        </w:rPr>
        <w:t xml:space="preserve"> </w:t>
      </w:r>
    </w:p>
    <w:p w14:paraId="68BD7B92"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Yalın Sapmaz, Ş., Uzel Tanrıverdi, B., Öztürk, M., Gözaçanlar, Ö., Yörük Ülker, G. and Özkan, Y., </w:t>
      </w:r>
      <w:r>
        <w:rPr>
          <w:rFonts w:eastAsia="SimSun" w:cs="Arial"/>
          <w:color w:val="222222"/>
          <w:szCs w:val="24"/>
          <w:shd w:val="clear" w:color="auto" w:fill="FFFFFF"/>
          <w:lang w:val="en-IN"/>
        </w:rPr>
        <w:t>(</w:t>
      </w:r>
      <w:r>
        <w:rPr>
          <w:rFonts w:eastAsia="SimSun" w:cs="Arial"/>
          <w:color w:val="222222"/>
          <w:szCs w:val="24"/>
          <w:shd w:val="clear" w:color="auto" w:fill="FFFFFF"/>
        </w:rPr>
        <w:t>2017</w:t>
      </w:r>
      <w:r>
        <w:rPr>
          <w:rFonts w:eastAsia="SimSun" w:cs="Arial"/>
          <w:color w:val="222222"/>
          <w:szCs w:val="24"/>
          <w:shd w:val="clear" w:color="auto" w:fill="FFFFFF"/>
          <w:lang w:val="en-IN"/>
        </w:rPr>
        <w:t>)</w:t>
      </w:r>
      <w:r>
        <w:rPr>
          <w:rFonts w:eastAsia="SimSun" w:cs="Arial"/>
          <w:color w:val="222222"/>
          <w:szCs w:val="24"/>
          <w:shd w:val="clear" w:color="auto" w:fill="FFFFFF"/>
        </w:rPr>
        <w:t>. Immigration-related mental health disorders in refugees 5–18 years old living in Turkey. </w:t>
      </w:r>
      <w:r>
        <w:rPr>
          <w:rFonts w:eastAsia="SimSun" w:cs="Arial"/>
          <w:i/>
          <w:iCs/>
          <w:color w:val="222222"/>
          <w:szCs w:val="24"/>
          <w:shd w:val="clear" w:color="auto" w:fill="FFFFFF"/>
        </w:rPr>
        <w:t>Neuropsychiatric disease and treatment</w:t>
      </w:r>
      <w:r>
        <w:rPr>
          <w:rFonts w:eastAsia="SimSun" w:cs="Arial"/>
          <w:color w:val="222222"/>
          <w:szCs w:val="24"/>
          <w:shd w:val="clear" w:color="auto" w:fill="FFFFFF"/>
        </w:rPr>
        <w:t>, pp.2813-2821.</w:t>
      </w:r>
      <w:r>
        <w:rPr>
          <w:rFonts w:eastAsia="SimSun" w:cs="Arial"/>
          <w:color w:val="222222"/>
          <w:szCs w:val="24"/>
          <w:shd w:val="clear" w:color="auto" w:fill="FFFFFF"/>
          <w:lang w:val="en-IN"/>
        </w:rPr>
        <w:t xml:space="preserve"> </w:t>
      </w:r>
      <w:hyperlink r:id="rId75" w:history="1">
        <w:r>
          <w:rPr>
            <w:rStyle w:val="Hyperlink"/>
            <w:rFonts w:eastAsia="SimSun" w:cs="Arial"/>
            <w:szCs w:val="24"/>
            <w:shd w:val="clear" w:color="auto" w:fill="FFFFFF"/>
            <w:lang w:val="en-IN"/>
          </w:rPr>
          <w:t>https://www.tandfonline.com/doi/abs/10.2147/NDT.S150592</w:t>
        </w:r>
      </w:hyperlink>
      <w:r>
        <w:rPr>
          <w:rFonts w:eastAsia="SimSun" w:cs="Arial"/>
          <w:color w:val="222222"/>
          <w:szCs w:val="24"/>
          <w:shd w:val="clear" w:color="auto" w:fill="FFFFFF"/>
          <w:lang w:val="en-IN"/>
        </w:rPr>
        <w:t xml:space="preserve"> </w:t>
      </w:r>
    </w:p>
    <w:p w14:paraId="483A8527"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Zhang, X. and Monnat, S.M., </w:t>
      </w:r>
      <w:r>
        <w:rPr>
          <w:rFonts w:eastAsia="SimSun" w:cs="Arial"/>
          <w:color w:val="222222"/>
          <w:szCs w:val="24"/>
          <w:shd w:val="clear" w:color="auto" w:fill="FFFFFF"/>
          <w:lang w:val="en-IN"/>
        </w:rPr>
        <w:t>(</w:t>
      </w:r>
      <w:r>
        <w:rPr>
          <w:rFonts w:eastAsia="SimSun" w:cs="Arial"/>
          <w:color w:val="222222"/>
          <w:szCs w:val="24"/>
          <w:shd w:val="clear" w:color="auto" w:fill="FFFFFF"/>
        </w:rPr>
        <w:t>2022</w:t>
      </w:r>
      <w:r>
        <w:rPr>
          <w:rFonts w:eastAsia="SimSun" w:cs="Arial"/>
          <w:color w:val="222222"/>
          <w:szCs w:val="24"/>
          <w:shd w:val="clear" w:color="auto" w:fill="FFFFFF"/>
          <w:lang w:val="en-IN"/>
        </w:rPr>
        <w:t>)</w:t>
      </w:r>
      <w:r>
        <w:rPr>
          <w:rFonts w:eastAsia="SimSun" w:cs="Arial"/>
          <w:color w:val="222222"/>
          <w:szCs w:val="24"/>
          <w:shd w:val="clear" w:color="auto" w:fill="FFFFFF"/>
        </w:rPr>
        <w:t>. Racial/ethnic differences in clusters of adverse childhood experiences and associations with adolescent mental health. </w:t>
      </w:r>
      <w:r>
        <w:rPr>
          <w:rFonts w:eastAsia="SimSun" w:cs="Arial"/>
          <w:i/>
          <w:iCs/>
          <w:color w:val="222222"/>
          <w:szCs w:val="24"/>
          <w:shd w:val="clear" w:color="auto" w:fill="FFFFFF"/>
        </w:rPr>
        <w:t>SSM-population health</w:t>
      </w:r>
      <w:r>
        <w:rPr>
          <w:rFonts w:eastAsia="SimSun" w:cs="Arial"/>
          <w:color w:val="222222"/>
          <w:szCs w:val="24"/>
          <w:shd w:val="clear" w:color="auto" w:fill="FFFFFF"/>
        </w:rPr>
        <w:t>, </w:t>
      </w:r>
      <w:r>
        <w:rPr>
          <w:rFonts w:eastAsia="SimSun" w:cs="Arial"/>
          <w:i/>
          <w:iCs/>
          <w:color w:val="222222"/>
          <w:szCs w:val="24"/>
          <w:shd w:val="clear" w:color="auto" w:fill="FFFFFF"/>
        </w:rPr>
        <w:t>17</w:t>
      </w:r>
      <w:r>
        <w:rPr>
          <w:rFonts w:eastAsia="SimSun" w:cs="Arial"/>
          <w:color w:val="222222"/>
          <w:szCs w:val="24"/>
          <w:shd w:val="clear" w:color="auto" w:fill="FFFFFF"/>
        </w:rPr>
        <w:t>, p.100997.</w:t>
      </w:r>
      <w:r>
        <w:rPr>
          <w:rFonts w:eastAsia="SimSun" w:cs="Arial"/>
          <w:color w:val="222222"/>
          <w:szCs w:val="24"/>
          <w:shd w:val="clear" w:color="auto" w:fill="FFFFFF"/>
          <w:lang w:val="en-IN"/>
        </w:rPr>
        <w:t xml:space="preserve"> </w:t>
      </w:r>
      <w:hyperlink r:id="rId76" w:history="1">
        <w:r>
          <w:rPr>
            <w:rStyle w:val="Hyperlink"/>
            <w:rFonts w:eastAsia="SimSun" w:cs="Arial"/>
            <w:szCs w:val="24"/>
            <w:shd w:val="clear" w:color="auto" w:fill="FFFFFF"/>
            <w:lang w:val="en-IN"/>
          </w:rPr>
          <w:t>https://www.sciencedirect.com/science/article/pii/S235282732100272X</w:t>
        </w:r>
      </w:hyperlink>
      <w:r>
        <w:rPr>
          <w:rFonts w:eastAsia="SimSun" w:cs="Arial"/>
          <w:color w:val="222222"/>
          <w:szCs w:val="24"/>
          <w:shd w:val="clear" w:color="auto" w:fill="FFFFFF"/>
          <w:lang w:val="en-IN"/>
        </w:rPr>
        <w:t xml:space="preserve"> </w:t>
      </w:r>
    </w:p>
    <w:p w14:paraId="0812FF57"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Zhang, X. and Monnat, S.M., </w:t>
      </w:r>
      <w:r>
        <w:rPr>
          <w:rFonts w:eastAsia="SimSun" w:cs="Arial"/>
          <w:color w:val="222222"/>
          <w:szCs w:val="24"/>
          <w:shd w:val="clear" w:color="auto" w:fill="FFFFFF"/>
          <w:lang w:val="en-IN"/>
        </w:rPr>
        <w:t>(</w:t>
      </w:r>
      <w:r>
        <w:rPr>
          <w:rFonts w:eastAsia="SimSun" w:cs="Arial"/>
          <w:color w:val="222222"/>
          <w:szCs w:val="24"/>
          <w:shd w:val="clear" w:color="auto" w:fill="FFFFFF"/>
        </w:rPr>
        <w:t>2022</w:t>
      </w:r>
      <w:r>
        <w:rPr>
          <w:rFonts w:eastAsia="SimSun" w:cs="Arial"/>
          <w:color w:val="222222"/>
          <w:szCs w:val="24"/>
          <w:shd w:val="clear" w:color="auto" w:fill="FFFFFF"/>
          <w:lang w:val="en-IN"/>
        </w:rPr>
        <w:t>)</w:t>
      </w:r>
      <w:r>
        <w:rPr>
          <w:rFonts w:eastAsia="SimSun" w:cs="Arial"/>
          <w:color w:val="222222"/>
          <w:szCs w:val="24"/>
          <w:shd w:val="clear" w:color="auto" w:fill="FFFFFF"/>
        </w:rPr>
        <w:t>. Racial/ethnic differences in clusters of adverse childhood experiences and associations with adolescent mental health. </w:t>
      </w:r>
      <w:r>
        <w:rPr>
          <w:rFonts w:eastAsia="SimSun" w:cs="Arial"/>
          <w:i/>
          <w:iCs/>
          <w:color w:val="222222"/>
          <w:szCs w:val="24"/>
          <w:shd w:val="clear" w:color="auto" w:fill="FFFFFF"/>
        </w:rPr>
        <w:t>SSM-population health</w:t>
      </w:r>
      <w:r>
        <w:rPr>
          <w:rFonts w:eastAsia="SimSun" w:cs="Arial"/>
          <w:color w:val="222222"/>
          <w:szCs w:val="24"/>
          <w:shd w:val="clear" w:color="auto" w:fill="FFFFFF"/>
        </w:rPr>
        <w:t>, </w:t>
      </w:r>
      <w:r>
        <w:rPr>
          <w:rFonts w:eastAsia="SimSun" w:cs="Arial"/>
          <w:i/>
          <w:iCs/>
          <w:color w:val="222222"/>
          <w:szCs w:val="24"/>
          <w:shd w:val="clear" w:color="auto" w:fill="FFFFFF"/>
        </w:rPr>
        <w:t>17</w:t>
      </w:r>
      <w:r>
        <w:rPr>
          <w:rFonts w:eastAsia="SimSun" w:cs="Arial"/>
          <w:color w:val="222222"/>
          <w:szCs w:val="24"/>
          <w:shd w:val="clear" w:color="auto" w:fill="FFFFFF"/>
        </w:rPr>
        <w:t>, p.100997.</w:t>
      </w:r>
      <w:r>
        <w:rPr>
          <w:rFonts w:eastAsia="SimSun" w:cs="Arial"/>
          <w:color w:val="222222"/>
          <w:szCs w:val="24"/>
          <w:shd w:val="clear" w:color="auto" w:fill="FFFFFF"/>
          <w:lang w:val="en-IN"/>
        </w:rPr>
        <w:t xml:space="preserve"> </w:t>
      </w:r>
      <w:hyperlink r:id="rId77" w:history="1">
        <w:r>
          <w:rPr>
            <w:rStyle w:val="Hyperlink"/>
            <w:rFonts w:eastAsia="SimSun" w:cs="Arial"/>
            <w:szCs w:val="24"/>
            <w:shd w:val="clear" w:color="auto" w:fill="FFFFFF"/>
            <w:lang w:val="en-IN"/>
          </w:rPr>
          <w:t>https://www.sciencedirect.com/science/article/pii/S235282732100272X</w:t>
        </w:r>
      </w:hyperlink>
      <w:r>
        <w:rPr>
          <w:rFonts w:eastAsia="SimSun" w:cs="Arial"/>
          <w:color w:val="222222"/>
          <w:szCs w:val="24"/>
          <w:shd w:val="clear" w:color="auto" w:fill="FFFFFF"/>
          <w:lang w:val="en-IN"/>
        </w:rPr>
        <w:t xml:space="preserve"> </w:t>
      </w:r>
    </w:p>
    <w:p w14:paraId="5BDA5BBC" w14:textId="77777777" w:rsidR="004A5CD4" w:rsidRDefault="002244FC">
      <w:pPr>
        <w:rPr>
          <w:rFonts w:eastAsia="SimSun" w:cs="Arial"/>
          <w:color w:val="222222"/>
          <w:szCs w:val="24"/>
          <w:shd w:val="clear" w:color="auto" w:fill="FFFFFF"/>
          <w:lang w:val="en-IN"/>
        </w:rPr>
      </w:pPr>
      <w:r>
        <w:rPr>
          <w:rFonts w:eastAsia="SimSun" w:cs="Arial"/>
          <w:color w:val="222222"/>
          <w:szCs w:val="24"/>
          <w:shd w:val="clear" w:color="auto" w:fill="FFFFFF"/>
        </w:rPr>
        <w:t xml:space="preserve">Wojciak, A.S., Powers, J., Chan, A.C.Y., Pleggenkuhle, A.L. and Hooper, L.M., </w:t>
      </w:r>
      <w:r>
        <w:rPr>
          <w:rFonts w:eastAsia="SimSun" w:cs="Arial"/>
          <w:color w:val="222222"/>
          <w:szCs w:val="24"/>
          <w:shd w:val="clear" w:color="auto" w:fill="FFFFFF"/>
          <w:lang w:val="en-IN"/>
        </w:rPr>
        <w:t>(</w:t>
      </w:r>
      <w:r>
        <w:rPr>
          <w:rFonts w:eastAsia="SimSun" w:cs="Arial"/>
          <w:color w:val="222222"/>
          <w:szCs w:val="24"/>
          <w:shd w:val="clear" w:color="auto" w:fill="FFFFFF"/>
        </w:rPr>
        <w:t>2022</w:t>
      </w:r>
      <w:r>
        <w:rPr>
          <w:rFonts w:eastAsia="SimSun" w:cs="Arial"/>
          <w:color w:val="222222"/>
          <w:szCs w:val="24"/>
          <w:shd w:val="clear" w:color="auto" w:fill="FFFFFF"/>
          <w:lang w:val="en-IN"/>
        </w:rPr>
        <w:t>)</w:t>
      </w:r>
      <w:r>
        <w:rPr>
          <w:rFonts w:eastAsia="SimSun" w:cs="Arial"/>
          <w:color w:val="222222"/>
          <w:szCs w:val="24"/>
          <w:shd w:val="clear" w:color="auto" w:fill="FFFFFF"/>
        </w:rPr>
        <w:t>. ARCCH model of resilience: A flexible multisystemic resilience framework. </w:t>
      </w:r>
      <w:r>
        <w:rPr>
          <w:rFonts w:eastAsia="SimSun" w:cs="Arial"/>
          <w:i/>
          <w:iCs/>
          <w:color w:val="222222"/>
          <w:szCs w:val="24"/>
          <w:shd w:val="clear" w:color="auto" w:fill="FFFFFF"/>
        </w:rPr>
        <w:t>International journal of environmental research and public health</w:t>
      </w:r>
      <w:r>
        <w:rPr>
          <w:rFonts w:eastAsia="SimSun" w:cs="Arial"/>
          <w:color w:val="222222"/>
          <w:szCs w:val="24"/>
          <w:shd w:val="clear" w:color="auto" w:fill="FFFFFF"/>
        </w:rPr>
        <w:t>, </w:t>
      </w:r>
      <w:r>
        <w:rPr>
          <w:rFonts w:eastAsia="SimSun" w:cs="Arial"/>
          <w:i/>
          <w:iCs/>
          <w:color w:val="222222"/>
          <w:szCs w:val="24"/>
          <w:shd w:val="clear" w:color="auto" w:fill="FFFFFF"/>
        </w:rPr>
        <w:t>19</w:t>
      </w:r>
      <w:r>
        <w:rPr>
          <w:rFonts w:eastAsia="SimSun" w:cs="Arial"/>
          <w:color w:val="222222"/>
          <w:szCs w:val="24"/>
          <w:shd w:val="clear" w:color="auto" w:fill="FFFFFF"/>
        </w:rPr>
        <w:t>(7), p.3920.</w:t>
      </w:r>
      <w:r>
        <w:rPr>
          <w:rFonts w:eastAsia="SimSun" w:cs="Arial"/>
          <w:color w:val="222222"/>
          <w:szCs w:val="24"/>
          <w:shd w:val="clear" w:color="auto" w:fill="FFFFFF"/>
          <w:lang w:val="en-IN"/>
        </w:rPr>
        <w:t xml:space="preserve"> </w:t>
      </w:r>
      <w:hyperlink r:id="rId78" w:history="1">
        <w:r>
          <w:rPr>
            <w:rStyle w:val="Hyperlink"/>
            <w:rFonts w:eastAsia="SimSun" w:cs="Arial"/>
            <w:szCs w:val="24"/>
            <w:shd w:val="clear" w:color="auto" w:fill="FFFFFF"/>
            <w:lang w:val="en-IN"/>
          </w:rPr>
          <w:t>https://www.mdpi.com/1660-4601/19/7/3920</w:t>
        </w:r>
      </w:hyperlink>
      <w:r>
        <w:rPr>
          <w:rFonts w:eastAsia="SimSun" w:cs="Arial"/>
          <w:color w:val="222222"/>
          <w:szCs w:val="24"/>
          <w:shd w:val="clear" w:color="auto" w:fill="FFFFFF"/>
          <w:lang w:val="en-IN"/>
        </w:rPr>
        <w:t xml:space="preserve"> </w:t>
      </w:r>
    </w:p>
    <w:p w14:paraId="62FE1ECD" w14:textId="77777777" w:rsidR="004A5CD4" w:rsidRDefault="004A5CD4">
      <w:pPr>
        <w:pStyle w:val="NormalWeb"/>
        <w:spacing w:before="120" w:beforeAutospacing="0" w:after="120" w:afterAutospacing="0" w:line="360" w:lineRule="auto"/>
      </w:pPr>
    </w:p>
    <w:p w14:paraId="49F080B4" w14:textId="77777777" w:rsidR="004A5CD4" w:rsidRDefault="002244FC">
      <w:r>
        <w:br w:type="page"/>
      </w:r>
    </w:p>
    <w:p w14:paraId="2A865840" w14:textId="77777777" w:rsidR="004A5CD4" w:rsidRDefault="002244FC">
      <w:pPr>
        <w:pStyle w:val="Heading1"/>
      </w:pPr>
      <w:bookmarkStart w:id="115" w:name="_Toc238674317"/>
      <w:r>
        <w:t>Appendices</w:t>
      </w:r>
      <w:bookmarkEnd w:id="115"/>
    </w:p>
    <w:p w14:paraId="7EF46770" w14:textId="77777777" w:rsidR="004A5CD4" w:rsidRDefault="002244FC">
      <w:pPr>
        <w:pStyle w:val="Heading2"/>
      </w:pPr>
      <w:bookmarkStart w:id="116" w:name="_Toc238674318"/>
      <w:r>
        <w:t>Appendix A: CASP Checklist</w:t>
      </w:r>
      <w:bookmarkEnd w:id="116"/>
    </w:p>
    <w:tbl>
      <w:tblPr>
        <w:tblStyle w:val="TableGrid"/>
        <w:tblW w:w="0" w:type="auto"/>
        <w:tblLook w:val="04A0" w:firstRow="1" w:lastRow="0" w:firstColumn="1" w:lastColumn="0" w:noHBand="0" w:noVBand="1"/>
      </w:tblPr>
      <w:tblGrid>
        <w:gridCol w:w="604"/>
        <w:gridCol w:w="3831"/>
        <w:gridCol w:w="1368"/>
        <w:gridCol w:w="1501"/>
        <w:gridCol w:w="1712"/>
      </w:tblGrid>
      <w:tr w:rsidR="004A5CD4" w14:paraId="6853C15D" w14:textId="77777777">
        <w:tc>
          <w:tcPr>
            <w:tcW w:w="0" w:type="auto"/>
          </w:tcPr>
          <w:p w14:paraId="01312BE0" w14:textId="77777777" w:rsidR="004A5CD4" w:rsidRDefault="002244FC">
            <w:pPr>
              <w:pStyle w:val="NormalWeb"/>
              <w:spacing w:before="120" w:after="120" w:line="360" w:lineRule="auto"/>
              <w:rPr>
                <w:b/>
                <w:bCs/>
                <w:lang w:val="en-IN"/>
              </w:rPr>
            </w:pPr>
            <w:r>
              <w:rPr>
                <w:b/>
                <w:bCs/>
                <w:lang w:val="en-IN"/>
              </w:rPr>
              <w:t>No.</w:t>
            </w:r>
          </w:p>
        </w:tc>
        <w:tc>
          <w:tcPr>
            <w:tcW w:w="0" w:type="auto"/>
          </w:tcPr>
          <w:p w14:paraId="566CF156" w14:textId="77777777" w:rsidR="004A5CD4" w:rsidRDefault="002244FC">
            <w:pPr>
              <w:pStyle w:val="NormalWeb"/>
              <w:spacing w:before="120" w:after="120" w:line="360" w:lineRule="auto"/>
              <w:rPr>
                <w:b/>
                <w:bCs/>
                <w:lang w:val="en-IN"/>
              </w:rPr>
            </w:pPr>
            <w:r>
              <w:rPr>
                <w:b/>
                <w:bCs/>
                <w:lang w:val="en-IN"/>
              </w:rPr>
              <w:t>CASP qualitative research question</w:t>
            </w:r>
          </w:p>
        </w:tc>
        <w:tc>
          <w:tcPr>
            <w:tcW w:w="0" w:type="auto"/>
          </w:tcPr>
          <w:p w14:paraId="2C735C97" w14:textId="77777777" w:rsidR="004A5CD4" w:rsidRDefault="002244FC">
            <w:pPr>
              <w:pStyle w:val="NormalWeb"/>
              <w:spacing w:before="120" w:after="120" w:line="360" w:lineRule="auto"/>
              <w:rPr>
                <w:b/>
                <w:bCs/>
                <w:lang w:val="en-IN"/>
              </w:rPr>
            </w:pPr>
            <w:r>
              <w:rPr>
                <w:b/>
                <w:bCs/>
                <w:lang w:val="en-IN"/>
              </w:rPr>
              <w:t>Stoll et al. (2025)</w:t>
            </w:r>
          </w:p>
        </w:tc>
        <w:tc>
          <w:tcPr>
            <w:tcW w:w="0" w:type="auto"/>
          </w:tcPr>
          <w:p w14:paraId="60B3E4D2" w14:textId="77777777" w:rsidR="004A5CD4" w:rsidRDefault="002244FC">
            <w:pPr>
              <w:pStyle w:val="NormalWeb"/>
              <w:spacing w:before="120" w:after="120" w:line="360" w:lineRule="auto"/>
              <w:rPr>
                <w:b/>
                <w:bCs/>
                <w:lang w:val="en-IN"/>
              </w:rPr>
            </w:pPr>
            <w:r>
              <w:rPr>
                <w:b/>
                <w:bCs/>
                <w:lang w:val="en-IN"/>
              </w:rPr>
              <w:t>O’Neill et al. (2021)</w:t>
            </w:r>
          </w:p>
        </w:tc>
        <w:tc>
          <w:tcPr>
            <w:tcW w:w="0" w:type="auto"/>
          </w:tcPr>
          <w:p w14:paraId="705E2F91" w14:textId="77777777" w:rsidR="004A5CD4" w:rsidRDefault="002244FC">
            <w:pPr>
              <w:pStyle w:val="NormalWeb"/>
              <w:spacing w:before="120" w:after="120" w:line="360" w:lineRule="auto"/>
              <w:rPr>
                <w:b/>
                <w:bCs/>
                <w:lang w:val="en-IN"/>
              </w:rPr>
            </w:pPr>
            <w:r>
              <w:rPr>
                <w:b/>
                <w:bCs/>
                <w:lang w:val="en-IN"/>
              </w:rPr>
              <w:t>Simela et al. (2024)</w:t>
            </w:r>
          </w:p>
        </w:tc>
      </w:tr>
      <w:tr w:rsidR="004A5CD4" w14:paraId="6AA4997F" w14:textId="77777777">
        <w:tc>
          <w:tcPr>
            <w:tcW w:w="0" w:type="auto"/>
          </w:tcPr>
          <w:p w14:paraId="702DF801" w14:textId="77777777" w:rsidR="004A5CD4" w:rsidRDefault="002244FC">
            <w:pPr>
              <w:pStyle w:val="NormalWeb"/>
              <w:spacing w:before="120" w:after="120" w:line="360" w:lineRule="auto"/>
              <w:rPr>
                <w:lang w:val="en-IN"/>
              </w:rPr>
            </w:pPr>
            <w:r>
              <w:rPr>
                <w:lang w:val="en-IN"/>
              </w:rPr>
              <w:t>1</w:t>
            </w:r>
          </w:p>
        </w:tc>
        <w:tc>
          <w:tcPr>
            <w:tcW w:w="0" w:type="auto"/>
          </w:tcPr>
          <w:p w14:paraId="2E903BCB" w14:textId="77777777" w:rsidR="004A5CD4" w:rsidRDefault="002244FC">
            <w:pPr>
              <w:pStyle w:val="NormalWeb"/>
              <w:spacing w:before="120" w:after="120" w:line="360" w:lineRule="auto"/>
              <w:rPr>
                <w:lang w:val="en-IN"/>
              </w:rPr>
            </w:pPr>
            <w:r>
              <w:rPr>
                <w:lang w:val="en-IN"/>
              </w:rPr>
              <w:t>Was there a clear statement of the aims of the research?</w:t>
            </w:r>
          </w:p>
        </w:tc>
        <w:tc>
          <w:tcPr>
            <w:tcW w:w="0" w:type="auto"/>
          </w:tcPr>
          <w:p w14:paraId="6E52B721" w14:textId="77777777" w:rsidR="004A5CD4" w:rsidRDefault="002244FC">
            <w:pPr>
              <w:pStyle w:val="NormalWeb"/>
              <w:spacing w:before="120" w:after="120" w:line="360" w:lineRule="auto"/>
              <w:rPr>
                <w:lang w:val="en-IN"/>
              </w:rPr>
            </w:pPr>
            <w:r>
              <w:rPr>
                <w:lang w:val="en-IN"/>
              </w:rPr>
              <w:t>Yes</w:t>
            </w:r>
          </w:p>
        </w:tc>
        <w:tc>
          <w:tcPr>
            <w:tcW w:w="0" w:type="auto"/>
          </w:tcPr>
          <w:p w14:paraId="76486BC4" w14:textId="77777777" w:rsidR="004A5CD4" w:rsidRDefault="002244FC">
            <w:pPr>
              <w:pStyle w:val="NormalWeb"/>
              <w:spacing w:before="120" w:after="120" w:line="360" w:lineRule="auto"/>
              <w:rPr>
                <w:lang w:val="en-IN"/>
              </w:rPr>
            </w:pPr>
            <w:r>
              <w:rPr>
                <w:lang w:val="en-IN"/>
              </w:rPr>
              <w:t>Yes</w:t>
            </w:r>
          </w:p>
        </w:tc>
        <w:tc>
          <w:tcPr>
            <w:tcW w:w="0" w:type="auto"/>
          </w:tcPr>
          <w:p w14:paraId="535B24EE" w14:textId="77777777" w:rsidR="004A5CD4" w:rsidRDefault="002244FC">
            <w:pPr>
              <w:pStyle w:val="NormalWeb"/>
              <w:spacing w:before="120" w:after="120" w:line="360" w:lineRule="auto"/>
              <w:rPr>
                <w:lang w:val="en-IN"/>
              </w:rPr>
            </w:pPr>
            <w:r>
              <w:rPr>
                <w:lang w:val="en-IN"/>
              </w:rPr>
              <w:t>Yes</w:t>
            </w:r>
          </w:p>
        </w:tc>
      </w:tr>
      <w:tr w:rsidR="004A5CD4" w14:paraId="7EF17A3C" w14:textId="77777777">
        <w:tc>
          <w:tcPr>
            <w:tcW w:w="0" w:type="auto"/>
          </w:tcPr>
          <w:p w14:paraId="47A19193" w14:textId="77777777" w:rsidR="004A5CD4" w:rsidRDefault="002244FC">
            <w:pPr>
              <w:pStyle w:val="NormalWeb"/>
              <w:spacing w:before="120" w:after="120" w:line="360" w:lineRule="auto"/>
              <w:rPr>
                <w:lang w:val="en-IN"/>
              </w:rPr>
            </w:pPr>
            <w:r>
              <w:rPr>
                <w:lang w:val="en-IN"/>
              </w:rPr>
              <w:t>2</w:t>
            </w:r>
          </w:p>
        </w:tc>
        <w:tc>
          <w:tcPr>
            <w:tcW w:w="0" w:type="auto"/>
          </w:tcPr>
          <w:p w14:paraId="1C5A9895" w14:textId="77777777" w:rsidR="004A5CD4" w:rsidRDefault="002244FC">
            <w:pPr>
              <w:pStyle w:val="NormalWeb"/>
              <w:spacing w:before="120" w:after="120" w:line="360" w:lineRule="auto"/>
              <w:rPr>
                <w:lang w:val="en-IN"/>
              </w:rPr>
            </w:pPr>
            <w:r>
              <w:rPr>
                <w:lang w:val="en-IN"/>
              </w:rPr>
              <w:t>Is a qualitative methodology appropriate?</w:t>
            </w:r>
          </w:p>
        </w:tc>
        <w:tc>
          <w:tcPr>
            <w:tcW w:w="0" w:type="auto"/>
          </w:tcPr>
          <w:p w14:paraId="5A9C6059" w14:textId="77777777" w:rsidR="004A5CD4" w:rsidRDefault="002244FC">
            <w:pPr>
              <w:pStyle w:val="NormalWeb"/>
              <w:spacing w:before="120" w:after="120" w:line="360" w:lineRule="auto"/>
              <w:rPr>
                <w:lang w:val="en-IN"/>
              </w:rPr>
            </w:pPr>
            <w:r>
              <w:rPr>
                <w:lang w:val="en-IN"/>
              </w:rPr>
              <w:t>Yes</w:t>
            </w:r>
          </w:p>
        </w:tc>
        <w:tc>
          <w:tcPr>
            <w:tcW w:w="0" w:type="auto"/>
          </w:tcPr>
          <w:p w14:paraId="3C291677" w14:textId="77777777" w:rsidR="004A5CD4" w:rsidRDefault="002244FC">
            <w:pPr>
              <w:pStyle w:val="NormalWeb"/>
              <w:spacing w:before="120" w:after="120" w:line="360" w:lineRule="auto"/>
              <w:rPr>
                <w:lang w:val="en-IN"/>
              </w:rPr>
            </w:pPr>
            <w:r>
              <w:rPr>
                <w:lang w:val="en-IN"/>
              </w:rPr>
              <w:t>Yes</w:t>
            </w:r>
          </w:p>
        </w:tc>
        <w:tc>
          <w:tcPr>
            <w:tcW w:w="0" w:type="auto"/>
          </w:tcPr>
          <w:p w14:paraId="0F4FAECC" w14:textId="77777777" w:rsidR="004A5CD4" w:rsidRDefault="002244FC">
            <w:pPr>
              <w:pStyle w:val="NormalWeb"/>
              <w:spacing w:before="120" w:after="120" w:line="360" w:lineRule="auto"/>
              <w:rPr>
                <w:lang w:val="en-IN"/>
              </w:rPr>
            </w:pPr>
            <w:r>
              <w:rPr>
                <w:lang w:val="en-IN"/>
              </w:rPr>
              <w:t>Yes</w:t>
            </w:r>
          </w:p>
        </w:tc>
      </w:tr>
      <w:tr w:rsidR="004A5CD4" w14:paraId="5B4A771D" w14:textId="77777777">
        <w:tc>
          <w:tcPr>
            <w:tcW w:w="0" w:type="auto"/>
          </w:tcPr>
          <w:p w14:paraId="10EB3D7F" w14:textId="77777777" w:rsidR="004A5CD4" w:rsidRDefault="002244FC">
            <w:pPr>
              <w:pStyle w:val="NormalWeb"/>
              <w:spacing w:before="120" w:after="120" w:line="360" w:lineRule="auto"/>
              <w:rPr>
                <w:lang w:val="en-IN"/>
              </w:rPr>
            </w:pPr>
            <w:r>
              <w:rPr>
                <w:lang w:val="en-IN"/>
              </w:rPr>
              <w:t>3</w:t>
            </w:r>
          </w:p>
        </w:tc>
        <w:tc>
          <w:tcPr>
            <w:tcW w:w="0" w:type="auto"/>
          </w:tcPr>
          <w:p w14:paraId="2BA2E19E" w14:textId="77777777" w:rsidR="004A5CD4" w:rsidRDefault="002244FC">
            <w:pPr>
              <w:pStyle w:val="NormalWeb"/>
              <w:spacing w:before="120" w:after="120" w:line="360" w:lineRule="auto"/>
              <w:rPr>
                <w:lang w:val="en-IN"/>
              </w:rPr>
            </w:pPr>
            <w:r>
              <w:rPr>
                <w:lang w:val="en-IN"/>
              </w:rPr>
              <w:t>Was the research design appropriate to address the aims?</w:t>
            </w:r>
          </w:p>
        </w:tc>
        <w:tc>
          <w:tcPr>
            <w:tcW w:w="0" w:type="auto"/>
          </w:tcPr>
          <w:p w14:paraId="22B631E2" w14:textId="77777777" w:rsidR="004A5CD4" w:rsidRDefault="002244FC">
            <w:pPr>
              <w:pStyle w:val="NormalWeb"/>
              <w:spacing w:before="120" w:after="120" w:line="360" w:lineRule="auto"/>
              <w:rPr>
                <w:lang w:val="en-IN"/>
              </w:rPr>
            </w:pPr>
            <w:r>
              <w:rPr>
                <w:lang w:val="en-IN"/>
              </w:rPr>
              <w:t>Yes</w:t>
            </w:r>
          </w:p>
        </w:tc>
        <w:tc>
          <w:tcPr>
            <w:tcW w:w="0" w:type="auto"/>
          </w:tcPr>
          <w:p w14:paraId="42A46984" w14:textId="77777777" w:rsidR="004A5CD4" w:rsidRDefault="002244FC">
            <w:pPr>
              <w:pStyle w:val="NormalWeb"/>
              <w:spacing w:before="120" w:after="120" w:line="360" w:lineRule="auto"/>
              <w:rPr>
                <w:lang w:val="en-IN"/>
              </w:rPr>
            </w:pPr>
            <w:r>
              <w:rPr>
                <w:lang w:val="en-IN"/>
              </w:rPr>
              <w:t>Yes</w:t>
            </w:r>
          </w:p>
        </w:tc>
        <w:tc>
          <w:tcPr>
            <w:tcW w:w="0" w:type="auto"/>
          </w:tcPr>
          <w:p w14:paraId="3870D28F" w14:textId="77777777" w:rsidR="004A5CD4" w:rsidRDefault="002244FC">
            <w:pPr>
              <w:pStyle w:val="NormalWeb"/>
              <w:spacing w:before="120" w:after="120" w:line="360" w:lineRule="auto"/>
              <w:rPr>
                <w:lang w:val="en-IN"/>
              </w:rPr>
            </w:pPr>
            <w:r>
              <w:rPr>
                <w:lang w:val="en-IN"/>
              </w:rPr>
              <w:t>Yes</w:t>
            </w:r>
          </w:p>
        </w:tc>
      </w:tr>
      <w:tr w:rsidR="004A5CD4" w14:paraId="39A90DEF" w14:textId="77777777">
        <w:tc>
          <w:tcPr>
            <w:tcW w:w="0" w:type="auto"/>
          </w:tcPr>
          <w:p w14:paraId="52C87218" w14:textId="77777777" w:rsidR="004A5CD4" w:rsidRDefault="002244FC">
            <w:pPr>
              <w:pStyle w:val="NormalWeb"/>
              <w:spacing w:before="120" w:after="120" w:line="360" w:lineRule="auto"/>
              <w:rPr>
                <w:lang w:val="en-IN"/>
              </w:rPr>
            </w:pPr>
            <w:r>
              <w:rPr>
                <w:lang w:val="en-IN"/>
              </w:rPr>
              <w:t>4</w:t>
            </w:r>
          </w:p>
        </w:tc>
        <w:tc>
          <w:tcPr>
            <w:tcW w:w="0" w:type="auto"/>
          </w:tcPr>
          <w:p w14:paraId="6ECDE566" w14:textId="77777777" w:rsidR="004A5CD4" w:rsidRDefault="002244FC">
            <w:pPr>
              <w:pStyle w:val="NormalWeb"/>
              <w:spacing w:before="120" w:after="120" w:line="360" w:lineRule="auto"/>
              <w:rPr>
                <w:lang w:val="en-IN"/>
              </w:rPr>
            </w:pPr>
            <w:r>
              <w:rPr>
                <w:lang w:val="en-IN"/>
              </w:rPr>
              <w:t>Was the recruitment strategy appropriate?</w:t>
            </w:r>
          </w:p>
        </w:tc>
        <w:tc>
          <w:tcPr>
            <w:tcW w:w="0" w:type="auto"/>
          </w:tcPr>
          <w:p w14:paraId="6BE65C5C" w14:textId="77777777" w:rsidR="004A5CD4" w:rsidRDefault="002244FC">
            <w:pPr>
              <w:pStyle w:val="NormalWeb"/>
              <w:spacing w:before="120" w:after="120" w:line="360" w:lineRule="auto"/>
              <w:rPr>
                <w:lang w:val="en-IN"/>
              </w:rPr>
            </w:pPr>
            <w:r>
              <w:rPr>
                <w:lang w:val="en-IN"/>
              </w:rPr>
              <w:t>Yes</w:t>
            </w:r>
          </w:p>
        </w:tc>
        <w:tc>
          <w:tcPr>
            <w:tcW w:w="0" w:type="auto"/>
          </w:tcPr>
          <w:p w14:paraId="7F721B3F" w14:textId="77777777" w:rsidR="004A5CD4" w:rsidRDefault="002244FC">
            <w:pPr>
              <w:pStyle w:val="NormalWeb"/>
              <w:spacing w:before="120" w:after="120" w:line="360" w:lineRule="auto"/>
              <w:rPr>
                <w:lang w:val="en-IN"/>
              </w:rPr>
            </w:pPr>
            <w:r>
              <w:rPr>
                <w:lang w:val="en-IN"/>
              </w:rPr>
              <w:t>Yes</w:t>
            </w:r>
          </w:p>
        </w:tc>
        <w:tc>
          <w:tcPr>
            <w:tcW w:w="0" w:type="auto"/>
          </w:tcPr>
          <w:p w14:paraId="578C3A65" w14:textId="77777777" w:rsidR="004A5CD4" w:rsidRDefault="002244FC">
            <w:pPr>
              <w:pStyle w:val="NormalWeb"/>
              <w:spacing w:before="120" w:after="120" w:line="360" w:lineRule="auto"/>
              <w:rPr>
                <w:lang w:val="en-IN"/>
              </w:rPr>
            </w:pPr>
            <w:r>
              <w:rPr>
                <w:lang w:val="en-IN"/>
              </w:rPr>
              <w:t>Yes</w:t>
            </w:r>
          </w:p>
        </w:tc>
      </w:tr>
      <w:tr w:rsidR="004A5CD4" w14:paraId="3D25F24B" w14:textId="77777777">
        <w:tc>
          <w:tcPr>
            <w:tcW w:w="0" w:type="auto"/>
          </w:tcPr>
          <w:p w14:paraId="25884A1D" w14:textId="77777777" w:rsidR="004A5CD4" w:rsidRDefault="002244FC">
            <w:pPr>
              <w:pStyle w:val="NormalWeb"/>
              <w:spacing w:before="120" w:after="120" w:line="360" w:lineRule="auto"/>
              <w:rPr>
                <w:lang w:val="en-IN"/>
              </w:rPr>
            </w:pPr>
            <w:r>
              <w:rPr>
                <w:lang w:val="en-IN"/>
              </w:rPr>
              <w:t>5</w:t>
            </w:r>
          </w:p>
        </w:tc>
        <w:tc>
          <w:tcPr>
            <w:tcW w:w="0" w:type="auto"/>
          </w:tcPr>
          <w:p w14:paraId="78900E87" w14:textId="77777777" w:rsidR="004A5CD4" w:rsidRDefault="002244FC">
            <w:pPr>
              <w:pStyle w:val="NormalWeb"/>
              <w:spacing w:before="120" w:after="120" w:line="360" w:lineRule="auto"/>
              <w:rPr>
                <w:lang w:val="en-IN"/>
              </w:rPr>
            </w:pPr>
            <w:r>
              <w:rPr>
                <w:lang w:val="en-IN"/>
              </w:rPr>
              <w:t>Was data collected in a way that addressed the research issue?</w:t>
            </w:r>
          </w:p>
        </w:tc>
        <w:tc>
          <w:tcPr>
            <w:tcW w:w="0" w:type="auto"/>
          </w:tcPr>
          <w:p w14:paraId="498A42A2" w14:textId="77777777" w:rsidR="004A5CD4" w:rsidRDefault="002244FC">
            <w:pPr>
              <w:pStyle w:val="NormalWeb"/>
              <w:spacing w:before="120" w:after="120" w:line="360" w:lineRule="auto"/>
              <w:rPr>
                <w:lang w:val="en-IN"/>
              </w:rPr>
            </w:pPr>
            <w:r>
              <w:rPr>
                <w:lang w:val="en-IN"/>
              </w:rPr>
              <w:t>Yes</w:t>
            </w:r>
          </w:p>
        </w:tc>
        <w:tc>
          <w:tcPr>
            <w:tcW w:w="0" w:type="auto"/>
          </w:tcPr>
          <w:p w14:paraId="582B28C7" w14:textId="77777777" w:rsidR="004A5CD4" w:rsidRDefault="002244FC">
            <w:pPr>
              <w:pStyle w:val="NormalWeb"/>
              <w:spacing w:before="120" w:after="120" w:line="360" w:lineRule="auto"/>
              <w:rPr>
                <w:lang w:val="en-IN"/>
              </w:rPr>
            </w:pPr>
            <w:r>
              <w:rPr>
                <w:lang w:val="en-IN"/>
              </w:rPr>
              <w:t>Can’t tell</w:t>
            </w:r>
          </w:p>
        </w:tc>
        <w:tc>
          <w:tcPr>
            <w:tcW w:w="0" w:type="auto"/>
          </w:tcPr>
          <w:p w14:paraId="0AC831AA" w14:textId="77777777" w:rsidR="004A5CD4" w:rsidRDefault="002244FC">
            <w:pPr>
              <w:pStyle w:val="NormalWeb"/>
              <w:spacing w:before="120" w:after="120" w:line="360" w:lineRule="auto"/>
              <w:rPr>
                <w:lang w:val="en-IN"/>
              </w:rPr>
            </w:pPr>
            <w:r>
              <w:rPr>
                <w:lang w:val="en-IN"/>
              </w:rPr>
              <w:t>Yes</w:t>
            </w:r>
          </w:p>
        </w:tc>
      </w:tr>
      <w:tr w:rsidR="004A5CD4" w14:paraId="5DB9F7EF" w14:textId="77777777">
        <w:tc>
          <w:tcPr>
            <w:tcW w:w="0" w:type="auto"/>
          </w:tcPr>
          <w:p w14:paraId="73CCEF2D" w14:textId="77777777" w:rsidR="004A5CD4" w:rsidRDefault="002244FC">
            <w:pPr>
              <w:pStyle w:val="NormalWeb"/>
              <w:spacing w:before="120" w:after="120" w:line="360" w:lineRule="auto"/>
              <w:rPr>
                <w:lang w:val="en-IN"/>
              </w:rPr>
            </w:pPr>
            <w:r>
              <w:rPr>
                <w:lang w:val="en-IN"/>
              </w:rPr>
              <w:t>6</w:t>
            </w:r>
          </w:p>
        </w:tc>
        <w:tc>
          <w:tcPr>
            <w:tcW w:w="0" w:type="auto"/>
          </w:tcPr>
          <w:p w14:paraId="18007993" w14:textId="77777777" w:rsidR="004A5CD4" w:rsidRDefault="002244FC">
            <w:pPr>
              <w:pStyle w:val="NormalWeb"/>
              <w:spacing w:before="120" w:after="120" w:line="360" w:lineRule="auto"/>
              <w:rPr>
                <w:lang w:val="en-IN"/>
              </w:rPr>
            </w:pPr>
            <w:r>
              <w:rPr>
                <w:lang w:val="en-IN"/>
              </w:rPr>
              <w:t>Was the researcher–participant relationship adequately considered?</w:t>
            </w:r>
          </w:p>
        </w:tc>
        <w:tc>
          <w:tcPr>
            <w:tcW w:w="0" w:type="auto"/>
          </w:tcPr>
          <w:p w14:paraId="6544C95A" w14:textId="77777777" w:rsidR="004A5CD4" w:rsidRDefault="002244FC">
            <w:pPr>
              <w:pStyle w:val="NormalWeb"/>
              <w:spacing w:before="120" w:after="120" w:line="360" w:lineRule="auto"/>
              <w:rPr>
                <w:lang w:val="en-IN"/>
              </w:rPr>
            </w:pPr>
            <w:r>
              <w:rPr>
                <w:lang w:val="en-IN"/>
              </w:rPr>
              <w:t>Yes</w:t>
            </w:r>
          </w:p>
        </w:tc>
        <w:tc>
          <w:tcPr>
            <w:tcW w:w="0" w:type="auto"/>
          </w:tcPr>
          <w:p w14:paraId="1AED7071" w14:textId="77777777" w:rsidR="004A5CD4" w:rsidRDefault="002244FC">
            <w:pPr>
              <w:pStyle w:val="NormalWeb"/>
              <w:spacing w:before="120" w:after="120" w:line="360" w:lineRule="auto"/>
              <w:rPr>
                <w:lang w:val="en-IN"/>
              </w:rPr>
            </w:pPr>
            <w:r>
              <w:rPr>
                <w:lang w:val="en-IN"/>
              </w:rPr>
              <w:t>Can’t tell</w:t>
            </w:r>
          </w:p>
        </w:tc>
        <w:tc>
          <w:tcPr>
            <w:tcW w:w="0" w:type="auto"/>
          </w:tcPr>
          <w:p w14:paraId="21FF645D" w14:textId="77777777" w:rsidR="004A5CD4" w:rsidRDefault="002244FC">
            <w:pPr>
              <w:pStyle w:val="NormalWeb"/>
              <w:spacing w:before="120" w:after="120" w:line="360" w:lineRule="auto"/>
              <w:rPr>
                <w:lang w:val="en-IN"/>
              </w:rPr>
            </w:pPr>
            <w:r>
              <w:rPr>
                <w:lang w:val="en-IN"/>
              </w:rPr>
              <w:t>Yes/Partly</w:t>
            </w:r>
          </w:p>
        </w:tc>
      </w:tr>
      <w:tr w:rsidR="004A5CD4" w14:paraId="196C762E" w14:textId="77777777">
        <w:tc>
          <w:tcPr>
            <w:tcW w:w="0" w:type="auto"/>
          </w:tcPr>
          <w:p w14:paraId="426975D9" w14:textId="77777777" w:rsidR="004A5CD4" w:rsidRDefault="002244FC">
            <w:pPr>
              <w:pStyle w:val="NormalWeb"/>
              <w:spacing w:before="120" w:after="120" w:line="360" w:lineRule="auto"/>
              <w:rPr>
                <w:lang w:val="en-IN"/>
              </w:rPr>
            </w:pPr>
            <w:r>
              <w:rPr>
                <w:lang w:val="en-IN"/>
              </w:rPr>
              <w:t>7</w:t>
            </w:r>
          </w:p>
        </w:tc>
        <w:tc>
          <w:tcPr>
            <w:tcW w:w="0" w:type="auto"/>
          </w:tcPr>
          <w:p w14:paraId="62DAE07E" w14:textId="77777777" w:rsidR="004A5CD4" w:rsidRDefault="002244FC">
            <w:pPr>
              <w:pStyle w:val="NormalWeb"/>
              <w:spacing w:before="120" w:after="120" w:line="360" w:lineRule="auto"/>
              <w:rPr>
                <w:lang w:val="en-IN"/>
              </w:rPr>
            </w:pPr>
            <w:r>
              <w:rPr>
                <w:lang w:val="en-IN"/>
              </w:rPr>
              <w:t>Were ethical issues considered?</w:t>
            </w:r>
          </w:p>
        </w:tc>
        <w:tc>
          <w:tcPr>
            <w:tcW w:w="0" w:type="auto"/>
          </w:tcPr>
          <w:p w14:paraId="01E339BD" w14:textId="77777777" w:rsidR="004A5CD4" w:rsidRDefault="002244FC">
            <w:pPr>
              <w:pStyle w:val="NormalWeb"/>
              <w:spacing w:before="120" w:after="120" w:line="360" w:lineRule="auto"/>
              <w:rPr>
                <w:lang w:val="en-IN"/>
              </w:rPr>
            </w:pPr>
            <w:r>
              <w:rPr>
                <w:lang w:val="en-IN"/>
              </w:rPr>
              <w:t>Yes</w:t>
            </w:r>
          </w:p>
        </w:tc>
        <w:tc>
          <w:tcPr>
            <w:tcW w:w="0" w:type="auto"/>
          </w:tcPr>
          <w:p w14:paraId="052AB3B9" w14:textId="77777777" w:rsidR="004A5CD4" w:rsidRDefault="002244FC">
            <w:pPr>
              <w:pStyle w:val="NormalWeb"/>
              <w:spacing w:before="120" w:after="120" w:line="360" w:lineRule="auto"/>
              <w:rPr>
                <w:lang w:val="en-IN"/>
              </w:rPr>
            </w:pPr>
            <w:r>
              <w:rPr>
                <w:lang w:val="en-IN"/>
              </w:rPr>
              <w:t>Yes</w:t>
            </w:r>
          </w:p>
        </w:tc>
        <w:tc>
          <w:tcPr>
            <w:tcW w:w="0" w:type="auto"/>
          </w:tcPr>
          <w:p w14:paraId="523D6C31" w14:textId="77777777" w:rsidR="004A5CD4" w:rsidRDefault="002244FC">
            <w:pPr>
              <w:pStyle w:val="NormalWeb"/>
              <w:spacing w:before="120" w:after="120" w:line="360" w:lineRule="auto"/>
              <w:rPr>
                <w:lang w:val="en-IN"/>
              </w:rPr>
            </w:pPr>
            <w:r>
              <w:rPr>
                <w:lang w:val="en-IN"/>
              </w:rPr>
              <w:t>Yes</w:t>
            </w:r>
          </w:p>
        </w:tc>
      </w:tr>
      <w:tr w:rsidR="004A5CD4" w14:paraId="023ED06A" w14:textId="77777777">
        <w:tc>
          <w:tcPr>
            <w:tcW w:w="0" w:type="auto"/>
          </w:tcPr>
          <w:p w14:paraId="70FE8180" w14:textId="77777777" w:rsidR="004A5CD4" w:rsidRDefault="002244FC">
            <w:pPr>
              <w:pStyle w:val="NormalWeb"/>
              <w:spacing w:before="120" w:after="120" w:line="360" w:lineRule="auto"/>
              <w:rPr>
                <w:lang w:val="en-IN"/>
              </w:rPr>
            </w:pPr>
            <w:r>
              <w:rPr>
                <w:lang w:val="en-IN"/>
              </w:rPr>
              <w:t>8</w:t>
            </w:r>
          </w:p>
        </w:tc>
        <w:tc>
          <w:tcPr>
            <w:tcW w:w="0" w:type="auto"/>
          </w:tcPr>
          <w:p w14:paraId="6EBAED94" w14:textId="77777777" w:rsidR="004A5CD4" w:rsidRDefault="002244FC">
            <w:pPr>
              <w:pStyle w:val="NormalWeb"/>
              <w:spacing w:before="120" w:after="120" w:line="360" w:lineRule="auto"/>
              <w:rPr>
                <w:lang w:val="en-IN"/>
              </w:rPr>
            </w:pPr>
            <w:r>
              <w:rPr>
                <w:lang w:val="en-IN"/>
              </w:rPr>
              <w:t>Was the data analysis sufficiently rigorous?</w:t>
            </w:r>
          </w:p>
        </w:tc>
        <w:tc>
          <w:tcPr>
            <w:tcW w:w="0" w:type="auto"/>
          </w:tcPr>
          <w:p w14:paraId="14393E21" w14:textId="77777777" w:rsidR="004A5CD4" w:rsidRDefault="002244FC">
            <w:pPr>
              <w:pStyle w:val="NormalWeb"/>
              <w:spacing w:before="120" w:after="120" w:line="360" w:lineRule="auto"/>
              <w:rPr>
                <w:lang w:val="en-IN"/>
              </w:rPr>
            </w:pPr>
            <w:r>
              <w:rPr>
                <w:lang w:val="en-IN"/>
              </w:rPr>
              <w:t>Yes</w:t>
            </w:r>
          </w:p>
        </w:tc>
        <w:tc>
          <w:tcPr>
            <w:tcW w:w="0" w:type="auto"/>
          </w:tcPr>
          <w:p w14:paraId="73113919" w14:textId="77777777" w:rsidR="004A5CD4" w:rsidRDefault="002244FC">
            <w:pPr>
              <w:pStyle w:val="NormalWeb"/>
              <w:spacing w:before="120" w:after="120" w:line="360" w:lineRule="auto"/>
              <w:rPr>
                <w:lang w:val="en-IN"/>
              </w:rPr>
            </w:pPr>
            <w:r>
              <w:rPr>
                <w:lang w:val="en-IN"/>
              </w:rPr>
              <w:t>Yes</w:t>
            </w:r>
          </w:p>
        </w:tc>
        <w:tc>
          <w:tcPr>
            <w:tcW w:w="0" w:type="auto"/>
          </w:tcPr>
          <w:p w14:paraId="76C86E5D" w14:textId="77777777" w:rsidR="004A5CD4" w:rsidRDefault="002244FC">
            <w:pPr>
              <w:pStyle w:val="NormalWeb"/>
              <w:spacing w:before="120" w:after="120" w:line="360" w:lineRule="auto"/>
              <w:rPr>
                <w:lang w:val="en-IN"/>
              </w:rPr>
            </w:pPr>
            <w:r>
              <w:rPr>
                <w:lang w:val="en-IN"/>
              </w:rPr>
              <w:t>Yes</w:t>
            </w:r>
          </w:p>
        </w:tc>
      </w:tr>
      <w:tr w:rsidR="004A5CD4" w14:paraId="604ACAEC" w14:textId="77777777">
        <w:tc>
          <w:tcPr>
            <w:tcW w:w="0" w:type="auto"/>
          </w:tcPr>
          <w:p w14:paraId="3ECE11E7" w14:textId="77777777" w:rsidR="004A5CD4" w:rsidRDefault="002244FC">
            <w:pPr>
              <w:pStyle w:val="NormalWeb"/>
              <w:spacing w:before="120" w:after="120" w:line="360" w:lineRule="auto"/>
              <w:rPr>
                <w:lang w:val="en-IN"/>
              </w:rPr>
            </w:pPr>
            <w:r>
              <w:rPr>
                <w:lang w:val="en-IN"/>
              </w:rPr>
              <w:t>9</w:t>
            </w:r>
          </w:p>
        </w:tc>
        <w:tc>
          <w:tcPr>
            <w:tcW w:w="0" w:type="auto"/>
          </w:tcPr>
          <w:p w14:paraId="0291A8E2" w14:textId="77777777" w:rsidR="004A5CD4" w:rsidRDefault="002244FC">
            <w:pPr>
              <w:pStyle w:val="NormalWeb"/>
              <w:spacing w:before="120" w:after="120" w:line="360" w:lineRule="auto"/>
              <w:rPr>
                <w:lang w:val="en-IN"/>
              </w:rPr>
            </w:pPr>
            <w:r>
              <w:rPr>
                <w:lang w:val="en-IN"/>
              </w:rPr>
              <w:t>Is there a clear statement of findings?</w:t>
            </w:r>
          </w:p>
        </w:tc>
        <w:tc>
          <w:tcPr>
            <w:tcW w:w="0" w:type="auto"/>
          </w:tcPr>
          <w:p w14:paraId="2908A80A" w14:textId="77777777" w:rsidR="004A5CD4" w:rsidRDefault="002244FC">
            <w:pPr>
              <w:pStyle w:val="NormalWeb"/>
              <w:spacing w:before="120" w:after="120" w:line="360" w:lineRule="auto"/>
              <w:rPr>
                <w:lang w:val="en-IN"/>
              </w:rPr>
            </w:pPr>
            <w:r>
              <w:rPr>
                <w:lang w:val="en-IN"/>
              </w:rPr>
              <w:t>Yes</w:t>
            </w:r>
          </w:p>
        </w:tc>
        <w:tc>
          <w:tcPr>
            <w:tcW w:w="0" w:type="auto"/>
          </w:tcPr>
          <w:p w14:paraId="4C235B7B" w14:textId="77777777" w:rsidR="004A5CD4" w:rsidRDefault="002244FC">
            <w:pPr>
              <w:pStyle w:val="NormalWeb"/>
              <w:spacing w:before="120" w:after="120" w:line="360" w:lineRule="auto"/>
              <w:rPr>
                <w:lang w:val="en-IN"/>
              </w:rPr>
            </w:pPr>
            <w:r>
              <w:rPr>
                <w:lang w:val="en-IN"/>
              </w:rPr>
              <w:t>Yes</w:t>
            </w:r>
          </w:p>
        </w:tc>
        <w:tc>
          <w:tcPr>
            <w:tcW w:w="0" w:type="auto"/>
          </w:tcPr>
          <w:p w14:paraId="037951FB" w14:textId="77777777" w:rsidR="004A5CD4" w:rsidRDefault="002244FC">
            <w:pPr>
              <w:pStyle w:val="NormalWeb"/>
              <w:spacing w:before="120" w:after="120" w:line="360" w:lineRule="auto"/>
              <w:rPr>
                <w:lang w:val="en-IN"/>
              </w:rPr>
            </w:pPr>
            <w:r>
              <w:rPr>
                <w:lang w:val="en-IN"/>
              </w:rPr>
              <w:t>Yes</w:t>
            </w:r>
          </w:p>
        </w:tc>
      </w:tr>
      <w:tr w:rsidR="004A5CD4" w14:paraId="1B5EB917" w14:textId="77777777">
        <w:tc>
          <w:tcPr>
            <w:tcW w:w="0" w:type="auto"/>
          </w:tcPr>
          <w:p w14:paraId="3057972D" w14:textId="77777777" w:rsidR="004A5CD4" w:rsidRDefault="002244FC">
            <w:pPr>
              <w:pStyle w:val="NormalWeb"/>
              <w:spacing w:before="120" w:after="120" w:line="360" w:lineRule="auto"/>
              <w:rPr>
                <w:lang w:val="en-IN"/>
              </w:rPr>
            </w:pPr>
            <w:r>
              <w:rPr>
                <w:lang w:val="en-IN"/>
              </w:rPr>
              <w:t>10</w:t>
            </w:r>
          </w:p>
        </w:tc>
        <w:tc>
          <w:tcPr>
            <w:tcW w:w="0" w:type="auto"/>
          </w:tcPr>
          <w:p w14:paraId="2B4F7237" w14:textId="77777777" w:rsidR="004A5CD4" w:rsidRDefault="002244FC">
            <w:pPr>
              <w:pStyle w:val="NormalWeb"/>
              <w:spacing w:before="120" w:after="120" w:line="360" w:lineRule="auto"/>
              <w:rPr>
                <w:lang w:val="en-IN"/>
              </w:rPr>
            </w:pPr>
            <w:r>
              <w:rPr>
                <w:lang w:val="en-IN"/>
              </w:rPr>
              <w:t>How valuable is the research?</w:t>
            </w:r>
          </w:p>
        </w:tc>
        <w:tc>
          <w:tcPr>
            <w:tcW w:w="0" w:type="auto"/>
          </w:tcPr>
          <w:p w14:paraId="21DD6BCB" w14:textId="77777777" w:rsidR="004A5CD4" w:rsidRDefault="002244FC">
            <w:pPr>
              <w:pStyle w:val="NormalWeb"/>
              <w:spacing w:before="120" w:after="120" w:line="360" w:lineRule="auto"/>
              <w:rPr>
                <w:lang w:val="en-IN"/>
              </w:rPr>
            </w:pPr>
            <w:r>
              <w:rPr>
                <w:lang w:val="en-IN"/>
              </w:rPr>
              <w:t>Yes</w:t>
            </w:r>
          </w:p>
        </w:tc>
        <w:tc>
          <w:tcPr>
            <w:tcW w:w="0" w:type="auto"/>
          </w:tcPr>
          <w:p w14:paraId="467D0CFC" w14:textId="77777777" w:rsidR="004A5CD4" w:rsidRDefault="002244FC">
            <w:pPr>
              <w:pStyle w:val="NormalWeb"/>
              <w:spacing w:before="120" w:after="120" w:line="360" w:lineRule="auto"/>
              <w:rPr>
                <w:lang w:val="en-IN"/>
              </w:rPr>
            </w:pPr>
            <w:r>
              <w:rPr>
                <w:lang w:val="en-IN"/>
              </w:rPr>
              <w:t>Yes</w:t>
            </w:r>
          </w:p>
        </w:tc>
        <w:tc>
          <w:tcPr>
            <w:tcW w:w="0" w:type="auto"/>
          </w:tcPr>
          <w:p w14:paraId="4667E8E7" w14:textId="77777777" w:rsidR="004A5CD4" w:rsidRDefault="002244FC">
            <w:pPr>
              <w:pStyle w:val="NormalWeb"/>
              <w:spacing w:before="120" w:after="120" w:line="360" w:lineRule="auto"/>
              <w:rPr>
                <w:lang w:val="en-IN"/>
              </w:rPr>
            </w:pPr>
            <w:r>
              <w:rPr>
                <w:lang w:val="en-IN"/>
              </w:rPr>
              <w:t>Yes</w:t>
            </w:r>
          </w:p>
        </w:tc>
      </w:tr>
    </w:tbl>
    <w:p w14:paraId="1BEF72A9" w14:textId="77777777" w:rsidR="004A5CD4" w:rsidRDefault="004A5CD4">
      <w:pPr>
        <w:pStyle w:val="NormalWeb"/>
        <w:spacing w:before="120" w:beforeAutospacing="0" w:after="120" w:afterAutospacing="0" w:line="360" w:lineRule="auto"/>
      </w:pPr>
    </w:p>
    <w:p w14:paraId="4C0E85ED" w14:textId="77777777" w:rsidR="004A5CD4" w:rsidRDefault="002244FC">
      <w:pPr>
        <w:spacing w:after="0" w:line="240" w:lineRule="auto"/>
        <w:jc w:val="left"/>
        <w:rPr>
          <w:rFonts w:eastAsiaTheme="majorEastAsia" w:cstheme="majorBidi"/>
          <w:b/>
          <w:szCs w:val="26"/>
        </w:rPr>
      </w:pPr>
      <w:r>
        <w:br w:type="page"/>
      </w:r>
    </w:p>
    <w:p w14:paraId="6434A857" w14:textId="77777777" w:rsidR="004A5CD4" w:rsidRDefault="002244FC">
      <w:pPr>
        <w:pStyle w:val="Heading2"/>
      </w:pPr>
      <w:bookmarkStart w:id="117" w:name="_Toc238674319"/>
      <w:r>
        <w:t>Appendix B: JBI Analytical Cross-Sectional Studies Checklist</w:t>
      </w:r>
      <w:bookmarkEnd w:id="117"/>
    </w:p>
    <w:tbl>
      <w:tblPr>
        <w:tblStyle w:val="TableGrid"/>
        <w:tblW w:w="0" w:type="auto"/>
        <w:tblLook w:val="04A0" w:firstRow="1" w:lastRow="0" w:firstColumn="1" w:lastColumn="0" w:noHBand="0" w:noVBand="1"/>
      </w:tblPr>
      <w:tblGrid>
        <w:gridCol w:w="603"/>
        <w:gridCol w:w="3375"/>
        <w:gridCol w:w="1901"/>
        <w:gridCol w:w="1653"/>
        <w:gridCol w:w="1484"/>
      </w:tblGrid>
      <w:tr w:rsidR="004A5CD4" w14:paraId="16A91018" w14:textId="77777777">
        <w:tc>
          <w:tcPr>
            <w:tcW w:w="0" w:type="auto"/>
          </w:tcPr>
          <w:p w14:paraId="532B0A3D" w14:textId="77777777" w:rsidR="004A5CD4" w:rsidRDefault="002244FC">
            <w:pPr>
              <w:rPr>
                <w:b/>
                <w:bCs/>
                <w:lang w:val="en-IN"/>
              </w:rPr>
            </w:pPr>
            <w:r>
              <w:rPr>
                <w:b/>
                <w:bCs/>
                <w:lang w:val="en-IN"/>
              </w:rPr>
              <w:t>No.</w:t>
            </w:r>
          </w:p>
        </w:tc>
        <w:tc>
          <w:tcPr>
            <w:tcW w:w="0" w:type="auto"/>
          </w:tcPr>
          <w:p w14:paraId="3534B0EF" w14:textId="77777777" w:rsidR="004A5CD4" w:rsidRDefault="002244FC">
            <w:pPr>
              <w:rPr>
                <w:b/>
                <w:bCs/>
                <w:lang w:val="en-IN"/>
              </w:rPr>
            </w:pPr>
            <w:r>
              <w:rPr>
                <w:b/>
                <w:bCs/>
                <w:lang w:val="en-IN"/>
              </w:rPr>
              <w:t>JBI Analytical Cross-Sectional Checklist</w:t>
            </w:r>
          </w:p>
        </w:tc>
        <w:tc>
          <w:tcPr>
            <w:tcW w:w="0" w:type="auto"/>
          </w:tcPr>
          <w:p w14:paraId="41749472" w14:textId="77777777" w:rsidR="004A5CD4" w:rsidRDefault="002244FC">
            <w:pPr>
              <w:rPr>
                <w:b/>
                <w:bCs/>
                <w:lang w:val="en-IN"/>
              </w:rPr>
            </w:pPr>
            <w:r>
              <w:rPr>
                <w:b/>
                <w:bCs/>
                <w:lang w:val="en-IN"/>
              </w:rPr>
              <w:t>Stepanous et al. (2025)</w:t>
            </w:r>
          </w:p>
        </w:tc>
        <w:tc>
          <w:tcPr>
            <w:tcW w:w="0" w:type="auto"/>
          </w:tcPr>
          <w:p w14:paraId="306FA82A" w14:textId="77777777" w:rsidR="004A5CD4" w:rsidRDefault="002244FC">
            <w:pPr>
              <w:rPr>
                <w:b/>
                <w:bCs/>
                <w:lang w:val="en-IN"/>
              </w:rPr>
            </w:pPr>
            <w:r>
              <w:rPr>
                <w:b/>
                <w:bCs/>
                <w:lang w:val="en-IN"/>
              </w:rPr>
              <w:t>Nawaz et al. (2025)</w:t>
            </w:r>
          </w:p>
        </w:tc>
        <w:tc>
          <w:tcPr>
            <w:tcW w:w="0" w:type="auto"/>
          </w:tcPr>
          <w:p w14:paraId="4693296D" w14:textId="77777777" w:rsidR="004A5CD4" w:rsidRDefault="002244FC">
            <w:pPr>
              <w:rPr>
                <w:b/>
                <w:bCs/>
                <w:lang w:val="en-IN"/>
              </w:rPr>
            </w:pPr>
            <w:r>
              <w:rPr>
                <w:b/>
                <w:bCs/>
                <w:lang w:val="en-IN"/>
              </w:rPr>
              <w:t>Blakey et al. (2021)</w:t>
            </w:r>
          </w:p>
        </w:tc>
      </w:tr>
      <w:tr w:rsidR="004A5CD4" w14:paraId="41B9CE81" w14:textId="77777777">
        <w:tc>
          <w:tcPr>
            <w:tcW w:w="0" w:type="auto"/>
          </w:tcPr>
          <w:p w14:paraId="6EDB25DC" w14:textId="77777777" w:rsidR="004A5CD4" w:rsidRDefault="002244FC">
            <w:pPr>
              <w:rPr>
                <w:lang w:val="en-IN"/>
              </w:rPr>
            </w:pPr>
            <w:r>
              <w:rPr>
                <w:lang w:val="en-IN"/>
              </w:rPr>
              <w:t>1</w:t>
            </w:r>
          </w:p>
        </w:tc>
        <w:tc>
          <w:tcPr>
            <w:tcW w:w="0" w:type="auto"/>
          </w:tcPr>
          <w:p w14:paraId="68484B27" w14:textId="77777777" w:rsidR="004A5CD4" w:rsidRDefault="002244FC">
            <w:pPr>
              <w:rPr>
                <w:lang w:val="en-IN"/>
              </w:rPr>
            </w:pPr>
            <w:r>
              <w:rPr>
                <w:lang w:val="en-IN"/>
              </w:rPr>
              <w:t>Were the criteria for inclusion in the sample clearly defined?</w:t>
            </w:r>
          </w:p>
        </w:tc>
        <w:tc>
          <w:tcPr>
            <w:tcW w:w="0" w:type="auto"/>
          </w:tcPr>
          <w:p w14:paraId="3877F61A" w14:textId="77777777" w:rsidR="004A5CD4" w:rsidRDefault="002244FC">
            <w:pPr>
              <w:rPr>
                <w:lang w:val="en-IN"/>
              </w:rPr>
            </w:pPr>
            <w:r>
              <w:rPr>
                <w:lang w:val="en-IN"/>
              </w:rPr>
              <w:t>Yes</w:t>
            </w:r>
          </w:p>
        </w:tc>
        <w:tc>
          <w:tcPr>
            <w:tcW w:w="0" w:type="auto"/>
          </w:tcPr>
          <w:p w14:paraId="6D29229A" w14:textId="77777777" w:rsidR="004A5CD4" w:rsidRDefault="002244FC">
            <w:pPr>
              <w:rPr>
                <w:lang w:val="en-IN"/>
              </w:rPr>
            </w:pPr>
            <w:r>
              <w:rPr>
                <w:lang w:val="en-IN"/>
              </w:rPr>
              <w:t>Yes</w:t>
            </w:r>
          </w:p>
        </w:tc>
        <w:tc>
          <w:tcPr>
            <w:tcW w:w="0" w:type="auto"/>
          </w:tcPr>
          <w:p w14:paraId="5E216202" w14:textId="77777777" w:rsidR="004A5CD4" w:rsidRDefault="002244FC">
            <w:pPr>
              <w:rPr>
                <w:lang w:val="en-IN"/>
              </w:rPr>
            </w:pPr>
            <w:r>
              <w:rPr>
                <w:lang w:val="en-IN"/>
              </w:rPr>
              <w:t>Yes</w:t>
            </w:r>
          </w:p>
        </w:tc>
      </w:tr>
      <w:tr w:rsidR="004A5CD4" w14:paraId="07D54323" w14:textId="77777777">
        <w:tc>
          <w:tcPr>
            <w:tcW w:w="0" w:type="auto"/>
          </w:tcPr>
          <w:p w14:paraId="1033F44C" w14:textId="77777777" w:rsidR="004A5CD4" w:rsidRDefault="002244FC">
            <w:pPr>
              <w:rPr>
                <w:lang w:val="en-IN"/>
              </w:rPr>
            </w:pPr>
            <w:r>
              <w:rPr>
                <w:lang w:val="en-IN"/>
              </w:rPr>
              <w:t>2</w:t>
            </w:r>
          </w:p>
        </w:tc>
        <w:tc>
          <w:tcPr>
            <w:tcW w:w="0" w:type="auto"/>
          </w:tcPr>
          <w:p w14:paraId="342FBB63" w14:textId="77777777" w:rsidR="004A5CD4" w:rsidRDefault="002244FC">
            <w:pPr>
              <w:rPr>
                <w:lang w:val="en-IN"/>
              </w:rPr>
            </w:pPr>
            <w:r>
              <w:rPr>
                <w:lang w:val="en-IN"/>
              </w:rPr>
              <w:t>Were participants and the setting described in detail?</w:t>
            </w:r>
          </w:p>
        </w:tc>
        <w:tc>
          <w:tcPr>
            <w:tcW w:w="0" w:type="auto"/>
          </w:tcPr>
          <w:p w14:paraId="26348C26" w14:textId="77777777" w:rsidR="004A5CD4" w:rsidRDefault="002244FC">
            <w:pPr>
              <w:rPr>
                <w:lang w:val="en-IN"/>
              </w:rPr>
            </w:pPr>
            <w:r>
              <w:rPr>
                <w:lang w:val="en-IN"/>
              </w:rPr>
              <w:t>Yes</w:t>
            </w:r>
          </w:p>
        </w:tc>
        <w:tc>
          <w:tcPr>
            <w:tcW w:w="0" w:type="auto"/>
          </w:tcPr>
          <w:p w14:paraId="48F156B6" w14:textId="77777777" w:rsidR="004A5CD4" w:rsidRDefault="002244FC">
            <w:pPr>
              <w:rPr>
                <w:lang w:val="en-IN"/>
              </w:rPr>
            </w:pPr>
            <w:r>
              <w:rPr>
                <w:lang w:val="en-IN"/>
              </w:rPr>
              <w:t>Yes</w:t>
            </w:r>
          </w:p>
        </w:tc>
        <w:tc>
          <w:tcPr>
            <w:tcW w:w="0" w:type="auto"/>
          </w:tcPr>
          <w:p w14:paraId="6D9853D7" w14:textId="77777777" w:rsidR="004A5CD4" w:rsidRDefault="002244FC">
            <w:pPr>
              <w:rPr>
                <w:lang w:val="en-IN"/>
              </w:rPr>
            </w:pPr>
            <w:r>
              <w:rPr>
                <w:lang w:val="en-IN"/>
              </w:rPr>
              <w:t>Yes</w:t>
            </w:r>
          </w:p>
        </w:tc>
      </w:tr>
      <w:tr w:rsidR="004A5CD4" w14:paraId="47108FCA" w14:textId="77777777">
        <w:tc>
          <w:tcPr>
            <w:tcW w:w="0" w:type="auto"/>
          </w:tcPr>
          <w:p w14:paraId="1B7D5C13" w14:textId="77777777" w:rsidR="004A5CD4" w:rsidRDefault="002244FC">
            <w:pPr>
              <w:rPr>
                <w:lang w:val="en-IN"/>
              </w:rPr>
            </w:pPr>
            <w:r>
              <w:rPr>
                <w:lang w:val="en-IN"/>
              </w:rPr>
              <w:t>3</w:t>
            </w:r>
          </w:p>
        </w:tc>
        <w:tc>
          <w:tcPr>
            <w:tcW w:w="0" w:type="auto"/>
          </w:tcPr>
          <w:p w14:paraId="33420DE2" w14:textId="77777777" w:rsidR="004A5CD4" w:rsidRDefault="002244FC">
            <w:pPr>
              <w:rPr>
                <w:lang w:val="en-IN"/>
              </w:rPr>
            </w:pPr>
            <w:r>
              <w:rPr>
                <w:lang w:val="en-IN"/>
              </w:rPr>
              <w:t>Was the exposure measured validly and reliably?</w:t>
            </w:r>
          </w:p>
        </w:tc>
        <w:tc>
          <w:tcPr>
            <w:tcW w:w="0" w:type="auto"/>
          </w:tcPr>
          <w:p w14:paraId="081B6DCC" w14:textId="77777777" w:rsidR="004A5CD4" w:rsidRDefault="002244FC">
            <w:pPr>
              <w:rPr>
                <w:lang w:val="en-IN"/>
              </w:rPr>
            </w:pPr>
            <w:r>
              <w:rPr>
                <w:lang w:val="en-IN"/>
              </w:rPr>
              <w:t>Yes</w:t>
            </w:r>
          </w:p>
        </w:tc>
        <w:tc>
          <w:tcPr>
            <w:tcW w:w="0" w:type="auto"/>
          </w:tcPr>
          <w:p w14:paraId="1F4FE4A8" w14:textId="77777777" w:rsidR="004A5CD4" w:rsidRDefault="002244FC">
            <w:pPr>
              <w:rPr>
                <w:lang w:val="en-IN"/>
              </w:rPr>
            </w:pPr>
            <w:r>
              <w:rPr>
                <w:lang w:val="en-IN"/>
              </w:rPr>
              <w:t>Yes/Partly</w:t>
            </w:r>
          </w:p>
        </w:tc>
        <w:tc>
          <w:tcPr>
            <w:tcW w:w="0" w:type="auto"/>
          </w:tcPr>
          <w:p w14:paraId="5703C7B0" w14:textId="77777777" w:rsidR="004A5CD4" w:rsidRDefault="002244FC">
            <w:pPr>
              <w:rPr>
                <w:lang w:val="en-IN"/>
              </w:rPr>
            </w:pPr>
            <w:r>
              <w:rPr>
                <w:lang w:val="en-IN"/>
              </w:rPr>
              <w:t>Unclear</w:t>
            </w:r>
          </w:p>
        </w:tc>
      </w:tr>
      <w:tr w:rsidR="004A5CD4" w14:paraId="449F0662" w14:textId="77777777">
        <w:tc>
          <w:tcPr>
            <w:tcW w:w="0" w:type="auto"/>
          </w:tcPr>
          <w:p w14:paraId="616924F4" w14:textId="77777777" w:rsidR="004A5CD4" w:rsidRDefault="002244FC">
            <w:pPr>
              <w:rPr>
                <w:lang w:val="en-IN"/>
              </w:rPr>
            </w:pPr>
            <w:r>
              <w:rPr>
                <w:lang w:val="en-IN"/>
              </w:rPr>
              <w:t>4</w:t>
            </w:r>
          </w:p>
        </w:tc>
        <w:tc>
          <w:tcPr>
            <w:tcW w:w="0" w:type="auto"/>
          </w:tcPr>
          <w:p w14:paraId="19BB860D" w14:textId="77777777" w:rsidR="004A5CD4" w:rsidRDefault="002244FC">
            <w:pPr>
              <w:rPr>
                <w:lang w:val="en-IN"/>
              </w:rPr>
            </w:pPr>
            <w:r>
              <w:rPr>
                <w:lang w:val="en-IN"/>
              </w:rPr>
              <w:t>Were objective, standard criteria used to measure the condition?</w:t>
            </w:r>
          </w:p>
        </w:tc>
        <w:tc>
          <w:tcPr>
            <w:tcW w:w="0" w:type="auto"/>
          </w:tcPr>
          <w:p w14:paraId="4A12594B" w14:textId="77777777" w:rsidR="004A5CD4" w:rsidRDefault="002244FC">
            <w:pPr>
              <w:rPr>
                <w:lang w:val="en-IN"/>
              </w:rPr>
            </w:pPr>
            <w:r>
              <w:rPr>
                <w:lang w:val="en-IN"/>
              </w:rPr>
              <w:t>Yes</w:t>
            </w:r>
          </w:p>
        </w:tc>
        <w:tc>
          <w:tcPr>
            <w:tcW w:w="0" w:type="auto"/>
          </w:tcPr>
          <w:p w14:paraId="3CF87168" w14:textId="77777777" w:rsidR="004A5CD4" w:rsidRDefault="002244FC">
            <w:pPr>
              <w:rPr>
                <w:lang w:val="en-IN"/>
              </w:rPr>
            </w:pPr>
            <w:r>
              <w:rPr>
                <w:lang w:val="en-IN"/>
              </w:rPr>
              <w:t>Yes</w:t>
            </w:r>
          </w:p>
        </w:tc>
        <w:tc>
          <w:tcPr>
            <w:tcW w:w="0" w:type="auto"/>
          </w:tcPr>
          <w:p w14:paraId="2223707C" w14:textId="77777777" w:rsidR="004A5CD4" w:rsidRDefault="002244FC">
            <w:pPr>
              <w:rPr>
                <w:lang w:val="en-IN"/>
              </w:rPr>
            </w:pPr>
            <w:r>
              <w:rPr>
                <w:lang w:val="en-IN"/>
              </w:rPr>
              <w:t>Yes</w:t>
            </w:r>
          </w:p>
        </w:tc>
      </w:tr>
      <w:tr w:rsidR="004A5CD4" w14:paraId="60E309E8" w14:textId="77777777">
        <w:tc>
          <w:tcPr>
            <w:tcW w:w="0" w:type="auto"/>
          </w:tcPr>
          <w:p w14:paraId="23C4C66E" w14:textId="77777777" w:rsidR="004A5CD4" w:rsidRDefault="002244FC">
            <w:pPr>
              <w:rPr>
                <w:lang w:val="en-IN"/>
              </w:rPr>
            </w:pPr>
            <w:r>
              <w:rPr>
                <w:lang w:val="en-IN"/>
              </w:rPr>
              <w:t>5</w:t>
            </w:r>
          </w:p>
        </w:tc>
        <w:tc>
          <w:tcPr>
            <w:tcW w:w="0" w:type="auto"/>
          </w:tcPr>
          <w:p w14:paraId="4EFD21DB" w14:textId="77777777" w:rsidR="004A5CD4" w:rsidRDefault="002244FC">
            <w:pPr>
              <w:rPr>
                <w:lang w:val="en-IN"/>
              </w:rPr>
            </w:pPr>
            <w:r>
              <w:rPr>
                <w:lang w:val="en-IN"/>
              </w:rPr>
              <w:t>Were confounding factors identified?</w:t>
            </w:r>
          </w:p>
        </w:tc>
        <w:tc>
          <w:tcPr>
            <w:tcW w:w="0" w:type="auto"/>
          </w:tcPr>
          <w:p w14:paraId="6008BBBA" w14:textId="77777777" w:rsidR="004A5CD4" w:rsidRDefault="002244FC">
            <w:pPr>
              <w:rPr>
                <w:lang w:val="en-IN"/>
              </w:rPr>
            </w:pPr>
            <w:r>
              <w:rPr>
                <w:lang w:val="en-IN"/>
              </w:rPr>
              <w:t>Yes</w:t>
            </w:r>
          </w:p>
        </w:tc>
        <w:tc>
          <w:tcPr>
            <w:tcW w:w="0" w:type="auto"/>
          </w:tcPr>
          <w:p w14:paraId="4A16C15C" w14:textId="77777777" w:rsidR="004A5CD4" w:rsidRDefault="002244FC">
            <w:pPr>
              <w:rPr>
                <w:lang w:val="en-IN"/>
              </w:rPr>
            </w:pPr>
            <w:r>
              <w:rPr>
                <w:lang w:val="en-IN"/>
              </w:rPr>
              <w:t>Yes</w:t>
            </w:r>
          </w:p>
        </w:tc>
        <w:tc>
          <w:tcPr>
            <w:tcW w:w="0" w:type="auto"/>
          </w:tcPr>
          <w:p w14:paraId="6604CAC0" w14:textId="77777777" w:rsidR="004A5CD4" w:rsidRDefault="002244FC">
            <w:pPr>
              <w:rPr>
                <w:lang w:val="en-IN"/>
              </w:rPr>
            </w:pPr>
            <w:r>
              <w:rPr>
                <w:lang w:val="en-IN"/>
              </w:rPr>
              <w:t>Yes</w:t>
            </w:r>
          </w:p>
        </w:tc>
      </w:tr>
      <w:tr w:rsidR="004A5CD4" w14:paraId="00D07A69" w14:textId="77777777">
        <w:tc>
          <w:tcPr>
            <w:tcW w:w="0" w:type="auto"/>
          </w:tcPr>
          <w:p w14:paraId="00FFE12D" w14:textId="77777777" w:rsidR="004A5CD4" w:rsidRDefault="002244FC">
            <w:pPr>
              <w:rPr>
                <w:lang w:val="en-IN"/>
              </w:rPr>
            </w:pPr>
            <w:r>
              <w:rPr>
                <w:lang w:val="en-IN"/>
              </w:rPr>
              <w:t>6</w:t>
            </w:r>
          </w:p>
        </w:tc>
        <w:tc>
          <w:tcPr>
            <w:tcW w:w="0" w:type="auto"/>
          </w:tcPr>
          <w:p w14:paraId="736E314B" w14:textId="77777777" w:rsidR="004A5CD4" w:rsidRDefault="002244FC">
            <w:pPr>
              <w:rPr>
                <w:lang w:val="en-IN"/>
              </w:rPr>
            </w:pPr>
            <w:r>
              <w:rPr>
                <w:lang w:val="en-IN"/>
              </w:rPr>
              <w:t>Were strategies to deal with confounding factors stated?</w:t>
            </w:r>
          </w:p>
        </w:tc>
        <w:tc>
          <w:tcPr>
            <w:tcW w:w="0" w:type="auto"/>
          </w:tcPr>
          <w:p w14:paraId="6566020E" w14:textId="77777777" w:rsidR="004A5CD4" w:rsidRDefault="002244FC">
            <w:pPr>
              <w:rPr>
                <w:lang w:val="en-IN"/>
              </w:rPr>
            </w:pPr>
            <w:r>
              <w:rPr>
                <w:lang w:val="en-IN"/>
              </w:rPr>
              <w:t>Yes</w:t>
            </w:r>
          </w:p>
        </w:tc>
        <w:tc>
          <w:tcPr>
            <w:tcW w:w="0" w:type="auto"/>
          </w:tcPr>
          <w:p w14:paraId="1569C967" w14:textId="77777777" w:rsidR="004A5CD4" w:rsidRDefault="002244FC">
            <w:pPr>
              <w:rPr>
                <w:lang w:val="en-IN"/>
              </w:rPr>
            </w:pPr>
            <w:r>
              <w:rPr>
                <w:lang w:val="en-IN"/>
              </w:rPr>
              <w:t>Yes</w:t>
            </w:r>
          </w:p>
        </w:tc>
        <w:tc>
          <w:tcPr>
            <w:tcW w:w="0" w:type="auto"/>
          </w:tcPr>
          <w:p w14:paraId="166020A1" w14:textId="77777777" w:rsidR="004A5CD4" w:rsidRDefault="002244FC">
            <w:pPr>
              <w:rPr>
                <w:lang w:val="en-IN"/>
              </w:rPr>
            </w:pPr>
            <w:r>
              <w:rPr>
                <w:lang w:val="en-IN"/>
              </w:rPr>
              <w:t>Yes</w:t>
            </w:r>
          </w:p>
        </w:tc>
      </w:tr>
      <w:tr w:rsidR="004A5CD4" w14:paraId="034E87AD" w14:textId="77777777">
        <w:tc>
          <w:tcPr>
            <w:tcW w:w="0" w:type="auto"/>
          </w:tcPr>
          <w:p w14:paraId="58F4D147" w14:textId="77777777" w:rsidR="004A5CD4" w:rsidRDefault="002244FC">
            <w:pPr>
              <w:rPr>
                <w:lang w:val="en-IN"/>
              </w:rPr>
            </w:pPr>
            <w:r>
              <w:rPr>
                <w:lang w:val="en-IN"/>
              </w:rPr>
              <w:t>7</w:t>
            </w:r>
          </w:p>
        </w:tc>
        <w:tc>
          <w:tcPr>
            <w:tcW w:w="0" w:type="auto"/>
          </w:tcPr>
          <w:p w14:paraId="430D8768" w14:textId="77777777" w:rsidR="004A5CD4" w:rsidRDefault="002244FC">
            <w:pPr>
              <w:rPr>
                <w:lang w:val="en-IN"/>
              </w:rPr>
            </w:pPr>
            <w:r>
              <w:rPr>
                <w:lang w:val="en-IN"/>
              </w:rPr>
              <w:t>Were outcomes measured validly and reliably?</w:t>
            </w:r>
          </w:p>
        </w:tc>
        <w:tc>
          <w:tcPr>
            <w:tcW w:w="0" w:type="auto"/>
          </w:tcPr>
          <w:p w14:paraId="79107453" w14:textId="77777777" w:rsidR="004A5CD4" w:rsidRDefault="002244FC">
            <w:pPr>
              <w:rPr>
                <w:lang w:val="en-IN"/>
              </w:rPr>
            </w:pPr>
            <w:r>
              <w:rPr>
                <w:lang w:val="en-IN"/>
              </w:rPr>
              <w:t>Yes</w:t>
            </w:r>
          </w:p>
        </w:tc>
        <w:tc>
          <w:tcPr>
            <w:tcW w:w="0" w:type="auto"/>
          </w:tcPr>
          <w:p w14:paraId="074B824D" w14:textId="77777777" w:rsidR="004A5CD4" w:rsidRDefault="002244FC">
            <w:pPr>
              <w:rPr>
                <w:lang w:val="en-IN"/>
              </w:rPr>
            </w:pPr>
            <w:r>
              <w:rPr>
                <w:lang w:val="en-IN"/>
              </w:rPr>
              <w:t>Yes</w:t>
            </w:r>
          </w:p>
        </w:tc>
        <w:tc>
          <w:tcPr>
            <w:tcW w:w="0" w:type="auto"/>
          </w:tcPr>
          <w:p w14:paraId="76D277E5" w14:textId="77777777" w:rsidR="004A5CD4" w:rsidRDefault="002244FC">
            <w:pPr>
              <w:rPr>
                <w:lang w:val="en-IN"/>
              </w:rPr>
            </w:pPr>
            <w:r>
              <w:rPr>
                <w:lang w:val="en-IN"/>
              </w:rPr>
              <w:t>Unclear</w:t>
            </w:r>
          </w:p>
        </w:tc>
      </w:tr>
      <w:tr w:rsidR="004A5CD4" w14:paraId="65DE2EA3" w14:textId="77777777">
        <w:tc>
          <w:tcPr>
            <w:tcW w:w="0" w:type="auto"/>
          </w:tcPr>
          <w:p w14:paraId="76B7B882" w14:textId="77777777" w:rsidR="004A5CD4" w:rsidRDefault="002244FC">
            <w:pPr>
              <w:rPr>
                <w:lang w:val="en-IN"/>
              </w:rPr>
            </w:pPr>
            <w:r>
              <w:rPr>
                <w:lang w:val="en-IN"/>
              </w:rPr>
              <w:t>8</w:t>
            </w:r>
          </w:p>
        </w:tc>
        <w:tc>
          <w:tcPr>
            <w:tcW w:w="0" w:type="auto"/>
          </w:tcPr>
          <w:p w14:paraId="012E4A12" w14:textId="77777777" w:rsidR="004A5CD4" w:rsidRDefault="002244FC">
            <w:pPr>
              <w:rPr>
                <w:lang w:val="en-IN"/>
              </w:rPr>
            </w:pPr>
            <w:r>
              <w:rPr>
                <w:lang w:val="en-IN"/>
              </w:rPr>
              <w:t>Was appropriate statistical analysis used?</w:t>
            </w:r>
          </w:p>
        </w:tc>
        <w:tc>
          <w:tcPr>
            <w:tcW w:w="0" w:type="auto"/>
          </w:tcPr>
          <w:p w14:paraId="67DC3BB9" w14:textId="77777777" w:rsidR="004A5CD4" w:rsidRDefault="002244FC">
            <w:pPr>
              <w:rPr>
                <w:lang w:val="en-IN"/>
              </w:rPr>
            </w:pPr>
            <w:r>
              <w:rPr>
                <w:lang w:val="en-IN"/>
              </w:rPr>
              <w:t>Yes</w:t>
            </w:r>
          </w:p>
        </w:tc>
        <w:tc>
          <w:tcPr>
            <w:tcW w:w="0" w:type="auto"/>
          </w:tcPr>
          <w:p w14:paraId="06EC2857" w14:textId="77777777" w:rsidR="004A5CD4" w:rsidRDefault="002244FC">
            <w:pPr>
              <w:rPr>
                <w:lang w:val="en-IN"/>
              </w:rPr>
            </w:pPr>
            <w:r>
              <w:rPr>
                <w:lang w:val="en-IN"/>
              </w:rPr>
              <w:t>Yes</w:t>
            </w:r>
          </w:p>
        </w:tc>
        <w:tc>
          <w:tcPr>
            <w:tcW w:w="0" w:type="auto"/>
          </w:tcPr>
          <w:p w14:paraId="2CD44169" w14:textId="77777777" w:rsidR="004A5CD4" w:rsidRDefault="002244FC">
            <w:pPr>
              <w:rPr>
                <w:lang w:val="en-IN"/>
              </w:rPr>
            </w:pPr>
            <w:r>
              <w:rPr>
                <w:lang w:val="en-IN"/>
              </w:rPr>
              <w:t>Yes</w:t>
            </w:r>
          </w:p>
        </w:tc>
      </w:tr>
    </w:tbl>
    <w:p w14:paraId="17B006B9" w14:textId="77777777" w:rsidR="004A5CD4" w:rsidRDefault="004A5CD4"/>
    <w:p w14:paraId="56FEA313" w14:textId="77777777" w:rsidR="004A5CD4" w:rsidRDefault="002244FC">
      <w:pPr>
        <w:pStyle w:val="Heading2"/>
      </w:pPr>
      <w:bookmarkStart w:id="118" w:name="_Toc238674320"/>
      <w:r>
        <w:t>Appendix C: JBI Cohort Studies Checklist</w:t>
      </w:r>
      <w:bookmarkEnd w:id="118"/>
    </w:p>
    <w:tbl>
      <w:tblPr>
        <w:tblStyle w:val="TableGrid"/>
        <w:tblW w:w="0" w:type="auto"/>
        <w:tblLook w:val="04A0" w:firstRow="1" w:lastRow="0" w:firstColumn="1" w:lastColumn="0" w:noHBand="0" w:noVBand="1"/>
      </w:tblPr>
      <w:tblGrid>
        <w:gridCol w:w="603"/>
        <w:gridCol w:w="4674"/>
        <w:gridCol w:w="1959"/>
        <w:gridCol w:w="1780"/>
      </w:tblGrid>
      <w:tr w:rsidR="004A5CD4" w14:paraId="22CB6AD6" w14:textId="77777777">
        <w:tc>
          <w:tcPr>
            <w:tcW w:w="0" w:type="auto"/>
          </w:tcPr>
          <w:p w14:paraId="01C2EEC4" w14:textId="77777777" w:rsidR="004A5CD4" w:rsidRDefault="002244FC">
            <w:pPr>
              <w:rPr>
                <w:b/>
                <w:bCs/>
                <w:lang w:val="en-IN"/>
              </w:rPr>
            </w:pPr>
            <w:r>
              <w:rPr>
                <w:b/>
                <w:bCs/>
                <w:lang w:val="en-IN"/>
              </w:rPr>
              <w:t>No.</w:t>
            </w:r>
          </w:p>
        </w:tc>
        <w:tc>
          <w:tcPr>
            <w:tcW w:w="0" w:type="auto"/>
          </w:tcPr>
          <w:p w14:paraId="2E4E8708" w14:textId="77777777" w:rsidR="004A5CD4" w:rsidRDefault="002244FC">
            <w:pPr>
              <w:rPr>
                <w:b/>
                <w:bCs/>
                <w:lang w:val="en-IN"/>
              </w:rPr>
            </w:pPr>
            <w:r>
              <w:rPr>
                <w:b/>
                <w:bCs/>
                <w:lang w:val="en-IN"/>
              </w:rPr>
              <w:t>JBI Cohort Studies Checklist</w:t>
            </w:r>
          </w:p>
        </w:tc>
        <w:tc>
          <w:tcPr>
            <w:tcW w:w="0" w:type="auto"/>
          </w:tcPr>
          <w:p w14:paraId="159F0FBC" w14:textId="77777777" w:rsidR="004A5CD4" w:rsidRDefault="002244FC">
            <w:pPr>
              <w:rPr>
                <w:b/>
                <w:bCs/>
                <w:lang w:val="en-IN"/>
              </w:rPr>
            </w:pPr>
            <w:r>
              <w:rPr>
                <w:b/>
                <w:bCs/>
                <w:lang w:val="en-IN"/>
              </w:rPr>
              <w:t>Bains and Gutman (2021)</w:t>
            </w:r>
          </w:p>
        </w:tc>
        <w:tc>
          <w:tcPr>
            <w:tcW w:w="0" w:type="auto"/>
          </w:tcPr>
          <w:p w14:paraId="122B50E7" w14:textId="77777777" w:rsidR="004A5CD4" w:rsidRDefault="002244FC">
            <w:pPr>
              <w:rPr>
                <w:b/>
                <w:bCs/>
                <w:lang w:val="en-IN"/>
              </w:rPr>
            </w:pPr>
            <w:r>
              <w:rPr>
                <w:b/>
                <w:bCs/>
                <w:lang w:val="en-IN"/>
              </w:rPr>
              <w:t>Astell-Burt et al. (2012)</w:t>
            </w:r>
          </w:p>
        </w:tc>
      </w:tr>
      <w:tr w:rsidR="004A5CD4" w14:paraId="576CA39C" w14:textId="77777777">
        <w:tc>
          <w:tcPr>
            <w:tcW w:w="0" w:type="auto"/>
          </w:tcPr>
          <w:p w14:paraId="70CE6111" w14:textId="77777777" w:rsidR="004A5CD4" w:rsidRDefault="002244FC">
            <w:pPr>
              <w:rPr>
                <w:lang w:val="en-IN"/>
              </w:rPr>
            </w:pPr>
            <w:r>
              <w:rPr>
                <w:lang w:val="en-IN"/>
              </w:rPr>
              <w:t>1</w:t>
            </w:r>
          </w:p>
        </w:tc>
        <w:tc>
          <w:tcPr>
            <w:tcW w:w="0" w:type="auto"/>
          </w:tcPr>
          <w:p w14:paraId="386EB466" w14:textId="77777777" w:rsidR="004A5CD4" w:rsidRDefault="002244FC">
            <w:pPr>
              <w:rPr>
                <w:lang w:val="en-IN"/>
              </w:rPr>
            </w:pPr>
            <w:r>
              <w:rPr>
                <w:lang w:val="en-IN"/>
              </w:rPr>
              <w:t>Were the two groups similar and recruited from the same population?</w:t>
            </w:r>
          </w:p>
        </w:tc>
        <w:tc>
          <w:tcPr>
            <w:tcW w:w="0" w:type="auto"/>
          </w:tcPr>
          <w:p w14:paraId="0A0B8433" w14:textId="77777777" w:rsidR="004A5CD4" w:rsidRDefault="002244FC">
            <w:pPr>
              <w:rPr>
                <w:lang w:val="en-IN"/>
              </w:rPr>
            </w:pPr>
            <w:r>
              <w:rPr>
                <w:lang w:val="en-IN"/>
              </w:rPr>
              <w:t>Yes/NA</w:t>
            </w:r>
          </w:p>
        </w:tc>
        <w:tc>
          <w:tcPr>
            <w:tcW w:w="0" w:type="auto"/>
          </w:tcPr>
          <w:p w14:paraId="76DB5584" w14:textId="77777777" w:rsidR="004A5CD4" w:rsidRDefault="002244FC">
            <w:pPr>
              <w:rPr>
                <w:lang w:val="en-IN"/>
              </w:rPr>
            </w:pPr>
            <w:r>
              <w:rPr>
                <w:lang w:val="en-IN"/>
              </w:rPr>
              <w:t>Yes/NA</w:t>
            </w:r>
          </w:p>
        </w:tc>
      </w:tr>
      <w:tr w:rsidR="004A5CD4" w14:paraId="536F6F54" w14:textId="77777777">
        <w:tc>
          <w:tcPr>
            <w:tcW w:w="0" w:type="auto"/>
          </w:tcPr>
          <w:p w14:paraId="7DCD7ED8" w14:textId="77777777" w:rsidR="004A5CD4" w:rsidRDefault="002244FC">
            <w:pPr>
              <w:rPr>
                <w:lang w:val="en-IN"/>
              </w:rPr>
            </w:pPr>
            <w:r>
              <w:rPr>
                <w:lang w:val="en-IN"/>
              </w:rPr>
              <w:t>2</w:t>
            </w:r>
          </w:p>
        </w:tc>
        <w:tc>
          <w:tcPr>
            <w:tcW w:w="0" w:type="auto"/>
          </w:tcPr>
          <w:p w14:paraId="4F88293E" w14:textId="77777777" w:rsidR="004A5CD4" w:rsidRDefault="002244FC">
            <w:pPr>
              <w:rPr>
                <w:lang w:val="en-IN"/>
              </w:rPr>
            </w:pPr>
            <w:r>
              <w:rPr>
                <w:lang w:val="en-IN"/>
              </w:rPr>
              <w:t>Were exposures measured similarly to assign participants to exposed/unexposed groups?</w:t>
            </w:r>
          </w:p>
        </w:tc>
        <w:tc>
          <w:tcPr>
            <w:tcW w:w="0" w:type="auto"/>
          </w:tcPr>
          <w:p w14:paraId="35A30445" w14:textId="77777777" w:rsidR="004A5CD4" w:rsidRDefault="002244FC">
            <w:pPr>
              <w:rPr>
                <w:lang w:val="en-IN"/>
              </w:rPr>
            </w:pPr>
            <w:r>
              <w:rPr>
                <w:lang w:val="en-IN"/>
              </w:rPr>
              <w:t>Yes</w:t>
            </w:r>
          </w:p>
        </w:tc>
        <w:tc>
          <w:tcPr>
            <w:tcW w:w="0" w:type="auto"/>
          </w:tcPr>
          <w:p w14:paraId="49E78F40" w14:textId="77777777" w:rsidR="004A5CD4" w:rsidRDefault="002244FC">
            <w:pPr>
              <w:rPr>
                <w:lang w:val="en-IN"/>
              </w:rPr>
            </w:pPr>
            <w:r>
              <w:rPr>
                <w:lang w:val="en-IN"/>
              </w:rPr>
              <w:t>Yes</w:t>
            </w:r>
          </w:p>
        </w:tc>
      </w:tr>
      <w:tr w:rsidR="004A5CD4" w14:paraId="21D02028" w14:textId="77777777">
        <w:tc>
          <w:tcPr>
            <w:tcW w:w="0" w:type="auto"/>
          </w:tcPr>
          <w:p w14:paraId="750EC4A0" w14:textId="77777777" w:rsidR="004A5CD4" w:rsidRDefault="002244FC">
            <w:pPr>
              <w:rPr>
                <w:lang w:val="en-IN"/>
              </w:rPr>
            </w:pPr>
            <w:r>
              <w:rPr>
                <w:lang w:val="en-IN"/>
              </w:rPr>
              <w:t>3</w:t>
            </w:r>
          </w:p>
        </w:tc>
        <w:tc>
          <w:tcPr>
            <w:tcW w:w="0" w:type="auto"/>
          </w:tcPr>
          <w:p w14:paraId="529A2988" w14:textId="77777777" w:rsidR="004A5CD4" w:rsidRDefault="002244FC">
            <w:pPr>
              <w:rPr>
                <w:lang w:val="en-IN"/>
              </w:rPr>
            </w:pPr>
            <w:r>
              <w:rPr>
                <w:lang w:val="en-IN"/>
              </w:rPr>
              <w:t>Was exposure measured validly and reliably?</w:t>
            </w:r>
          </w:p>
        </w:tc>
        <w:tc>
          <w:tcPr>
            <w:tcW w:w="0" w:type="auto"/>
          </w:tcPr>
          <w:p w14:paraId="7F382689" w14:textId="77777777" w:rsidR="004A5CD4" w:rsidRDefault="002244FC">
            <w:pPr>
              <w:rPr>
                <w:lang w:val="en-IN"/>
              </w:rPr>
            </w:pPr>
            <w:r>
              <w:rPr>
                <w:lang w:val="en-IN"/>
              </w:rPr>
              <w:t>Yes</w:t>
            </w:r>
          </w:p>
        </w:tc>
        <w:tc>
          <w:tcPr>
            <w:tcW w:w="0" w:type="auto"/>
          </w:tcPr>
          <w:p w14:paraId="282B57B2" w14:textId="77777777" w:rsidR="004A5CD4" w:rsidRDefault="002244FC">
            <w:pPr>
              <w:rPr>
                <w:lang w:val="en-IN"/>
              </w:rPr>
            </w:pPr>
            <w:r>
              <w:rPr>
                <w:lang w:val="en-IN"/>
              </w:rPr>
              <w:t>Yes/Partly</w:t>
            </w:r>
          </w:p>
        </w:tc>
      </w:tr>
      <w:tr w:rsidR="004A5CD4" w14:paraId="7323011D" w14:textId="77777777">
        <w:tc>
          <w:tcPr>
            <w:tcW w:w="0" w:type="auto"/>
          </w:tcPr>
          <w:p w14:paraId="486E65DD" w14:textId="77777777" w:rsidR="004A5CD4" w:rsidRDefault="002244FC">
            <w:pPr>
              <w:rPr>
                <w:lang w:val="en-IN"/>
              </w:rPr>
            </w:pPr>
            <w:r>
              <w:rPr>
                <w:lang w:val="en-IN"/>
              </w:rPr>
              <w:t>4</w:t>
            </w:r>
          </w:p>
        </w:tc>
        <w:tc>
          <w:tcPr>
            <w:tcW w:w="0" w:type="auto"/>
          </w:tcPr>
          <w:p w14:paraId="4E46A620" w14:textId="77777777" w:rsidR="004A5CD4" w:rsidRDefault="002244FC">
            <w:pPr>
              <w:rPr>
                <w:lang w:val="en-IN"/>
              </w:rPr>
            </w:pPr>
            <w:r>
              <w:rPr>
                <w:lang w:val="en-IN"/>
              </w:rPr>
              <w:t>Were confounding factors identified?</w:t>
            </w:r>
          </w:p>
        </w:tc>
        <w:tc>
          <w:tcPr>
            <w:tcW w:w="0" w:type="auto"/>
          </w:tcPr>
          <w:p w14:paraId="07600779" w14:textId="77777777" w:rsidR="004A5CD4" w:rsidRDefault="002244FC">
            <w:pPr>
              <w:rPr>
                <w:lang w:val="en-IN"/>
              </w:rPr>
            </w:pPr>
            <w:r>
              <w:rPr>
                <w:lang w:val="en-IN"/>
              </w:rPr>
              <w:t>Yes</w:t>
            </w:r>
          </w:p>
        </w:tc>
        <w:tc>
          <w:tcPr>
            <w:tcW w:w="0" w:type="auto"/>
          </w:tcPr>
          <w:p w14:paraId="0A0B6B60" w14:textId="77777777" w:rsidR="004A5CD4" w:rsidRDefault="002244FC">
            <w:pPr>
              <w:rPr>
                <w:lang w:val="en-IN"/>
              </w:rPr>
            </w:pPr>
            <w:r>
              <w:rPr>
                <w:lang w:val="en-IN"/>
              </w:rPr>
              <w:t>Yes</w:t>
            </w:r>
          </w:p>
        </w:tc>
      </w:tr>
      <w:tr w:rsidR="004A5CD4" w14:paraId="281689D7" w14:textId="77777777">
        <w:tc>
          <w:tcPr>
            <w:tcW w:w="0" w:type="auto"/>
          </w:tcPr>
          <w:p w14:paraId="20EE9B11" w14:textId="77777777" w:rsidR="004A5CD4" w:rsidRDefault="002244FC">
            <w:pPr>
              <w:rPr>
                <w:lang w:val="en-IN"/>
              </w:rPr>
            </w:pPr>
            <w:r>
              <w:rPr>
                <w:lang w:val="en-IN"/>
              </w:rPr>
              <w:t>5</w:t>
            </w:r>
          </w:p>
        </w:tc>
        <w:tc>
          <w:tcPr>
            <w:tcW w:w="0" w:type="auto"/>
          </w:tcPr>
          <w:p w14:paraId="7CBF9372" w14:textId="77777777" w:rsidR="004A5CD4" w:rsidRDefault="002244FC">
            <w:pPr>
              <w:rPr>
                <w:lang w:val="en-IN"/>
              </w:rPr>
            </w:pPr>
            <w:r>
              <w:rPr>
                <w:lang w:val="en-IN"/>
              </w:rPr>
              <w:t>Were strategies to deal with confounding factors stated?</w:t>
            </w:r>
          </w:p>
        </w:tc>
        <w:tc>
          <w:tcPr>
            <w:tcW w:w="0" w:type="auto"/>
          </w:tcPr>
          <w:p w14:paraId="5C886610" w14:textId="77777777" w:rsidR="004A5CD4" w:rsidRDefault="002244FC">
            <w:pPr>
              <w:rPr>
                <w:lang w:val="en-IN"/>
              </w:rPr>
            </w:pPr>
            <w:r>
              <w:rPr>
                <w:lang w:val="en-IN"/>
              </w:rPr>
              <w:t>Yes</w:t>
            </w:r>
          </w:p>
        </w:tc>
        <w:tc>
          <w:tcPr>
            <w:tcW w:w="0" w:type="auto"/>
          </w:tcPr>
          <w:p w14:paraId="77C051FF" w14:textId="77777777" w:rsidR="004A5CD4" w:rsidRDefault="002244FC">
            <w:pPr>
              <w:rPr>
                <w:lang w:val="en-IN"/>
              </w:rPr>
            </w:pPr>
            <w:r>
              <w:rPr>
                <w:lang w:val="en-IN"/>
              </w:rPr>
              <w:t>Yes</w:t>
            </w:r>
          </w:p>
        </w:tc>
      </w:tr>
      <w:tr w:rsidR="004A5CD4" w14:paraId="6B2BB675" w14:textId="77777777">
        <w:tc>
          <w:tcPr>
            <w:tcW w:w="0" w:type="auto"/>
          </w:tcPr>
          <w:p w14:paraId="03B2CDA8" w14:textId="77777777" w:rsidR="004A5CD4" w:rsidRDefault="002244FC">
            <w:pPr>
              <w:rPr>
                <w:lang w:val="en-IN"/>
              </w:rPr>
            </w:pPr>
            <w:r>
              <w:rPr>
                <w:lang w:val="en-IN"/>
              </w:rPr>
              <w:t>6</w:t>
            </w:r>
          </w:p>
        </w:tc>
        <w:tc>
          <w:tcPr>
            <w:tcW w:w="0" w:type="auto"/>
          </w:tcPr>
          <w:p w14:paraId="7D88639E" w14:textId="77777777" w:rsidR="004A5CD4" w:rsidRDefault="002244FC">
            <w:pPr>
              <w:rPr>
                <w:lang w:val="en-IN"/>
              </w:rPr>
            </w:pPr>
            <w:r>
              <w:rPr>
                <w:lang w:val="en-IN"/>
              </w:rPr>
              <w:t>Were participants free of the outcome at the start of the study or at exposure?</w:t>
            </w:r>
          </w:p>
        </w:tc>
        <w:tc>
          <w:tcPr>
            <w:tcW w:w="0" w:type="auto"/>
          </w:tcPr>
          <w:p w14:paraId="7462B070" w14:textId="77777777" w:rsidR="004A5CD4" w:rsidRDefault="002244FC">
            <w:pPr>
              <w:rPr>
                <w:lang w:val="en-IN"/>
              </w:rPr>
            </w:pPr>
            <w:r>
              <w:rPr>
                <w:lang w:val="en-IN"/>
              </w:rPr>
              <w:t>Unclear/NA</w:t>
            </w:r>
          </w:p>
        </w:tc>
        <w:tc>
          <w:tcPr>
            <w:tcW w:w="0" w:type="auto"/>
          </w:tcPr>
          <w:p w14:paraId="0917A543" w14:textId="77777777" w:rsidR="004A5CD4" w:rsidRDefault="002244FC">
            <w:pPr>
              <w:rPr>
                <w:lang w:val="en-IN"/>
              </w:rPr>
            </w:pPr>
            <w:r>
              <w:rPr>
                <w:lang w:val="en-IN"/>
              </w:rPr>
              <w:t>Unclear</w:t>
            </w:r>
          </w:p>
        </w:tc>
      </w:tr>
      <w:tr w:rsidR="004A5CD4" w14:paraId="64FAF0F3" w14:textId="77777777">
        <w:tc>
          <w:tcPr>
            <w:tcW w:w="0" w:type="auto"/>
          </w:tcPr>
          <w:p w14:paraId="07038C69" w14:textId="77777777" w:rsidR="004A5CD4" w:rsidRDefault="002244FC">
            <w:pPr>
              <w:rPr>
                <w:lang w:val="en-IN"/>
              </w:rPr>
            </w:pPr>
            <w:r>
              <w:rPr>
                <w:lang w:val="en-IN"/>
              </w:rPr>
              <w:t>7</w:t>
            </w:r>
          </w:p>
        </w:tc>
        <w:tc>
          <w:tcPr>
            <w:tcW w:w="0" w:type="auto"/>
          </w:tcPr>
          <w:p w14:paraId="2E2E4CD2" w14:textId="77777777" w:rsidR="004A5CD4" w:rsidRDefault="002244FC">
            <w:pPr>
              <w:rPr>
                <w:lang w:val="en-IN"/>
              </w:rPr>
            </w:pPr>
            <w:r>
              <w:rPr>
                <w:lang w:val="en-IN"/>
              </w:rPr>
              <w:t>Were outcomes measured validly and reliably?</w:t>
            </w:r>
          </w:p>
        </w:tc>
        <w:tc>
          <w:tcPr>
            <w:tcW w:w="0" w:type="auto"/>
          </w:tcPr>
          <w:p w14:paraId="4145E25D" w14:textId="77777777" w:rsidR="004A5CD4" w:rsidRDefault="002244FC">
            <w:pPr>
              <w:rPr>
                <w:lang w:val="en-IN"/>
              </w:rPr>
            </w:pPr>
            <w:r>
              <w:rPr>
                <w:lang w:val="en-IN"/>
              </w:rPr>
              <w:t>Yes</w:t>
            </w:r>
          </w:p>
        </w:tc>
        <w:tc>
          <w:tcPr>
            <w:tcW w:w="0" w:type="auto"/>
          </w:tcPr>
          <w:p w14:paraId="3109EDF7" w14:textId="77777777" w:rsidR="004A5CD4" w:rsidRDefault="002244FC">
            <w:pPr>
              <w:rPr>
                <w:lang w:val="en-IN"/>
              </w:rPr>
            </w:pPr>
            <w:r>
              <w:rPr>
                <w:lang w:val="en-IN"/>
              </w:rPr>
              <w:t>Yes</w:t>
            </w:r>
          </w:p>
        </w:tc>
      </w:tr>
      <w:tr w:rsidR="004A5CD4" w14:paraId="1A0BD830" w14:textId="77777777">
        <w:tc>
          <w:tcPr>
            <w:tcW w:w="0" w:type="auto"/>
          </w:tcPr>
          <w:p w14:paraId="09FA7A6A" w14:textId="77777777" w:rsidR="004A5CD4" w:rsidRDefault="002244FC">
            <w:pPr>
              <w:rPr>
                <w:lang w:val="en-IN"/>
              </w:rPr>
            </w:pPr>
            <w:r>
              <w:rPr>
                <w:lang w:val="en-IN"/>
              </w:rPr>
              <w:t>8</w:t>
            </w:r>
          </w:p>
        </w:tc>
        <w:tc>
          <w:tcPr>
            <w:tcW w:w="0" w:type="auto"/>
          </w:tcPr>
          <w:p w14:paraId="6936E9B4" w14:textId="77777777" w:rsidR="004A5CD4" w:rsidRDefault="002244FC">
            <w:pPr>
              <w:rPr>
                <w:lang w:val="en-IN"/>
              </w:rPr>
            </w:pPr>
            <w:r>
              <w:rPr>
                <w:lang w:val="en-IN"/>
              </w:rPr>
              <w:t>Was follow-up time reported and sufficient for outcomes to occur?</w:t>
            </w:r>
          </w:p>
        </w:tc>
        <w:tc>
          <w:tcPr>
            <w:tcW w:w="0" w:type="auto"/>
          </w:tcPr>
          <w:p w14:paraId="7AB09D3E" w14:textId="77777777" w:rsidR="004A5CD4" w:rsidRDefault="002244FC">
            <w:pPr>
              <w:rPr>
                <w:lang w:val="en-IN"/>
              </w:rPr>
            </w:pPr>
            <w:r>
              <w:rPr>
                <w:lang w:val="en-IN"/>
              </w:rPr>
              <w:t>Yes</w:t>
            </w:r>
          </w:p>
        </w:tc>
        <w:tc>
          <w:tcPr>
            <w:tcW w:w="0" w:type="auto"/>
          </w:tcPr>
          <w:p w14:paraId="648D4137" w14:textId="77777777" w:rsidR="004A5CD4" w:rsidRDefault="002244FC">
            <w:pPr>
              <w:rPr>
                <w:lang w:val="en-IN"/>
              </w:rPr>
            </w:pPr>
            <w:r>
              <w:rPr>
                <w:lang w:val="en-IN"/>
              </w:rPr>
              <w:t>Yes</w:t>
            </w:r>
          </w:p>
        </w:tc>
      </w:tr>
      <w:tr w:rsidR="004A5CD4" w14:paraId="4843EF55" w14:textId="77777777">
        <w:tc>
          <w:tcPr>
            <w:tcW w:w="0" w:type="auto"/>
          </w:tcPr>
          <w:p w14:paraId="537170EB" w14:textId="77777777" w:rsidR="004A5CD4" w:rsidRDefault="002244FC">
            <w:pPr>
              <w:rPr>
                <w:lang w:val="en-IN"/>
              </w:rPr>
            </w:pPr>
            <w:r>
              <w:rPr>
                <w:lang w:val="en-IN"/>
              </w:rPr>
              <w:t>9</w:t>
            </w:r>
          </w:p>
        </w:tc>
        <w:tc>
          <w:tcPr>
            <w:tcW w:w="0" w:type="auto"/>
          </w:tcPr>
          <w:p w14:paraId="4205CC26" w14:textId="77777777" w:rsidR="004A5CD4" w:rsidRDefault="002244FC">
            <w:pPr>
              <w:rPr>
                <w:lang w:val="en-IN"/>
              </w:rPr>
            </w:pPr>
            <w:r>
              <w:rPr>
                <w:lang w:val="en-IN"/>
              </w:rPr>
              <w:t>Was follow-up complete, and if not, were reasons described?</w:t>
            </w:r>
          </w:p>
        </w:tc>
        <w:tc>
          <w:tcPr>
            <w:tcW w:w="0" w:type="auto"/>
          </w:tcPr>
          <w:p w14:paraId="7375B368" w14:textId="77777777" w:rsidR="004A5CD4" w:rsidRDefault="002244FC">
            <w:pPr>
              <w:rPr>
                <w:lang w:val="en-IN"/>
              </w:rPr>
            </w:pPr>
            <w:r>
              <w:rPr>
                <w:lang w:val="en-IN"/>
              </w:rPr>
              <w:t>Yes/Partly</w:t>
            </w:r>
          </w:p>
        </w:tc>
        <w:tc>
          <w:tcPr>
            <w:tcW w:w="0" w:type="auto"/>
          </w:tcPr>
          <w:p w14:paraId="05708250" w14:textId="77777777" w:rsidR="004A5CD4" w:rsidRDefault="002244FC">
            <w:pPr>
              <w:rPr>
                <w:lang w:val="en-IN"/>
              </w:rPr>
            </w:pPr>
            <w:r>
              <w:rPr>
                <w:lang w:val="en-IN"/>
              </w:rPr>
              <w:t>Partly</w:t>
            </w:r>
          </w:p>
        </w:tc>
      </w:tr>
      <w:tr w:rsidR="004A5CD4" w14:paraId="201F728A" w14:textId="77777777">
        <w:tc>
          <w:tcPr>
            <w:tcW w:w="0" w:type="auto"/>
          </w:tcPr>
          <w:p w14:paraId="71417986" w14:textId="77777777" w:rsidR="004A5CD4" w:rsidRDefault="002244FC">
            <w:pPr>
              <w:rPr>
                <w:lang w:val="en-IN"/>
              </w:rPr>
            </w:pPr>
            <w:r>
              <w:rPr>
                <w:lang w:val="en-IN"/>
              </w:rPr>
              <w:t>10</w:t>
            </w:r>
          </w:p>
        </w:tc>
        <w:tc>
          <w:tcPr>
            <w:tcW w:w="0" w:type="auto"/>
          </w:tcPr>
          <w:p w14:paraId="77E00E3A" w14:textId="77777777" w:rsidR="004A5CD4" w:rsidRDefault="002244FC">
            <w:pPr>
              <w:rPr>
                <w:lang w:val="en-IN"/>
              </w:rPr>
            </w:pPr>
            <w:r>
              <w:rPr>
                <w:lang w:val="en-IN"/>
              </w:rPr>
              <w:t>Were strategies used to address incomplete follow-up?</w:t>
            </w:r>
          </w:p>
        </w:tc>
        <w:tc>
          <w:tcPr>
            <w:tcW w:w="0" w:type="auto"/>
          </w:tcPr>
          <w:p w14:paraId="698EAD58" w14:textId="77777777" w:rsidR="004A5CD4" w:rsidRDefault="002244FC">
            <w:pPr>
              <w:rPr>
                <w:lang w:val="en-IN"/>
              </w:rPr>
            </w:pPr>
            <w:r>
              <w:rPr>
                <w:lang w:val="en-IN"/>
              </w:rPr>
              <w:t>Yes</w:t>
            </w:r>
          </w:p>
        </w:tc>
        <w:tc>
          <w:tcPr>
            <w:tcW w:w="0" w:type="auto"/>
          </w:tcPr>
          <w:p w14:paraId="219D06ED" w14:textId="77777777" w:rsidR="004A5CD4" w:rsidRDefault="002244FC">
            <w:pPr>
              <w:rPr>
                <w:lang w:val="en-IN"/>
              </w:rPr>
            </w:pPr>
            <w:r>
              <w:rPr>
                <w:lang w:val="en-IN"/>
              </w:rPr>
              <w:t>Yes/Partly</w:t>
            </w:r>
          </w:p>
        </w:tc>
      </w:tr>
      <w:tr w:rsidR="004A5CD4" w14:paraId="730A28E8" w14:textId="77777777">
        <w:tc>
          <w:tcPr>
            <w:tcW w:w="0" w:type="auto"/>
          </w:tcPr>
          <w:p w14:paraId="7179D3B3" w14:textId="77777777" w:rsidR="004A5CD4" w:rsidRDefault="002244FC">
            <w:pPr>
              <w:rPr>
                <w:lang w:val="en-IN"/>
              </w:rPr>
            </w:pPr>
            <w:r>
              <w:rPr>
                <w:lang w:val="en-IN"/>
              </w:rPr>
              <w:t>11</w:t>
            </w:r>
          </w:p>
        </w:tc>
        <w:tc>
          <w:tcPr>
            <w:tcW w:w="0" w:type="auto"/>
          </w:tcPr>
          <w:p w14:paraId="69BB6360" w14:textId="77777777" w:rsidR="004A5CD4" w:rsidRDefault="002244FC">
            <w:pPr>
              <w:rPr>
                <w:lang w:val="en-IN"/>
              </w:rPr>
            </w:pPr>
            <w:r>
              <w:rPr>
                <w:lang w:val="en-IN"/>
              </w:rPr>
              <w:t>Was appropriate statistical analysis used?</w:t>
            </w:r>
          </w:p>
        </w:tc>
        <w:tc>
          <w:tcPr>
            <w:tcW w:w="0" w:type="auto"/>
          </w:tcPr>
          <w:p w14:paraId="54E0428D" w14:textId="77777777" w:rsidR="004A5CD4" w:rsidRDefault="002244FC">
            <w:pPr>
              <w:rPr>
                <w:lang w:val="en-IN"/>
              </w:rPr>
            </w:pPr>
            <w:r>
              <w:rPr>
                <w:lang w:val="en-IN"/>
              </w:rPr>
              <w:t>Yes</w:t>
            </w:r>
          </w:p>
        </w:tc>
        <w:tc>
          <w:tcPr>
            <w:tcW w:w="0" w:type="auto"/>
          </w:tcPr>
          <w:p w14:paraId="3A65EB8C" w14:textId="77777777" w:rsidR="004A5CD4" w:rsidRDefault="002244FC">
            <w:pPr>
              <w:rPr>
                <w:lang w:val="en-IN"/>
              </w:rPr>
            </w:pPr>
            <w:r>
              <w:rPr>
                <w:lang w:val="en-IN"/>
              </w:rPr>
              <w:t>Yes</w:t>
            </w:r>
          </w:p>
        </w:tc>
      </w:tr>
    </w:tbl>
    <w:p w14:paraId="67D03E52" w14:textId="77777777" w:rsidR="004A5CD4" w:rsidRDefault="002244FC">
      <w:pPr>
        <w:spacing w:after="0" w:line="240" w:lineRule="auto"/>
        <w:jc w:val="left"/>
        <w:rPr>
          <w:rFonts w:eastAsiaTheme="majorEastAsia" w:cstheme="majorBidi"/>
          <w:b/>
          <w:szCs w:val="26"/>
        </w:rPr>
      </w:pPr>
      <w:r>
        <w:br w:type="page"/>
      </w:r>
    </w:p>
    <w:p w14:paraId="3AF3BB29" w14:textId="77777777" w:rsidR="004A5CD4" w:rsidRDefault="002244FC">
      <w:pPr>
        <w:pStyle w:val="Heading2"/>
      </w:pPr>
      <w:bookmarkStart w:id="119" w:name="_Toc238674321"/>
      <w:r>
        <w:t>Appendix D: Data extraction table</w:t>
      </w:r>
      <w:bookmarkEnd w:id="119"/>
    </w:p>
    <w:tbl>
      <w:tblPr>
        <w:tblStyle w:val="TableGrid"/>
        <w:tblW w:w="0" w:type="auto"/>
        <w:tblLook w:val="04A0" w:firstRow="1" w:lastRow="0" w:firstColumn="1" w:lastColumn="0" w:noHBand="0" w:noVBand="1"/>
      </w:tblPr>
      <w:tblGrid>
        <w:gridCol w:w="906"/>
        <w:gridCol w:w="1290"/>
        <w:gridCol w:w="994"/>
        <w:gridCol w:w="1146"/>
        <w:gridCol w:w="1162"/>
        <w:gridCol w:w="1098"/>
        <w:gridCol w:w="1282"/>
        <w:gridCol w:w="1138"/>
      </w:tblGrid>
      <w:tr w:rsidR="004A5CD4" w14:paraId="4663A789" w14:textId="77777777">
        <w:trPr>
          <w:trHeight w:val="288"/>
        </w:trPr>
        <w:tc>
          <w:tcPr>
            <w:tcW w:w="453" w:type="dxa"/>
            <w:noWrap/>
          </w:tcPr>
          <w:p w14:paraId="335FF8E6" w14:textId="77777777" w:rsidR="004A5CD4" w:rsidRDefault="002244FC">
            <w:pPr>
              <w:rPr>
                <w:b/>
                <w:bCs/>
              </w:rPr>
            </w:pPr>
            <w:r>
              <w:rPr>
                <w:b/>
                <w:bCs/>
              </w:rPr>
              <w:t>Author &amp; year</w:t>
            </w:r>
          </w:p>
        </w:tc>
        <w:tc>
          <w:tcPr>
            <w:tcW w:w="1843" w:type="dxa"/>
            <w:noWrap/>
          </w:tcPr>
          <w:p w14:paraId="03DC63B4" w14:textId="77777777" w:rsidR="004A5CD4" w:rsidRDefault="002244FC">
            <w:pPr>
              <w:rPr>
                <w:b/>
                <w:bCs/>
              </w:rPr>
            </w:pPr>
            <w:r>
              <w:rPr>
                <w:b/>
                <w:bCs/>
              </w:rPr>
              <w:t>Aim</w:t>
            </w:r>
          </w:p>
        </w:tc>
        <w:tc>
          <w:tcPr>
            <w:tcW w:w="385" w:type="dxa"/>
            <w:noWrap/>
          </w:tcPr>
          <w:p w14:paraId="38E9A331" w14:textId="77777777" w:rsidR="004A5CD4" w:rsidRDefault="002244FC">
            <w:pPr>
              <w:rPr>
                <w:b/>
                <w:bCs/>
              </w:rPr>
            </w:pPr>
            <w:r>
              <w:rPr>
                <w:b/>
                <w:bCs/>
              </w:rPr>
              <w:t>Design</w:t>
            </w:r>
          </w:p>
        </w:tc>
        <w:tc>
          <w:tcPr>
            <w:tcW w:w="1343" w:type="dxa"/>
            <w:noWrap/>
          </w:tcPr>
          <w:p w14:paraId="76266E7B" w14:textId="77777777" w:rsidR="004A5CD4" w:rsidRDefault="002244FC">
            <w:pPr>
              <w:rPr>
                <w:b/>
                <w:bCs/>
              </w:rPr>
            </w:pPr>
            <w:r>
              <w:rPr>
                <w:b/>
                <w:bCs/>
              </w:rPr>
              <w:t>Participants / sample</w:t>
            </w:r>
          </w:p>
        </w:tc>
        <w:tc>
          <w:tcPr>
            <w:tcW w:w="1284" w:type="dxa"/>
            <w:noWrap/>
          </w:tcPr>
          <w:p w14:paraId="3B69632A" w14:textId="77777777" w:rsidR="004A5CD4" w:rsidRDefault="002244FC">
            <w:pPr>
              <w:rPr>
                <w:b/>
                <w:bCs/>
              </w:rPr>
            </w:pPr>
            <w:r>
              <w:rPr>
                <w:b/>
                <w:bCs/>
              </w:rPr>
              <w:t>Racism / inequality measure</w:t>
            </w:r>
          </w:p>
        </w:tc>
        <w:tc>
          <w:tcPr>
            <w:tcW w:w="928" w:type="dxa"/>
            <w:noWrap/>
          </w:tcPr>
          <w:p w14:paraId="550E0D1C" w14:textId="77777777" w:rsidR="004A5CD4" w:rsidRDefault="002244FC">
            <w:pPr>
              <w:rPr>
                <w:b/>
                <w:bCs/>
              </w:rPr>
            </w:pPr>
            <w:r>
              <w:rPr>
                <w:b/>
                <w:bCs/>
              </w:rPr>
              <w:t>Mental-health outcome</w:t>
            </w:r>
          </w:p>
        </w:tc>
        <w:tc>
          <w:tcPr>
            <w:tcW w:w="1991" w:type="dxa"/>
            <w:noWrap/>
          </w:tcPr>
          <w:p w14:paraId="1719D69F" w14:textId="77777777" w:rsidR="004A5CD4" w:rsidRDefault="002244FC">
            <w:pPr>
              <w:rPr>
                <w:b/>
                <w:bCs/>
              </w:rPr>
            </w:pPr>
            <w:r>
              <w:rPr>
                <w:b/>
                <w:bCs/>
              </w:rPr>
              <w:t>Main findings</w:t>
            </w:r>
          </w:p>
        </w:tc>
        <w:tc>
          <w:tcPr>
            <w:tcW w:w="1133" w:type="dxa"/>
            <w:noWrap/>
          </w:tcPr>
          <w:p w14:paraId="554B575E" w14:textId="77777777" w:rsidR="004A5CD4" w:rsidRDefault="002244FC">
            <w:pPr>
              <w:rPr>
                <w:b/>
                <w:bCs/>
              </w:rPr>
            </w:pPr>
            <w:r>
              <w:rPr>
                <w:b/>
                <w:bCs/>
              </w:rPr>
              <w:t>Key limitation</w:t>
            </w:r>
          </w:p>
        </w:tc>
      </w:tr>
      <w:tr w:rsidR="004A5CD4" w14:paraId="11009B37" w14:textId="77777777">
        <w:trPr>
          <w:trHeight w:val="288"/>
        </w:trPr>
        <w:tc>
          <w:tcPr>
            <w:tcW w:w="453" w:type="dxa"/>
            <w:noWrap/>
          </w:tcPr>
          <w:p w14:paraId="781F0C4E" w14:textId="77777777" w:rsidR="004A5CD4" w:rsidRDefault="002244FC">
            <w:r>
              <w:t>Stoll et al. (2025)</w:t>
            </w:r>
          </w:p>
        </w:tc>
        <w:tc>
          <w:tcPr>
            <w:tcW w:w="1843" w:type="dxa"/>
            <w:noWrap/>
          </w:tcPr>
          <w:p w14:paraId="5A280EDC" w14:textId="77777777" w:rsidR="004A5CD4" w:rsidRDefault="002244FC">
            <w:r>
              <w:t>Explore effects of racial discrimination in education on Black students’ mental health and wellbeing.</w:t>
            </w:r>
          </w:p>
        </w:tc>
        <w:tc>
          <w:tcPr>
            <w:tcW w:w="385" w:type="dxa"/>
            <w:noWrap/>
          </w:tcPr>
          <w:p w14:paraId="4DCEF7CC" w14:textId="77777777" w:rsidR="004A5CD4" w:rsidRDefault="002244FC">
            <w:r>
              <w:t>Qualitative IPA</w:t>
            </w:r>
          </w:p>
        </w:tc>
        <w:tc>
          <w:tcPr>
            <w:tcW w:w="1343" w:type="dxa"/>
            <w:noWrap/>
          </w:tcPr>
          <w:p w14:paraId="180519D7" w14:textId="77777777" w:rsidR="004A5CD4" w:rsidRDefault="002244FC">
            <w:r>
              <w:t>15 Black adults aged 18–50 retrospectively reporting school experiences</w:t>
            </w:r>
          </w:p>
        </w:tc>
        <w:tc>
          <w:tcPr>
            <w:tcW w:w="1284" w:type="dxa"/>
            <w:noWrap/>
          </w:tcPr>
          <w:p w14:paraId="16BD0096" w14:textId="77777777" w:rsidR="004A5CD4" w:rsidRDefault="002244FC">
            <w:r>
              <w:t>Direct experiences of educational racism</w:t>
            </w:r>
          </w:p>
        </w:tc>
        <w:tc>
          <w:tcPr>
            <w:tcW w:w="928" w:type="dxa"/>
            <w:noWrap/>
          </w:tcPr>
          <w:p w14:paraId="6BCC25CC" w14:textId="77777777" w:rsidR="004A5CD4" w:rsidRDefault="002244FC">
            <w:r>
              <w:t>Mental health, wellbeing and distress</w:t>
            </w:r>
          </w:p>
        </w:tc>
        <w:tc>
          <w:tcPr>
            <w:tcW w:w="1991" w:type="dxa"/>
            <w:noWrap/>
          </w:tcPr>
          <w:p w14:paraId="11D302DE" w14:textId="77777777" w:rsidR="004A5CD4" w:rsidRDefault="002244FC">
            <w:r>
              <w:t>Racism during schooling was linked with psychological distress and adverse wellbeing experiences.</w:t>
            </w:r>
          </w:p>
        </w:tc>
        <w:tc>
          <w:tcPr>
            <w:tcW w:w="1133" w:type="dxa"/>
            <w:noWrap/>
          </w:tcPr>
          <w:p w14:paraId="6721A695" w14:textId="77777777" w:rsidR="004A5CD4" w:rsidRDefault="002244FC">
            <w:r>
              <w:t>Retrospective accounts and small self-selected sample</w:t>
            </w:r>
          </w:p>
        </w:tc>
      </w:tr>
      <w:tr w:rsidR="004A5CD4" w14:paraId="29C6E679" w14:textId="77777777">
        <w:trPr>
          <w:trHeight w:val="288"/>
        </w:trPr>
        <w:tc>
          <w:tcPr>
            <w:tcW w:w="453" w:type="dxa"/>
            <w:noWrap/>
          </w:tcPr>
          <w:p w14:paraId="5F4F54D6" w14:textId="77777777" w:rsidR="004A5CD4" w:rsidRDefault="002244FC">
            <w:r>
              <w:t>O’Neill et al. (2021)</w:t>
            </w:r>
          </w:p>
        </w:tc>
        <w:tc>
          <w:tcPr>
            <w:tcW w:w="1843" w:type="dxa"/>
            <w:noWrap/>
          </w:tcPr>
          <w:p w14:paraId="01767701" w14:textId="77777777" w:rsidR="004A5CD4" w:rsidRDefault="002244FC">
            <w:r>
              <w:t>Explore adolescents’ understanding of causes of emotional distress.</w:t>
            </w:r>
          </w:p>
        </w:tc>
        <w:tc>
          <w:tcPr>
            <w:tcW w:w="385" w:type="dxa"/>
            <w:noWrap/>
          </w:tcPr>
          <w:p w14:paraId="38C00C00" w14:textId="77777777" w:rsidR="004A5CD4" w:rsidRDefault="002244FC">
            <w:r>
              <w:t>Qualitative</w:t>
            </w:r>
          </w:p>
        </w:tc>
        <w:tc>
          <w:tcPr>
            <w:tcW w:w="1343" w:type="dxa"/>
            <w:noWrap/>
          </w:tcPr>
          <w:p w14:paraId="3A991D0A" w14:textId="77777777" w:rsidR="004A5CD4" w:rsidRDefault="002244FC">
            <w:r>
              <w:t>32 young people aged 11–12</w:t>
            </w:r>
          </w:p>
        </w:tc>
        <w:tc>
          <w:tcPr>
            <w:tcW w:w="1284" w:type="dxa"/>
            <w:noWrap/>
          </w:tcPr>
          <w:p w14:paraId="1EFBE10D" w14:textId="77777777" w:rsidR="004A5CD4" w:rsidRDefault="002244FC">
            <w:r>
              <w:t>Racism/unfair treatment appeared within broader social experiences</w:t>
            </w:r>
          </w:p>
        </w:tc>
        <w:tc>
          <w:tcPr>
            <w:tcW w:w="928" w:type="dxa"/>
            <w:noWrap/>
          </w:tcPr>
          <w:p w14:paraId="3FF57016" w14:textId="77777777" w:rsidR="004A5CD4" w:rsidRDefault="002244FC">
            <w:r>
              <w:t>Emotional distress, sadness, worry and anxiety</w:t>
            </w:r>
          </w:p>
        </w:tc>
        <w:tc>
          <w:tcPr>
            <w:tcW w:w="1991" w:type="dxa"/>
            <w:noWrap/>
          </w:tcPr>
          <w:p w14:paraId="45D9D6F5" w14:textId="77777777" w:rsidR="004A5CD4" w:rsidRDefault="002244FC">
            <w:r>
              <w:t>Unfair treatment and social relationships contributed to emotional distress; racism was a secondary finding.</w:t>
            </w:r>
          </w:p>
        </w:tc>
        <w:tc>
          <w:tcPr>
            <w:tcW w:w="1133" w:type="dxa"/>
            <w:noWrap/>
          </w:tcPr>
          <w:p w14:paraId="51183C1C" w14:textId="77777777" w:rsidR="004A5CD4" w:rsidRDefault="002244FC">
            <w:r>
              <w:t>Small, mainly White British sample; racism not primary focus</w:t>
            </w:r>
          </w:p>
        </w:tc>
      </w:tr>
      <w:tr w:rsidR="004A5CD4" w14:paraId="228DBDE6" w14:textId="77777777">
        <w:trPr>
          <w:trHeight w:val="288"/>
        </w:trPr>
        <w:tc>
          <w:tcPr>
            <w:tcW w:w="453" w:type="dxa"/>
            <w:noWrap/>
          </w:tcPr>
          <w:p w14:paraId="4E8483CD" w14:textId="77777777" w:rsidR="004A5CD4" w:rsidRDefault="002244FC">
            <w:r>
              <w:t>Simela et al. (2024)</w:t>
            </w:r>
          </w:p>
        </w:tc>
        <w:tc>
          <w:tcPr>
            <w:tcW w:w="1843" w:type="dxa"/>
            <w:noWrap/>
          </w:tcPr>
          <w:p w14:paraId="4CC13320" w14:textId="77777777" w:rsidR="004A5CD4" w:rsidRDefault="002244FC">
            <w:r>
              <w:t>Examine intergenerational consequences of parental racism on offspring wellbeing.</w:t>
            </w:r>
          </w:p>
        </w:tc>
        <w:tc>
          <w:tcPr>
            <w:tcW w:w="385" w:type="dxa"/>
            <w:noWrap/>
          </w:tcPr>
          <w:p w14:paraId="2AD342CB" w14:textId="77777777" w:rsidR="004A5CD4" w:rsidRDefault="002244FC">
            <w:r>
              <w:t>Qualitative</w:t>
            </w:r>
          </w:p>
        </w:tc>
        <w:tc>
          <w:tcPr>
            <w:tcW w:w="1343" w:type="dxa"/>
            <w:noWrap/>
          </w:tcPr>
          <w:p w14:paraId="05B63C5E" w14:textId="77777777" w:rsidR="004A5CD4" w:rsidRDefault="002244FC">
            <w:r>
              <w:t>14 parents and 14 adolescents</w:t>
            </w:r>
          </w:p>
        </w:tc>
        <w:tc>
          <w:tcPr>
            <w:tcW w:w="1284" w:type="dxa"/>
            <w:noWrap/>
          </w:tcPr>
          <w:p w14:paraId="3B3694BA" w14:textId="77777777" w:rsidR="004A5CD4" w:rsidRDefault="002244FC">
            <w:r>
              <w:t>Direct parental and adolescent experiences of racism</w:t>
            </w:r>
          </w:p>
        </w:tc>
        <w:tc>
          <w:tcPr>
            <w:tcW w:w="928" w:type="dxa"/>
            <w:noWrap/>
          </w:tcPr>
          <w:p w14:paraId="37F46E59" w14:textId="77777777" w:rsidR="004A5CD4" w:rsidRDefault="002244FC">
            <w:r>
              <w:t>Mental health, wellbeing and family relationships</w:t>
            </w:r>
          </w:p>
        </w:tc>
        <w:tc>
          <w:tcPr>
            <w:tcW w:w="1991" w:type="dxa"/>
            <w:noWrap/>
          </w:tcPr>
          <w:p w14:paraId="373A30D0" w14:textId="77777777" w:rsidR="004A5CD4" w:rsidRDefault="002244FC">
            <w:r>
              <w:t>Racism affected family relationships, identity and offspring wellbeing across generations.</w:t>
            </w:r>
          </w:p>
        </w:tc>
        <w:tc>
          <w:tcPr>
            <w:tcW w:w="1133" w:type="dxa"/>
            <w:noWrap/>
          </w:tcPr>
          <w:p w14:paraId="4E6F654B" w14:textId="77777777" w:rsidR="004A5CD4" w:rsidRDefault="002244FC">
            <w:r>
              <w:t>Small sample and some participants aged 18</w:t>
            </w:r>
          </w:p>
        </w:tc>
      </w:tr>
      <w:tr w:rsidR="004A5CD4" w14:paraId="48C09E55" w14:textId="77777777">
        <w:trPr>
          <w:trHeight w:val="288"/>
        </w:trPr>
        <w:tc>
          <w:tcPr>
            <w:tcW w:w="453" w:type="dxa"/>
            <w:noWrap/>
          </w:tcPr>
          <w:p w14:paraId="32BAD741" w14:textId="77777777" w:rsidR="004A5CD4" w:rsidRDefault="002244FC">
            <w:r>
              <w:t>Stepanous et al. (2025)</w:t>
            </w:r>
          </w:p>
        </w:tc>
        <w:tc>
          <w:tcPr>
            <w:tcW w:w="1843" w:type="dxa"/>
            <w:noWrap/>
          </w:tcPr>
          <w:p w14:paraId="44E0A304" w14:textId="77777777" w:rsidR="004A5CD4" w:rsidRDefault="002244FC">
            <w:r>
              <w:t>Examine ethnic inequalities in adolescent wellbeing and contextual risk/protective factors.</w:t>
            </w:r>
          </w:p>
        </w:tc>
        <w:tc>
          <w:tcPr>
            <w:tcW w:w="385" w:type="dxa"/>
            <w:noWrap/>
          </w:tcPr>
          <w:p w14:paraId="78DAB873" w14:textId="77777777" w:rsidR="004A5CD4" w:rsidRDefault="002244FC">
            <w:r>
              <w:t>Cross-sectional</w:t>
            </w:r>
          </w:p>
        </w:tc>
        <w:tc>
          <w:tcPr>
            <w:tcW w:w="1343" w:type="dxa"/>
            <w:noWrap/>
          </w:tcPr>
          <w:p w14:paraId="79E31879" w14:textId="77777777" w:rsidR="004A5CD4" w:rsidRDefault="002244FC">
            <w:r>
              <w:t>Large #BeeWell school sample; adolescents aged about 12–15</w:t>
            </w:r>
          </w:p>
        </w:tc>
        <w:tc>
          <w:tcPr>
            <w:tcW w:w="1284" w:type="dxa"/>
            <w:noWrap/>
          </w:tcPr>
          <w:p w14:paraId="182ECE2C" w14:textId="77777777" w:rsidR="004A5CD4" w:rsidRDefault="002244FC">
            <w:r>
              <w:t>Discrimination, ethnicity, bullying and contextual factors</w:t>
            </w:r>
          </w:p>
        </w:tc>
        <w:tc>
          <w:tcPr>
            <w:tcW w:w="928" w:type="dxa"/>
            <w:noWrap/>
          </w:tcPr>
          <w:p w14:paraId="56A83D55" w14:textId="77777777" w:rsidR="004A5CD4" w:rsidRDefault="002244FC">
            <w:r>
              <w:t>Mental wellbeing</w:t>
            </w:r>
          </w:p>
        </w:tc>
        <w:tc>
          <w:tcPr>
            <w:tcW w:w="1991" w:type="dxa"/>
            <w:noWrap/>
          </w:tcPr>
          <w:p w14:paraId="0F45CD6F" w14:textId="77777777" w:rsidR="004A5CD4" w:rsidRDefault="002244FC">
            <w:r>
              <w:t>Wellbeing and the influence of social risks differed across ethnic groups.</w:t>
            </w:r>
          </w:p>
        </w:tc>
        <w:tc>
          <w:tcPr>
            <w:tcW w:w="1133" w:type="dxa"/>
            <w:noWrap/>
          </w:tcPr>
          <w:p w14:paraId="03E6CFDA" w14:textId="77777777" w:rsidR="004A5CD4" w:rsidRDefault="002244FC">
            <w:r>
              <w:t>Cross-sectional design limits causal inference</w:t>
            </w:r>
          </w:p>
        </w:tc>
      </w:tr>
      <w:tr w:rsidR="004A5CD4" w14:paraId="006B4660" w14:textId="77777777">
        <w:trPr>
          <w:trHeight w:val="288"/>
        </w:trPr>
        <w:tc>
          <w:tcPr>
            <w:tcW w:w="453" w:type="dxa"/>
            <w:noWrap/>
          </w:tcPr>
          <w:p w14:paraId="20870F4D" w14:textId="77777777" w:rsidR="004A5CD4" w:rsidRDefault="002244FC">
            <w:r>
              <w:t>Nawaz et al. (2025)</w:t>
            </w:r>
          </w:p>
        </w:tc>
        <w:tc>
          <w:tcPr>
            <w:tcW w:w="1843" w:type="dxa"/>
            <w:noWrap/>
          </w:tcPr>
          <w:p w14:paraId="7862D071" w14:textId="77777777" w:rsidR="004A5CD4" w:rsidRDefault="002244FC">
            <w:r>
              <w:t>Examine associations between school experiences and self-harm.</w:t>
            </w:r>
          </w:p>
        </w:tc>
        <w:tc>
          <w:tcPr>
            <w:tcW w:w="385" w:type="dxa"/>
            <w:noWrap/>
          </w:tcPr>
          <w:p w14:paraId="01E3663B" w14:textId="77777777" w:rsidR="004A5CD4" w:rsidRDefault="002244FC">
            <w:r>
              <w:t>Cross-sectional</w:t>
            </w:r>
          </w:p>
        </w:tc>
        <w:tc>
          <w:tcPr>
            <w:tcW w:w="1343" w:type="dxa"/>
            <w:noWrap/>
          </w:tcPr>
          <w:p w14:paraId="0BD59D8F" w14:textId="77777777" w:rsidR="004A5CD4" w:rsidRDefault="002244FC">
            <w:r>
              <w:t>12,554 pupils aged 11–16 from 67 schools</w:t>
            </w:r>
          </w:p>
        </w:tc>
        <w:tc>
          <w:tcPr>
            <w:tcW w:w="1284" w:type="dxa"/>
            <w:noWrap/>
          </w:tcPr>
          <w:p w14:paraId="1D0A2C4E" w14:textId="77777777" w:rsidR="004A5CD4" w:rsidRDefault="002244FC">
            <w:r>
              <w:t>School response to racism alongside bullying and teacher treatment</w:t>
            </w:r>
          </w:p>
        </w:tc>
        <w:tc>
          <w:tcPr>
            <w:tcW w:w="928" w:type="dxa"/>
            <w:noWrap/>
          </w:tcPr>
          <w:p w14:paraId="2A525D08" w14:textId="77777777" w:rsidR="004A5CD4" w:rsidRDefault="002244FC">
            <w:r>
              <w:t>Self-harm and wellbeing</w:t>
            </w:r>
          </w:p>
        </w:tc>
        <w:tc>
          <w:tcPr>
            <w:tcW w:w="1991" w:type="dxa"/>
            <w:noWrap/>
          </w:tcPr>
          <w:p w14:paraId="34C7C90C" w14:textId="77777777" w:rsidR="004A5CD4" w:rsidRDefault="002244FC">
            <w:r>
              <w:t>Poor school handling of racism was associated with higher odds of self-harm.</w:t>
            </w:r>
          </w:p>
        </w:tc>
        <w:tc>
          <w:tcPr>
            <w:tcW w:w="1133" w:type="dxa"/>
            <w:noWrap/>
          </w:tcPr>
          <w:p w14:paraId="6F7897FA" w14:textId="77777777" w:rsidR="004A5CD4" w:rsidRDefault="002244FC">
            <w:r>
              <w:t>Cross-sectional and self-reported data</w:t>
            </w:r>
          </w:p>
        </w:tc>
      </w:tr>
      <w:tr w:rsidR="004A5CD4" w14:paraId="714B09BD" w14:textId="77777777">
        <w:trPr>
          <w:trHeight w:val="288"/>
        </w:trPr>
        <w:tc>
          <w:tcPr>
            <w:tcW w:w="453" w:type="dxa"/>
            <w:noWrap/>
          </w:tcPr>
          <w:p w14:paraId="2E778600" w14:textId="77777777" w:rsidR="004A5CD4" w:rsidRDefault="002244FC">
            <w:r>
              <w:t>Blakey et al. (2021)</w:t>
            </w:r>
          </w:p>
        </w:tc>
        <w:tc>
          <w:tcPr>
            <w:tcW w:w="1843" w:type="dxa"/>
            <w:noWrap/>
          </w:tcPr>
          <w:p w14:paraId="3A5C7F86" w14:textId="77777777" w:rsidR="004A5CD4" w:rsidRDefault="002244FC">
            <w:r>
              <w:t>Examine ethnic differences in conduct problems and social risk factors.</w:t>
            </w:r>
          </w:p>
        </w:tc>
        <w:tc>
          <w:tcPr>
            <w:tcW w:w="385" w:type="dxa"/>
            <w:noWrap/>
          </w:tcPr>
          <w:p w14:paraId="09950EA3" w14:textId="77777777" w:rsidR="004A5CD4" w:rsidRDefault="002244FC">
            <w:r>
              <w:t>Cross-sectional</w:t>
            </w:r>
          </w:p>
        </w:tc>
        <w:tc>
          <w:tcPr>
            <w:tcW w:w="1343" w:type="dxa"/>
            <w:noWrap/>
          </w:tcPr>
          <w:p w14:paraId="365F4201" w14:textId="77777777" w:rsidR="004A5CD4" w:rsidRDefault="002244FC">
            <w:r>
              <w:t>4,353 pupils aged 11–14</w:t>
            </w:r>
          </w:p>
        </w:tc>
        <w:tc>
          <w:tcPr>
            <w:tcW w:w="1284" w:type="dxa"/>
            <w:noWrap/>
          </w:tcPr>
          <w:p w14:paraId="7F740271" w14:textId="77777777" w:rsidR="004A5CD4" w:rsidRDefault="002244FC">
            <w:r>
              <w:t>Direct self-reported racial discrimination</w:t>
            </w:r>
          </w:p>
        </w:tc>
        <w:tc>
          <w:tcPr>
            <w:tcW w:w="928" w:type="dxa"/>
            <w:noWrap/>
          </w:tcPr>
          <w:p w14:paraId="208EA057" w14:textId="77777777" w:rsidR="004A5CD4" w:rsidRDefault="002244FC">
            <w:r>
              <w:t>Conduct problems</w:t>
            </w:r>
          </w:p>
        </w:tc>
        <w:tc>
          <w:tcPr>
            <w:tcW w:w="1991" w:type="dxa"/>
            <w:noWrap/>
          </w:tcPr>
          <w:p w14:paraId="1AA9E3AD" w14:textId="77777777" w:rsidR="004A5CD4" w:rsidRDefault="002244FC">
            <w:r>
              <w:t>Racial discrimination was associated with greater risk of conduct problems.</w:t>
            </w:r>
          </w:p>
        </w:tc>
        <w:tc>
          <w:tcPr>
            <w:tcW w:w="1133" w:type="dxa"/>
            <w:noWrap/>
          </w:tcPr>
          <w:p w14:paraId="029034ED" w14:textId="77777777" w:rsidR="004A5CD4" w:rsidRDefault="002244FC">
            <w:r>
              <w:t>Racism measured using a single yes/no item</w:t>
            </w:r>
          </w:p>
        </w:tc>
      </w:tr>
      <w:tr w:rsidR="004A5CD4" w14:paraId="32599AEE" w14:textId="77777777">
        <w:trPr>
          <w:trHeight w:val="288"/>
        </w:trPr>
        <w:tc>
          <w:tcPr>
            <w:tcW w:w="453" w:type="dxa"/>
            <w:noWrap/>
          </w:tcPr>
          <w:p w14:paraId="66C186DB" w14:textId="77777777" w:rsidR="004A5CD4" w:rsidRDefault="002244FC">
            <w:r>
              <w:t>Bains &amp; Gutman (2021)</w:t>
            </w:r>
          </w:p>
        </w:tc>
        <w:tc>
          <w:tcPr>
            <w:tcW w:w="1843" w:type="dxa"/>
            <w:noWrap/>
          </w:tcPr>
          <w:p w14:paraId="295F5F3E" w14:textId="77777777" w:rsidR="004A5CD4" w:rsidRDefault="002244FC">
            <w:r>
              <w:t>Examine ethnic differences in mental-health trajectories across childhood and adolescence.</w:t>
            </w:r>
          </w:p>
        </w:tc>
        <w:tc>
          <w:tcPr>
            <w:tcW w:w="385" w:type="dxa"/>
            <w:noWrap/>
          </w:tcPr>
          <w:p w14:paraId="4AD5A5A4" w14:textId="77777777" w:rsidR="004A5CD4" w:rsidRDefault="002244FC">
            <w:r>
              <w:t>Longitudinal cohort</w:t>
            </w:r>
          </w:p>
        </w:tc>
        <w:tc>
          <w:tcPr>
            <w:tcW w:w="1343" w:type="dxa"/>
            <w:noWrap/>
          </w:tcPr>
          <w:p w14:paraId="01404F70" w14:textId="77777777" w:rsidR="004A5CD4" w:rsidRDefault="002244FC">
            <w:r>
              <w:t>UK Millennium Cohort; children followed from 3–14 years</w:t>
            </w:r>
          </w:p>
        </w:tc>
        <w:tc>
          <w:tcPr>
            <w:tcW w:w="1284" w:type="dxa"/>
            <w:noWrap/>
          </w:tcPr>
          <w:p w14:paraId="1B341A69" w14:textId="77777777" w:rsidR="004A5CD4" w:rsidRDefault="002244FC">
            <w:r>
              <w:t>Ethnicity; racism not directly measured</w:t>
            </w:r>
          </w:p>
        </w:tc>
        <w:tc>
          <w:tcPr>
            <w:tcW w:w="928" w:type="dxa"/>
            <w:noWrap/>
          </w:tcPr>
          <w:p w14:paraId="38E5F3C1" w14:textId="77777777" w:rsidR="004A5CD4" w:rsidRDefault="002244FC">
            <w:r>
              <w:t>Internalising and externalising problems</w:t>
            </w:r>
          </w:p>
        </w:tc>
        <w:tc>
          <w:tcPr>
            <w:tcW w:w="1991" w:type="dxa"/>
            <w:noWrap/>
          </w:tcPr>
          <w:p w14:paraId="68C50EA3" w14:textId="77777777" w:rsidR="004A5CD4" w:rsidRDefault="002244FC">
            <w:r>
              <w:t>Mental-health trajectories differed across ethnic groups over development.</w:t>
            </w:r>
          </w:p>
        </w:tc>
        <w:tc>
          <w:tcPr>
            <w:tcW w:w="1133" w:type="dxa"/>
            <w:noWrap/>
          </w:tcPr>
          <w:p w14:paraId="6ACF6B70" w14:textId="77777777" w:rsidR="004A5CD4" w:rsidRDefault="002244FC">
            <w:r>
              <w:t>Ethnicity cannot be treated as direct evidence of racism</w:t>
            </w:r>
          </w:p>
        </w:tc>
      </w:tr>
      <w:tr w:rsidR="004A5CD4" w14:paraId="29D780C2" w14:textId="77777777">
        <w:trPr>
          <w:trHeight w:val="288"/>
        </w:trPr>
        <w:tc>
          <w:tcPr>
            <w:tcW w:w="453" w:type="dxa"/>
            <w:noWrap/>
          </w:tcPr>
          <w:p w14:paraId="32995DE0" w14:textId="77777777" w:rsidR="004A5CD4" w:rsidRDefault="002244FC">
            <w:r>
              <w:t>Astell-Burt et al. (2012)</w:t>
            </w:r>
          </w:p>
        </w:tc>
        <w:tc>
          <w:tcPr>
            <w:tcW w:w="1843" w:type="dxa"/>
            <w:noWrap/>
          </w:tcPr>
          <w:p w14:paraId="40B323CE" w14:textId="77777777" w:rsidR="004A5CD4" w:rsidRDefault="002244FC">
            <w:r>
              <w:t>Examine racism and contextual influences on adolescent psychological wellbeing.</w:t>
            </w:r>
          </w:p>
        </w:tc>
        <w:tc>
          <w:tcPr>
            <w:tcW w:w="385" w:type="dxa"/>
            <w:noWrap/>
          </w:tcPr>
          <w:p w14:paraId="33716FFA" w14:textId="77777777" w:rsidR="004A5CD4" w:rsidRDefault="002244FC">
            <w:r>
              <w:t>Longitudinal cohort</w:t>
            </w:r>
          </w:p>
        </w:tc>
        <w:tc>
          <w:tcPr>
            <w:tcW w:w="1343" w:type="dxa"/>
            <w:noWrap/>
          </w:tcPr>
          <w:p w14:paraId="21E19101" w14:textId="77777777" w:rsidR="004A5CD4" w:rsidRDefault="002244FC">
            <w:r>
              <w:t>4,782 adolescents aged 11–16 from London schools</w:t>
            </w:r>
          </w:p>
        </w:tc>
        <w:tc>
          <w:tcPr>
            <w:tcW w:w="1284" w:type="dxa"/>
            <w:noWrap/>
          </w:tcPr>
          <w:p w14:paraId="65849C44" w14:textId="77777777" w:rsidR="004A5CD4" w:rsidRDefault="002244FC">
            <w:r>
              <w:t>Direct racism, ethnic density and deprivation</w:t>
            </w:r>
          </w:p>
        </w:tc>
        <w:tc>
          <w:tcPr>
            <w:tcW w:w="928" w:type="dxa"/>
            <w:noWrap/>
          </w:tcPr>
          <w:p w14:paraId="2B6BD2CB" w14:textId="77777777" w:rsidR="004A5CD4" w:rsidRDefault="002244FC">
            <w:r>
              <w:t>Psychological wellbeing</w:t>
            </w:r>
          </w:p>
        </w:tc>
        <w:tc>
          <w:tcPr>
            <w:tcW w:w="1991" w:type="dxa"/>
            <w:noWrap/>
          </w:tcPr>
          <w:p w14:paraId="62827369" w14:textId="77777777" w:rsidR="004A5CD4" w:rsidRDefault="002244FC">
            <w:r>
              <w:t>Racism and contextual factors were associated with differences in wellbeing trajectories.</w:t>
            </w:r>
          </w:p>
        </w:tc>
        <w:tc>
          <w:tcPr>
            <w:tcW w:w="1133" w:type="dxa"/>
            <w:noWrap/>
          </w:tcPr>
          <w:p w14:paraId="41926FCA" w14:textId="77777777" w:rsidR="004A5CD4" w:rsidRDefault="002244FC">
            <w:pPr>
              <w:rPr>
                <w:lang w:val="en-IN"/>
              </w:rPr>
            </w:pPr>
            <w:r>
              <w:rPr>
                <w:lang w:val="en-IN"/>
              </w:rPr>
              <w:t>Comparatively old published paper.</w:t>
            </w:r>
          </w:p>
        </w:tc>
      </w:tr>
    </w:tbl>
    <w:p w14:paraId="4B736D4A" w14:textId="77777777" w:rsidR="004A5CD4" w:rsidRDefault="004A5CD4"/>
    <w:sectPr w:rsidR="004A5CD4">
      <w:footerReference w:type="default" r:id="rId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F9956" w14:textId="77777777" w:rsidR="002244FC" w:rsidRDefault="002244FC">
      <w:pPr>
        <w:spacing w:line="240" w:lineRule="auto"/>
      </w:pPr>
      <w:r>
        <w:separator/>
      </w:r>
    </w:p>
  </w:endnote>
  <w:endnote w:type="continuationSeparator" w:id="0">
    <w:p w14:paraId="5ADB23D0" w14:textId="77777777" w:rsidR="002244FC" w:rsidRDefault="00224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332769"/>
    </w:sdtPr>
    <w:sdtEndPr/>
    <w:sdtContent>
      <w:p w14:paraId="4197AC3E" w14:textId="77777777" w:rsidR="004A5CD4" w:rsidRDefault="002244FC">
        <w:pPr>
          <w:pStyle w:val="Footer"/>
          <w:jc w:val="right"/>
        </w:pPr>
        <w:r>
          <w:t xml:space="preserve">Page | </w:t>
        </w:r>
        <w:r>
          <w:fldChar w:fldCharType="begin"/>
        </w:r>
        <w:r>
          <w:instrText xml:space="preserve"> PAGE   \* MERGEFORMAT </w:instrText>
        </w:r>
        <w:r>
          <w:fldChar w:fldCharType="separate"/>
        </w:r>
        <w:r w:rsidR="00995A92">
          <w:rPr>
            <w:noProof/>
          </w:rPr>
          <w:t>5</w:t>
        </w:r>
        <w:r>
          <w:fldChar w:fldCharType="end"/>
        </w:r>
        <w:r>
          <w:t xml:space="preserve"> </w:t>
        </w:r>
      </w:p>
    </w:sdtContent>
  </w:sdt>
  <w:p w14:paraId="72B794F8" w14:textId="77777777" w:rsidR="004A5CD4" w:rsidRDefault="004A5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10931" w14:textId="77777777" w:rsidR="002244FC" w:rsidRDefault="002244FC">
      <w:pPr>
        <w:spacing w:after="0"/>
      </w:pPr>
      <w:r>
        <w:separator/>
      </w:r>
    </w:p>
  </w:footnote>
  <w:footnote w:type="continuationSeparator" w:id="0">
    <w:p w14:paraId="09F24FAB" w14:textId="77777777" w:rsidR="002244FC" w:rsidRDefault="002244F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43CB6"/>
    <w:multiLevelType w:val="multilevel"/>
    <w:tmpl w:val="52043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0184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236"/>
    <w:rsid w:val="00005FF5"/>
    <w:rsid w:val="0001024B"/>
    <w:rsid w:val="00034571"/>
    <w:rsid w:val="000578C0"/>
    <w:rsid w:val="00067AC7"/>
    <w:rsid w:val="00070E54"/>
    <w:rsid w:val="0007223F"/>
    <w:rsid w:val="00073734"/>
    <w:rsid w:val="00075CD2"/>
    <w:rsid w:val="00076C5B"/>
    <w:rsid w:val="00077DD7"/>
    <w:rsid w:val="00083557"/>
    <w:rsid w:val="00083E1C"/>
    <w:rsid w:val="00091DC1"/>
    <w:rsid w:val="00094728"/>
    <w:rsid w:val="00096ACA"/>
    <w:rsid w:val="000A1D93"/>
    <w:rsid w:val="000A5012"/>
    <w:rsid w:val="000A7F6E"/>
    <w:rsid w:val="000B36DF"/>
    <w:rsid w:val="000B6C19"/>
    <w:rsid w:val="000D4B66"/>
    <w:rsid w:val="000F05F2"/>
    <w:rsid w:val="00106C82"/>
    <w:rsid w:val="001077E5"/>
    <w:rsid w:val="00107E4D"/>
    <w:rsid w:val="00116661"/>
    <w:rsid w:val="00133B90"/>
    <w:rsid w:val="00135637"/>
    <w:rsid w:val="001512CD"/>
    <w:rsid w:val="00172AEA"/>
    <w:rsid w:val="001837DC"/>
    <w:rsid w:val="00184DB6"/>
    <w:rsid w:val="001942C6"/>
    <w:rsid w:val="00196309"/>
    <w:rsid w:val="001A7AB7"/>
    <w:rsid w:val="001B25BE"/>
    <w:rsid w:val="001B73E6"/>
    <w:rsid w:val="001E7AC2"/>
    <w:rsid w:val="001F0757"/>
    <w:rsid w:val="00214CF3"/>
    <w:rsid w:val="00215DB2"/>
    <w:rsid w:val="00221D68"/>
    <w:rsid w:val="002222AF"/>
    <w:rsid w:val="00223AC3"/>
    <w:rsid w:val="002244FC"/>
    <w:rsid w:val="00232AD0"/>
    <w:rsid w:val="00236237"/>
    <w:rsid w:val="00242470"/>
    <w:rsid w:val="0024309D"/>
    <w:rsid w:val="002444A3"/>
    <w:rsid w:val="00257180"/>
    <w:rsid w:val="0027263A"/>
    <w:rsid w:val="00277281"/>
    <w:rsid w:val="00277C18"/>
    <w:rsid w:val="0028154C"/>
    <w:rsid w:val="0029473B"/>
    <w:rsid w:val="00297AA9"/>
    <w:rsid w:val="002A0C91"/>
    <w:rsid w:val="002E011E"/>
    <w:rsid w:val="002E3FF4"/>
    <w:rsid w:val="002E5B14"/>
    <w:rsid w:val="002E6B50"/>
    <w:rsid w:val="002F2120"/>
    <w:rsid w:val="00305F78"/>
    <w:rsid w:val="00307B6F"/>
    <w:rsid w:val="003303DB"/>
    <w:rsid w:val="00340A1D"/>
    <w:rsid w:val="0035663E"/>
    <w:rsid w:val="0037468A"/>
    <w:rsid w:val="00392AF6"/>
    <w:rsid w:val="003A6579"/>
    <w:rsid w:val="003A69A2"/>
    <w:rsid w:val="003C23F1"/>
    <w:rsid w:val="003C5221"/>
    <w:rsid w:val="003C597A"/>
    <w:rsid w:val="003D4C8E"/>
    <w:rsid w:val="003D5373"/>
    <w:rsid w:val="003F25FF"/>
    <w:rsid w:val="003F2B37"/>
    <w:rsid w:val="003F7CFC"/>
    <w:rsid w:val="003F7D93"/>
    <w:rsid w:val="00413B31"/>
    <w:rsid w:val="004267E8"/>
    <w:rsid w:val="0043573E"/>
    <w:rsid w:val="00443746"/>
    <w:rsid w:val="00444C81"/>
    <w:rsid w:val="00444F91"/>
    <w:rsid w:val="00445A2E"/>
    <w:rsid w:val="00445D88"/>
    <w:rsid w:val="004504CA"/>
    <w:rsid w:val="00454111"/>
    <w:rsid w:val="0045578E"/>
    <w:rsid w:val="00493A74"/>
    <w:rsid w:val="004A271B"/>
    <w:rsid w:val="004A5CD4"/>
    <w:rsid w:val="004C25C6"/>
    <w:rsid w:val="004E0AE0"/>
    <w:rsid w:val="004E10C7"/>
    <w:rsid w:val="004E27AC"/>
    <w:rsid w:val="004F02AF"/>
    <w:rsid w:val="004F07C5"/>
    <w:rsid w:val="004F2D3A"/>
    <w:rsid w:val="004F3C17"/>
    <w:rsid w:val="004F5182"/>
    <w:rsid w:val="00514DFA"/>
    <w:rsid w:val="00527BAB"/>
    <w:rsid w:val="0053770A"/>
    <w:rsid w:val="00545E7B"/>
    <w:rsid w:val="005530AC"/>
    <w:rsid w:val="00555C2B"/>
    <w:rsid w:val="00586007"/>
    <w:rsid w:val="00591765"/>
    <w:rsid w:val="005933B7"/>
    <w:rsid w:val="005A3FA9"/>
    <w:rsid w:val="005B0329"/>
    <w:rsid w:val="005B0494"/>
    <w:rsid w:val="005B2E6F"/>
    <w:rsid w:val="005B6337"/>
    <w:rsid w:val="005E08F4"/>
    <w:rsid w:val="005E1463"/>
    <w:rsid w:val="005E1AA5"/>
    <w:rsid w:val="005F3386"/>
    <w:rsid w:val="005F59DF"/>
    <w:rsid w:val="006015C7"/>
    <w:rsid w:val="00613FE8"/>
    <w:rsid w:val="00614207"/>
    <w:rsid w:val="006145EC"/>
    <w:rsid w:val="00630BC6"/>
    <w:rsid w:val="0064464F"/>
    <w:rsid w:val="00647558"/>
    <w:rsid w:val="0066564E"/>
    <w:rsid w:val="00681461"/>
    <w:rsid w:val="00694B50"/>
    <w:rsid w:val="006A0324"/>
    <w:rsid w:val="006A520D"/>
    <w:rsid w:val="006A5E6B"/>
    <w:rsid w:val="006B7DF1"/>
    <w:rsid w:val="006C04AF"/>
    <w:rsid w:val="006C515B"/>
    <w:rsid w:val="006C575F"/>
    <w:rsid w:val="006C5A49"/>
    <w:rsid w:val="006D400F"/>
    <w:rsid w:val="006E42C6"/>
    <w:rsid w:val="006F68DC"/>
    <w:rsid w:val="006F6D9E"/>
    <w:rsid w:val="00701BB2"/>
    <w:rsid w:val="00701EA1"/>
    <w:rsid w:val="007054B3"/>
    <w:rsid w:val="00707B70"/>
    <w:rsid w:val="00721688"/>
    <w:rsid w:val="00727582"/>
    <w:rsid w:val="007312EC"/>
    <w:rsid w:val="00731BFF"/>
    <w:rsid w:val="00733FE3"/>
    <w:rsid w:val="00735D82"/>
    <w:rsid w:val="00736B79"/>
    <w:rsid w:val="007415B4"/>
    <w:rsid w:val="00743D3A"/>
    <w:rsid w:val="00755127"/>
    <w:rsid w:val="00762582"/>
    <w:rsid w:val="007731F8"/>
    <w:rsid w:val="007941C9"/>
    <w:rsid w:val="007947CB"/>
    <w:rsid w:val="007A1459"/>
    <w:rsid w:val="007B1775"/>
    <w:rsid w:val="007D5EAB"/>
    <w:rsid w:val="007D6753"/>
    <w:rsid w:val="007E05C9"/>
    <w:rsid w:val="007F739F"/>
    <w:rsid w:val="00806B5D"/>
    <w:rsid w:val="00812FEF"/>
    <w:rsid w:val="00815CAE"/>
    <w:rsid w:val="008163B0"/>
    <w:rsid w:val="0081640A"/>
    <w:rsid w:val="008303D8"/>
    <w:rsid w:val="00856C46"/>
    <w:rsid w:val="00866518"/>
    <w:rsid w:val="00871F00"/>
    <w:rsid w:val="00875260"/>
    <w:rsid w:val="00886036"/>
    <w:rsid w:val="0088684B"/>
    <w:rsid w:val="00895BF1"/>
    <w:rsid w:val="008964DC"/>
    <w:rsid w:val="008A3B0F"/>
    <w:rsid w:val="008B11FD"/>
    <w:rsid w:val="008B56D1"/>
    <w:rsid w:val="008E3ADB"/>
    <w:rsid w:val="008F0DD0"/>
    <w:rsid w:val="008F1AB5"/>
    <w:rsid w:val="00907AC8"/>
    <w:rsid w:val="009175BC"/>
    <w:rsid w:val="00920B66"/>
    <w:rsid w:val="00930904"/>
    <w:rsid w:val="00936236"/>
    <w:rsid w:val="00936B1F"/>
    <w:rsid w:val="0094339F"/>
    <w:rsid w:val="00947F9E"/>
    <w:rsid w:val="00957EE4"/>
    <w:rsid w:val="00967193"/>
    <w:rsid w:val="00970A8D"/>
    <w:rsid w:val="009750F0"/>
    <w:rsid w:val="0097517A"/>
    <w:rsid w:val="00977B3F"/>
    <w:rsid w:val="00990C39"/>
    <w:rsid w:val="00995A92"/>
    <w:rsid w:val="009A4657"/>
    <w:rsid w:val="009B329D"/>
    <w:rsid w:val="009C2A51"/>
    <w:rsid w:val="009E5648"/>
    <w:rsid w:val="00A00EC6"/>
    <w:rsid w:val="00A03102"/>
    <w:rsid w:val="00A04376"/>
    <w:rsid w:val="00A06F05"/>
    <w:rsid w:val="00A104E7"/>
    <w:rsid w:val="00A113A4"/>
    <w:rsid w:val="00A15FA3"/>
    <w:rsid w:val="00A43BCF"/>
    <w:rsid w:val="00A44877"/>
    <w:rsid w:val="00A44D3F"/>
    <w:rsid w:val="00A70068"/>
    <w:rsid w:val="00A7477C"/>
    <w:rsid w:val="00AA64D1"/>
    <w:rsid w:val="00AB2ADF"/>
    <w:rsid w:val="00AD7591"/>
    <w:rsid w:val="00AD7EFF"/>
    <w:rsid w:val="00AF5353"/>
    <w:rsid w:val="00AF7AFC"/>
    <w:rsid w:val="00B11BAA"/>
    <w:rsid w:val="00B139D0"/>
    <w:rsid w:val="00B15EBC"/>
    <w:rsid w:val="00B15F91"/>
    <w:rsid w:val="00B25D5C"/>
    <w:rsid w:val="00B26F12"/>
    <w:rsid w:val="00B33668"/>
    <w:rsid w:val="00B47A8B"/>
    <w:rsid w:val="00B5201C"/>
    <w:rsid w:val="00B557E4"/>
    <w:rsid w:val="00B56F1D"/>
    <w:rsid w:val="00B65CE5"/>
    <w:rsid w:val="00B85F25"/>
    <w:rsid w:val="00B87237"/>
    <w:rsid w:val="00BA1058"/>
    <w:rsid w:val="00BB277D"/>
    <w:rsid w:val="00BB4474"/>
    <w:rsid w:val="00BC37E3"/>
    <w:rsid w:val="00BC6D36"/>
    <w:rsid w:val="00BD5668"/>
    <w:rsid w:val="00BF0F71"/>
    <w:rsid w:val="00BF1115"/>
    <w:rsid w:val="00BF6AA8"/>
    <w:rsid w:val="00C02F0E"/>
    <w:rsid w:val="00C208C8"/>
    <w:rsid w:val="00C23B23"/>
    <w:rsid w:val="00C25B9C"/>
    <w:rsid w:val="00C269C5"/>
    <w:rsid w:val="00C27258"/>
    <w:rsid w:val="00C37C06"/>
    <w:rsid w:val="00C45931"/>
    <w:rsid w:val="00C73856"/>
    <w:rsid w:val="00C92EA2"/>
    <w:rsid w:val="00C97CB0"/>
    <w:rsid w:val="00CB0572"/>
    <w:rsid w:val="00CB0CBD"/>
    <w:rsid w:val="00CC028C"/>
    <w:rsid w:val="00CC324E"/>
    <w:rsid w:val="00CC5BDE"/>
    <w:rsid w:val="00CD6334"/>
    <w:rsid w:val="00CE24BD"/>
    <w:rsid w:val="00D05F45"/>
    <w:rsid w:val="00D11D54"/>
    <w:rsid w:val="00D165E9"/>
    <w:rsid w:val="00D22D00"/>
    <w:rsid w:val="00D30CF8"/>
    <w:rsid w:val="00D36510"/>
    <w:rsid w:val="00D37469"/>
    <w:rsid w:val="00D411EE"/>
    <w:rsid w:val="00D73578"/>
    <w:rsid w:val="00D77C68"/>
    <w:rsid w:val="00D84236"/>
    <w:rsid w:val="00D9015A"/>
    <w:rsid w:val="00D9080C"/>
    <w:rsid w:val="00DB03BE"/>
    <w:rsid w:val="00DB3E63"/>
    <w:rsid w:val="00DB56FF"/>
    <w:rsid w:val="00DB6253"/>
    <w:rsid w:val="00DC5AED"/>
    <w:rsid w:val="00DD3A0E"/>
    <w:rsid w:val="00DE0410"/>
    <w:rsid w:val="00DF2720"/>
    <w:rsid w:val="00E016F0"/>
    <w:rsid w:val="00E01D56"/>
    <w:rsid w:val="00E05E4C"/>
    <w:rsid w:val="00E12D47"/>
    <w:rsid w:val="00E3212E"/>
    <w:rsid w:val="00E322F8"/>
    <w:rsid w:val="00E50C7A"/>
    <w:rsid w:val="00E536CD"/>
    <w:rsid w:val="00E60AFD"/>
    <w:rsid w:val="00E623FE"/>
    <w:rsid w:val="00E77A82"/>
    <w:rsid w:val="00E87795"/>
    <w:rsid w:val="00E87C5C"/>
    <w:rsid w:val="00E96743"/>
    <w:rsid w:val="00EA18E6"/>
    <w:rsid w:val="00EA19E6"/>
    <w:rsid w:val="00EA7C2F"/>
    <w:rsid w:val="00EB300C"/>
    <w:rsid w:val="00EB5319"/>
    <w:rsid w:val="00ED29FB"/>
    <w:rsid w:val="00ED590F"/>
    <w:rsid w:val="00ED5E10"/>
    <w:rsid w:val="00ED67E5"/>
    <w:rsid w:val="00ED6A6E"/>
    <w:rsid w:val="00EE12EF"/>
    <w:rsid w:val="00EE2731"/>
    <w:rsid w:val="00F01414"/>
    <w:rsid w:val="00F0302E"/>
    <w:rsid w:val="00F12A56"/>
    <w:rsid w:val="00F16027"/>
    <w:rsid w:val="00F32FA7"/>
    <w:rsid w:val="00F34ABD"/>
    <w:rsid w:val="00F432F3"/>
    <w:rsid w:val="00F469CC"/>
    <w:rsid w:val="00F46D72"/>
    <w:rsid w:val="00F56FC0"/>
    <w:rsid w:val="00F6294A"/>
    <w:rsid w:val="00F74498"/>
    <w:rsid w:val="00F84199"/>
    <w:rsid w:val="00F84782"/>
    <w:rsid w:val="00F935DA"/>
    <w:rsid w:val="00F95E1D"/>
    <w:rsid w:val="00FA0700"/>
    <w:rsid w:val="00FA13F1"/>
    <w:rsid w:val="00FA5C74"/>
    <w:rsid w:val="00FB0DAA"/>
    <w:rsid w:val="00FB6741"/>
    <w:rsid w:val="00FC769F"/>
    <w:rsid w:val="00FD1E20"/>
    <w:rsid w:val="00FD36D5"/>
    <w:rsid w:val="00FD4256"/>
    <w:rsid w:val="00FE6751"/>
    <w:rsid w:val="00FF540E"/>
    <w:rsid w:val="00FF7422"/>
    <w:rsid w:val="00FF76F4"/>
    <w:rsid w:val="0C9275AC"/>
    <w:rsid w:val="22233017"/>
    <w:rsid w:val="3476679F"/>
    <w:rsid w:val="3B4961CE"/>
    <w:rsid w:val="3EDC792D"/>
    <w:rsid w:val="46792F16"/>
    <w:rsid w:val="47CD434B"/>
    <w:rsid w:val="59826A48"/>
    <w:rsid w:val="5A972CE5"/>
    <w:rsid w:val="6A0F720C"/>
    <w:rsid w:val="7020322F"/>
    <w:rsid w:val="71466153"/>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E250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eastAsiaTheme="minorHAnsi" w:hAnsi="Arial" w:cstheme="minorBidi"/>
      <w:sz w:val="24"/>
      <w:szCs w:val="22"/>
      <w:lang w:val="en-GB" w:eastAsia="en-US" w:bidi="ar-SA"/>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eastAsiaTheme="majorEastAsia" w:cstheme="majorBidi"/>
      <w:b/>
      <w:i/>
      <w:iCs/>
      <w:color w:val="000000" w:themeColor="text1"/>
    </w:rPr>
  </w:style>
  <w:style w:type="paragraph" w:styleId="Heading5">
    <w:name w:val="heading 5"/>
    <w:basedOn w:val="Normal"/>
    <w:next w:val="Normal"/>
    <w:link w:val="Heading5Char"/>
    <w:uiPriority w:val="9"/>
    <w:semiHidden/>
    <w:unhideWhenUsed/>
    <w:qFormat/>
    <w:pPr>
      <w:keepNext/>
      <w:keepLines/>
      <w:spacing w:before="40" w:after="0"/>
      <w:jc w:val="center"/>
      <w:outlineLvl w:val="4"/>
    </w:pPr>
    <w:rPr>
      <w:rFonts w:eastAsiaTheme="majorEastAsia" w:cstheme="majorBidi"/>
      <w:b/>
      <w:color w:val="000000" w:themeColor="text1"/>
    </w:rPr>
  </w:style>
  <w:style w:type="paragraph" w:styleId="Heading6">
    <w:name w:val="heading 6"/>
    <w:basedOn w:val="Normal"/>
    <w:next w:val="Normal"/>
    <w:link w:val="Heading6Char"/>
    <w:uiPriority w:val="9"/>
    <w:unhideWhenUsed/>
    <w:qFormat/>
    <w:pPr>
      <w:keepNext/>
      <w:keepLines/>
      <w:spacing w:before="40" w:after="0"/>
      <w:jc w:val="center"/>
      <w:outlineLvl w:val="5"/>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spacing w:after="0" w:line="240" w:lineRule="auto"/>
    </w:pPr>
    <w:rPr>
      <w:rFonts w:eastAsia="Calibri Light" w:cs="Calibri Light"/>
      <w:sz w:val="22"/>
      <w:lang w:eastAsia="en-GB" w:bidi="en-GB"/>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lang w:eastAsia="en-I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spacing w:after="0"/>
    </w:p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4"/>
      <w:szCs w:val="26"/>
    </w:rPr>
  </w:style>
  <w:style w:type="character" w:customStyle="1" w:styleId="BodyTextChar">
    <w:name w:val="Body Text Char"/>
    <w:basedOn w:val="DefaultParagraphFont"/>
    <w:link w:val="BodyText"/>
    <w:uiPriority w:val="1"/>
    <w:qFormat/>
    <w:rPr>
      <w:rFonts w:ascii="Arial" w:eastAsia="Calibri Light" w:hAnsi="Arial" w:cs="Calibri Light"/>
      <w:lang w:val="en-GB" w:eastAsia="en-GB" w:bidi="en-GB"/>
    </w:rPr>
  </w:style>
  <w:style w:type="paragraph" w:styleId="ListParagraph">
    <w:name w:val="List Paragraph"/>
    <w:basedOn w:val="Normal"/>
    <w:uiPriority w:val="34"/>
    <w:qFormat/>
    <w:pPr>
      <w:widowControl w:val="0"/>
      <w:autoSpaceDE w:val="0"/>
      <w:autoSpaceDN w:val="0"/>
      <w:spacing w:after="0" w:line="240" w:lineRule="auto"/>
      <w:ind w:left="940" w:hanging="360"/>
    </w:pPr>
    <w:rPr>
      <w:rFonts w:ascii="Calibri Light" w:eastAsia="Calibri Light" w:hAnsi="Calibri Light" w:cs="Calibri Light"/>
      <w:sz w:val="22"/>
      <w:lang w:eastAsia="en-GB" w:bidi="en-GB"/>
    </w:rPr>
  </w:style>
  <w:style w:type="paragraph" w:customStyle="1" w:styleId="pdq2pgselectionanchorcontainer">
    <w:name w:val="pdq2pg_selectionanchorcontainer"/>
    <w:basedOn w:val="Normal"/>
    <w:qFormat/>
    <w:pPr>
      <w:spacing w:before="100" w:beforeAutospacing="1" w:after="100" w:afterAutospacing="1" w:line="240" w:lineRule="auto"/>
    </w:pPr>
    <w:rPr>
      <w:rFonts w:eastAsia="Times New Roman" w:cs="Times New Roman"/>
      <w:szCs w:val="24"/>
      <w:lang w:eastAsia="en-IN"/>
    </w:rPr>
  </w:style>
  <w:style w:type="character" w:customStyle="1" w:styleId="cursor-pointer">
    <w:name w:val="cursor-pointer"/>
    <w:basedOn w:val="DefaultParagraphFont"/>
    <w:qFormat/>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customStyle="1" w:styleId="TOCHeading1">
    <w:name w:val="TOC Heading1"/>
    <w:basedOn w:val="Heading1"/>
    <w:next w:val="Normal"/>
    <w:uiPriority w:val="39"/>
    <w:unhideWhenUsed/>
    <w:qFormat/>
    <w:pPr>
      <w:outlineLvl w:val="9"/>
    </w:pPr>
    <w:rPr>
      <w:rFonts w:asciiTheme="majorHAnsi" w:hAnsiTheme="majorHAnsi"/>
      <w:b w:val="0"/>
      <w:color w:val="2E74B5" w:themeColor="accent1" w:themeShade="BF"/>
      <w:sz w:val="32"/>
      <w:lang w:val="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ascii="Arial" w:eastAsiaTheme="majorEastAsia" w:hAnsi="Arial" w:cstheme="majorBidi"/>
      <w:b/>
      <w:sz w:val="24"/>
      <w:szCs w:val="24"/>
      <w:lang w:val="en-GB" w:eastAsia="en-US" w:bidi="ar-SA"/>
    </w:rPr>
  </w:style>
  <w:style w:type="character" w:customStyle="1" w:styleId="Heading4Char">
    <w:name w:val="Heading 4 Char"/>
    <w:basedOn w:val="DefaultParagraphFont"/>
    <w:link w:val="Heading4"/>
    <w:uiPriority w:val="9"/>
    <w:semiHidden/>
    <w:qFormat/>
    <w:rPr>
      <w:rFonts w:ascii="Arial" w:eastAsiaTheme="majorEastAsia" w:hAnsi="Arial" w:cstheme="majorBidi"/>
      <w:b/>
      <w:i/>
      <w:iCs/>
      <w:color w:val="000000" w:themeColor="text1"/>
      <w:sz w:val="24"/>
      <w:szCs w:val="22"/>
      <w:lang w:val="en-GB" w:eastAsia="en-US" w:bidi="ar-SA"/>
    </w:rPr>
  </w:style>
  <w:style w:type="character" w:customStyle="1" w:styleId="Heading5Char">
    <w:name w:val="Heading 5 Char"/>
    <w:basedOn w:val="DefaultParagraphFont"/>
    <w:link w:val="Heading5"/>
    <w:uiPriority w:val="9"/>
    <w:semiHidden/>
    <w:qFormat/>
    <w:rPr>
      <w:rFonts w:ascii="Arial" w:eastAsiaTheme="majorEastAsia" w:hAnsi="Arial" w:cstheme="majorBidi"/>
      <w:b/>
      <w:color w:val="000000" w:themeColor="text1"/>
      <w:sz w:val="24"/>
      <w:szCs w:val="22"/>
      <w:lang w:val="en-GB" w:eastAsia="en-US"/>
    </w:rPr>
  </w:style>
  <w:style w:type="character" w:customStyle="1" w:styleId="Heading6Char">
    <w:name w:val="Heading 6 Char"/>
    <w:basedOn w:val="DefaultParagraphFont"/>
    <w:link w:val="Heading6"/>
    <w:uiPriority w:val="9"/>
    <w:qFormat/>
    <w:rPr>
      <w:rFonts w:ascii="Arial" w:eastAsiaTheme="majorEastAsia" w:hAnsi="Arial" w:cstheme="majorBidi"/>
      <w:b/>
      <w:color w:val="000000" w:themeColor="text1"/>
      <w:sz w:val="24"/>
      <w:szCs w:val="22"/>
      <w:lang w:val="en-GB" w:eastAsia="en-US"/>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customStyle="1" w:styleId="Revision1">
    <w:name w:val="Revision1"/>
    <w:hidden/>
    <w:uiPriority w:val="99"/>
    <w:unhideWhenUsed/>
    <w:qFormat/>
    <w:rPr>
      <w:rFonts w:ascii="Arial" w:eastAsiaTheme="minorHAnsi" w:hAnsi="Arial" w:cstheme="minorBidi"/>
      <w:sz w:val="24"/>
      <w:szCs w:val="22"/>
      <w:lang w:val="en-GB" w:eastAsia="en-US" w:bidi="ar-SA"/>
    </w:rPr>
  </w:style>
  <w:style w:type="character" w:customStyle="1" w:styleId="CommentTextChar">
    <w:name w:val="Comment Text Char"/>
    <w:basedOn w:val="DefaultParagraphFont"/>
    <w:link w:val="CommentText"/>
    <w:uiPriority w:val="99"/>
    <w:qFormat/>
    <w:rPr>
      <w:rFonts w:ascii="Arial" w:eastAsiaTheme="minorHAnsi" w:hAnsi="Arial" w:cstheme="minorBidi"/>
      <w:lang w:eastAsia="en-US"/>
    </w:rPr>
  </w:style>
  <w:style w:type="character" w:customStyle="1" w:styleId="CommentSubjectChar">
    <w:name w:val="Comment Subject Char"/>
    <w:basedOn w:val="CommentTextChar"/>
    <w:link w:val="CommentSubject"/>
    <w:uiPriority w:val="99"/>
    <w:semiHidden/>
    <w:qFormat/>
    <w:rPr>
      <w:rFonts w:ascii="Arial" w:eastAsiaTheme="minorHAnsi" w:hAnsi="Arial" w:cstheme="minorBidi"/>
      <w:b/>
      <w:bCs/>
      <w:lang w:eastAsia="en-US"/>
    </w:rPr>
  </w:style>
  <w:style w:type="character" w:customStyle="1" w:styleId="UnresolvedMention3">
    <w:name w:val="Unresolved Mention3"/>
    <w:basedOn w:val="DefaultParagraphFont"/>
    <w:uiPriority w:val="99"/>
    <w:semiHidden/>
    <w:unhideWhenUsed/>
    <w:qFormat/>
    <w:rPr>
      <w:color w:val="605E5C"/>
      <w:shd w:val="clear" w:color="auto" w:fill="E1DFDD"/>
    </w:rPr>
  </w:style>
  <w:style w:type="paragraph" w:customStyle="1" w:styleId="Revision2">
    <w:name w:val="Revision2"/>
    <w:hidden/>
    <w:uiPriority w:val="99"/>
    <w:semiHidden/>
    <w:rPr>
      <w:rFonts w:ascii="Arial" w:eastAsiaTheme="minorHAnsi" w:hAnsi="Arial" w:cstheme="minorBidi"/>
      <w:sz w:val="24"/>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77255962500001X" TargetMode="External" /><Relationship Id="rId18" Type="http://schemas.openxmlformats.org/officeDocument/2006/relationships/hyperlink" Target="https://www.tandfonline.com/doi/pdf/10.1080/13557858.2011.645153" TargetMode="External" /><Relationship Id="rId26" Type="http://schemas.openxmlformats.org/officeDocument/2006/relationships/hyperlink" Target="https://link.springer.com/content/pdf/10.1186/s12889-021-10834-5.pdf" TargetMode="External" /><Relationship Id="rId39" Type="http://schemas.openxmlformats.org/officeDocument/2006/relationships/hyperlink" Target="https://psycnet.apa.org/record/2020-38568-001" TargetMode="External" /><Relationship Id="rId21" Type="http://schemas.openxmlformats.org/officeDocument/2006/relationships/hyperlink" Target="https://link.springer.com/article/10.1007/s40653-020-00319-9" TargetMode="External" /><Relationship Id="rId34" Type="http://schemas.openxmlformats.org/officeDocument/2006/relationships/hyperlink" Target="https://www.sciencedirect.com/science/article/pii/S0277953620300836" TargetMode="External" /><Relationship Id="rId42" Type="http://schemas.openxmlformats.org/officeDocument/2006/relationships/hyperlink" Target="https://publications.aap.org/pediatrics/article/147/2/e20201693/36284?utm_source=TrendMD&amp;utm_medium=TrendMD&amp;utm_campaign=Pediatrics_TrendMD_0" TargetMode="External" /><Relationship Id="rId47" Type="http://schemas.openxmlformats.org/officeDocument/2006/relationships/hyperlink" Target="https://www.sciencedirect.com/science/article/pii/S266730532200031X" TargetMode="External" /><Relationship Id="rId50" Type="http://schemas.openxmlformats.org/officeDocument/2006/relationships/hyperlink" Target="https://pmc.ncbi.nlm.nih.gov/articles/PMC8445752/" TargetMode="External" /><Relationship Id="rId55" Type="http://schemas.openxmlformats.org/officeDocument/2006/relationships/hyperlink" Target="https://pmc.ncbi.nlm.nih.gov/articles/PMC9798848/pdf/rpsp-46-e112.pdf" TargetMode="External" /><Relationship Id="rId63" Type="http://schemas.openxmlformats.org/officeDocument/2006/relationships/hyperlink" Target="https://www.sciencedirect.com/science/article/pii/S2666560325001471" TargetMode="External" /><Relationship Id="rId68" Type="http://schemas.openxmlformats.org/officeDocument/2006/relationships/hyperlink" Target="https://www.ncbi.nlm.nih.gov/books/NBK593028/" TargetMode="External" /><Relationship Id="rId76" Type="http://schemas.openxmlformats.org/officeDocument/2006/relationships/hyperlink" Target="https://www.sciencedirect.com/science/article/pii/S235282732100272X" TargetMode="External" /><Relationship Id="rId7" Type="http://schemas.openxmlformats.org/officeDocument/2006/relationships/footnotes" Target="footnotes.xml" /><Relationship Id="rId71" Type="http://schemas.openxmlformats.org/officeDocument/2006/relationships/hyperlink" Target="https://www.frontiersin.org/journals/public-health/articles/10.3389/fpubh.2023.1069476/full" TargetMode="External" /><Relationship Id="rId2" Type="http://schemas.openxmlformats.org/officeDocument/2006/relationships/customXml" Target="../customXml/item2.xml" /><Relationship Id="rId16" Type="http://schemas.openxmlformats.org/officeDocument/2006/relationships/hyperlink" Target="http://cfs.cbcs.usf.edu/projects-research/_docs/Disparities_in_child_and_adolescent_health.pdf" TargetMode="External" /><Relationship Id="rId29" Type="http://schemas.openxmlformats.org/officeDocument/2006/relationships/hyperlink" Target="https://www.annualreviews.org/content/journals/10.1146/annurev-soc-090924-021305" TargetMode="External" /><Relationship Id="rId11" Type="http://schemas.openxmlformats.org/officeDocument/2006/relationships/image" Target="media/image3.png" /><Relationship Id="rId24" Type="http://schemas.openxmlformats.org/officeDocument/2006/relationships/hyperlink" Target="https://www.raceequalityfoundation.org.uk/wp-content/uploads/2022/10/mental-health-report-v5-2.pdf" TargetMode="External" /><Relationship Id="rId32" Type="http://schemas.openxmlformats.org/officeDocument/2006/relationships/hyperlink" Target="https://www.sciencedirect.com/science/article/pii/S1876285922002431" TargetMode="External" /><Relationship Id="rId37" Type="http://schemas.openxmlformats.org/officeDocument/2006/relationships/hyperlink" Target="https://casp-uk.net/casp-tools-checklists/qualitative-studies-checklist/" TargetMode="External" /><Relationship Id="rId40" Type="http://schemas.openxmlformats.org/officeDocument/2006/relationships/hyperlink" Target="https://psycnet.apa.org/record/2020-38568-001" TargetMode="External" /><Relationship Id="rId45" Type="http://schemas.openxmlformats.org/officeDocument/2006/relationships/hyperlink" Target="https://publications.aap.org/pediatrics/article-abstract/139/1/e20151175/51726" TargetMode="External" /><Relationship Id="rId53" Type="http://schemas.openxmlformats.org/officeDocument/2006/relationships/hyperlink" Target="https://digital.nhs.uk/data-and-information/publications/statistical/mental-health-of-children-and-young-people-in-england/2023-wave-4-follow-up/part-1-mental-health" TargetMode="External" /><Relationship Id="rId58" Type="http://schemas.openxmlformats.org/officeDocument/2006/relationships/hyperlink" Target="https://link.springer.com/content/pdf/10.1007/s40592-024-00204-3.pdf" TargetMode="External" /><Relationship Id="rId66" Type="http://schemas.openxmlformats.org/officeDocument/2006/relationships/hyperlink" Target="https://nottingham-repository.worktribe.com/OutputFile/8307565" TargetMode="External" /><Relationship Id="rId74" Type="http://schemas.openxmlformats.org/officeDocument/2006/relationships/hyperlink" Target="https://www.tandfonline.com/doi/abs/10.2147/NDT.S150592" TargetMode="External" /><Relationship Id="rId79" Type="http://schemas.openxmlformats.org/officeDocument/2006/relationships/footer" Target="footer1.xml" /><Relationship Id="rId5" Type="http://schemas.openxmlformats.org/officeDocument/2006/relationships/settings" Target="settings.xml" /><Relationship Id="rId61" Type="http://schemas.openxmlformats.org/officeDocument/2006/relationships/hyperlink" Target="https://onlinelibrary.wiley.com/doi/pdf/10.1002/cesm.70046" TargetMode="External" /><Relationship Id="rId10" Type="http://schemas.openxmlformats.org/officeDocument/2006/relationships/image" Target="media/image2.png" /><Relationship Id="rId19" Type="http://schemas.openxmlformats.org/officeDocument/2006/relationships/hyperlink" Target="https://link.springer.com/content/pdf/10.1007/s10964-021-01481-5.pdf" TargetMode="External" /><Relationship Id="rId31" Type="http://schemas.openxmlformats.org/officeDocument/2006/relationships/hyperlink" Target="https://www.sciencedirect.com/science/article/pii/S1876285922002431" TargetMode="External" /><Relationship Id="rId44" Type="http://schemas.openxmlformats.org/officeDocument/2006/relationships/hyperlink" Target="https://publications.aap.org/pediatrics/article-abstract/139/1/e20151175/51726" TargetMode="External" /><Relationship Id="rId52" Type="http://schemas.openxmlformats.org/officeDocument/2006/relationships/hyperlink" Target="https://digital.nhs.uk/data-and-information/publications/statistical/mental-health-of-children-and-young-people-in-england/2023-wave-4-follow-up/part-1-mental-health" TargetMode="External" /><Relationship Id="rId60" Type="http://schemas.openxmlformats.org/officeDocument/2006/relationships/hyperlink" Target="https://www.cdc.gov/mmwr/volumes/66/ss/ss6608a1.htm?utm_source=chatgpt.com" TargetMode="External" /><Relationship Id="rId65" Type="http://schemas.openxmlformats.org/officeDocument/2006/relationships/hyperlink" Target="https://journals.plos.org/plosone/article/file?id=10.1371/journal.pone.0323555&amp;type=printable" TargetMode="External" /><Relationship Id="rId73" Type="http://schemas.openxmlformats.org/officeDocument/2006/relationships/hyperlink" Target="https://www.who.int/news-room/fact-sheets/detail/adolescent-mental-health" TargetMode="External" /><Relationship Id="rId78" Type="http://schemas.openxmlformats.org/officeDocument/2006/relationships/hyperlink" Target="https://www.mdpi.com/1660-4601/19/7/3920" TargetMode="External" /><Relationship Id="rId81" Type="http://schemas.openxmlformats.org/officeDocument/2006/relationships/theme" Target="theme/theme1.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www.sciencedirect.com/science/article/pii/S2949916X25000222" TargetMode="External" /><Relationship Id="rId22" Type="http://schemas.openxmlformats.org/officeDocument/2006/relationships/hyperlink" Target="https://link.springer.com/article/10.1007/s11920-021-01240-0" TargetMode="External" /><Relationship Id="rId27" Type="http://schemas.openxmlformats.org/officeDocument/2006/relationships/hyperlink" Target="https://www.bera.ac.uk/publication/ethical-guidelines-for-educational-research-2018" TargetMode="External" /><Relationship Id="rId30" Type="http://schemas.openxmlformats.org/officeDocument/2006/relationships/hyperlink" Target="https://hull-repository.worktribe.com/index.php/preview/5009820/Types%20of%20Literature%20Reviews%20for%20Nurses%20V3.pdf" TargetMode="External" /><Relationship Id="rId35" Type="http://schemas.openxmlformats.org/officeDocument/2006/relationships/hyperlink" Target="https://www.sciencedirect.com/science/article/pii/S0277953620300836" TargetMode="External" /><Relationship Id="rId43" Type="http://schemas.openxmlformats.org/officeDocument/2006/relationships/hyperlink" Target="https://publications.aap.org/pediatrics/article/147/2/e20201693/36284?utm_source=TrendMD&amp;utm_medium=TrendMD&amp;utm_campaign=Pediatrics_TrendMD_0" TargetMode="External" /><Relationship Id="rId48" Type="http://schemas.openxmlformats.org/officeDocument/2006/relationships/hyperlink" Target="https://www.cureus.com/articles/217671-10-steps-to-conduct-a-systematic-review.pdf" TargetMode="External" /><Relationship Id="rId56" Type="http://schemas.openxmlformats.org/officeDocument/2006/relationships/hyperlink" Target="https://www.thelancet.com/journals/lanpsy/article/PIIS2215-0366(20)30308-4/abstract" TargetMode="External" /><Relationship Id="rId64" Type="http://schemas.openxmlformats.org/officeDocument/2006/relationships/hyperlink" Target="https://www.tandfonline.com/doi/pdf/10.1080/17482631.2025.2507754" TargetMode="External" /><Relationship Id="rId69" Type="http://schemas.openxmlformats.org/officeDocument/2006/relationships/hyperlink" Target="https://www.sciencedirect.com/science/article/pii/S0895435625003853/pdf?md5=03952c27259a603f7fa9a11f46fbc824&amp;pid=1-s2.0-S0895435625003853-main.pdf" TargetMode="External" /><Relationship Id="rId77" Type="http://schemas.openxmlformats.org/officeDocument/2006/relationships/hyperlink" Target="https://www.sciencedirect.com/science/article/pii/S235282732100272X" TargetMode="External" /><Relationship Id="rId8" Type="http://schemas.openxmlformats.org/officeDocument/2006/relationships/endnotes" Target="endnotes.xml" /><Relationship Id="rId51" Type="http://schemas.openxmlformats.org/officeDocument/2006/relationships/hyperlink" Target="https://pmc.ncbi.nlm.nih.gov/articles/PMC8445752/" TargetMode="External" /><Relationship Id="rId72" Type="http://schemas.openxmlformats.org/officeDocument/2006/relationships/hyperlink" Target="https://spssi.onlinelibrary.wiley.com/doi/abs/10.1111/sipr.12098" TargetMode="External" /><Relationship Id="rId80" Type="http://schemas.openxmlformats.org/officeDocument/2006/relationships/fontTable" Target="fontTable.xml" /><Relationship Id="rId3" Type="http://schemas.openxmlformats.org/officeDocument/2006/relationships/numbering" Target="numbering.xml" /><Relationship Id="rId12" Type="http://schemas.openxmlformats.org/officeDocument/2006/relationships/image" Target="media/image4.png" /><Relationship Id="rId17" Type="http://schemas.openxmlformats.org/officeDocument/2006/relationships/hyperlink" Target="https://www.frontiersin.org/journals/public-health/articles/10.3389/fpubh.2017.00104/full" TargetMode="External" /><Relationship Id="rId25" Type="http://schemas.openxmlformats.org/officeDocument/2006/relationships/hyperlink" Target="https://www.raceequalityfoundation.org.uk/wp-content/uploads/2022/10/mental-health-report-v5-2.pdf" TargetMode="External" /><Relationship Id="rId33" Type="http://schemas.openxmlformats.org/officeDocument/2006/relationships/hyperlink" Target="https://www.sciencedirect.com/science/article/pii/S0277953620300836" TargetMode="External" /><Relationship Id="rId38" Type="http://schemas.openxmlformats.org/officeDocument/2006/relationships/hyperlink" Target="https://www.periodicos.ufpi.br/index.php/reufpi/article/download/3902/3783" TargetMode="External" /><Relationship Id="rId46" Type="http://schemas.openxmlformats.org/officeDocument/2006/relationships/hyperlink" Target="https://jbi.global/critical-appraisal-tools" TargetMode="External" /><Relationship Id="rId59" Type="http://schemas.openxmlformats.org/officeDocument/2006/relationships/hyperlink" Target="https://www.cdc.gov/mmwr/volumes/66/ss/ss6608a1.htm?utm_source=chatgpt.com" TargetMode="External" /><Relationship Id="rId67" Type="http://schemas.openxmlformats.org/officeDocument/2006/relationships/hyperlink" Target="https://www.ncbi.nlm.nih.gov/books/NBK593028/" TargetMode="External" /><Relationship Id="rId20" Type="http://schemas.openxmlformats.org/officeDocument/2006/relationships/hyperlink" Target="https://link.springer.com/content/pdf/10.1007/s40037-022-00725-9.pdf" TargetMode="External" /><Relationship Id="rId41" Type="http://schemas.openxmlformats.org/officeDocument/2006/relationships/hyperlink" Target="https://onlinelibrary.wiley.com/doi/abs/10.1111/jora.12757" TargetMode="External" /><Relationship Id="rId54" Type="http://schemas.openxmlformats.org/officeDocument/2006/relationships/hyperlink" Target="https://www.frontiersin.org/journals/public-health/articles/10.3389/fpubh.2021.673321/pdf" TargetMode="External" /><Relationship Id="rId62" Type="http://schemas.openxmlformats.org/officeDocument/2006/relationships/hyperlink" Target="https://acamh.onlinelibrary.wiley.com/doi/pdf/10.1111/camh.12695" TargetMode="External" /><Relationship Id="rId70" Type="http://schemas.openxmlformats.org/officeDocument/2006/relationships/hyperlink" Target="https://www.frontiersin.org/journals/public-health/articles/10.3389/fpubh.2023.1069476/full" TargetMode="External" /><Relationship Id="rId75" Type="http://schemas.openxmlformats.org/officeDocument/2006/relationships/hyperlink" Target="https://www.tandfonline.com/doi/abs/10.2147/NDT.S150592" TargetMode="External" /><Relationship Id="rId1" Type="http://schemas.openxmlformats.org/officeDocument/2006/relationships/customXml" Target="../customXml/item1.xml" /><Relationship Id="rId6" Type="http://schemas.openxmlformats.org/officeDocument/2006/relationships/webSettings" Target="webSettings.xml" /><Relationship Id="rId15" Type="http://schemas.openxmlformats.org/officeDocument/2006/relationships/hyperlink" Target="http://cfs.cbcs.usf.edu/projects-research/_docs/Disparities_in_child_and_adolescent_health.pdf" TargetMode="External" /><Relationship Id="rId23" Type="http://schemas.openxmlformats.org/officeDocument/2006/relationships/hyperlink" Target="https://link.springer.com/article/10.1007/s11920-021-01240-0" TargetMode="External" /><Relationship Id="rId28" Type="http://schemas.openxmlformats.org/officeDocument/2006/relationships/hyperlink" Target="https://www.bera.ac.uk/publication/ethical-guidelines-for-educational-research-2018" TargetMode="External" /><Relationship Id="rId36" Type="http://schemas.openxmlformats.org/officeDocument/2006/relationships/hyperlink" Target="https://onlinelibrary.wiley.com/doi/pdf/10.1002/cesm.70026" TargetMode="External" /><Relationship Id="rId49" Type="http://schemas.openxmlformats.org/officeDocument/2006/relationships/hyperlink" Target="https://www.sciencedirect.com/science/article/pii/S2213398423002725" TargetMode="External" /><Relationship Id="rId57" Type="http://schemas.openxmlformats.org/officeDocument/2006/relationships/hyperlink" Target="https://www.thelancet.com/journals/lanpsy/article/PIIS2215-0366(20)30308-4/abstrac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6F40CD3-6C2B-4ADF-B51C-5EB9F9581A5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22577</Words>
  <Characters>128691</Characters>
  <Application>Microsoft Office Word</Application>
  <DocSecurity>0</DocSecurity>
  <Lines>1072</Lines>
  <Paragraphs>301</Paragraphs>
  <ScaleCrop>false</ScaleCrop>
  <LinksUpToDate>false</LinksUpToDate>
  <CharactersWithSpaces>150967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2026-08-27T09:14:00Z</dcterms:created>
  <dcterms:modified xsi:type="dcterms:W3CDTF">2026-08-27T09:14:00Z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48d6e7a0-9cb4-4bce-b91c-e86dd210f0af</vt:lpwstr>
  </property>
  <property fmtid="{D5CDD505-2E9C-101B-9397-08002B2CF9AE}" pid="3" name="KSOTemplateDocerSaveRecord">
    <vt:lpwstr>eyJoZGlkIjoiMTJiYTFkYjY0MzExNWVkOWNmMjE1NTEzZjFmNWFiMTMiLCJ1c2VySWQiOiI1Njc0MzYxNDk2ODkifQ==</vt:lpwstr>
  </property>
  <property fmtid="{D5CDD505-2E9C-101B-9397-08002B2CF9AE}" pid="4" name="KSOProductBuildVer">
    <vt:lpwstr>1033-12.1.0.28032</vt:lpwstr>
  </property>
  <property fmtid="{D5CDD505-2E9C-101B-9397-08002B2CF9AE}" pid="5" name="ICV">
    <vt:lpwstr>977BF939B80749A1B3F4CACFD1466DF9_13</vt:lpwstr>
  </property>
</Properties>
</file>