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FC8A9" w14:textId="77777777" w:rsidR="00B510F8" w:rsidRPr="006903B2" w:rsidRDefault="00B510F8" w:rsidP="00B510F8">
      <w:pPr>
        <w:spacing w:line="360" w:lineRule="auto"/>
        <w:jc w:val="both"/>
        <w:rPr>
          <w:rFonts w:ascii="Arial" w:hAnsi="Arial" w:cs="Arial"/>
          <w:b/>
          <w:bCs/>
        </w:rPr>
      </w:pPr>
    </w:p>
    <w:p w14:paraId="654201E4" w14:textId="77777777" w:rsidR="00B510F8" w:rsidRPr="006903B2" w:rsidRDefault="00B510F8" w:rsidP="00B510F8">
      <w:pPr>
        <w:spacing w:line="360" w:lineRule="auto"/>
        <w:jc w:val="both"/>
        <w:rPr>
          <w:rFonts w:ascii="Arial" w:hAnsi="Arial" w:cs="Arial"/>
          <w:b/>
          <w:bCs/>
        </w:rPr>
      </w:pPr>
    </w:p>
    <w:p w14:paraId="304F6377" w14:textId="77777777" w:rsidR="00B510F8" w:rsidRPr="006903B2" w:rsidRDefault="00B510F8" w:rsidP="00B510F8">
      <w:pPr>
        <w:spacing w:line="360" w:lineRule="auto"/>
        <w:jc w:val="both"/>
        <w:rPr>
          <w:rFonts w:ascii="Arial" w:hAnsi="Arial" w:cs="Arial"/>
          <w:b/>
          <w:bCs/>
        </w:rPr>
      </w:pPr>
      <w:r w:rsidRPr="006903B2">
        <w:rPr>
          <w:rFonts w:ascii="Arial" w:hAnsi="Arial" w:cs="Arial"/>
          <w:b/>
          <w:bCs/>
          <w:noProof/>
        </w:rPr>
        <w:drawing>
          <wp:inline distT="0" distB="0" distL="0" distR="0" wp14:anchorId="45232658" wp14:editId="7082DA6D">
            <wp:extent cx="2651760" cy="967740"/>
            <wp:effectExtent l="0" t="0" r="0" b="3810"/>
            <wp:docPr id="1181454749"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1760" cy="967740"/>
                    </a:xfrm>
                    <a:prstGeom prst="rect">
                      <a:avLst/>
                    </a:prstGeom>
                    <a:noFill/>
                    <a:ln>
                      <a:noFill/>
                    </a:ln>
                  </pic:spPr>
                </pic:pic>
              </a:graphicData>
            </a:graphic>
          </wp:inline>
        </w:drawing>
      </w:r>
    </w:p>
    <w:p w14:paraId="70A7ABB0" w14:textId="77777777" w:rsidR="00B510F8" w:rsidRPr="006903B2" w:rsidRDefault="00B510F8" w:rsidP="00B510F8">
      <w:pPr>
        <w:spacing w:line="360" w:lineRule="auto"/>
        <w:jc w:val="both"/>
        <w:rPr>
          <w:rFonts w:ascii="Arial" w:hAnsi="Arial" w:cs="Arial"/>
          <w:b/>
          <w:bCs/>
        </w:rPr>
      </w:pPr>
    </w:p>
    <w:p w14:paraId="6B726882" w14:textId="77777777" w:rsidR="00B510F8" w:rsidRPr="006903B2" w:rsidRDefault="00B510F8" w:rsidP="00B510F8">
      <w:pPr>
        <w:spacing w:line="360" w:lineRule="auto"/>
        <w:jc w:val="both"/>
        <w:rPr>
          <w:rFonts w:ascii="Arial" w:hAnsi="Arial" w:cs="Arial"/>
          <w:b/>
          <w:bCs/>
        </w:rPr>
      </w:pPr>
    </w:p>
    <w:p w14:paraId="1F2040E2" w14:textId="77777777" w:rsidR="00B510F8" w:rsidRPr="006903B2" w:rsidRDefault="00B510F8" w:rsidP="00B510F8">
      <w:pPr>
        <w:spacing w:line="360" w:lineRule="auto"/>
        <w:jc w:val="both"/>
        <w:rPr>
          <w:rFonts w:ascii="Arial" w:hAnsi="Arial" w:cs="Arial"/>
          <w:b/>
          <w:bCs/>
        </w:rPr>
      </w:pPr>
    </w:p>
    <w:p w14:paraId="75384843" w14:textId="77777777" w:rsidR="00B510F8" w:rsidRPr="006903B2" w:rsidRDefault="00B510F8" w:rsidP="00B510F8">
      <w:pPr>
        <w:spacing w:line="360" w:lineRule="auto"/>
        <w:jc w:val="both"/>
        <w:rPr>
          <w:rFonts w:ascii="Arial" w:hAnsi="Arial" w:cs="Arial"/>
          <w:b/>
          <w:bCs/>
        </w:rPr>
      </w:pPr>
    </w:p>
    <w:p w14:paraId="3365E91B" w14:textId="77777777" w:rsidR="00B510F8" w:rsidRPr="006903B2" w:rsidRDefault="00B510F8" w:rsidP="00BE68A9">
      <w:pPr>
        <w:spacing w:line="360" w:lineRule="auto"/>
        <w:jc w:val="center"/>
        <w:rPr>
          <w:rFonts w:ascii="Arial" w:hAnsi="Arial" w:cs="Arial"/>
          <w:b/>
          <w:bCs/>
        </w:rPr>
      </w:pPr>
    </w:p>
    <w:p w14:paraId="6B8879DA" w14:textId="77777777" w:rsidR="00B510F8" w:rsidRPr="006903B2" w:rsidRDefault="00B510F8" w:rsidP="00BE68A9">
      <w:pPr>
        <w:spacing w:line="360" w:lineRule="auto"/>
        <w:jc w:val="center"/>
        <w:rPr>
          <w:rFonts w:ascii="Arial" w:hAnsi="Arial" w:cs="Arial"/>
          <w:b/>
          <w:bCs/>
        </w:rPr>
      </w:pPr>
      <w:r w:rsidRPr="006903B2">
        <w:rPr>
          <w:rFonts w:ascii="Arial" w:hAnsi="Arial" w:cs="Arial"/>
          <w:b/>
          <w:bCs/>
        </w:rPr>
        <w:t>Service Improvement Report: Vincristine Medication Error in the NHS</w:t>
      </w:r>
    </w:p>
    <w:p w14:paraId="67AC83D4" w14:textId="77777777" w:rsidR="00B510F8" w:rsidRPr="006903B2" w:rsidRDefault="00B510F8" w:rsidP="00BE68A9">
      <w:pPr>
        <w:spacing w:line="360" w:lineRule="auto"/>
        <w:jc w:val="center"/>
        <w:rPr>
          <w:rFonts w:ascii="Arial" w:hAnsi="Arial" w:cs="Arial"/>
          <w:b/>
          <w:bCs/>
        </w:rPr>
      </w:pPr>
    </w:p>
    <w:p w14:paraId="1B7C5329" w14:textId="77777777" w:rsidR="00B510F8" w:rsidRPr="006903B2" w:rsidRDefault="00B510F8" w:rsidP="00B510F8">
      <w:pPr>
        <w:spacing w:line="360" w:lineRule="auto"/>
        <w:jc w:val="both"/>
        <w:rPr>
          <w:rFonts w:ascii="Arial" w:hAnsi="Arial" w:cs="Arial"/>
          <w:b/>
          <w:bCs/>
        </w:rPr>
      </w:pPr>
    </w:p>
    <w:p w14:paraId="0B8F1E65" w14:textId="77777777" w:rsidR="00B510F8" w:rsidRPr="006903B2" w:rsidRDefault="00B510F8" w:rsidP="00B510F8">
      <w:pPr>
        <w:spacing w:line="360" w:lineRule="auto"/>
        <w:jc w:val="both"/>
        <w:rPr>
          <w:rFonts w:ascii="Arial" w:hAnsi="Arial" w:cs="Arial"/>
          <w:b/>
          <w:bCs/>
        </w:rPr>
      </w:pPr>
    </w:p>
    <w:p w14:paraId="0C8DBBA5" w14:textId="77777777" w:rsidR="00B510F8" w:rsidRPr="006903B2" w:rsidRDefault="00B510F8" w:rsidP="00B510F8">
      <w:pPr>
        <w:spacing w:line="360" w:lineRule="auto"/>
        <w:jc w:val="both"/>
        <w:rPr>
          <w:rFonts w:ascii="Arial" w:hAnsi="Arial" w:cs="Arial"/>
          <w:b/>
          <w:bCs/>
        </w:rPr>
      </w:pPr>
    </w:p>
    <w:p w14:paraId="34647033" w14:textId="77777777" w:rsidR="00B510F8" w:rsidRPr="006903B2" w:rsidRDefault="00B510F8" w:rsidP="00B510F8">
      <w:pPr>
        <w:spacing w:line="360" w:lineRule="auto"/>
        <w:jc w:val="both"/>
        <w:rPr>
          <w:rFonts w:ascii="Arial" w:hAnsi="Arial" w:cs="Arial"/>
          <w:b/>
          <w:bCs/>
        </w:rPr>
      </w:pPr>
    </w:p>
    <w:p w14:paraId="0C312468" w14:textId="77777777" w:rsidR="00B510F8" w:rsidRPr="006903B2" w:rsidRDefault="00B510F8" w:rsidP="00B510F8">
      <w:pPr>
        <w:spacing w:line="360" w:lineRule="auto"/>
        <w:jc w:val="both"/>
        <w:rPr>
          <w:rFonts w:ascii="Arial" w:hAnsi="Arial" w:cs="Arial"/>
        </w:rPr>
      </w:pPr>
      <w:r w:rsidRPr="006903B2">
        <w:rPr>
          <w:rFonts w:ascii="Arial" w:hAnsi="Arial" w:cs="Arial"/>
          <w:b/>
          <w:bCs/>
        </w:rPr>
        <w:t xml:space="preserve">Programme: </w:t>
      </w:r>
      <w:r w:rsidRPr="006903B2">
        <w:rPr>
          <w:rFonts w:ascii="Arial" w:hAnsi="Arial" w:cs="Arial"/>
        </w:rPr>
        <w:t>MSc Public Health and Social Care in Practice</w:t>
      </w:r>
    </w:p>
    <w:p w14:paraId="544E4F05" w14:textId="7E69A36C" w:rsidR="00B510F8" w:rsidRPr="00395C48" w:rsidRDefault="00B510F8" w:rsidP="00B510F8">
      <w:pPr>
        <w:spacing w:line="360" w:lineRule="auto"/>
        <w:jc w:val="both"/>
        <w:rPr>
          <w:rFonts w:ascii="Arial" w:hAnsi="Arial" w:cs="Arial"/>
        </w:rPr>
      </w:pPr>
      <w:r w:rsidRPr="006903B2">
        <w:rPr>
          <w:rFonts w:ascii="Arial" w:hAnsi="Arial" w:cs="Arial"/>
          <w:b/>
          <w:bCs/>
        </w:rPr>
        <w:t xml:space="preserve">Module name: </w:t>
      </w:r>
      <w:r w:rsidR="00395C48">
        <w:rPr>
          <w:rFonts w:ascii="Arial" w:hAnsi="Arial" w:cs="Arial"/>
        </w:rPr>
        <w:t xml:space="preserve">Quality Assurance and Service </w:t>
      </w:r>
      <w:proofErr w:type="spellStart"/>
      <w:r w:rsidR="00395C48">
        <w:rPr>
          <w:rFonts w:ascii="Arial" w:hAnsi="Arial" w:cs="Arial"/>
        </w:rPr>
        <w:t>Improvemnts</w:t>
      </w:r>
      <w:proofErr w:type="spellEnd"/>
    </w:p>
    <w:p w14:paraId="5B3A5738" w14:textId="29D581E6" w:rsidR="00B510F8" w:rsidRPr="00395C48" w:rsidRDefault="00B510F8" w:rsidP="00B510F8">
      <w:pPr>
        <w:spacing w:line="360" w:lineRule="auto"/>
        <w:jc w:val="both"/>
        <w:rPr>
          <w:rFonts w:ascii="Arial" w:hAnsi="Arial" w:cs="Arial"/>
        </w:rPr>
      </w:pPr>
      <w:r w:rsidRPr="006903B2">
        <w:rPr>
          <w:rFonts w:ascii="Arial" w:hAnsi="Arial" w:cs="Arial"/>
          <w:b/>
          <w:bCs/>
        </w:rPr>
        <w:t xml:space="preserve">Module code: </w:t>
      </w:r>
      <w:r w:rsidR="00395C48">
        <w:rPr>
          <w:rFonts w:ascii="Arial" w:hAnsi="Arial" w:cs="Arial"/>
        </w:rPr>
        <w:t>LCHS7006</w:t>
      </w:r>
    </w:p>
    <w:p w14:paraId="6830E877" w14:textId="77C3CFEC" w:rsidR="00B510F8" w:rsidRPr="00395C48" w:rsidRDefault="00B510F8" w:rsidP="00B510F8">
      <w:pPr>
        <w:spacing w:line="360" w:lineRule="auto"/>
        <w:jc w:val="both"/>
        <w:rPr>
          <w:rFonts w:ascii="Arial" w:hAnsi="Arial" w:cs="Arial"/>
        </w:rPr>
      </w:pPr>
      <w:r w:rsidRPr="006903B2">
        <w:rPr>
          <w:rFonts w:ascii="Arial" w:hAnsi="Arial" w:cs="Arial"/>
          <w:b/>
          <w:bCs/>
        </w:rPr>
        <w:t xml:space="preserve">Student name: </w:t>
      </w:r>
      <w:proofErr w:type="spellStart"/>
      <w:r w:rsidR="00395C48">
        <w:rPr>
          <w:rFonts w:ascii="Arial" w:hAnsi="Arial" w:cs="Arial"/>
        </w:rPr>
        <w:t>Dishali</w:t>
      </w:r>
      <w:proofErr w:type="spellEnd"/>
      <w:r w:rsidR="00395C48">
        <w:rPr>
          <w:rFonts w:ascii="Arial" w:hAnsi="Arial" w:cs="Arial"/>
        </w:rPr>
        <w:t xml:space="preserve"> </w:t>
      </w:r>
      <w:proofErr w:type="spellStart"/>
      <w:r w:rsidR="00395C48">
        <w:rPr>
          <w:rFonts w:ascii="Arial" w:hAnsi="Arial" w:cs="Arial"/>
        </w:rPr>
        <w:t>Bhuva</w:t>
      </w:r>
      <w:proofErr w:type="spellEnd"/>
    </w:p>
    <w:p w14:paraId="3753175D" w14:textId="1D457F42" w:rsidR="00B510F8" w:rsidRPr="00395C48" w:rsidRDefault="00B510F8" w:rsidP="00B510F8">
      <w:pPr>
        <w:spacing w:line="360" w:lineRule="auto"/>
        <w:jc w:val="both"/>
        <w:rPr>
          <w:rFonts w:ascii="Arial" w:hAnsi="Arial" w:cs="Arial"/>
        </w:rPr>
      </w:pPr>
      <w:r w:rsidRPr="006903B2">
        <w:rPr>
          <w:rFonts w:ascii="Arial" w:hAnsi="Arial" w:cs="Arial"/>
          <w:b/>
          <w:bCs/>
        </w:rPr>
        <w:t xml:space="preserve">Student ID: </w:t>
      </w:r>
      <w:r w:rsidR="00395C48">
        <w:rPr>
          <w:rFonts w:ascii="Arial" w:hAnsi="Arial" w:cs="Arial"/>
        </w:rPr>
        <w:t>2437480</w:t>
      </w:r>
    </w:p>
    <w:p w14:paraId="09B4277A" w14:textId="564697B7" w:rsidR="00B510F8" w:rsidRPr="00395C48" w:rsidRDefault="00B510F8" w:rsidP="00B510F8">
      <w:pPr>
        <w:spacing w:line="360" w:lineRule="auto"/>
        <w:jc w:val="both"/>
        <w:rPr>
          <w:rFonts w:ascii="Arial" w:hAnsi="Arial" w:cs="Arial"/>
        </w:rPr>
      </w:pPr>
      <w:r w:rsidRPr="006903B2">
        <w:rPr>
          <w:rFonts w:ascii="Arial" w:hAnsi="Arial" w:cs="Arial"/>
          <w:b/>
          <w:bCs/>
        </w:rPr>
        <w:t xml:space="preserve">Lecturer: </w:t>
      </w:r>
      <w:r w:rsidR="00395C48">
        <w:rPr>
          <w:rFonts w:ascii="Arial" w:hAnsi="Arial" w:cs="Arial"/>
        </w:rPr>
        <w:t>Oluwadamilola Tayo</w:t>
      </w:r>
    </w:p>
    <w:p w14:paraId="5F5B1AE2" w14:textId="77777777" w:rsidR="00B510F8" w:rsidRPr="006903B2" w:rsidRDefault="00B510F8" w:rsidP="00B510F8">
      <w:pPr>
        <w:spacing w:line="360" w:lineRule="auto"/>
        <w:jc w:val="both"/>
        <w:rPr>
          <w:rFonts w:ascii="Arial" w:hAnsi="Arial" w:cs="Arial"/>
          <w:b/>
          <w:bCs/>
        </w:rPr>
      </w:pPr>
    </w:p>
    <w:p w14:paraId="0E104DF8" w14:textId="77777777" w:rsidR="00C974F8" w:rsidRPr="006903B2" w:rsidRDefault="00C974F8" w:rsidP="00B510F8">
      <w:pPr>
        <w:spacing w:line="360" w:lineRule="auto"/>
        <w:jc w:val="both"/>
        <w:rPr>
          <w:rFonts w:ascii="Arial" w:hAnsi="Arial" w:cs="Arial"/>
        </w:rPr>
      </w:pPr>
    </w:p>
    <w:sdt>
      <w:sdtPr>
        <w:rPr>
          <w:rFonts w:asciiTheme="minorHAnsi" w:eastAsiaTheme="minorHAnsi" w:hAnsiTheme="minorHAnsi" w:cstheme="minorBidi"/>
          <w:color w:val="auto"/>
          <w:kern w:val="2"/>
          <w:sz w:val="24"/>
          <w:szCs w:val="24"/>
          <w14:ligatures w14:val="standardContextual"/>
        </w:rPr>
        <w:id w:val="1239673892"/>
        <w:docPartObj>
          <w:docPartGallery w:val="Table of Contents"/>
          <w:docPartUnique/>
        </w:docPartObj>
      </w:sdtPr>
      <w:sdtEndPr>
        <w:rPr>
          <w:rFonts w:ascii="Arial" w:hAnsi="Arial" w:cs="Arial"/>
        </w:rPr>
      </w:sdtEndPr>
      <w:sdtContent>
        <w:p w14:paraId="41D2AB27" w14:textId="5160C1EB" w:rsidR="00B36C98" w:rsidRPr="006903B2" w:rsidRDefault="00B36C98">
          <w:pPr>
            <w:pStyle w:val="TOCHeading"/>
          </w:pPr>
          <w:r w:rsidRPr="006903B2">
            <w:t>Table of Contents</w:t>
          </w:r>
        </w:p>
        <w:p w14:paraId="51A2F79E" w14:textId="213F8959" w:rsidR="005A59ED" w:rsidRPr="005B6E6D" w:rsidRDefault="00B36C98" w:rsidP="005B6E6D">
          <w:pPr>
            <w:pStyle w:val="TOC1"/>
            <w:tabs>
              <w:tab w:val="right" w:leader="dot" w:pos="9016"/>
            </w:tabs>
            <w:spacing w:line="360" w:lineRule="auto"/>
            <w:rPr>
              <w:rFonts w:ascii="Arial" w:eastAsiaTheme="minorEastAsia" w:hAnsi="Arial" w:cs="Arial"/>
              <w:noProof/>
              <w:lang w:val="en-US"/>
            </w:rPr>
          </w:pPr>
          <w:r w:rsidRPr="005B6E6D">
            <w:rPr>
              <w:rFonts w:ascii="Arial" w:hAnsi="Arial" w:cs="Arial"/>
            </w:rPr>
            <w:fldChar w:fldCharType="begin"/>
          </w:r>
          <w:r w:rsidRPr="005B6E6D">
            <w:rPr>
              <w:rFonts w:ascii="Arial" w:hAnsi="Arial" w:cs="Arial"/>
            </w:rPr>
            <w:instrText xml:space="preserve"> TOC \o "1-3" \h \z \u </w:instrText>
          </w:r>
          <w:r w:rsidRPr="005B6E6D">
            <w:rPr>
              <w:rFonts w:ascii="Arial" w:hAnsi="Arial" w:cs="Arial"/>
            </w:rPr>
            <w:fldChar w:fldCharType="separate"/>
          </w:r>
          <w:hyperlink w:anchor="_Toc227120608" w:history="1">
            <w:r w:rsidR="005A59ED" w:rsidRPr="005B6E6D">
              <w:rPr>
                <w:rStyle w:val="Hyperlink"/>
                <w:rFonts w:ascii="Arial" w:hAnsi="Arial" w:cs="Arial"/>
                <w:noProof/>
              </w:rPr>
              <w:t>1. Introduction</w:t>
            </w:r>
            <w:r w:rsidR="005A59ED" w:rsidRPr="005B6E6D">
              <w:rPr>
                <w:rFonts w:ascii="Arial" w:hAnsi="Arial" w:cs="Arial"/>
                <w:noProof/>
                <w:webHidden/>
              </w:rPr>
              <w:tab/>
            </w:r>
            <w:r w:rsidR="005A59ED" w:rsidRPr="005B6E6D">
              <w:rPr>
                <w:rStyle w:val="Hyperlink"/>
                <w:rFonts w:ascii="Arial" w:hAnsi="Arial" w:cs="Arial"/>
                <w:noProof/>
              </w:rPr>
              <w:fldChar w:fldCharType="begin"/>
            </w:r>
            <w:r w:rsidR="005A59ED" w:rsidRPr="005B6E6D">
              <w:rPr>
                <w:rFonts w:ascii="Arial" w:hAnsi="Arial" w:cs="Arial"/>
                <w:noProof/>
                <w:webHidden/>
              </w:rPr>
              <w:instrText xml:space="preserve"> PAGEREF _Toc227120608 \h </w:instrText>
            </w:r>
            <w:r w:rsidR="005A59ED" w:rsidRPr="005B6E6D">
              <w:rPr>
                <w:rStyle w:val="Hyperlink"/>
                <w:rFonts w:ascii="Arial" w:hAnsi="Arial" w:cs="Arial"/>
                <w:noProof/>
              </w:rPr>
            </w:r>
            <w:r w:rsidR="005A59ED" w:rsidRPr="005B6E6D">
              <w:rPr>
                <w:rStyle w:val="Hyperlink"/>
                <w:rFonts w:ascii="Arial" w:hAnsi="Arial" w:cs="Arial"/>
                <w:noProof/>
              </w:rPr>
              <w:fldChar w:fldCharType="separate"/>
            </w:r>
            <w:r w:rsidR="00A0036F">
              <w:rPr>
                <w:rFonts w:ascii="Arial" w:hAnsi="Arial" w:cs="Arial"/>
                <w:noProof/>
                <w:webHidden/>
              </w:rPr>
              <w:t>3</w:t>
            </w:r>
            <w:r w:rsidR="005A59ED" w:rsidRPr="005B6E6D">
              <w:rPr>
                <w:rStyle w:val="Hyperlink"/>
                <w:rFonts w:ascii="Arial" w:hAnsi="Arial" w:cs="Arial"/>
                <w:noProof/>
              </w:rPr>
              <w:fldChar w:fldCharType="end"/>
            </w:r>
          </w:hyperlink>
        </w:p>
        <w:p w14:paraId="7402526B" w14:textId="43C03336"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09" w:history="1">
            <w:r w:rsidRPr="005B6E6D">
              <w:rPr>
                <w:rStyle w:val="Hyperlink"/>
                <w:rFonts w:ascii="Arial" w:hAnsi="Arial" w:cs="Arial"/>
                <w:noProof/>
              </w:rPr>
              <w:t>1.1 Quality Assurance in Healthcare</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_Toc227120609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3</w:t>
            </w:r>
            <w:r w:rsidRPr="005B6E6D">
              <w:rPr>
                <w:rStyle w:val="Hyperlink"/>
                <w:rFonts w:ascii="Arial" w:hAnsi="Arial" w:cs="Arial"/>
                <w:noProof/>
              </w:rPr>
              <w:fldChar w:fldCharType="end"/>
            </w:r>
          </w:hyperlink>
        </w:p>
        <w:p w14:paraId="1820D3E6" w14:textId="3173B929" w:rsidR="005A59ED" w:rsidRPr="005B6E6D" w:rsidRDefault="005B6E6D" w:rsidP="005B6E6D">
          <w:pPr>
            <w:pStyle w:val="TOC2"/>
            <w:tabs>
              <w:tab w:val="right" w:leader="dot" w:pos="9016"/>
            </w:tabs>
            <w:spacing w:line="360" w:lineRule="auto"/>
            <w:rPr>
              <w:rFonts w:ascii="Arial" w:eastAsiaTheme="minorEastAsia" w:hAnsi="Arial" w:cs="Arial"/>
              <w:noProof/>
              <w:lang w:val="en-US"/>
            </w:rPr>
          </w:pPr>
          <w:hyperlink w:anchor="_Toc227120610" w:history="1">
            <w:r>
              <w:rPr>
                <w:rStyle w:val="Hyperlink"/>
                <w:rFonts w:ascii="Arial" w:hAnsi="Arial" w:cs="Arial"/>
                <w:noProof/>
              </w:rPr>
              <w:t>1.2 Overview of Case</w:t>
            </w:r>
            <w:r>
              <w:rPr>
                <w:rStyle w:val="Hyperlink"/>
                <w:rFonts w:ascii="Arial" w:hAnsi="Arial" w:cs="Arial"/>
                <w:noProof/>
              </w:rPr>
              <w:tab/>
              <w:t>3</w:t>
            </w:r>
          </w:hyperlink>
        </w:p>
        <w:p w14:paraId="3E6DF04D" w14:textId="243A4860"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11" w:history="1">
            <w:r w:rsidRPr="005B6E6D">
              <w:rPr>
                <w:rStyle w:val="Hyperlink"/>
                <w:rFonts w:ascii="Arial" w:hAnsi="Arial" w:cs="Arial"/>
                <w:noProof/>
              </w:rPr>
              <w:t>1.3 Systemic Failures and Organisational Weaknesses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_Toc227120611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4</w:t>
            </w:r>
            <w:r w:rsidRPr="005B6E6D">
              <w:rPr>
                <w:rStyle w:val="Hyperlink"/>
                <w:rFonts w:ascii="Arial" w:hAnsi="Arial" w:cs="Arial"/>
                <w:noProof/>
              </w:rPr>
              <w:fldChar w:fldCharType="end"/>
            </w:r>
          </w:hyperlink>
        </w:p>
        <w:p w14:paraId="1AA89A55" w14:textId="4D633BE0"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12" w:history="1">
            <w:r w:rsidRPr="005B6E6D">
              <w:rPr>
                <w:rStyle w:val="Hyperlink"/>
                <w:rFonts w:ascii="Arial" w:hAnsi="Arial" w:cs="Arial"/>
                <w:noProof/>
              </w:rPr>
              <w:t>1.4 Systems-Based Approach to Analysis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_Toc227120612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4</w:t>
            </w:r>
            <w:r w:rsidRPr="005B6E6D">
              <w:rPr>
                <w:rStyle w:val="Hyperlink"/>
                <w:rFonts w:ascii="Arial" w:hAnsi="Arial" w:cs="Arial"/>
                <w:noProof/>
              </w:rPr>
              <w:fldChar w:fldCharType="end"/>
            </w:r>
          </w:hyperlink>
        </w:p>
        <w:p w14:paraId="513578FB" w14:textId="2D67B912"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13" w:history="1">
            <w:r w:rsidRPr="005B6E6D">
              <w:rPr>
                <w:rStyle w:val="Hyperlink"/>
                <w:rFonts w:ascii="Arial" w:hAnsi="Arial" w:cs="Arial"/>
                <w:noProof/>
              </w:rPr>
              <w:t>2. Main Body</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_Toc227120613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5</w:t>
            </w:r>
            <w:r w:rsidRPr="005B6E6D">
              <w:rPr>
                <w:rStyle w:val="Hyperlink"/>
                <w:rFonts w:ascii="Arial" w:hAnsi="Arial" w:cs="Arial"/>
                <w:noProof/>
              </w:rPr>
              <w:fldChar w:fldCharType="end"/>
            </w:r>
          </w:hyperlink>
        </w:p>
        <w:p w14:paraId="0B6F27AD" w14:textId="6B946E38"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14" w:history="1">
            <w:r w:rsidRPr="005B6E6D">
              <w:rPr>
                <w:rStyle w:val="Hyperlink"/>
                <w:rFonts w:ascii="Arial" w:hAnsi="Arial" w:cs="Arial"/>
                <w:noProof/>
              </w:rPr>
              <w:t>2.1 Donabedian Model Analysis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_Toc227120614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5</w:t>
            </w:r>
            <w:r w:rsidRPr="005B6E6D">
              <w:rPr>
                <w:rStyle w:val="Hyperlink"/>
                <w:rFonts w:ascii="Arial" w:hAnsi="Arial" w:cs="Arial"/>
                <w:noProof/>
              </w:rPr>
              <w:fldChar w:fldCharType="end"/>
            </w:r>
          </w:hyperlink>
        </w:p>
        <w:p w14:paraId="4251E04E" w14:textId="25A3CD22"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15" w:history="1">
            <w:r w:rsidRPr="005B6E6D">
              <w:rPr>
                <w:rStyle w:val="Hyperlink"/>
                <w:rFonts w:ascii="Arial" w:hAnsi="Arial" w:cs="Arial"/>
                <w:noProof/>
              </w:rPr>
              <w:t>2.2 Root Cause Analysis: Fishbone Diagram</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_Toc227120615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5</w:t>
            </w:r>
            <w:r w:rsidRPr="005B6E6D">
              <w:rPr>
                <w:rStyle w:val="Hyperlink"/>
                <w:rFonts w:ascii="Arial" w:hAnsi="Arial" w:cs="Arial"/>
                <w:noProof/>
              </w:rPr>
              <w:fldChar w:fldCharType="end"/>
            </w:r>
          </w:hyperlink>
        </w:p>
        <w:p w14:paraId="5A16DC9D" w14:textId="2EC68730"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16" w:history="1">
            <w:r w:rsidRPr="005B6E6D">
              <w:rPr>
                <w:rStyle w:val="Hyperlink"/>
                <w:rFonts w:ascii="Arial" w:hAnsi="Arial" w:cs="Arial"/>
                <w:noProof/>
              </w:rPr>
              <w:t>2.3 The 5 Whys Analysis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_Toc227120616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7</w:t>
            </w:r>
            <w:r w:rsidRPr="005B6E6D">
              <w:rPr>
                <w:rStyle w:val="Hyperlink"/>
                <w:rFonts w:ascii="Arial" w:hAnsi="Arial" w:cs="Arial"/>
                <w:noProof/>
              </w:rPr>
              <w:fldChar w:fldCharType="end"/>
            </w:r>
          </w:hyperlink>
        </w:p>
        <w:p w14:paraId="3A1A496E" w14:textId="139F0AC5"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17" w:history="1">
            <w:r w:rsidRPr="005B6E6D">
              <w:rPr>
                <w:rStyle w:val="Hyperlink"/>
                <w:rFonts w:ascii="Arial" w:hAnsi="Arial" w:cs="Arial"/>
                <w:noProof/>
              </w:rPr>
              <w:t>2.4 Swiss Cheese Model Application</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_Toc227120617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8</w:t>
            </w:r>
            <w:r w:rsidRPr="005B6E6D">
              <w:rPr>
                <w:rStyle w:val="Hyperlink"/>
                <w:rFonts w:ascii="Arial" w:hAnsi="Arial" w:cs="Arial"/>
                <w:noProof/>
              </w:rPr>
              <w:fldChar w:fldCharType="end"/>
            </w:r>
          </w:hyperlink>
        </w:p>
        <w:p w14:paraId="1D7FC500" w14:textId="4B476CAD"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18" w:history="1">
            <w:r w:rsidRPr="005B6E6D">
              <w:rPr>
                <w:rStyle w:val="Hyperlink"/>
                <w:rFonts w:ascii="Arial" w:hAnsi="Arial" w:cs="Arial"/>
                <w:noProof/>
              </w:rPr>
              <w:t>2.5 SWOT Analysis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_Toc227120618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9</w:t>
            </w:r>
            <w:r w:rsidRPr="005B6E6D">
              <w:rPr>
                <w:rStyle w:val="Hyperlink"/>
                <w:rFonts w:ascii="Arial" w:hAnsi="Arial" w:cs="Arial"/>
                <w:noProof/>
              </w:rPr>
              <w:fldChar w:fldCharType="end"/>
            </w:r>
          </w:hyperlink>
        </w:p>
        <w:p w14:paraId="49B541C7" w14:textId="607CA8AB"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19" w:history="1">
            <w:r w:rsidRPr="005B6E6D">
              <w:rPr>
                <w:rStyle w:val="Hyperlink"/>
                <w:rFonts w:ascii="Arial" w:hAnsi="Arial" w:cs="Arial"/>
                <w:noProof/>
              </w:rPr>
              <w:t>2.6 PDSA Cycle (Plan–Do–Study–Act)</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_Toc227120619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10</w:t>
            </w:r>
            <w:r w:rsidRPr="005B6E6D">
              <w:rPr>
                <w:rStyle w:val="Hyperlink"/>
                <w:rFonts w:ascii="Arial" w:hAnsi="Arial" w:cs="Arial"/>
                <w:noProof/>
              </w:rPr>
              <w:fldChar w:fldCharType="end"/>
            </w:r>
          </w:hyperlink>
        </w:p>
        <w:p w14:paraId="49A952A6" w14:textId="780715D8"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20" w:history="1">
            <w:r w:rsidRPr="005B6E6D">
              <w:rPr>
                <w:rStyle w:val="Hyperlink"/>
                <w:rFonts w:ascii="Arial" w:hAnsi="Arial" w:cs="Arial"/>
                <w:noProof/>
              </w:rPr>
              <w:t>3. Recommendations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_Toc227120620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11</w:t>
            </w:r>
            <w:r w:rsidRPr="005B6E6D">
              <w:rPr>
                <w:rStyle w:val="Hyperlink"/>
                <w:rFonts w:ascii="Arial" w:hAnsi="Arial" w:cs="Arial"/>
                <w:noProof/>
              </w:rPr>
              <w:fldChar w:fldCharType="end"/>
            </w:r>
          </w:hyperlink>
        </w:p>
        <w:p w14:paraId="7FD47E98" w14:textId="70F33E2C"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21" w:history="1">
            <w:r w:rsidRPr="005B6E6D">
              <w:rPr>
                <w:rStyle w:val="Hyperlink"/>
                <w:rFonts w:ascii="Arial" w:hAnsi="Arial" w:cs="Arial"/>
                <w:noProof/>
              </w:rPr>
              <w:t>4. Conclusion</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_Toc227120621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13</w:t>
            </w:r>
            <w:r w:rsidRPr="005B6E6D">
              <w:rPr>
                <w:rStyle w:val="Hyperlink"/>
                <w:rFonts w:ascii="Arial" w:hAnsi="Arial" w:cs="Arial"/>
                <w:noProof/>
              </w:rPr>
              <w:fldChar w:fldCharType="end"/>
            </w:r>
          </w:hyperlink>
        </w:p>
        <w:p w14:paraId="16099AB0" w14:textId="7F6A10D2"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22" w:history="1">
            <w:r w:rsidRPr="005B6E6D">
              <w:rPr>
                <w:rStyle w:val="Hyperlink"/>
                <w:rFonts w:ascii="Arial" w:hAnsi="Arial" w:cs="Arial"/>
                <w:noProof/>
              </w:rPr>
              <w:t>References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_Toc227120622 \h </w:instrText>
            </w:r>
            <w:r w:rsidRPr="005B6E6D">
              <w:rPr>
                <w:rStyle w:val="Hyperlink"/>
                <w:rFonts w:ascii="Arial" w:hAnsi="Arial" w:cs="Arial"/>
                <w:noProof/>
              </w:rPr>
            </w:r>
            <w:r w:rsidRPr="005B6E6D">
              <w:rPr>
                <w:rStyle w:val="Hyperlink"/>
                <w:rFonts w:ascii="Arial" w:hAnsi="Arial" w:cs="Arial"/>
                <w:noProof/>
              </w:rPr>
              <w:fldChar w:fldCharType="separate"/>
            </w:r>
            <w:r w:rsidR="00A0036F">
              <w:rPr>
                <w:rFonts w:ascii="Arial" w:hAnsi="Arial" w:cs="Arial"/>
                <w:noProof/>
                <w:webHidden/>
              </w:rPr>
              <w:t>15</w:t>
            </w:r>
            <w:r w:rsidRPr="005B6E6D">
              <w:rPr>
                <w:rStyle w:val="Hyperlink"/>
                <w:rFonts w:ascii="Arial" w:hAnsi="Arial" w:cs="Arial"/>
                <w:noProof/>
              </w:rPr>
              <w:fldChar w:fldCharType="end"/>
            </w:r>
          </w:hyperlink>
        </w:p>
        <w:p w14:paraId="49FCBE0D" w14:textId="09800305" w:rsidR="00B36C98" w:rsidRPr="005B6E6D" w:rsidRDefault="00B36C98" w:rsidP="005B6E6D">
          <w:pPr>
            <w:spacing w:line="360" w:lineRule="auto"/>
            <w:rPr>
              <w:rFonts w:ascii="Arial" w:hAnsi="Arial" w:cs="Arial"/>
            </w:rPr>
          </w:pPr>
          <w:r w:rsidRPr="005B6E6D">
            <w:rPr>
              <w:rFonts w:ascii="Arial" w:hAnsi="Arial" w:cs="Arial"/>
              <w:b/>
              <w:bCs/>
            </w:rPr>
            <w:fldChar w:fldCharType="end"/>
          </w:r>
        </w:p>
      </w:sdtContent>
    </w:sdt>
    <w:p w14:paraId="05779A2D" w14:textId="77777777" w:rsidR="00B36C98" w:rsidRPr="006903B2" w:rsidRDefault="00B36C98" w:rsidP="00B510F8">
      <w:pPr>
        <w:spacing w:line="360" w:lineRule="auto"/>
        <w:jc w:val="both"/>
        <w:rPr>
          <w:rFonts w:ascii="Arial" w:hAnsi="Arial" w:cs="Arial"/>
        </w:rPr>
      </w:pPr>
    </w:p>
    <w:p w14:paraId="759BA4C6" w14:textId="77777777" w:rsidR="00B36C98" w:rsidRPr="006903B2" w:rsidRDefault="00B36C98" w:rsidP="00B510F8">
      <w:pPr>
        <w:spacing w:line="360" w:lineRule="auto"/>
        <w:jc w:val="both"/>
        <w:rPr>
          <w:rFonts w:ascii="Arial" w:hAnsi="Arial" w:cs="Arial"/>
        </w:rPr>
      </w:pPr>
    </w:p>
    <w:p w14:paraId="69E3AFC9" w14:textId="77777777" w:rsidR="00B36C98" w:rsidRPr="006903B2" w:rsidRDefault="00B36C98" w:rsidP="00B510F8">
      <w:pPr>
        <w:spacing w:line="360" w:lineRule="auto"/>
        <w:jc w:val="both"/>
        <w:rPr>
          <w:rFonts w:ascii="Arial" w:hAnsi="Arial" w:cs="Arial"/>
        </w:rPr>
      </w:pPr>
    </w:p>
    <w:p w14:paraId="6C464327" w14:textId="77777777" w:rsidR="00B36C98" w:rsidRPr="006903B2" w:rsidRDefault="00B36C98" w:rsidP="00B510F8">
      <w:pPr>
        <w:spacing w:line="360" w:lineRule="auto"/>
        <w:jc w:val="both"/>
        <w:rPr>
          <w:rFonts w:ascii="Arial" w:hAnsi="Arial" w:cs="Arial"/>
        </w:rPr>
      </w:pPr>
    </w:p>
    <w:p w14:paraId="4DDC3646" w14:textId="77777777" w:rsidR="00B36C98" w:rsidRPr="006903B2" w:rsidRDefault="00B36C98" w:rsidP="00B510F8">
      <w:pPr>
        <w:spacing w:line="360" w:lineRule="auto"/>
        <w:jc w:val="both"/>
        <w:rPr>
          <w:rFonts w:ascii="Arial" w:hAnsi="Arial" w:cs="Arial"/>
        </w:rPr>
      </w:pPr>
    </w:p>
    <w:p w14:paraId="5F6B42C1" w14:textId="77777777" w:rsidR="00B36C98" w:rsidRPr="006903B2" w:rsidRDefault="00B36C98" w:rsidP="00B510F8">
      <w:pPr>
        <w:spacing w:line="360" w:lineRule="auto"/>
        <w:jc w:val="both"/>
        <w:rPr>
          <w:rFonts w:ascii="Arial" w:hAnsi="Arial" w:cs="Arial"/>
        </w:rPr>
      </w:pPr>
    </w:p>
    <w:p w14:paraId="22CCD55A" w14:textId="77777777" w:rsidR="00B36C98" w:rsidRPr="006903B2" w:rsidRDefault="00B36C98" w:rsidP="00B510F8">
      <w:pPr>
        <w:spacing w:line="360" w:lineRule="auto"/>
        <w:jc w:val="both"/>
        <w:rPr>
          <w:rFonts w:ascii="Arial" w:hAnsi="Arial" w:cs="Arial"/>
        </w:rPr>
      </w:pPr>
    </w:p>
    <w:p w14:paraId="7FD715D7" w14:textId="77777777" w:rsidR="00B36C98" w:rsidRPr="006903B2" w:rsidRDefault="00B36C98" w:rsidP="00B510F8">
      <w:pPr>
        <w:spacing w:line="360" w:lineRule="auto"/>
        <w:jc w:val="both"/>
        <w:rPr>
          <w:rFonts w:ascii="Arial" w:hAnsi="Arial" w:cs="Arial"/>
        </w:rPr>
      </w:pPr>
    </w:p>
    <w:p w14:paraId="251BB3F6" w14:textId="77777777" w:rsidR="00B36C98" w:rsidRPr="006903B2" w:rsidRDefault="00B36C98" w:rsidP="00B510F8">
      <w:pPr>
        <w:spacing w:line="360" w:lineRule="auto"/>
        <w:jc w:val="both"/>
        <w:rPr>
          <w:rFonts w:ascii="Arial" w:hAnsi="Arial" w:cs="Arial"/>
        </w:rPr>
      </w:pPr>
    </w:p>
    <w:p w14:paraId="39FFBC2E" w14:textId="77777777" w:rsidR="00B510F8" w:rsidRPr="006903B2" w:rsidRDefault="00B510F8" w:rsidP="00BE68A9">
      <w:pPr>
        <w:pStyle w:val="Heading1"/>
      </w:pPr>
      <w:bookmarkStart w:id="0" w:name="_Toc227120608"/>
      <w:r w:rsidRPr="006903B2">
        <w:lastRenderedPageBreak/>
        <w:t>1. Introduction</w:t>
      </w:r>
      <w:bookmarkEnd w:id="0"/>
    </w:p>
    <w:p w14:paraId="22E306E1" w14:textId="3C6B3812" w:rsidR="00B510F8" w:rsidRPr="006903B2" w:rsidRDefault="00B510F8" w:rsidP="00BE68A9">
      <w:pPr>
        <w:pStyle w:val="Heading2"/>
      </w:pPr>
      <w:bookmarkStart w:id="1" w:name="_Toc227120609"/>
      <w:r w:rsidRPr="006903B2">
        <w:t>1.1 Quality Assurance in Healthcare</w:t>
      </w:r>
      <w:bookmarkEnd w:id="1"/>
      <w:r w:rsidRPr="006903B2">
        <w:t xml:space="preserve"> </w:t>
      </w:r>
    </w:p>
    <w:p w14:paraId="7A8BBB3A" w14:textId="43AB5FA7" w:rsidR="00B510F8" w:rsidRPr="006903B2" w:rsidRDefault="00B510F8" w:rsidP="00B510F8">
      <w:pPr>
        <w:spacing w:line="360" w:lineRule="auto"/>
        <w:jc w:val="both"/>
        <w:rPr>
          <w:rFonts w:ascii="Arial" w:hAnsi="Arial" w:cs="Arial"/>
        </w:rPr>
      </w:pPr>
      <w:r w:rsidRPr="006903B2">
        <w:rPr>
          <w:rFonts w:ascii="Arial" w:hAnsi="Arial" w:cs="Arial"/>
        </w:rPr>
        <w:t>Quality assurance in healthcare refers to systematic processes aimed at ensuring that patient care meets established standards of safety, effectiveness, and reliability</w:t>
      </w:r>
      <w:r w:rsidR="003B647C" w:rsidRPr="006903B2">
        <w:rPr>
          <w:rFonts w:ascii="Arial" w:hAnsi="Arial" w:cs="Arial"/>
        </w:rPr>
        <w:t xml:space="preserve"> (Nickel, 2025)</w:t>
      </w:r>
      <w:r w:rsidRPr="006903B2">
        <w:rPr>
          <w:rFonts w:ascii="Arial" w:hAnsi="Arial" w:cs="Arial"/>
        </w:rPr>
        <w:t>. It involves continuous monitoring, evaluation, and improvement of healthcare services to minimise risks and enhance patient outcomes</w:t>
      </w:r>
      <w:r w:rsidR="00495537" w:rsidRPr="006903B2">
        <w:rPr>
          <w:rFonts w:ascii="Arial" w:hAnsi="Arial" w:cs="Arial"/>
        </w:rPr>
        <w:t xml:space="preserve"> (Petryk et al,</w:t>
      </w:r>
      <w:r w:rsidR="00654AD3" w:rsidRPr="006903B2">
        <w:rPr>
          <w:rFonts w:ascii="Arial" w:hAnsi="Arial" w:cs="Arial"/>
        </w:rPr>
        <w:t xml:space="preserve"> </w:t>
      </w:r>
      <w:r w:rsidR="00495537" w:rsidRPr="006903B2">
        <w:rPr>
          <w:rFonts w:ascii="Arial" w:hAnsi="Arial" w:cs="Arial"/>
        </w:rPr>
        <w:t>2023)</w:t>
      </w:r>
      <w:r w:rsidRPr="006903B2">
        <w:rPr>
          <w:rFonts w:ascii="Arial" w:hAnsi="Arial" w:cs="Arial"/>
        </w:rPr>
        <w:t>. Within organisations such as the NHS, quality assurance is essential for maintaining public trust and ensuring compliance with regulatory frameworks. According to Elliott et al. (2024), medication errors remain a significant threat to patient safety, often resulting from failures in both system design and human performance.</w:t>
      </w:r>
    </w:p>
    <w:p w14:paraId="11763E6C" w14:textId="42546B01" w:rsidR="00B510F8" w:rsidRPr="006903B2" w:rsidRDefault="00B510F8" w:rsidP="00B510F8">
      <w:pPr>
        <w:spacing w:line="360" w:lineRule="auto"/>
        <w:jc w:val="both"/>
        <w:rPr>
          <w:rFonts w:ascii="Arial" w:hAnsi="Arial" w:cs="Arial"/>
        </w:rPr>
      </w:pPr>
      <w:r w:rsidRPr="006903B2">
        <w:rPr>
          <w:rFonts w:ascii="Arial" w:hAnsi="Arial" w:cs="Arial"/>
        </w:rPr>
        <w:t>The concept of “Never Events” highlights the importance of strong quality assurance systems. These are serious, preventable incidents that should not occur if appropriate safeguards are in place (</w:t>
      </w:r>
      <w:proofErr w:type="spellStart"/>
      <w:r w:rsidR="00654AD3" w:rsidRPr="006903B2">
        <w:rPr>
          <w:rFonts w:ascii="Arial" w:hAnsi="Arial" w:cs="Arial"/>
        </w:rPr>
        <w:t>Chotsampancharoen</w:t>
      </w:r>
      <w:proofErr w:type="spellEnd"/>
      <w:r w:rsidR="00654AD3" w:rsidRPr="006903B2">
        <w:rPr>
          <w:rFonts w:ascii="Arial" w:hAnsi="Arial" w:cs="Arial"/>
        </w:rPr>
        <w:t xml:space="preserve"> </w:t>
      </w:r>
      <w:r w:rsidRPr="006903B2">
        <w:rPr>
          <w:rFonts w:ascii="Arial" w:hAnsi="Arial" w:cs="Arial"/>
        </w:rPr>
        <w:t>et al., 20</w:t>
      </w:r>
      <w:r w:rsidR="00654AD3" w:rsidRPr="006903B2">
        <w:rPr>
          <w:rFonts w:ascii="Arial" w:hAnsi="Arial" w:cs="Arial"/>
        </w:rPr>
        <w:t>16</w:t>
      </w:r>
      <w:r w:rsidRPr="006903B2">
        <w:rPr>
          <w:rFonts w:ascii="Arial" w:hAnsi="Arial" w:cs="Arial"/>
        </w:rPr>
        <w:t>). Effective quality assurance integrates clinical governance, staff training, risk management, and standardised protocols</w:t>
      </w:r>
      <w:r w:rsidR="006405DB" w:rsidRPr="006903B2">
        <w:rPr>
          <w:rFonts w:ascii="Arial" w:hAnsi="Arial" w:cs="Arial"/>
        </w:rPr>
        <w:t xml:space="preserve"> (Nickel, 2025)</w:t>
      </w:r>
      <w:r w:rsidRPr="006903B2">
        <w:rPr>
          <w:rFonts w:ascii="Arial" w:hAnsi="Arial" w:cs="Arial"/>
        </w:rPr>
        <w:t>. However, failures in these systems can lead to catastrophic outcomes, as demonstrated by high-profile medication errors. Therefore, continuous quality improvement and system-based approaches are essential to reduce variability, improve safety, and ensure consistent delivery of high-quality care.</w:t>
      </w:r>
      <w:r w:rsidR="002962F8">
        <w:rPr>
          <w:rFonts w:ascii="Arial" w:hAnsi="Arial" w:cs="Arial"/>
        </w:rPr>
        <w:t xml:space="preserve"> </w:t>
      </w:r>
      <w:r w:rsidR="002962F8" w:rsidRPr="002962F8">
        <w:rPr>
          <w:rFonts w:ascii="Arial" w:hAnsi="Arial" w:cs="Arial"/>
        </w:rPr>
        <w:t>This report aims to evaluate the case study of the vincristine medication error to analyse failures in quality assurance systems and identify strategies for improving patient safety and healthcare service delivery.</w:t>
      </w:r>
    </w:p>
    <w:p w14:paraId="00456DBC" w14:textId="4D20068D" w:rsidR="00B510F8" w:rsidRPr="006903B2" w:rsidRDefault="00B510F8" w:rsidP="00BE68A9">
      <w:pPr>
        <w:pStyle w:val="Heading2"/>
      </w:pPr>
      <w:bookmarkStart w:id="2" w:name="_Toc227120610"/>
      <w:r w:rsidRPr="006903B2">
        <w:t>1.2 Overview of the Case</w:t>
      </w:r>
      <w:bookmarkEnd w:id="2"/>
      <w:r w:rsidRPr="006903B2">
        <w:t xml:space="preserve"> </w:t>
      </w:r>
    </w:p>
    <w:p w14:paraId="54D9D872" w14:textId="1BFAE409" w:rsidR="00B510F8" w:rsidRPr="006903B2" w:rsidRDefault="00B510F8" w:rsidP="00B510F8">
      <w:pPr>
        <w:spacing w:line="360" w:lineRule="auto"/>
        <w:jc w:val="both"/>
        <w:rPr>
          <w:rFonts w:ascii="Arial" w:hAnsi="Arial" w:cs="Arial"/>
        </w:rPr>
      </w:pPr>
      <w:r w:rsidRPr="006903B2">
        <w:rPr>
          <w:rFonts w:ascii="Arial" w:hAnsi="Arial" w:cs="Arial"/>
        </w:rPr>
        <w:t>In 2001, a fatal medication error occurred within the NHS at Queen’s Medical Centre, Nottingham, involving the chemotherapy drug vincristine. The drug, intended for intravenous administration, was mistakenly administered intrathecally during a chemotherapy procedure</w:t>
      </w:r>
      <w:r w:rsidR="00BB1E2D" w:rsidRPr="006903B2">
        <w:rPr>
          <w:rFonts w:ascii="Arial" w:hAnsi="Arial" w:cs="Arial"/>
        </w:rPr>
        <w:t xml:space="preserve"> (Toft, 2001)</w:t>
      </w:r>
      <w:r w:rsidRPr="006903B2">
        <w:rPr>
          <w:rFonts w:ascii="Arial" w:hAnsi="Arial" w:cs="Arial"/>
        </w:rPr>
        <w:t>. This error caused severe neurological damage, leading to the patient’s death. The incident resulted from confusion between drug administration routes and inadequate separation of procedures</w:t>
      </w:r>
      <w:r w:rsidR="00506C70" w:rsidRPr="006903B2">
        <w:rPr>
          <w:rFonts w:ascii="Arial" w:hAnsi="Arial" w:cs="Arial"/>
        </w:rPr>
        <w:t xml:space="preserve"> (Toft, 2001)</w:t>
      </w:r>
      <w:r w:rsidRPr="006903B2">
        <w:rPr>
          <w:rFonts w:ascii="Arial" w:hAnsi="Arial" w:cs="Arial"/>
        </w:rPr>
        <w:t xml:space="preserve">. It was classified as a Never Event because it was entirely preventable with appropriate safeguards. The case prompted a national inquiry and led to significant reforms in </w:t>
      </w:r>
      <w:r w:rsidRPr="006903B2">
        <w:rPr>
          <w:rFonts w:ascii="Arial" w:hAnsi="Arial" w:cs="Arial"/>
        </w:rPr>
        <w:lastRenderedPageBreak/>
        <w:t>patient safety protocols, particularly concerning the handling of high-risk medications</w:t>
      </w:r>
      <w:r w:rsidR="00506C70" w:rsidRPr="006903B2">
        <w:rPr>
          <w:rFonts w:ascii="Arial" w:hAnsi="Arial" w:cs="Arial"/>
        </w:rPr>
        <w:t xml:space="preserve"> (Toft, 2001)</w:t>
      </w:r>
      <w:r w:rsidRPr="006903B2">
        <w:rPr>
          <w:rFonts w:ascii="Arial" w:hAnsi="Arial" w:cs="Arial"/>
        </w:rPr>
        <w:t>.</w:t>
      </w:r>
    </w:p>
    <w:p w14:paraId="4451831D" w14:textId="7E6A911F" w:rsidR="00B510F8" w:rsidRPr="006903B2" w:rsidRDefault="00B510F8" w:rsidP="00BE68A9">
      <w:pPr>
        <w:pStyle w:val="Heading2"/>
      </w:pPr>
      <w:bookmarkStart w:id="3" w:name="_Toc227120611"/>
      <w:r w:rsidRPr="006903B2">
        <w:t>1.3 Systemic Failures and Organisational Weaknesses</w:t>
      </w:r>
      <w:bookmarkEnd w:id="3"/>
      <w:r w:rsidRPr="006903B2">
        <w:t xml:space="preserve"> </w:t>
      </w:r>
    </w:p>
    <w:p w14:paraId="0E8E21C1" w14:textId="38326DE0" w:rsidR="00B510F8" w:rsidRPr="006903B2" w:rsidRDefault="00B510F8" w:rsidP="00B510F8">
      <w:pPr>
        <w:spacing w:line="360" w:lineRule="auto"/>
        <w:jc w:val="both"/>
        <w:rPr>
          <w:rFonts w:ascii="Arial" w:hAnsi="Arial" w:cs="Arial"/>
        </w:rPr>
      </w:pPr>
      <w:r w:rsidRPr="006903B2">
        <w:rPr>
          <w:rFonts w:ascii="Arial" w:hAnsi="Arial" w:cs="Arial"/>
        </w:rPr>
        <w:t>The vincristine incident exposed multiple systemic failures and organisational weaknesses within the healthcare setting. A key issue was the absence of robust safety barriers to prevent incorrect administration routes</w:t>
      </w:r>
      <w:r w:rsidR="00CC310A" w:rsidRPr="006903B2">
        <w:rPr>
          <w:rFonts w:ascii="Arial" w:hAnsi="Arial" w:cs="Arial"/>
        </w:rPr>
        <w:t xml:space="preserve"> (NHS Specialist Pharmacy Service, 2025).</w:t>
      </w:r>
      <w:r w:rsidRPr="006903B2">
        <w:rPr>
          <w:rFonts w:ascii="Arial" w:hAnsi="Arial" w:cs="Arial"/>
        </w:rPr>
        <w:t xml:space="preserve"> Protocols for handling high-risk medications were either poorly designed or inconsistently implemented. Inadequate staff training further contributed to the error, as healthcare professionals lacked sufficient competency in managing chemotherapy drugs</w:t>
      </w:r>
      <w:r w:rsidR="00672E93" w:rsidRPr="006903B2">
        <w:rPr>
          <w:rFonts w:ascii="Arial" w:hAnsi="Arial" w:cs="Arial"/>
        </w:rPr>
        <w:t xml:space="preserve"> (Gilbar, 2012)</w:t>
      </w:r>
      <w:r w:rsidRPr="006903B2">
        <w:rPr>
          <w:rFonts w:ascii="Arial" w:hAnsi="Arial" w:cs="Arial"/>
        </w:rPr>
        <w:t>. Communication failures among multidisciplinary teams increased the likelihood of misunderstanding during the medication process</w:t>
      </w:r>
      <w:r w:rsidR="00CC310A" w:rsidRPr="006903B2">
        <w:rPr>
          <w:rFonts w:ascii="Arial" w:hAnsi="Arial" w:cs="Arial"/>
        </w:rPr>
        <w:t xml:space="preserve"> (Gilbar, 2012)</w:t>
      </w:r>
      <w:r w:rsidRPr="006903B2">
        <w:rPr>
          <w:rFonts w:ascii="Arial" w:hAnsi="Arial" w:cs="Arial"/>
        </w:rPr>
        <w:t>. Additionally, environmental pressures such as workload and time constraints reduced vigilance. Design flaws, including similar packaging and preparation methods, further heightened the risk of confusion</w:t>
      </w:r>
      <w:r w:rsidR="00DE0FDC" w:rsidRPr="006903B2">
        <w:rPr>
          <w:rFonts w:ascii="Arial" w:hAnsi="Arial" w:cs="Arial"/>
        </w:rPr>
        <w:t xml:space="preserve"> (Kurgat et al, 2020)</w:t>
      </w:r>
      <w:r w:rsidRPr="006903B2">
        <w:rPr>
          <w:rFonts w:ascii="Arial" w:hAnsi="Arial" w:cs="Arial"/>
        </w:rPr>
        <w:t>. Collectively, these weaknesses reflect a failure in organisational governance, safety culture, and quality assurance systems.</w:t>
      </w:r>
    </w:p>
    <w:p w14:paraId="7DB1A521" w14:textId="34DCDBB2" w:rsidR="00B510F8" w:rsidRPr="006903B2" w:rsidRDefault="00B510F8" w:rsidP="00BE68A9">
      <w:pPr>
        <w:pStyle w:val="Heading2"/>
      </w:pPr>
      <w:bookmarkStart w:id="4" w:name="_Toc227120612"/>
      <w:r w:rsidRPr="006903B2">
        <w:t>1.4 Systems-Based Approach to Analysis</w:t>
      </w:r>
      <w:bookmarkEnd w:id="4"/>
      <w:r w:rsidRPr="006903B2">
        <w:t xml:space="preserve"> </w:t>
      </w:r>
    </w:p>
    <w:p w14:paraId="2318CFC9" w14:textId="74351E7B" w:rsidR="00B510F8" w:rsidRPr="006903B2" w:rsidRDefault="00B510F8" w:rsidP="00B510F8">
      <w:pPr>
        <w:spacing w:line="360" w:lineRule="auto"/>
        <w:jc w:val="both"/>
        <w:rPr>
          <w:rFonts w:ascii="Arial" w:hAnsi="Arial" w:cs="Arial"/>
        </w:rPr>
      </w:pPr>
      <w:r w:rsidRPr="006903B2">
        <w:rPr>
          <w:rFonts w:ascii="Arial" w:hAnsi="Arial" w:cs="Arial"/>
        </w:rPr>
        <w:t>A systems-based approach to healthcare analysis recognises that errors rarely result from individual negligence alone but rather from complex interactions within organisational systems. Models such as the Swiss Cheese Model illustrate how multiple layers of defence can fail when systemic weaknesses align</w:t>
      </w:r>
      <w:r w:rsidR="00F46D9C" w:rsidRPr="006903B2">
        <w:rPr>
          <w:rFonts w:ascii="Arial" w:hAnsi="Arial" w:cs="Arial"/>
        </w:rPr>
        <w:t xml:space="preserve"> (Wiegmann et al, 2022)</w:t>
      </w:r>
      <w:r w:rsidRPr="006903B2">
        <w:rPr>
          <w:rFonts w:ascii="Arial" w:hAnsi="Arial" w:cs="Arial"/>
        </w:rPr>
        <w:t>. In the vincristine case, latent conditions such as poor protocols and inadequate training combined with active human errors produced a fatal outcome</w:t>
      </w:r>
      <w:r w:rsidR="00636B75" w:rsidRPr="006903B2">
        <w:rPr>
          <w:rFonts w:ascii="Arial" w:hAnsi="Arial" w:cs="Arial"/>
        </w:rPr>
        <w:t xml:space="preserve"> (Toft, 2001).</w:t>
      </w:r>
    </w:p>
    <w:p w14:paraId="296BF9AB" w14:textId="6D5391C2" w:rsidR="00B510F8" w:rsidRPr="006903B2" w:rsidRDefault="00B510F8" w:rsidP="00B510F8">
      <w:pPr>
        <w:spacing w:line="360" w:lineRule="auto"/>
        <w:jc w:val="both"/>
        <w:rPr>
          <w:rFonts w:ascii="Arial" w:hAnsi="Arial" w:cs="Arial"/>
        </w:rPr>
      </w:pPr>
      <w:r w:rsidRPr="006903B2">
        <w:rPr>
          <w:rFonts w:ascii="Arial" w:hAnsi="Arial" w:cs="Arial"/>
        </w:rPr>
        <w:t>This approach shifts the focus from blaming individuals to understanding underlying system failures. By analysing factors such as communication, workflow design, and organisational culture, healthcare providers can identify root causes and implement preventive strategies</w:t>
      </w:r>
      <w:r w:rsidR="001532C5" w:rsidRPr="006903B2">
        <w:rPr>
          <w:rFonts w:ascii="Arial" w:hAnsi="Arial" w:cs="Arial"/>
        </w:rPr>
        <w:t xml:space="preserve"> (Ahsani-</w:t>
      </w:r>
      <w:proofErr w:type="spellStart"/>
      <w:r w:rsidR="001532C5" w:rsidRPr="006903B2">
        <w:rPr>
          <w:rFonts w:ascii="Arial" w:hAnsi="Arial" w:cs="Arial"/>
        </w:rPr>
        <w:t>Estahbanati</w:t>
      </w:r>
      <w:proofErr w:type="spellEnd"/>
      <w:r w:rsidR="001532C5" w:rsidRPr="006903B2">
        <w:rPr>
          <w:rFonts w:ascii="Arial" w:hAnsi="Arial" w:cs="Arial"/>
        </w:rPr>
        <w:t xml:space="preserve"> et al, 2022)</w:t>
      </w:r>
      <w:r w:rsidRPr="006903B2">
        <w:rPr>
          <w:rFonts w:ascii="Arial" w:hAnsi="Arial" w:cs="Arial"/>
        </w:rPr>
        <w:t>. A systems perspective is essential for improving patient safety, as it promotes learning, accountability, and continuous improvement. It also supports the development of resilient healthcare systems capable of preventing similar incidents in the future</w:t>
      </w:r>
      <w:r w:rsidR="007C1742" w:rsidRPr="006903B2">
        <w:rPr>
          <w:rFonts w:ascii="Arial" w:hAnsi="Arial" w:cs="Arial"/>
        </w:rPr>
        <w:t xml:space="preserve"> (Wiegmann et al, 2022)</w:t>
      </w:r>
      <w:r w:rsidRPr="006903B2">
        <w:rPr>
          <w:rFonts w:ascii="Arial" w:hAnsi="Arial" w:cs="Arial"/>
        </w:rPr>
        <w:t>.</w:t>
      </w:r>
    </w:p>
    <w:p w14:paraId="2E55CF0B" w14:textId="77777777" w:rsidR="00B510F8" w:rsidRPr="006903B2" w:rsidRDefault="00B510F8" w:rsidP="00BE68A9">
      <w:pPr>
        <w:pStyle w:val="Heading2"/>
      </w:pPr>
      <w:bookmarkStart w:id="5" w:name="_Toc227120613"/>
      <w:r w:rsidRPr="006903B2">
        <w:lastRenderedPageBreak/>
        <w:t>2. Main Body</w:t>
      </w:r>
      <w:bookmarkEnd w:id="5"/>
    </w:p>
    <w:p w14:paraId="2CF49C22" w14:textId="21D8ABF2" w:rsidR="00B510F8" w:rsidRPr="006903B2" w:rsidRDefault="00B510F8" w:rsidP="00BE68A9">
      <w:pPr>
        <w:pStyle w:val="Heading2"/>
      </w:pPr>
      <w:bookmarkStart w:id="6" w:name="_Toc227120614"/>
      <w:r w:rsidRPr="006903B2">
        <w:t>2.1 Donabedian Model Analysis</w:t>
      </w:r>
      <w:bookmarkEnd w:id="6"/>
      <w:r w:rsidRPr="006903B2">
        <w:t xml:space="preserve"> </w:t>
      </w:r>
    </w:p>
    <w:p w14:paraId="48DD333B" w14:textId="6A1BABBA" w:rsidR="00A0036F" w:rsidRPr="00A0036F" w:rsidRDefault="00A0036F" w:rsidP="00A0036F">
      <w:pPr>
        <w:spacing w:line="360" w:lineRule="auto"/>
        <w:jc w:val="both"/>
        <w:rPr>
          <w:rFonts w:ascii="Arial" w:hAnsi="Arial" w:cs="Arial"/>
          <w:lang w:val="en-US"/>
        </w:rPr>
      </w:pPr>
      <w:r w:rsidRPr="00A0036F">
        <w:rPr>
          <w:rFonts w:ascii="Arial" w:hAnsi="Arial" w:cs="Arial"/>
          <w:lang w:val="en-US"/>
        </w:rPr>
        <w:t>The three main elements of the Donabedian Model</w:t>
      </w:r>
      <w:r>
        <w:rPr>
          <w:rFonts w:ascii="Arial" w:hAnsi="Arial" w:cs="Arial"/>
          <w:lang w:val="en-US"/>
        </w:rPr>
        <w:t xml:space="preserve">, </w:t>
      </w:r>
      <w:r w:rsidRPr="00A0036F">
        <w:rPr>
          <w:rFonts w:ascii="Arial" w:hAnsi="Arial" w:cs="Arial"/>
          <w:lang w:val="en-US"/>
        </w:rPr>
        <w:t>structure, procedure, and outcomes</w:t>
      </w:r>
      <w:r>
        <w:rPr>
          <w:rFonts w:ascii="Arial" w:hAnsi="Arial" w:cs="Arial"/>
          <w:lang w:val="en-US"/>
        </w:rPr>
        <w:t xml:space="preserve">, </w:t>
      </w:r>
      <w:r w:rsidRPr="00A0036F">
        <w:rPr>
          <w:rFonts w:ascii="Arial" w:hAnsi="Arial" w:cs="Arial"/>
          <w:lang w:val="en-US"/>
        </w:rPr>
        <w:t xml:space="preserve">offer an </w:t>
      </w:r>
      <w:proofErr w:type="spellStart"/>
      <w:r w:rsidRPr="00A0036F">
        <w:rPr>
          <w:rFonts w:ascii="Arial" w:hAnsi="Arial" w:cs="Arial"/>
          <w:lang w:val="en-US"/>
        </w:rPr>
        <w:t>organised</w:t>
      </w:r>
      <w:proofErr w:type="spellEnd"/>
      <w:r w:rsidRPr="00A0036F">
        <w:rPr>
          <w:rFonts w:ascii="Arial" w:hAnsi="Arial" w:cs="Arial"/>
          <w:lang w:val="en-US"/>
        </w:rPr>
        <w:t xml:space="preserve"> framework for assessing the quality of healthcare. Because it connects </w:t>
      </w:r>
      <w:proofErr w:type="spellStart"/>
      <w:r w:rsidRPr="00A0036F">
        <w:rPr>
          <w:rFonts w:ascii="Arial" w:hAnsi="Arial" w:cs="Arial"/>
          <w:lang w:val="en-US"/>
        </w:rPr>
        <w:t>organisational</w:t>
      </w:r>
      <w:proofErr w:type="spellEnd"/>
      <w:r w:rsidRPr="00A0036F">
        <w:rPr>
          <w:rFonts w:ascii="Arial" w:hAnsi="Arial" w:cs="Arial"/>
          <w:lang w:val="en-US"/>
        </w:rPr>
        <w:t xml:space="preserve"> circumstances to patient outcomes and service delivery, this model is frequently used in healthcare quality assessment (McCullough et al, 2023).</w:t>
      </w:r>
    </w:p>
    <w:p w14:paraId="69BAFC57" w14:textId="7334FDCE"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Structure: </w:t>
      </w:r>
      <w:r w:rsidRPr="006903B2">
        <w:rPr>
          <w:rFonts w:ascii="Arial" w:hAnsi="Arial" w:cs="Arial"/>
        </w:rPr>
        <w:t>Structure refers to the organisational environment in which care is delivered, including staffing, equipment, policies, and training systems. In the vincristine case, structural weaknesses were evident in the lack of robust safety protocols and inadequate staff training</w:t>
      </w:r>
      <w:r w:rsidR="00700691" w:rsidRPr="006903B2">
        <w:rPr>
          <w:rFonts w:ascii="Arial" w:hAnsi="Arial" w:cs="Arial"/>
        </w:rPr>
        <w:t xml:space="preserve"> (Chen et al, 2024)</w:t>
      </w:r>
      <w:r w:rsidRPr="006903B2">
        <w:rPr>
          <w:rFonts w:ascii="Arial" w:hAnsi="Arial" w:cs="Arial"/>
        </w:rPr>
        <w:t>. The absence of physical separation between intrathecal and intravenous medications further increased the risk of error. These deficiencies highlight gaps in organisational design and governance</w:t>
      </w:r>
      <w:r w:rsidR="00ED6FF7" w:rsidRPr="006903B2">
        <w:rPr>
          <w:rFonts w:ascii="Arial" w:hAnsi="Arial" w:cs="Arial"/>
        </w:rPr>
        <w:t xml:space="preserve"> (Chen et al, 2024)</w:t>
      </w:r>
      <w:r w:rsidRPr="006903B2">
        <w:rPr>
          <w:rFonts w:ascii="Arial" w:hAnsi="Arial" w:cs="Arial"/>
        </w:rPr>
        <w:t>.</w:t>
      </w:r>
    </w:p>
    <w:p w14:paraId="61A57C78" w14:textId="161F278D"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Process: </w:t>
      </w:r>
      <w:r w:rsidRPr="006903B2">
        <w:rPr>
          <w:rFonts w:ascii="Arial" w:hAnsi="Arial" w:cs="Arial"/>
        </w:rPr>
        <w:t>Process involves the methods and procedures used in delivering care. Failures in this area included poor adherence to protocols, lack of double-checking systems, and ineffective communication among healthcare professionals</w:t>
      </w:r>
      <w:r w:rsidR="000D1A81" w:rsidRPr="006903B2">
        <w:rPr>
          <w:rFonts w:ascii="Arial" w:hAnsi="Arial" w:cs="Arial"/>
        </w:rPr>
        <w:t xml:space="preserve"> (Carrera-Noguero et al, 2025)</w:t>
      </w:r>
      <w:r w:rsidRPr="006903B2">
        <w:rPr>
          <w:rFonts w:ascii="Arial" w:hAnsi="Arial" w:cs="Arial"/>
        </w:rPr>
        <w:t>. The medication was administered incorrectly due to confusion in procedures, indicating that safe practices were not standardised or consistently followed</w:t>
      </w:r>
      <w:r w:rsidR="00EC2926" w:rsidRPr="006903B2">
        <w:rPr>
          <w:rFonts w:ascii="Arial" w:hAnsi="Arial" w:cs="Arial"/>
        </w:rPr>
        <w:t xml:space="preserve"> (Carrera-Noguero et al, 2025)</w:t>
      </w:r>
      <w:r w:rsidRPr="006903B2">
        <w:rPr>
          <w:rFonts w:ascii="Arial" w:hAnsi="Arial" w:cs="Arial"/>
        </w:rPr>
        <w:t>.</w:t>
      </w:r>
    </w:p>
    <w:p w14:paraId="6B45D044" w14:textId="5C1ED729"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Outcome: </w:t>
      </w:r>
      <w:r w:rsidRPr="006903B2">
        <w:rPr>
          <w:rFonts w:ascii="Arial" w:hAnsi="Arial" w:cs="Arial"/>
        </w:rPr>
        <w:t>Outcome refers to the results of healthcare interventions. In this case, the outcome was catastrophic, resulting in severe neurological damage and patient death</w:t>
      </w:r>
      <w:r w:rsidR="00700691" w:rsidRPr="006903B2">
        <w:rPr>
          <w:rFonts w:ascii="Arial" w:hAnsi="Arial" w:cs="Arial"/>
        </w:rPr>
        <w:t xml:space="preserve"> (</w:t>
      </w:r>
      <w:r w:rsidR="00A1661C" w:rsidRPr="006903B2">
        <w:rPr>
          <w:rFonts w:ascii="Arial" w:hAnsi="Arial" w:cs="Arial"/>
        </w:rPr>
        <w:t>Toft</w:t>
      </w:r>
      <w:r w:rsidR="00700691" w:rsidRPr="006903B2">
        <w:rPr>
          <w:rFonts w:ascii="Arial" w:hAnsi="Arial" w:cs="Arial"/>
        </w:rPr>
        <w:t>, 20</w:t>
      </w:r>
      <w:r w:rsidR="00A1661C">
        <w:rPr>
          <w:rFonts w:ascii="Arial" w:hAnsi="Arial" w:cs="Arial"/>
        </w:rPr>
        <w:t>01</w:t>
      </w:r>
      <w:r w:rsidR="00700691" w:rsidRPr="006903B2">
        <w:rPr>
          <w:rFonts w:ascii="Arial" w:hAnsi="Arial" w:cs="Arial"/>
        </w:rPr>
        <w:t>)</w:t>
      </w:r>
      <w:r w:rsidRPr="006903B2">
        <w:rPr>
          <w:rFonts w:ascii="Arial" w:hAnsi="Arial" w:cs="Arial"/>
        </w:rPr>
        <w:t>. This demonstrates how failures in both structure and process can directly impact patient safety. The Donabedian Model clearly illustrates that improving structural and process elements is essential to achieving positive healthcare outcomes</w:t>
      </w:r>
      <w:r w:rsidR="00700691" w:rsidRPr="006903B2">
        <w:rPr>
          <w:rFonts w:ascii="Arial" w:hAnsi="Arial" w:cs="Arial"/>
        </w:rPr>
        <w:t xml:space="preserve"> (McCullough et al, 2023)</w:t>
      </w:r>
      <w:r w:rsidRPr="006903B2">
        <w:rPr>
          <w:rFonts w:ascii="Arial" w:hAnsi="Arial" w:cs="Arial"/>
        </w:rPr>
        <w:t>.</w:t>
      </w:r>
    </w:p>
    <w:p w14:paraId="2549358B" w14:textId="66C6AF45" w:rsidR="00B510F8" w:rsidRPr="006903B2" w:rsidRDefault="00B510F8" w:rsidP="00BE68A9">
      <w:pPr>
        <w:pStyle w:val="Heading2"/>
      </w:pPr>
      <w:bookmarkStart w:id="7" w:name="_Toc227120615"/>
      <w:r w:rsidRPr="006903B2">
        <w:t>2.2 Root Cause Analysis: Fishbone Diagram</w:t>
      </w:r>
      <w:bookmarkEnd w:id="7"/>
      <w:r w:rsidRPr="006903B2">
        <w:t xml:space="preserve"> </w:t>
      </w:r>
    </w:p>
    <w:p w14:paraId="0497CF0C" w14:textId="53E47018" w:rsidR="00B510F8" w:rsidRDefault="00B510F8" w:rsidP="00B510F8">
      <w:pPr>
        <w:spacing w:line="360" w:lineRule="auto"/>
        <w:jc w:val="both"/>
        <w:rPr>
          <w:rFonts w:ascii="Arial" w:hAnsi="Arial" w:cs="Arial"/>
        </w:rPr>
      </w:pPr>
      <w:r w:rsidRPr="006903B2">
        <w:rPr>
          <w:rFonts w:ascii="Arial" w:hAnsi="Arial" w:cs="Arial"/>
        </w:rPr>
        <w:t xml:space="preserve">The Fishbone (Ishikawa) Diagram is a widely used quality improvement tool that helps identify and categorise the root causes of complex healthcare incidents. In the vincristine medication error, this framework enables a structured analysis of the </w:t>
      </w:r>
      <w:r w:rsidRPr="006903B2">
        <w:rPr>
          <w:rFonts w:ascii="Arial" w:hAnsi="Arial" w:cs="Arial"/>
        </w:rPr>
        <w:lastRenderedPageBreak/>
        <w:t>multiple contributing factors that led to the fatal outcome. Rather than attributing the error to a single cause, the model highlights how various systemic weaknesses interacted to produce the incident</w:t>
      </w:r>
      <w:r w:rsidR="00E013C2" w:rsidRPr="006903B2">
        <w:rPr>
          <w:rFonts w:ascii="Arial" w:hAnsi="Arial" w:cs="Arial"/>
        </w:rPr>
        <w:t xml:space="preserve"> (Devakumar and </w:t>
      </w:r>
      <w:proofErr w:type="spellStart"/>
      <w:r w:rsidR="00E013C2" w:rsidRPr="006903B2">
        <w:rPr>
          <w:rFonts w:ascii="Arial" w:hAnsi="Arial" w:cs="Arial"/>
        </w:rPr>
        <w:t>Adhinarayanan</w:t>
      </w:r>
      <w:proofErr w:type="spellEnd"/>
      <w:r w:rsidR="00E013C2" w:rsidRPr="006903B2">
        <w:rPr>
          <w:rFonts w:ascii="Arial" w:hAnsi="Arial" w:cs="Arial"/>
        </w:rPr>
        <w:t>, 2025)</w:t>
      </w:r>
      <w:r w:rsidRPr="006903B2">
        <w:rPr>
          <w:rFonts w:ascii="Arial" w:hAnsi="Arial" w:cs="Arial"/>
        </w:rPr>
        <w:t>.</w:t>
      </w:r>
    </w:p>
    <w:p w14:paraId="5B6AC913" w14:textId="14B3A589" w:rsidR="00933966" w:rsidRPr="006903B2" w:rsidRDefault="00933966" w:rsidP="00B510F8">
      <w:pPr>
        <w:spacing w:line="360" w:lineRule="auto"/>
        <w:jc w:val="both"/>
        <w:rPr>
          <w:rFonts w:ascii="Arial" w:hAnsi="Arial" w:cs="Arial"/>
        </w:rPr>
      </w:pPr>
      <w:r>
        <w:rPr>
          <w:noProof/>
        </w:rPr>
        <w:drawing>
          <wp:inline distT="0" distB="0" distL="0" distR="0" wp14:anchorId="673DD476" wp14:editId="2CA19FA7">
            <wp:extent cx="5731111" cy="3067905"/>
            <wp:effectExtent l="0" t="0" r="3175" b="0"/>
            <wp:docPr id="1980119908" name="Picture 1" descr="Medication Error Analysis Fishbone Diagram Template - Google Slides |  PowerPoint - High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dication Error Analysis Fishbone Diagram Template - Google Slides |  PowerPoint - Highfil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1254" b="17355"/>
                    <a:stretch>
                      <a:fillRect/>
                    </a:stretch>
                  </pic:blipFill>
                  <pic:spPr bwMode="auto">
                    <a:xfrm>
                      <a:off x="0" y="0"/>
                      <a:ext cx="5731510" cy="3068118"/>
                    </a:xfrm>
                    <a:prstGeom prst="rect">
                      <a:avLst/>
                    </a:prstGeom>
                    <a:noFill/>
                    <a:ln>
                      <a:noFill/>
                    </a:ln>
                    <a:extLst>
                      <a:ext uri="{53640926-AAD7-44D8-BBD7-CCE9431645EC}">
                        <a14:shadowObscured xmlns:a14="http://schemas.microsoft.com/office/drawing/2010/main"/>
                      </a:ext>
                    </a:extLst>
                  </pic:spPr>
                </pic:pic>
              </a:graphicData>
            </a:graphic>
          </wp:inline>
        </w:drawing>
      </w:r>
    </w:p>
    <w:p w14:paraId="336FAE86" w14:textId="12C1FF56" w:rsidR="00B510F8" w:rsidRPr="006903B2" w:rsidRDefault="00B510F8" w:rsidP="00B510F8">
      <w:pPr>
        <w:spacing w:line="360" w:lineRule="auto"/>
        <w:jc w:val="both"/>
        <w:rPr>
          <w:rFonts w:ascii="Arial" w:hAnsi="Arial" w:cs="Arial"/>
          <w:b/>
          <w:bCs/>
        </w:rPr>
      </w:pPr>
      <w:r w:rsidRPr="006903B2">
        <w:rPr>
          <w:rFonts w:ascii="Arial" w:hAnsi="Arial" w:cs="Arial"/>
          <w:b/>
          <w:bCs/>
        </w:rPr>
        <w:t>People</w:t>
      </w:r>
      <w:r w:rsidR="00BE68A9" w:rsidRPr="006903B2">
        <w:rPr>
          <w:rFonts w:ascii="Arial" w:hAnsi="Arial" w:cs="Arial"/>
          <w:b/>
          <w:bCs/>
        </w:rPr>
        <w:t xml:space="preserve">: </w:t>
      </w:r>
      <w:r w:rsidRPr="006903B2">
        <w:rPr>
          <w:rFonts w:ascii="Arial" w:hAnsi="Arial" w:cs="Arial"/>
        </w:rPr>
        <w:t>Healthcare professionals involved in the incident lacked adequate training in handling high-risk medications such as vincristine. There was also a failure to consistently follow safety protocols, particularly double-checking procedures before drug administration. Human factors such as fatigue and reliance on memory further increased the likelihood of error</w:t>
      </w:r>
      <w:r w:rsidR="00C33F8F" w:rsidRPr="006903B2">
        <w:rPr>
          <w:rFonts w:ascii="Arial" w:hAnsi="Arial" w:cs="Arial"/>
        </w:rPr>
        <w:t xml:space="preserve"> (</w:t>
      </w:r>
      <w:proofErr w:type="spellStart"/>
      <w:r w:rsidR="00152F2B" w:rsidRPr="00152F2B">
        <w:rPr>
          <w:rFonts w:ascii="Arial" w:hAnsi="Arial" w:cs="Arial"/>
        </w:rPr>
        <w:t>Mahomedradja</w:t>
      </w:r>
      <w:proofErr w:type="spellEnd"/>
      <w:r w:rsidR="00152F2B">
        <w:rPr>
          <w:rFonts w:ascii="Arial" w:hAnsi="Arial" w:cs="Arial"/>
        </w:rPr>
        <w:t xml:space="preserve"> et al</w:t>
      </w:r>
      <w:r w:rsidR="00C33F8F" w:rsidRPr="006903B2">
        <w:rPr>
          <w:rFonts w:ascii="Arial" w:hAnsi="Arial" w:cs="Arial"/>
        </w:rPr>
        <w:t>, 2025)</w:t>
      </w:r>
      <w:r w:rsidRPr="006903B2">
        <w:rPr>
          <w:rFonts w:ascii="Arial" w:hAnsi="Arial" w:cs="Arial"/>
        </w:rPr>
        <w:t>.</w:t>
      </w:r>
    </w:p>
    <w:p w14:paraId="7E9FB5DE" w14:textId="5FACB872" w:rsidR="00B510F8" w:rsidRPr="006903B2" w:rsidRDefault="00B510F8" w:rsidP="00B510F8">
      <w:pPr>
        <w:spacing w:line="360" w:lineRule="auto"/>
        <w:jc w:val="both"/>
        <w:rPr>
          <w:rFonts w:ascii="Arial" w:hAnsi="Arial" w:cs="Arial"/>
          <w:b/>
          <w:bCs/>
        </w:rPr>
      </w:pPr>
      <w:r w:rsidRPr="006903B2">
        <w:rPr>
          <w:rFonts w:ascii="Arial" w:hAnsi="Arial" w:cs="Arial"/>
          <w:b/>
          <w:bCs/>
        </w:rPr>
        <w:t>Process</w:t>
      </w:r>
      <w:r w:rsidR="00BE68A9" w:rsidRPr="006903B2">
        <w:rPr>
          <w:rFonts w:ascii="Arial" w:hAnsi="Arial" w:cs="Arial"/>
          <w:b/>
          <w:bCs/>
        </w:rPr>
        <w:t xml:space="preserve">: </w:t>
      </w:r>
      <w:r w:rsidRPr="006903B2">
        <w:rPr>
          <w:rFonts w:ascii="Arial" w:hAnsi="Arial" w:cs="Arial"/>
        </w:rPr>
        <w:t>There were no clearly defined or enforced protocols to separate intrathecal and intravenous drug administration. The absence of standardised procedures meant that critical safety steps were either overlooked or inconsistently applied, creating significant risk</w:t>
      </w:r>
      <w:r w:rsidR="00CC07B1" w:rsidRPr="006903B2">
        <w:rPr>
          <w:rFonts w:ascii="Arial" w:hAnsi="Arial" w:cs="Arial"/>
        </w:rPr>
        <w:t xml:space="preserve"> (Kumar, 2023)</w:t>
      </w:r>
      <w:r w:rsidRPr="006903B2">
        <w:rPr>
          <w:rFonts w:ascii="Arial" w:hAnsi="Arial" w:cs="Arial"/>
        </w:rPr>
        <w:t>.</w:t>
      </w:r>
    </w:p>
    <w:p w14:paraId="38DDC526" w14:textId="092F864E" w:rsidR="00B510F8" w:rsidRPr="006903B2" w:rsidRDefault="00B510F8" w:rsidP="00B510F8">
      <w:pPr>
        <w:spacing w:line="360" w:lineRule="auto"/>
        <w:jc w:val="both"/>
        <w:rPr>
          <w:rFonts w:ascii="Arial" w:hAnsi="Arial" w:cs="Arial"/>
          <w:b/>
          <w:bCs/>
        </w:rPr>
      </w:pPr>
      <w:r w:rsidRPr="006903B2">
        <w:rPr>
          <w:rFonts w:ascii="Arial" w:hAnsi="Arial" w:cs="Arial"/>
          <w:b/>
          <w:bCs/>
        </w:rPr>
        <w:t>Equipment</w:t>
      </w:r>
      <w:r w:rsidR="00BE68A9" w:rsidRPr="006903B2">
        <w:rPr>
          <w:rFonts w:ascii="Arial" w:hAnsi="Arial" w:cs="Arial"/>
          <w:b/>
          <w:bCs/>
        </w:rPr>
        <w:t xml:space="preserve">: </w:t>
      </w:r>
      <w:r w:rsidRPr="006903B2">
        <w:rPr>
          <w:rFonts w:ascii="Arial" w:hAnsi="Arial" w:cs="Arial"/>
        </w:rPr>
        <w:t>Similar packaging and labelling of vincristine contributed to confusion. The lack of distinctive visual cues made it difficult for staff to differentiate between medications intended for different routes of administration</w:t>
      </w:r>
      <w:r w:rsidR="00076CA7" w:rsidRPr="006903B2">
        <w:rPr>
          <w:rFonts w:ascii="Arial" w:hAnsi="Arial" w:cs="Arial"/>
        </w:rPr>
        <w:t xml:space="preserve"> (McDermott et al, 2023)</w:t>
      </w:r>
      <w:r w:rsidRPr="006903B2">
        <w:rPr>
          <w:rFonts w:ascii="Arial" w:hAnsi="Arial" w:cs="Arial"/>
        </w:rPr>
        <w:t>.</w:t>
      </w:r>
    </w:p>
    <w:p w14:paraId="0C4E608A" w14:textId="4CB8B75F" w:rsidR="00B510F8" w:rsidRPr="006903B2" w:rsidRDefault="00B510F8" w:rsidP="00B510F8">
      <w:pPr>
        <w:spacing w:line="360" w:lineRule="auto"/>
        <w:jc w:val="both"/>
        <w:rPr>
          <w:rFonts w:ascii="Arial" w:hAnsi="Arial" w:cs="Arial"/>
          <w:b/>
          <w:bCs/>
        </w:rPr>
      </w:pPr>
      <w:r w:rsidRPr="006903B2">
        <w:rPr>
          <w:rFonts w:ascii="Arial" w:hAnsi="Arial" w:cs="Arial"/>
          <w:b/>
          <w:bCs/>
        </w:rPr>
        <w:t>Environment</w:t>
      </w:r>
      <w:r w:rsidR="00BE68A9" w:rsidRPr="006903B2">
        <w:rPr>
          <w:rFonts w:ascii="Arial" w:hAnsi="Arial" w:cs="Arial"/>
          <w:b/>
          <w:bCs/>
        </w:rPr>
        <w:t xml:space="preserve">: </w:t>
      </w:r>
      <w:r w:rsidRPr="006903B2">
        <w:rPr>
          <w:rFonts w:ascii="Arial" w:hAnsi="Arial" w:cs="Arial"/>
        </w:rPr>
        <w:t>The clinical setting was characterised by high workload, time pressure, and potential distractions. These environmental factors reduced staff concentration and increased cognitive overload, making errors more likely</w:t>
      </w:r>
      <w:r w:rsidR="009E13B9" w:rsidRPr="006903B2">
        <w:rPr>
          <w:rFonts w:ascii="Arial" w:hAnsi="Arial" w:cs="Arial"/>
        </w:rPr>
        <w:t xml:space="preserve"> (Kumar, 2023)</w:t>
      </w:r>
      <w:r w:rsidRPr="006903B2">
        <w:rPr>
          <w:rFonts w:ascii="Arial" w:hAnsi="Arial" w:cs="Arial"/>
        </w:rPr>
        <w:t>.</w:t>
      </w:r>
    </w:p>
    <w:p w14:paraId="136114D6" w14:textId="67B95F8D" w:rsidR="00B510F8" w:rsidRPr="006903B2" w:rsidRDefault="00B510F8" w:rsidP="00B510F8">
      <w:pPr>
        <w:spacing w:line="360" w:lineRule="auto"/>
        <w:jc w:val="both"/>
        <w:rPr>
          <w:rFonts w:ascii="Arial" w:hAnsi="Arial" w:cs="Arial"/>
          <w:b/>
          <w:bCs/>
        </w:rPr>
      </w:pPr>
      <w:r w:rsidRPr="006903B2">
        <w:rPr>
          <w:rFonts w:ascii="Arial" w:hAnsi="Arial" w:cs="Arial"/>
          <w:b/>
          <w:bCs/>
        </w:rPr>
        <w:lastRenderedPageBreak/>
        <w:t>Communication</w:t>
      </w:r>
      <w:r w:rsidR="00BE68A9" w:rsidRPr="006903B2">
        <w:rPr>
          <w:rFonts w:ascii="Arial" w:hAnsi="Arial" w:cs="Arial"/>
          <w:b/>
          <w:bCs/>
        </w:rPr>
        <w:t xml:space="preserve">: </w:t>
      </w:r>
      <w:r w:rsidRPr="006903B2">
        <w:rPr>
          <w:rFonts w:ascii="Arial" w:hAnsi="Arial" w:cs="Arial"/>
        </w:rPr>
        <w:t xml:space="preserve">Breakdowns </w:t>
      </w:r>
      <w:r w:rsidR="00152F2B">
        <w:rPr>
          <w:rFonts w:ascii="Arial" w:hAnsi="Arial" w:cs="Arial"/>
        </w:rPr>
        <w:t>among multidisciplinary team members led to misunderstandings about</w:t>
      </w:r>
      <w:r w:rsidRPr="006903B2">
        <w:rPr>
          <w:rFonts w:ascii="Arial" w:hAnsi="Arial" w:cs="Arial"/>
        </w:rPr>
        <w:t xml:space="preserve"> the correct route of administration. Ineffective handovers and </w:t>
      </w:r>
      <w:r w:rsidR="00BE68A9" w:rsidRPr="006903B2">
        <w:rPr>
          <w:rFonts w:ascii="Arial" w:hAnsi="Arial" w:cs="Arial"/>
        </w:rPr>
        <w:t xml:space="preserve">a </w:t>
      </w:r>
      <w:r w:rsidRPr="006903B2">
        <w:rPr>
          <w:rFonts w:ascii="Arial" w:hAnsi="Arial" w:cs="Arial"/>
        </w:rPr>
        <w:t>lack of clear instructions further contributed to the error</w:t>
      </w:r>
      <w:r w:rsidR="001F05FF" w:rsidRPr="006903B2">
        <w:rPr>
          <w:rFonts w:ascii="Arial" w:hAnsi="Arial" w:cs="Arial"/>
        </w:rPr>
        <w:t xml:space="preserve"> (</w:t>
      </w:r>
      <w:proofErr w:type="spellStart"/>
      <w:r w:rsidR="00152F2B" w:rsidRPr="00152F2B">
        <w:rPr>
          <w:rFonts w:ascii="Arial" w:hAnsi="Arial" w:cs="Arial"/>
        </w:rPr>
        <w:t>Mahomedradja</w:t>
      </w:r>
      <w:proofErr w:type="spellEnd"/>
      <w:r w:rsidR="00152F2B">
        <w:rPr>
          <w:rFonts w:ascii="Arial" w:hAnsi="Arial" w:cs="Arial"/>
        </w:rPr>
        <w:t xml:space="preserve"> et al</w:t>
      </w:r>
      <w:r w:rsidR="001F05FF" w:rsidRPr="006903B2">
        <w:rPr>
          <w:rFonts w:ascii="Arial" w:hAnsi="Arial" w:cs="Arial"/>
        </w:rPr>
        <w:t>, 2025)</w:t>
      </w:r>
      <w:r w:rsidRPr="006903B2">
        <w:rPr>
          <w:rFonts w:ascii="Arial" w:hAnsi="Arial" w:cs="Arial"/>
        </w:rPr>
        <w:t>.</w:t>
      </w:r>
    </w:p>
    <w:p w14:paraId="2905DB97" w14:textId="77D2A9AC" w:rsidR="00B510F8" w:rsidRPr="006903B2" w:rsidRDefault="00B510F8" w:rsidP="00B510F8">
      <w:pPr>
        <w:spacing w:line="360" w:lineRule="auto"/>
        <w:jc w:val="both"/>
        <w:rPr>
          <w:rFonts w:ascii="Arial" w:hAnsi="Arial" w:cs="Arial"/>
          <w:b/>
          <w:bCs/>
        </w:rPr>
      </w:pPr>
      <w:r w:rsidRPr="006903B2">
        <w:rPr>
          <w:rFonts w:ascii="Arial" w:hAnsi="Arial" w:cs="Arial"/>
          <w:b/>
          <w:bCs/>
        </w:rPr>
        <w:t>Management</w:t>
      </w:r>
      <w:r w:rsidR="00BE68A9" w:rsidRPr="006903B2">
        <w:rPr>
          <w:rFonts w:ascii="Arial" w:hAnsi="Arial" w:cs="Arial"/>
          <w:b/>
          <w:bCs/>
        </w:rPr>
        <w:t xml:space="preserve">: </w:t>
      </w:r>
      <w:r w:rsidRPr="006903B2">
        <w:rPr>
          <w:rFonts w:ascii="Arial" w:hAnsi="Arial" w:cs="Arial"/>
        </w:rPr>
        <w:t xml:space="preserve">Organisational weaknesses, including poor enforcement of safety policies and inadequate supervision, allowed unsafe practices to persist. A weak safety culture </w:t>
      </w:r>
      <w:r w:rsidR="00152F2B">
        <w:rPr>
          <w:rFonts w:ascii="Arial" w:hAnsi="Arial" w:cs="Arial"/>
        </w:rPr>
        <w:t>led to risks being inadequately identified or addressed (</w:t>
      </w:r>
      <w:proofErr w:type="spellStart"/>
      <w:r w:rsidR="00152F2B">
        <w:rPr>
          <w:rFonts w:ascii="Arial" w:hAnsi="Arial" w:cs="Arial"/>
        </w:rPr>
        <w:t>Mahomedradja</w:t>
      </w:r>
      <w:proofErr w:type="spellEnd"/>
      <w:r w:rsidR="00152F2B">
        <w:rPr>
          <w:rFonts w:ascii="Arial" w:hAnsi="Arial" w:cs="Arial"/>
        </w:rPr>
        <w:t xml:space="preserve"> et al.</w:t>
      </w:r>
      <w:r w:rsidR="009E13B9" w:rsidRPr="006903B2">
        <w:rPr>
          <w:rFonts w:ascii="Arial" w:hAnsi="Arial" w:cs="Arial"/>
        </w:rPr>
        <w:t>, 2025)</w:t>
      </w:r>
      <w:r w:rsidRPr="006903B2">
        <w:rPr>
          <w:rFonts w:ascii="Arial" w:hAnsi="Arial" w:cs="Arial"/>
        </w:rPr>
        <w:t>.</w:t>
      </w:r>
    </w:p>
    <w:p w14:paraId="33CA15DC" w14:textId="2DCFD5F6" w:rsidR="00DE7B9B" w:rsidRPr="006903B2" w:rsidRDefault="00DE7B9B" w:rsidP="00B714AF">
      <w:pPr>
        <w:pStyle w:val="Heading1"/>
      </w:pPr>
      <w:bookmarkStart w:id="8" w:name="_Toc227120616"/>
      <w:r w:rsidRPr="006903B2">
        <w:t>2.</w:t>
      </w:r>
      <w:r w:rsidR="00B714AF" w:rsidRPr="006903B2">
        <w:t>3</w:t>
      </w:r>
      <w:r w:rsidRPr="006903B2">
        <w:t xml:space="preserve"> The 5 Whys Analysis</w:t>
      </w:r>
      <w:bookmarkEnd w:id="8"/>
    </w:p>
    <w:p w14:paraId="6AB5669F" w14:textId="6204BDF2" w:rsidR="00DE7B9B" w:rsidRPr="00DE7B9B" w:rsidRDefault="00DE7B9B" w:rsidP="00DE7B9B">
      <w:pPr>
        <w:spacing w:line="360" w:lineRule="auto"/>
        <w:jc w:val="both"/>
        <w:rPr>
          <w:rFonts w:ascii="Arial" w:hAnsi="Arial" w:cs="Arial"/>
        </w:rPr>
      </w:pPr>
      <w:r w:rsidRPr="00DE7B9B">
        <w:rPr>
          <w:rFonts w:ascii="Arial" w:hAnsi="Arial" w:cs="Arial"/>
        </w:rPr>
        <w:t>The 5 Whys technique is a root cause analysis method used to identify underlying causes of a problem by repeatedly asking “why” until the fundamental issue is revealed. In healthcare, it is particularly useful for uncovering systemic failures rather than attributing blame to individuals</w:t>
      </w:r>
      <w:r w:rsidR="00B714AF" w:rsidRPr="006903B2">
        <w:rPr>
          <w:rFonts w:ascii="Arial" w:hAnsi="Arial" w:cs="Arial"/>
        </w:rPr>
        <w:t xml:space="preserve"> (</w:t>
      </w:r>
      <w:r w:rsidR="00060028" w:rsidRPr="00060028">
        <w:rPr>
          <w:rFonts w:ascii="Arial" w:hAnsi="Arial" w:cs="Arial"/>
        </w:rPr>
        <w:t>Reeves</w:t>
      </w:r>
      <w:r w:rsidR="00060028">
        <w:rPr>
          <w:rFonts w:ascii="Arial" w:hAnsi="Arial" w:cs="Arial"/>
        </w:rPr>
        <w:t xml:space="preserve"> </w:t>
      </w:r>
      <w:r w:rsidR="00B714AF" w:rsidRPr="006903B2">
        <w:rPr>
          <w:rFonts w:ascii="Arial" w:hAnsi="Arial" w:cs="Arial"/>
        </w:rPr>
        <w:t>et al, 201</w:t>
      </w:r>
      <w:r w:rsidR="00060028">
        <w:rPr>
          <w:rFonts w:ascii="Arial" w:hAnsi="Arial" w:cs="Arial"/>
        </w:rPr>
        <w:t>9</w:t>
      </w:r>
      <w:r w:rsidR="00B714AF" w:rsidRPr="006903B2">
        <w:rPr>
          <w:rFonts w:ascii="Arial" w:hAnsi="Arial" w:cs="Arial"/>
        </w:rPr>
        <w:t>)</w:t>
      </w:r>
      <w:r w:rsidRPr="00DE7B9B">
        <w:rPr>
          <w:rFonts w:ascii="Arial" w:hAnsi="Arial" w:cs="Arial"/>
        </w:rPr>
        <w:t>.</w:t>
      </w:r>
    </w:p>
    <w:p w14:paraId="4C2EC976" w14:textId="77777777" w:rsidR="00DE7B9B" w:rsidRPr="00DE7B9B" w:rsidRDefault="00DE7B9B" w:rsidP="00DE7B9B">
      <w:pPr>
        <w:spacing w:line="360" w:lineRule="auto"/>
        <w:jc w:val="both"/>
        <w:rPr>
          <w:rFonts w:ascii="Arial" w:hAnsi="Arial" w:cs="Arial"/>
          <w:b/>
          <w:bCs/>
        </w:rPr>
      </w:pPr>
      <w:r w:rsidRPr="00DE7B9B">
        <w:rPr>
          <w:rFonts w:ascii="Arial" w:hAnsi="Arial" w:cs="Arial"/>
          <w:b/>
          <w:bCs/>
        </w:rPr>
        <w:t>Application to the Vincristine Incident</w:t>
      </w:r>
    </w:p>
    <w:p w14:paraId="39F39CB1" w14:textId="6FF7A093" w:rsidR="00DE7B9B" w:rsidRPr="00DE7B9B" w:rsidRDefault="00DE7B9B" w:rsidP="00DE7B9B">
      <w:pPr>
        <w:spacing w:line="360" w:lineRule="auto"/>
        <w:jc w:val="both"/>
        <w:rPr>
          <w:rFonts w:ascii="Arial" w:hAnsi="Arial" w:cs="Arial"/>
        </w:rPr>
      </w:pPr>
      <w:r w:rsidRPr="00DE7B9B">
        <w:rPr>
          <w:rFonts w:ascii="Arial" w:hAnsi="Arial" w:cs="Arial"/>
          <w:b/>
          <w:bCs/>
        </w:rPr>
        <w:t>1. Why did the patient die?</w:t>
      </w:r>
      <w:r w:rsidR="006903B2" w:rsidRPr="006903B2">
        <w:rPr>
          <w:rFonts w:ascii="Arial" w:hAnsi="Arial" w:cs="Arial"/>
        </w:rPr>
        <w:t xml:space="preserve">- </w:t>
      </w:r>
      <w:r w:rsidRPr="00DE7B9B">
        <w:rPr>
          <w:rFonts w:ascii="Arial" w:hAnsi="Arial" w:cs="Arial"/>
        </w:rPr>
        <w:t>Because vincristine was administered intrathecally instead of intravenously, causing severe neurological damage and death.</w:t>
      </w:r>
    </w:p>
    <w:p w14:paraId="51CF108F" w14:textId="0C603411" w:rsidR="00DE7B9B" w:rsidRPr="00DE7B9B" w:rsidRDefault="00DE7B9B" w:rsidP="00DE7B9B">
      <w:pPr>
        <w:spacing w:line="360" w:lineRule="auto"/>
        <w:jc w:val="both"/>
        <w:rPr>
          <w:rFonts w:ascii="Arial" w:hAnsi="Arial" w:cs="Arial"/>
        </w:rPr>
      </w:pPr>
      <w:r w:rsidRPr="00DE7B9B">
        <w:rPr>
          <w:rFonts w:ascii="Arial" w:hAnsi="Arial" w:cs="Arial"/>
          <w:b/>
          <w:bCs/>
        </w:rPr>
        <w:t>2. Why was vincristine administered incorrectly?</w:t>
      </w:r>
      <w:r w:rsidR="006903B2" w:rsidRPr="006903B2">
        <w:rPr>
          <w:rFonts w:ascii="Arial" w:hAnsi="Arial" w:cs="Arial"/>
        </w:rPr>
        <w:t xml:space="preserve">- </w:t>
      </w:r>
      <w:r w:rsidRPr="00DE7B9B">
        <w:rPr>
          <w:rFonts w:ascii="Arial" w:hAnsi="Arial" w:cs="Arial"/>
        </w:rPr>
        <w:t xml:space="preserve">Because </w:t>
      </w:r>
      <w:r w:rsidR="006903B2" w:rsidRPr="006903B2">
        <w:rPr>
          <w:rFonts w:ascii="Arial" w:hAnsi="Arial" w:cs="Arial"/>
        </w:rPr>
        <w:t xml:space="preserve">the </w:t>
      </w:r>
      <w:r w:rsidRPr="00DE7B9B">
        <w:rPr>
          <w:rFonts w:ascii="Arial" w:hAnsi="Arial" w:cs="Arial"/>
        </w:rPr>
        <w:t>healthcare staff confused the route of administration during the chemotherapy procedure.</w:t>
      </w:r>
    </w:p>
    <w:p w14:paraId="0FBB2B1F" w14:textId="7C9BB97A" w:rsidR="00DE7B9B" w:rsidRPr="00DE7B9B" w:rsidRDefault="00DE7B9B" w:rsidP="00DE7B9B">
      <w:pPr>
        <w:spacing w:line="360" w:lineRule="auto"/>
        <w:jc w:val="both"/>
        <w:rPr>
          <w:rFonts w:ascii="Arial" w:hAnsi="Arial" w:cs="Arial"/>
        </w:rPr>
      </w:pPr>
      <w:r w:rsidRPr="00DE7B9B">
        <w:rPr>
          <w:rFonts w:ascii="Arial" w:hAnsi="Arial" w:cs="Arial"/>
          <w:b/>
          <w:bCs/>
        </w:rPr>
        <w:t>3. Why was there confusion about the administration route?</w:t>
      </w:r>
      <w:r w:rsidR="006903B2" w:rsidRPr="006903B2">
        <w:rPr>
          <w:rFonts w:ascii="Arial" w:hAnsi="Arial" w:cs="Arial"/>
        </w:rPr>
        <w:t>- Intrathecal</w:t>
      </w:r>
      <w:r w:rsidRPr="00DE7B9B">
        <w:rPr>
          <w:rFonts w:ascii="Arial" w:hAnsi="Arial" w:cs="Arial"/>
        </w:rPr>
        <w:t xml:space="preserve"> and intravenous drugs were prepared and handled in similar environments without clear differentiation.</w:t>
      </w:r>
    </w:p>
    <w:p w14:paraId="1A7210B1" w14:textId="5374651C" w:rsidR="00DE7B9B" w:rsidRPr="00DE7B9B" w:rsidRDefault="00DE7B9B" w:rsidP="00DE7B9B">
      <w:pPr>
        <w:spacing w:line="360" w:lineRule="auto"/>
        <w:jc w:val="both"/>
        <w:rPr>
          <w:rFonts w:ascii="Arial" w:hAnsi="Arial" w:cs="Arial"/>
        </w:rPr>
      </w:pPr>
      <w:r w:rsidRPr="00DE7B9B">
        <w:rPr>
          <w:rFonts w:ascii="Arial" w:hAnsi="Arial" w:cs="Arial"/>
          <w:b/>
          <w:bCs/>
        </w:rPr>
        <w:t>4. Why were the drugs not clearly differentiated?</w:t>
      </w:r>
      <w:r w:rsidR="006903B2" w:rsidRPr="006903B2">
        <w:rPr>
          <w:rFonts w:ascii="Arial" w:hAnsi="Arial" w:cs="Arial"/>
        </w:rPr>
        <w:t xml:space="preserve">- </w:t>
      </w:r>
      <w:r w:rsidRPr="00DE7B9B">
        <w:rPr>
          <w:rFonts w:ascii="Arial" w:hAnsi="Arial" w:cs="Arial"/>
        </w:rPr>
        <w:t>Because protocols for separating high-risk medications were not standardised, clearly defined, or consistently enforced.</w:t>
      </w:r>
    </w:p>
    <w:p w14:paraId="24F71445" w14:textId="476683AB" w:rsidR="00DE7B9B" w:rsidRPr="00DE7B9B" w:rsidRDefault="00DE7B9B" w:rsidP="00DE7B9B">
      <w:pPr>
        <w:spacing w:line="360" w:lineRule="auto"/>
        <w:jc w:val="both"/>
        <w:rPr>
          <w:rFonts w:ascii="Arial" w:hAnsi="Arial" w:cs="Arial"/>
        </w:rPr>
      </w:pPr>
      <w:r w:rsidRPr="00DE7B9B">
        <w:rPr>
          <w:rFonts w:ascii="Arial" w:hAnsi="Arial" w:cs="Arial"/>
          <w:b/>
          <w:bCs/>
        </w:rPr>
        <w:t>5. Why were protocols not standardised or enforced?</w:t>
      </w:r>
      <w:r w:rsidR="006903B2" w:rsidRPr="006903B2">
        <w:rPr>
          <w:rFonts w:ascii="Arial" w:hAnsi="Arial" w:cs="Arial"/>
        </w:rPr>
        <w:t xml:space="preserve">- </w:t>
      </w:r>
      <w:r w:rsidRPr="00DE7B9B">
        <w:rPr>
          <w:rFonts w:ascii="Arial" w:hAnsi="Arial" w:cs="Arial"/>
        </w:rPr>
        <w:t>Due to organisational failures, including weak safety culture, lack of accountability, insufficient staff training, and inadequate governance systems.</w:t>
      </w:r>
    </w:p>
    <w:p w14:paraId="174822D3" w14:textId="0DDC4B95" w:rsidR="00DE7B9B" w:rsidRPr="00DE7B9B" w:rsidRDefault="00DE7B9B" w:rsidP="00DE7B9B">
      <w:pPr>
        <w:spacing w:line="360" w:lineRule="auto"/>
        <w:jc w:val="both"/>
        <w:rPr>
          <w:rFonts w:ascii="Arial" w:hAnsi="Arial" w:cs="Arial"/>
        </w:rPr>
      </w:pPr>
      <w:r w:rsidRPr="00DE7B9B">
        <w:rPr>
          <w:rFonts w:ascii="Arial" w:hAnsi="Arial" w:cs="Arial"/>
        </w:rPr>
        <w:t xml:space="preserve">This structured questioning reveals that the vincristine incident was not the result of a single human error but rather a series of interconnected system failures. The root causes lie in organisational weaknesses such as poor protocol design, ineffective </w:t>
      </w:r>
      <w:r w:rsidRPr="00DE7B9B">
        <w:rPr>
          <w:rFonts w:ascii="Arial" w:hAnsi="Arial" w:cs="Arial"/>
        </w:rPr>
        <w:lastRenderedPageBreak/>
        <w:t xml:space="preserve">training, and </w:t>
      </w:r>
      <w:r w:rsidR="006903B2" w:rsidRPr="006903B2">
        <w:rPr>
          <w:rFonts w:ascii="Arial" w:hAnsi="Arial" w:cs="Arial"/>
        </w:rPr>
        <w:t xml:space="preserve">a </w:t>
      </w:r>
      <w:r w:rsidRPr="00DE7B9B">
        <w:rPr>
          <w:rFonts w:ascii="Arial" w:hAnsi="Arial" w:cs="Arial"/>
        </w:rPr>
        <w:t xml:space="preserve">lack of </w:t>
      </w:r>
      <w:r w:rsidR="006903B2" w:rsidRPr="006903B2">
        <w:rPr>
          <w:rFonts w:ascii="Arial" w:hAnsi="Arial" w:cs="Arial"/>
        </w:rPr>
        <w:t xml:space="preserve">a </w:t>
      </w:r>
      <w:r w:rsidRPr="00DE7B9B">
        <w:rPr>
          <w:rFonts w:ascii="Arial" w:hAnsi="Arial" w:cs="Arial"/>
        </w:rPr>
        <w:t>strong safety culture</w:t>
      </w:r>
      <w:r w:rsidR="006903B2">
        <w:rPr>
          <w:rFonts w:ascii="Arial" w:hAnsi="Arial" w:cs="Arial"/>
        </w:rPr>
        <w:t xml:space="preserve"> (</w:t>
      </w:r>
      <w:proofErr w:type="spellStart"/>
      <w:r w:rsidR="006903B2" w:rsidRPr="006903B2">
        <w:rPr>
          <w:rFonts w:ascii="Arial" w:hAnsi="Arial" w:cs="Arial"/>
        </w:rPr>
        <w:t>Guntschnig</w:t>
      </w:r>
      <w:proofErr w:type="spellEnd"/>
      <w:r w:rsidR="006903B2">
        <w:rPr>
          <w:rFonts w:ascii="Arial" w:hAnsi="Arial" w:cs="Arial"/>
        </w:rPr>
        <w:t xml:space="preserve"> et al, 2025)</w:t>
      </w:r>
      <w:r w:rsidRPr="00DE7B9B">
        <w:rPr>
          <w:rFonts w:ascii="Arial" w:hAnsi="Arial" w:cs="Arial"/>
        </w:rPr>
        <w:t>.</w:t>
      </w:r>
      <w:r w:rsidR="006903B2">
        <w:rPr>
          <w:rFonts w:ascii="Arial" w:hAnsi="Arial" w:cs="Arial"/>
        </w:rPr>
        <w:t xml:space="preserve"> </w:t>
      </w:r>
      <w:r w:rsidRPr="00DE7B9B">
        <w:rPr>
          <w:rFonts w:ascii="Arial" w:hAnsi="Arial" w:cs="Arial"/>
        </w:rPr>
        <w:t>The 5 Whys analysis</w:t>
      </w:r>
      <w:r w:rsidR="006903B2" w:rsidRPr="006903B2">
        <w:rPr>
          <w:rFonts w:ascii="Arial" w:hAnsi="Arial" w:cs="Arial"/>
        </w:rPr>
        <w:t>,</w:t>
      </w:r>
      <w:r w:rsidRPr="00DE7B9B">
        <w:rPr>
          <w:rFonts w:ascii="Arial" w:hAnsi="Arial" w:cs="Arial"/>
        </w:rPr>
        <w:t xml:space="preserve"> therefore</w:t>
      </w:r>
      <w:r w:rsidR="006903B2" w:rsidRPr="006903B2">
        <w:rPr>
          <w:rFonts w:ascii="Arial" w:hAnsi="Arial" w:cs="Arial"/>
        </w:rPr>
        <w:t>,</w:t>
      </w:r>
      <w:r w:rsidRPr="00DE7B9B">
        <w:rPr>
          <w:rFonts w:ascii="Arial" w:hAnsi="Arial" w:cs="Arial"/>
        </w:rPr>
        <w:t xml:space="preserve"> supports a systems-based approach, emphasising that improving governance, standardisation, and staff competency is essential to prevent similar medication errors in the future.</w:t>
      </w:r>
    </w:p>
    <w:p w14:paraId="4CBE6607" w14:textId="23B42A32" w:rsidR="00DE7B9B" w:rsidRPr="006903B2" w:rsidRDefault="00DE7B9B" w:rsidP="00B714AF">
      <w:pPr>
        <w:pStyle w:val="Heading1"/>
      </w:pPr>
      <w:bookmarkStart w:id="9" w:name="_Toc227120617"/>
      <w:r w:rsidRPr="006903B2">
        <w:t>2.</w:t>
      </w:r>
      <w:r w:rsidR="00B714AF" w:rsidRPr="006903B2">
        <w:t>4</w:t>
      </w:r>
      <w:r w:rsidRPr="006903B2">
        <w:t xml:space="preserve"> Swiss Cheese Model Application</w:t>
      </w:r>
      <w:bookmarkEnd w:id="9"/>
      <w:r w:rsidRPr="006903B2">
        <w:t xml:space="preserve"> </w:t>
      </w:r>
    </w:p>
    <w:p w14:paraId="6EDB4575" w14:textId="325FE6E9" w:rsidR="00DE7B9B" w:rsidRDefault="00DE7B9B" w:rsidP="00DE7B9B">
      <w:pPr>
        <w:spacing w:line="360" w:lineRule="auto"/>
        <w:jc w:val="both"/>
        <w:rPr>
          <w:rFonts w:ascii="Arial" w:hAnsi="Arial" w:cs="Arial"/>
        </w:rPr>
      </w:pPr>
      <w:r w:rsidRPr="00DE7B9B">
        <w:rPr>
          <w:rFonts w:ascii="Arial" w:hAnsi="Arial" w:cs="Arial"/>
        </w:rPr>
        <w:t>The Swiss Cheese Model, developed by James Reason, explains how errors occur when multiple layers of defence within a system fail simultaneously. Each layer of defence (represented as slices of cheese) has weaknesses or “holes,” which can align under certain conditions, allowing an error to pass through all barriers and reach the patient</w:t>
      </w:r>
      <w:r w:rsidR="006375BA">
        <w:rPr>
          <w:rFonts w:ascii="Arial" w:hAnsi="Arial" w:cs="Arial"/>
        </w:rPr>
        <w:t xml:space="preserve"> (</w:t>
      </w:r>
      <w:r w:rsidR="006375BA" w:rsidRPr="006375BA">
        <w:rPr>
          <w:rFonts w:ascii="Arial" w:hAnsi="Arial" w:cs="Arial"/>
        </w:rPr>
        <w:t>Gomes</w:t>
      </w:r>
      <w:r w:rsidR="006375BA">
        <w:rPr>
          <w:rFonts w:ascii="Arial" w:hAnsi="Arial" w:cs="Arial"/>
        </w:rPr>
        <w:t xml:space="preserve"> et al, 2016)</w:t>
      </w:r>
      <w:r w:rsidRPr="00DE7B9B">
        <w:rPr>
          <w:rFonts w:ascii="Arial" w:hAnsi="Arial" w:cs="Arial"/>
        </w:rPr>
        <w:t>.</w:t>
      </w:r>
      <w:r w:rsidR="00372601">
        <w:rPr>
          <w:rFonts w:ascii="Arial" w:hAnsi="Arial" w:cs="Arial"/>
        </w:rPr>
        <w:t xml:space="preserve"> </w:t>
      </w:r>
      <w:r w:rsidRPr="00DE7B9B">
        <w:rPr>
          <w:rFonts w:ascii="Arial" w:hAnsi="Arial" w:cs="Arial"/>
        </w:rPr>
        <w:t>In the vincristine incident, several layers of defence failed. Latent failures, such as weak protocols and inadequate system safeguards, created underlying vulnerabilities. These were combined with active failures, including human error during drug administration</w:t>
      </w:r>
      <w:r w:rsidR="00BB05D5">
        <w:rPr>
          <w:rFonts w:ascii="Arial" w:hAnsi="Arial" w:cs="Arial"/>
        </w:rPr>
        <w:t xml:space="preserve"> (</w:t>
      </w:r>
      <w:proofErr w:type="spellStart"/>
      <w:r w:rsidR="00BB05D5" w:rsidRPr="00BB05D5">
        <w:rPr>
          <w:rFonts w:ascii="Arial" w:hAnsi="Arial" w:cs="Arial"/>
        </w:rPr>
        <w:t>Carthey</w:t>
      </w:r>
      <w:proofErr w:type="spellEnd"/>
      <w:r w:rsidR="00BB05D5">
        <w:rPr>
          <w:rFonts w:ascii="Arial" w:hAnsi="Arial" w:cs="Arial"/>
        </w:rPr>
        <w:t xml:space="preserve"> et al, 2013)</w:t>
      </w:r>
      <w:r w:rsidRPr="00DE7B9B">
        <w:rPr>
          <w:rFonts w:ascii="Arial" w:hAnsi="Arial" w:cs="Arial"/>
        </w:rPr>
        <w:t>.</w:t>
      </w:r>
    </w:p>
    <w:p w14:paraId="2414919B" w14:textId="5AE480BC" w:rsidR="00785D90" w:rsidRPr="00DE7B9B" w:rsidRDefault="00785D90" w:rsidP="00DE7B9B">
      <w:pPr>
        <w:spacing w:line="360" w:lineRule="auto"/>
        <w:jc w:val="both"/>
        <w:rPr>
          <w:rFonts w:ascii="Arial" w:hAnsi="Arial" w:cs="Arial"/>
        </w:rPr>
      </w:pPr>
      <w:r>
        <w:rPr>
          <w:noProof/>
        </w:rPr>
        <w:drawing>
          <wp:inline distT="0" distB="0" distL="0" distR="0" wp14:anchorId="08EBCF0A" wp14:editId="1528AB4E">
            <wp:extent cx="5731510" cy="2493818"/>
            <wp:effectExtent l="0" t="0" r="2540" b="1905"/>
            <wp:docPr id="1525473465" name="Picture 1" descr="Swiss Cheese Model of Safety: Applications Across Indust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iss Cheese Model of Safety: Applications Across Industr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4864" cy="2499628"/>
                    </a:xfrm>
                    <a:prstGeom prst="rect">
                      <a:avLst/>
                    </a:prstGeom>
                    <a:noFill/>
                    <a:ln>
                      <a:noFill/>
                    </a:ln>
                  </pic:spPr>
                </pic:pic>
              </a:graphicData>
            </a:graphic>
          </wp:inline>
        </w:drawing>
      </w:r>
    </w:p>
    <w:p w14:paraId="6205A378" w14:textId="4E4FA81A" w:rsidR="00DE7B9B" w:rsidRPr="00DE7B9B" w:rsidRDefault="00DE7B9B" w:rsidP="00DE7B9B">
      <w:pPr>
        <w:spacing w:line="360" w:lineRule="auto"/>
        <w:jc w:val="both"/>
        <w:rPr>
          <w:rFonts w:ascii="Arial" w:hAnsi="Arial" w:cs="Arial"/>
        </w:rPr>
      </w:pPr>
      <w:r w:rsidRPr="00DE7B9B">
        <w:rPr>
          <w:rFonts w:ascii="Arial" w:hAnsi="Arial" w:cs="Arial"/>
        </w:rPr>
        <w:t>Additionally, communication breakdowns between healthcare professionals contributed to misunderstandings about the correct route of administration</w:t>
      </w:r>
      <w:r w:rsidR="00BC3A58">
        <w:rPr>
          <w:rFonts w:ascii="Arial" w:hAnsi="Arial" w:cs="Arial"/>
        </w:rPr>
        <w:t xml:space="preserve"> (</w:t>
      </w:r>
      <w:r w:rsidR="00BC3A58" w:rsidRPr="006375BA">
        <w:rPr>
          <w:rFonts w:ascii="Arial" w:hAnsi="Arial" w:cs="Arial"/>
        </w:rPr>
        <w:t>Gomes</w:t>
      </w:r>
      <w:r w:rsidR="00BC3A58">
        <w:rPr>
          <w:rFonts w:ascii="Arial" w:hAnsi="Arial" w:cs="Arial"/>
        </w:rPr>
        <w:t xml:space="preserve"> et al, 2016)</w:t>
      </w:r>
      <w:r w:rsidRPr="00DE7B9B">
        <w:rPr>
          <w:rFonts w:ascii="Arial" w:hAnsi="Arial" w:cs="Arial"/>
        </w:rPr>
        <w:t>. Training gaps further reduced staff competency in handling high-risk medications. Environmental pressures, such as high workload and time constraints, increased cognitive stress and reduced vigilance</w:t>
      </w:r>
      <w:r w:rsidR="00EA7CAC">
        <w:rPr>
          <w:rFonts w:ascii="Arial" w:hAnsi="Arial" w:cs="Arial"/>
        </w:rPr>
        <w:t xml:space="preserve"> (</w:t>
      </w:r>
      <w:r w:rsidR="00EA7CAC" w:rsidRPr="00EA7CAC">
        <w:rPr>
          <w:rFonts w:ascii="Arial" w:hAnsi="Arial" w:cs="Arial"/>
        </w:rPr>
        <w:t>Alanazi</w:t>
      </w:r>
      <w:r w:rsidR="00EA7CAC">
        <w:rPr>
          <w:rFonts w:ascii="Arial" w:hAnsi="Arial" w:cs="Arial"/>
        </w:rPr>
        <w:t>, 2018)</w:t>
      </w:r>
      <w:r w:rsidRPr="00DE7B9B">
        <w:rPr>
          <w:rFonts w:ascii="Arial" w:hAnsi="Arial" w:cs="Arial"/>
        </w:rPr>
        <w:t>.</w:t>
      </w:r>
      <w:r w:rsidR="00666F53">
        <w:rPr>
          <w:rFonts w:ascii="Arial" w:hAnsi="Arial" w:cs="Arial"/>
        </w:rPr>
        <w:t xml:space="preserve"> </w:t>
      </w:r>
      <w:r w:rsidRPr="00DE7B9B">
        <w:rPr>
          <w:rFonts w:ascii="Arial" w:hAnsi="Arial" w:cs="Arial"/>
        </w:rPr>
        <w:t>The alignment of these failures allowed the error to occur despite the presence of multiple safety layers. This model demonstrates that healthcare errors are rarely due to a single cause but arise from complex interactions within the system</w:t>
      </w:r>
      <w:r w:rsidR="00BC3A58">
        <w:rPr>
          <w:rFonts w:ascii="Arial" w:hAnsi="Arial" w:cs="Arial"/>
        </w:rPr>
        <w:t xml:space="preserve"> (</w:t>
      </w:r>
      <w:r w:rsidR="00BC3A58" w:rsidRPr="00EA7CAC">
        <w:rPr>
          <w:rFonts w:ascii="Arial" w:hAnsi="Arial" w:cs="Arial"/>
        </w:rPr>
        <w:t>Alanazi</w:t>
      </w:r>
      <w:r w:rsidR="00BC3A58">
        <w:rPr>
          <w:rFonts w:ascii="Arial" w:hAnsi="Arial" w:cs="Arial"/>
        </w:rPr>
        <w:t>, 2018)</w:t>
      </w:r>
      <w:r w:rsidRPr="00DE7B9B">
        <w:rPr>
          <w:rFonts w:ascii="Arial" w:hAnsi="Arial" w:cs="Arial"/>
        </w:rPr>
        <w:t xml:space="preserve">. It reinforces the </w:t>
      </w:r>
      <w:r w:rsidRPr="00DE7B9B">
        <w:rPr>
          <w:rFonts w:ascii="Arial" w:hAnsi="Arial" w:cs="Arial"/>
        </w:rPr>
        <w:lastRenderedPageBreak/>
        <w:t>need for strengthening each layer of defence to prevent future incidents</w:t>
      </w:r>
      <w:r w:rsidR="00253DCF">
        <w:rPr>
          <w:rFonts w:ascii="Arial" w:hAnsi="Arial" w:cs="Arial"/>
        </w:rPr>
        <w:t xml:space="preserve"> (</w:t>
      </w:r>
      <w:r w:rsidR="00253DCF" w:rsidRPr="006375BA">
        <w:rPr>
          <w:rFonts w:ascii="Arial" w:hAnsi="Arial" w:cs="Arial"/>
        </w:rPr>
        <w:t>Gomes</w:t>
      </w:r>
      <w:r w:rsidR="00253DCF">
        <w:rPr>
          <w:rFonts w:ascii="Arial" w:hAnsi="Arial" w:cs="Arial"/>
        </w:rPr>
        <w:t xml:space="preserve"> et al, 2016)</w:t>
      </w:r>
      <w:r w:rsidRPr="00DE7B9B">
        <w:rPr>
          <w:rFonts w:ascii="Arial" w:hAnsi="Arial" w:cs="Arial"/>
        </w:rPr>
        <w:t>.</w:t>
      </w:r>
    </w:p>
    <w:p w14:paraId="27414830" w14:textId="7EDFB0CE" w:rsidR="00DE7B9B" w:rsidRPr="006903B2" w:rsidRDefault="00DE7B9B" w:rsidP="00B714AF">
      <w:pPr>
        <w:pStyle w:val="Heading1"/>
      </w:pPr>
      <w:bookmarkStart w:id="10" w:name="_Toc227120618"/>
      <w:r w:rsidRPr="006903B2">
        <w:t>2.</w:t>
      </w:r>
      <w:r w:rsidR="00B714AF" w:rsidRPr="006903B2">
        <w:t>5</w:t>
      </w:r>
      <w:r w:rsidRPr="006903B2">
        <w:t xml:space="preserve"> SWOT Analysis</w:t>
      </w:r>
      <w:bookmarkEnd w:id="10"/>
      <w:r w:rsidRPr="006903B2">
        <w:t xml:space="preserve"> </w:t>
      </w:r>
    </w:p>
    <w:p w14:paraId="0E7B25B8" w14:textId="2FA99ACF" w:rsidR="00DE7B9B" w:rsidRPr="00DE7B9B" w:rsidRDefault="00DE7B9B" w:rsidP="00DE7B9B">
      <w:pPr>
        <w:spacing w:line="360" w:lineRule="auto"/>
        <w:jc w:val="both"/>
        <w:rPr>
          <w:rFonts w:ascii="Arial" w:hAnsi="Arial" w:cs="Arial"/>
        </w:rPr>
      </w:pPr>
      <w:r w:rsidRPr="00DE7B9B">
        <w:rPr>
          <w:rFonts w:ascii="Arial" w:hAnsi="Arial" w:cs="Arial"/>
        </w:rPr>
        <w:t>The SWOT analysis provides a strategic framework for evaluating internal and external factors affecting organisational performance</w:t>
      </w:r>
      <w:r w:rsidR="00A20276">
        <w:rPr>
          <w:rFonts w:ascii="Arial" w:hAnsi="Arial" w:cs="Arial"/>
        </w:rPr>
        <w:t xml:space="preserve"> (</w:t>
      </w:r>
      <w:proofErr w:type="spellStart"/>
      <w:r w:rsidR="00F13AA7" w:rsidRPr="00F13AA7">
        <w:rPr>
          <w:rFonts w:ascii="Arial" w:hAnsi="Arial" w:cs="Arial"/>
        </w:rPr>
        <w:t>Setiawannie</w:t>
      </w:r>
      <w:proofErr w:type="spellEnd"/>
      <w:r w:rsidR="00F13AA7" w:rsidRPr="00F13AA7">
        <w:rPr>
          <w:rFonts w:ascii="Arial" w:hAnsi="Arial" w:cs="Arial"/>
        </w:rPr>
        <w:t xml:space="preserve"> </w:t>
      </w:r>
      <w:r w:rsidR="00F13AA7">
        <w:rPr>
          <w:rFonts w:ascii="Arial" w:hAnsi="Arial" w:cs="Arial"/>
        </w:rPr>
        <w:t xml:space="preserve">and </w:t>
      </w:r>
      <w:proofErr w:type="spellStart"/>
      <w:r w:rsidR="00F13AA7" w:rsidRPr="00F13AA7">
        <w:rPr>
          <w:rFonts w:ascii="Arial" w:hAnsi="Arial" w:cs="Arial"/>
        </w:rPr>
        <w:t>Rahmania</w:t>
      </w:r>
      <w:proofErr w:type="spellEnd"/>
      <w:r w:rsidR="00A20276">
        <w:rPr>
          <w:rFonts w:ascii="Arial" w:hAnsi="Arial" w:cs="Arial"/>
        </w:rPr>
        <w:t xml:space="preserve">, </w:t>
      </w:r>
      <w:r w:rsidR="00F13AA7">
        <w:rPr>
          <w:rFonts w:ascii="Arial" w:hAnsi="Arial" w:cs="Arial"/>
        </w:rPr>
        <w:t>2019)</w:t>
      </w:r>
      <w:r w:rsidRPr="00DE7B9B">
        <w:rPr>
          <w:rFonts w:ascii="Arial" w:hAnsi="Arial" w:cs="Arial"/>
        </w:rPr>
        <w:t>. In the context of the vincristine incident, it helps identify areas for improvement and potential risks.</w:t>
      </w:r>
    </w:p>
    <w:p w14:paraId="569B5C69" w14:textId="25E09D9C" w:rsidR="00DE7B9B" w:rsidRPr="00DE7B9B" w:rsidRDefault="00DE7B9B" w:rsidP="00DE7B9B">
      <w:pPr>
        <w:spacing w:line="360" w:lineRule="auto"/>
        <w:jc w:val="both"/>
        <w:rPr>
          <w:rFonts w:ascii="Arial" w:hAnsi="Arial" w:cs="Arial"/>
          <w:b/>
          <w:bCs/>
        </w:rPr>
      </w:pPr>
      <w:r w:rsidRPr="00DE7B9B">
        <w:rPr>
          <w:rFonts w:ascii="Arial" w:hAnsi="Arial" w:cs="Arial"/>
          <w:b/>
          <w:bCs/>
        </w:rPr>
        <w:t>Strengths</w:t>
      </w:r>
      <w:r w:rsidRPr="006903B2">
        <w:rPr>
          <w:rFonts w:ascii="Arial" w:hAnsi="Arial" w:cs="Arial"/>
          <w:b/>
          <w:bCs/>
        </w:rPr>
        <w:t xml:space="preserve">: </w:t>
      </w:r>
      <w:r w:rsidRPr="00DE7B9B">
        <w:rPr>
          <w:rFonts w:ascii="Arial" w:hAnsi="Arial" w:cs="Arial"/>
        </w:rPr>
        <w:t>The NHS has well-established safety frameworks, clinical guidelines, and a highly skilled workforce. These strengths provide a strong foundation for delivering high-quality care and implementing improvements</w:t>
      </w:r>
      <w:r w:rsidR="0094595C">
        <w:rPr>
          <w:rFonts w:ascii="Arial" w:hAnsi="Arial" w:cs="Arial"/>
        </w:rPr>
        <w:t xml:space="preserve"> </w:t>
      </w:r>
      <w:r w:rsidR="00D84B7C">
        <w:rPr>
          <w:rFonts w:ascii="Arial" w:hAnsi="Arial" w:cs="Arial"/>
        </w:rPr>
        <w:t>(</w:t>
      </w:r>
      <w:proofErr w:type="spellStart"/>
      <w:r w:rsidR="00D84B7C" w:rsidRPr="00F13AA7">
        <w:rPr>
          <w:rFonts w:ascii="Arial" w:hAnsi="Arial" w:cs="Arial"/>
        </w:rPr>
        <w:t>Setiawannie</w:t>
      </w:r>
      <w:proofErr w:type="spellEnd"/>
      <w:r w:rsidR="00D84B7C" w:rsidRPr="00F13AA7">
        <w:rPr>
          <w:rFonts w:ascii="Arial" w:hAnsi="Arial" w:cs="Arial"/>
        </w:rPr>
        <w:t xml:space="preserve"> </w:t>
      </w:r>
      <w:r w:rsidR="00D84B7C">
        <w:rPr>
          <w:rFonts w:ascii="Arial" w:hAnsi="Arial" w:cs="Arial"/>
        </w:rPr>
        <w:t xml:space="preserve">and </w:t>
      </w:r>
      <w:proofErr w:type="spellStart"/>
      <w:r w:rsidR="00D84B7C" w:rsidRPr="00F13AA7">
        <w:rPr>
          <w:rFonts w:ascii="Arial" w:hAnsi="Arial" w:cs="Arial"/>
        </w:rPr>
        <w:t>Rahmania</w:t>
      </w:r>
      <w:proofErr w:type="spellEnd"/>
      <w:r w:rsidR="00D84B7C">
        <w:rPr>
          <w:rFonts w:ascii="Arial" w:hAnsi="Arial" w:cs="Arial"/>
        </w:rPr>
        <w:t>, 2019)</w:t>
      </w:r>
      <w:r w:rsidR="00D84B7C">
        <w:rPr>
          <w:rFonts w:ascii="Arial" w:hAnsi="Arial" w:cs="Arial"/>
          <w:b/>
          <w:bCs/>
        </w:rPr>
        <w:t>.</w:t>
      </w:r>
    </w:p>
    <w:p w14:paraId="7EE28AC1" w14:textId="07125A05" w:rsidR="00933966" w:rsidRDefault="00933966" w:rsidP="00DE7B9B">
      <w:pPr>
        <w:spacing w:line="360" w:lineRule="auto"/>
        <w:jc w:val="both"/>
        <w:rPr>
          <w:rFonts w:ascii="Arial" w:hAnsi="Arial" w:cs="Arial"/>
          <w:b/>
          <w:bCs/>
        </w:rPr>
      </w:pPr>
      <w:r>
        <w:rPr>
          <w:noProof/>
        </w:rPr>
        <w:drawing>
          <wp:inline distT="0" distB="0" distL="0" distR="0" wp14:anchorId="5ACB7A17" wp14:editId="2436BC0D">
            <wp:extent cx="5731510" cy="2803656"/>
            <wp:effectExtent l="0" t="0" r="2540" b="0"/>
            <wp:docPr id="39420906" name="Picture 2" descr="How SWOT Analysis Strengthens B2B Lead Generation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SWOT Analysis Strengthens B2B Lead Generation in 202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4406" cy="2809964"/>
                    </a:xfrm>
                    <a:prstGeom prst="rect">
                      <a:avLst/>
                    </a:prstGeom>
                    <a:noFill/>
                    <a:ln>
                      <a:noFill/>
                    </a:ln>
                  </pic:spPr>
                </pic:pic>
              </a:graphicData>
            </a:graphic>
          </wp:inline>
        </w:drawing>
      </w:r>
    </w:p>
    <w:p w14:paraId="093276E1" w14:textId="23B20124" w:rsidR="00DE7B9B" w:rsidRPr="00DE7B9B" w:rsidRDefault="00DE7B9B" w:rsidP="00DE7B9B">
      <w:pPr>
        <w:spacing w:line="360" w:lineRule="auto"/>
        <w:jc w:val="both"/>
        <w:rPr>
          <w:rFonts w:ascii="Arial" w:hAnsi="Arial" w:cs="Arial"/>
          <w:b/>
          <w:bCs/>
        </w:rPr>
      </w:pPr>
      <w:r w:rsidRPr="00DE7B9B">
        <w:rPr>
          <w:rFonts w:ascii="Arial" w:hAnsi="Arial" w:cs="Arial"/>
          <w:b/>
          <w:bCs/>
        </w:rPr>
        <w:t>Weaknesses</w:t>
      </w:r>
      <w:r w:rsidRPr="006903B2">
        <w:rPr>
          <w:rFonts w:ascii="Arial" w:hAnsi="Arial" w:cs="Arial"/>
          <w:b/>
          <w:bCs/>
        </w:rPr>
        <w:t xml:space="preserve">: </w:t>
      </w:r>
      <w:r w:rsidR="007F683E">
        <w:rPr>
          <w:rFonts w:ascii="Arial" w:hAnsi="Arial" w:cs="Arial"/>
        </w:rPr>
        <w:t>Poor protocol implementation</w:t>
      </w:r>
      <w:r w:rsidRPr="00DE7B9B">
        <w:rPr>
          <w:rFonts w:ascii="Arial" w:hAnsi="Arial" w:cs="Arial"/>
        </w:rPr>
        <w:t>, inadequate training systems, and a weak safety culture. These factors contributed directly to the medication error and highlight gaps in organisational effectiveness</w:t>
      </w:r>
      <w:r w:rsidR="00EE538C">
        <w:rPr>
          <w:rFonts w:ascii="Arial" w:hAnsi="Arial" w:cs="Arial"/>
        </w:rPr>
        <w:t xml:space="preserve"> (</w:t>
      </w:r>
      <w:r w:rsidR="00EE538C" w:rsidRPr="00EE538C">
        <w:rPr>
          <w:rFonts w:ascii="Arial" w:hAnsi="Arial" w:cs="Arial"/>
        </w:rPr>
        <w:t>O'Kelly</w:t>
      </w:r>
      <w:r w:rsidR="00EE538C">
        <w:rPr>
          <w:rFonts w:ascii="Arial" w:hAnsi="Arial" w:cs="Arial"/>
        </w:rPr>
        <w:t xml:space="preserve"> et al, 2026)</w:t>
      </w:r>
      <w:r w:rsidRPr="00DE7B9B">
        <w:rPr>
          <w:rFonts w:ascii="Arial" w:hAnsi="Arial" w:cs="Arial"/>
        </w:rPr>
        <w:t>.</w:t>
      </w:r>
    </w:p>
    <w:p w14:paraId="61BBDE38" w14:textId="51F21EAC" w:rsidR="00DE7B9B" w:rsidRPr="00DE7B9B" w:rsidRDefault="00DE7B9B" w:rsidP="00DE7B9B">
      <w:pPr>
        <w:spacing w:line="360" w:lineRule="auto"/>
        <w:jc w:val="both"/>
        <w:rPr>
          <w:rFonts w:ascii="Arial" w:hAnsi="Arial" w:cs="Arial"/>
          <w:b/>
          <w:bCs/>
        </w:rPr>
      </w:pPr>
      <w:r w:rsidRPr="00DE7B9B">
        <w:rPr>
          <w:rFonts w:ascii="Arial" w:hAnsi="Arial" w:cs="Arial"/>
          <w:b/>
          <w:bCs/>
        </w:rPr>
        <w:t>Opportunities</w:t>
      </w:r>
      <w:r w:rsidRPr="006903B2">
        <w:rPr>
          <w:rFonts w:ascii="Arial" w:hAnsi="Arial" w:cs="Arial"/>
          <w:b/>
          <w:bCs/>
        </w:rPr>
        <w:t xml:space="preserve">: </w:t>
      </w:r>
      <w:r w:rsidRPr="00DE7B9B">
        <w:rPr>
          <w:rFonts w:ascii="Arial" w:hAnsi="Arial" w:cs="Arial"/>
        </w:rPr>
        <w:t>There are significant opportunities for improvement, including the adoption of digital prescribing systems, standardisation of medication processes, and continuous professional development. These initiatives can enhance accuracy and reduce variability in care delivery</w:t>
      </w:r>
      <w:r w:rsidR="00324A70">
        <w:rPr>
          <w:rFonts w:ascii="Arial" w:hAnsi="Arial" w:cs="Arial"/>
        </w:rPr>
        <w:t xml:space="preserve"> </w:t>
      </w:r>
      <w:r w:rsidR="005E770C">
        <w:rPr>
          <w:rFonts w:ascii="Arial" w:hAnsi="Arial" w:cs="Arial"/>
        </w:rPr>
        <w:t>(</w:t>
      </w:r>
      <w:proofErr w:type="spellStart"/>
      <w:r w:rsidR="005E770C" w:rsidRPr="00F13AA7">
        <w:rPr>
          <w:rFonts w:ascii="Arial" w:hAnsi="Arial" w:cs="Arial"/>
        </w:rPr>
        <w:t>Setiawannie</w:t>
      </w:r>
      <w:proofErr w:type="spellEnd"/>
      <w:r w:rsidR="005E770C" w:rsidRPr="00F13AA7">
        <w:rPr>
          <w:rFonts w:ascii="Arial" w:hAnsi="Arial" w:cs="Arial"/>
        </w:rPr>
        <w:t xml:space="preserve"> </w:t>
      </w:r>
      <w:r w:rsidR="005E770C">
        <w:rPr>
          <w:rFonts w:ascii="Arial" w:hAnsi="Arial" w:cs="Arial"/>
        </w:rPr>
        <w:t xml:space="preserve">and </w:t>
      </w:r>
      <w:proofErr w:type="spellStart"/>
      <w:r w:rsidR="005E770C" w:rsidRPr="00F13AA7">
        <w:rPr>
          <w:rFonts w:ascii="Arial" w:hAnsi="Arial" w:cs="Arial"/>
        </w:rPr>
        <w:t>Rahmania</w:t>
      </w:r>
      <w:proofErr w:type="spellEnd"/>
      <w:r w:rsidR="005E770C">
        <w:rPr>
          <w:rFonts w:ascii="Arial" w:hAnsi="Arial" w:cs="Arial"/>
        </w:rPr>
        <w:t>, 2019)</w:t>
      </w:r>
      <w:r w:rsidR="005E770C">
        <w:rPr>
          <w:rFonts w:ascii="Arial" w:hAnsi="Arial" w:cs="Arial"/>
          <w:b/>
          <w:bCs/>
        </w:rPr>
        <w:t>.</w:t>
      </w:r>
    </w:p>
    <w:p w14:paraId="2FCA72AC" w14:textId="47317D35" w:rsidR="00DE7B9B" w:rsidRPr="00DE7B9B" w:rsidRDefault="00DE7B9B" w:rsidP="00DE7B9B">
      <w:pPr>
        <w:spacing w:line="360" w:lineRule="auto"/>
        <w:jc w:val="both"/>
        <w:rPr>
          <w:rFonts w:ascii="Arial" w:hAnsi="Arial" w:cs="Arial"/>
          <w:b/>
          <w:bCs/>
        </w:rPr>
      </w:pPr>
      <w:r w:rsidRPr="00DE7B9B">
        <w:rPr>
          <w:rFonts w:ascii="Arial" w:hAnsi="Arial" w:cs="Arial"/>
          <w:b/>
          <w:bCs/>
        </w:rPr>
        <w:lastRenderedPageBreak/>
        <w:t>Threats</w:t>
      </w:r>
      <w:r w:rsidRPr="006903B2">
        <w:rPr>
          <w:rFonts w:ascii="Arial" w:hAnsi="Arial" w:cs="Arial"/>
          <w:b/>
          <w:bCs/>
        </w:rPr>
        <w:t xml:space="preserve">: </w:t>
      </w:r>
      <w:r w:rsidRPr="00DE7B9B">
        <w:rPr>
          <w:rFonts w:ascii="Arial" w:hAnsi="Arial" w:cs="Arial"/>
        </w:rPr>
        <w:t>External threats include increasing workload, staff shortages, and the complexity of chemotherapy treatments. These factors increase the risk of errors and place additional pressure on healthcare systems</w:t>
      </w:r>
      <w:r w:rsidR="007F683E">
        <w:rPr>
          <w:rFonts w:ascii="Arial" w:hAnsi="Arial" w:cs="Arial"/>
        </w:rPr>
        <w:t xml:space="preserve"> (</w:t>
      </w:r>
      <w:r w:rsidR="007F683E" w:rsidRPr="00EE538C">
        <w:rPr>
          <w:rFonts w:ascii="Arial" w:hAnsi="Arial" w:cs="Arial"/>
        </w:rPr>
        <w:t>O'Kelly</w:t>
      </w:r>
      <w:r w:rsidR="007F683E">
        <w:rPr>
          <w:rFonts w:ascii="Arial" w:hAnsi="Arial" w:cs="Arial"/>
        </w:rPr>
        <w:t xml:space="preserve"> et al, 2026)</w:t>
      </w:r>
      <w:r w:rsidRPr="00DE7B9B">
        <w:rPr>
          <w:rFonts w:ascii="Arial" w:hAnsi="Arial" w:cs="Arial"/>
        </w:rPr>
        <w:t>.</w:t>
      </w:r>
    </w:p>
    <w:p w14:paraId="5D73A641" w14:textId="38BE0693" w:rsidR="00B714AF" w:rsidRPr="006903B2" w:rsidRDefault="00B714AF" w:rsidP="00B714AF">
      <w:pPr>
        <w:pStyle w:val="Heading1"/>
      </w:pPr>
      <w:bookmarkStart w:id="11" w:name="_Toc227120619"/>
      <w:r w:rsidRPr="006903B2">
        <w:t xml:space="preserve">2.6 </w:t>
      </w:r>
      <w:r w:rsidR="00DE7B9B" w:rsidRPr="006903B2">
        <w:t>PDSA Cycle (Plan–Do–Study–Act)</w:t>
      </w:r>
      <w:bookmarkEnd w:id="11"/>
      <w:r w:rsidR="00DE7B9B" w:rsidRPr="006903B2">
        <w:t xml:space="preserve"> </w:t>
      </w:r>
    </w:p>
    <w:p w14:paraId="5FB2E902" w14:textId="4FF6DB0A" w:rsidR="00DE7B9B" w:rsidRPr="00DE7B9B" w:rsidRDefault="00DE7B9B" w:rsidP="00DE7B9B">
      <w:pPr>
        <w:spacing w:line="360" w:lineRule="auto"/>
        <w:jc w:val="both"/>
        <w:rPr>
          <w:rFonts w:ascii="Arial" w:hAnsi="Arial" w:cs="Arial"/>
        </w:rPr>
      </w:pPr>
      <w:r w:rsidRPr="00DE7B9B">
        <w:rPr>
          <w:rFonts w:ascii="Arial" w:hAnsi="Arial" w:cs="Arial"/>
        </w:rPr>
        <w:t>The PDSA cycle (Plan–Do–Study–Act) is a widely used quality improvement framework in healthcare that supports continuous improvement through iterative testing of changes</w:t>
      </w:r>
      <w:r w:rsidR="00136D6C">
        <w:rPr>
          <w:rFonts w:ascii="Arial" w:hAnsi="Arial" w:cs="Arial"/>
        </w:rPr>
        <w:t xml:space="preserve"> (</w:t>
      </w:r>
      <w:r w:rsidR="00136D6C" w:rsidRPr="00136D6C">
        <w:rPr>
          <w:rFonts w:ascii="Arial" w:hAnsi="Arial" w:cs="Arial"/>
        </w:rPr>
        <w:t>McNicholas</w:t>
      </w:r>
      <w:r w:rsidR="00136D6C">
        <w:rPr>
          <w:rFonts w:ascii="Arial" w:hAnsi="Arial" w:cs="Arial"/>
        </w:rPr>
        <w:t xml:space="preserve"> et al, 2019)</w:t>
      </w:r>
      <w:r w:rsidRPr="00DE7B9B">
        <w:rPr>
          <w:rFonts w:ascii="Arial" w:hAnsi="Arial" w:cs="Arial"/>
        </w:rPr>
        <w:t>. It enables organisations to implement evidence-based interventions in a structured</w:t>
      </w:r>
      <w:r w:rsidR="00136D6C">
        <w:rPr>
          <w:rFonts w:ascii="Arial" w:hAnsi="Arial" w:cs="Arial"/>
        </w:rPr>
        <w:t>, controlled manner, making it highly effective at</w:t>
      </w:r>
      <w:r w:rsidRPr="00DE7B9B">
        <w:rPr>
          <w:rFonts w:ascii="Arial" w:hAnsi="Arial" w:cs="Arial"/>
        </w:rPr>
        <w:t xml:space="preserve"> improving patient safety and reducing medication errors.</w:t>
      </w:r>
    </w:p>
    <w:p w14:paraId="7766992B" w14:textId="6924D26A" w:rsidR="00DE7B9B" w:rsidRDefault="00DE7B9B" w:rsidP="00DE7B9B">
      <w:pPr>
        <w:spacing w:line="360" w:lineRule="auto"/>
        <w:jc w:val="both"/>
        <w:rPr>
          <w:rFonts w:ascii="Arial" w:hAnsi="Arial" w:cs="Arial"/>
          <w:b/>
          <w:bCs/>
        </w:rPr>
      </w:pPr>
      <w:r w:rsidRPr="00DE7B9B">
        <w:rPr>
          <w:rFonts w:ascii="Arial" w:hAnsi="Arial" w:cs="Arial"/>
          <w:b/>
          <w:bCs/>
        </w:rPr>
        <w:t>Plan</w:t>
      </w:r>
      <w:r w:rsidRPr="006903B2">
        <w:rPr>
          <w:rFonts w:ascii="Arial" w:hAnsi="Arial" w:cs="Arial"/>
          <w:b/>
          <w:bCs/>
        </w:rPr>
        <w:t xml:space="preserve">: </w:t>
      </w:r>
      <w:r w:rsidRPr="00DE7B9B">
        <w:rPr>
          <w:rFonts w:ascii="Arial" w:hAnsi="Arial" w:cs="Arial"/>
        </w:rPr>
        <w:t xml:space="preserve">The first stage involves identifying the problem and developing a clear </w:t>
      </w:r>
      <w:r w:rsidRPr="006903B2">
        <w:rPr>
          <w:rFonts w:ascii="Arial" w:hAnsi="Arial" w:cs="Arial"/>
        </w:rPr>
        <w:t>improvement plan</w:t>
      </w:r>
      <w:r w:rsidRPr="00DE7B9B">
        <w:rPr>
          <w:rFonts w:ascii="Arial" w:hAnsi="Arial" w:cs="Arial"/>
        </w:rPr>
        <w:t>. In the context of the vincristine incident, this would include recognising the risks associated with high-alert medications and designing interventions such as separating intrathecal and intravenous drugs, introducing colour-coded labelling, and improving staff training. Objectives, success criteria, and performance indicators (e.g., reduction in medication errors) are also established during this phase</w:t>
      </w:r>
      <w:r w:rsidR="00F27D7E">
        <w:rPr>
          <w:rFonts w:ascii="Arial" w:hAnsi="Arial" w:cs="Arial"/>
        </w:rPr>
        <w:t xml:space="preserve"> (</w:t>
      </w:r>
      <w:r w:rsidR="00F27D7E" w:rsidRPr="00F27D7E">
        <w:rPr>
          <w:rFonts w:ascii="Arial" w:hAnsi="Arial" w:cs="Arial"/>
        </w:rPr>
        <w:t>Beaver</w:t>
      </w:r>
      <w:r w:rsidR="00F27D7E">
        <w:rPr>
          <w:rFonts w:ascii="Arial" w:hAnsi="Arial" w:cs="Arial"/>
        </w:rPr>
        <w:t>, 2018)</w:t>
      </w:r>
      <w:r w:rsidRPr="00DE7B9B">
        <w:rPr>
          <w:rFonts w:ascii="Arial" w:hAnsi="Arial" w:cs="Arial"/>
        </w:rPr>
        <w:t>.</w:t>
      </w:r>
    </w:p>
    <w:p w14:paraId="34B8FA8A" w14:textId="158EAD94" w:rsidR="00335C69" w:rsidRPr="00DE7B9B" w:rsidRDefault="00335C69" w:rsidP="00DE7B9B">
      <w:pPr>
        <w:spacing w:line="360" w:lineRule="auto"/>
        <w:jc w:val="both"/>
        <w:rPr>
          <w:rFonts w:ascii="Arial" w:hAnsi="Arial" w:cs="Arial"/>
          <w:b/>
          <w:bCs/>
        </w:rPr>
      </w:pPr>
      <w:r>
        <w:rPr>
          <w:noProof/>
        </w:rPr>
        <w:drawing>
          <wp:inline distT="0" distB="0" distL="0" distR="0" wp14:anchorId="21A458C3" wp14:editId="55E3751D">
            <wp:extent cx="5731510" cy="3347762"/>
            <wp:effectExtent l="0" t="0" r="0" b="0"/>
            <wp:docPr id="2075213052" name="Picture 3" descr="How to Implement PDSA in Your Organization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Implement PDSA in Your Organization | Smartshe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6176" cy="3356328"/>
                    </a:xfrm>
                    <a:prstGeom prst="rect">
                      <a:avLst/>
                    </a:prstGeom>
                    <a:noFill/>
                    <a:ln>
                      <a:noFill/>
                    </a:ln>
                  </pic:spPr>
                </pic:pic>
              </a:graphicData>
            </a:graphic>
          </wp:inline>
        </w:drawing>
      </w:r>
    </w:p>
    <w:p w14:paraId="7591CBEB" w14:textId="6481F9BD" w:rsidR="00DE7B9B" w:rsidRPr="00DE7B9B" w:rsidRDefault="00DE7B9B" w:rsidP="00DE7B9B">
      <w:pPr>
        <w:spacing w:line="360" w:lineRule="auto"/>
        <w:jc w:val="both"/>
        <w:rPr>
          <w:rFonts w:ascii="Arial" w:hAnsi="Arial" w:cs="Arial"/>
          <w:b/>
          <w:bCs/>
        </w:rPr>
      </w:pPr>
      <w:r w:rsidRPr="00DE7B9B">
        <w:rPr>
          <w:rFonts w:ascii="Arial" w:hAnsi="Arial" w:cs="Arial"/>
          <w:b/>
          <w:bCs/>
        </w:rPr>
        <w:t>Do</w:t>
      </w:r>
      <w:r w:rsidRPr="006903B2">
        <w:rPr>
          <w:rFonts w:ascii="Arial" w:hAnsi="Arial" w:cs="Arial"/>
          <w:b/>
          <w:bCs/>
        </w:rPr>
        <w:t xml:space="preserve">: </w:t>
      </w:r>
      <w:r w:rsidRPr="00DE7B9B">
        <w:rPr>
          <w:rFonts w:ascii="Arial" w:hAnsi="Arial" w:cs="Arial"/>
        </w:rPr>
        <w:t xml:space="preserve">In this stage, the proposed changes are implemented on a small scale, such as within a single oncology department. Staff are trained on new procedures, and safety </w:t>
      </w:r>
      <w:r w:rsidRPr="00DE7B9B">
        <w:rPr>
          <w:rFonts w:ascii="Arial" w:hAnsi="Arial" w:cs="Arial"/>
        </w:rPr>
        <w:lastRenderedPageBreak/>
        <w:t>measures like double-check systems or barcode scanning are introduced. This controlled implementation allows organisations to test the feasibility of changes without widespread disruption</w:t>
      </w:r>
      <w:r w:rsidR="007D304B">
        <w:rPr>
          <w:rFonts w:ascii="Arial" w:hAnsi="Arial" w:cs="Arial"/>
        </w:rPr>
        <w:t xml:space="preserve"> (</w:t>
      </w:r>
      <w:r w:rsidR="007D304B" w:rsidRPr="007D304B">
        <w:rPr>
          <w:rFonts w:ascii="Arial" w:hAnsi="Arial" w:cs="Arial"/>
        </w:rPr>
        <w:t>Ahmed</w:t>
      </w:r>
      <w:r w:rsidR="007D304B">
        <w:rPr>
          <w:rFonts w:ascii="Arial" w:hAnsi="Arial" w:cs="Arial"/>
        </w:rPr>
        <w:t xml:space="preserve"> et al, 2025)</w:t>
      </w:r>
      <w:r w:rsidRPr="00DE7B9B">
        <w:rPr>
          <w:rFonts w:ascii="Arial" w:hAnsi="Arial" w:cs="Arial"/>
        </w:rPr>
        <w:t>.</w:t>
      </w:r>
    </w:p>
    <w:p w14:paraId="0B0E5864" w14:textId="47C1362E" w:rsidR="00DE7B9B" w:rsidRPr="00DE7B9B" w:rsidRDefault="00DE7B9B" w:rsidP="00DE7B9B">
      <w:pPr>
        <w:spacing w:line="360" w:lineRule="auto"/>
        <w:jc w:val="both"/>
        <w:rPr>
          <w:rFonts w:ascii="Arial" w:hAnsi="Arial" w:cs="Arial"/>
          <w:b/>
          <w:bCs/>
        </w:rPr>
      </w:pPr>
      <w:r w:rsidRPr="00DE7B9B">
        <w:rPr>
          <w:rFonts w:ascii="Arial" w:hAnsi="Arial" w:cs="Arial"/>
          <w:b/>
          <w:bCs/>
        </w:rPr>
        <w:t>Study</w:t>
      </w:r>
      <w:r w:rsidRPr="006903B2">
        <w:rPr>
          <w:rFonts w:ascii="Arial" w:hAnsi="Arial" w:cs="Arial"/>
          <w:b/>
          <w:bCs/>
        </w:rPr>
        <w:t xml:space="preserve">: </w:t>
      </w:r>
      <w:r w:rsidRPr="00DE7B9B">
        <w:rPr>
          <w:rFonts w:ascii="Arial" w:hAnsi="Arial" w:cs="Arial"/>
        </w:rPr>
        <w:t>The study phase involves analysing data collected during implementation to evaluate the effectiveness of the intervention. This may include monitoring error rates, staff compliance, and patient outcomes. Feedback from healthcare professionals is also gathered to identify challenges and areas for improvement. This stage is critical for determining whether the changes have achieved the desired results</w:t>
      </w:r>
      <w:r w:rsidR="007143FF">
        <w:rPr>
          <w:rFonts w:ascii="Arial" w:hAnsi="Arial" w:cs="Arial"/>
        </w:rPr>
        <w:t xml:space="preserve"> (</w:t>
      </w:r>
      <w:r w:rsidR="007143FF" w:rsidRPr="007143FF">
        <w:rPr>
          <w:rFonts w:ascii="Arial" w:hAnsi="Arial" w:cs="Arial"/>
        </w:rPr>
        <w:t>Ahmed</w:t>
      </w:r>
      <w:r w:rsidR="007143FF">
        <w:rPr>
          <w:rFonts w:ascii="Arial" w:hAnsi="Arial" w:cs="Arial"/>
        </w:rPr>
        <w:t xml:space="preserve"> et al, 2025)</w:t>
      </w:r>
      <w:r w:rsidRPr="00DE7B9B">
        <w:rPr>
          <w:rFonts w:ascii="Arial" w:hAnsi="Arial" w:cs="Arial"/>
        </w:rPr>
        <w:t>.</w:t>
      </w:r>
    </w:p>
    <w:p w14:paraId="7F46C64B" w14:textId="60E5BE61" w:rsidR="00DE7B9B" w:rsidRPr="00DE7B9B" w:rsidRDefault="00DE7B9B" w:rsidP="00DE7B9B">
      <w:pPr>
        <w:spacing w:line="360" w:lineRule="auto"/>
        <w:jc w:val="both"/>
        <w:rPr>
          <w:rFonts w:ascii="Arial" w:hAnsi="Arial" w:cs="Arial"/>
          <w:b/>
          <w:bCs/>
        </w:rPr>
      </w:pPr>
      <w:r w:rsidRPr="00DE7B9B">
        <w:rPr>
          <w:rFonts w:ascii="Arial" w:hAnsi="Arial" w:cs="Arial"/>
          <w:b/>
          <w:bCs/>
        </w:rPr>
        <w:t>Act</w:t>
      </w:r>
      <w:r w:rsidRPr="006903B2">
        <w:rPr>
          <w:rFonts w:ascii="Arial" w:hAnsi="Arial" w:cs="Arial"/>
          <w:b/>
          <w:bCs/>
        </w:rPr>
        <w:t xml:space="preserve">: </w:t>
      </w:r>
      <w:r w:rsidRPr="00DE7B9B">
        <w:rPr>
          <w:rFonts w:ascii="Arial" w:hAnsi="Arial" w:cs="Arial"/>
        </w:rPr>
        <w:t>Based on the findings, organisations decide whether to adopt, adapt, or abandon the intervention. Successful strategies are standardised and implemented across the organisation, while ineffective ones are modified or replaced. The cycle is then repeated to ensure continuous improvement</w:t>
      </w:r>
      <w:r w:rsidR="004C4F8B">
        <w:rPr>
          <w:rFonts w:ascii="Arial" w:hAnsi="Arial" w:cs="Arial"/>
        </w:rPr>
        <w:t xml:space="preserve"> (</w:t>
      </w:r>
      <w:r w:rsidR="004C4F8B" w:rsidRPr="00F27D7E">
        <w:rPr>
          <w:rFonts w:ascii="Arial" w:hAnsi="Arial" w:cs="Arial"/>
        </w:rPr>
        <w:t>Beaver</w:t>
      </w:r>
      <w:r w:rsidR="004C4F8B">
        <w:rPr>
          <w:rFonts w:ascii="Arial" w:hAnsi="Arial" w:cs="Arial"/>
        </w:rPr>
        <w:t>, 2018)</w:t>
      </w:r>
      <w:r w:rsidR="004C4F8B" w:rsidRPr="00DE7B9B">
        <w:rPr>
          <w:rFonts w:ascii="Arial" w:hAnsi="Arial" w:cs="Arial"/>
        </w:rPr>
        <w:t>.</w:t>
      </w:r>
    </w:p>
    <w:p w14:paraId="76DBD3F3" w14:textId="77777777" w:rsidR="00DE7B9B" w:rsidRPr="00DE7B9B" w:rsidRDefault="00DE7B9B" w:rsidP="00DE7B9B">
      <w:pPr>
        <w:spacing w:line="360" w:lineRule="auto"/>
        <w:jc w:val="both"/>
        <w:rPr>
          <w:rFonts w:ascii="Arial" w:hAnsi="Arial" w:cs="Arial"/>
          <w:vanish/>
        </w:rPr>
      </w:pPr>
      <w:r w:rsidRPr="00DE7B9B">
        <w:rPr>
          <w:rFonts w:ascii="Arial" w:hAnsi="Arial" w:cs="Arial"/>
          <w:vanish/>
        </w:rPr>
        <w:t>Top of Form</w:t>
      </w:r>
    </w:p>
    <w:p w14:paraId="6A5F0843" w14:textId="77777777" w:rsidR="00DE7B9B" w:rsidRPr="00DE7B9B" w:rsidRDefault="00DE7B9B" w:rsidP="00DE7B9B">
      <w:pPr>
        <w:spacing w:line="360" w:lineRule="auto"/>
        <w:jc w:val="both"/>
        <w:rPr>
          <w:rFonts w:ascii="Arial" w:hAnsi="Arial" w:cs="Arial"/>
          <w:vanish/>
        </w:rPr>
      </w:pPr>
      <w:r w:rsidRPr="00DE7B9B">
        <w:rPr>
          <w:rFonts w:ascii="Arial" w:hAnsi="Arial" w:cs="Arial"/>
          <w:vanish/>
        </w:rPr>
        <w:t>Bottom of Form</w:t>
      </w:r>
    </w:p>
    <w:p w14:paraId="782C0C3C" w14:textId="77777777" w:rsidR="00DE7B9B" w:rsidRPr="006903B2" w:rsidRDefault="00DE7B9B" w:rsidP="00B714AF">
      <w:pPr>
        <w:pStyle w:val="Heading1"/>
      </w:pPr>
      <w:bookmarkStart w:id="12" w:name="_Toc227120620"/>
      <w:r w:rsidRPr="006903B2">
        <w:t>3. Recommendations</w:t>
      </w:r>
      <w:bookmarkEnd w:id="12"/>
      <w:r w:rsidRPr="006903B2">
        <w:t xml:space="preserve"> </w:t>
      </w:r>
    </w:p>
    <w:p w14:paraId="6437F54F" w14:textId="4C01B290" w:rsidR="00DE7B9B" w:rsidRPr="00DE7B9B" w:rsidRDefault="00DE7B9B" w:rsidP="00DE7B9B">
      <w:pPr>
        <w:spacing w:line="360" w:lineRule="auto"/>
        <w:jc w:val="both"/>
        <w:rPr>
          <w:rFonts w:ascii="Arial" w:hAnsi="Arial" w:cs="Arial"/>
        </w:rPr>
      </w:pPr>
      <w:r w:rsidRPr="00DE7B9B">
        <w:rPr>
          <w:rFonts w:ascii="Arial" w:hAnsi="Arial" w:cs="Arial"/>
        </w:rPr>
        <w:t>Based on the root cause analysis of the vincristine medication error, it is evident that both systemic and human factors contributed to the incident. Therefore, the following recommendations focus on strengthening organisational systems, improving clinical practices, and enhancing patient safety through evidence-based quality improvement approaches.</w:t>
      </w:r>
    </w:p>
    <w:p w14:paraId="35F8C442" w14:textId="47BB50B2" w:rsidR="00DE7B9B" w:rsidRPr="00DE7B9B" w:rsidRDefault="00DE7B9B" w:rsidP="00DE7B9B">
      <w:pPr>
        <w:spacing w:line="360" w:lineRule="auto"/>
        <w:jc w:val="both"/>
        <w:rPr>
          <w:rFonts w:ascii="Arial" w:hAnsi="Arial" w:cs="Arial"/>
          <w:b/>
          <w:bCs/>
        </w:rPr>
      </w:pPr>
      <w:r w:rsidRPr="00DE7B9B">
        <w:rPr>
          <w:rFonts w:ascii="Arial" w:hAnsi="Arial" w:cs="Arial"/>
          <w:b/>
          <w:bCs/>
        </w:rPr>
        <w:t>Strengthening System Barriers</w:t>
      </w:r>
      <w:r w:rsidRPr="006903B2">
        <w:rPr>
          <w:rFonts w:ascii="Arial" w:hAnsi="Arial" w:cs="Arial"/>
          <w:b/>
          <w:bCs/>
        </w:rPr>
        <w:t xml:space="preserve">: </w:t>
      </w:r>
      <w:r w:rsidRPr="00DE7B9B">
        <w:rPr>
          <w:rFonts w:ascii="Arial" w:hAnsi="Arial" w:cs="Arial"/>
        </w:rPr>
        <w:t>A key priority is the introduction of robust system barriers to prevent incorrect routes of medication administration. High-risk medications such as vincristine should be physically separated from intrathecal drugs at all stages, including storage, preparation, and administration</w:t>
      </w:r>
      <w:r w:rsidR="00F22C96">
        <w:rPr>
          <w:rFonts w:ascii="Arial" w:hAnsi="Arial" w:cs="Arial"/>
        </w:rPr>
        <w:t xml:space="preserve"> (</w:t>
      </w:r>
      <w:r w:rsidR="00F22C96" w:rsidRPr="005F27E3">
        <w:rPr>
          <w:rFonts w:ascii="Arial" w:hAnsi="Arial" w:cs="Arial"/>
        </w:rPr>
        <w:t>Sarfati</w:t>
      </w:r>
      <w:r w:rsidR="00F22C96">
        <w:rPr>
          <w:rFonts w:ascii="Arial" w:hAnsi="Arial" w:cs="Arial"/>
        </w:rPr>
        <w:t xml:space="preserve"> et al, 2019)</w:t>
      </w:r>
      <w:r w:rsidRPr="00DE7B9B">
        <w:rPr>
          <w:rFonts w:ascii="Arial" w:hAnsi="Arial" w:cs="Arial"/>
        </w:rPr>
        <w:t>. Distinctive packaging and clear labelling, such as colour-coded syringes and warning labels, should be implemented to minimise confusion. Additionally, forcing functions</w:t>
      </w:r>
      <w:r w:rsidRPr="006903B2">
        <w:rPr>
          <w:rFonts w:ascii="Arial" w:hAnsi="Arial" w:cs="Arial"/>
        </w:rPr>
        <w:t xml:space="preserve">, </w:t>
      </w:r>
      <w:r w:rsidRPr="00DE7B9B">
        <w:rPr>
          <w:rFonts w:ascii="Arial" w:hAnsi="Arial" w:cs="Arial"/>
        </w:rPr>
        <w:t>such as incompatible connectors that prevent intrathecal administration of intravenous drugs</w:t>
      </w:r>
      <w:r w:rsidRPr="006903B2">
        <w:rPr>
          <w:rFonts w:ascii="Arial" w:hAnsi="Arial" w:cs="Arial"/>
        </w:rPr>
        <w:t xml:space="preserve">, </w:t>
      </w:r>
      <w:r w:rsidRPr="00DE7B9B">
        <w:rPr>
          <w:rFonts w:ascii="Arial" w:hAnsi="Arial" w:cs="Arial"/>
        </w:rPr>
        <w:t>should be introduced</w:t>
      </w:r>
      <w:r w:rsidR="007911D7">
        <w:rPr>
          <w:rFonts w:ascii="Arial" w:hAnsi="Arial" w:cs="Arial"/>
        </w:rPr>
        <w:t xml:space="preserve"> (</w:t>
      </w:r>
      <w:r w:rsidR="00BB7DB7" w:rsidRPr="0000073B">
        <w:rPr>
          <w:rFonts w:ascii="Arial" w:hAnsi="Arial" w:cs="Arial"/>
        </w:rPr>
        <w:t>Higham</w:t>
      </w:r>
      <w:r w:rsidR="00BB7DB7">
        <w:rPr>
          <w:rFonts w:ascii="Arial" w:hAnsi="Arial" w:cs="Arial"/>
        </w:rPr>
        <w:t xml:space="preserve"> </w:t>
      </w:r>
      <w:r w:rsidR="00BB7DB7" w:rsidRPr="0000073B">
        <w:rPr>
          <w:rFonts w:ascii="Arial" w:hAnsi="Arial" w:cs="Arial"/>
        </w:rPr>
        <w:t>and Baxendale, 2017</w:t>
      </w:r>
      <w:r w:rsidR="007911D7">
        <w:rPr>
          <w:rFonts w:ascii="Arial" w:hAnsi="Arial" w:cs="Arial"/>
        </w:rPr>
        <w:t>)</w:t>
      </w:r>
      <w:r w:rsidRPr="00DE7B9B">
        <w:rPr>
          <w:rFonts w:ascii="Arial" w:hAnsi="Arial" w:cs="Arial"/>
        </w:rPr>
        <w:t xml:space="preserve">. </w:t>
      </w:r>
    </w:p>
    <w:p w14:paraId="6ACD0059" w14:textId="114A977D" w:rsidR="00DE7B9B" w:rsidRPr="00DE7B9B" w:rsidRDefault="00DE7B9B" w:rsidP="00DE7B9B">
      <w:pPr>
        <w:spacing w:line="360" w:lineRule="auto"/>
        <w:jc w:val="both"/>
        <w:rPr>
          <w:rFonts w:ascii="Arial" w:hAnsi="Arial" w:cs="Arial"/>
          <w:b/>
          <w:bCs/>
        </w:rPr>
      </w:pPr>
      <w:r w:rsidRPr="00DE7B9B">
        <w:rPr>
          <w:rFonts w:ascii="Arial" w:hAnsi="Arial" w:cs="Arial"/>
          <w:b/>
          <w:bCs/>
        </w:rPr>
        <w:t>Standardisation of Processes</w:t>
      </w:r>
      <w:r w:rsidRPr="006903B2">
        <w:rPr>
          <w:rFonts w:ascii="Arial" w:hAnsi="Arial" w:cs="Arial"/>
          <w:b/>
          <w:bCs/>
        </w:rPr>
        <w:t xml:space="preserve">: </w:t>
      </w:r>
      <w:r w:rsidRPr="00DE7B9B">
        <w:rPr>
          <w:rFonts w:ascii="Arial" w:hAnsi="Arial" w:cs="Arial"/>
        </w:rPr>
        <w:t xml:space="preserve">Standardising procedures is essential to ensure consistency and reduce reliance on individual judgement. Healthcare organisations should develop and enforce standard operating procedures (SOPs) for the handling and administration of high-risk medications. Checklists and mandatory double-check </w:t>
      </w:r>
      <w:r w:rsidRPr="00DE7B9B">
        <w:rPr>
          <w:rFonts w:ascii="Arial" w:hAnsi="Arial" w:cs="Arial"/>
        </w:rPr>
        <w:lastRenderedPageBreak/>
        <w:t>systems should be embedded into clinical workflows to ensure compliance with safety protocols</w:t>
      </w:r>
      <w:r w:rsidR="00886EFD">
        <w:rPr>
          <w:rFonts w:ascii="Arial" w:hAnsi="Arial" w:cs="Arial"/>
        </w:rPr>
        <w:t xml:space="preserve"> (</w:t>
      </w:r>
      <w:r w:rsidR="00886EFD" w:rsidRPr="00886EFD">
        <w:rPr>
          <w:rFonts w:ascii="Arial" w:hAnsi="Arial" w:cs="Arial"/>
        </w:rPr>
        <w:t>Alhur</w:t>
      </w:r>
      <w:r w:rsidR="00886EFD">
        <w:rPr>
          <w:rFonts w:ascii="Arial" w:hAnsi="Arial" w:cs="Arial"/>
        </w:rPr>
        <w:t xml:space="preserve"> et al, 2024)</w:t>
      </w:r>
      <w:r w:rsidRPr="00DE7B9B">
        <w:rPr>
          <w:rFonts w:ascii="Arial" w:hAnsi="Arial" w:cs="Arial"/>
        </w:rPr>
        <w:t xml:space="preserve">. </w:t>
      </w:r>
    </w:p>
    <w:p w14:paraId="47C62D37" w14:textId="392C30B2" w:rsidR="00DE7B9B" w:rsidRPr="00DE7B9B" w:rsidRDefault="00DE7B9B" w:rsidP="00DE7B9B">
      <w:pPr>
        <w:spacing w:line="360" w:lineRule="auto"/>
        <w:jc w:val="both"/>
        <w:rPr>
          <w:rFonts w:ascii="Arial" w:hAnsi="Arial" w:cs="Arial"/>
          <w:b/>
          <w:bCs/>
        </w:rPr>
      </w:pPr>
      <w:r w:rsidRPr="00DE7B9B">
        <w:rPr>
          <w:rFonts w:ascii="Arial" w:hAnsi="Arial" w:cs="Arial"/>
          <w:b/>
          <w:bCs/>
        </w:rPr>
        <w:t>Staff Training and Competency Development</w:t>
      </w:r>
      <w:r w:rsidRPr="006903B2">
        <w:rPr>
          <w:rFonts w:ascii="Arial" w:hAnsi="Arial" w:cs="Arial"/>
          <w:b/>
          <w:bCs/>
        </w:rPr>
        <w:t xml:space="preserve">: </w:t>
      </w:r>
      <w:r w:rsidRPr="00DE7B9B">
        <w:rPr>
          <w:rFonts w:ascii="Arial" w:hAnsi="Arial" w:cs="Arial"/>
        </w:rPr>
        <w:t>Inadequate training was a significant contributing factor in the vincristine incident. Therefore, comprehensive training programmes should be implemented for all healthcare professionals involved in medication management. These programmes should include theoretical knowledge, practical skills, and regular updates on safety protocols</w:t>
      </w:r>
      <w:r w:rsidR="007911D7">
        <w:rPr>
          <w:rFonts w:ascii="Arial" w:hAnsi="Arial" w:cs="Arial"/>
        </w:rPr>
        <w:t xml:space="preserve"> (</w:t>
      </w:r>
      <w:r w:rsidR="007911D7" w:rsidRPr="00886EFD">
        <w:rPr>
          <w:rFonts w:ascii="Arial" w:hAnsi="Arial" w:cs="Arial"/>
        </w:rPr>
        <w:t>Alhur</w:t>
      </w:r>
      <w:r w:rsidR="007911D7">
        <w:rPr>
          <w:rFonts w:ascii="Arial" w:hAnsi="Arial" w:cs="Arial"/>
        </w:rPr>
        <w:t xml:space="preserve"> et al, 2024)</w:t>
      </w:r>
      <w:r w:rsidRPr="00DE7B9B">
        <w:rPr>
          <w:rFonts w:ascii="Arial" w:hAnsi="Arial" w:cs="Arial"/>
        </w:rPr>
        <w:t>. Simulation-based training is particularly effective, as it allows staff to practice handling high-risk scenarios in a controlled environment. Furthermore, periodic competency assessments should be conducted to ensure that staff maintain the required level of expertise. Continuous professional development will enhance staff confidence, reduce errors, and improve adherence to guidelines</w:t>
      </w:r>
      <w:r w:rsidR="007911D7">
        <w:rPr>
          <w:rFonts w:ascii="Arial" w:hAnsi="Arial" w:cs="Arial"/>
        </w:rPr>
        <w:t xml:space="preserve"> (</w:t>
      </w:r>
      <w:r w:rsidR="0000073B" w:rsidRPr="0000073B">
        <w:rPr>
          <w:rFonts w:ascii="Arial" w:hAnsi="Arial" w:cs="Arial"/>
        </w:rPr>
        <w:t>Higham</w:t>
      </w:r>
      <w:r w:rsidR="0000073B">
        <w:rPr>
          <w:rFonts w:ascii="Arial" w:hAnsi="Arial" w:cs="Arial"/>
        </w:rPr>
        <w:t xml:space="preserve"> </w:t>
      </w:r>
      <w:r w:rsidR="0000073B" w:rsidRPr="0000073B">
        <w:rPr>
          <w:rFonts w:ascii="Arial" w:hAnsi="Arial" w:cs="Arial"/>
        </w:rPr>
        <w:t>and Baxendale, 2017</w:t>
      </w:r>
      <w:r w:rsidR="007911D7">
        <w:rPr>
          <w:rFonts w:ascii="Arial" w:hAnsi="Arial" w:cs="Arial"/>
        </w:rPr>
        <w:t>)</w:t>
      </w:r>
      <w:r w:rsidRPr="00DE7B9B">
        <w:rPr>
          <w:rFonts w:ascii="Arial" w:hAnsi="Arial" w:cs="Arial"/>
        </w:rPr>
        <w:t>.</w:t>
      </w:r>
    </w:p>
    <w:p w14:paraId="257C6843" w14:textId="79CE0EE5" w:rsidR="00DE7B9B" w:rsidRPr="00DE7B9B" w:rsidRDefault="00DE7B9B" w:rsidP="00DE7B9B">
      <w:pPr>
        <w:spacing w:line="360" w:lineRule="auto"/>
        <w:jc w:val="both"/>
        <w:rPr>
          <w:rFonts w:ascii="Arial" w:hAnsi="Arial" w:cs="Arial"/>
        </w:rPr>
      </w:pPr>
      <w:r w:rsidRPr="00DE7B9B">
        <w:rPr>
          <w:rFonts w:ascii="Arial" w:hAnsi="Arial" w:cs="Arial"/>
          <w:b/>
          <w:bCs/>
        </w:rPr>
        <w:t>Improving Communication Systems</w:t>
      </w:r>
      <w:r w:rsidRPr="006903B2">
        <w:rPr>
          <w:rFonts w:ascii="Arial" w:hAnsi="Arial" w:cs="Arial"/>
          <w:b/>
          <w:bCs/>
        </w:rPr>
        <w:t xml:space="preserve">: </w:t>
      </w:r>
      <w:r w:rsidRPr="00DE7B9B">
        <w:rPr>
          <w:rFonts w:ascii="Arial" w:hAnsi="Arial" w:cs="Arial"/>
        </w:rPr>
        <w:t>Effective communication is critical in preventing medication errors. Structured communication tools such as SBAR (Situation, Background, Assessment, Recommendation) should be adopted to standardise information exchange among healthcare professionals. Multidisciplinary collaboration should be encouraged to ensure that all team members are aware of patient treatment plans and potential risks</w:t>
      </w:r>
      <w:r w:rsidR="00F22C96">
        <w:rPr>
          <w:rFonts w:ascii="Arial" w:hAnsi="Arial" w:cs="Arial"/>
        </w:rPr>
        <w:t xml:space="preserve"> (</w:t>
      </w:r>
      <w:r w:rsidR="00F22C96" w:rsidRPr="005F27E3">
        <w:rPr>
          <w:rFonts w:ascii="Arial" w:hAnsi="Arial" w:cs="Arial"/>
        </w:rPr>
        <w:t>Sarfati</w:t>
      </w:r>
      <w:r w:rsidR="00F22C96">
        <w:rPr>
          <w:rFonts w:ascii="Arial" w:hAnsi="Arial" w:cs="Arial"/>
        </w:rPr>
        <w:t xml:space="preserve"> et al, 2019)</w:t>
      </w:r>
      <w:r w:rsidRPr="00DE7B9B">
        <w:rPr>
          <w:rFonts w:ascii="Arial" w:hAnsi="Arial" w:cs="Arial"/>
        </w:rPr>
        <w:t>. Additionally, organisations should promote a just culture, where staff feel safe reporting errors and near misses without fear of punishment. This approach fosters transparency, encourages learning, and supports continuous improvement</w:t>
      </w:r>
      <w:r w:rsidR="005F27E3">
        <w:rPr>
          <w:rFonts w:ascii="Arial" w:hAnsi="Arial" w:cs="Arial"/>
        </w:rPr>
        <w:t xml:space="preserve"> (</w:t>
      </w:r>
      <w:r w:rsidR="00C5214D" w:rsidRPr="0000073B">
        <w:rPr>
          <w:rFonts w:ascii="Arial" w:hAnsi="Arial" w:cs="Arial"/>
        </w:rPr>
        <w:t>Higham</w:t>
      </w:r>
      <w:r w:rsidR="00C5214D">
        <w:rPr>
          <w:rFonts w:ascii="Arial" w:hAnsi="Arial" w:cs="Arial"/>
        </w:rPr>
        <w:t xml:space="preserve"> </w:t>
      </w:r>
      <w:r w:rsidR="00C5214D" w:rsidRPr="0000073B">
        <w:rPr>
          <w:rFonts w:ascii="Arial" w:hAnsi="Arial" w:cs="Arial"/>
        </w:rPr>
        <w:t>and Baxendale, 2017</w:t>
      </w:r>
      <w:r w:rsidR="005F27E3">
        <w:rPr>
          <w:rFonts w:ascii="Arial" w:hAnsi="Arial" w:cs="Arial"/>
        </w:rPr>
        <w:t>)</w:t>
      </w:r>
      <w:r w:rsidRPr="00DE7B9B">
        <w:rPr>
          <w:rFonts w:ascii="Arial" w:hAnsi="Arial" w:cs="Arial"/>
        </w:rPr>
        <w:t>.</w:t>
      </w:r>
    </w:p>
    <w:p w14:paraId="64CFFC6C" w14:textId="67A14975" w:rsidR="00DE7B9B" w:rsidRPr="00DE7B9B" w:rsidRDefault="00DE7B9B" w:rsidP="00DE7B9B">
      <w:pPr>
        <w:spacing w:line="360" w:lineRule="auto"/>
        <w:jc w:val="both"/>
        <w:rPr>
          <w:rFonts w:ascii="Arial" w:hAnsi="Arial" w:cs="Arial"/>
          <w:b/>
          <w:bCs/>
        </w:rPr>
      </w:pPr>
      <w:r w:rsidRPr="00DE7B9B">
        <w:rPr>
          <w:rFonts w:ascii="Arial" w:hAnsi="Arial" w:cs="Arial"/>
          <w:b/>
          <w:bCs/>
        </w:rPr>
        <w:t>Implementation Strategy Using PDSA Cycle</w:t>
      </w:r>
      <w:r w:rsidRPr="006903B2">
        <w:rPr>
          <w:rFonts w:ascii="Arial" w:hAnsi="Arial" w:cs="Arial"/>
          <w:b/>
          <w:bCs/>
        </w:rPr>
        <w:t xml:space="preserve">: </w:t>
      </w:r>
      <w:r w:rsidRPr="00DE7B9B">
        <w:rPr>
          <w:rFonts w:ascii="Arial" w:hAnsi="Arial" w:cs="Arial"/>
        </w:rPr>
        <w:t>The PDSA (Plan–Do–Study–Act)</w:t>
      </w:r>
      <w:r w:rsidRPr="00DE7B9B">
        <w:rPr>
          <w:rFonts w:ascii="Arial" w:hAnsi="Arial" w:cs="Arial"/>
          <w:b/>
          <w:bCs/>
        </w:rPr>
        <w:t xml:space="preserve"> cycle</w:t>
      </w:r>
      <w:r w:rsidRPr="00DE7B9B">
        <w:rPr>
          <w:rFonts w:ascii="Arial" w:hAnsi="Arial" w:cs="Arial"/>
        </w:rPr>
        <w:t xml:space="preserve"> provides a structured approach for implementing and evaluating improvements. In the planning phase, organisations should identify key risk areas and develop targeted interventions, such as improved labelling and staff training. During the “Do” phase, these interventions can be tested in a specific department, such as oncology</w:t>
      </w:r>
      <w:r w:rsidR="007C5C5F">
        <w:rPr>
          <w:rFonts w:ascii="Arial" w:hAnsi="Arial" w:cs="Arial"/>
        </w:rPr>
        <w:t xml:space="preserve"> (</w:t>
      </w:r>
      <w:r w:rsidR="007C5C5F" w:rsidRPr="00F27D7E">
        <w:rPr>
          <w:rFonts w:ascii="Arial" w:hAnsi="Arial" w:cs="Arial"/>
        </w:rPr>
        <w:t>Beaver</w:t>
      </w:r>
      <w:r w:rsidR="007C5C5F">
        <w:rPr>
          <w:rFonts w:ascii="Arial" w:hAnsi="Arial" w:cs="Arial"/>
        </w:rPr>
        <w:t>, 2018)</w:t>
      </w:r>
      <w:r w:rsidR="001E3FD1">
        <w:rPr>
          <w:rFonts w:ascii="Arial" w:hAnsi="Arial" w:cs="Arial"/>
        </w:rPr>
        <w:t>.</w:t>
      </w:r>
      <w:r w:rsidRPr="00DE7B9B">
        <w:rPr>
          <w:rFonts w:ascii="Arial" w:hAnsi="Arial" w:cs="Arial"/>
        </w:rPr>
        <w:t xml:space="preserve"> The “Study” phase involves analysing data on medication errors, compliance rates, and staff feedback to assess effectiveness. Finally, in the “Act” phase, successful strategies should be standardised and implemented across the organisation, while ineffective ones are revised. This iterative approach ensures continuous improvement and adaptability</w:t>
      </w:r>
      <w:r w:rsidR="007C5C5F">
        <w:rPr>
          <w:rFonts w:ascii="Arial" w:hAnsi="Arial" w:cs="Arial"/>
        </w:rPr>
        <w:t xml:space="preserve"> (</w:t>
      </w:r>
      <w:r w:rsidR="007C5C5F" w:rsidRPr="00F27D7E">
        <w:rPr>
          <w:rFonts w:ascii="Arial" w:hAnsi="Arial" w:cs="Arial"/>
        </w:rPr>
        <w:t>Beaver</w:t>
      </w:r>
      <w:r w:rsidR="007C5C5F">
        <w:rPr>
          <w:rFonts w:ascii="Arial" w:hAnsi="Arial" w:cs="Arial"/>
        </w:rPr>
        <w:t>, 2018)</w:t>
      </w:r>
      <w:r w:rsidRPr="00DE7B9B">
        <w:rPr>
          <w:rFonts w:ascii="Arial" w:hAnsi="Arial" w:cs="Arial"/>
        </w:rPr>
        <w:t>.</w:t>
      </w:r>
    </w:p>
    <w:p w14:paraId="6982A206" w14:textId="1FB4A31B" w:rsidR="00DE7B9B" w:rsidRPr="00DE7B9B" w:rsidRDefault="00DE7B9B" w:rsidP="00DE7B9B">
      <w:pPr>
        <w:spacing w:line="360" w:lineRule="auto"/>
        <w:jc w:val="both"/>
        <w:rPr>
          <w:rFonts w:ascii="Arial" w:hAnsi="Arial" w:cs="Arial"/>
          <w:b/>
          <w:bCs/>
        </w:rPr>
      </w:pPr>
      <w:r w:rsidRPr="00DE7B9B">
        <w:rPr>
          <w:rFonts w:ascii="Arial" w:hAnsi="Arial" w:cs="Arial"/>
          <w:b/>
          <w:bCs/>
        </w:rPr>
        <w:lastRenderedPageBreak/>
        <w:t>Use of Technology</w:t>
      </w:r>
      <w:r w:rsidRPr="006903B2">
        <w:rPr>
          <w:rFonts w:ascii="Arial" w:hAnsi="Arial" w:cs="Arial"/>
          <w:b/>
          <w:bCs/>
        </w:rPr>
        <w:t xml:space="preserve">: </w:t>
      </w:r>
      <w:r w:rsidRPr="00DE7B9B">
        <w:rPr>
          <w:rFonts w:ascii="Arial" w:hAnsi="Arial" w:cs="Arial"/>
        </w:rPr>
        <w:t>Technology can play a significant role in reducing medication errors. Electronic prescribing systems (e-prescribing) help eliminate handwriting errors and ensure accurate medication orders</w:t>
      </w:r>
      <w:r w:rsidR="00AA1FCB">
        <w:rPr>
          <w:rFonts w:ascii="Arial" w:hAnsi="Arial" w:cs="Arial"/>
        </w:rPr>
        <w:t xml:space="preserve"> (</w:t>
      </w:r>
      <w:r w:rsidR="00AA1FCB" w:rsidRPr="00AA1FCB">
        <w:rPr>
          <w:rFonts w:ascii="Arial" w:hAnsi="Arial" w:cs="Arial"/>
        </w:rPr>
        <w:t>Osmani</w:t>
      </w:r>
      <w:r w:rsidR="00AA1FCB">
        <w:rPr>
          <w:rFonts w:ascii="Arial" w:hAnsi="Arial" w:cs="Arial"/>
        </w:rPr>
        <w:t xml:space="preserve"> et al, 2023)</w:t>
      </w:r>
      <w:r w:rsidRPr="00DE7B9B">
        <w:rPr>
          <w:rFonts w:ascii="Arial" w:hAnsi="Arial" w:cs="Arial"/>
        </w:rPr>
        <w:t>. Barcode medication administration (BCMA) systems enable verification of the correct drug, dose, and patient before administration. Clinical decision support systems (CDSS) provide real-time alerts and guidance to healthcare professionals, reducing reliance on memory. These technological solutions act as additional safety barriers and enhance overall accuracy in medication management</w:t>
      </w:r>
      <w:r w:rsidR="00815591">
        <w:rPr>
          <w:rFonts w:ascii="Arial" w:hAnsi="Arial" w:cs="Arial"/>
        </w:rPr>
        <w:t xml:space="preserve"> (</w:t>
      </w:r>
      <w:r w:rsidR="00815591" w:rsidRPr="00AA1FCB">
        <w:rPr>
          <w:rFonts w:ascii="Arial" w:hAnsi="Arial" w:cs="Arial"/>
        </w:rPr>
        <w:t>Osmani</w:t>
      </w:r>
      <w:r w:rsidR="00815591">
        <w:rPr>
          <w:rFonts w:ascii="Arial" w:hAnsi="Arial" w:cs="Arial"/>
        </w:rPr>
        <w:t xml:space="preserve"> et al, 2023)</w:t>
      </w:r>
      <w:r w:rsidRPr="00DE7B9B">
        <w:rPr>
          <w:rFonts w:ascii="Arial" w:hAnsi="Arial" w:cs="Arial"/>
        </w:rPr>
        <w:t>.</w:t>
      </w:r>
    </w:p>
    <w:p w14:paraId="13308E12" w14:textId="1C108B1E" w:rsidR="00DE7B9B" w:rsidRPr="00DE7B9B" w:rsidRDefault="00DE7B9B" w:rsidP="00DE7B9B">
      <w:pPr>
        <w:spacing w:line="360" w:lineRule="auto"/>
        <w:jc w:val="both"/>
        <w:rPr>
          <w:rFonts w:ascii="Arial" w:hAnsi="Arial" w:cs="Arial"/>
          <w:b/>
          <w:bCs/>
        </w:rPr>
      </w:pPr>
      <w:r w:rsidRPr="00DE7B9B">
        <w:rPr>
          <w:rFonts w:ascii="Arial" w:hAnsi="Arial" w:cs="Arial"/>
          <w:b/>
          <w:bCs/>
        </w:rPr>
        <w:t>Strengthening Leadership and Safety Culture</w:t>
      </w:r>
      <w:r w:rsidRPr="006903B2">
        <w:rPr>
          <w:rFonts w:ascii="Arial" w:hAnsi="Arial" w:cs="Arial"/>
          <w:b/>
          <w:bCs/>
        </w:rPr>
        <w:t xml:space="preserve">: </w:t>
      </w:r>
      <w:r w:rsidRPr="00DE7B9B">
        <w:rPr>
          <w:rFonts w:ascii="Arial" w:hAnsi="Arial" w:cs="Arial"/>
        </w:rPr>
        <w:t>Strong leadership is essential for driving patient safety improvements. Healthcare leaders must prioritise safety by establishing clear policies, allocating resources, and ensuring accountability. Regular audits and monitoring systems should be implemented to assess compliance with safety protocols</w:t>
      </w:r>
      <w:r w:rsidR="007911D7">
        <w:rPr>
          <w:rFonts w:ascii="Arial" w:hAnsi="Arial" w:cs="Arial"/>
        </w:rPr>
        <w:t xml:space="preserve"> (</w:t>
      </w:r>
      <w:r w:rsidR="007911D7" w:rsidRPr="00886EFD">
        <w:rPr>
          <w:rFonts w:ascii="Arial" w:hAnsi="Arial" w:cs="Arial"/>
        </w:rPr>
        <w:t>Alhur</w:t>
      </w:r>
      <w:r w:rsidR="007911D7">
        <w:rPr>
          <w:rFonts w:ascii="Arial" w:hAnsi="Arial" w:cs="Arial"/>
        </w:rPr>
        <w:t xml:space="preserve"> et al, 2024)</w:t>
      </w:r>
      <w:r w:rsidRPr="00DE7B9B">
        <w:rPr>
          <w:rFonts w:ascii="Arial" w:hAnsi="Arial" w:cs="Arial"/>
        </w:rPr>
        <w:t>. Additionally, fostering a culture of continuous improvement and learning is crucial. Encouraging staff engagement, open communication, and incident reporting will help organisations identify risks and implement preventive measures effectively</w:t>
      </w:r>
      <w:r w:rsidR="001E3FD1">
        <w:rPr>
          <w:rFonts w:ascii="Arial" w:hAnsi="Arial" w:cs="Arial"/>
        </w:rPr>
        <w:t xml:space="preserve"> (</w:t>
      </w:r>
      <w:proofErr w:type="spellStart"/>
      <w:r w:rsidR="001E3FD1" w:rsidRPr="001E3FD1">
        <w:rPr>
          <w:rFonts w:ascii="Arial" w:hAnsi="Arial" w:cs="Arial"/>
        </w:rPr>
        <w:t>Mortaro</w:t>
      </w:r>
      <w:proofErr w:type="spellEnd"/>
      <w:r w:rsidR="001E3FD1">
        <w:rPr>
          <w:rFonts w:ascii="Arial" w:hAnsi="Arial" w:cs="Arial"/>
        </w:rPr>
        <w:t xml:space="preserve"> et al, 2019)</w:t>
      </w:r>
      <w:r w:rsidRPr="00DE7B9B">
        <w:rPr>
          <w:rFonts w:ascii="Arial" w:hAnsi="Arial" w:cs="Arial"/>
        </w:rPr>
        <w:t>.</w:t>
      </w:r>
    </w:p>
    <w:p w14:paraId="13CBC228" w14:textId="2B976733" w:rsidR="00DE7B9B" w:rsidRPr="006903B2" w:rsidRDefault="00DE7B9B" w:rsidP="00B714AF">
      <w:pPr>
        <w:pStyle w:val="Heading1"/>
      </w:pPr>
      <w:bookmarkStart w:id="13" w:name="_Toc227120621"/>
      <w:r w:rsidRPr="006903B2">
        <w:t>4. Conclusion</w:t>
      </w:r>
      <w:bookmarkEnd w:id="13"/>
      <w:r w:rsidRPr="006903B2">
        <w:t xml:space="preserve"> </w:t>
      </w:r>
    </w:p>
    <w:p w14:paraId="0AE4366D" w14:textId="77777777" w:rsidR="00DE7B9B" w:rsidRPr="00DE7B9B" w:rsidRDefault="00DE7B9B" w:rsidP="00DE7B9B">
      <w:pPr>
        <w:spacing w:line="360" w:lineRule="auto"/>
        <w:jc w:val="both"/>
        <w:rPr>
          <w:rFonts w:ascii="Arial" w:hAnsi="Arial" w:cs="Arial"/>
        </w:rPr>
      </w:pPr>
      <w:r w:rsidRPr="00DE7B9B">
        <w:rPr>
          <w:rFonts w:ascii="Arial" w:hAnsi="Arial" w:cs="Arial"/>
        </w:rPr>
        <w:t>The vincristine medication error represents a significant failure in healthcare quality and patient safety systems, demonstrating how preventable incidents can arise from complex organisational weaknesses. This report has shown that the error was not the result of a single individual mistake but rather a combination of systemic failures, including inadequate training, poor communication, weak protocol implementation, and flawed system design. The application of analytical frameworks such as the Donabedian Model, Fishbone Diagram, 5 Whys analysis, and the Swiss Cheese Model provided a comprehensive understanding of how structural and process deficiencies contributed to the fatal outcome. Additionally, the SWOT analysis highlighted both internal weaknesses and external pressures affecting healthcare delivery, reinforcing the need for strategic and system-wide improvements.</w:t>
      </w:r>
    </w:p>
    <w:p w14:paraId="7008A86B" w14:textId="05F5E98F" w:rsidR="00DE7B9B" w:rsidRPr="00DE7B9B" w:rsidRDefault="00DE7B9B" w:rsidP="00DE7B9B">
      <w:pPr>
        <w:spacing w:line="360" w:lineRule="auto"/>
        <w:jc w:val="both"/>
        <w:rPr>
          <w:rFonts w:ascii="Arial" w:hAnsi="Arial" w:cs="Arial"/>
        </w:rPr>
      </w:pPr>
      <w:r w:rsidRPr="00DE7B9B">
        <w:rPr>
          <w:rFonts w:ascii="Arial" w:hAnsi="Arial" w:cs="Arial"/>
        </w:rPr>
        <w:t>The findings emphasise the importance of adopting a systems-based approach to patient safety, where the focus shifts from individual blame to organisational learning and continuous improvement. The recommendations outlined</w:t>
      </w:r>
      <w:r w:rsidR="00F211EB">
        <w:rPr>
          <w:rFonts w:ascii="Arial" w:hAnsi="Arial" w:cs="Arial"/>
        </w:rPr>
        <w:t xml:space="preserve">, </w:t>
      </w:r>
      <w:r w:rsidRPr="00DE7B9B">
        <w:rPr>
          <w:rFonts w:ascii="Arial" w:hAnsi="Arial" w:cs="Arial"/>
        </w:rPr>
        <w:t xml:space="preserve">such as strengthening system barriers, standardising processes, enhancing staff training, improving </w:t>
      </w:r>
      <w:r w:rsidRPr="00DE7B9B">
        <w:rPr>
          <w:rFonts w:ascii="Arial" w:hAnsi="Arial" w:cs="Arial"/>
        </w:rPr>
        <w:lastRenderedPageBreak/>
        <w:t>communication, and integrating technology</w:t>
      </w:r>
      <w:r w:rsidR="005A59ED">
        <w:rPr>
          <w:rFonts w:ascii="Arial" w:hAnsi="Arial" w:cs="Arial"/>
        </w:rPr>
        <w:t>,</w:t>
      </w:r>
      <w:r w:rsidR="00BB79BB">
        <w:rPr>
          <w:rFonts w:ascii="Arial" w:hAnsi="Arial" w:cs="Arial"/>
        </w:rPr>
        <w:t xml:space="preserve"> </w:t>
      </w:r>
      <w:r w:rsidRPr="00DE7B9B">
        <w:rPr>
          <w:rFonts w:ascii="Arial" w:hAnsi="Arial" w:cs="Arial"/>
        </w:rPr>
        <w:t xml:space="preserve">offer practical and evidence-based solutions to reduce medication errors. The use of quality improvement methodologies like PDSA, Lean, and Six Sigma further supports </w:t>
      </w:r>
      <w:r w:rsidR="00BB79BB">
        <w:rPr>
          <w:rFonts w:ascii="Arial" w:hAnsi="Arial" w:cs="Arial"/>
        </w:rPr>
        <w:t xml:space="preserve">the </w:t>
      </w:r>
      <w:r w:rsidRPr="00DE7B9B">
        <w:rPr>
          <w:rFonts w:ascii="Arial" w:hAnsi="Arial" w:cs="Arial"/>
        </w:rPr>
        <w:t>sustainable implementation of these changes. Ultimately, improving patient safety requires strong leadership, a positive safety culture, and ongoing commitment to monitoring and learning from errors. By addressing these factors, healthcare organisations can prevent recurrence of similar incidents and ensure safer, higher-quality care for patients.</w:t>
      </w:r>
    </w:p>
    <w:p w14:paraId="4B7E2B9A" w14:textId="1E4176D1" w:rsidR="00DE7B9B" w:rsidRPr="00DE7B9B" w:rsidRDefault="00DE7B9B" w:rsidP="00DE7B9B">
      <w:pPr>
        <w:spacing w:line="360" w:lineRule="auto"/>
        <w:jc w:val="both"/>
        <w:rPr>
          <w:rFonts w:ascii="Arial" w:hAnsi="Arial" w:cs="Arial"/>
        </w:rPr>
      </w:pPr>
    </w:p>
    <w:p w14:paraId="4B7A209B" w14:textId="77777777" w:rsidR="00DE7B9B" w:rsidRPr="00DE7B9B" w:rsidRDefault="00DE7B9B" w:rsidP="00DE7B9B">
      <w:pPr>
        <w:spacing w:line="360" w:lineRule="auto"/>
        <w:jc w:val="both"/>
        <w:rPr>
          <w:rFonts w:ascii="Arial" w:hAnsi="Arial" w:cs="Arial"/>
          <w:vanish/>
        </w:rPr>
      </w:pPr>
      <w:r w:rsidRPr="00DE7B9B">
        <w:rPr>
          <w:rFonts w:ascii="Arial" w:hAnsi="Arial" w:cs="Arial"/>
          <w:vanish/>
        </w:rPr>
        <w:t>Top of Form</w:t>
      </w:r>
    </w:p>
    <w:p w14:paraId="2741C888" w14:textId="77777777" w:rsidR="00DE7B9B" w:rsidRPr="00DE7B9B" w:rsidRDefault="00DE7B9B" w:rsidP="00DE7B9B">
      <w:pPr>
        <w:spacing w:line="360" w:lineRule="auto"/>
        <w:jc w:val="both"/>
        <w:rPr>
          <w:rFonts w:ascii="Arial" w:hAnsi="Arial" w:cs="Arial"/>
        </w:rPr>
      </w:pPr>
    </w:p>
    <w:p w14:paraId="21B6C44D" w14:textId="77777777" w:rsidR="00DE7B9B" w:rsidRPr="00DE7B9B" w:rsidRDefault="00DE7B9B" w:rsidP="00DE7B9B">
      <w:pPr>
        <w:spacing w:line="360" w:lineRule="auto"/>
        <w:jc w:val="both"/>
        <w:rPr>
          <w:rFonts w:ascii="Arial" w:hAnsi="Arial" w:cs="Arial"/>
          <w:vanish/>
        </w:rPr>
      </w:pPr>
      <w:r w:rsidRPr="00DE7B9B">
        <w:rPr>
          <w:rFonts w:ascii="Arial" w:hAnsi="Arial" w:cs="Arial"/>
          <w:vanish/>
        </w:rPr>
        <w:t>Bottom of Form</w:t>
      </w:r>
    </w:p>
    <w:p w14:paraId="285D841D" w14:textId="77777777" w:rsidR="00B510F8" w:rsidRPr="006903B2" w:rsidRDefault="00B510F8" w:rsidP="00B510F8">
      <w:pPr>
        <w:spacing w:line="360" w:lineRule="auto"/>
        <w:jc w:val="both"/>
        <w:rPr>
          <w:rFonts w:ascii="Arial" w:hAnsi="Arial" w:cs="Arial"/>
        </w:rPr>
      </w:pPr>
    </w:p>
    <w:p w14:paraId="28A8B1B4" w14:textId="77777777" w:rsidR="00BE68A9" w:rsidRDefault="00BE68A9" w:rsidP="00B510F8">
      <w:pPr>
        <w:spacing w:line="360" w:lineRule="auto"/>
        <w:jc w:val="both"/>
        <w:rPr>
          <w:rFonts w:ascii="Arial" w:hAnsi="Arial" w:cs="Arial"/>
        </w:rPr>
      </w:pPr>
    </w:p>
    <w:p w14:paraId="63772543" w14:textId="77777777" w:rsidR="00931845" w:rsidRDefault="00931845" w:rsidP="00B510F8">
      <w:pPr>
        <w:spacing w:line="360" w:lineRule="auto"/>
        <w:jc w:val="both"/>
        <w:rPr>
          <w:rFonts w:ascii="Arial" w:hAnsi="Arial" w:cs="Arial"/>
        </w:rPr>
      </w:pPr>
    </w:p>
    <w:p w14:paraId="05864FF1" w14:textId="77777777" w:rsidR="00931845" w:rsidRDefault="00931845" w:rsidP="00B510F8">
      <w:pPr>
        <w:spacing w:line="360" w:lineRule="auto"/>
        <w:jc w:val="both"/>
        <w:rPr>
          <w:rFonts w:ascii="Arial" w:hAnsi="Arial" w:cs="Arial"/>
        </w:rPr>
      </w:pPr>
    </w:p>
    <w:p w14:paraId="2BE44337" w14:textId="77777777" w:rsidR="00931845" w:rsidRDefault="00931845" w:rsidP="00B510F8">
      <w:pPr>
        <w:spacing w:line="360" w:lineRule="auto"/>
        <w:jc w:val="both"/>
        <w:rPr>
          <w:rFonts w:ascii="Arial" w:hAnsi="Arial" w:cs="Arial"/>
        </w:rPr>
      </w:pPr>
    </w:p>
    <w:p w14:paraId="09379F43" w14:textId="77777777" w:rsidR="00931845" w:rsidRDefault="00931845" w:rsidP="00B510F8">
      <w:pPr>
        <w:spacing w:line="360" w:lineRule="auto"/>
        <w:jc w:val="both"/>
        <w:rPr>
          <w:rFonts w:ascii="Arial" w:hAnsi="Arial" w:cs="Arial"/>
        </w:rPr>
      </w:pPr>
    </w:p>
    <w:p w14:paraId="4074A4A2" w14:textId="77777777" w:rsidR="00931845" w:rsidRDefault="00931845" w:rsidP="00B510F8">
      <w:pPr>
        <w:spacing w:line="360" w:lineRule="auto"/>
        <w:jc w:val="both"/>
        <w:rPr>
          <w:rFonts w:ascii="Arial" w:hAnsi="Arial" w:cs="Arial"/>
        </w:rPr>
      </w:pPr>
    </w:p>
    <w:p w14:paraId="0E2C8610" w14:textId="77777777" w:rsidR="00931845" w:rsidRDefault="00931845" w:rsidP="00B510F8">
      <w:pPr>
        <w:spacing w:line="360" w:lineRule="auto"/>
        <w:jc w:val="both"/>
        <w:rPr>
          <w:rFonts w:ascii="Arial" w:hAnsi="Arial" w:cs="Arial"/>
        </w:rPr>
      </w:pPr>
    </w:p>
    <w:p w14:paraId="29499B3E" w14:textId="77777777" w:rsidR="00931845" w:rsidRDefault="00931845" w:rsidP="00B510F8">
      <w:pPr>
        <w:spacing w:line="360" w:lineRule="auto"/>
        <w:jc w:val="both"/>
        <w:rPr>
          <w:rFonts w:ascii="Arial" w:hAnsi="Arial" w:cs="Arial"/>
        </w:rPr>
      </w:pPr>
    </w:p>
    <w:p w14:paraId="2186D62B" w14:textId="77777777" w:rsidR="00931845" w:rsidRDefault="00931845" w:rsidP="00B510F8">
      <w:pPr>
        <w:spacing w:line="360" w:lineRule="auto"/>
        <w:jc w:val="both"/>
        <w:rPr>
          <w:rFonts w:ascii="Arial" w:hAnsi="Arial" w:cs="Arial"/>
        </w:rPr>
      </w:pPr>
    </w:p>
    <w:p w14:paraId="5386EEEC" w14:textId="77777777" w:rsidR="00931845" w:rsidRDefault="00931845" w:rsidP="00B510F8">
      <w:pPr>
        <w:spacing w:line="360" w:lineRule="auto"/>
        <w:jc w:val="both"/>
        <w:rPr>
          <w:rFonts w:ascii="Arial" w:hAnsi="Arial" w:cs="Arial"/>
        </w:rPr>
      </w:pPr>
    </w:p>
    <w:p w14:paraId="6A8E5A04" w14:textId="77777777" w:rsidR="00931845" w:rsidRDefault="00931845" w:rsidP="00B510F8">
      <w:pPr>
        <w:spacing w:line="360" w:lineRule="auto"/>
        <w:jc w:val="both"/>
        <w:rPr>
          <w:rFonts w:ascii="Arial" w:hAnsi="Arial" w:cs="Arial"/>
        </w:rPr>
      </w:pPr>
    </w:p>
    <w:p w14:paraId="5C0EBD2F" w14:textId="77777777" w:rsidR="00931845" w:rsidRDefault="00931845" w:rsidP="00B510F8">
      <w:pPr>
        <w:spacing w:line="360" w:lineRule="auto"/>
        <w:jc w:val="both"/>
        <w:rPr>
          <w:rFonts w:ascii="Arial" w:hAnsi="Arial" w:cs="Arial"/>
        </w:rPr>
      </w:pPr>
    </w:p>
    <w:p w14:paraId="1498F670" w14:textId="77777777" w:rsidR="00931845" w:rsidRDefault="00931845" w:rsidP="00B510F8">
      <w:pPr>
        <w:spacing w:line="360" w:lineRule="auto"/>
        <w:jc w:val="both"/>
        <w:rPr>
          <w:rFonts w:ascii="Arial" w:hAnsi="Arial" w:cs="Arial"/>
        </w:rPr>
      </w:pPr>
    </w:p>
    <w:p w14:paraId="79330B90" w14:textId="77777777" w:rsidR="00931845" w:rsidRDefault="00931845" w:rsidP="00B510F8">
      <w:pPr>
        <w:spacing w:line="360" w:lineRule="auto"/>
        <w:jc w:val="both"/>
        <w:rPr>
          <w:rFonts w:ascii="Arial" w:hAnsi="Arial" w:cs="Arial"/>
        </w:rPr>
      </w:pPr>
    </w:p>
    <w:p w14:paraId="26FA73C5" w14:textId="77777777" w:rsidR="00931845" w:rsidRPr="006903B2" w:rsidRDefault="00931845" w:rsidP="00B510F8">
      <w:pPr>
        <w:spacing w:line="360" w:lineRule="auto"/>
        <w:jc w:val="both"/>
        <w:rPr>
          <w:rFonts w:ascii="Arial" w:hAnsi="Arial" w:cs="Arial"/>
        </w:rPr>
      </w:pPr>
    </w:p>
    <w:p w14:paraId="26E770D1" w14:textId="77777777" w:rsidR="002A72B4" w:rsidRPr="006903B2" w:rsidRDefault="002A72B4" w:rsidP="00B510F8">
      <w:pPr>
        <w:spacing w:line="360" w:lineRule="auto"/>
        <w:jc w:val="both"/>
        <w:rPr>
          <w:rFonts w:ascii="Arial" w:hAnsi="Arial" w:cs="Arial"/>
        </w:rPr>
      </w:pPr>
    </w:p>
    <w:p w14:paraId="7A2CCFDB" w14:textId="20ED089C" w:rsidR="00BE68A9" w:rsidRPr="006903B2" w:rsidRDefault="00BE68A9" w:rsidP="00BE68A9">
      <w:pPr>
        <w:pStyle w:val="Heading1"/>
        <w:rPr>
          <w:sz w:val="24"/>
          <w:szCs w:val="24"/>
        </w:rPr>
      </w:pPr>
      <w:bookmarkStart w:id="14" w:name="_Toc227120622"/>
      <w:r w:rsidRPr="006903B2">
        <w:lastRenderedPageBreak/>
        <w:t>References</w:t>
      </w:r>
      <w:bookmarkEnd w:id="14"/>
    </w:p>
    <w:p w14:paraId="61CB4D8D" w14:textId="4C17A26C" w:rsidR="00DC0841" w:rsidRDefault="00DC0841" w:rsidP="00DC0841">
      <w:pPr>
        <w:spacing w:line="360" w:lineRule="auto"/>
        <w:jc w:val="both"/>
        <w:rPr>
          <w:rFonts w:ascii="Arial" w:hAnsi="Arial" w:cs="Arial"/>
        </w:rPr>
      </w:pPr>
      <w:r w:rsidRPr="006903B2">
        <w:rPr>
          <w:rFonts w:ascii="Arial" w:hAnsi="Arial" w:cs="Arial"/>
        </w:rPr>
        <w:t>Ahsani-</w:t>
      </w:r>
      <w:proofErr w:type="spellStart"/>
      <w:r w:rsidRPr="006903B2">
        <w:rPr>
          <w:rFonts w:ascii="Arial" w:hAnsi="Arial" w:cs="Arial"/>
        </w:rPr>
        <w:t>Estahbanati</w:t>
      </w:r>
      <w:proofErr w:type="spellEnd"/>
      <w:r w:rsidRPr="006903B2">
        <w:rPr>
          <w:rFonts w:ascii="Arial" w:hAnsi="Arial" w:cs="Arial"/>
        </w:rPr>
        <w:t xml:space="preserve">, E., Sergeevich Gordeev, V. and </w:t>
      </w:r>
      <w:proofErr w:type="spellStart"/>
      <w:r w:rsidRPr="006903B2">
        <w:rPr>
          <w:rFonts w:ascii="Arial" w:hAnsi="Arial" w:cs="Arial"/>
        </w:rPr>
        <w:t>Doshmangir</w:t>
      </w:r>
      <w:proofErr w:type="spellEnd"/>
      <w:r w:rsidRPr="006903B2">
        <w:rPr>
          <w:rFonts w:ascii="Arial" w:hAnsi="Arial" w:cs="Arial"/>
        </w:rPr>
        <w:t>, L., (2022). Interventions to reduce the incidence of medical error and its financial burden in health care systems: A systematic review of systematic reviews. </w:t>
      </w:r>
      <w:r w:rsidRPr="006903B2">
        <w:rPr>
          <w:rFonts w:ascii="Arial" w:hAnsi="Arial" w:cs="Arial"/>
          <w:i/>
          <w:iCs/>
        </w:rPr>
        <w:t>Frontiers in medicine</w:t>
      </w:r>
      <w:r w:rsidRPr="006903B2">
        <w:rPr>
          <w:rFonts w:ascii="Arial" w:hAnsi="Arial" w:cs="Arial"/>
        </w:rPr>
        <w:t>, </w:t>
      </w:r>
      <w:r w:rsidRPr="006903B2">
        <w:rPr>
          <w:rFonts w:ascii="Arial" w:hAnsi="Arial" w:cs="Arial"/>
          <w:i/>
          <w:iCs/>
        </w:rPr>
        <w:t>9</w:t>
      </w:r>
      <w:r w:rsidRPr="006903B2">
        <w:rPr>
          <w:rFonts w:ascii="Arial" w:hAnsi="Arial" w:cs="Arial"/>
        </w:rPr>
        <w:t>, p.875426.</w:t>
      </w:r>
      <w:r w:rsidR="00DA3DD2">
        <w:rPr>
          <w:rFonts w:ascii="Arial" w:hAnsi="Arial" w:cs="Arial"/>
        </w:rPr>
        <w:t xml:space="preserve"> </w:t>
      </w:r>
      <w:r w:rsidR="00DA3DD2" w:rsidRPr="00DA3DD2">
        <w:rPr>
          <w:rFonts w:ascii="Arial" w:hAnsi="Arial" w:cs="Arial"/>
        </w:rPr>
        <w:t>DOI:</w:t>
      </w:r>
      <w:r w:rsidR="008177F7">
        <w:rPr>
          <w:rFonts w:ascii="Arial" w:hAnsi="Arial" w:cs="Arial"/>
        </w:rPr>
        <w:t xml:space="preserve"> </w:t>
      </w:r>
      <w:hyperlink r:id="rId12" w:history="1">
        <w:r w:rsidR="008177F7" w:rsidRPr="00A4735F">
          <w:rPr>
            <w:rStyle w:val="Hyperlink"/>
            <w:rFonts w:ascii="Arial" w:hAnsi="Arial" w:cs="Arial"/>
          </w:rPr>
          <w:t>https://doi.org/10.3389/fmed.2022.875426</w:t>
        </w:r>
      </w:hyperlink>
    </w:p>
    <w:p w14:paraId="71DA15DA" w14:textId="61CC192D" w:rsidR="005F27E3" w:rsidRDefault="005F27E3" w:rsidP="00910FED">
      <w:pPr>
        <w:spacing w:line="360" w:lineRule="auto"/>
        <w:jc w:val="both"/>
        <w:rPr>
          <w:rFonts w:ascii="Arial" w:hAnsi="Arial" w:cs="Arial"/>
        </w:rPr>
      </w:pPr>
      <w:r w:rsidRPr="005F27E3">
        <w:rPr>
          <w:rFonts w:ascii="Arial" w:hAnsi="Arial" w:cs="Arial"/>
        </w:rPr>
        <w:t>Alhur, A., Alhur, A.A., Al-</w:t>
      </w:r>
      <w:proofErr w:type="spellStart"/>
      <w:r w:rsidRPr="005F27E3">
        <w:rPr>
          <w:rFonts w:ascii="Arial" w:hAnsi="Arial" w:cs="Arial"/>
        </w:rPr>
        <w:t>Rowais</w:t>
      </w:r>
      <w:proofErr w:type="spellEnd"/>
      <w:r w:rsidRPr="005F27E3">
        <w:rPr>
          <w:rFonts w:ascii="Arial" w:hAnsi="Arial" w:cs="Arial"/>
        </w:rPr>
        <w:t>, D., Asiri, S., Muslim, H., Alotaibi, D., Al-</w:t>
      </w:r>
      <w:proofErr w:type="spellStart"/>
      <w:r w:rsidRPr="005F27E3">
        <w:rPr>
          <w:rFonts w:ascii="Arial" w:hAnsi="Arial" w:cs="Arial"/>
        </w:rPr>
        <w:t>Rowais</w:t>
      </w:r>
      <w:proofErr w:type="spellEnd"/>
      <w:r w:rsidRPr="005F27E3">
        <w:rPr>
          <w:rFonts w:ascii="Arial" w:hAnsi="Arial" w:cs="Arial"/>
        </w:rPr>
        <w:t xml:space="preserve">, B., Alotaibi, F., Al-Hussayein, S., Alamri, A. and Faya, B., </w:t>
      </w:r>
      <w:r w:rsidR="005A59ED">
        <w:rPr>
          <w:rFonts w:ascii="Arial" w:hAnsi="Arial" w:cs="Arial"/>
        </w:rPr>
        <w:t>(</w:t>
      </w:r>
      <w:r w:rsidRPr="005F27E3">
        <w:rPr>
          <w:rFonts w:ascii="Arial" w:hAnsi="Arial" w:cs="Arial"/>
        </w:rPr>
        <w:t>2024</w:t>
      </w:r>
      <w:r w:rsidR="005A59ED">
        <w:rPr>
          <w:rFonts w:ascii="Arial" w:hAnsi="Arial" w:cs="Arial"/>
        </w:rPr>
        <w:t>)</w:t>
      </w:r>
      <w:r w:rsidRPr="005F27E3">
        <w:rPr>
          <w:rFonts w:ascii="Arial" w:hAnsi="Arial" w:cs="Arial"/>
        </w:rPr>
        <w:t>. Enhancing patient safety through effective interprofessional communication: a focus on medication error prevention. </w:t>
      </w:r>
      <w:r w:rsidRPr="005F27E3">
        <w:rPr>
          <w:rFonts w:ascii="Arial" w:hAnsi="Arial" w:cs="Arial"/>
          <w:i/>
          <w:iCs/>
        </w:rPr>
        <w:t>Cureus</w:t>
      </w:r>
      <w:r w:rsidRPr="005F27E3">
        <w:rPr>
          <w:rFonts w:ascii="Arial" w:hAnsi="Arial" w:cs="Arial"/>
        </w:rPr>
        <w:t>, </w:t>
      </w:r>
      <w:r w:rsidRPr="005F27E3">
        <w:rPr>
          <w:rFonts w:ascii="Arial" w:hAnsi="Arial" w:cs="Arial"/>
          <w:i/>
          <w:iCs/>
        </w:rPr>
        <w:t>16</w:t>
      </w:r>
      <w:r w:rsidRPr="005F27E3">
        <w:rPr>
          <w:rFonts w:ascii="Arial" w:hAnsi="Arial" w:cs="Arial"/>
        </w:rPr>
        <w:t>(4).</w:t>
      </w:r>
      <w:r w:rsidR="00DA3DD2">
        <w:rPr>
          <w:rFonts w:ascii="Arial" w:hAnsi="Arial" w:cs="Arial"/>
        </w:rPr>
        <w:t xml:space="preserve"> </w:t>
      </w:r>
      <w:r w:rsidR="00DA3DD2" w:rsidRPr="00DA3DD2">
        <w:rPr>
          <w:rFonts w:ascii="Arial" w:hAnsi="Arial" w:cs="Arial"/>
        </w:rPr>
        <w:t>DOI:</w:t>
      </w:r>
      <w:r w:rsidR="008177F7">
        <w:rPr>
          <w:rFonts w:ascii="Arial" w:hAnsi="Arial" w:cs="Arial"/>
        </w:rPr>
        <w:t xml:space="preserve"> </w:t>
      </w:r>
      <w:hyperlink r:id="rId13" w:history="1">
        <w:r w:rsidR="008177F7" w:rsidRPr="008177F7">
          <w:rPr>
            <w:rStyle w:val="Hyperlink"/>
            <w:rFonts w:ascii="Arial" w:hAnsi="Arial" w:cs="Arial"/>
          </w:rPr>
          <w:t>10.7759/cureus.57991</w:t>
        </w:r>
      </w:hyperlink>
    </w:p>
    <w:p w14:paraId="53463B0B" w14:textId="65A7BAC7" w:rsidR="00666F53" w:rsidRDefault="00666F53" w:rsidP="00910FED">
      <w:pPr>
        <w:spacing w:line="360" w:lineRule="auto"/>
        <w:jc w:val="both"/>
        <w:rPr>
          <w:rFonts w:ascii="Arial" w:hAnsi="Arial" w:cs="Arial"/>
        </w:rPr>
      </w:pPr>
      <w:r w:rsidRPr="00666F53">
        <w:rPr>
          <w:rFonts w:ascii="Arial" w:hAnsi="Arial" w:cs="Arial"/>
        </w:rPr>
        <w:t xml:space="preserve">Alanazi, M.A., </w:t>
      </w:r>
      <w:r w:rsidR="00822A4D">
        <w:rPr>
          <w:rFonts w:ascii="Arial" w:hAnsi="Arial" w:cs="Arial"/>
        </w:rPr>
        <w:t>(</w:t>
      </w:r>
      <w:r w:rsidRPr="00666F53">
        <w:rPr>
          <w:rFonts w:ascii="Arial" w:hAnsi="Arial" w:cs="Arial"/>
        </w:rPr>
        <w:t>2018</w:t>
      </w:r>
      <w:r w:rsidR="00822A4D">
        <w:rPr>
          <w:rFonts w:ascii="Arial" w:hAnsi="Arial" w:cs="Arial"/>
        </w:rPr>
        <w:t>)</w:t>
      </w:r>
      <w:r w:rsidRPr="00666F53">
        <w:rPr>
          <w:rFonts w:ascii="Arial" w:hAnsi="Arial" w:cs="Arial"/>
        </w:rPr>
        <w:t>. </w:t>
      </w:r>
      <w:r w:rsidRPr="00666F53">
        <w:rPr>
          <w:rFonts w:ascii="Arial" w:hAnsi="Arial" w:cs="Arial"/>
          <w:i/>
          <w:iCs/>
        </w:rPr>
        <w:t>Prescribing errors with High Risk Medicines (HRMs) in Hospitals</w:t>
      </w:r>
      <w:r w:rsidRPr="00666F53">
        <w:rPr>
          <w:rFonts w:ascii="Arial" w:hAnsi="Arial" w:cs="Arial"/>
        </w:rPr>
        <w:t>. The University of Manchester (United Kingdom).</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14" w:history="1">
        <w:r w:rsidR="00D651FB" w:rsidRPr="00A4735F">
          <w:rPr>
            <w:rStyle w:val="Hyperlink"/>
            <w:rFonts w:ascii="Arial" w:hAnsi="Arial" w:cs="Arial"/>
          </w:rPr>
          <w:t>https://search.proquest.com/openview/63f05b1388606efb87dc77b5abce8ab7/1?pq-origsite=gscholar&amp;cbl=2026366&amp;diss=y</w:t>
        </w:r>
      </w:hyperlink>
    </w:p>
    <w:p w14:paraId="07E700E6" w14:textId="0FBCBF58" w:rsidR="00700691" w:rsidRDefault="00700691" w:rsidP="00910FED">
      <w:pPr>
        <w:spacing w:line="360" w:lineRule="auto"/>
        <w:jc w:val="both"/>
        <w:rPr>
          <w:rFonts w:ascii="Arial" w:hAnsi="Arial" w:cs="Arial"/>
        </w:rPr>
      </w:pPr>
      <w:r w:rsidRPr="006903B2">
        <w:rPr>
          <w:rFonts w:ascii="Arial" w:hAnsi="Arial" w:cs="Arial"/>
        </w:rPr>
        <w:t xml:space="preserve">Carrera-Noguero, A.M., </w:t>
      </w:r>
      <w:proofErr w:type="spellStart"/>
      <w:r w:rsidRPr="006903B2">
        <w:rPr>
          <w:rFonts w:ascii="Arial" w:hAnsi="Arial" w:cs="Arial"/>
        </w:rPr>
        <w:t>Guilabert</w:t>
      </w:r>
      <w:proofErr w:type="spellEnd"/>
      <w:r w:rsidRPr="006903B2">
        <w:rPr>
          <w:rFonts w:ascii="Arial" w:hAnsi="Arial" w:cs="Arial"/>
        </w:rPr>
        <w:t xml:space="preserve"> Mora, M., Pérez-Jover, V., Pola-Garcia, M., Mira Solves, J.J., Astier-Peña, M.P. and Consortium </w:t>
      </w:r>
      <w:proofErr w:type="spellStart"/>
      <w:r w:rsidRPr="006903B2">
        <w:rPr>
          <w:rFonts w:ascii="Arial" w:hAnsi="Arial" w:cs="Arial"/>
        </w:rPr>
        <w:t>EvaLRA</w:t>
      </w:r>
      <w:proofErr w:type="spellEnd"/>
      <w:r w:rsidRPr="006903B2">
        <w:rPr>
          <w:rFonts w:ascii="Arial" w:hAnsi="Arial" w:cs="Arial"/>
        </w:rPr>
        <w:t xml:space="preserve"> Cassetti V. </w:t>
      </w:r>
      <w:proofErr w:type="spellStart"/>
      <w:r w:rsidRPr="006903B2">
        <w:rPr>
          <w:rFonts w:ascii="Arial" w:hAnsi="Arial" w:cs="Arial"/>
        </w:rPr>
        <w:t>Melús-Palazón</w:t>
      </w:r>
      <w:proofErr w:type="spellEnd"/>
      <w:r w:rsidRPr="006903B2">
        <w:rPr>
          <w:rFonts w:ascii="Arial" w:hAnsi="Arial" w:cs="Arial"/>
        </w:rPr>
        <w:t xml:space="preserve"> E. </w:t>
      </w:r>
      <w:proofErr w:type="spellStart"/>
      <w:r w:rsidRPr="006903B2">
        <w:rPr>
          <w:rFonts w:ascii="Arial" w:hAnsi="Arial" w:cs="Arial"/>
        </w:rPr>
        <w:t>Benedé-Azagra</w:t>
      </w:r>
      <w:proofErr w:type="spellEnd"/>
      <w:r w:rsidRPr="006903B2">
        <w:rPr>
          <w:rFonts w:ascii="Arial" w:hAnsi="Arial" w:cs="Arial"/>
        </w:rPr>
        <w:t xml:space="preserve"> B. Gasch-Gallén A. Enríquez Martín N. Asencio Aznar A. Gimeno-Monterde C. Lou </w:t>
      </w:r>
      <w:proofErr w:type="spellStart"/>
      <w:r w:rsidRPr="006903B2">
        <w:rPr>
          <w:rFonts w:ascii="Arial" w:hAnsi="Arial" w:cs="Arial"/>
        </w:rPr>
        <w:t>Alcaine</w:t>
      </w:r>
      <w:proofErr w:type="spellEnd"/>
      <w:r w:rsidRPr="006903B2">
        <w:rPr>
          <w:rFonts w:ascii="Arial" w:hAnsi="Arial" w:cs="Arial"/>
        </w:rPr>
        <w:t xml:space="preserve"> ML, </w:t>
      </w:r>
      <w:r w:rsidR="00E71B7B" w:rsidRPr="006903B2">
        <w:rPr>
          <w:rFonts w:ascii="Arial" w:hAnsi="Arial" w:cs="Arial"/>
        </w:rPr>
        <w:t>(</w:t>
      </w:r>
      <w:r w:rsidRPr="006903B2">
        <w:rPr>
          <w:rFonts w:ascii="Arial" w:hAnsi="Arial" w:cs="Arial"/>
        </w:rPr>
        <w:t>2025</w:t>
      </w:r>
      <w:r w:rsidR="00E71B7B" w:rsidRPr="006903B2">
        <w:rPr>
          <w:rFonts w:ascii="Arial" w:hAnsi="Arial" w:cs="Arial"/>
        </w:rPr>
        <w:t>)</w:t>
      </w:r>
      <w:r w:rsidRPr="006903B2">
        <w:rPr>
          <w:rFonts w:ascii="Arial" w:hAnsi="Arial" w:cs="Arial"/>
        </w:rPr>
        <w:t>. Consensus-based framework for assessing social prescribing schemes in primary healthcare. </w:t>
      </w:r>
      <w:r w:rsidRPr="006903B2">
        <w:rPr>
          <w:rFonts w:ascii="Arial" w:hAnsi="Arial" w:cs="Arial"/>
          <w:i/>
          <w:iCs/>
        </w:rPr>
        <w:t>BMC Primary Care</w:t>
      </w:r>
      <w:r w:rsidRPr="006903B2">
        <w:rPr>
          <w:rFonts w:ascii="Arial" w:hAnsi="Arial" w:cs="Arial"/>
        </w:rPr>
        <w:t>, </w:t>
      </w:r>
      <w:r w:rsidRPr="006903B2">
        <w:rPr>
          <w:rFonts w:ascii="Arial" w:hAnsi="Arial" w:cs="Arial"/>
          <w:i/>
          <w:iCs/>
        </w:rPr>
        <w:t>26</w:t>
      </w:r>
      <w:r w:rsidRPr="006903B2">
        <w:rPr>
          <w:rFonts w:ascii="Arial" w:hAnsi="Arial" w:cs="Arial"/>
        </w:rPr>
        <w:t>(1), p.262.</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15" w:history="1">
        <w:r w:rsidR="00D651FB" w:rsidRPr="00A4735F">
          <w:rPr>
            <w:rStyle w:val="Hyperlink"/>
            <w:rFonts w:ascii="Arial" w:hAnsi="Arial" w:cs="Arial"/>
          </w:rPr>
          <w:t>https://doi.org/10.1186/s12875-025-02954-3</w:t>
        </w:r>
      </w:hyperlink>
    </w:p>
    <w:p w14:paraId="6439B7FB" w14:textId="1C80C2A5" w:rsidR="00A20276" w:rsidRDefault="00A20276" w:rsidP="00910FED">
      <w:pPr>
        <w:spacing w:line="360" w:lineRule="auto"/>
        <w:jc w:val="both"/>
        <w:rPr>
          <w:rFonts w:ascii="Arial" w:hAnsi="Arial" w:cs="Arial"/>
        </w:rPr>
      </w:pPr>
      <w:proofErr w:type="spellStart"/>
      <w:r w:rsidRPr="00A20276">
        <w:rPr>
          <w:rFonts w:ascii="Arial" w:hAnsi="Arial" w:cs="Arial"/>
        </w:rPr>
        <w:t>Carthey</w:t>
      </w:r>
      <w:proofErr w:type="spellEnd"/>
      <w:r w:rsidRPr="00A20276">
        <w:rPr>
          <w:rFonts w:ascii="Arial" w:hAnsi="Arial" w:cs="Arial"/>
        </w:rPr>
        <w:t xml:space="preserve">, J., </w:t>
      </w:r>
      <w:r w:rsidR="00822A4D">
        <w:rPr>
          <w:rFonts w:ascii="Arial" w:hAnsi="Arial" w:cs="Arial"/>
        </w:rPr>
        <w:t>(</w:t>
      </w:r>
      <w:r w:rsidRPr="00A20276">
        <w:rPr>
          <w:rFonts w:ascii="Arial" w:hAnsi="Arial" w:cs="Arial"/>
        </w:rPr>
        <w:t>2013</w:t>
      </w:r>
      <w:r w:rsidR="00822A4D">
        <w:rPr>
          <w:rFonts w:ascii="Arial" w:hAnsi="Arial" w:cs="Arial"/>
        </w:rPr>
        <w:t>)</w:t>
      </w:r>
      <w:r w:rsidRPr="00A20276">
        <w:rPr>
          <w:rFonts w:ascii="Arial" w:hAnsi="Arial" w:cs="Arial"/>
        </w:rPr>
        <w:t>. Understanding safety in healthcare: the system evolution, erosion and enhancement model. </w:t>
      </w:r>
      <w:r w:rsidRPr="00A20276">
        <w:rPr>
          <w:rFonts w:ascii="Arial" w:hAnsi="Arial" w:cs="Arial"/>
          <w:i/>
          <w:iCs/>
        </w:rPr>
        <w:t>Journal of public health research</w:t>
      </w:r>
      <w:r w:rsidRPr="00A20276">
        <w:rPr>
          <w:rFonts w:ascii="Arial" w:hAnsi="Arial" w:cs="Arial"/>
        </w:rPr>
        <w:t>, </w:t>
      </w:r>
      <w:r w:rsidRPr="00A20276">
        <w:rPr>
          <w:rFonts w:ascii="Arial" w:hAnsi="Arial" w:cs="Arial"/>
          <w:i/>
          <w:iCs/>
        </w:rPr>
        <w:t>2</w:t>
      </w:r>
      <w:r w:rsidRPr="00A20276">
        <w:rPr>
          <w:rFonts w:ascii="Arial" w:hAnsi="Arial" w:cs="Arial"/>
        </w:rPr>
        <w:t>(3), pp.jphr-2013.</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16" w:history="1">
        <w:r w:rsidR="00D651FB" w:rsidRPr="00A4735F">
          <w:rPr>
            <w:rStyle w:val="Hyperlink"/>
            <w:rFonts w:ascii="Arial" w:hAnsi="Arial" w:cs="Arial"/>
          </w:rPr>
          <w:t>https://doi.org/10.4081/jphr.2013.e25</w:t>
        </w:r>
      </w:hyperlink>
    </w:p>
    <w:p w14:paraId="2DFD1E4D" w14:textId="72D4A6C3" w:rsidR="007D304B" w:rsidRDefault="007D304B" w:rsidP="00910FED">
      <w:pPr>
        <w:spacing w:line="360" w:lineRule="auto"/>
        <w:jc w:val="both"/>
        <w:rPr>
          <w:rFonts w:ascii="Arial" w:hAnsi="Arial" w:cs="Arial"/>
        </w:rPr>
      </w:pPr>
      <w:r w:rsidRPr="00D651FB">
        <w:rPr>
          <w:rFonts w:ascii="Arial" w:hAnsi="Arial" w:cs="Arial"/>
          <w:lang w:val="sv-SE"/>
        </w:rPr>
        <w:t xml:space="preserve">Clara Beaver, M.S.N., </w:t>
      </w:r>
      <w:r w:rsidR="00822A4D" w:rsidRPr="00D651FB">
        <w:rPr>
          <w:rFonts w:ascii="Arial" w:hAnsi="Arial" w:cs="Arial"/>
          <w:lang w:val="sv-SE"/>
        </w:rPr>
        <w:t>(</w:t>
      </w:r>
      <w:r w:rsidRPr="00D651FB">
        <w:rPr>
          <w:rFonts w:ascii="Arial" w:hAnsi="Arial" w:cs="Arial"/>
          <w:lang w:val="sv-SE"/>
        </w:rPr>
        <w:t>2018</w:t>
      </w:r>
      <w:r w:rsidR="00822A4D" w:rsidRPr="00D651FB">
        <w:rPr>
          <w:rFonts w:ascii="Arial" w:hAnsi="Arial" w:cs="Arial"/>
          <w:lang w:val="sv-SE"/>
        </w:rPr>
        <w:t>)</w:t>
      </w:r>
      <w:r w:rsidRPr="00D651FB">
        <w:rPr>
          <w:rFonts w:ascii="Arial" w:hAnsi="Arial" w:cs="Arial"/>
          <w:lang w:val="sv-SE"/>
        </w:rPr>
        <w:t xml:space="preserve">. </w:t>
      </w:r>
      <w:r w:rsidRPr="007D304B">
        <w:rPr>
          <w:rFonts w:ascii="Arial" w:hAnsi="Arial" w:cs="Arial"/>
        </w:rPr>
        <w:t xml:space="preserve">Vincristine </w:t>
      </w:r>
      <w:proofErr w:type="spellStart"/>
      <w:r w:rsidRPr="007D304B">
        <w:rPr>
          <w:rFonts w:ascii="Arial" w:hAnsi="Arial" w:cs="Arial"/>
        </w:rPr>
        <w:t>Minibag</w:t>
      </w:r>
      <w:proofErr w:type="spellEnd"/>
      <w:r w:rsidRPr="007D304B">
        <w:rPr>
          <w:rFonts w:ascii="Arial" w:hAnsi="Arial" w:cs="Arial"/>
        </w:rPr>
        <w:t xml:space="preserve"> Administration. </w:t>
      </w:r>
      <w:r w:rsidRPr="007D304B">
        <w:rPr>
          <w:rFonts w:ascii="Arial" w:hAnsi="Arial" w:cs="Arial"/>
          <w:i/>
          <w:iCs/>
        </w:rPr>
        <w:t>Clinical Journal of Oncology Nursing</w:t>
      </w:r>
      <w:r w:rsidRPr="007D304B">
        <w:rPr>
          <w:rFonts w:ascii="Arial" w:hAnsi="Arial" w:cs="Arial"/>
        </w:rPr>
        <w:t>, </w:t>
      </w:r>
      <w:r w:rsidRPr="007D304B">
        <w:rPr>
          <w:rFonts w:ascii="Arial" w:hAnsi="Arial" w:cs="Arial"/>
          <w:i/>
          <w:iCs/>
        </w:rPr>
        <w:t>22</w:t>
      </w:r>
      <w:r w:rsidRPr="007D304B">
        <w:rPr>
          <w:rFonts w:ascii="Arial" w:hAnsi="Arial" w:cs="Arial"/>
        </w:rPr>
        <w:t>(6), pp.669-672.</w:t>
      </w:r>
      <w:r w:rsidR="00DA3DD2">
        <w:rPr>
          <w:rFonts w:ascii="Arial" w:hAnsi="Arial" w:cs="Arial"/>
        </w:rPr>
        <w:t xml:space="preserve"> </w:t>
      </w:r>
      <w:r w:rsidR="00D651FB" w:rsidRPr="00D651FB">
        <w:rPr>
          <w:rFonts w:ascii="Arial" w:hAnsi="Arial" w:cs="Arial"/>
        </w:rPr>
        <w:t xml:space="preserve">DOI: </w:t>
      </w:r>
      <w:hyperlink r:id="rId17" w:history="1">
        <w:r w:rsidR="00D651FB" w:rsidRPr="00D651FB">
          <w:rPr>
            <w:rStyle w:val="Hyperlink"/>
            <w:rFonts w:ascii="Arial" w:hAnsi="Arial" w:cs="Arial"/>
          </w:rPr>
          <w:t>10.1188/18.CJON.669-672</w:t>
        </w:r>
      </w:hyperlink>
    </w:p>
    <w:p w14:paraId="582438D3" w14:textId="5B7300BA" w:rsidR="00DC0841" w:rsidRPr="006903B2" w:rsidRDefault="00DC0841" w:rsidP="00DC0841">
      <w:pPr>
        <w:spacing w:line="360" w:lineRule="auto"/>
        <w:jc w:val="both"/>
        <w:rPr>
          <w:rFonts w:ascii="Arial" w:hAnsi="Arial" w:cs="Arial"/>
        </w:rPr>
      </w:pPr>
      <w:r w:rsidRPr="006903B2">
        <w:rPr>
          <w:rFonts w:ascii="Arial" w:hAnsi="Arial" w:cs="Arial"/>
        </w:rPr>
        <w:t xml:space="preserve">Chen, C.C., Hsiao, C.T., Chang, D.S. and Lai, W.C., (2024). The delivery model of perceived medical service quality based on </w:t>
      </w:r>
      <w:proofErr w:type="spellStart"/>
      <w:r w:rsidRPr="006903B2">
        <w:rPr>
          <w:rFonts w:ascii="Arial" w:hAnsi="Arial" w:cs="Arial"/>
        </w:rPr>
        <w:t>donabedian's</w:t>
      </w:r>
      <w:proofErr w:type="spellEnd"/>
      <w:r w:rsidRPr="006903B2">
        <w:rPr>
          <w:rFonts w:ascii="Arial" w:hAnsi="Arial" w:cs="Arial"/>
        </w:rPr>
        <w:t xml:space="preserve"> framework. </w:t>
      </w:r>
      <w:r w:rsidRPr="006903B2">
        <w:rPr>
          <w:rFonts w:ascii="Arial" w:hAnsi="Arial" w:cs="Arial"/>
          <w:i/>
          <w:iCs/>
        </w:rPr>
        <w:t>The Journal for Healthcare Quality (JHQ)</w:t>
      </w:r>
      <w:r w:rsidRPr="006903B2">
        <w:rPr>
          <w:rFonts w:ascii="Arial" w:hAnsi="Arial" w:cs="Arial"/>
        </w:rPr>
        <w:t>, </w:t>
      </w:r>
      <w:r w:rsidRPr="006903B2">
        <w:rPr>
          <w:rFonts w:ascii="Arial" w:hAnsi="Arial" w:cs="Arial"/>
          <w:i/>
          <w:iCs/>
        </w:rPr>
        <w:t>46</w:t>
      </w:r>
      <w:r w:rsidRPr="006903B2">
        <w:rPr>
          <w:rFonts w:ascii="Arial" w:hAnsi="Arial" w:cs="Arial"/>
        </w:rPr>
        <w:t>(3), pp.150-159.</w:t>
      </w:r>
      <w:r w:rsidR="00DA3DD2">
        <w:rPr>
          <w:rFonts w:ascii="Arial" w:hAnsi="Arial" w:cs="Arial"/>
        </w:rPr>
        <w:t xml:space="preserve"> </w:t>
      </w:r>
      <w:r w:rsidR="00DA3DD2" w:rsidRPr="00DA3DD2">
        <w:rPr>
          <w:rFonts w:ascii="Arial" w:hAnsi="Arial" w:cs="Arial"/>
        </w:rPr>
        <w:t>DOI:</w:t>
      </w:r>
      <w:hyperlink r:id="rId18" w:tgtFrame="_blank" w:history="1">
        <w:r w:rsidR="00DA3DD2" w:rsidRPr="00DA3DD2">
          <w:rPr>
            <w:rStyle w:val="Hyperlink"/>
            <w:rFonts w:ascii="Arial" w:hAnsi="Arial" w:cs="Arial"/>
          </w:rPr>
          <w:t>10.1097/JHQ.0000000000000420</w:t>
        </w:r>
      </w:hyperlink>
    </w:p>
    <w:p w14:paraId="4F047641" w14:textId="7C2D596A" w:rsidR="00DC0841" w:rsidRDefault="00DC0841" w:rsidP="00DC0841">
      <w:pPr>
        <w:spacing w:line="360" w:lineRule="auto"/>
        <w:jc w:val="both"/>
        <w:rPr>
          <w:rFonts w:ascii="Arial" w:hAnsi="Arial" w:cs="Arial"/>
        </w:rPr>
      </w:pPr>
      <w:proofErr w:type="spellStart"/>
      <w:r w:rsidRPr="006903B2">
        <w:rPr>
          <w:rFonts w:ascii="Arial" w:hAnsi="Arial" w:cs="Arial"/>
        </w:rPr>
        <w:t>Chotsampancharoen</w:t>
      </w:r>
      <w:proofErr w:type="spellEnd"/>
      <w:r w:rsidRPr="006903B2">
        <w:rPr>
          <w:rFonts w:ascii="Arial" w:hAnsi="Arial" w:cs="Arial"/>
        </w:rPr>
        <w:t xml:space="preserve">, T., </w:t>
      </w:r>
      <w:proofErr w:type="spellStart"/>
      <w:r w:rsidRPr="006903B2">
        <w:rPr>
          <w:rFonts w:ascii="Arial" w:hAnsi="Arial" w:cs="Arial"/>
        </w:rPr>
        <w:t>Sripornsawan</w:t>
      </w:r>
      <w:proofErr w:type="spellEnd"/>
      <w:r w:rsidRPr="006903B2">
        <w:rPr>
          <w:rFonts w:ascii="Arial" w:hAnsi="Arial" w:cs="Arial"/>
        </w:rPr>
        <w:t xml:space="preserve">, P. and </w:t>
      </w:r>
      <w:proofErr w:type="spellStart"/>
      <w:r w:rsidRPr="006903B2">
        <w:rPr>
          <w:rFonts w:ascii="Arial" w:hAnsi="Arial" w:cs="Arial"/>
        </w:rPr>
        <w:t>Wongchanchailert</w:t>
      </w:r>
      <w:proofErr w:type="spellEnd"/>
      <w:r w:rsidRPr="006903B2">
        <w:rPr>
          <w:rFonts w:ascii="Arial" w:hAnsi="Arial" w:cs="Arial"/>
        </w:rPr>
        <w:t>, M., (2016). Two fatal cases of accidental intrathecal vincristine administration: learning from death events. </w:t>
      </w:r>
      <w:r w:rsidRPr="006903B2">
        <w:rPr>
          <w:rFonts w:ascii="Arial" w:hAnsi="Arial" w:cs="Arial"/>
          <w:i/>
          <w:iCs/>
        </w:rPr>
        <w:t>Chemotherapy</w:t>
      </w:r>
      <w:r w:rsidRPr="006903B2">
        <w:rPr>
          <w:rFonts w:ascii="Arial" w:hAnsi="Arial" w:cs="Arial"/>
        </w:rPr>
        <w:t>, </w:t>
      </w:r>
      <w:r w:rsidRPr="006903B2">
        <w:rPr>
          <w:rFonts w:ascii="Arial" w:hAnsi="Arial" w:cs="Arial"/>
          <w:i/>
          <w:iCs/>
        </w:rPr>
        <w:t>61</w:t>
      </w:r>
      <w:r w:rsidRPr="006903B2">
        <w:rPr>
          <w:rFonts w:ascii="Arial" w:hAnsi="Arial" w:cs="Arial"/>
        </w:rPr>
        <w:t>(2), pp.108-110.</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19" w:history="1">
        <w:r w:rsidR="00D651FB" w:rsidRPr="00A4735F">
          <w:rPr>
            <w:rStyle w:val="Hyperlink"/>
            <w:rFonts w:ascii="Arial" w:hAnsi="Arial" w:cs="Arial"/>
          </w:rPr>
          <w:t>https://doi.org/10.1159/000441380</w:t>
        </w:r>
      </w:hyperlink>
    </w:p>
    <w:p w14:paraId="405E7054" w14:textId="512DD1F9" w:rsidR="00D651FB" w:rsidRPr="00D651FB" w:rsidRDefault="00EA7CAC" w:rsidP="00D651FB">
      <w:pPr>
        <w:spacing w:line="360" w:lineRule="auto"/>
        <w:jc w:val="both"/>
        <w:rPr>
          <w:lang w:val="en-US"/>
        </w:rPr>
      </w:pPr>
      <w:r w:rsidRPr="00EA7CAC">
        <w:rPr>
          <w:rFonts w:ascii="Arial" w:hAnsi="Arial" w:cs="Arial"/>
        </w:rPr>
        <w:lastRenderedPageBreak/>
        <w:t xml:space="preserve">de Lima Gomes, A.T., da Fonseca Silva, M., Medeiros de Morais, S.H., Tavares </w:t>
      </w:r>
      <w:proofErr w:type="spellStart"/>
      <w:r w:rsidRPr="00EA7CAC">
        <w:rPr>
          <w:rFonts w:ascii="Arial" w:hAnsi="Arial" w:cs="Arial"/>
        </w:rPr>
        <w:t>Chiavone</w:t>
      </w:r>
      <w:proofErr w:type="spellEnd"/>
      <w:r w:rsidRPr="00EA7CAC">
        <w:rPr>
          <w:rFonts w:ascii="Arial" w:hAnsi="Arial" w:cs="Arial"/>
        </w:rPr>
        <w:t xml:space="preserve">, F.B., de Medeiros, S.M. and Pereira Santos, V.E., </w:t>
      </w:r>
      <w:r w:rsidR="00786EC0">
        <w:rPr>
          <w:rFonts w:ascii="Arial" w:hAnsi="Arial" w:cs="Arial"/>
        </w:rPr>
        <w:t>(</w:t>
      </w:r>
      <w:r w:rsidRPr="00EA7CAC">
        <w:rPr>
          <w:rFonts w:ascii="Arial" w:hAnsi="Arial" w:cs="Arial"/>
        </w:rPr>
        <w:t>2016</w:t>
      </w:r>
      <w:r w:rsidR="00786EC0">
        <w:rPr>
          <w:rFonts w:ascii="Arial" w:hAnsi="Arial" w:cs="Arial"/>
        </w:rPr>
        <w:t>)</w:t>
      </w:r>
      <w:r w:rsidRPr="00EA7CAC">
        <w:rPr>
          <w:rFonts w:ascii="Arial" w:hAnsi="Arial" w:cs="Arial"/>
        </w:rPr>
        <w:t>. HUMAN ERROR AND SAFETY CULTURE IN APPROACH OF THE" SWISS CHEESE'S" THEORY: A REFLECTIVE ANALYSIS. </w:t>
      </w:r>
      <w:r w:rsidRPr="00EA7CAC">
        <w:rPr>
          <w:rFonts w:ascii="Arial" w:hAnsi="Arial" w:cs="Arial"/>
          <w:i/>
          <w:iCs/>
        </w:rPr>
        <w:t>Journal of Nursing UFPE/Revista de Enfermagem UFPE</w:t>
      </w:r>
      <w:r w:rsidRPr="00EA7CAC">
        <w:rPr>
          <w:rFonts w:ascii="Arial" w:hAnsi="Arial" w:cs="Arial"/>
        </w:rPr>
        <w:t>, </w:t>
      </w:r>
      <w:r w:rsidRPr="00EA7CAC">
        <w:rPr>
          <w:rFonts w:ascii="Arial" w:hAnsi="Arial" w:cs="Arial"/>
          <w:i/>
          <w:iCs/>
        </w:rPr>
        <w:t>10</w:t>
      </w:r>
      <w:r w:rsidRPr="00EA7CAC">
        <w:rPr>
          <w:rFonts w:ascii="Arial" w:hAnsi="Arial" w:cs="Arial"/>
        </w:rPr>
        <w:t xml:space="preserve">. </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20" w:history="1">
        <w:r w:rsidR="00D651FB" w:rsidRPr="00D651FB">
          <w:rPr>
            <w:rStyle w:val="Hyperlink"/>
            <w:lang w:val="en-US"/>
          </w:rPr>
          <w:t>10.5205/reuol.9681-89824-1-ED.1004sup201616</w:t>
        </w:r>
      </w:hyperlink>
    </w:p>
    <w:p w14:paraId="2DE2525A" w14:textId="67FFEADB" w:rsidR="00C33F8F" w:rsidRDefault="00C33F8F" w:rsidP="00910FED">
      <w:pPr>
        <w:spacing w:line="360" w:lineRule="auto"/>
        <w:jc w:val="both"/>
        <w:rPr>
          <w:rFonts w:ascii="Arial" w:hAnsi="Arial" w:cs="Arial"/>
        </w:rPr>
      </w:pPr>
      <w:r w:rsidRPr="006903B2">
        <w:rPr>
          <w:rFonts w:ascii="Arial" w:hAnsi="Arial" w:cs="Arial"/>
        </w:rPr>
        <w:t xml:space="preserve">Devakumar, I. and </w:t>
      </w:r>
      <w:proofErr w:type="spellStart"/>
      <w:r w:rsidRPr="006903B2">
        <w:rPr>
          <w:rFonts w:ascii="Arial" w:hAnsi="Arial" w:cs="Arial"/>
        </w:rPr>
        <w:t>Adhinarayanan</w:t>
      </w:r>
      <w:proofErr w:type="spellEnd"/>
      <w:r w:rsidRPr="006903B2">
        <w:rPr>
          <w:rFonts w:ascii="Arial" w:hAnsi="Arial" w:cs="Arial"/>
        </w:rPr>
        <w:t xml:space="preserve">, P., </w:t>
      </w:r>
      <w:r w:rsidR="0046774B" w:rsidRPr="006903B2">
        <w:rPr>
          <w:rFonts w:ascii="Arial" w:hAnsi="Arial" w:cs="Arial"/>
        </w:rPr>
        <w:t>(</w:t>
      </w:r>
      <w:r w:rsidRPr="006903B2">
        <w:rPr>
          <w:rFonts w:ascii="Arial" w:hAnsi="Arial" w:cs="Arial"/>
        </w:rPr>
        <w:t>2025</w:t>
      </w:r>
      <w:r w:rsidR="0046774B" w:rsidRPr="006903B2">
        <w:rPr>
          <w:rFonts w:ascii="Arial" w:hAnsi="Arial" w:cs="Arial"/>
        </w:rPr>
        <w:t>)</w:t>
      </w:r>
      <w:r w:rsidRPr="006903B2">
        <w:rPr>
          <w:rFonts w:ascii="Arial" w:hAnsi="Arial" w:cs="Arial"/>
        </w:rPr>
        <w:t xml:space="preserve">. Assessing the Impact and Root Causes of Medical Errors in a </w:t>
      </w:r>
      <w:proofErr w:type="spellStart"/>
      <w:r w:rsidRPr="006903B2">
        <w:rPr>
          <w:rFonts w:ascii="Arial" w:hAnsi="Arial" w:cs="Arial"/>
        </w:rPr>
        <w:t>Multispeciality</w:t>
      </w:r>
      <w:proofErr w:type="spellEnd"/>
      <w:r w:rsidRPr="006903B2">
        <w:rPr>
          <w:rFonts w:ascii="Arial" w:hAnsi="Arial" w:cs="Arial"/>
        </w:rPr>
        <w:t xml:space="preserve"> Hospital.</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21" w:history="1">
        <w:r w:rsidR="00D651FB" w:rsidRPr="00A4735F">
          <w:rPr>
            <w:rStyle w:val="Hyperlink"/>
            <w:rFonts w:ascii="Arial" w:hAnsi="Arial" w:cs="Arial"/>
          </w:rPr>
          <w:t>https://doi.org/10.21203/rs.3.rs-6554912/v1</w:t>
        </w:r>
      </w:hyperlink>
    </w:p>
    <w:p w14:paraId="31A355BB" w14:textId="49C998F7" w:rsidR="00FA4162" w:rsidRDefault="00FA4162" w:rsidP="00910FED">
      <w:pPr>
        <w:spacing w:line="360" w:lineRule="auto"/>
        <w:jc w:val="both"/>
        <w:rPr>
          <w:rFonts w:ascii="Arial" w:hAnsi="Arial" w:cs="Arial"/>
        </w:rPr>
      </w:pPr>
      <w:r w:rsidRPr="006903B2">
        <w:rPr>
          <w:rFonts w:ascii="Arial" w:hAnsi="Arial" w:cs="Arial"/>
        </w:rPr>
        <w:t xml:space="preserve">Elliott, R.A., Camacho, E., Campbell, F., Jankovic, D., Martyn-St James, M., </w:t>
      </w:r>
      <w:proofErr w:type="spellStart"/>
      <w:r w:rsidRPr="006903B2">
        <w:rPr>
          <w:rFonts w:ascii="Arial" w:hAnsi="Arial" w:cs="Arial"/>
        </w:rPr>
        <w:t>Kaltenthaler</w:t>
      </w:r>
      <w:proofErr w:type="spellEnd"/>
      <w:r w:rsidRPr="006903B2">
        <w:rPr>
          <w:rFonts w:ascii="Arial" w:hAnsi="Arial" w:cs="Arial"/>
        </w:rPr>
        <w:t xml:space="preserve">, E., Wong, R., </w:t>
      </w:r>
      <w:proofErr w:type="spellStart"/>
      <w:r w:rsidRPr="006903B2">
        <w:rPr>
          <w:rFonts w:ascii="Arial" w:hAnsi="Arial" w:cs="Arial"/>
        </w:rPr>
        <w:t>Sculpher</w:t>
      </w:r>
      <w:proofErr w:type="spellEnd"/>
      <w:r w:rsidRPr="006903B2">
        <w:rPr>
          <w:rFonts w:ascii="Arial" w:hAnsi="Arial" w:cs="Arial"/>
        </w:rPr>
        <w:t xml:space="preserve">, M. and Faria, R., </w:t>
      </w:r>
      <w:r w:rsidR="0046774B" w:rsidRPr="006903B2">
        <w:rPr>
          <w:rFonts w:ascii="Arial" w:hAnsi="Arial" w:cs="Arial"/>
        </w:rPr>
        <w:t>(</w:t>
      </w:r>
      <w:r w:rsidRPr="006903B2">
        <w:rPr>
          <w:rFonts w:ascii="Arial" w:hAnsi="Arial" w:cs="Arial"/>
        </w:rPr>
        <w:t>2024</w:t>
      </w:r>
      <w:r w:rsidR="0046774B" w:rsidRPr="006903B2">
        <w:rPr>
          <w:rFonts w:ascii="Arial" w:hAnsi="Arial" w:cs="Arial"/>
        </w:rPr>
        <w:t>)</w:t>
      </w:r>
      <w:r w:rsidRPr="006903B2">
        <w:rPr>
          <w:rFonts w:ascii="Arial" w:hAnsi="Arial" w:cs="Arial"/>
        </w:rPr>
        <w:t>. Prevalence and economic burden of medication errors in the NHS in England: rapid evidence synthesis and economic analysis of the prevalence and burden of medication error in the UK.</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22" w:history="1">
        <w:r w:rsidR="00D651FB" w:rsidRPr="00A4735F">
          <w:rPr>
            <w:rStyle w:val="Hyperlink"/>
            <w:rFonts w:ascii="Arial" w:hAnsi="Arial" w:cs="Arial"/>
          </w:rPr>
          <w:t>https://doi.org/10.15131/shef.data.25218950</w:t>
        </w:r>
      </w:hyperlink>
    </w:p>
    <w:p w14:paraId="0CD9E54A" w14:textId="7A3ADD63" w:rsidR="00126D14" w:rsidRDefault="00126D14" w:rsidP="00126D14">
      <w:pPr>
        <w:spacing w:line="360" w:lineRule="auto"/>
        <w:jc w:val="both"/>
        <w:rPr>
          <w:rFonts w:ascii="Arial" w:hAnsi="Arial" w:cs="Arial"/>
        </w:rPr>
      </w:pPr>
      <w:r w:rsidRPr="006903B2">
        <w:rPr>
          <w:rFonts w:ascii="Arial" w:hAnsi="Arial" w:cs="Arial"/>
        </w:rPr>
        <w:t>Gilbar, P., (2012). Inadvertent intrathecal administration of vincristine: Has anything changed?. </w:t>
      </w:r>
      <w:r w:rsidRPr="006903B2">
        <w:rPr>
          <w:rFonts w:ascii="Arial" w:hAnsi="Arial" w:cs="Arial"/>
          <w:i/>
          <w:iCs/>
        </w:rPr>
        <w:t>Journal of Oncology Pharmacy Practice</w:t>
      </w:r>
      <w:r w:rsidRPr="006903B2">
        <w:rPr>
          <w:rFonts w:ascii="Arial" w:hAnsi="Arial" w:cs="Arial"/>
        </w:rPr>
        <w:t>, </w:t>
      </w:r>
      <w:r w:rsidRPr="006903B2">
        <w:rPr>
          <w:rFonts w:ascii="Arial" w:hAnsi="Arial" w:cs="Arial"/>
          <w:i/>
          <w:iCs/>
        </w:rPr>
        <w:t>18</w:t>
      </w:r>
      <w:r w:rsidRPr="006903B2">
        <w:rPr>
          <w:rFonts w:ascii="Arial" w:hAnsi="Arial" w:cs="Arial"/>
        </w:rPr>
        <w:t>(1), pp.155-157.</w:t>
      </w:r>
      <w:r w:rsidR="0049682C">
        <w:rPr>
          <w:rFonts w:ascii="Arial" w:hAnsi="Arial" w:cs="Arial"/>
        </w:rPr>
        <w:t xml:space="preserve"> </w:t>
      </w:r>
      <w:r w:rsidR="0049682C" w:rsidRPr="00DA3DD2">
        <w:rPr>
          <w:rFonts w:ascii="Arial" w:hAnsi="Arial" w:cs="Arial"/>
        </w:rPr>
        <w:t>DOI:</w:t>
      </w:r>
      <w:r w:rsidR="0049682C">
        <w:rPr>
          <w:rFonts w:ascii="Arial" w:hAnsi="Arial" w:cs="Arial"/>
        </w:rPr>
        <w:t xml:space="preserve"> </w:t>
      </w:r>
      <w:hyperlink r:id="rId23" w:history="1">
        <w:r w:rsidR="0049682C" w:rsidRPr="00A4735F">
          <w:rPr>
            <w:rStyle w:val="Hyperlink"/>
            <w:rFonts w:ascii="Arial" w:hAnsi="Arial" w:cs="Arial"/>
          </w:rPr>
          <w:t>https://doi.org/10.1177/1078155210396396</w:t>
        </w:r>
      </w:hyperlink>
    </w:p>
    <w:p w14:paraId="61A44CDF" w14:textId="59CC311F" w:rsidR="0049682C" w:rsidRPr="006903B2" w:rsidRDefault="006375BA" w:rsidP="00910FED">
      <w:pPr>
        <w:spacing w:line="360" w:lineRule="auto"/>
        <w:jc w:val="both"/>
        <w:rPr>
          <w:rFonts w:ascii="Arial" w:hAnsi="Arial" w:cs="Arial"/>
        </w:rPr>
      </w:pPr>
      <w:proofErr w:type="spellStart"/>
      <w:r w:rsidRPr="006375BA">
        <w:rPr>
          <w:rFonts w:ascii="Arial" w:hAnsi="Arial" w:cs="Arial"/>
        </w:rPr>
        <w:t>Guntschnig</w:t>
      </w:r>
      <w:proofErr w:type="spellEnd"/>
      <w:r w:rsidRPr="006375BA">
        <w:rPr>
          <w:rFonts w:ascii="Arial" w:hAnsi="Arial" w:cs="Arial"/>
        </w:rPr>
        <w:t xml:space="preserve">, S., Barbosa, R., Jenzer, H., Greening, M., Hayde, J., Heery, H., Serrano, M.C.I., </w:t>
      </w:r>
      <w:proofErr w:type="spellStart"/>
      <w:r w:rsidRPr="006375BA">
        <w:rPr>
          <w:rFonts w:ascii="Arial" w:hAnsi="Arial" w:cs="Arial"/>
        </w:rPr>
        <w:t>Lajtmanová</w:t>
      </w:r>
      <w:proofErr w:type="spellEnd"/>
      <w:r w:rsidRPr="006375BA">
        <w:rPr>
          <w:rFonts w:ascii="Arial" w:hAnsi="Arial" w:cs="Arial"/>
        </w:rPr>
        <w:t xml:space="preserve">, K., Rossin, E., </w:t>
      </w:r>
      <w:proofErr w:type="spellStart"/>
      <w:r w:rsidRPr="006375BA">
        <w:rPr>
          <w:rFonts w:ascii="Arial" w:hAnsi="Arial" w:cs="Arial"/>
        </w:rPr>
        <w:t>Tentova-Peceva</w:t>
      </w:r>
      <w:proofErr w:type="spellEnd"/>
      <w:r w:rsidRPr="006375BA">
        <w:rPr>
          <w:rFonts w:ascii="Arial" w:hAnsi="Arial" w:cs="Arial"/>
        </w:rPr>
        <w:t xml:space="preserve">, S. and Kohl, S., </w:t>
      </w:r>
      <w:r w:rsidR="00786EC0">
        <w:rPr>
          <w:rFonts w:ascii="Arial" w:hAnsi="Arial" w:cs="Arial"/>
        </w:rPr>
        <w:t>(</w:t>
      </w:r>
      <w:r w:rsidRPr="006375BA">
        <w:rPr>
          <w:rFonts w:ascii="Arial" w:hAnsi="Arial" w:cs="Arial"/>
        </w:rPr>
        <w:t>2025</w:t>
      </w:r>
      <w:r w:rsidR="00786EC0">
        <w:rPr>
          <w:rFonts w:ascii="Arial" w:hAnsi="Arial" w:cs="Arial"/>
        </w:rPr>
        <w:t>)</w:t>
      </w:r>
      <w:r w:rsidRPr="006375BA">
        <w:rPr>
          <w:rFonts w:ascii="Arial" w:hAnsi="Arial" w:cs="Arial"/>
        </w:rPr>
        <w:t>. Tackling medication errors: how a systems approach improves patient safety. </w:t>
      </w:r>
      <w:r w:rsidRPr="006375BA">
        <w:rPr>
          <w:rFonts w:ascii="Arial" w:hAnsi="Arial" w:cs="Arial"/>
          <w:i/>
          <w:iCs/>
        </w:rPr>
        <w:t>European Journal of Hospital Pharmacy</w:t>
      </w:r>
      <w:r w:rsidRPr="006375BA">
        <w:rPr>
          <w:rFonts w:ascii="Arial" w:hAnsi="Arial" w:cs="Arial"/>
        </w:rPr>
        <w:t>.</w:t>
      </w:r>
      <w:r w:rsidR="0049682C">
        <w:rPr>
          <w:rFonts w:ascii="Arial" w:hAnsi="Arial" w:cs="Arial"/>
        </w:rPr>
        <w:t xml:space="preserve"> </w:t>
      </w:r>
      <w:r w:rsidR="0049682C" w:rsidRPr="00DA3DD2">
        <w:rPr>
          <w:rFonts w:ascii="Arial" w:hAnsi="Arial" w:cs="Arial"/>
        </w:rPr>
        <w:t>DOI:</w:t>
      </w:r>
      <w:r w:rsidR="0049682C">
        <w:rPr>
          <w:rFonts w:ascii="Arial" w:hAnsi="Arial" w:cs="Arial"/>
        </w:rPr>
        <w:t xml:space="preserve"> </w:t>
      </w:r>
      <w:hyperlink r:id="rId24" w:history="1">
        <w:r w:rsidR="0049682C" w:rsidRPr="00A4735F">
          <w:rPr>
            <w:rStyle w:val="Hyperlink"/>
            <w:rFonts w:ascii="Arial" w:hAnsi="Arial" w:cs="Arial"/>
          </w:rPr>
          <w:t>https://doi.org/10.1136/ejhpharm-2025-004533</w:t>
        </w:r>
      </w:hyperlink>
    </w:p>
    <w:p w14:paraId="1D4624AF" w14:textId="69C4F162" w:rsidR="0000073B" w:rsidRDefault="0000073B" w:rsidP="00910FED">
      <w:pPr>
        <w:spacing w:line="360" w:lineRule="auto"/>
        <w:jc w:val="both"/>
        <w:rPr>
          <w:rFonts w:ascii="Arial" w:hAnsi="Arial" w:cs="Arial"/>
        </w:rPr>
      </w:pPr>
      <w:r w:rsidRPr="0000073B">
        <w:rPr>
          <w:rFonts w:ascii="Arial" w:hAnsi="Arial" w:cs="Arial"/>
        </w:rPr>
        <w:t xml:space="preserve">Higham, H. and Baxendale, B., </w:t>
      </w:r>
      <w:r w:rsidR="00600CD1">
        <w:rPr>
          <w:rFonts w:ascii="Arial" w:hAnsi="Arial" w:cs="Arial"/>
        </w:rPr>
        <w:t>(</w:t>
      </w:r>
      <w:r w:rsidRPr="0000073B">
        <w:rPr>
          <w:rFonts w:ascii="Arial" w:hAnsi="Arial" w:cs="Arial"/>
        </w:rPr>
        <w:t>2017</w:t>
      </w:r>
      <w:r w:rsidR="00600CD1">
        <w:rPr>
          <w:rFonts w:ascii="Arial" w:hAnsi="Arial" w:cs="Arial"/>
        </w:rPr>
        <w:t>)</w:t>
      </w:r>
      <w:r w:rsidRPr="0000073B">
        <w:rPr>
          <w:rFonts w:ascii="Arial" w:hAnsi="Arial" w:cs="Arial"/>
        </w:rPr>
        <w:t>. To err is human: use of simulation to enhance training and patient safety in anaesthesia. </w:t>
      </w:r>
      <w:r w:rsidRPr="0000073B">
        <w:rPr>
          <w:rFonts w:ascii="Arial" w:hAnsi="Arial" w:cs="Arial"/>
          <w:i/>
          <w:iCs/>
        </w:rPr>
        <w:t>BJA: British Journal of Anaesthesia</w:t>
      </w:r>
      <w:r w:rsidRPr="0000073B">
        <w:rPr>
          <w:rFonts w:ascii="Arial" w:hAnsi="Arial" w:cs="Arial"/>
        </w:rPr>
        <w:t>, </w:t>
      </w:r>
      <w:r w:rsidRPr="0000073B">
        <w:rPr>
          <w:rFonts w:ascii="Arial" w:hAnsi="Arial" w:cs="Arial"/>
          <w:i/>
          <w:iCs/>
        </w:rPr>
        <w:t>119</w:t>
      </w:r>
      <w:r w:rsidRPr="0000073B">
        <w:rPr>
          <w:rFonts w:ascii="Arial" w:hAnsi="Arial" w:cs="Arial"/>
        </w:rPr>
        <w:t>(suppl_1), pp.i106-i114.</w:t>
      </w:r>
      <w:r w:rsidR="0049682C">
        <w:rPr>
          <w:rFonts w:ascii="Arial" w:hAnsi="Arial" w:cs="Arial"/>
        </w:rPr>
        <w:t xml:space="preserve"> </w:t>
      </w:r>
      <w:r w:rsidR="0049682C" w:rsidRPr="00DA3DD2">
        <w:rPr>
          <w:rFonts w:ascii="Arial" w:hAnsi="Arial" w:cs="Arial"/>
        </w:rPr>
        <w:t>DOI:</w:t>
      </w:r>
      <w:r w:rsidR="0049682C">
        <w:rPr>
          <w:rFonts w:ascii="Arial" w:hAnsi="Arial" w:cs="Arial"/>
        </w:rPr>
        <w:t xml:space="preserve"> </w:t>
      </w:r>
      <w:hyperlink r:id="rId25" w:history="1">
        <w:r w:rsidR="0049682C" w:rsidRPr="00A4735F">
          <w:rPr>
            <w:rStyle w:val="Hyperlink"/>
            <w:rFonts w:ascii="Arial" w:hAnsi="Arial" w:cs="Arial"/>
          </w:rPr>
          <w:t>https://doi.org/10.1093/bja/aex302</w:t>
        </w:r>
      </w:hyperlink>
    </w:p>
    <w:p w14:paraId="4B342658" w14:textId="0FBC15A4" w:rsidR="00126D14" w:rsidRDefault="00126D14" w:rsidP="00126D14">
      <w:pPr>
        <w:spacing w:line="360" w:lineRule="auto"/>
        <w:jc w:val="both"/>
        <w:rPr>
          <w:rFonts w:ascii="Arial" w:hAnsi="Arial" w:cs="Arial"/>
        </w:rPr>
      </w:pPr>
      <w:r w:rsidRPr="006903B2">
        <w:rPr>
          <w:rFonts w:ascii="Arial" w:hAnsi="Arial" w:cs="Arial"/>
        </w:rPr>
        <w:t>Kumar, D.A., (2023). ASSESSMENT OF MAJOR SOURCES OF MEDICATION ERROR WITH POSSIBLE SOLUTIONS FOR IMPROVING QUALITY WHILE REDUCING ERROR: A QUASI-EXPERIMENTAL STUDY.</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26" w:history="1">
        <w:r w:rsidR="00E82F79" w:rsidRPr="00A4735F">
          <w:rPr>
            <w:rStyle w:val="Hyperlink"/>
            <w:rFonts w:ascii="Arial" w:hAnsi="Arial" w:cs="Arial"/>
          </w:rPr>
          <w:t>https://drs.iihmrdelhi.edu.in:8443/jspui/bitstream/123456789/1701/1/DisseratationAvinash019.pdf</w:t>
        </w:r>
      </w:hyperlink>
    </w:p>
    <w:p w14:paraId="04AD1E1F" w14:textId="38F8CC1C" w:rsidR="003412A9" w:rsidRDefault="003412A9" w:rsidP="00910FED">
      <w:pPr>
        <w:spacing w:line="360" w:lineRule="auto"/>
        <w:jc w:val="both"/>
        <w:rPr>
          <w:rFonts w:ascii="Arial" w:hAnsi="Arial" w:cs="Arial"/>
        </w:rPr>
      </w:pPr>
      <w:r w:rsidRPr="006903B2">
        <w:rPr>
          <w:rFonts w:ascii="Arial" w:hAnsi="Arial" w:cs="Arial"/>
        </w:rPr>
        <w:t xml:space="preserve">Kurgat, E.K., Weru, I., Wata, D., Godman, B., Kurdi, A. and </w:t>
      </w:r>
      <w:proofErr w:type="spellStart"/>
      <w:r w:rsidRPr="006903B2">
        <w:rPr>
          <w:rFonts w:ascii="Arial" w:hAnsi="Arial" w:cs="Arial"/>
        </w:rPr>
        <w:t>Guantai</w:t>
      </w:r>
      <w:proofErr w:type="spellEnd"/>
      <w:r w:rsidRPr="006903B2">
        <w:rPr>
          <w:rFonts w:ascii="Arial" w:hAnsi="Arial" w:cs="Arial"/>
        </w:rPr>
        <w:t xml:space="preserve">, A.N., </w:t>
      </w:r>
      <w:r w:rsidR="0046774B" w:rsidRPr="006903B2">
        <w:rPr>
          <w:rFonts w:ascii="Arial" w:hAnsi="Arial" w:cs="Arial"/>
        </w:rPr>
        <w:t>(</w:t>
      </w:r>
      <w:r w:rsidRPr="006903B2">
        <w:rPr>
          <w:rFonts w:ascii="Arial" w:hAnsi="Arial" w:cs="Arial"/>
        </w:rPr>
        <w:t>2020</w:t>
      </w:r>
      <w:r w:rsidR="0046774B" w:rsidRPr="006903B2">
        <w:rPr>
          <w:rFonts w:ascii="Arial" w:hAnsi="Arial" w:cs="Arial"/>
        </w:rPr>
        <w:t>)</w:t>
      </w:r>
      <w:r w:rsidRPr="006903B2">
        <w:rPr>
          <w:rFonts w:ascii="Arial" w:hAnsi="Arial" w:cs="Arial"/>
        </w:rPr>
        <w:t xml:space="preserve">. Proactive risk assessment of vincristine use process in a teaching and referral hospital </w:t>
      </w:r>
      <w:r w:rsidRPr="006903B2">
        <w:rPr>
          <w:rFonts w:ascii="Arial" w:hAnsi="Arial" w:cs="Arial"/>
        </w:rPr>
        <w:lastRenderedPageBreak/>
        <w:t>in Kenya and the implications. </w:t>
      </w:r>
      <w:r w:rsidRPr="006903B2">
        <w:rPr>
          <w:rFonts w:ascii="Arial" w:hAnsi="Arial" w:cs="Arial"/>
          <w:i/>
          <w:iCs/>
        </w:rPr>
        <w:t>Journal of oncology pharmacy practice</w:t>
      </w:r>
      <w:r w:rsidRPr="006903B2">
        <w:rPr>
          <w:rFonts w:ascii="Arial" w:hAnsi="Arial" w:cs="Arial"/>
        </w:rPr>
        <w:t>, </w:t>
      </w:r>
      <w:r w:rsidRPr="006903B2">
        <w:rPr>
          <w:rFonts w:ascii="Arial" w:hAnsi="Arial" w:cs="Arial"/>
          <w:i/>
          <w:iCs/>
        </w:rPr>
        <w:t>26</w:t>
      </w:r>
      <w:r w:rsidRPr="006903B2">
        <w:rPr>
          <w:rFonts w:ascii="Arial" w:hAnsi="Arial" w:cs="Arial"/>
        </w:rPr>
        <w:t>(3), pp.666-679.</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27" w:history="1">
        <w:r w:rsidR="00E82F79" w:rsidRPr="00A4735F">
          <w:rPr>
            <w:rStyle w:val="Hyperlink"/>
            <w:rFonts w:ascii="Arial" w:hAnsi="Arial" w:cs="Arial"/>
          </w:rPr>
          <w:t>https://doi.org/10.1177/1078155219869439</w:t>
        </w:r>
      </w:hyperlink>
    </w:p>
    <w:p w14:paraId="30CA527B" w14:textId="77777777" w:rsidR="007E0729" w:rsidRDefault="007E0729" w:rsidP="007E0729">
      <w:pPr>
        <w:spacing w:line="360" w:lineRule="auto"/>
        <w:jc w:val="both"/>
        <w:rPr>
          <w:rFonts w:ascii="Arial" w:hAnsi="Arial" w:cs="Arial"/>
        </w:rPr>
      </w:pPr>
      <w:proofErr w:type="spellStart"/>
      <w:r w:rsidRPr="00152F2B">
        <w:rPr>
          <w:rFonts w:ascii="Arial" w:hAnsi="Arial" w:cs="Arial"/>
        </w:rPr>
        <w:t>Mahomedradja</w:t>
      </w:r>
      <w:proofErr w:type="spellEnd"/>
      <w:r w:rsidRPr="00152F2B">
        <w:rPr>
          <w:rFonts w:ascii="Arial" w:hAnsi="Arial" w:cs="Arial"/>
        </w:rPr>
        <w:t>, R.F., Wang, S., Catherina Eve Sigaloff, K., Tichelaar, J. and Adriaan van Agtmael, M., 2025. Hospital-wide interventions for reducing or preventing in-hospital prescribing errors: a scoping review. </w:t>
      </w:r>
      <w:r w:rsidRPr="00152F2B">
        <w:rPr>
          <w:rFonts w:ascii="Arial" w:hAnsi="Arial" w:cs="Arial"/>
          <w:i/>
          <w:iCs/>
        </w:rPr>
        <w:t>Expert Opinion on Drug Safety</w:t>
      </w:r>
      <w:r w:rsidRPr="00152F2B">
        <w:rPr>
          <w:rFonts w:ascii="Arial" w:hAnsi="Arial" w:cs="Arial"/>
        </w:rPr>
        <w:t>, </w:t>
      </w:r>
      <w:r w:rsidRPr="00152F2B">
        <w:rPr>
          <w:rFonts w:ascii="Arial" w:hAnsi="Arial" w:cs="Arial"/>
          <w:i/>
          <w:iCs/>
        </w:rPr>
        <w:t>24</w:t>
      </w:r>
      <w:r w:rsidRPr="00152F2B">
        <w:rPr>
          <w:rFonts w:ascii="Arial" w:hAnsi="Arial" w:cs="Arial"/>
        </w:rPr>
        <w:t>(5), pp.529-546.</w:t>
      </w:r>
      <w:r w:rsidRPr="00DA3DD2">
        <w:rPr>
          <w:rFonts w:ascii="Arial" w:hAnsi="Arial" w:cs="Arial"/>
        </w:rPr>
        <w:t>DOI:</w:t>
      </w:r>
      <w:r>
        <w:rPr>
          <w:rFonts w:ascii="Arial" w:hAnsi="Arial" w:cs="Arial"/>
        </w:rPr>
        <w:t xml:space="preserve"> </w:t>
      </w:r>
      <w:hyperlink r:id="rId28" w:history="1">
        <w:r w:rsidRPr="00A4735F">
          <w:rPr>
            <w:rStyle w:val="Hyperlink"/>
            <w:rFonts w:ascii="Arial" w:hAnsi="Arial" w:cs="Arial"/>
          </w:rPr>
          <w:t>https://doi.org/10.1080/14740338.2025.2467831</w:t>
        </w:r>
      </w:hyperlink>
    </w:p>
    <w:p w14:paraId="2CA6B6B3" w14:textId="1F479C3D" w:rsidR="00ED6FF7" w:rsidRDefault="00ED6FF7" w:rsidP="00910FED">
      <w:pPr>
        <w:spacing w:line="360" w:lineRule="auto"/>
        <w:jc w:val="both"/>
        <w:rPr>
          <w:rFonts w:ascii="Arial" w:hAnsi="Arial" w:cs="Arial"/>
        </w:rPr>
      </w:pPr>
      <w:r w:rsidRPr="006903B2">
        <w:rPr>
          <w:rFonts w:ascii="Arial" w:hAnsi="Arial" w:cs="Arial"/>
        </w:rPr>
        <w:t xml:space="preserve">McCullough, K., Andrew, L., </w:t>
      </w:r>
      <w:proofErr w:type="spellStart"/>
      <w:r w:rsidRPr="006903B2">
        <w:rPr>
          <w:rFonts w:ascii="Arial" w:hAnsi="Arial" w:cs="Arial"/>
        </w:rPr>
        <w:t>Genoni</w:t>
      </w:r>
      <w:proofErr w:type="spellEnd"/>
      <w:r w:rsidRPr="006903B2">
        <w:rPr>
          <w:rFonts w:ascii="Arial" w:hAnsi="Arial" w:cs="Arial"/>
        </w:rPr>
        <w:t xml:space="preserve">, A., Dunham, M., Whitehead, L. and </w:t>
      </w:r>
      <w:proofErr w:type="spellStart"/>
      <w:r w:rsidRPr="006903B2">
        <w:rPr>
          <w:rFonts w:ascii="Arial" w:hAnsi="Arial" w:cs="Arial"/>
        </w:rPr>
        <w:t>Porock</w:t>
      </w:r>
      <w:proofErr w:type="spellEnd"/>
      <w:r w:rsidRPr="006903B2">
        <w:rPr>
          <w:rFonts w:ascii="Arial" w:hAnsi="Arial" w:cs="Arial"/>
        </w:rPr>
        <w:t xml:space="preserve">, D., </w:t>
      </w:r>
      <w:r w:rsidR="008315B1" w:rsidRPr="006903B2">
        <w:rPr>
          <w:rFonts w:ascii="Arial" w:hAnsi="Arial" w:cs="Arial"/>
        </w:rPr>
        <w:t>(</w:t>
      </w:r>
      <w:r w:rsidRPr="006903B2">
        <w:rPr>
          <w:rFonts w:ascii="Arial" w:hAnsi="Arial" w:cs="Arial"/>
        </w:rPr>
        <w:t>2023</w:t>
      </w:r>
      <w:r w:rsidR="008315B1" w:rsidRPr="006903B2">
        <w:rPr>
          <w:rFonts w:ascii="Arial" w:hAnsi="Arial" w:cs="Arial"/>
        </w:rPr>
        <w:t>)</w:t>
      </w:r>
      <w:r w:rsidRPr="006903B2">
        <w:rPr>
          <w:rFonts w:ascii="Arial" w:hAnsi="Arial" w:cs="Arial"/>
        </w:rPr>
        <w:t>. An examination of primary health care nursing service evaluation using the Donabedian model: A systematic review. </w:t>
      </w:r>
      <w:r w:rsidRPr="006903B2">
        <w:rPr>
          <w:rFonts w:ascii="Arial" w:hAnsi="Arial" w:cs="Arial"/>
          <w:i/>
          <w:iCs/>
        </w:rPr>
        <w:t>Research in nursing &amp; health</w:t>
      </w:r>
      <w:r w:rsidRPr="006903B2">
        <w:rPr>
          <w:rFonts w:ascii="Arial" w:hAnsi="Arial" w:cs="Arial"/>
        </w:rPr>
        <w:t>, </w:t>
      </w:r>
      <w:r w:rsidRPr="006903B2">
        <w:rPr>
          <w:rFonts w:ascii="Arial" w:hAnsi="Arial" w:cs="Arial"/>
          <w:i/>
          <w:iCs/>
        </w:rPr>
        <w:t>46</w:t>
      </w:r>
      <w:r w:rsidRPr="006903B2">
        <w:rPr>
          <w:rFonts w:ascii="Arial" w:hAnsi="Arial" w:cs="Arial"/>
        </w:rPr>
        <w:t>(1), pp.159-176.</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29" w:history="1">
        <w:r w:rsidR="00E82F79" w:rsidRPr="00A4735F">
          <w:rPr>
            <w:rStyle w:val="Hyperlink"/>
            <w:rFonts w:ascii="Arial" w:hAnsi="Arial" w:cs="Arial"/>
          </w:rPr>
          <w:t>https://doi.org/10.1002/nur.22291</w:t>
        </w:r>
      </w:hyperlink>
    </w:p>
    <w:p w14:paraId="533B6BAF" w14:textId="588A1031" w:rsidR="00076CA7" w:rsidRDefault="00076CA7" w:rsidP="00910FED">
      <w:pPr>
        <w:spacing w:line="360" w:lineRule="auto"/>
        <w:jc w:val="both"/>
        <w:rPr>
          <w:rFonts w:ascii="Arial" w:hAnsi="Arial" w:cs="Arial"/>
        </w:rPr>
      </w:pPr>
      <w:r w:rsidRPr="006903B2">
        <w:rPr>
          <w:rFonts w:ascii="Arial" w:hAnsi="Arial" w:cs="Arial"/>
        </w:rPr>
        <w:t xml:space="preserve">McDermott, O., Antony, J., Sony, M., Rosa, A., Hickey, M. and Grant, T.A., </w:t>
      </w:r>
      <w:r w:rsidR="008315B1" w:rsidRPr="006903B2">
        <w:rPr>
          <w:rFonts w:ascii="Arial" w:hAnsi="Arial" w:cs="Arial"/>
        </w:rPr>
        <w:t>(</w:t>
      </w:r>
      <w:r w:rsidRPr="006903B2">
        <w:rPr>
          <w:rFonts w:ascii="Arial" w:hAnsi="Arial" w:cs="Arial"/>
        </w:rPr>
        <w:t>2023</w:t>
      </w:r>
      <w:r w:rsidR="008315B1" w:rsidRPr="006903B2">
        <w:rPr>
          <w:rFonts w:ascii="Arial" w:hAnsi="Arial" w:cs="Arial"/>
        </w:rPr>
        <w:t>)</w:t>
      </w:r>
      <w:r w:rsidRPr="006903B2">
        <w:rPr>
          <w:rFonts w:ascii="Arial" w:hAnsi="Arial" w:cs="Arial"/>
        </w:rPr>
        <w:t>. A study on Ishikawa’s original basic tools of quality control in healthcare. </w:t>
      </w:r>
      <w:r w:rsidRPr="006903B2">
        <w:rPr>
          <w:rFonts w:ascii="Arial" w:hAnsi="Arial" w:cs="Arial"/>
          <w:i/>
          <w:iCs/>
        </w:rPr>
        <w:t>The TQM Journal</w:t>
      </w:r>
      <w:r w:rsidRPr="006903B2">
        <w:rPr>
          <w:rFonts w:ascii="Arial" w:hAnsi="Arial" w:cs="Arial"/>
        </w:rPr>
        <w:t>, </w:t>
      </w:r>
      <w:r w:rsidRPr="006903B2">
        <w:rPr>
          <w:rFonts w:ascii="Arial" w:hAnsi="Arial" w:cs="Arial"/>
          <w:i/>
          <w:iCs/>
        </w:rPr>
        <w:t>35</w:t>
      </w:r>
      <w:r w:rsidRPr="006903B2">
        <w:rPr>
          <w:rFonts w:ascii="Arial" w:hAnsi="Arial" w:cs="Arial"/>
        </w:rPr>
        <w:t>(7), pp.1686-1705.</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0" w:history="1">
        <w:r w:rsidR="00E82F79" w:rsidRPr="00A4735F">
          <w:rPr>
            <w:rStyle w:val="Hyperlink"/>
            <w:rFonts w:ascii="Arial" w:hAnsi="Arial" w:cs="Arial"/>
          </w:rPr>
          <w:t>https://doi.org/10.1108/TQM-06-2022-0187</w:t>
        </w:r>
      </w:hyperlink>
    </w:p>
    <w:p w14:paraId="60DC3187" w14:textId="3678B55F" w:rsidR="00417FB3" w:rsidRDefault="00417FB3" w:rsidP="00910FED">
      <w:pPr>
        <w:spacing w:line="360" w:lineRule="auto"/>
        <w:jc w:val="both"/>
        <w:rPr>
          <w:rFonts w:ascii="Arial" w:hAnsi="Arial" w:cs="Arial"/>
        </w:rPr>
      </w:pPr>
      <w:r w:rsidRPr="00417FB3">
        <w:rPr>
          <w:rFonts w:ascii="Arial" w:hAnsi="Arial" w:cs="Arial"/>
        </w:rPr>
        <w:t xml:space="preserve">McNicholas, C., Lennox, L., Woodcock, T., Bell, D. and Reed, J.E., </w:t>
      </w:r>
      <w:r w:rsidR="00247EC2">
        <w:rPr>
          <w:rFonts w:ascii="Arial" w:hAnsi="Arial" w:cs="Arial"/>
        </w:rPr>
        <w:t>(</w:t>
      </w:r>
      <w:r w:rsidRPr="00417FB3">
        <w:rPr>
          <w:rFonts w:ascii="Arial" w:hAnsi="Arial" w:cs="Arial"/>
        </w:rPr>
        <w:t>2019</w:t>
      </w:r>
      <w:r w:rsidR="00247EC2">
        <w:rPr>
          <w:rFonts w:ascii="Arial" w:hAnsi="Arial" w:cs="Arial"/>
        </w:rPr>
        <w:t>)</w:t>
      </w:r>
      <w:r w:rsidRPr="00417FB3">
        <w:rPr>
          <w:rFonts w:ascii="Arial" w:hAnsi="Arial" w:cs="Arial"/>
        </w:rPr>
        <w:t>. Evolving quality improvement support strategies to improve Plan–Do–Study–Act cycle fidelity: a retrospective mixed-methods study. </w:t>
      </w:r>
      <w:r w:rsidRPr="00417FB3">
        <w:rPr>
          <w:rFonts w:ascii="Arial" w:hAnsi="Arial" w:cs="Arial"/>
          <w:i/>
          <w:iCs/>
        </w:rPr>
        <w:t>BMJ quality &amp; safety</w:t>
      </w:r>
      <w:r w:rsidRPr="00417FB3">
        <w:rPr>
          <w:rFonts w:ascii="Arial" w:hAnsi="Arial" w:cs="Arial"/>
        </w:rPr>
        <w:t>, </w:t>
      </w:r>
      <w:r w:rsidRPr="00417FB3">
        <w:rPr>
          <w:rFonts w:ascii="Arial" w:hAnsi="Arial" w:cs="Arial"/>
          <w:i/>
          <w:iCs/>
        </w:rPr>
        <w:t>28</w:t>
      </w:r>
      <w:r w:rsidRPr="00417FB3">
        <w:rPr>
          <w:rFonts w:ascii="Arial" w:hAnsi="Arial" w:cs="Arial"/>
        </w:rPr>
        <w:t>(5), pp.356-365.</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1" w:history="1">
        <w:r w:rsidR="00E82F79" w:rsidRPr="00A4735F">
          <w:rPr>
            <w:rStyle w:val="Hyperlink"/>
            <w:rFonts w:ascii="Arial" w:hAnsi="Arial" w:cs="Arial"/>
          </w:rPr>
          <w:t>https://doi.org/10.1136/bmjqs-2017-007605</w:t>
        </w:r>
      </w:hyperlink>
    </w:p>
    <w:p w14:paraId="431A6FF3" w14:textId="3C7DDBC4" w:rsidR="00AA1FCB" w:rsidRDefault="00AA1FCB" w:rsidP="00910FED">
      <w:pPr>
        <w:spacing w:line="360" w:lineRule="auto"/>
        <w:jc w:val="both"/>
        <w:rPr>
          <w:rFonts w:ascii="Arial" w:hAnsi="Arial" w:cs="Arial"/>
        </w:rPr>
      </w:pPr>
      <w:proofErr w:type="spellStart"/>
      <w:r w:rsidRPr="00AA1FCB">
        <w:rPr>
          <w:rFonts w:ascii="Arial" w:hAnsi="Arial" w:cs="Arial"/>
        </w:rPr>
        <w:t>Mortaro</w:t>
      </w:r>
      <w:proofErr w:type="spellEnd"/>
      <w:r w:rsidRPr="00AA1FCB">
        <w:rPr>
          <w:rFonts w:ascii="Arial" w:hAnsi="Arial" w:cs="Arial"/>
        </w:rPr>
        <w:t xml:space="preserve">, A., Pascu, D., Pancheri, S., Mazzi, M., </w:t>
      </w:r>
      <w:proofErr w:type="spellStart"/>
      <w:r w:rsidRPr="00AA1FCB">
        <w:rPr>
          <w:rFonts w:ascii="Arial" w:hAnsi="Arial" w:cs="Arial"/>
        </w:rPr>
        <w:t>Tardivo</w:t>
      </w:r>
      <w:proofErr w:type="spellEnd"/>
      <w:r w:rsidRPr="00AA1FCB">
        <w:rPr>
          <w:rFonts w:ascii="Arial" w:hAnsi="Arial" w:cs="Arial"/>
        </w:rPr>
        <w:t xml:space="preserve">, S., </w:t>
      </w:r>
      <w:proofErr w:type="spellStart"/>
      <w:r w:rsidRPr="00AA1FCB">
        <w:rPr>
          <w:rFonts w:ascii="Arial" w:hAnsi="Arial" w:cs="Arial"/>
        </w:rPr>
        <w:t>Bellamoli</w:t>
      </w:r>
      <w:proofErr w:type="spellEnd"/>
      <w:r w:rsidRPr="00AA1FCB">
        <w:rPr>
          <w:rFonts w:ascii="Arial" w:hAnsi="Arial" w:cs="Arial"/>
        </w:rPr>
        <w:t xml:space="preserve">, C., Ferrarese, F., Poli, A., Romano, G. and Moretti, F., </w:t>
      </w:r>
      <w:r w:rsidR="00247EC2">
        <w:rPr>
          <w:rFonts w:ascii="Arial" w:hAnsi="Arial" w:cs="Arial"/>
        </w:rPr>
        <w:t>(</w:t>
      </w:r>
      <w:r w:rsidRPr="00AA1FCB">
        <w:rPr>
          <w:rFonts w:ascii="Arial" w:hAnsi="Arial" w:cs="Arial"/>
        </w:rPr>
        <w:t>2019</w:t>
      </w:r>
      <w:r w:rsidR="00247EC2">
        <w:rPr>
          <w:rFonts w:ascii="Arial" w:hAnsi="Arial" w:cs="Arial"/>
        </w:rPr>
        <w:t>)</w:t>
      </w:r>
      <w:r w:rsidRPr="00AA1FCB">
        <w:rPr>
          <w:rFonts w:ascii="Arial" w:hAnsi="Arial" w:cs="Arial"/>
        </w:rPr>
        <w:t>. Reducing interruptions during medication preparation and administration: an improvement project. </w:t>
      </w:r>
      <w:r w:rsidRPr="00AA1FCB">
        <w:rPr>
          <w:rFonts w:ascii="Arial" w:hAnsi="Arial" w:cs="Arial"/>
          <w:i/>
          <w:iCs/>
        </w:rPr>
        <w:t>International Journal of Health Care Quality Assurance</w:t>
      </w:r>
      <w:r w:rsidRPr="00AA1FCB">
        <w:rPr>
          <w:rFonts w:ascii="Arial" w:hAnsi="Arial" w:cs="Arial"/>
        </w:rPr>
        <w:t>, </w:t>
      </w:r>
      <w:r w:rsidRPr="00AA1FCB">
        <w:rPr>
          <w:rFonts w:ascii="Arial" w:hAnsi="Arial" w:cs="Arial"/>
          <w:i/>
          <w:iCs/>
        </w:rPr>
        <w:t>32</w:t>
      </w:r>
      <w:r w:rsidRPr="00AA1FCB">
        <w:rPr>
          <w:rFonts w:ascii="Arial" w:hAnsi="Arial" w:cs="Arial"/>
        </w:rPr>
        <w:t>(6), pp.941-957.</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2" w:history="1">
        <w:r w:rsidR="00E82F79" w:rsidRPr="00A4735F">
          <w:rPr>
            <w:rStyle w:val="Hyperlink"/>
            <w:rFonts w:ascii="Arial" w:hAnsi="Arial" w:cs="Arial"/>
          </w:rPr>
          <w:t>https://doi.org/10.1108/IJHCQA-12-2017-0238</w:t>
        </w:r>
      </w:hyperlink>
    </w:p>
    <w:p w14:paraId="79861E8E" w14:textId="77777777" w:rsidR="0049682C" w:rsidRDefault="0049682C" w:rsidP="0049682C">
      <w:pPr>
        <w:spacing w:line="360" w:lineRule="auto"/>
        <w:jc w:val="both"/>
        <w:rPr>
          <w:rFonts w:ascii="Arial" w:hAnsi="Arial" w:cs="Arial"/>
        </w:rPr>
      </w:pPr>
      <w:r w:rsidRPr="006903B2">
        <w:rPr>
          <w:rFonts w:ascii="Arial" w:hAnsi="Arial" w:cs="Arial"/>
        </w:rPr>
        <w:t xml:space="preserve">NHS Specialist Pharmacy Service (2025), </w:t>
      </w:r>
      <w:hyperlink r:id="rId33" w:history="1">
        <w:r w:rsidRPr="006903B2">
          <w:rPr>
            <w:rStyle w:val="Hyperlink"/>
            <w:rFonts w:ascii="Arial" w:hAnsi="Arial" w:cs="Arial"/>
          </w:rPr>
          <w:t>https://www.sps.nhs.uk/articles/preventing-harm-from-incorrect-vinca-alkaloid-administration/</w:t>
        </w:r>
      </w:hyperlink>
    </w:p>
    <w:p w14:paraId="294F22E3" w14:textId="14862B2F" w:rsidR="0049682C" w:rsidRDefault="0049682C" w:rsidP="0049682C">
      <w:pPr>
        <w:spacing w:line="360" w:lineRule="auto"/>
        <w:jc w:val="both"/>
        <w:rPr>
          <w:rFonts w:ascii="Arial" w:hAnsi="Arial" w:cs="Arial"/>
        </w:rPr>
      </w:pPr>
      <w:r w:rsidRPr="006903B2">
        <w:rPr>
          <w:rFonts w:ascii="Arial" w:hAnsi="Arial" w:cs="Arial"/>
        </w:rPr>
        <w:t>Nickel, A.J., (2025). Quality assurance and quality improvement research. </w:t>
      </w:r>
      <w:r w:rsidRPr="006903B2">
        <w:rPr>
          <w:rFonts w:ascii="Arial" w:hAnsi="Arial" w:cs="Arial"/>
          <w:i/>
          <w:iCs/>
        </w:rPr>
        <w:t>Respiratory Care</w:t>
      </w:r>
      <w:r w:rsidRPr="006903B2">
        <w:rPr>
          <w:rFonts w:ascii="Arial" w:hAnsi="Arial" w:cs="Arial"/>
        </w:rPr>
        <w:t>, </w:t>
      </w:r>
      <w:r w:rsidRPr="006903B2">
        <w:rPr>
          <w:rFonts w:ascii="Arial" w:hAnsi="Arial" w:cs="Arial"/>
          <w:i/>
          <w:iCs/>
        </w:rPr>
        <w:t>70</w:t>
      </w:r>
      <w:r w:rsidRPr="006903B2">
        <w:rPr>
          <w:rFonts w:ascii="Arial" w:hAnsi="Arial" w:cs="Arial"/>
        </w:rPr>
        <w:t>(2), pp.204-216.</w:t>
      </w:r>
      <w:r>
        <w:rPr>
          <w:rFonts w:ascii="Arial" w:hAnsi="Arial" w:cs="Arial"/>
        </w:rPr>
        <w:t xml:space="preserve"> </w:t>
      </w:r>
      <w:r w:rsidRPr="00DA3DD2">
        <w:rPr>
          <w:rFonts w:ascii="Arial" w:hAnsi="Arial" w:cs="Arial"/>
        </w:rPr>
        <w:t>DOI:</w:t>
      </w:r>
      <w:r w:rsidR="00E82F79">
        <w:rPr>
          <w:rFonts w:ascii="Arial" w:hAnsi="Arial" w:cs="Arial"/>
        </w:rPr>
        <w:t xml:space="preserve"> </w:t>
      </w:r>
      <w:hyperlink r:id="rId34" w:history="1">
        <w:r w:rsidR="00E82F79" w:rsidRPr="00A4735F">
          <w:rPr>
            <w:rStyle w:val="Hyperlink"/>
            <w:rFonts w:ascii="Arial" w:hAnsi="Arial" w:cs="Arial"/>
          </w:rPr>
          <w:t>https://doi.org/10.1089/respcare.12579</w:t>
        </w:r>
      </w:hyperlink>
    </w:p>
    <w:p w14:paraId="5BFA32E8" w14:textId="715FC995" w:rsidR="0049682C" w:rsidRDefault="0049682C" w:rsidP="0049682C">
      <w:pPr>
        <w:spacing w:line="360" w:lineRule="auto"/>
        <w:jc w:val="both"/>
        <w:rPr>
          <w:rFonts w:ascii="Arial" w:hAnsi="Arial" w:cs="Arial"/>
        </w:rPr>
      </w:pPr>
      <w:r w:rsidRPr="00886EFD">
        <w:rPr>
          <w:rFonts w:ascii="Arial" w:hAnsi="Arial" w:cs="Arial"/>
        </w:rPr>
        <w:t>Osmani, F., Arab-</w:t>
      </w:r>
      <w:proofErr w:type="spellStart"/>
      <w:r w:rsidRPr="00886EFD">
        <w:rPr>
          <w:rFonts w:ascii="Arial" w:hAnsi="Arial" w:cs="Arial"/>
        </w:rPr>
        <w:t>Zozani</w:t>
      </w:r>
      <w:proofErr w:type="spellEnd"/>
      <w:r w:rsidRPr="00886EFD">
        <w:rPr>
          <w:rFonts w:ascii="Arial" w:hAnsi="Arial" w:cs="Arial"/>
        </w:rPr>
        <w:t xml:space="preserve">, M., Shahali, Z. and Lotfi, F., </w:t>
      </w:r>
      <w:r>
        <w:rPr>
          <w:rFonts w:ascii="Arial" w:hAnsi="Arial" w:cs="Arial"/>
        </w:rPr>
        <w:t>(</w:t>
      </w:r>
      <w:r w:rsidRPr="00886EFD">
        <w:rPr>
          <w:rFonts w:ascii="Arial" w:hAnsi="Arial" w:cs="Arial"/>
        </w:rPr>
        <w:t>2023</w:t>
      </w:r>
      <w:r>
        <w:rPr>
          <w:rFonts w:ascii="Arial" w:hAnsi="Arial" w:cs="Arial"/>
        </w:rPr>
        <w:t>)</w:t>
      </w:r>
      <w:r w:rsidRPr="00886EFD">
        <w:rPr>
          <w:rFonts w:ascii="Arial" w:hAnsi="Arial" w:cs="Arial"/>
        </w:rPr>
        <w:t>, May. Evaluation of the effectiveness of electronic prescription in reducing medical and medical errors (systematic review study). In </w:t>
      </w:r>
      <w:r w:rsidRPr="00886EFD">
        <w:rPr>
          <w:rFonts w:ascii="Arial" w:hAnsi="Arial" w:cs="Arial"/>
          <w:i/>
          <w:iCs/>
        </w:rPr>
        <w:t xml:space="preserve">Annales </w:t>
      </w:r>
      <w:proofErr w:type="spellStart"/>
      <w:r w:rsidRPr="00886EFD">
        <w:rPr>
          <w:rFonts w:ascii="Arial" w:hAnsi="Arial" w:cs="Arial"/>
          <w:i/>
          <w:iCs/>
        </w:rPr>
        <w:t>Pharmaceutiques</w:t>
      </w:r>
      <w:proofErr w:type="spellEnd"/>
      <w:r w:rsidRPr="00886EFD">
        <w:rPr>
          <w:rFonts w:ascii="Arial" w:hAnsi="Arial" w:cs="Arial"/>
          <w:i/>
          <w:iCs/>
        </w:rPr>
        <w:t xml:space="preserve"> </w:t>
      </w:r>
      <w:proofErr w:type="spellStart"/>
      <w:r w:rsidRPr="00886EFD">
        <w:rPr>
          <w:rFonts w:ascii="Arial" w:hAnsi="Arial" w:cs="Arial"/>
          <w:i/>
          <w:iCs/>
        </w:rPr>
        <w:t>Françaises</w:t>
      </w:r>
      <w:proofErr w:type="spellEnd"/>
      <w:r w:rsidRPr="00886EFD">
        <w:rPr>
          <w:rFonts w:ascii="Arial" w:hAnsi="Arial" w:cs="Arial"/>
        </w:rPr>
        <w:t> (Vol. 81, No. 3, pp. 433-445). Elsevier Masson.</w:t>
      </w:r>
      <w:r>
        <w:rPr>
          <w:rFonts w:ascii="Arial" w:hAnsi="Arial" w:cs="Arial"/>
        </w:rPr>
        <w:t xml:space="preserve"> </w:t>
      </w:r>
      <w:r w:rsidRPr="00DA3DD2">
        <w:rPr>
          <w:rFonts w:ascii="Arial" w:hAnsi="Arial" w:cs="Arial"/>
        </w:rPr>
        <w:t>DOI:</w:t>
      </w:r>
      <w:r w:rsidR="00E82F79">
        <w:rPr>
          <w:rFonts w:ascii="Arial" w:hAnsi="Arial" w:cs="Arial"/>
        </w:rPr>
        <w:t xml:space="preserve"> </w:t>
      </w:r>
      <w:hyperlink r:id="rId35" w:history="1">
        <w:r w:rsidR="00E82F79" w:rsidRPr="00A4735F">
          <w:rPr>
            <w:rStyle w:val="Hyperlink"/>
            <w:rFonts w:ascii="Arial" w:hAnsi="Arial" w:cs="Arial"/>
          </w:rPr>
          <w:t>https://doi.org/10.1016/j.pharma.2022.12.002</w:t>
        </w:r>
      </w:hyperlink>
    </w:p>
    <w:p w14:paraId="5D9292FE" w14:textId="6C8AF368" w:rsidR="00FA4162" w:rsidRDefault="00495537" w:rsidP="00910FED">
      <w:pPr>
        <w:spacing w:line="360" w:lineRule="auto"/>
        <w:jc w:val="both"/>
        <w:rPr>
          <w:rFonts w:ascii="Arial" w:hAnsi="Arial" w:cs="Arial"/>
        </w:rPr>
      </w:pPr>
      <w:r w:rsidRPr="0049682C">
        <w:rPr>
          <w:rFonts w:ascii="Arial" w:hAnsi="Arial" w:cs="Arial"/>
          <w:lang w:val="sv-SE"/>
        </w:rPr>
        <w:lastRenderedPageBreak/>
        <w:t xml:space="preserve">Petryk, S., Andrieiev, I., Tishko, D., Kurbanov, A. and Yunger, V., </w:t>
      </w:r>
      <w:r w:rsidR="001C62EF" w:rsidRPr="0049682C">
        <w:rPr>
          <w:rFonts w:ascii="Arial" w:hAnsi="Arial" w:cs="Arial"/>
          <w:lang w:val="sv-SE"/>
        </w:rPr>
        <w:t>(</w:t>
      </w:r>
      <w:r w:rsidRPr="0049682C">
        <w:rPr>
          <w:rFonts w:ascii="Arial" w:hAnsi="Arial" w:cs="Arial"/>
          <w:lang w:val="sv-SE"/>
        </w:rPr>
        <w:t>2023</w:t>
      </w:r>
      <w:r w:rsidR="001C62EF" w:rsidRPr="0049682C">
        <w:rPr>
          <w:rFonts w:ascii="Arial" w:hAnsi="Arial" w:cs="Arial"/>
          <w:lang w:val="sv-SE"/>
        </w:rPr>
        <w:t>)</w:t>
      </w:r>
      <w:r w:rsidRPr="0049682C">
        <w:rPr>
          <w:rFonts w:ascii="Arial" w:hAnsi="Arial" w:cs="Arial"/>
          <w:lang w:val="sv-SE"/>
        </w:rPr>
        <w:t xml:space="preserve">. </w:t>
      </w:r>
      <w:r w:rsidRPr="006903B2">
        <w:rPr>
          <w:rFonts w:ascii="Arial" w:hAnsi="Arial" w:cs="Arial"/>
        </w:rPr>
        <w:t>The effectiveness of quality management strategies in health care organizations: an analysis of quality standards implementation and clinical performance improvement. </w:t>
      </w:r>
      <w:r w:rsidRPr="006903B2">
        <w:rPr>
          <w:rFonts w:ascii="Arial" w:hAnsi="Arial" w:cs="Arial"/>
          <w:i/>
          <w:iCs/>
        </w:rPr>
        <w:t xml:space="preserve">Amazonia </w:t>
      </w:r>
      <w:proofErr w:type="spellStart"/>
      <w:r w:rsidRPr="006903B2">
        <w:rPr>
          <w:rFonts w:ascii="Arial" w:hAnsi="Arial" w:cs="Arial"/>
          <w:i/>
          <w:iCs/>
        </w:rPr>
        <w:t>Investiga</w:t>
      </w:r>
      <w:proofErr w:type="spellEnd"/>
      <w:r w:rsidRPr="006903B2">
        <w:rPr>
          <w:rFonts w:ascii="Arial" w:hAnsi="Arial" w:cs="Arial"/>
        </w:rPr>
        <w:t>, </w:t>
      </w:r>
      <w:r w:rsidRPr="006903B2">
        <w:rPr>
          <w:rFonts w:ascii="Arial" w:hAnsi="Arial" w:cs="Arial"/>
          <w:i/>
          <w:iCs/>
        </w:rPr>
        <w:t>12</w:t>
      </w:r>
      <w:r w:rsidRPr="006903B2">
        <w:rPr>
          <w:rFonts w:ascii="Arial" w:hAnsi="Arial" w:cs="Arial"/>
        </w:rPr>
        <w:t>(68), pp.333-345.</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6" w:history="1">
        <w:r w:rsidR="00E82F79" w:rsidRPr="00A4735F">
          <w:rPr>
            <w:rStyle w:val="Hyperlink"/>
            <w:rFonts w:ascii="Arial" w:hAnsi="Arial" w:cs="Arial"/>
          </w:rPr>
          <w:t>https://doi.org/10.34069/AI/2023.68.08.31</w:t>
        </w:r>
      </w:hyperlink>
    </w:p>
    <w:p w14:paraId="143105F5" w14:textId="77777777" w:rsidR="00EC030F" w:rsidRDefault="00EC030F" w:rsidP="00EC030F">
      <w:pPr>
        <w:spacing w:line="360" w:lineRule="auto"/>
        <w:jc w:val="both"/>
        <w:rPr>
          <w:rFonts w:ascii="Arial" w:hAnsi="Arial" w:cs="Arial"/>
        </w:rPr>
      </w:pPr>
      <w:r w:rsidRPr="00EC030F">
        <w:rPr>
          <w:rFonts w:ascii="Arial" w:hAnsi="Arial" w:cs="Arial"/>
        </w:rPr>
        <w:t xml:space="preserve">Reeves, T., </w:t>
      </w:r>
      <w:proofErr w:type="spellStart"/>
      <w:r w:rsidRPr="00EC030F">
        <w:rPr>
          <w:rFonts w:ascii="Arial" w:hAnsi="Arial" w:cs="Arial"/>
        </w:rPr>
        <w:t>Mendat</w:t>
      </w:r>
      <w:proofErr w:type="spellEnd"/>
      <w:r w:rsidRPr="00EC030F">
        <w:rPr>
          <w:rFonts w:ascii="Arial" w:hAnsi="Arial" w:cs="Arial"/>
        </w:rPr>
        <w:t>, C. and Shaver, E., 2019. Root cause analysis. In </w:t>
      </w:r>
      <w:r w:rsidRPr="00EC030F">
        <w:rPr>
          <w:rFonts w:ascii="Arial" w:hAnsi="Arial" w:cs="Arial"/>
          <w:i/>
          <w:iCs/>
        </w:rPr>
        <w:t>Applied Human Factors in Medical Device Design</w:t>
      </w:r>
      <w:r w:rsidRPr="00EC030F">
        <w:rPr>
          <w:rFonts w:ascii="Arial" w:hAnsi="Arial" w:cs="Arial"/>
        </w:rPr>
        <w:t> (pp. 219-236). Academic Press.</w:t>
      </w:r>
      <w:r>
        <w:rPr>
          <w:rFonts w:ascii="Arial" w:hAnsi="Arial" w:cs="Arial"/>
        </w:rPr>
        <w:t xml:space="preserve"> </w:t>
      </w:r>
      <w:r w:rsidRPr="00DA3DD2">
        <w:rPr>
          <w:rFonts w:ascii="Arial" w:hAnsi="Arial" w:cs="Arial"/>
        </w:rPr>
        <w:t>DOI:</w:t>
      </w:r>
      <w:r>
        <w:rPr>
          <w:rFonts w:ascii="Arial" w:hAnsi="Arial" w:cs="Arial"/>
        </w:rPr>
        <w:t xml:space="preserve"> </w:t>
      </w:r>
      <w:hyperlink r:id="rId37" w:history="1">
        <w:r w:rsidRPr="00A4735F">
          <w:rPr>
            <w:rStyle w:val="Hyperlink"/>
            <w:rFonts w:ascii="Arial" w:hAnsi="Arial" w:cs="Arial"/>
          </w:rPr>
          <w:t>https://doi.org/10.1016/B978-0-12-816163-0.00013-X</w:t>
        </w:r>
      </w:hyperlink>
    </w:p>
    <w:p w14:paraId="2C50F082" w14:textId="7DB037E4" w:rsidR="007D304B" w:rsidRDefault="007D304B" w:rsidP="00910FED">
      <w:pPr>
        <w:spacing w:line="360" w:lineRule="auto"/>
        <w:jc w:val="both"/>
        <w:rPr>
          <w:rFonts w:ascii="Arial" w:hAnsi="Arial" w:cs="Arial"/>
        </w:rPr>
      </w:pPr>
      <w:r w:rsidRPr="007D304B">
        <w:rPr>
          <w:rFonts w:ascii="Arial" w:hAnsi="Arial" w:cs="Arial"/>
        </w:rPr>
        <w:t xml:space="preserve">Sabeen Ahmed, A., Aziz, A. and Sethi, S.M., </w:t>
      </w:r>
      <w:r w:rsidR="00247EC2">
        <w:rPr>
          <w:rFonts w:ascii="Arial" w:hAnsi="Arial" w:cs="Arial"/>
        </w:rPr>
        <w:t>(</w:t>
      </w:r>
      <w:r w:rsidRPr="007D304B">
        <w:rPr>
          <w:rFonts w:ascii="Arial" w:hAnsi="Arial" w:cs="Arial"/>
        </w:rPr>
        <w:t>2025</w:t>
      </w:r>
      <w:r w:rsidR="00247EC2">
        <w:rPr>
          <w:rFonts w:ascii="Arial" w:hAnsi="Arial" w:cs="Arial"/>
        </w:rPr>
        <w:t>)</w:t>
      </w:r>
      <w:r w:rsidRPr="007D304B">
        <w:rPr>
          <w:rFonts w:ascii="Arial" w:hAnsi="Arial" w:cs="Arial"/>
        </w:rPr>
        <w:t>. Improving medication reconciliation compliance in a tertiary care hospital of a developing country: a quality improvement initiative using the PDSA cycle. </w:t>
      </w:r>
      <w:r w:rsidRPr="007D304B">
        <w:rPr>
          <w:rFonts w:ascii="Arial" w:hAnsi="Arial" w:cs="Arial"/>
          <w:i/>
          <w:iCs/>
        </w:rPr>
        <w:t>BMJ Open Quality</w:t>
      </w:r>
      <w:r w:rsidRPr="007D304B">
        <w:rPr>
          <w:rFonts w:ascii="Arial" w:hAnsi="Arial" w:cs="Arial"/>
        </w:rPr>
        <w:t>, </w:t>
      </w:r>
      <w:r w:rsidRPr="007D304B">
        <w:rPr>
          <w:rFonts w:ascii="Arial" w:hAnsi="Arial" w:cs="Arial"/>
          <w:i/>
          <w:iCs/>
        </w:rPr>
        <w:t>14</w:t>
      </w:r>
      <w:r w:rsidRPr="007D304B">
        <w:rPr>
          <w:rFonts w:ascii="Arial" w:hAnsi="Arial" w:cs="Arial"/>
        </w:rPr>
        <w:t>(4), p.e003487.</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8" w:history="1">
        <w:r w:rsidR="00E82F79" w:rsidRPr="00A4735F">
          <w:rPr>
            <w:rStyle w:val="Hyperlink"/>
            <w:rFonts w:ascii="Arial" w:hAnsi="Arial" w:cs="Arial"/>
          </w:rPr>
          <w:t>https://doi.org/10.1136/bmjoq-2025-003487</w:t>
        </w:r>
      </w:hyperlink>
    </w:p>
    <w:p w14:paraId="417B8DD9" w14:textId="4EF34C14" w:rsidR="0006433A" w:rsidRDefault="0006433A" w:rsidP="00910FED">
      <w:pPr>
        <w:spacing w:line="360" w:lineRule="auto"/>
        <w:jc w:val="both"/>
        <w:rPr>
          <w:rFonts w:ascii="Arial" w:hAnsi="Arial" w:cs="Arial"/>
        </w:rPr>
      </w:pPr>
      <w:r w:rsidRPr="0006433A">
        <w:rPr>
          <w:rFonts w:ascii="Arial" w:hAnsi="Arial" w:cs="Arial"/>
        </w:rPr>
        <w:t xml:space="preserve">Sarfati, L., </w:t>
      </w:r>
      <w:proofErr w:type="spellStart"/>
      <w:r w:rsidRPr="0006433A">
        <w:rPr>
          <w:rFonts w:ascii="Arial" w:hAnsi="Arial" w:cs="Arial"/>
        </w:rPr>
        <w:t>Ranchon</w:t>
      </w:r>
      <w:proofErr w:type="spellEnd"/>
      <w:r w:rsidRPr="0006433A">
        <w:rPr>
          <w:rFonts w:ascii="Arial" w:hAnsi="Arial" w:cs="Arial"/>
        </w:rPr>
        <w:t xml:space="preserve">, F., </w:t>
      </w:r>
      <w:proofErr w:type="spellStart"/>
      <w:r w:rsidRPr="0006433A">
        <w:rPr>
          <w:rFonts w:ascii="Arial" w:hAnsi="Arial" w:cs="Arial"/>
        </w:rPr>
        <w:t>Vantard</w:t>
      </w:r>
      <w:proofErr w:type="spellEnd"/>
      <w:r w:rsidRPr="0006433A">
        <w:rPr>
          <w:rFonts w:ascii="Arial" w:hAnsi="Arial" w:cs="Arial"/>
        </w:rPr>
        <w:t xml:space="preserve">, N., </w:t>
      </w:r>
      <w:proofErr w:type="spellStart"/>
      <w:r w:rsidRPr="0006433A">
        <w:rPr>
          <w:rFonts w:ascii="Arial" w:hAnsi="Arial" w:cs="Arial"/>
        </w:rPr>
        <w:t>Schwiertz</w:t>
      </w:r>
      <w:proofErr w:type="spellEnd"/>
      <w:r w:rsidRPr="0006433A">
        <w:rPr>
          <w:rFonts w:ascii="Arial" w:hAnsi="Arial" w:cs="Arial"/>
        </w:rPr>
        <w:t xml:space="preserve">, V., Larbre, V., Parat, S., Faudel, A. and </w:t>
      </w:r>
      <w:proofErr w:type="spellStart"/>
      <w:r w:rsidRPr="0006433A">
        <w:rPr>
          <w:rFonts w:ascii="Arial" w:hAnsi="Arial" w:cs="Arial"/>
        </w:rPr>
        <w:t>Rioufol</w:t>
      </w:r>
      <w:proofErr w:type="spellEnd"/>
      <w:r w:rsidRPr="0006433A">
        <w:rPr>
          <w:rFonts w:ascii="Arial" w:hAnsi="Arial" w:cs="Arial"/>
        </w:rPr>
        <w:t xml:space="preserve">, C., </w:t>
      </w:r>
      <w:r w:rsidR="00247EC2">
        <w:rPr>
          <w:rFonts w:ascii="Arial" w:hAnsi="Arial" w:cs="Arial"/>
        </w:rPr>
        <w:t>(</w:t>
      </w:r>
      <w:r w:rsidRPr="0006433A">
        <w:rPr>
          <w:rFonts w:ascii="Arial" w:hAnsi="Arial" w:cs="Arial"/>
        </w:rPr>
        <w:t>2019</w:t>
      </w:r>
      <w:r w:rsidR="00247EC2">
        <w:rPr>
          <w:rFonts w:ascii="Arial" w:hAnsi="Arial" w:cs="Arial"/>
        </w:rPr>
        <w:t>)</w:t>
      </w:r>
      <w:r w:rsidRPr="0006433A">
        <w:rPr>
          <w:rFonts w:ascii="Arial" w:hAnsi="Arial" w:cs="Arial"/>
        </w:rPr>
        <w:t>. Human</w:t>
      </w:r>
      <w:r w:rsidRPr="0006433A">
        <w:rPr>
          <w:rFonts w:ascii="Cambria Math" w:hAnsi="Cambria Math" w:cs="Cambria Math"/>
        </w:rPr>
        <w:t>‐</w:t>
      </w:r>
      <w:r w:rsidRPr="0006433A">
        <w:rPr>
          <w:rFonts w:ascii="Arial" w:hAnsi="Arial" w:cs="Arial"/>
        </w:rPr>
        <w:t>simulation</w:t>
      </w:r>
      <w:r w:rsidRPr="0006433A">
        <w:rPr>
          <w:rFonts w:ascii="Cambria Math" w:hAnsi="Cambria Math" w:cs="Cambria Math"/>
        </w:rPr>
        <w:t>‐</w:t>
      </w:r>
      <w:r w:rsidRPr="0006433A">
        <w:rPr>
          <w:rFonts w:ascii="Arial" w:hAnsi="Arial" w:cs="Arial"/>
        </w:rPr>
        <w:t>based learning to prevent medication error: A systematic review. </w:t>
      </w:r>
      <w:r w:rsidRPr="0006433A">
        <w:rPr>
          <w:rFonts w:ascii="Arial" w:hAnsi="Arial" w:cs="Arial"/>
          <w:i/>
          <w:iCs/>
        </w:rPr>
        <w:t>Journal of evaluation in clinical practice</w:t>
      </w:r>
      <w:r w:rsidRPr="0006433A">
        <w:rPr>
          <w:rFonts w:ascii="Arial" w:hAnsi="Arial" w:cs="Arial"/>
        </w:rPr>
        <w:t>, </w:t>
      </w:r>
      <w:r w:rsidRPr="0006433A">
        <w:rPr>
          <w:rFonts w:ascii="Arial" w:hAnsi="Arial" w:cs="Arial"/>
          <w:i/>
          <w:iCs/>
        </w:rPr>
        <w:t>25</w:t>
      </w:r>
      <w:r w:rsidRPr="0006433A">
        <w:rPr>
          <w:rFonts w:ascii="Arial" w:hAnsi="Arial" w:cs="Arial"/>
        </w:rPr>
        <w:t>(1), pp.11-20.</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9" w:history="1">
        <w:r w:rsidR="00E82F79" w:rsidRPr="00A4735F">
          <w:rPr>
            <w:rStyle w:val="Hyperlink"/>
            <w:rFonts w:ascii="Arial" w:hAnsi="Arial" w:cs="Arial"/>
          </w:rPr>
          <w:t>https://doi.org/10.1111/jep.12883</w:t>
        </w:r>
      </w:hyperlink>
    </w:p>
    <w:p w14:paraId="271D2698" w14:textId="5E37DC36" w:rsidR="004C09B7" w:rsidRPr="00785D90" w:rsidRDefault="004C09B7" w:rsidP="00910FED">
      <w:pPr>
        <w:spacing w:line="360" w:lineRule="auto"/>
        <w:jc w:val="both"/>
        <w:rPr>
          <w:rFonts w:ascii="Arial" w:hAnsi="Arial" w:cs="Arial"/>
          <w:lang w:val="sv-SE"/>
        </w:rPr>
      </w:pPr>
      <w:proofErr w:type="spellStart"/>
      <w:r w:rsidRPr="004C09B7">
        <w:rPr>
          <w:rFonts w:ascii="Arial" w:hAnsi="Arial" w:cs="Arial"/>
        </w:rPr>
        <w:t>Setiawannie</w:t>
      </w:r>
      <w:proofErr w:type="spellEnd"/>
      <w:r w:rsidRPr="004C09B7">
        <w:rPr>
          <w:rFonts w:ascii="Arial" w:hAnsi="Arial" w:cs="Arial"/>
        </w:rPr>
        <w:t xml:space="preserve">, Y. and </w:t>
      </w:r>
      <w:proofErr w:type="spellStart"/>
      <w:r w:rsidRPr="004C09B7">
        <w:rPr>
          <w:rFonts w:ascii="Arial" w:hAnsi="Arial" w:cs="Arial"/>
        </w:rPr>
        <w:t>Rahmania</w:t>
      </w:r>
      <w:proofErr w:type="spellEnd"/>
      <w:r w:rsidRPr="004C09B7">
        <w:rPr>
          <w:rFonts w:ascii="Arial" w:hAnsi="Arial" w:cs="Arial"/>
        </w:rPr>
        <w:t>, T., 2019. Performance measurement of public hospitals through the integration of SWOT and balanced scorecard. </w:t>
      </w:r>
      <w:r w:rsidRPr="004C09B7">
        <w:rPr>
          <w:rFonts w:ascii="Arial" w:hAnsi="Arial" w:cs="Arial"/>
          <w:i/>
          <w:iCs/>
          <w:lang w:val="sv-SE"/>
        </w:rPr>
        <w:t>Jurnal Sistem Dan Manajemen Industri</w:t>
      </w:r>
      <w:r w:rsidRPr="004C09B7">
        <w:rPr>
          <w:rFonts w:ascii="Arial" w:hAnsi="Arial" w:cs="Arial"/>
          <w:lang w:val="sv-SE"/>
        </w:rPr>
        <w:t>, </w:t>
      </w:r>
      <w:r w:rsidRPr="004C09B7">
        <w:rPr>
          <w:rFonts w:ascii="Arial" w:hAnsi="Arial" w:cs="Arial"/>
          <w:i/>
          <w:iCs/>
          <w:lang w:val="sv-SE"/>
        </w:rPr>
        <w:t>3</w:t>
      </w:r>
      <w:r w:rsidRPr="004C09B7">
        <w:rPr>
          <w:rFonts w:ascii="Arial" w:hAnsi="Arial" w:cs="Arial"/>
          <w:lang w:val="sv-SE"/>
        </w:rPr>
        <w:t xml:space="preserve">(2), pp.76-84. </w:t>
      </w:r>
      <w:r w:rsidRPr="00785D90">
        <w:rPr>
          <w:rFonts w:ascii="Arial" w:hAnsi="Arial" w:cs="Arial"/>
          <w:lang w:val="sv-SE"/>
        </w:rPr>
        <w:t xml:space="preserve">DOI: </w:t>
      </w:r>
      <w:hyperlink r:id="rId40" w:history="1">
        <w:r w:rsidRPr="00785D90">
          <w:rPr>
            <w:rStyle w:val="Hyperlink"/>
            <w:rFonts w:ascii="Arial" w:hAnsi="Arial" w:cs="Arial"/>
            <w:lang w:val="sv-SE"/>
          </w:rPr>
          <w:t>https://www.academia.edu/download/82986930/pdf.pdf</w:t>
        </w:r>
      </w:hyperlink>
      <w:r w:rsidRPr="00785D90">
        <w:rPr>
          <w:rFonts w:ascii="Arial" w:hAnsi="Arial" w:cs="Arial"/>
          <w:lang w:val="sv-SE"/>
        </w:rPr>
        <w:t xml:space="preserve">      </w:t>
      </w:r>
    </w:p>
    <w:p w14:paraId="66958874" w14:textId="7452CA05" w:rsidR="00FA4162" w:rsidRDefault="00506C70" w:rsidP="00910FED">
      <w:pPr>
        <w:spacing w:line="360" w:lineRule="auto"/>
        <w:jc w:val="both"/>
        <w:rPr>
          <w:rFonts w:ascii="Arial" w:hAnsi="Arial" w:cs="Arial"/>
        </w:rPr>
      </w:pPr>
      <w:r w:rsidRPr="004C09B7">
        <w:rPr>
          <w:rFonts w:ascii="Arial" w:hAnsi="Arial" w:cs="Arial"/>
          <w:lang w:val="en-US"/>
        </w:rPr>
        <w:t xml:space="preserve">Toft, B., </w:t>
      </w:r>
      <w:r w:rsidR="001C62EF" w:rsidRPr="004C09B7">
        <w:rPr>
          <w:rFonts w:ascii="Arial" w:hAnsi="Arial" w:cs="Arial"/>
          <w:lang w:val="en-US"/>
        </w:rPr>
        <w:t>(</w:t>
      </w:r>
      <w:r w:rsidRPr="004C09B7">
        <w:rPr>
          <w:rFonts w:ascii="Arial" w:hAnsi="Arial" w:cs="Arial"/>
          <w:lang w:val="en-US"/>
        </w:rPr>
        <w:t>2001</w:t>
      </w:r>
      <w:r w:rsidR="001C62EF" w:rsidRPr="004C09B7">
        <w:rPr>
          <w:rFonts w:ascii="Arial" w:hAnsi="Arial" w:cs="Arial"/>
          <w:lang w:val="en-US"/>
        </w:rPr>
        <w:t>)</w:t>
      </w:r>
      <w:r w:rsidRPr="004C09B7">
        <w:rPr>
          <w:rFonts w:ascii="Arial" w:hAnsi="Arial" w:cs="Arial"/>
          <w:lang w:val="en-US"/>
        </w:rPr>
        <w:t>. </w:t>
      </w:r>
      <w:r w:rsidRPr="006903B2">
        <w:rPr>
          <w:rFonts w:ascii="Arial" w:hAnsi="Arial" w:cs="Arial"/>
          <w:i/>
          <w:iCs/>
        </w:rPr>
        <w:t>External inquiry into the adverse incident that occurred at Queen's Medical Centre, Nottingham, 4th January 2001</w:t>
      </w:r>
      <w:r w:rsidRPr="006903B2">
        <w:rPr>
          <w:rFonts w:ascii="Arial" w:hAnsi="Arial" w:cs="Arial"/>
        </w:rPr>
        <w:t>. London: Department of Health.</w:t>
      </w:r>
      <w:r w:rsidR="0049682C">
        <w:rPr>
          <w:rFonts w:ascii="Arial" w:hAnsi="Arial" w:cs="Arial"/>
        </w:rPr>
        <w:t xml:space="preserve"> </w:t>
      </w:r>
      <w:r w:rsidR="0049682C" w:rsidRPr="00DA3DD2">
        <w:rPr>
          <w:rFonts w:ascii="Arial" w:hAnsi="Arial" w:cs="Arial"/>
        </w:rPr>
        <w:t>DOI:</w:t>
      </w:r>
      <w:r w:rsidR="00E82F79">
        <w:rPr>
          <w:rFonts w:ascii="Arial" w:hAnsi="Arial" w:cs="Arial"/>
          <w:b/>
          <w:bCs/>
        </w:rPr>
        <w:t xml:space="preserve"> </w:t>
      </w:r>
      <w:hyperlink r:id="rId41" w:history="1">
        <w:r w:rsidR="00E82F79" w:rsidRPr="00A4735F">
          <w:rPr>
            <w:rStyle w:val="Hyperlink"/>
            <w:rFonts w:ascii="Arial" w:hAnsi="Arial" w:cs="Arial"/>
          </w:rPr>
          <w:t>https://www.researchgate.net/profile/Liam-Donaldson-4/publication/320035347_External_Inquiry_into_the_adverse_incident_that_occurred_at_Queen's_Medical_Centre_Nottingham_4th_January_2001/links/59ca18cba6fdcc451d57deda/External-Inquiry-into-the-adverse-incident-that-occurred-at-Queens-Medical-Centre-Nottingham-4th-January-2001.pdf</w:t>
        </w:r>
      </w:hyperlink>
    </w:p>
    <w:p w14:paraId="7F9D04F6" w14:textId="3E9AF2B0" w:rsidR="00FA4162" w:rsidRDefault="00636B75" w:rsidP="00910FED">
      <w:pPr>
        <w:spacing w:line="360" w:lineRule="auto"/>
        <w:jc w:val="both"/>
        <w:rPr>
          <w:rFonts w:ascii="Arial" w:hAnsi="Arial" w:cs="Arial"/>
        </w:rPr>
      </w:pPr>
      <w:r w:rsidRPr="006903B2">
        <w:rPr>
          <w:rFonts w:ascii="Arial" w:hAnsi="Arial" w:cs="Arial"/>
        </w:rPr>
        <w:t xml:space="preserve">Wiegmann, D.A., Wood, L.J., Cohen, T.N. and Shappell, S.A., </w:t>
      </w:r>
      <w:r w:rsidR="001C62EF" w:rsidRPr="006903B2">
        <w:rPr>
          <w:rFonts w:ascii="Arial" w:hAnsi="Arial" w:cs="Arial"/>
        </w:rPr>
        <w:t>(</w:t>
      </w:r>
      <w:r w:rsidRPr="006903B2">
        <w:rPr>
          <w:rFonts w:ascii="Arial" w:hAnsi="Arial" w:cs="Arial"/>
        </w:rPr>
        <w:t>2022</w:t>
      </w:r>
      <w:r w:rsidR="001C62EF" w:rsidRPr="006903B2">
        <w:rPr>
          <w:rFonts w:ascii="Arial" w:hAnsi="Arial" w:cs="Arial"/>
        </w:rPr>
        <w:t>)</w:t>
      </w:r>
      <w:r w:rsidRPr="006903B2">
        <w:rPr>
          <w:rFonts w:ascii="Arial" w:hAnsi="Arial" w:cs="Arial"/>
        </w:rPr>
        <w:t>. Understanding the “Swiss Cheese Model” and its application to patient safety. </w:t>
      </w:r>
      <w:r w:rsidRPr="006903B2">
        <w:rPr>
          <w:rFonts w:ascii="Arial" w:hAnsi="Arial" w:cs="Arial"/>
          <w:i/>
          <w:iCs/>
        </w:rPr>
        <w:t>Journal of patient safety</w:t>
      </w:r>
      <w:r w:rsidRPr="006903B2">
        <w:rPr>
          <w:rFonts w:ascii="Arial" w:hAnsi="Arial" w:cs="Arial"/>
        </w:rPr>
        <w:t>, </w:t>
      </w:r>
      <w:r w:rsidRPr="006903B2">
        <w:rPr>
          <w:rFonts w:ascii="Arial" w:hAnsi="Arial" w:cs="Arial"/>
          <w:i/>
          <w:iCs/>
        </w:rPr>
        <w:t>18</w:t>
      </w:r>
      <w:r w:rsidRPr="006903B2">
        <w:rPr>
          <w:rFonts w:ascii="Arial" w:hAnsi="Arial" w:cs="Arial"/>
        </w:rPr>
        <w:t>(2), pp.119-123.</w:t>
      </w:r>
      <w:r w:rsidR="0049682C">
        <w:rPr>
          <w:rFonts w:ascii="Arial" w:hAnsi="Arial" w:cs="Arial"/>
        </w:rPr>
        <w:t xml:space="preserve"> </w:t>
      </w:r>
      <w:r w:rsidR="0049682C" w:rsidRPr="00DA3DD2">
        <w:rPr>
          <w:rFonts w:ascii="Arial" w:hAnsi="Arial" w:cs="Arial"/>
        </w:rPr>
        <w:t>DOI:</w:t>
      </w:r>
      <w:r w:rsidR="00BC1862">
        <w:rPr>
          <w:rFonts w:ascii="Arial" w:hAnsi="Arial" w:cs="Arial"/>
        </w:rPr>
        <w:t xml:space="preserve"> </w:t>
      </w:r>
      <w:hyperlink r:id="rId42" w:history="1">
        <w:r w:rsidR="00BC1862" w:rsidRPr="00BC1862">
          <w:rPr>
            <w:rStyle w:val="Hyperlink"/>
            <w:rFonts w:ascii="Arial" w:hAnsi="Arial" w:cs="Arial"/>
          </w:rPr>
          <w:t>10.1097/PTS.0000000000000810</w:t>
        </w:r>
      </w:hyperlink>
    </w:p>
    <w:p w14:paraId="0A4983BC" w14:textId="77777777" w:rsidR="00BC1862" w:rsidRPr="006903B2" w:rsidRDefault="00BC1862" w:rsidP="00910FED">
      <w:pPr>
        <w:spacing w:line="360" w:lineRule="auto"/>
        <w:jc w:val="both"/>
        <w:rPr>
          <w:rFonts w:ascii="Arial" w:hAnsi="Arial" w:cs="Arial"/>
        </w:rPr>
      </w:pPr>
    </w:p>
    <w:p w14:paraId="510F5EEC" w14:textId="77777777" w:rsidR="00BE68A9" w:rsidRPr="00BE68A9" w:rsidRDefault="00BE68A9" w:rsidP="00910FED">
      <w:pPr>
        <w:spacing w:line="360" w:lineRule="auto"/>
        <w:jc w:val="both"/>
        <w:rPr>
          <w:rFonts w:ascii="Arial" w:hAnsi="Arial" w:cs="Arial"/>
        </w:rPr>
      </w:pPr>
    </w:p>
    <w:sectPr w:rsidR="00BE68A9" w:rsidRPr="00BE68A9" w:rsidSect="00803A6D">
      <w:footerReference w:type="default" r:id="rId43"/>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A8C1AC" w14:textId="77777777" w:rsidR="00B0344E" w:rsidRPr="006903B2" w:rsidRDefault="00B0344E" w:rsidP="00BE68A9">
      <w:pPr>
        <w:spacing w:after="0" w:line="240" w:lineRule="auto"/>
      </w:pPr>
      <w:r w:rsidRPr="006903B2">
        <w:separator/>
      </w:r>
    </w:p>
  </w:endnote>
  <w:endnote w:type="continuationSeparator" w:id="0">
    <w:p w14:paraId="7F5727EB" w14:textId="77777777" w:rsidR="00B0344E" w:rsidRPr="006903B2" w:rsidRDefault="00B0344E" w:rsidP="00BE68A9">
      <w:pPr>
        <w:spacing w:after="0" w:line="240" w:lineRule="auto"/>
      </w:pPr>
      <w:r w:rsidRPr="006903B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hruti">
    <w:panose1 w:val="02000500000000000000"/>
    <w:charset w:val="00"/>
    <w:family w:val="swiss"/>
    <w:pitch w:val="variable"/>
    <w:sig w:usb0="00040003" w:usb1="00000000" w:usb2="00000000" w:usb3="00000000" w:csb0="0000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9778154"/>
      <w:docPartObj>
        <w:docPartGallery w:val="Page Numbers (Bottom of Page)"/>
        <w:docPartUnique/>
      </w:docPartObj>
    </w:sdtPr>
    <w:sdtContent>
      <w:p w14:paraId="25970AF0" w14:textId="085E6E39" w:rsidR="00803A6D" w:rsidRDefault="00803A6D">
        <w:pPr>
          <w:pStyle w:val="Footer"/>
          <w:jc w:val="right"/>
        </w:pPr>
        <w:r>
          <w:fldChar w:fldCharType="begin"/>
        </w:r>
        <w:r>
          <w:instrText>PAGE   \* MERGEFORMAT</w:instrText>
        </w:r>
        <w:r>
          <w:fldChar w:fldCharType="separate"/>
        </w:r>
        <w:r>
          <w:t>2</w:t>
        </w:r>
        <w:r>
          <w:fldChar w:fldCharType="end"/>
        </w:r>
      </w:p>
    </w:sdtContent>
  </w:sdt>
  <w:p w14:paraId="0FADC660" w14:textId="77777777" w:rsidR="00803A6D" w:rsidRDefault="00803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18851" w14:textId="77777777" w:rsidR="00B0344E" w:rsidRPr="006903B2" w:rsidRDefault="00B0344E" w:rsidP="00BE68A9">
      <w:pPr>
        <w:spacing w:after="0" w:line="240" w:lineRule="auto"/>
      </w:pPr>
      <w:r w:rsidRPr="006903B2">
        <w:separator/>
      </w:r>
    </w:p>
  </w:footnote>
  <w:footnote w:type="continuationSeparator" w:id="0">
    <w:p w14:paraId="18785618" w14:textId="77777777" w:rsidR="00B0344E" w:rsidRPr="006903B2" w:rsidRDefault="00B0344E" w:rsidP="00BE68A9">
      <w:pPr>
        <w:spacing w:after="0" w:line="240" w:lineRule="auto"/>
      </w:pPr>
      <w:r w:rsidRPr="006903B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72F23"/>
    <w:multiLevelType w:val="multilevel"/>
    <w:tmpl w:val="352C4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811036"/>
    <w:multiLevelType w:val="hybridMultilevel"/>
    <w:tmpl w:val="16D66D68"/>
    <w:lvl w:ilvl="0" w:tplc="8ABA8042">
      <w:start w:val="1"/>
      <w:numFmt w:val="bullet"/>
      <w:lvlText w:val="•"/>
      <w:lvlJc w:val="left"/>
      <w:pPr>
        <w:tabs>
          <w:tab w:val="num" w:pos="720"/>
        </w:tabs>
        <w:ind w:left="720" w:hanging="360"/>
      </w:pPr>
      <w:rPr>
        <w:rFonts w:ascii="Shruti" w:hAnsi="Shruti" w:hint="default"/>
      </w:rPr>
    </w:lvl>
    <w:lvl w:ilvl="1" w:tplc="E774D1DA" w:tentative="1">
      <w:start w:val="1"/>
      <w:numFmt w:val="bullet"/>
      <w:lvlText w:val="•"/>
      <w:lvlJc w:val="left"/>
      <w:pPr>
        <w:tabs>
          <w:tab w:val="num" w:pos="1440"/>
        </w:tabs>
        <w:ind w:left="1440" w:hanging="360"/>
      </w:pPr>
      <w:rPr>
        <w:rFonts w:ascii="Shruti" w:hAnsi="Shruti" w:hint="default"/>
      </w:rPr>
    </w:lvl>
    <w:lvl w:ilvl="2" w:tplc="21AC3E78" w:tentative="1">
      <w:start w:val="1"/>
      <w:numFmt w:val="bullet"/>
      <w:lvlText w:val="•"/>
      <w:lvlJc w:val="left"/>
      <w:pPr>
        <w:tabs>
          <w:tab w:val="num" w:pos="2160"/>
        </w:tabs>
        <w:ind w:left="2160" w:hanging="360"/>
      </w:pPr>
      <w:rPr>
        <w:rFonts w:ascii="Shruti" w:hAnsi="Shruti" w:hint="default"/>
      </w:rPr>
    </w:lvl>
    <w:lvl w:ilvl="3" w:tplc="16EA9172" w:tentative="1">
      <w:start w:val="1"/>
      <w:numFmt w:val="bullet"/>
      <w:lvlText w:val="•"/>
      <w:lvlJc w:val="left"/>
      <w:pPr>
        <w:tabs>
          <w:tab w:val="num" w:pos="2880"/>
        </w:tabs>
        <w:ind w:left="2880" w:hanging="360"/>
      </w:pPr>
      <w:rPr>
        <w:rFonts w:ascii="Shruti" w:hAnsi="Shruti" w:hint="default"/>
      </w:rPr>
    </w:lvl>
    <w:lvl w:ilvl="4" w:tplc="55B21F2A" w:tentative="1">
      <w:start w:val="1"/>
      <w:numFmt w:val="bullet"/>
      <w:lvlText w:val="•"/>
      <w:lvlJc w:val="left"/>
      <w:pPr>
        <w:tabs>
          <w:tab w:val="num" w:pos="3600"/>
        </w:tabs>
        <w:ind w:left="3600" w:hanging="360"/>
      </w:pPr>
      <w:rPr>
        <w:rFonts w:ascii="Shruti" w:hAnsi="Shruti" w:hint="default"/>
      </w:rPr>
    </w:lvl>
    <w:lvl w:ilvl="5" w:tplc="1990FE3E" w:tentative="1">
      <w:start w:val="1"/>
      <w:numFmt w:val="bullet"/>
      <w:lvlText w:val="•"/>
      <w:lvlJc w:val="left"/>
      <w:pPr>
        <w:tabs>
          <w:tab w:val="num" w:pos="4320"/>
        </w:tabs>
        <w:ind w:left="4320" w:hanging="360"/>
      </w:pPr>
      <w:rPr>
        <w:rFonts w:ascii="Shruti" w:hAnsi="Shruti" w:hint="default"/>
      </w:rPr>
    </w:lvl>
    <w:lvl w:ilvl="6" w:tplc="36F60C3E" w:tentative="1">
      <w:start w:val="1"/>
      <w:numFmt w:val="bullet"/>
      <w:lvlText w:val="•"/>
      <w:lvlJc w:val="left"/>
      <w:pPr>
        <w:tabs>
          <w:tab w:val="num" w:pos="5040"/>
        </w:tabs>
        <w:ind w:left="5040" w:hanging="360"/>
      </w:pPr>
      <w:rPr>
        <w:rFonts w:ascii="Shruti" w:hAnsi="Shruti" w:hint="default"/>
      </w:rPr>
    </w:lvl>
    <w:lvl w:ilvl="7" w:tplc="01CA2062" w:tentative="1">
      <w:start w:val="1"/>
      <w:numFmt w:val="bullet"/>
      <w:lvlText w:val="•"/>
      <w:lvlJc w:val="left"/>
      <w:pPr>
        <w:tabs>
          <w:tab w:val="num" w:pos="5760"/>
        </w:tabs>
        <w:ind w:left="5760" w:hanging="360"/>
      </w:pPr>
      <w:rPr>
        <w:rFonts w:ascii="Shruti" w:hAnsi="Shruti" w:hint="default"/>
      </w:rPr>
    </w:lvl>
    <w:lvl w:ilvl="8" w:tplc="B0B6E3EC" w:tentative="1">
      <w:start w:val="1"/>
      <w:numFmt w:val="bullet"/>
      <w:lvlText w:val="•"/>
      <w:lvlJc w:val="left"/>
      <w:pPr>
        <w:tabs>
          <w:tab w:val="num" w:pos="6480"/>
        </w:tabs>
        <w:ind w:left="6480" w:hanging="360"/>
      </w:pPr>
      <w:rPr>
        <w:rFonts w:ascii="Shruti" w:hAnsi="Shruti" w:hint="default"/>
      </w:rPr>
    </w:lvl>
  </w:abstractNum>
  <w:num w:numId="1" w16cid:durableId="1567496632">
    <w:abstractNumId w:val="0"/>
  </w:num>
  <w:num w:numId="2" w16cid:durableId="886143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D47"/>
    <w:rsid w:val="0000073B"/>
    <w:rsid w:val="00060028"/>
    <w:rsid w:val="0006433A"/>
    <w:rsid w:val="00076CA7"/>
    <w:rsid w:val="000D1A81"/>
    <w:rsid w:val="00126D14"/>
    <w:rsid w:val="00136D6C"/>
    <w:rsid w:val="00152F2B"/>
    <w:rsid w:val="001532C5"/>
    <w:rsid w:val="001767D3"/>
    <w:rsid w:val="00186F51"/>
    <w:rsid w:val="001C62EF"/>
    <w:rsid w:val="001E3FD1"/>
    <w:rsid w:val="001F05FF"/>
    <w:rsid w:val="00247EC2"/>
    <w:rsid w:val="00253DCF"/>
    <w:rsid w:val="002962F8"/>
    <w:rsid w:val="002A72B4"/>
    <w:rsid w:val="002F098C"/>
    <w:rsid w:val="00324A70"/>
    <w:rsid w:val="00335C69"/>
    <w:rsid w:val="003412A9"/>
    <w:rsid w:val="00365EC9"/>
    <w:rsid w:val="00372601"/>
    <w:rsid w:val="00373E27"/>
    <w:rsid w:val="00395C48"/>
    <w:rsid w:val="003B647C"/>
    <w:rsid w:val="00417FB3"/>
    <w:rsid w:val="0046774B"/>
    <w:rsid w:val="00473516"/>
    <w:rsid w:val="00495537"/>
    <w:rsid w:val="0049682C"/>
    <w:rsid w:val="004B3C96"/>
    <w:rsid w:val="004C09B7"/>
    <w:rsid w:val="004C4F8B"/>
    <w:rsid w:val="00504A66"/>
    <w:rsid w:val="00506C70"/>
    <w:rsid w:val="005865EC"/>
    <w:rsid w:val="005A59ED"/>
    <w:rsid w:val="005B6E6D"/>
    <w:rsid w:val="005E770C"/>
    <w:rsid w:val="005F27E3"/>
    <w:rsid w:val="00600CD1"/>
    <w:rsid w:val="00605B4E"/>
    <w:rsid w:val="00636B75"/>
    <w:rsid w:val="006375BA"/>
    <w:rsid w:val="006405DB"/>
    <w:rsid w:val="0064325A"/>
    <w:rsid w:val="00654AD3"/>
    <w:rsid w:val="00666F53"/>
    <w:rsid w:val="00672E93"/>
    <w:rsid w:val="006903B2"/>
    <w:rsid w:val="00700691"/>
    <w:rsid w:val="007143FF"/>
    <w:rsid w:val="00720933"/>
    <w:rsid w:val="00785D90"/>
    <w:rsid w:val="00786EC0"/>
    <w:rsid w:val="007911D7"/>
    <w:rsid w:val="007C1742"/>
    <w:rsid w:val="007C5C5F"/>
    <w:rsid w:val="007D304B"/>
    <w:rsid w:val="007E0729"/>
    <w:rsid w:val="007F683E"/>
    <w:rsid w:val="00803A6D"/>
    <w:rsid w:val="00814898"/>
    <w:rsid w:val="00815591"/>
    <w:rsid w:val="008177F7"/>
    <w:rsid w:val="00822A4D"/>
    <w:rsid w:val="008315B1"/>
    <w:rsid w:val="00886EFD"/>
    <w:rsid w:val="008B6D47"/>
    <w:rsid w:val="0090545B"/>
    <w:rsid w:val="00910FED"/>
    <w:rsid w:val="00931845"/>
    <w:rsid w:val="00933966"/>
    <w:rsid w:val="0094595C"/>
    <w:rsid w:val="009E13B9"/>
    <w:rsid w:val="00A0036F"/>
    <w:rsid w:val="00A1661C"/>
    <w:rsid w:val="00A20276"/>
    <w:rsid w:val="00A92A9F"/>
    <w:rsid w:val="00AA1FCB"/>
    <w:rsid w:val="00AB078B"/>
    <w:rsid w:val="00B0344E"/>
    <w:rsid w:val="00B13F5F"/>
    <w:rsid w:val="00B36C98"/>
    <w:rsid w:val="00B510F8"/>
    <w:rsid w:val="00B714AF"/>
    <w:rsid w:val="00BB05D5"/>
    <w:rsid w:val="00BB1E2D"/>
    <w:rsid w:val="00BB79BB"/>
    <w:rsid w:val="00BB7DB7"/>
    <w:rsid w:val="00BC1862"/>
    <w:rsid w:val="00BC3A58"/>
    <w:rsid w:val="00BD2B4E"/>
    <w:rsid w:val="00BE68A9"/>
    <w:rsid w:val="00C310E5"/>
    <w:rsid w:val="00C33F8F"/>
    <w:rsid w:val="00C51F91"/>
    <w:rsid w:val="00C5214D"/>
    <w:rsid w:val="00C974F8"/>
    <w:rsid w:val="00CC07B1"/>
    <w:rsid w:val="00CC310A"/>
    <w:rsid w:val="00D24003"/>
    <w:rsid w:val="00D651FB"/>
    <w:rsid w:val="00D84B7C"/>
    <w:rsid w:val="00D967A9"/>
    <w:rsid w:val="00DA3DD2"/>
    <w:rsid w:val="00DC0841"/>
    <w:rsid w:val="00DE0FDC"/>
    <w:rsid w:val="00DE7B9B"/>
    <w:rsid w:val="00E013C2"/>
    <w:rsid w:val="00E71B7B"/>
    <w:rsid w:val="00E82F79"/>
    <w:rsid w:val="00EA7CAC"/>
    <w:rsid w:val="00EC030F"/>
    <w:rsid w:val="00EC2926"/>
    <w:rsid w:val="00ED6FF7"/>
    <w:rsid w:val="00EE538C"/>
    <w:rsid w:val="00EF1E56"/>
    <w:rsid w:val="00F13AA7"/>
    <w:rsid w:val="00F211EB"/>
    <w:rsid w:val="00F22C96"/>
    <w:rsid w:val="00F27D7E"/>
    <w:rsid w:val="00F46D9C"/>
    <w:rsid w:val="00F84C55"/>
    <w:rsid w:val="00FA4162"/>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33992"/>
  <w15:chartTrackingRefBased/>
  <w15:docId w15:val="{77509709-5A8F-401F-9DC7-7E6B70A74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0F8"/>
    <w:rPr>
      <w:lang w:val="en-GB"/>
    </w:rPr>
  </w:style>
  <w:style w:type="paragraph" w:styleId="Heading1">
    <w:name w:val="heading 1"/>
    <w:basedOn w:val="Normal"/>
    <w:next w:val="Normal"/>
    <w:link w:val="Heading1Char"/>
    <w:autoRedefine/>
    <w:uiPriority w:val="9"/>
    <w:qFormat/>
    <w:rsid w:val="002F098C"/>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semiHidden/>
    <w:unhideWhenUsed/>
    <w:qFormat/>
    <w:rsid w:val="008B6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D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D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D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98C"/>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semiHidden/>
    <w:rsid w:val="008B6D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D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D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D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D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D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D47"/>
    <w:rPr>
      <w:rFonts w:eastAsiaTheme="majorEastAsia" w:cstheme="majorBidi"/>
      <w:color w:val="272727" w:themeColor="text1" w:themeTint="D8"/>
    </w:rPr>
  </w:style>
  <w:style w:type="paragraph" w:styleId="Title">
    <w:name w:val="Title"/>
    <w:basedOn w:val="Normal"/>
    <w:next w:val="Normal"/>
    <w:link w:val="TitleChar"/>
    <w:uiPriority w:val="10"/>
    <w:qFormat/>
    <w:rsid w:val="008B6D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D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D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D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D47"/>
    <w:pPr>
      <w:spacing w:before="160"/>
      <w:jc w:val="center"/>
    </w:pPr>
    <w:rPr>
      <w:i/>
      <w:iCs/>
      <w:color w:val="404040" w:themeColor="text1" w:themeTint="BF"/>
    </w:rPr>
  </w:style>
  <w:style w:type="character" w:customStyle="1" w:styleId="QuoteChar">
    <w:name w:val="Quote Char"/>
    <w:basedOn w:val="DefaultParagraphFont"/>
    <w:link w:val="Quote"/>
    <w:uiPriority w:val="29"/>
    <w:rsid w:val="008B6D47"/>
    <w:rPr>
      <w:i/>
      <w:iCs/>
      <w:color w:val="404040" w:themeColor="text1" w:themeTint="BF"/>
    </w:rPr>
  </w:style>
  <w:style w:type="paragraph" w:styleId="ListParagraph">
    <w:name w:val="List Paragraph"/>
    <w:basedOn w:val="Normal"/>
    <w:uiPriority w:val="34"/>
    <w:qFormat/>
    <w:rsid w:val="008B6D47"/>
    <w:pPr>
      <w:ind w:left="720"/>
      <w:contextualSpacing/>
    </w:pPr>
  </w:style>
  <w:style w:type="character" w:styleId="IntenseEmphasis">
    <w:name w:val="Intense Emphasis"/>
    <w:basedOn w:val="DefaultParagraphFont"/>
    <w:uiPriority w:val="21"/>
    <w:qFormat/>
    <w:rsid w:val="008B6D47"/>
    <w:rPr>
      <w:i/>
      <w:iCs/>
      <w:color w:val="0F4761" w:themeColor="accent1" w:themeShade="BF"/>
    </w:rPr>
  </w:style>
  <w:style w:type="paragraph" w:styleId="IntenseQuote">
    <w:name w:val="Intense Quote"/>
    <w:basedOn w:val="Normal"/>
    <w:next w:val="Normal"/>
    <w:link w:val="IntenseQuoteChar"/>
    <w:uiPriority w:val="30"/>
    <w:qFormat/>
    <w:rsid w:val="008B6D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D47"/>
    <w:rPr>
      <w:i/>
      <w:iCs/>
      <w:color w:val="0F4761" w:themeColor="accent1" w:themeShade="BF"/>
    </w:rPr>
  </w:style>
  <w:style w:type="character" w:styleId="IntenseReference">
    <w:name w:val="Intense Reference"/>
    <w:basedOn w:val="DefaultParagraphFont"/>
    <w:uiPriority w:val="32"/>
    <w:qFormat/>
    <w:rsid w:val="008B6D47"/>
    <w:rPr>
      <w:b/>
      <w:bCs/>
      <w:smallCaps/>
      <w:color w:val="0F4761" w:themeColor="accent1" w:themeShade="BF"/>
      <w:spacing w:val="5"/>
    </w:rPr>
  </w:style>
  <w:style w:type="paragraph" w:styleId="Header">
    <w:name w:val="header"/>
    <w:basedOn w:val="Normal"/>
    <w:link w:val="HeaderChar"/>
    <w:uiPriority w:val="99"/>
    <w:unhideWhenUsed/>
    <w:rsid w:val="00BE68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8A9"/>
  </w:style>
  <w:style w:type="paragraph" w:styleId="Footer">
    <w:name w:val="footer"/>
    <w:basedOn w:val="Normal"/>
    <w:link w:val="FooterChar"/>
    <w:uiPriority w:val="99"/>
    <w:unhideWhenUsed/>
    <w:rsid w:val="00BE68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8A9"/>
  </w:style>
  <w:style w:type="character" w:styleId="Hyperlink">
    <w:name w:val="Hyperlink"/>
    <w:basedOn w:val="DefaultParagraphFont"/>
    <w:uiPriority w:val="99"/>
    <w:unhideWhenUsed/>
    <w:rsid w:val="00CC310A"/>
    <w:rPr>
      <w:color w:val="467886" w:themeColor="hyperlink"/>
      <w:u w:val="single"/>
    </w:rPr>
  </w:style>
  <w:style w:type="character" w:styleId="UnresolvedMention">
    <w:name w:val="Unresolved Mention"/>
    <w:basedOn w:val="DefaultParagraphFont"/>
    <w:uiPriority w:val="99"/>
    <w:semiHidden/>
    <w:unhideWhenUsed/>
    <w:rsid w:val="00CC310A"/>
    <w:rPr>
      <w:color w:val="605E5C"/>
      <w:shd w:val="clear" w:color="auto" w:fill="E1DFDD"/>
    </w:rPr>
  </w:style>
  <w:style w:type="paragraph" w:styleId="TOCHeading">
    <w:name w:val="TOC Heading"/>
    <w:basedOn w:val="Heading1"/>
    <w:next w:val="Normal"/>
    <w:uiPriority w:val="39"/>
    <w:unhideWhenUsed/>
    <w:qFormat/>
    <w:rsid w:val="00B36C98"/>
    <w:pPr>
      <w:spacing w:before="240" w:after="0" w:line="259" w:lineRule="auto"/>
      <w:outlineLvl w:val="9"/>
    </w:pPr>
    <w:rPr>
      <w:rFonts w:asciiTheme="majorHAnsi" w:hAnsiTheme="majorHAnsi" w:cstheme="majorBid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B36C98"/>
    <w:pPr>
      <w:spacing w:after="100"/>
    </w:pPr>
  </w:style>
  <w:style w:type="paragraph" w:styleId="TOC2">
    <w:name w:val="toc 2"/>
    <w:basedOn w:val="Normal"/>
    <w:next w:val="Normal"/>
    <w:autoRedefine/>
    <w:uiPriority w:val="39"/>
    <w:unhideWhenUsed/>
    <w:rsid w:val="00B36C98"/>
    <w:pPr>
      <w:spacing w:after="100"/>
      <w:ind w:left="240"/>
    </w:pPr>
  </w:style>
  <w:style w:type="character" w:styleId="FollowedHyperlink">
    <w:name w:val="FollowedHyperlink"/>
    <w:basedOn w:val="DefaultParagraphFont"/>
    <w:uiPriority w:val="99"/>
    <w:semiHidden/>
    <w:unhideWhenUsed/>
    <w:rsid w:val="00DA3D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ureus.com/articles/242797-enhancing-patient-safety-through-effective-interprofessional-communication-a-focus-on-medication-error-prevention.pdf" TargetMode="External"/><Relationship Id="rId18" Type="http://schemas.openxmlformats.org/officeDocument/2006/relationships/hyperlink" Target="https://doi.org/10.1097/JHQ.0000000000000420" TargetMode="External"/><Relationship Id="rId26" Type="http://schemas.openxmlformats.org/officeDocument/2006/relationships/hyperlink" Target="https://drs.iihmrdelhi.edu.in:8443/jspui/bitstream/123456789/1701/1/DisseratationAvinash019.pdf" TargetMode="External"/><Relationship Id="rId39" Type="http://schemas.openxmlformats.org/officeDocument/2006/relationships/hyperlink" Target="https://doi.org/10.1111/jep.12883" TargetMode="External"/><Relationship Id="rId21" Type="http://schemas.openxmlformats.org/officeDocument/2006/relationships/hyperlink" Target="https://doi.org/10.21203/rs.3.rs-6554912/v1" TargetMode="External"/><Relationship Id="rId34" Type="http://schemas.openxmlformats.org/officeDocument/2006/relationships/hyperlink" Target="https://doi.org/10.1089/respcare.12579" TargetMode="External"/><Relationship Id="rId42" Type="http://schemas.openxmlformats.org/officeDocument/2006/relationships/hyperlink" Target="https://journals.lww.com/journalpatientsafety/fulltext/2022/03000/understanding_the__swiss_cheese_model__and_its.7.aspx"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4081/jphr.2013.e25" TargetMode="External"/><Relationship Id="rId29" Type="http://schemas.openxmlformats.org/officeDocument/2006/relationships/hyperlink" Target="https://doi.org/10.1002/nur.2229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136/ejhpharm-2025-004533" TargetMode="External"/><Relationship Id="rId32" Type="http://schemas.openxmlformats.org/officeDocument/2006/relationships/hyperlink" Target="https://doi.org/10.1108/IJHCQA-12-2017-0238" TargetMode="External"/><Relationship Id="rId37" Type="http://schemas.openxmlformats.org/officeDocument/2006/relationships/hyperlink" Target="https://doi.org/10.1016/B978-0-12-816163-0.00013-X" TargetMode="External"/><Relationship Id="rId40" Type="http://schemas.openxmlformats.org/officeDocument/2006/relationships/hyperlink" Target="https://www.academia.edu/download/82986930/pdf.pdf"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86/s12875-025-02954-3" TargetMode="External"/><Relationship Id="rId23" Type="http://schemas.openxmlformats.org/officeDocument/2006/relationships/hyperlink" Target="https://doi.org/10.1177/1078155210396396" TargetMode="External"/><Relationship Id="rId28" Type="http://schemas.openxmlformats.org/officeDocument/2006/relationships/hyperlink" Target="https://doi.org/10.1080/14740338.2025.2467831" TargetMode="External"/><Relationship Id="rId36" Type="http://schemas.openxmlformats.org/officeDocument/2006/relationships/hyperlink" Target="https://doi.org/10.34069/AI/2023.68.08.31" TargetMode="External"/><Relationship Id="rId10" Type="http://schemas.openxmlformats.org/officeDocument/2006/relationships/image" Target="media/image4.png"/><Relationship Id="rId19" Type="http://schemas.openxmlformats.org/officeDocument/2006/relationships/hyperlink" Target="https://doi.org/10.1159/000441380" TargetMode="External"/><Relationship Id="rId31" Type="http://schemas.openxmlformats.org/officeDocument/2006/relationships/hyperlink" Target="https://doi.org/10.1136/bmjqs-2017-007605"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earch.proquest.com/openview/63f05b1388606efb87dc77b5abce8ab7/1?pq-origsite=gscholar&amp;cbl=2026366&amp;diss=y" TargetMode="External"/><Relationship Id="rId22" Type="http://schemas.openxmlformats.org/officeDocument/2006/relationships/hyperlink" Target="https://doi.org/10.15131/shef.data.25218950" TargetMode="External"/><Relationship Id="rId27" Type="http://schemas.openxmlformats.org/officeDocument/2006/relationships/hyperlink" Target="https://doi.org/10.1177/1078155219869439" TargetMode="External"/><Relationship Id="rId30" Type="http://schemas.openxmlformats.org/officeDocument/2006/relationships/hyperlink" Target="https://doi.org/10.1108/TQM-06-2022-0187" TargetMode="External"/><Relationship Id="rId35" Type="http://schemas.openxmlformats.org/officeDocument/2006/relationships/hyperlink" Target="https://doi.org/10.1016/j.pharma.2022.12.002"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3389/fmed.2022.875426" TargetMode="External"/><Relationship Id="rId17" Type="http://schemas.openxmlformats.org/officeDocument/2006/relationships/hyperlink" Target="https://search.proquest.com/openview/c487a1279035a2e54c5d261c1cc54f4e/1?pq-origsite=gscholar&amp;cbl=33118" TargetMode="External"/><Relationship Id="rId25" Type="http://schemas.openxmlformats.org/officeDocument/2006/relationships/hyperlink" Target="https://doi.org/10.1093/bja/aex302" TargetMode="External"/><Relationship Id="rId33" Type="http://schemas.openxmlformats.org/officeDocument/2006/relationships/hyperlink" Target="https://www.sps.nhs.uk/articles/preventing-harm-from-incorrect-vinca-alkaloid-administration/" TargetMode="External"/><Relationship Id="rId38" Type="http://schemas.openxmlformats.org/officeDocument/2006/relationships/hyperlink" Target="https://doi.org/10.1136/bmjoq-2025-003487" TargetMode="External"/><Relationship Id="rId20" Type="http://schemas.openxmlformats.org/officeDocument/2006/relationships/hyperlink" Target="https://search.ebscohost.com/login.aspx?direct=true&amp;profile=ehost&amp;scope=site&amp;authtype=crawler&amp;jrnl=19818963&amp;AN=120484943&amp;h=1Y3hKAspEwHtbS55tcNUJlVkiL4WutKKbr9ZETRS0fJJv88zCOJvCwSj%2FKBy8MMESGTibahfgr0auXAEC8SRCw%3D%3D&amp;crl=c" TargetMode="External"/><Relationship Id="rId41" Type="http://schemas.openxmlformats.org/officeDocument/2006/relationships/hyperlink" Target="https://www.researchgate.net/profile/Liam-Donaldson-4/publication/320035347_External_Inquiry_into_the_adverse_incident_that_occurred_at_Queen's_Medical_Centre_Nottingham_4th_January_2001/links/59ca18cba6fdcc451d57deda/External-Inquiry-into-the-adverse-incident-that-occurred-at-Queens-Medical-Centre-Nottingham-4th-January-20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213</TotalTime>
  <Pages>19</Pages>
  <Words>5236</Words>
  <Characters>29848</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dishali bhuva</dc:creator>
  <cp:keywords/>
  <dc:description/>
  <cp:lastModifiedBy>DISHALI BHUVA</cp:lastModifiedBy>
  <cp:revision>2</cp:revision>
  <dcterms:created xsi:type="dcterms:W3CDTF">2026-04-07T16:52:00Z</dcterms:created>
  <dcterms:modified xsi:type="dcterms:W3CDTF">2026-04-17T07:59:00Z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f9f29f1f-14c7-46cd-b798-d4f1cd7b007c</vt:lpwstr>
  </property>
</Properties>
</file>