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4FA73" w14:textId="6C287066" w:rsidR="005D7288" w:rsidRDefault="0092513E" w:rsidP="00366C8D">
      <w:pPr>
        <w:spacing w:line="360" w:lineRule="auto"/>
        <w:jc w:val="both"/>
        <w:rPr>
          <w:rFonts w:cstheme="minorHAnsi"/>
          <w:b/>
          <w:sz w:val="24"/>
        </w:rPr>
      </w:pPr>
      <w:r w:rsidRPr="0092513E">
        <w:rPr>
          <w:rFonts w:cstheme="minorHAnsi"/>
          <w:b/>
          <w:sz w:val="24"/>
        </w:rPr>
        <w:t>Choose a specific key stage and critically evaluate how current initiatives support the development of numeracy across the curriculum within your setting.  Compare practice to the academic literature and policy.</w:t>
      </w:r>
    </w:p>
    <w:p w14:paraId="666CE613" w14:textId="48FFD026" w:rsidR="0092513E" w:rsidRDefault="0092513E" w:rsidP="00366C8D">
      <w:pPr>
        <w:spacing w:line="360" w:lineRule="auto"/>
        <w:jc w:val="both"/>
        <w:rPr>
          <w:rFonts w:cstheme="minorHAnsi"/>
          <w:sz w:val="24"/>
        </w:rPr>
      </w:pPr>
    </w:p>
    <w:p w14:paraId="71E990CA" w14:textId="77777777" w:rsidR="00F86C5A" w:rsidRDefault="00F86C5A" w:rsidP="00366C8D">
      <w:pPr>
        <w:spacing w:line="360" w:lineRule="auto"/>
        <w:jc w:val="both"/>
        <w:rPr>
          <w:rFonts w:cstheme="minorHAnsi"/>
          <w:sz w:val="24"/>
        </w:rPr>
      </w:pPr>
    </w:p>
    <w:p w14:paraId="34641D7B" w14:textId="77777777" w:rsidR="00F86C5A" w:rsidRDefault="00F86C5A" w:rsidP="00366C8D">
      <w:pPr>
        <w:spacing w:line="360" w:lineRule="auto"/>
        <w:jc w:val="both"/>
        <w:rPr>
          <w:rFonts w:cstheme="minorHAnsi"/>
          <w:sz w:val="24"/>
        </w:rPr>
      </w:pPr>
    </w:p>
    <w:p w14:paraId="47ED01F7" w14:textId="37CF508D" w:rsidR="00F86C5A" w:rsidRDefault="00F86C5A" w:rsidP="00366C8D">
      <w:pPr>
        <w:spacing w:line="360" w:lineRule="auto"/>
        <w:jc w:val="both"/>
        <w:rPr>
          <w:rFonts w:cstheme="minorHAnsi"/>
          <w:sz w:val="24"/>
        </w:rPr>
      </w:pPr>
      <w:r>
        <w:rPr>
          <w:rFonts w:cstheme="minorHAnsi"/>
          <w:sz w:val="24"/>
        </w:rPr>
        <w:t xml:space="preserve">Numeracy is very important as it is a life </w:t>
      </w:r>
      <w:r w:rsidR="00917974">
        <w:rPr>
          <w:rFonts w:cstheme="minorHAnsi"/>
          <w:sz w:val="24"/>
        </w:rPr>
        <w:t>skill,</w:t>
      </w:r>
      <w:r>
        <w:rPr>
          <w:rFonts w:cstheme="minorHAnsi"/>
          <w:sz w:val="24"/>
        </w:rPr>
        <w:t xml:space="preserve"> we use daily. We use numeracy without us even realising it.   Telling the time, creating food, handling money, playing with toys as a child and how we use logic. </w:t>
      </w:r>
      <w:r w:rsidR="00917974">
        <w:rPr>
          <w:rFonts w:cstheme="minorHAnsi"/>
          <w:sz w:val="24"/>
        </w:rPr>
        <w:t xml:space="preserve"> Numeracy can be argued that it helps us build </w:t>
      </w:r>
      <w:r w:rsidR="00D04C76">
        <w:rPr>
          <w:rFonts w:cstheme="minorHAnsi"/>
          <w:sz w:val="24"/>
        </w:rPr>
        <w:t xml:space="preserve">our </w:t>
      </w:r>
      <w:r w:rsidR="00917974">
        <w:rPr>
          <w:rFonts w:cstheme="minorHAnsi"/>
          <w:sz w:val="24"/>
        </w:rPr>
        <w:t xml:space="preserve">confidence by being able to use reasoning skills, for example, making decisions about our economy, understanding statistics including using directions for which way we go or what we want to achieve in our life. </w:t>
      </w:r>
      <w:r w:rsidR="00D04C76">
        <w:rPr>
          <w:rFonts w:cstheme="minorHAnsi"/>
          <w:sz w:val="24"/>
        </w:rPr>
        <w:t>Choosing a c</w:t>
      </w:r>
      <w:r w:rsidR="00917974">
        <w:rPr>
          <w:rFonts w:cstheme="minorHAnsi"/>
          <w:sz w:val="24"/>
        </w:rPr>
        <w:t xml:space="preserve">areer, </w:t>
      </w:r>
      <w:r w:rsidR="00D04C76">
        <w:rPr>
          <w:rFonts w:cstheme="minorHAnsi"/>
          <w:sz w:val="24"/>
        </w:rPr>
        <w:t>finding t</w:t>
      </w:r>
      <w:r w:rsidR="00917974">
        <w:rPr>
          <w:rFonts w:cstheme="minorHAnsi"/>
          <w:sz w:val="24"/>
        </w:rPr>
        <w:t xml:space="preserve">ransport and </w:t>
      </w:r>
      <w:r w:rsidR="00D04C76">
        <w:rPr>
          <w:rFonts w:cstheme="minorHAnsi"/>
          <w:sz w:val="24"/>
        </w:rPr>
        <w:t xml:space="preserve">applying for </w:t>
      </w:r>
      <w:r w:rsidR="00917974">
        <w:rPr>
          <w:rFonts w:cstheme="minorHAnsi"/>
          <w:sz w:val="24"/>
        </w:rPr>
        <w:t xml:space="preserve">a Mortgage. </w:t>
      </w:r>
    </w:p>
    <w:p w14:paraId="19EFA18F" w14:textId="45556E7E" w:rsidR="00D04C76" w:rsidRDefault="00366C8D" w:rsidP="00366C8D">
      <w:pPr>
        <w:spacing w:line="360" w:lineRule="auto"/>
        <w:jc w:val="both"/>
        <w:rPr>
          <w:rFonts w:cstheme="minorHAnsi"/>
          <w:sz w:val="24"/>
        </w:rPr>
      </w:pPr>
      <w:r>
        <w:rPr>
          <w:rFonts w:cstheme="minorHAnsi"/>
          <w:sz w:val="24"/>
        </w:rPr>
        <w:t xml:space="preserve">For the purpose of this assignment I am going to critically evaluate initiatives in Key Stage 3 of a comprehensive school based within a small town in South Wales. The main age group I shall be discussing is the first year, year 7 where they are aged between 11 to 12 years old. The Numeracy Framework of </w:t>
      </w:r>
      <w:r w:rsidR="00F86C5A">
        <w:rPr>
          <w:rFonts w:cstheme="minorHAnsi"/>
          <w:sz w:val="24"/>
        </w:rPr>
        <w:t>the Donaldson</w:t>
      </w:r>
      <w:r>
        <w:rPr>
          <w:rFonts w:cstheme="minorHAnsi"/>
          <w:sz w:val="24"/>
        </w:rPr>
        <w:t xml:space="preserve"> report</w:t>
      </w:r>
      <w:r w:rsidR="00AF3CF8">
        <w:rPr>
          <w:rFonts w:cstheme="minorHAnsi"/>
          <w:sz w:val="24"/>
        </w:rPr>
        <w:t>, ESTYN</w:t>
      </w:r>
      <w:bookmarkStart w:id="0" w:name="_GoBack"/>
      <w:bookmarkEnd w:id="0"/>
      <w:r>
        <w:rPr>
          <w:rFonts w:cstheme="minorHAnsi"/>
          <w:sz w:val="24"/>
        </w:rPr>
        <w:t xml:space="preserve"> and the Cockroft </w:t>
      </w:r>
      <w:r w:rsidR="00241126">
        <w:rPr>
          <w:rFonts w:cstheme="minorHAnsi"/>
          <w:sz w:val="24"/>
        </w:rPr>
        <w:t>r</w:t>
      </w:r>
      <w:r>
        <w:rPr>
          <w:rFonts w:cstheme="minorHAnsi"/>
          <w:sz w:val="24"/>
        </w:rPr>
        <w:t>eport (19</w:t>
      </w:r>
      <w:r w:rsidR="00241126">
        <w:rPr>
          <w:rFonts w:cstheme="minorHAnsi"/>
          <w:sz w:val="24"/>
        </w:rPr>
        <w:t>82</w:t>
      </w:r>
      <w:r>
        <w:rPr>
          <w:rFonts w:cstheme="minorHAnsi"/>
          <w:sz w:val="24"/>
        </w:rPr>
        <w:t xml:space="preserve">), shall be compared, while analysing government </w:t>
      </w:r>
      <w:r w:rsidR="00F86C5A">
        <w:rPr>
          <w:rFonts w:cstheme="minorHAnsi"/>
          <w:sz w:val="24"/>
        </w:rPr>
        <w:t>policies</w:t>
      </w:r>
      <w:r>
        <w:rPr>
          <w:rFonts w:cstheme="minorHAnsi"/>
          <w:sz w:val="24"/>
        </w:rPr>
        <w:t xml:space="preserve"> whi</w:t>
      </w:r>
      <w:r w:rsidR="00917974">
        <w:rPr>
          <w:rFonts w:cstheme="minorHAnsi"/>
          <w:sz w:val="24"/>
        </w:rPr>
        <w:t>ch</w:t>
      </w:r>
      <w:r>
        <w:rPr>
          <w:rFonts w:cstheme="minorHAnsi"/>
          <w:sz w:val="24"/>
        </w:rPr>
        <w:t xml:space="preserve"> look at </w:t>
      </w:r>
      <w:r w:rsidR="00F86C5A">
        <w:rPr>
          <w:rFonts w:cstheme="minorHAnsi"/>
          <w:sz w:val="24"/>
        </w:rPr>
        <w:t>initiatives</w:t>
      </w:r>
      <w:r>
        <w:rPr>
          <w:rFonts w:cstheme="minorHAnsi"/>
          <w:sz w:val="24"/>
        </w:rPr>
        <w:t xml:space="preserve"> that have been developed to provide support with</w:t>
      </w:r>
      <w:r w:rsidR="00917974">
        <w:rPr>
          <w:rFonts w:cstheme="minorHAnsi"/>
          <w:sz w:val="24"/>
        </w:rPr>
        <w:t xml:space="preserve">in </w:t>
      </w:r>
      <w:r>
        <w:rPr>
          <w:rFonts w:cstheme="minorHAnsi"/>
          <w:sz w:val="24"/>
        </w:rPr>
        <w:t>my school setting. For the</w:t>
      </w:r>
      <w:r w:rsidR="00D04C76">
        <w:rPr>
          <w:rFonts w:cstheme="minorHAnsi"/>
          <w:sz w:val="24"/>
        </w:rPr>
        <w:t xml:space="preserve"> purpose</w:t>
      </w:r>
      <w:r>
        <w:rPr>
          <w:rFonts w:cstheme="minorHAnsi"/>
          <w:sz w:val="24"/>
        </w:rPr>
        <w:t xml:space="preserve"> of </w:t>
      </w:r>
      <w:r w:rsidR="00241126">
        <w:rPr>
          <w:rFonts w:cstheme="minorHAnsi"/>
          <w:sz w:val="24"/>
        </w:rPr>
        <w:t>anonymity,</w:t>
      </w:r>
      <w:r>
        <w:rPr>
          <w:rFonts w:cstheme="minorHAnsi"/>
          <w:sz w:val="24"/>
        </w:rPr>
        <w:t xml:space="preserve"> the school</w:t>
      </w:r>
      <w:r w:rsidR="00D04C76">
        <w:rPr>
          <w:rFonts w:cstheme="minorHAnsi"/>
          <w:sz w:val="24"/>
        </w:rPr>
        <w:t xml:space="preserve"> shall be named </w:t>
      </w:r>
      <w:r>
        <w:rPr>
          <w:rFonts w:cstheme="minorHAnsi"/>
          <w:sz w:val="24"/>
        </w:rPr>
        <w:t>School A</w:t>
      </w:r>
      <w:r w:rsidR="00917974">
        <w:rPr>
          <w:rFonts w:cstheme="minorHAnsi"/>
          <w:sz w:val="24"/>
        </w:rPr>
        <w:t xml:space="preserve">, where I can identify practical approaches and how they have helped to potentially overcome barriers.  School A is based in a very deprived area where </w:t>
      </w:r>
      <w:r w:rsidR="00D04C76">
        <w:rPr>
          <w:rFonts w:cstheme="minorHAnsi"/>
          <w:sz w:val="24"/>
        </w:rPr>
        <w:t>DATA Analysis has</w:t>
      </w:r>
      <w:r w:rsidR="00917974">
        <w:rPr>
          <w:rFonts w:cstheme="minorHAnsi"/>
          <w:sz w:val="24"/>
        </w:rPr>
        <w:t xml:space="preserve"> shown </w:t>
      </w:r>
      <w:r w:rsidR="00D04C76">
        <w:rPr>
          <w:rFonts w:cstheme="minorHAnsi"/>
          <w:sz w:val="24"/>
        </w:rPr>
        <w:t>boys are falling behind in Mathematics and Numeracy compared to girls and w</w:t>
      </w:r>
      <w:r w:rsidR="0008356E">
        <w:rPr>
          <w:rFonts w:cstheme="minorHAnsi"/>
          <w:sz w:val="24"/>
        </w:rPr>
        <w:t xml:space="preserve">ill </w:t>
      </w:r>
      <w:r w:rsidR="00E724D4">
        <w:rPr>
          <w:rFonts w:cstheme="minorHAnsi"/>
          <w:sz w:val="24"/>
        </w:rPr>
        <w:t>identify</w:t>
      </w:r>
      <w:r w:rsidR="00D04C76">
        <w:rPr>
          <w:rFonts w:cstheme="minorHAnsi"/>
          <w:sz w:val="24"/>
        </w:rPr>
        <w:t xml:space="preserve"> strategies implemented </w:t>
      </w:r>
      <w:r w:rsidR="00E724D4">
        <w:rPr>
          <w:rFonts w:cstheme="minorHAnsi"/>
          <w:sz w:val="24"/>
        </w:rPr>
        <w:t>by</w:t>
      </w:r>
      <w:r w:rsidR="00D04C76">
        <w:rPr>
          <w:rFonts w:cstheme="minorHAnsi"/>
          <w:sz w:val="24"/>
        </w:rPr>
        <w:t xml:space="preserve"> the setting.</w:t>
      </w:r>
    </w:p>
    <w:p w14:paraId="6E939FF2" w14:textId="77777777" w:rsidR="00D04C76" w:rsidRDefault="00D04C76" w:rsidP="00366C8D">
      <w:pPr>
        <w:spacing w:line="360" w:lineRule="auto"/>
        <w:jc w:val="both"/>
        <w:rPr>
          <w:rFonts w:cstheme="minorHAnsi"/>
          <w:sz w:val="24"/>
        </w:rPr>
      </w:pPr>
    </w:p>
    <w:p w14:paraId="3140F78E" w14:textId="7179C95A" w:rsidR="0092513E" w:rsidRDefault="00D04C76" w:rsidP="00366C8D">
      <w:pPr>
        <w:spacing w:line="360" w:lineRule="auto"/>
        <w:jc w:val="both"/>
        <w:rPr>
          <w:rFonts w:cstheme="minorHAnsi"/>
          <w:sz w:val="24"/>
        </w:rPr>
      </w:pPr>
      <w:r>
        <w:rPr>
          <w:rFonts w:cstheme="minorHAnsi"/>
          <w:sz w:val="24"/>
        </w:rPr>
        <w:t>Estyn developed the New Literacy and Numeracy framework component across keys stages 2 and 3 which became statu</w:t>
      </w:r>
      <w:r w:rsidR="00241126">
        <w:rPr>
          <w:rFonts w:cstheme="minorHAnsi"/>
          <w:sz w:val="24"/>
        </w:rPr>
        <w:t xml:space="preserve">tory across education, September 2012. </w:t>
      </w:r>
      <w:sdt>
        <w:sdtPr>
          <w:rPr>
            <w:rFonts w:cstheme="minorHAnsi"/>
            <w:sz w:val="24"/>
          </w:rPr>
          <w:id w:val="-462433189"/>
          <w:citation/>
        </w:sdtPr>
        <w:sdtContent>
          <w:r w:rsidR="00241126">
            <w:rPr>
              <w:rFonts w:cstheme="minorHAnsi"/>
              <w:sz w:val="24"/>
            </w:rPr>
            <w:fldChar w:fldCharType="begin"/>
          </w:r>
          <w:r w:rsidR="00241126">
            <w:rPr>
              <w:rFonts w:cstheme="minorHAnsi"/>
              <w:sz w:val="24"/>
            </w:rPr>
            <w:instrText xml:space="preserve"> CITATION EST14 \l 2057 </w:instrText>
          </w:r>
          <w:r w:rsidR="00241126">
            <w:rPr>
              <w:rFonts w:cstheme="minorHAnsi"/>
              <w:sz w:val="24"/>
            </w:rPr>
            <w:fldChar w:fldCharType="separate"/>
          </w:r>
          <w:r w:rsidR="00241126" w:rsidRPr="00241126">
            <w:rPr>
              <w:rFonts w:cstheme="minorHAnsi"/>
              <w:noProof/>
              <w:sz w:val="24"/>
            </w:rPr>
            <w:t>(ESTYN, 2014)</w:t>
          </w:r>
          <w:r w:rsidR="00241126">
            <w:rPr>
              <w:rFonts w:cstheme="minorHAnsi"/>
              <w:sz w:val="24"/>
            </w:rPr>
            <w:fldChar w:fldCharType="end"/>
          </w:r>
        </w:sdtContent>
      </w:sdt>
    </w:p>
    <w:p w14:paraId="682E748F" w14:textId="3F77468F" w:rsidR="00241126" w:rsidRDefault="006767A9" w:rsidP="00366C8D">
      <w:pPr>
        <w:spacing w:line="360" w:lineRule="auto"/>
        <w:jc w:val="both"/>
        <w:rPr>
          <w:rFonts w:cstheme="minorHAnsi"/>
          <w:sz w:val="24"/>
        </w:rPr>
      </w:pPr>
      <w:r>
        <w:rPr>
          <w:rFonts w:cstheme="minorHAnsi"/>
          <w:sz w:val="24"/>
        </w:rPr>
        <w:t xml:space="preserve">The reasoning behind the new framework was to allow educators the opportunity over three years to improve the numeracy skills across the curriculum, by improving staff and pupils understanding.  Estyn, devised the new Literacy and Numeracy statutory tests for pupils in year two, ages six to seven, up to year nine, ages thirteen to 14 years old.   </w:t>
      </w:r>
    </w:p>
    <w:p w14:paraId="5DDAA4EE" w14:textId="7C391374" w:rsidR="006767A9" w:rsidRDefault="006767A9" w:rsidP="006767A9">
      <w:pPr>
        <w:spacing w:line="360" w:lineRule="auto"/>
        <w:ind w:left="850" w:right="850"/>
        <w:jc w:val="both"/>
        <w:rPr>
          <w:rFonts w:cstheme="minorHAnsi"/>
          <w:sz w:val="24"/>
        </w:rPr>
      </w:pPr>
      <w:r w:rsidRPr="006767A9">
        <w:rPr>
          <w:rFonts w:cstheme="minorHAnsi"/>
          <w:sz w:val="24"/>
        </w:rPr>
        <w:lastRenderedPageBreak/>
        <w:t>The key aim of the numeracy aspect of the National Literacy and Numeracy Framework is to help raise standards of numeracy in schools by assisting teachers of all subjects to identify and provide appropriate opportunities for pupils to apply their numeracy skills across the curriculum</w:t>
      </w:r>
      <w:r>
        <w:rPr>
          <w:rFonts w:cstheme="minorHAnsi"/>
          <w:sz w:val="24"/>
        </w:rPr>
        <w:t xml:space="preserve">. </w:t>
      </w:r>
      <w:sdt>
        <w:sdtPr>
          <w:rPr>
            <w:rFonts w:cstheme="minorHAnsi"/>
            <w:sz w:val="24"/>
          </w:rPr>
          <w:id w:val="488060536"/>
          <w:citation/>
        </w:sdtPr>
        <w:sdtContent>
          <w:r>
            <w:rPr>
              <w:rFonts w:cstheme="minorHAnsi"/>
              <w:sz w:val="24"/>
            </w:rPr>
            <w:fldChar w:fldCharType="begin"/>
          </w:r>
          <w:r>
            <w:rPr>
              <w:rFonts w:cstheme="minorHAnsi"/>
              <w:sz w:val="24"/>
            </w:rPr>
            <w:instrText xml:space="preserve"> CITATION EST14 \l 2057 </w:instrText>
          </w:r>
          <w:r>
            <w:rPr>
              <w:rFonts w:cstheme="minorHAnsi"/>
              <w:sz w:val="24"/>
            </w:rPr>
            <w:fldChar w:fldCharType="separate"/>
          </w:r>
          <w:r w:rsidRPr="006767A9">
            <w:rPr>
              <w:rFonts w:cstheme="minorHAnsi"/>
              <w:noProof/>
              <w:sz w:val="24"/>
            </w:rPr>
            <w:t>(ESTYN, 2014)</w:t>
          </w:r>
          <w:r>
            <w:rPr>
              <w:rFonts w:cstheme="minorHAnsi"/>
              <w:sz w:val="24"/>
            </w:rPr>
            <w:fldChar w:fldCharType="end"/>
          </w:r>
        </w:sdtContent>
      </w:sdt>
      <w:r w:rsidR="00370B05">
        <w:rPr>
          <w:rFonts w:cstheme="minorHAnsi"/>
          <w:sz w:val="24"/>
        </w:rPr>
        <w:t>.</w:t>
      </w:r>
    </w:p>
    <w:p w14:paraId="404BAE43" w14:textId="60069283" w:rsidR="002217F0" w:rsidRDefault="00440C24" w:rsidP="00017881">
      <w:pPr>
        <w:spacing w:line="360" w:lineRule="auto"/>
        <w:jc w:val="both"/>
        <w:rPr>
          <w:rFonts w:cstheme="minorHAnsi"/>
          <w:sz w:val="24"/>
        </w:rPr>
      </w:pPr>
      <w:r>
        <w:rPr>
          <w:rFonts w:cstheme="minorHAnsi"/>
          <w:sz w:val="24"/>
        </w:rPr>
        <w:t xml:space="preserve">Which suggests Estyn, recognises the </w:t>
      </w:r>
      <w:r w:rsidR="005F0C6E">
        <w:rPr>
          <w:rFonts w:cstheme="minorHAnsi"/>
          <w:sz w:val="24"/>
        </w:rPr>
        <w:t xml:space="preserve">importance of Numeracy throughout </w:t>
      </w:r>
      <w:r w:rsidR="00695B47">
        <w:rPr>
          <w:rFonts w:cstheme="minorHAnsi"/>
          <w:sz w:val="24"/>
        </w:rPr>
        <w:t>education and it is also staff that need t</w:t>
      </w:r>
      <w:r w:rsidR="00592D12">
        <w:rPr>
          <w:rFonts w:cstheme="minorHAnsi"/>
          <w:sz w:val="24"/>
        </w:rPr>
        <w:t>o</w:t>
      </w:r>
      <w:r w:rsidR="00695B47">
        <w:rPr>
          <w:rFonts w:cstheme="minorHAnsi"/>
          <w:sz w:val="24"/>
        </w:rPr>
        <w:t xml:space="preserve"> ensure their own </w:t>
      </w:r>
      <w:r w:rsidR="00592D12">
        <w:rPr>
          <w:rFonts w:cstheme="minorHAnsi"/>
          <w:sz w:val="24"/>
        </w:rPr>
        <w:t>understanding has improved.</w:t>
      </w:r>
      <w:r w:rsidR="005136D1">
        <w:rPr>
          <w:rFonts w:cstheme="minorHAnsi"/>
          <w:sz w:val="24"/>
        </w:rPr>
        <w:t xml:space="preserve">  It was observed that Numeracy was not being developed across the whole curriculum</w:t>
      </w:r>
      <w:r w:rsidR="00653A1D">
        <w:rPr>
          <w:rFonts w:cstheme="minorHAnsi"/>
          <w:sz w:val="24"/>
        </w:rPr>
        <w:t>, ‘</w:t>
      </w:r>
      <w:r w:rsidR="005136D1" w:rsidRPr="005136D1">
        <w:rPr>
          <w:rFonts w:cstheme="minorHAnsi"/>
          <w:sz w:val="24"/>
        </w:rPr>
        <w:t xml:space="preserve">The four strands of the National Literacy and Numeracy </w:t>
      </w:r>
      <w:r w:rsidR="00496156" w:rsidRPr="005136D1">
        <w:rPr>
          <w:rFonts w:cstheme="minorHAnsi"/>
          <w:sz w:val="24"/>
        </w:rPr>
        <w:t xml:space="preserve">Framework </w:t>
      </w:r>
      <w:r w:rsidR="00496156">
        <w:rPr>
          <w:rFonts w:cstheme="minorHAnsi"/>
          <w:sz w:val="24"/>
        </w:rPr>
        <w:t>they</w:t>
      </w:r>
      <w:r w:rsidR="002D3720">
        <w:rPr>
          <w:rFonts w:cstheme="minorHAnsi"/>
          <w:sz w:val="24"/>
        </w:rPr>
        <w:t xml:space="preserve"> found that needed to be </w:t>
      </w:r>
      <w:r w:rsidR="005136D1" w:rsidRPr="005136D1">
        <w:rPr>
          <w:rFonts w:cstheme="minorHAnsi"/>
          <w:sz w:val="24"/>
        </w:rPr>
        <w:t>develop</w:t>
      </w:r>
      <w:r w:rsidR="002D3720">
        <w:rPr>
          <w:rFonts w:cstheme="minorHAnsi"/>
          <w:sz w:val="24"/>
        </w:rPr>
        <w:t xml:space="preserve">ed were </w:t>
      </w:r>
      <w:r w:rsidR="005136D1" w:rsidRPr="005136D1">
        <w:rPr>
          <w:rFonts w:cstheme="minorHAnsi"/>
          <w:sz w:val="24"/>
        </w:rPr>
        <w:t>numerical reasoning</w:t>
      </w:r>
      <w:r w:rsidR="002D3720">
        <w:rPr>
          <w:rFonts w:cstheme="minorHAnsi"/>
          <w:sz w:val="24"/>
        </w:rPr>
        <w:t xml:space="preserve">, </w:t>
      </w:r>
      <w:r w:rsidR="005136D1" w:rsidRPr="005136D1">
        <w:rPr>
          <w:rFonts w:cstheme="minorHAnsi"/>
          <w:sz w:val="24"/>
        </w:rPr>
        <w:t>using number</w:t>
      </w:r>
      <w:r w:rsidR="000B1D98">
        <w:rPr>
          <w:rFonts w:cstheme="minorHAnsi"/>
          <w:sz w:val="24"/>
        </w:rPr>
        <w:t xml:space="preserve">, </w:t>
      </w:r>
      <w:r w:rsidR="005136D1" w:rsidRPr="005136D1">
        <w:rPr>
          <w:rFonts w:cstheme="minorHAnsi"/>
          <w:sz w:val="24"/>
        </w:rPr>
        <w:t xml:space="preserve">measuring </w:t>
      </w:r>
      <w:r w:rsidR="002D3720">
        <w:rPr>
          <w:rFonts w:cstheme="minorHAnsi"/>
          <w:sz w:val="24"/>
        </w:rPr>
        <w:t>and</w:t>
      </w:r>
      <w:r w:rsidR="005136D1" w:rsidRPr="005136D1">
        <w:rPr>
          <w:rFonts w:cstheme="minorHAnsi"/>
          <w:sz w:val="24"/>
        </w:rPr>
        <w:t xml:space="preserve"> data skills</w:t>
      </w:r>
      <w:r w:rsidR="00653A1D">
        <w:rPr>
          <w:rFonts w:cstheme="minorHAnsi"/>
          <w:sz w:val="24"/>
        </w:rPr>
        <w:t>.</w:t>
      </w:r>
      <w:r w:rsidR="0080657D">
        <w:rPr>
          <w:rFonts w:cstheme="minorHAnsi"/>
          <w:sz w:val="24"/>
        </w:rPr>
        <w:t>’</w:t>
      </w:r>
      <w:r w:rsidR="000B1D98">
        <w:rPr>
          <w:rFonts w:cstheme="minorHAnsi"/>
          <w:sz w:val="24"/>
        </w:rPr>
        <w:t xml:space="preserve"> </w:t>
      </w:r>
      <w:r w:rsidR="00A43904">
        <w:rPr>
          <w:rFonts w:cstheme="minorHAnsi"/>
          <w:sz w:val="24"/>
        </w:rPr>
        <w:t>(E</w:t>
      </w:r>
      <w:r w:rsidR="0039402D">
        <w:rPr>
          <w:rFonts w:cstheme="minorHAnsi"/>
          <w:sz w:val="24"/>
        </w:rPr>
        <w:t>STYN</w:t>
      </w:r>
      <w:r w:rsidR="00A43904">
        <w:rPr>
          <w:rFonts w:cstheme="minorHAnsi"/>
          <w:sz w:val="24"/>
        </w:rPr>
        <w:t>,</w:t>
      </w:r>
      <w:r w:rsidR="00FD30E8">
        <w:rPr>
          <w:rFonts w:cstheme="minorHAnsi"/>
          <w:sz w:val="24"/>
        </w:rPr>
        <w:t xml:space="preserve"> 2014,</w:t>
      </w:r>
      <w:r w:rsidR="00A43904">
        <w:rPr>
          <w:rFonts w:cstheme="minorHAnsi"/>
          <w:sz w:val="24"/>
        </w:rPr>
        <w:t xml:space="preserve"> p</w:t>
      </w:r>
      <w:r w:rsidR="00FD30E8">
        <w:rPr>
          <w:rFonts w:cstheme="minorHAnsi"/>
          <w:sz w:val="24"/>
        </w:rPr>
        <w:t>g. 1)</w:t>
      </w:r>
      <w:r w:rsidR="00496156">
        <w:rPr>
          <w:rFonts w:cstheme="minorHAnsi"/>
          <w:sz w:val="24"/>
        </w:rPr>
        <w:t>.</w:t>
      </w:r>
    </w:p>
    <w:p w14:paraId="0F8937B3" w14:textId="53186DFA" w:rsidR="002217F0" w:rsidRDefault="00F32E7A" w:rsidP="00017881">
      <w:pPr>
        <w:spacing w:line="360" w:lineRule="auto"/>
        <w:jc w:val="both"/>
        <w:rPr>
          <w:rFonts w:cstheme="minorHAnsi"/>
          <w:sz w:val="24"/>
        </w:rPr>
      </w:pPr>
      <w:r>
        <w:rPr>
          <w:rFonts w:cstheme="minorHAnsi"/>
          <w:sz w:val="24"/>
        </w:rPr>
        <w:t>In 1982 the Cockroft Report</w:t>
      </w:r>
      <w:r w:rsidR="00C67569">
        <w:rPr>
          <w:rFonts w:cstheme="minorHAnsi"/>
          <w:sz w:val="24"/>
        </w:rPr>
        <w:t xml:space="preserve"> identified the fundamental need for Mathematics</w:t>
      </w:r>
      <w:r w:rsidR="0028242C">
        <w:rPr>
          <w:rFonts w:cstheme="minorHAnsi"/>
          <w:sz w:val="24"/>
        </w:rPr>
        <w:t>. The report described how all other subjects were</w:t>
      </w:r>
      <w:r w:rsidR="004C02D3">
        <w:rPr>
          <w:rFonts w:cstheme="minorHAnsi"/>
          <w:sz w:val="24"/>
        </w:rPr>
        <w:t xml:space="preserve"> not as important unless Math</w:t>
      </w:r>
      <w:r w:rsidR="004447B9">
        <w:rPr>
          <w:rFonts w:cstheme="minorHAnsi"/>
          <w:sz w:val="24"/>
        </w:rPr>
        <w:t>ematics</w:t>
      </w:r>
      <w:r w:rsidR="004C02D3">
        <w:rPr>
          <w:rFonts w:cstheme="minorHAnsi"/>
          <w:sz w:val="24"/>
        </w:rPr>
        <w:t xml:space="preserve"> was grasped by the learner. </w:t>
      </w:r>
      <w:sdt>
        <w:sdtPr>
          <w:rPr>
            <w:rFonts w:cstheme="minorHAnsi"/>
            <w:sz w:val="24"/>
          </w:rPr>
          <w:id w:val="-240945075"/>
          <w:citation/>
        </w:sdtPr>
        <w:sdtContent>
          <w:r w:rsidR="001C0401">
            <w:rPr>
              <w:rFonts w:cstheme="minorHAnsi"/>
              <w:sz w:val="24"/>
            </w:rPr>
            <w:fldChar w:fldCharType="begin"/>
          </w:r>
          <w:r w:rsidR="001C0401">
            <w:rPr>
              <w:rFonts w:cstheme="minorHAnsi"/>
              <w:sz w:val="24"/>
            </w:rPr>
            <w:instrText xml:space="preserve"> CITATION Coc82 \l 2057 </w:instrText>
          </w:r>
          <w:r w:rsidR="001C0401">
            <w:rPr>
              <w:rFonts w:cstheme="minorHAnsi"/>
              <w:sz w:val="24"/>
            </w:rPr>
            <w:fldChar w:fldCharType="separate"/>
          </w:r>
          <w:r w:rsidR="001C0401" w:rsidRPr="001C0401">
            <w:rPr>
              <w:rFonts w:cstheme="minorHAnsi"/>
              <w:noProof/>
              <w:sz w:val="24"/>
            </w:rPr>
            <w:t>(Cockroft, 1982)</w:t>
          </w:r>
          <w:r w:rsidR="001C0401">
            <w:rPr>
              <w:rFonts w:cstheme="minorHAnsi"/>
              <w:sz w:val="24"/>
            </w:rPr>
            <w:fldChar w:fldCharType="end"/>
          </w:r>
        </w:sdtContent>
      </w:sdt>
      <w:r w:rsidR="004447B9">
        <w:rPr>
          <w:rFonts w:cstheme="minorHAnsi"/>
          <w:sz w:val="24"/>
        </w:rPr>
        <w:t xml:space="preserve"> This</w:t>
      </w:r>
    </w:p>
    <w:p w14:paraId="5E979077" w14:textId="778E1B17" w:rsidR="002217F0" w:rsidRDefault="002217F0" w:rsidP="00017881">
      <w:pPr>
        <w:spacing w:line="360" w:lineRule="auto"/>
        <w:jc w:val="both"/>
        <w:rPr>
          <w:rFonts w:cstheme="minorHAnsi"/>
          <w:sz w:val="24"/>
        </w:rPr>
      </w:pPr>
    </w:p>
    <w:p w14:paraId="21B236D8" w14:textId="77777777" w:rsidR="002217F0" w:rsidRDefault="002217F0" w:rsidP="00017881">
      <w:pPr>
        <w:spacing w:line="360" w:lineRule="auto"/>
        <w:jc w:val="both"/>
        <w:rPr>
          <w:rFonts w:cstheme="minorHAnsi"/>
          <w:sz w:val="24"/>
        </w:rPr>
      </w:pPr>
    </w:p>
    <w:sectPr w:rsidR="002217F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63596" w14:textId="77777777" w:rsidR="005E1328" w:rsidRDefault="005E1328" w:rsidP="0092513E">
      <w:pPr>
        <w:spacing w:after="0" w:line="240" w:lineRule="auto"/>
      </w:pPr>
      <w:r>
        <w:separator/>
      </w:r>
    </w:p>
  </w:endnote>
  <w:endnote w:type="continuationSeparator" w:id="0">
    <w:p w14:paraId="16D1EB90" w14:textId="77777777" w:rsidR="005E1328" w:rsidRDefault="005E1328" w:rsidP="00925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937F2" w14:textId="77777777" w:rsidR="005E1328" w:rsidRDefault="005E1328" w:rsidP="0092513E">
      <w:pPr>
        <w:spacing w:after="0" w:line="240" w:lineRule="auto"/>
      </w:pPr>
      <w:r>
        <w:separator/>
      </w:r>
    </w:p>
  </w:footnote>
  <w:footnote w:type="continuationSeparator" w:id="0">
    <w:p w14:paraId="01733AA6" w14:textId="77777777" w:rsidR="005E1328" w:rsidRDefault="005E1328" w:rsidP="00925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861F9" w14:textId="08C708FF" w:rsidR="0092513E" w:rsidRDefault="0092513E">
    <w:pPr>
      <w:pStyle w:val="Header"/>
    </w:pPr>
    <w:r>
      <w:t>Suzanne Curtis</w:t>
    </w:r>
  </w:p>
  <w:p w14:paraId="56B0DD5A" w14:textId="73D83896" w:rsidR="0092513E" w:rsidRDefault="0092513E">
    <w:pPr>
      <w:pStyle w:val="Header"/>
    </w:pPr>
    <w:r>
      <w:t>SJIE5001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13E"/>
    <w:rsid w:val="00017881"/>
    <w:rsid w:val="00063D37"/>
    <w:rsid w:val="0008356E"/>
    <w:rsid w:val="000A5723"/>
    <w:rsid w:val="000B1D98"/>
    <w:rsid w:val="000E201E"/>
    <w:rsid w:val="001C0401"/>
    <w:rsid w:val="002217F0"/>
    <w:rsid w:val="00241126"/>
    <w:rsid w:val="0028242C"/>
    <w:rsid w:val="002D3720"/>
    <w:rsid w:val="00366C8D"/>
    <w:rsid w:val="00370B05"/>
    <w:rsid w:val="0039402D"/>
    <w:rsid w:val="00440C24"/>
    <w:rsid w:val="004447B9"/>
    <w:rsid w:val="00496156"/>
    <w:rsid w:val="004C02D3"/>
    <w:rsid w:val="005136D1"/>
    <w:rsid w:val="00585B51"/>
    <w:rsid w:val="00592D12"/>
    <w:rsid w:val="005D7288"/>
    <w:rsid w:val="005E1328"/>
    <w:rsid w:val="005F0C6E"/>
    <w:rsid w:val="00653A1D"/>
    <w:rsid w:val="006767A9"/>
    <w:rsid w:val="00695B47"/>
    <w:rsid w:val="006D1913"/>
    <w:rsid w:val="006E02F1"/>
    <w:rsid w:val="007F727C"/>
    <w:rsid w:val="0080657D"/>
    <w:rsid w:val="008147FB"/>
    <w:rsid w:val="00917974"/>
    <w:rsid w:val="0092513E"/>
    <w:rsid w:val="00A43904"/>
    <w:rsid w:val="00AD3007"/>
    <w:rsid w:val="00AF3CF8"/>
    <w:rsid w:val="00BB7045"/>
    <w:rsid w:val="00C67569"/>
    <w:rsid w:val="00CF53F7"/>
    <w:rsid w:val="00D04C76"/>
    <w:rsid w:val="00D77DA9"/>
    <w:rsid w:val="00E724D4"/>
    <w:rsid w:val="00F32E7A"/>
    <w:rsid w:val="00F86C5A"/>
    <w:rsid w:val="00FD3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4E0A5"/>
  <w15:chartTrackingRefBased/>
  <w15:docId w15:val="{65FC11DF-1565-4156-833C-5F443F6BE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13E"/>
  </w:style>
  <w:style w:type="paragraph" w:styleId="Footer">
    <w:name w:val="footer"/>
    <w:basedOn w:val="Normal"/>
    <w:link w:val="FooterChar"/>
    <w:uiPriority w:val="99"/>
    <w:unhideWhenUsed/>
    <w:rsid w:val="00925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257618">
      <w:bodyDiv w:val="1"/>
      <w:marLeft w:val="0"/>
      <w:marRight w:val="0"/>
      <w:marTop w:val="0"/>
      <w:marBottom w:val="0"/>
      <w:divBdr>
        <w:top w:val="none" w:sz="0" w:space="0" w:color="auto"/>
        <w:left w:val="none" w:sz="0" w:space="0" w:color="auto"/>
        <w:bottom w:val="none" w:sz="0" w:space="0" w:color="auto"/>
        <w:right w:val="none" w:sz="0" w:space="0" w:color="auto"/>
      </w:divBdr>
    </w:div>
    <w:div w:id="1153990399">
      <w:bodyDiv w:val="1"/>
      <w:marLeft w:val="0"/>
      <w:marRight w:val="0"/>
      <w:marTop w:val="0"/>
      <w:marBottom w:val="0"/>
      <w:divBdr>
        <w:top w:val="none" w:sz="0" w:space="0" w:color="auto"/>
        <w:left w:val="none" w:sz="0" w:space="0" w:color="auto"/>
        <w:bottom w:val="none" w:sz="0" w:space="0" w:color="auto"/>
        <w:right w:val="none" w:sz="0" w:space="0" w:color="auto"/>
      </w:divBdr>
    </w:div>
    <w:div w:id="166042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EST14</b:Tag>
    <b:SourceType>Report</b:SourceType>
    <b:Guid>{F5C6B4EB-24CF-4EFC-87DB-7AE9A3462B60}</b:Guid>
    <b:Title>Numeracy in key stages 2 and 3:  an interim report</b:Title>
    <b:Year>2014</b:Year>
    <b:City>Cardiff </b:City>
    <b:Publisher>ESTYN</b:Publisher>
    <b:Author>
      <b:Author>
        <b:NameList>
          <b:Person>
            <b:Last>ESTYN</b:Last>
          </b:Person>
        </b:NameList>
      </b:Author>
    </b:Author>
    <b:RefOrder>1</b:RefOrder>
  </b:Source>
  <b:Source>
    <b:Tag>Coc82</b:Tag>
    <b:SourceType>Report</b:SourceType>
    <b:Guid>{706138E1-634F-4638-AB9B-987170F3D708}</b:Guid>
    <b:Author>
      <b:Author>
        <b:NameList>
          <b:Person>
            <b:Last>Cockroft</b:Last>
            <b:First>WH.</b:First>
          </b:Person>
        </b:NameList>
      </b:Author>
    </b:Author>
    <b:Title>Mathematics counts</b:Title>
    <b:Year>1982</b:Year>
    <b:Publisher>Her Majestys Stationary Office</b:Publisher>
    <b:City>London</b:City>
    <b:RefOrder>2</b:RefOrder>
  </b:Source>
</b:Sources>
</file>

<file path=customXml/itemProps1.xml><?xml version="1.0" encoding="utf-8"?>
<ds:datastoreItem xmlns:ds="http://schemas.openxmlformats.org/officeDocument/2006/customXml" ds:itemID="{875241F6-ACDA-432C-805A-6F75FF194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2</Pages>
  <Words>476</Words>
  <Characters>2719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Curtis</dc:creator>
  <cp:keywords/>
  <dc:description/>
  <cp:lastModifiedBy>Connor Curtis</cp:lastModifiedBy>
  <cp:revision>38</cp:revision>
  <dcterms:created xsi:type="dcterms:W3CDTF">2019-01-27T14:22:00Z</dcterms:created>
  <dcterms:modified xsi:type="dcterms:W3CDTF">2019-01-27T22:07:00Z</dcterms:modified>
</cp:coreProperties>
</file>