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E5D602" w14:textId="77777777" w:rsidR="00AC7F49" w:rsidRPr="007A195A" w:rsidRDefault="00AC7F49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bookmarkStart w:id="0" w:name="_GoBack"/>
      <w:bookmarkEnd w:id="0"/>
    </w:p>
    <w:p w14:paraId="545003A9" w14:textId="77777777" w:rsidR="00DD6F8E" w:rsidRPr="007A195A" w:rsidRDefault="00B91EEE" w:rsidP="007A195A">
      <w:pPr>
        <w:pStyle w:val="Heading3"/>
        <w:spacing w:before="0" w:after="0"/>
        <w:jc w:val="center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PROJECT ASSIGNMENT:</w:t>
      </w:r>
    </w:p>
    <w:p w14:paraId="1CA94AAE" w14:textId="77777777" w:rsidR="00AC7F49" w:rsidRPr="007A195A" w:rsidRDefault="00AC7F49" w:rsidP="007A195A">
      <w:pPr>
        <w:pStyle w:val="Heading3"/>
        <w:spacing w:before="0" w:after="0"/>
        <w:jc w:val="center"/>
        <w:rPr>
          <w:rFonts w:asciiTheme="minorHAnsi" w:hAnsiTheme="minorHAnsi" w:cstheme="minorHAnsi"/>
          <w:color w:val="000000"/>
          <w:sz w:val="24"/>
          <w:szCs w:val="24"/>
        </w:rPr>
      </w:pPr>
    </w:p>
    <w:p w14:paraId="25A2B859" w14:textId="77777777" w:rsidR="00AC7F49" w:rsidRPr="007A195A" w:rsidRDefault="00AC7F49" w:rsidP="007A195A">
      <w:pPr>
        <w:pStyle w:val="Heading3"/>
        <w:spacing w:before="0" w:after="0"/>
        <w:jc w:val="center"/>
        <w:rPr>
          <w:rFonts w:asciiTheme="minorHAnsi" w:hAnsiTheme="minorHAnsi" w:cstheme="minorHAnsi"/>
          <w:color w:val="000000"/>
          <w:sz w:val="24"/>
          <w:szCs w:val="24"/>
        </w:rPr>
      </w:pPr>
    </w:p>
    <w:p w14:paraId="6E86FE94" w14:textId="6DBD7F60" w:rsidR="00AC7F49" w:rsidRPr="007A195A" w:rsidRDefault="00B91EEE" w:rsidP="007A195A">
      <w:pPr>
        <w:pStyle w:val="Heading3"/>
        <w:spacing w:before="0" w:after="0"/>
        <w:jc w:val="center"/>
        <w:rPr>
          <w:rFonts w:asciiTheme="minorHAnsi" w:hAnsiTheme="minorHAnsi" w:cstheme="minorHAnsi"/>
          <w:color w:val="000000"/>
          <w:sz w:val="24"/>
          <w:szCs w:val="24"/>
        </w:rPr>
      </w:pPr>
      <w:proofErr w:type="gramStart"/>
      <w:r w:rsidRPr="007A195A">
        <w:rPr>
          <w:rFonts w:asciiTheme="minorHAnsi" w:hAnsiTheme="minorHAnsi" w:cstheme="minorHAnsi"/>
          <w:color w:val="000000"/>
          <w:sz w:val="24"/>
          <w:szCs w:val="24"/>
        </w:rPr>
        <w:t>A</w:t>
      </w:r>
      <w:proofErr w:type="gramEnd"/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</w:t>
      </w:r>
      <w:r w:rsidR="007C06DF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INVESTIGATION OF THE </w:t>
      </w:r>
      <w:r w:rsidR="007054C0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ROUTE OF A NEW </w:t>
      </w:r>
      <w:r w:rsidR="00B35EFD" w:rsidRPr="007A195A">
        <w:rPr>
          <w:rFonts w:asciiTheme="minorHAnsi" w:hAnsiTheme="minorHAnsi" w:cstheme="minorHAnsi"/>
          <w:color w:val="000000"/>
          <w:sz w:val="24"/>
          <w:szCs w:val="24"/>
        </w:rPr>
        <w:t>ROAD</w:t>
      </w:r>
      <w:r w:rsidR="007054C0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FROM </w:t>
      </w:r>
      <w:r w:rsidR="00B35EFD" w:rsidRPr="007A195A">
        <w:rPr>
          <w:rFonts w:asciiTheme="minorHAnsi" w:hAnsiTheme="minorHAnsi" w:cstheme="minorHAnsi"/>
          <w:color w:val="000000"/>
          <w:sz w:val="24"/>
          <w:szCs w:val="24"/>
        </w:rPr>
        <w:t>RHYDYFELIN TO ABERSYTWYTH</w:t>
      </w:r>
      <w:r w:rsidR="007054C0" w:rsidRPr="007A195A">
        <w:rPr>
          <w:rFonts w:asciiTheme="minorHAnsi" w:hAnsiTheme="minorHAnsi" w:cstheme="minorHAnsi"/>
          <w:color w:val="000000"/>
          <w:sz w:val="24"/>
          <w:szCs w:val="24"/>
        </w:rPr>
        <w:t>, MID WALES</w:t>
      </w:r>
    </w:p>
    <w:p w14:paraId="19CC6CFB" w14:textId="527D8A43" w:rsidR="00B35EFD" w:rsidRPr="007A195A" w:rsidRDefault="00B35EFD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352E0535" w14:textId="418A8610" w:rsidR="00B35EFD" w:rsidRPr="007A195A" w:rsidRDefault="00B35EFD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7A45FC69" w14:textId="77777777" w:rsidR="00B35EFD" w:rsidRPr="007A195A" w:rsidRDefault="00B35EFD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4BE16236" w14:textId="73EF9267" w:rsidR="00AC7F49" w:rsidRPr="007A195A" w:rsidRDefault="00B35EFD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noProof/>
          <w:color w:val="000000"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48D073B3" wp14:editId="21CA1240">
            <wp:simplePos x="0" y="0"/>
            <wp:positionH relativeFrom="column">
              <wp:posOffset>-1012190</wp:posOffset>
            </wp:positionH>
            <wp:positionV relativeFrom="paragraph">
              <wp:posOffset>-2540</wp:posOffset>
            </wp:positionV>
            <wp:extent cx="7428288" cy="4178300"/>
            <wp:effectExtent l="0" t="0" r="1270" b="0"/>
            <wp:wrapTight wrapText="bothSides">
              <wp:wrapPolygon edited="0">
                <wp:start x="0" y="0"/>
                <wp:lineTo x="0" y="21469"/>
                <wp:lineTo x="21548" y="21469"/>
                <wp:lineTo x="2154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Final project map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428288" cy="4178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818191" w14:textId="1996EFAE" w:rsidR="00AC7F49" w:rsidRPr="007A195A" w:rsidRDefault="00AC7F49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4E75AA9F" w14:textId="131F6962" w:rsidR="00B35EFD" w:rsidRPr="007A195A" w:rsidRDefault="00B35EFD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371AA35A" w14:textId="13F989DE" w:rsidR="00B35EFD" w:rsidRPr="007A195A" w:rsidRDefault="00B35EFD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672AB8C7" w14:textId="77777777" w:rsidR="00B35EFD" w:rsidRPr="007A195A" w:rsidRDefault="00B35EFD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23546A40" w14:textId="09A6B08C" w:rsidR="00AC7F49" w:rsidRPr="007A195A" w:rsidRDefault="00B35EFD" w:rsidP="007A195A">
      <w:pPr>
        <w:overflowPunct/>
        <w:autoSpaceDE/>
        <w:autoSpaceDN/>
        <w:adjustRightInd/>
        <w:spacing w:before="0" w:after="0"/>
        <w:jc w:val="center"/>
        <w:textAlignment w:val="auto"/>
        <w:rPr>
          <w:rFonts w:asciiTheme="minorHAnsi" w:hAnsiTheme="minorHAnsi" w:cstheme="minorHAnsi"/>
          <w:b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b/>
          <w:color w:val="000000"/>
          <w:sz w:val="24"/>
          <w:szCs w:val="24"/>
        </w:rPr>
        <w:t>MAY</w:t>
      </w:r>
      <w:r w:rsidR="00E113C9" w:rsidRPr="007A195A">
        <w:rPr>
          <w:rFonts w:asciiTheme="minorHAnsi" w:hAnsiTheme="minorHAnsi" w:cstheme="minorHAnsi"/>
          <w:b/>
          <w:color w:val="000000"/>
          <w:sz w:val="24"/>
          <w:szCs w:val="24"/>
        </w:rPr>
        <w:t xml:space="preserve"> 201</w:t>
      </w:r>
      <w:r w:rsidRPr="007A195A">
        <w:rPr>
          <w:rFonts w:asciiTheme="minorHAnsi" w:hAnsiTheme="minorHAnsi" w:cstheme="minorHAnsi"/>
          <w:b/>
          <w:color w:val="000000"/>
          <w:sz w:val="24"/>
          <w:szCs w:val="24"/>
        </w:rPr>
        <w:t>9</w:t>
      </w:r>
    </w:p>
    <w:p w14:paraId="787CD32B" w14:textId="77777777" w:rsidR="00AC7F49" w:rsidRPr="007A195A" w:rsidRDefault="00AC7F49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67BE021E" w14:textId="69F137DC" w:rsidR="00B35EFD" w:rsidRPr="007A195A" w:rsidRDefault="00B35EFD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br w:type="page"/>
      </w:r>
    </w:p>
    <w:p w14:paraId="65F8EC87" w14:textId="77777777" w:rsidR="00AC7F49" w:rsidRPr="007A195A" w:rsidRDefault="00AC7F49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7F642F82" w14:textId="77777777" w:rsidR="00AC7F49" w:rsidRPr="007A195A" w:rsidRDefault="00AC7F49" w:rsidP="007A195A">
      <w:pPr>
        <w:overflowPunct/>
        <w:autoSpaceDE/>
        <w:autoSpaceDN/>
        <w:adjustRightInd/>
        <w:spacing w:before="0" w:after="0"/>
        <w:textAlignment w:val="auto"/>
        <w:rPr>
          <w:rFonts w:asciiTheme="minorHAnsi" w:hAnsiTheme="minorHAnsi" w:cstheme="minorHAnsi"/>
          <w:color w:val="000000"/>
          <w:sz w:val="24"/>
          <w:szCs w:val="24"/>
        </w:rPr>
      </w:pPr>
    </w:p>
    <w:p w14:paraId="417F7CAC" w14:textId="77777777" w:rsidR="00B91EEE" w:rsidRPr="007A195A" w:rsidRDefault="00B91EEE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1. 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ab/>
        <w:t>Introduction</w:t>
      </w:r>
    </w:p>
    <w:p w14:paraId="52DEA26F" w14:textId="77777777" w:rsidR="009349D4" w:rsidRPr="007A195A" w:rsidRDefault="009349D4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420A4EE5" w14:textId="1E59AE5B" w:rsidR="00B91EEE" w:rsidRPr="007A195A" w:rsidRDefault="00B91EEE" w:rsidP="007A195A">
      <w:pPr>
        <w:pStyle w:val="BodyTextIndent2"/>
        <w:spacing w:before="0" w:after="0"/>
        <w:ind w:left="0"/>
        <w:rPr>
          <w:rFonts w:asciiTheme="minorHAnsi" w:hAnsiTheme="minorHAnsi" w:cstheme="minorHAnsi"/>
          <w:sz w:val="24"/>
          <w:szCs w:val="24"/>
        </w:rPr>
      </w:pPr>
      <w:r w:rsidRPr="007A195A">
        <w:rPr>
          <w:rFonts w:asciiTheme="minorHAnsi" w:hAnsiTheme="minorHAnsi" w:cstheme="minorHAnsi"/>
          <w:sz w:val="24"/>
          <w:szCs w:val="24"/>
        </w:rPr>
        <w:t>A</w:t>
      </w:r>
      <w:r w:rsidR="007054C0" w:rsidRPr="007A195A">
        <w:rPr>
          <w:rFonts w:asciiTheme="minorHAnsi" w:hAnsiTheme="minorHAnsi" w:cstheme="minorHAnsi"/>
          <w:sz w:val="24"/>
          <w:szCs w:val="24"/>
        </w:rPr>
        <w:t xml:space="preserve">s part of the upgrading of the north/south transport corridor in on the western seaboard of Wales the Welsh </w:t>
      </w:r>
      <w:proofErr w:type="spellStart"/>
      <w:r w:rsidR="007054C0" w:rsidRPr="007A195A">
        <w:rPr>
          <w:rFonts w:asciiTheme="minorHAnsi" w:hAnsiTheme="minorHAnsi" w:cstheme="minorHAnsi"/>
          <w:sz w:val="24"/>
          <w:szCs w:val="24"/>
        </w:rPr>
        <w:t>Parliment</w:t>
      </w:r>
      <w:proofErr w:type="spellEnd"/>
      <w:r w:rsidR="007054C0" w:rsidRPr="007A195A">
        <w:rPr>
          <w:rFonts w:asciiTheme="minorHAnsi" w:hAnsiTheme="minorHAnsi" w:cstheme="minorHAnsi"/>
          <w:sz w:val="24"/>
          <w:szCs w:val="24"/>
        </w:rPr>
        <w:t xml:space="preserve"> is to investigate a proposal to construct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a </w:t>
      </w:r>
      <w:r w:rsidRPr="007A195A">
        <w:rPr>
          <w:rFonts w:asciiTheme="minorHAnsi" w:hAnsiTheme="minorHAnsi" w:cstheme="minorHAnsi"/>
          <w:sz w:val="24"/>
          <w:szCs w:val="24"/>
        </w:rPr>
        <w:t>major</w:t>
      </w:r>
      <w:r w:rsidR="007054C0" w:rsidRPr="007A195A">
        <w:rPr>
          <w:rFonts w:asciiTheme="minorHAnsi" w:hAnsiTheme="minorHAnsi" w:cstheme="minorHAnsi"/>
          <w:sz w:val="24"/>
          <w:szCs w:val="24"/>
        </w:rPr>
        <w:t xml:space="preserve">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new road between </w:t>
      </w:r>
      <w:proofErr w:type="spellStart"/>
      <w:r w:rsidR="00B35EFD" w:rsidRPr="007A195A">
        <w:rPr>
          <w:rFonts w:asciiTheme="minorHAnsi" w:hAnsiTheme="minorHAnsi" w:cstheme="minorHAnsi"/>
          <w:sz w:val="24"/>
          <w:szCs w:val="24"/>
        </w:rPr>
        <w:t>Rhydyfelin</w:t>
      </w:r>
      <w:proofErr w:type="spellEnd"/>
      <w:r w:rsidR="00B35EFD" w:rsidRPr="007A195A">
        <w:rPr>
          <w:rFonts w:asciiTheme="minorHAnsi" w:hAnsiTheme="minorHAnsi" w:cstheme="minorHAnsi"/>
          <w:sz w:val="24"/>
          <w:szCs w:val="24"/>
        </w:rPr>
        <w:t xml:space="preserve"> and Aberystwyth. </w:t>
      </w:r>
      <w:r w:rsidR="007C06DF" w:rsidRPr="007A195A">
        <w:rPr>
          <w:rFonts w:asciiTheme="minorHAnsi" w:hAnsiTheme="minorHAnsi" w:cstheme="minorHAnsi"/>
          <w:sz w:val="24"/>
          <w:szCs w:val="24"/>
        </w:rPr>
        <w:t xml:space="preserve">The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archaeological potential of the </w:t>
      </w:r>
      <w:r w:rsidR="007C06DF" w:rsidRPr="007A195A">
        <w:rPr>
          <w:rFonts w:asciiTheme="minorHAnsi" w:hAnsiTheme="minorHAnsi" w:cstheme="minorHAnsi"/>
          <w:sz w:val="24"/>
          <w:szCs w:val="24"/>
        </w:rPr>
        <w:t xml:space="preserve">mouth of the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Ystwyth </w:t>
      </w:r>
      <w:r w:rsidR="007C06DF" w:rsidRPr="007A195A">
        <w:rPr>
          <w:rFonts w:asciiTheme="minorHAnsi" w:hAnsiTheme="minorHAnsi" w:cstheme="minorHAnsi"/>
          <w:sz w:val="24"/>
          <w:szCs w:val="24"/>
        </w:rPr>
        <w:t xml:space="preserve">is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little understood although submerged peats are present on the foreshore, a major hill fort exists on Pen </w:t>
      </w:r>
      <w:proofErr w:type="spellStart"/>
      <w:r w:rsidR="00B35EFD" w:rsidRPr="007A195A">
        <w:rPr>
          <w:rFonts w:asciiTheme="minorHAnsi" w:hAnsiTheme="minorHAnsi" w:cstheme="minorHAnsi"/>
          <w:sz w:val="24"/>
          <w:szCs w:val="24"/>
        </w:rPr>
        <w:t>Dinas</w:t>
      </w:r>
      <w:proofErr w:type="spellEnd"/>
      <w:r w:rsidR="00B35EFD" w:rsidRPr="007A195A">
        <w:rPr>
          <w:rFonts w:asciiTheme="minorHAnsi" w:hAnsiTheme="minorHAnsi" w:cstheme="minorHAnsi"/>
          <w:sz w:val="24"/>
          <w:szCs w:val="24"/>
        </w:rPr>
        <w:t xml:space="preserve"> and the first castle in Aberystwyth overlooks the valley.  </w:t>
      </w:r>
      <w:r w:rsidR="007054C0" w:rsidRPr="007A195A">
        <w:rPr>
          <w:rFonts w:asciiTheme="minorHAnsi" w:hAnsiTheme="minorHAnsi" w:cstheme="minorHAnsi"/>
          <w:sz w:val="24"/>
          <w:szCs w:val="24"/>
        </w:rPr>
        <w:t xml:space="preserve">As a consequence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of this development </w:t>
      </w:r>
      <w:r w:rsidR="007054C0" w:rsidRPr="007A195A">
        <w:rPr>
          <w:rFonts w:asciiTheme="minorHAnsi" w:hAnsiTheme="minorHAnsi" w:cstheme="minorHAnsi"/>
          <w:sz w:val="24"/>
          <w:szCs w:val="24"/>
        </w:rPr>
        <w:t xml:space="preserve">a detailed desktop assessment </w:t>
      </w:r>
      <w:r w:rsidR="00B35EFD" w:rsidRPr="007A195A">
        <w:rPr>
          <w:rFonts w:asciiTheme="minorHAnsi" w:hAnsiTheme="minorHAnsi" w:cstheme="minorHAnsi"/>
          <w:sz w:val="24"/>
          <w:szCs w:val="24"/>
        </w:rPr>
        <w:t xml:space="preserve">and programme of works </w:t>
      </w:r>
      <w:r w:rsidR="007054C0" w:rsidRPr="007A195A">
        <w:rPr>
          <w:rFonts w:asciiTheme="minorHAnsi" w:hAnsiTheme="minorHAnsi" w:cstheme="minorHAnsi"/>
          <w:sz w:val="24"/>
          <w:szCs w:val="24"/>
        </w:rPr>
        <w:t>is required for the development and associated infrastructure</w:t>
      </w:r>
      <w:r w:rsidR="007C06DF" w:rsidRPr="007A195A">
        <w:rPr>
          <w:rFonts w:asciiTheme="minorHAnsi" w:hAnsiTheme="minorHAnsi" w:cstheme="minorHAnsi"/>
          <w:sz w:val="24"/>
          <w:szCs w:val="24"/>
        </w:rPr>
        <w:t xml:space="preserve">.  </w:t>
      </w:r>
    </w:p>
    <w:p w14:paraId="2081877A" w14:textId="77777777" w:rsidR="007C06DF" w:rsidRPr="007A195A" w:rsidRDefault="007C06DF" w:rsidP="007A195A">
      <w:pPr>
        <w:pStyle w:val="BodyTextIndent2"/>
        <w:spacing w:before="0" w:after="0"/>
        <w:ind w:left="0"/>
        <w:rPr>
          <w:rFonts w:asciiTheme="minorHAnsi" w:hAnsiTheme="minorHAnsi" w:cstheme="minorHAnsi"/>
          <w:sz w:val="24"/>
          <w:szCs w:val="24"/>
        </w:rPr>
      </w:pPr>
    </w:p>
    <w:p w14:paraId="24371675" w14:textId="77777777" w:rsidR="00B91EEE" w:rsidRPr="007A195A" w:rsidRDefault="007C06DF" w:rsidP="007A195A">
      <w:pPr>
        <w:pStyle w:val="BodyTextIndent2"/>
        <w:spacing w:before="0" w:after="0"/>
        <w:ind w:left="0"/>
        <w:rPr>
          <w:rFonts w:asciiTheme="minorHAnsi" w:hAnsiTheme="minorHAnsi" w:cstheme="minorHAnsi"/>
          <w:sz w:val="24"/>
          <w:szCs w:val="24"/>
        </w:rPr>
      </w:pPr>
      <w:r w:rsidRPr="007A195A">
        <w:rPr>
          <w:rFonts w:asciiTheme="minorHAnsi" w:hAnsiTheme="minorHAnsi" w:cstheme="minorHAnsi"/>
          <w:sz w:val="24"/>
          <w:szCs w:val="24"/>
        </w:rPr>
        <w:t>The</w:t>
      </w:r>
      <w:r w:rsidR="00B91EEE" w:rsidRPr="007A195A">
        <w:rPr>
          <w:rFonts w:asciiTheme="minorHAnsi" w:hAnsiTheme="minorHAnsi" w:cstheme="minorHAnsi"/>
          <w:sz w:val="24"/>
          <w:szCs w:val="24"/>
        </w:rPr>
        <w:t xml:space="preserve"> </w:t>
      </w:r>
      <w:r w:rsidRPr="007A195A">
        <w:rPr>
          <w:rFonts w:asciiTheme="minorHAnsi" w:hAnsiTheme="minorHAnsi" w:cstheme="minorHAnsi"/>
          <w:sz w:val="24"/>
          <w:szCs w:val="24"/>
        </w:rPr>
        <w:t xml:space="preserve">project brief requires that a desktop evaluation </w:t>
      </w:r>
      <w:r w:rsidR="00B80FD5" w:rsidRPr="007A195A">
        <w:rPr>
          <w:rFonts w:asciiTheme="minorHAnsi" w:hAnsiTheme="minorHAnsi" w:cstheme="minorHAnsi"/>
          <w:sz w:val="24"/>
          <w:szCs w:val="24"/>
        </w:rPr>
        <w:t xml:space="preserve">focuses on </w:t>
      </w:r>
      <w:r w:rsidRPr="007A195A">
        <w:rPr>
          <w:rFonts w:asciiTheme="minorHAnsi" w:hAnsiTheme="minorHAnsi" w:cstheme="minorHAnsi"/>
          <w:sz w:val="24"/>
          <w:szCs w:val="24"/>
        </w:rPr>
        <w:t xml:space="preserve">the </w:t>
      </w:r>
      <w:r w:rsidR="007054C0" w:rsidRPr="007A195A">
        <w:rPr>
          <w:rFonts w:asciiTheme="minorHAnsi" w:hAnsiTheme="minorHAnsi" w:cstheme="minorHAnsi"/>
          <w:sz w:val="24"/>
          <w:szCs w:val="24"/>
        </w:rPr>
        <w:t>nature, associated environments and ages of the</w:t>
      </w:r>
      <w:r w:rsidRPr="007A195A">
        <w:rPr>
          <w:rFonts w:asciiTheme="minorHAnsi" w:hAnsiTheme="minorHAnsi" w:cstheme="minorHAnsi"/>
          <w:sz w:val="24"/>
          <w:szCs w:val="24"/>
        </w:rPr>
        <w:t xml:space="preserve"> sequences</w:t>
      </w:r>
      <w:r w:rsidR="007054C0" w:rsidRPr="007A195A">
        <w:rPr>
          <w:rFonts w:asciiTheme="minorHAnsi" w:hAnsiTheme="minorHAnsi" w:cstheme="minorHAnsi"/>
          <w:sz w:val="24"/>
          <w:szCs w:val="24"/>
        </w:rPr>
        <w:t xml:space="preserve"> to be impacted</w:t>
      </w:r>
      <w:r w:rsidR="00B80FD5" w:rsidRPr="007A195A">
        <w:rPr>
          <w:rFonts w:asciiTheme="minorHAnsi" w:hAnsiTheme="minorHAnsi" w:cstheme="minorHAnsi"/>
          <w:sz w:val="24"/>
          <w:szCs w:val="24"/>
        </w:rPr>
        <w:t xml:space="preserve">.  </w:t>
      </w:r>
      <w:proofErr w:type="gramStart"/>
      <w:r w:rsidR="00B80FD5" w:rsidRPr="007A195A">
        <w:rPr>
          <w:rFonts w:asciiTheme="minorHAnsi" w:hAnsiTheme="minorHAnsi" w:cstheme="minorHAnsi"/>
          <w:sz w:val="24"/>
          <w:szCs w:val="24"/>
        </w:rPr>
        <w:t>Furthermore</w:t>
      </w:r>
      <w:proofErr w:type="gramEnd"/>
      <w:r w:rsidR="00B80FD5" w:rsidRPr="007A195A">
        <w:rPr>
          <w:rFonts w:asciiTheme="minorHAnsi" w:hAnsiTheme="minorHAnsi" w:cstheme="minorHAnsi"/>
          <w:sz w:val="24"/>
          <w:szCs w:val="24"/>
        </w:rPr>
        <w:t xml:space="preserve"> these sequences need to be placed within an archaeological framework derived from study of the HER and associated published literature.</w:t>
      </w:r>
      <w:r w:rsidRPr="007A195A">
        <w:rPr>
          <w:rFonts w:asciiTheme="minorHAnsi" w:hAnsiTheme="minorHAnsi" w:cstheme="minorHAnsi"/>
          <w:sz w:val="24"/>
          <w:szCs w:val="24"/>
        </w:rPr>
        <w:t xml:space="preserve">  The desktop evaluation should outline the findings and </w:t>
      </w:r>
      <w:r w:rsidR="00B91EEE" w:rsidRPr="007A195A">
        <w:rPr>
          <w:rFonts w:asciiTheme="minorHAnsi" w:hAnsiTheme="minorHAnsi" w:cstheme="minorHAnsi"/>
          <w:sz w:val="24"/>
          <w:szCs w:val="24"/>
        </w:rPr>
        <w:t>develop a methodology for site investigation</w:t>
      </w:r>
      <w:r w:rsidRPr="007A195A">
        <w:rPr>
          <w:rFonts w:asciiTheme="minorHAnsi" w:hAnsiTheme="minorHAnsi" w:cstheme="minorHAnsi"/>
          <w:sz w:val="24"/>
          <w:szCs w:val="24"/>
        </w:rPr>
        <w:t>.</w:t>
      </w:r>
      <w:r w:rsidR="00B91EEE" w:rsidRPr="007A195A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706556C0" w14:textId="77777777" w:rsidR="00444301" w:rsidRPr="007A195A" w:rsidRDefault="00444301" w:rsidP="007A195A">
      <w:pPr>
        <w:pStyle w:val="BodyTextIndent2"/>
        <w:spacing w:before="0" w:after="0"/>
        <w:ind w:left="0"/>
        <w:rPr>
          <w:rFonts w:asciiTheme="minorHAnsi" w:hAnsiTheme="minorHAnsi" w:cstheme="minorHAnsi"/>
          <w:sz w:val="24"/>
          <w:szCs w:val="24"/>
        </w:rPr>
      </w:pPr>
    </w:p>
    <w:p w14:paraId="7ABDF231" w14:textId="77777777" w:rsidR="009349D4" w:rsidRPr="007A195A" w:rsidRDefault="009349D4" w:rsidP="007A195A">
      <w:pPr>
        <w:pStyle w:val="BodyTextIndent2"/>
        <w:spacing w:before="0" w:after="0"/>
        <w:ind w:left="0"/>
        <w:rPr>
          <w:rFonts w:asciiTheme="minorHAnsi" w:hAnsiTheme="minorHAnsi" w:cstheme="minorHAnsi"/>
          <w:sz w:val="24"/>
          <w:szCs w:val="24"/>
        </w:rPr>
      </w:pPr>
    </w:p>
    <w:p w14:paraId="6401381C" w14:textId="77777777" w:rsidR="00B91EEE" w:rsidRPr="007A195A" w:rsidRDefault="00B91EEE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bookmarkStart w:id="1" w:name="_Toc46635532"/>
      <w:bookmarkStart w:id="2" w:name="_Toc87680276"/>
      <w:r w:rsidRPr="007A195A">
        <w:rPr>
          <w:rFonts w:asciiTheme="minorHAnsi" w:hAnsiTheme="minorHAnsi" w:cstheme="minorHAnsi"/>
          <w:color w:val="000000"/>
          <w:sz w:val="24"/>
          <w:szCs w:val="24"/>
        </w:rPr>
        <w:t>2.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ab/>
        <w:t>T</w:t>
      </w:r>
      <w:bookmarkEnd w:id="1"/>
      <w:r w:rsidRPr="007A195A">
        <w:rPr>
          <w:rFonts w:asciiTheme="minorHAnsi" w:hAnsiTheme="minorHAnsi" w:cstheme="minorHAnsi"/>
          <w:color w:val="000000"/>
          <w:sz w:val="24"/>
          <w:szCs w:val="24"/>
        </w:rPr>
        <w:t>he Development Area</w:t>
      </w:r>
      <w:bookmarkStart w:id="3" w:name="_Toc46635533"/>
      <w:bookmarkEnd w:id="2"/>
    </w:p>
    <w:p w14:paraId="1DD2832F" w14:textId="77777777" w:rsidR="009349D4" w:rsidRPr="007A195A" w:rsidRDefault="009349D4" w:rsidP="007A195A">
      <w:pPr>
        <w:pStyle w:val="BodyText2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2FFF62F7" w14:textId="787FBE5C" w:rsidR="00B91EEE" w:rsidRPr="007A195A" w:rsidRDefault="00B91EEE" w:rsidP="007A195A">
      <w:pPr>
        <w:pStyle w:val="BodyText2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The development </w:t>
      </w:r>
      <w:r w:rsidR="00B80FD5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includes a </w:t>
      </w:r>
      <w:r w:rsidR="00B35EFD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road and two </w:t>
      </w:r>
      <w:r w:rsidR="00B80FD5" w:rsidRPr="007A195A">
        <w:rPr>
          <w:rFonts w:asciiTheme="minorHAnsi" w:hAnsiTheme="minorHAnsi" w:cstheme="minorHAnsi"/>
          <w:color w:val="000000"/>
          <w:sz w:val="24"/>
          <w:szCs w:val="24"/>
        </w:rPr>
        <w:t>bridge</w:t>
      </w:r>
      <w:r w:rsidR="00B35EFD" w:rsidRPr="007A195A">
        <w:rPr>
          <w:rFonts w:asciiTheme="minorHAnsi" w:hAnsiTheme="minorHAnsi" w:cstheme="minorHAnsi"/>
          <w:color w:val="000000"/>
          <w:sz w:val="24"/>
          <w:szCs w:val="24"/>
        </w:rPr>
        <w:t>s</w:t>
      </w:r>
      <w:r w:rsidR="00B80FD5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across the </w:t>
      </w:r>
      <w:r w:rsidR="00B35EFD" w:rsidRPr="007A195A">
        <w:rPr>
          <w:rFonts w:asciiTheme="minorHAnsi" w:hAnsiTheme="minorHAnsi" w:cstheme="minorHAnsi"/>
          <w:color w:val="000000"/>
          <w:sz w:val="24"/>
          <w:szCs w:val="24"/>
        </w:rPr>
        <w:t>Ystwyth as outlined on the accompanying map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. </w:t>
      </w:r>
    </w:p>
    <w:p w14:paraId="73845CBE" w14:textId="77777777" w:rsidR="00444301" w:rsidRPr="007A195A" w:rsidRDefault="00444301" w:rsidP="007A195A">
      <w:pPr>
        <w:pStyle w:val="BodyText2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37E6DC03" w14:textId="77777777" w:rsidR="009349D4" w:rsidRPr="007A195A" w:rsidRDefault="009349D4" w:rsidP="007A195A">
      <w:pPr>
        <w:pStyle w:val="BodyText2"/>
        <w:jc w:val="both"/>
        <w:rPr>
          <w:rFonts w:asciiTheme="minorHAnsi" w:hAnsiTheme="minorHAnsi" w:cstheme="minorHAnsi"/>
          <w:color w:val="000000"/>
          <w:sz w:val="24"/>
          <w:szCs w:val="24"/>
        </w:rPr>
      </w:pPr>
    </w:p>
    <w:p w14:paraId="2E9323A7" w14:textId="77777777" w:rsidR="00B91EEE" w:rsidRPr="007A195A" w:rsidRDefault="00B91EEE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bookmarkStart w:id="4" w:name="_Toc87680277"/>
      <w:r w:rsidRPr="007A195A">
        <w:rPr>
          <w:rFonts w:asciiTheme="minorHAnsi" w:hAnsiTheme="minorHAnsi" w:cstheme="minorHAnsi"/>
          <w:color w:val="000000"/>
          <w:sz w:val="24"/>
          <w:szCs w:val="24"/>
        </w:rPr>
        <w:t>3.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ab/>
        <w:t>Geology</w:t>
      </w:r>
      <w:bookmarkEnd w:id="4"/>
    </w:p>
    <w:p w14:paraId="5DCB78DC" w14:textId="77777777" w:rsidR="009349D4" w:rsidRPr="007A195A" w:rsidRDefault="009349D4" w:rsidP="007A195A">
      <w:pPr>
        <w:pStyle w:val="Heading3"/>
        <w:spacing w:before="0" w:after="0"/>
        <w:jc w:val="both"/>
        <w:rPr>
          <w:rFonts w:asciiTheme="minorHAnsi" w:hAnsiTheme="minorHAnsi" w:cstheme="minorHAnsi"/>
          <w:b w:val="0"/>
          <w:color w:val="000000"/>
          <w:sz w:val="24"/>
          <w:szCs w:val="24"/>
        </w:rPr>
      </w:pPr>
    </w:p>
    <w:p w14:paraId="61E87CCA" w14:textId="77777777" w:rsidR="00B91EEE" w:rsidRPr="007A195A" w:rsidRDefault="00B91EEE" w:rsidP="007A195A">
      <w:pPr>
        <w:pStyle w:val="Heading3"/>
        <w:spacing w:before="0" w:after="0"/>
        <w:jc w:val="both"/>
        <w:rPr>
          <w:rFonts w:asciiTheme="minorHAnsi" w:hAnsiTheme="minorHAnsi" w:cstheme="minorHAnsi"/>
          <w:b w:val="0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 xml:space="preserve">The underlying geology of the site comprises </w:t>
      </w:r>
      <w:r w:rsidR="00B80FD5"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>Ordovician shale and sandstone</w:t>
      </w:r>
      <w:r w:rsidR="00CF5431"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 xml:space="preserve"> </w:t>
      </w:r>
      <w:r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 xml:space="preserve">bedrock overlain by </w:t>
      </w:r>
      <w:r w:rsidR="00B80FD5"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>a thick sequence of alluvium</w:t>
      </w:r>
      <w:r w:rsidRPr="007A195A">
        <w:rPr>
          <w:rFonts w:asciiTheme="minorHAnsi" w:hAnsiTheme="minorHAnsi" w:cstheme="minorHAnsi"/>
          <w:b w:val="0"/>
          <w:color w:val="000000"/>
          <w:sz w:val="24"/>
          <w:szCs w:val="24"/>
        </w:rPr>
        <w:t xml:space="preserve">.  </w:t>
      </w:r>
      <w:bookmarkStart w:id="5" w:name="_Toc46635534"/>
      <w:bookmarkStart w:id="6" w:name="_Toc87680279"/>
      <w:bookmarkEnd w:id="3"/>
    </w:p>
    <w:p w14:paraId="2F084EAA" w14:textId="77777777" w:rsidR="00444301" w:rsidRPr="007A195A" w:rsidRDefault="00444301" w:rsidP="007A195A">
      <w:pPr>
        <w:pStyle w:val="Heading3"/>
        <w:spacing w:before="0" w:after="0"/>
        <w:jc w:val="both"/>
        <w:rPr>
          <w:rFonts w:asciiTheme="minorHAnsi" w:hAnsiTheme="minorHAnsi" w:cstheme="minorHAnsi"/>
          <w:b w:val="0"/>
          <w:color w:val="000000"/>
          <w:sz w:val="24"/>
          <w:szCs w:val="24"/>
        </w:rPr>
      </w:pPr>
    </w:p>
    <w:p w14:paraId="6CBE9E35" w14:textId="77777777" w:rsidR="009349D4" w:rsidRPr="007A195A" w:rsidRDefault="009349D4" w:rsidP="007A195A">
      <w:pPr>
        <w:pStyle w:val="Heading3"/>
        <w:spacing w:before="0" w:after="0"/>
        <w:jc w:val="both"/>
        <w:rPr>
          <w:rFonts w:asciiTheme="minorHAnsi" w:hAnsiTheme="minorHAnsi" w:cstheme="minorHAnsi"/>
          <w:b w:val="0"/>
          <w:color w:val="000000"/>
          <w:sz w:val="24"/>
          <w:szCs w:val="24"/>
        </w:rPr>
      </w:pPr>
    </w:p>
    <w:p w14:paraId="67C837E9" w14:textId="77777777" w:rsidR="00B91EEE" w:rsidRPr="007A195A" w:rsidRDefault="00B91EEE" w:rsidP="007A195A">
      <w:pPr>
        <w:pStyle w:val="Heading3"/>
        <w:spacing w:before="0" w:after="0"/>
        <w:jc w:val="both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4.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ab/>
        <w:t>Aims and Objectives</w:t>
      </w:r>
      <w:bookmarkEnd w:id="5"/>
      <w:bookmarkEnd w:id="6"/>
    </w:p>
    <w:p w14:paraId="0715CBC7" w14:textId="77777777" w:rsidR="009349D4" w:rsidRPr="007A195A" w:rsidRDefault="009349D4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6A373482" w14:textId="77777777" w:rsidR="00B91EEE" w:rsidRPr="007A195A" w:rsidRDefault="00B91EEE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The objectives of the reporting are:</w:t>
      </w:r>
    </w:p>
    <w:p w14:paraId="62E6474D" w14:textId="77777777" w:rsidR="00CF5431" w:rsidRPr="007A195A" w:rsidRDefault="00CF5431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To address the location, nature and likely age of any archaeological material within the area.</w:t>
      </w:r>
    </w:p>
    <w:p w14:paraId="374A3A47" w14:textId="77777777" w:rsidR="00CF5431" w:rsidRPr="007A195A" w:rsidRDefault="00CF5431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To describe the likely subsurface stratigraphy within which any archaeology is likely to be enclosed</w:t>
      </w:r>
    </w:p>
    <w:p w14:paraId="35AA7F73" w14:textId="77777777" w:rsidR="00B91EEE" w:rsidRPr="007A195A" w:rsidRDefault="00B91EEE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To provide information on </w:t>
      </w:r>
      <w:r w:rsidR="00CF5431" w:rsidRPr="007A195A">
        <w:rPr>
          <w:rFonts w:asciiTheme="minorHAnsi" w:hAnsiTheme="minorHAnsi" w:cstheme="minorHAnsi"/>
          <w:color w:val="000000"/>
          <w:sz w:val="24"/>
          <w:szCs w:val="24"/>
        </w:rPr>
        <w:t>the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environments of deposition</w:t>
      </w:r>
      <w:r w:rsidR="00CF5431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of any identified deposits</w:t>
      </w:r>
    </w:p>
    <w:p w14:paraId="68E82775" w14:textId="77777777" w:rsidR="00B91EEE" w:rsidRPr="007A195A" w:rsidRDefault="00B91EEE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To comment on the likely age of deposits</w:t>
      </w:r>
    </w:p>
    <w:p w14:paraId="2D3E94B0" w14:textId="41DB9508" w:rsidR="00CF5431" w:rsidRPr="007A195A" w:rsidRDefault="00CF5431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To describe appropriate methodologies for investigating the sub-surface archaeological potentia</w:t>
      </w:r>
      <w:r w:rsidR="00AD6E45" w:rsidRPr="007A195A">
        <w:rPr>
          <w:rFonts w:asciiTheme="minorHAnsi" w:hAnsiTheme="minorHAnsi" w:cstheme="minorHAnsi"/>
          <w:color w:val="000000"/>
          <w:sz w:val="24"/>
          <w:szCs w:val="24"/>
        </w:rPr>
        <w:t>l</w:t>
      </w:r>
      <w:r w:rsidR="00444301" w:rsidRPr="007A195A">
        <w:rPr>
          <w:rFonts w:asciiTheme="minorHAnsi" w:hAnsiTheme="minorHAnsi" w:cstheme="minorHAnsi"/>
          <w:color w:val="000000"/>
          <w:sz w:val="24"/>
          <w:szCs w:val="24"/>
        </w:rPr>
        <w:t>.</w:t>
      </w:r>
    </w:p>
    <w:p w14:paraId="1FF11BB1" w14:textId="387DC95F" w:rsidR="00AD6E45" w:rsidRPr="007A195A" w:rsidRDefault="00AD6E45" w:rsidP="007A195A">
      <w:pPr>
        <w:numPr>
          <w:ilvl w:val="0"/>
          <w:numId w:val="1"/>
        </w:numPr>
        <w:tabs>
          <w:tab w:val="clear" w:pos="1440"/>
          <w:tab w:val="num" w:pos="851"/>
        </w:tabs>
        <w:spacing w:before="0" w:after="0"/>
        <w:ind w:left="851" w:hanging="425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To locate appropriate works along the route corridor.</w:t>
      </w:r>
    </w:p>
    <w:p w14:paraId="54DAEDF7" w14:textId="77777777" w:rsidR="00444301" w:rsidRPr="007A195A" w:rsidRDefault="00444301" w:rsidP="007A195A">
      <w:pPr>
        <w:spacing w:before="0" w:after="0"/>
        <w:ind w:left="851"/>
        <w:rPr>
          <w:rFonts w:asciiTheme="minorHAnsi" w:hAnsiTheme="minorHAnsi" w:cstheme="minorHAnsi"/>
          <w:color w:val="000000"/>
          <w:sz w:val="24"/>
          <w:szCs w:val="24"/>
        </w:rPr>
      </w:pPr>
    </w:p>
    <w:p w14:paraId="6DE80840" w14:textId="77777777" w:rsidR="009349D4" w:rsidRPr="007A195A" w:rsidRDefault="009349D4" w:rsidP="007A195A">
      <w:pPr>
        <w:spacing w:before="0" w:after="0"/>
        <w:ind w:left="851"/>
        <w:rPr>
          <w:rFonts w:asciiTheme="minorHAnsi" w:hAnsiTheme="minorHAnsi" w:cstheme="minorHAnsi"/>
          <w:color w:val="000000"/>
          <w:sz w:val="24"/>
          <w:szCs w:val="24"/>
        </w:rPr>
      </w:pPr>
    </w:p>
    <w:p w14:paraId="79917230" w14:textId="77777777" w:rsidR="00444301" w:rsidRPr="007A195A" w:rsidRDefault="00444301" w:rsidP="007A195A">
      <w:pPr>
        <w:spacing w:before="0" w:after="0"/>
        <w:rPr>
          <w:rFonts w:asciiTheme="minorHAnsi" w:hAnsiTheme="minorHAnsi" w:cstheme="minorHAnsi"/>
          <w:b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b/>
          <w:color w:val="000000"/>
          <w:sz w:val="24"/>
          <w:szCs w:val="24"/>
        </w:rPr>
        <w:lastRenderedPageBreak/>
        <w:t>5.          Assessment</w:t>
      </w:r>
    </w:p>
    <w:p w14:paraId="5BD68DDA" w14:textId="77777777" w:rsidR="009349D4" w:rsidRPr="007A195A" w:rsidRDefault="009349D4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510CCC1F" w14:textId="77777777" w:rsidR="00444301" w:rsidRPr="007A195A" w:rsidRDefault="00444301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You will produce a written report of </w:t>
      </w:r>
      <w:r w:rsidR="006750FB" w:rsidRPr="007A195A">
        <w:rPr>
          <w:rFonts w:asciiTheme="minorHAnsi" w:hAnsiTheme="minorHAnsi" w:cstheme="minorHAnsi"/>
          <w:color w:val="000000"/>
          <w:sz w:val="24"/>
          <w:szCs w:val="24"/>
        </w:rPr>
        <w:t>2500 words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length.  The report will be written in</w:t>
      </w:r>
      <w:r w:rsidR="00B80FD5"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the form of an appropriate 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>desk top evaluation report and will be fully illustrated with maps, figures and diagrams.</w:t>
      </w:r>
    </w:p>
    <w:p w14:paraId="72FF98A0" w14:textId="0813B356" w:rsidR="006750FB" w:rsidRPr="007A195A" w:rsidRDefault="006750FB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</w:p>
    <w:p w14:paraId="2B8EFEAD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b/>
          <w:sz w:val="24"/>
          <w:szCs w:val="24"/>
        </w:rPr>
      </w:pPr>
    </w:p>
    <w:p w14:paraId="189F724D" w14:textId="19757620" w:rsidR="00BD29F2" w:rsidRDefault="00BD29F2" w:rsidP="007A195A">
      <w:pPr>
        <w:spacing w:before="0" w:after="0"/>
        <w:rPr>
          <w:rFonts w:asciiTheme="minorHAnsi" w:hAnsiTheme="minorHAnsi" w:cstheme="minorHAnsi"/>
          <w:b/>
          <w:sz w:val="24"/>
          <w:szCs w:val="24"/>
        </w:rPr>
      </w:pPr>
      <w:r w:rsidRPr="007A195A">
        <w:rPr>
          <w:rFonts w:asciiTheme="minorHAnsi" w:hAnsiTheme="minorHAnsi" w:cstheme="minorHAnsi"/>
          <w:b/>
          <w:sz w:val="24"/>
          <w:szCs w:val="24"/>
        </w:rPr>
        <w:t>References</w:t>
      </w:r>
    </w:p>
    <w:p w14:paraId="4A41668B" w14:textId="77777777" w:rsidR="007A195A" w:rsidRPr="007A195A" w:rsidRDefault="007A195A" w:rsidP="007A195A">
      <w:pPr>
        <w:spacing w:before="0" w:after="0"/>
        <w:rPr>
          <w:rFonts w:asciiTheme="minorHAnsi" w:hAnsiTheme="minorHAnsi" w:cstheme="minorHAnsi"/>
          <w:b/>
          <w:sz w:val="24"/>
          <w:szCs w:val="24"/>
        </w:rPr>
      </w:pPr>
    </w:p>
    <w:p w14:paraId="37F0C306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  <w:r w:rsidRPr="007A195A">
        <w:rPr>
          <w:rFonts w:asciiTheme="minorHAnsi" w:hAnsiTheme="minorHAnsi" w:cstheme="minorHAnsi"/>
          <w:sz w:val="24"/>
          <w:szCs w:val="24"/>
        </w:rPr>
        <w:t xml:space="preserve">Bates, M.R., Bates, C.R. and Whittaker, J.E. 2007 Mixed method approaches to the investigation and mapping of buried Quaternary deposits:  examples from Southern England.  </w:t>
      </w:r>
      <w:r w:rsidRPr="007A195A">
        <w:rPr>
          <w:rFonts w:asciiTheme="minorHAnsi" w:hAnsiTheme="minorHAnsi" w:cstheme="minorHAnsi"/>
          <w:b/>
          <w:i/>
          <w:sz w:val="24"/>
          <w:szCs w:val="24"/>
        </w:rPr>
        <w:t>Archaeological Prospection 14</w:t>
      </w:r>
      <w:r w:rsidRPr="007A195A">
        <w:rPr>
          <w:rFonts w:asciiTheme="minorHAnsi" w:hAnsiTheme="minorHAnsi" w:cstheme="minorHAnsi"/>
          <w:sz w:val="24"/>
          <w:szCs w:val="24"/>
        </w:rPr>
        <w:t>, 104-129.</w:t>
      </w:r>
    </w:p>
    <w:p w14:paraId="2A7688DC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</w:p>
    <w:p w14:paraId="206D24EF" w14:textId="77777777" w:rsidR="00BD29F2" w:rsidRPr="007A195A" w:rsidRDefault="00BD29F2" w:rsidP="007A195A">
      <w:pPr>
        <w:shd w:val="clear" w:color="auto" w:fill="FFFFFF"/>
        <w:spacing w:before="0" w:after="0"/>
        <w:outlineLvl w:val="0"/>
        <w:rPr>
          <w:rFonts w:asciiTheme="minorHAnsi" w:hAnsiTheme="minorHAnsi" w:cstheme="minorHAnsi"/>
          <w:color w:val="000000"/>
          <w:kern w:val="36"/>
          <w:sz w:val="24"/>
          <w:szCs w:val="24"/>
          <w:lang w:eastAsia="en-GB"/>
        </w:rPr>
      </w:pPr>
      <w:r w:rsidRPr="007A195A">
        <w:rPr>
          <w:rFonts w:asciiTheme="minorHAnsi" w:hAnsiTheme="minorHAnsi" w:cstheme="minorHAnsi"/>
          <w:color w:val="000000"/>
          <w:kern w:val="36"/>
          <w:sz w:val="24"/>
          <w:szCs w:val="24"/>
          <w:lang w:eastAsia="en-GB"/>
        </w:rPr>
        <w:t xml:space="preserve">Bates, M.R. and Stafford, E. 2013 </w:t>
      </w:r>
      <w:r w:rsidRPr="007A195A">
        <w:rPr>
          <w:rFonts w:asciiTheme="minorHAnsi" w:hAnsiTheme="minorHAnsi" w:cstheme="minorHAnsi"/>
          <w:b/>
          <w:i/>
          <w:color w:val="000000"/>
          <w:kern w:val="36"/>
          <w:sz w:val="24"/>
          <w:szCs w:val="24"/>
          <w:lang w:eastAsia="en-GB"/>
        </w:rPr>
        <w:t>Thames Holocene: A geoarchaeological approach to the investigation of the river floodplain for High Speed 1, 1994-2004</w:t>
      </w:r>
      <w:r w:rsidRPr="007A195A">
        <w:rPr>
          <w:rFonts w:asciiTheme="minorHAnsi" w:hAnsiTheme="minorHAnsi" w:cstheme="minorHAnsi"/>
          <w:color w:val="000000"/>
          <w:kern w:val="36"/>
          <w:sz w:val="24"/>
          <w:szCs w:val="24"/>
          <w:lang w:eastAsia="en-GB"/>
        </w:rPr>
        <w:t>.  Wessex Archaeology: Salisbury. 280pp.</w:t>
      </w:r>
    </w:p>
    <w:p w14:paraId="162EA378" w14:textId="77777777" w:rsidR="00BD29F2" w:rsidRPr="007A195A" w:rsidRDefault="00BD29F2" w:rsidP="007A195A">
      <w:pPr>
        <w:shd w:val="clear" w:color="auto" w:fill="FFFFFF"/>
        <w:spacing w:before="0" w:after="0"/>
        <w:outlineLvl w:val="0"/>
        <w:rPr>
          <w:rFonts w:asciiTheme="minorHAnsi" w:hAnsiTheme="minorHAnsi" w:cstheme="minorHAnsi"/>
          <w:color w:val="000000"/>
          <w:kern w:val="36"/>
          <w:sz w:val="24"/>
          <w:szCs w:val="24"/>
          <w:lang w:eastAsia="en-GB"/>
        </w:rPr>
      </w:pPr>
    </w:p>
    <w:p w14:paraId="1641E061" w14:textId="27CD0BCA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Bell, M. &amp; Walker, M.J.C. 2005. </w:t>
      </w:r>
      <w:r w:rsidRPr="007A195A">
        <w:rPr>
          <w:rFonts w:asciiTheme="minorHAnsi" w:hAnsiTheme="minorHAnsi" w:cstheme="minorHAnsi"/>
          <w:b/>
          <w:i/>
          <w:iCs/>
          <w:color w:val="000000"/>
          <w:sz w:val="24"/>
          <w:szCs w:val="24"/>
        </w:rPr>
        <w:t>Late Quaternary Environmental Change: Physical and Human Perspectives.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2nd edition, Addison-Wesley-Longman, London.</w:t>
      </w:r>
    </w:p>
    <w:p w14:paraId="004A0F2A" w14:textId="34347C60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5C94389B" w14:textId="07E3C442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>C</w:t>
      </w:r>
      <w:r w:rsidR="007A195A" w:rsidRPr="007A195A">
        <w:rPr>
          <w:rFonts w:asciiTheme="minorHAnsi" w:hAnsiTheme="minorHAnsi" w:cstheme="minorHAnsi"/>
          <w:color w:val="000000"/>
          <w:sz w:val="24"/>
          <w:szCs w:val="24"/>
        </w:rPr>
        <w:t>arey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, </w:t>
      </w:r>
      <w:r w:rsidR="007A195A" w:rsidRPr="007A195A">
        <w:rPr>
          <w:rFonts w:asciiTheme="minorHAnsi" w:hAnsiTheme="minorHAnsi" w:cstheme="minorHAnsi"/>
          <w:color w:val="000000"/>
          <w:sz w:val="24"/>
          <w:szCs w:val="24"/>
        </w:rPr>
        <w:t>C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., Howard, A.J., Knight, D., Corcoran, J. and Heathcote, J. 2018 </w:t>
      </w:r>
      <w:r w:rsidRPr="007A195A">
        <w:rPr>
          <w:rFonts w:asciiTheme="minorHAnsi" w:hAnsiTheme="minorHAnsi" w:cstheme="minorHAnsi"/>
          <w:b/>
          <w:i/>
          <w:color w:val="000000"/>
          <w:sz w:val="24"/>
          <w:szCs w:val="24"/>
        </w:rPr>
        <w:t>Deposit modelling and archaeology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>.  University of Brighton.  Various papers.</w:t>
      </w:r>
    </w:p>
    <w:p w14:paraId="47ECCA67" w14:textId="621DB49F" w:rsidR="007A195A" w:rsidRPr="007A195A" w:rsidRDefault="007A195A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28A7247C" w14:textId="5DCCDB94" w:rsidR="007A195A" w:rsidRPr="007A195A" w:rsidRDefault="007A195A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Carver, M. 2009 </w:t>
      </w:r>
      <w:r w:rsidRPr="007A195A">
        <w:rPr>
          <w:rFonts w:asciiTheme="minorHAnsi" w:hAnsiTheme="minorHAnsi" w:cstheme="minorHAnsi"/>
          <w:b/>
          <w:i/>
          <w:color w:val="000000"/>
          <w:sz w:val="24"/>
          <w:szCs w:val="24"/>
        </w:rPr>
        <w:t>Archaeological Investigation.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 Routledge.</w:t>
      </w:r>
    </w:p>
    <w:p w14:paraId="78499C09" w14:textId="77777777" w:rsidR="00BD29F2" w:rsidRPr="007A195A" w:rsidRDefault="00BD29F2" w:rsidP="007A195A">
      <w:pPr>
        <w:shd w:val="clear" w:color="auto" w:fill="FFFFFF"/>
        <w:spacing w:before="0" w:after="0"/>
        <w:outlineLvl w:val="0"/>
        <w:rPr>
          <w:rFonts w:asciiTheme="minorHAnsi" w:hAnsiTheme="minorHAnsi" w:cstheme="minorHAnsi"/>
          <w:color w:val="000000"/>
          <w:kern w:val="36"/>
          <w:sz w:val="24"/>
          <w:szCs w:val="24"/>
          <w:lang w:eastAsia="en-GB"/>
        </w:rPr>
      </w:pPr>
    </w:p>
    <w:p w14:paraId="3AF40B51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Goldberg, P. &amp; </w:t>
      </w:r>
      <w:proofErr w:type="spellStart"/>
      <w:r w:rsidRPr="007A195A">
        <w:rPr>
          <w:rFonts w:asciiTheme="minorHAnsi" w:hAnsiTheme="minorHAnsi" w:cstheme="minorHAnsi"/>
          <w:color w:val="000000"/>
          <w:sz w:val="24"/>
          <w:szCs w:val="24"/>
        </w:rPr>
        <w:t>Macphail</w:t>
      </w:r>
      <w:proofErr w:type="spellEnd"/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, R.I. 2006. </w:t>
      </w:r>
      <w:r w:rsidRPr="007A195A">
        <w:rPr>
          <w:rFonts w:asciiTheme="minorHAnsi" w:hAnsiTheme="minorHAnsi" w:cstheme="minorHAnsi"/>
          <w:b/>
          <w:i/>
          <w:iCs/>
          <w:color w:val="000000"/>
          <w:sz w:val="24"/>
          <w:szCs w:val="24"/>
        </w:rPr>
        <w:t>Practical &amp; Theoretical Geoarchaeology.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Blackwell, Oxford.</w:t>
      </w:r>
    </w:p>
    <w:p w14:paraId="3F62FA9E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53355138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Hill, C.L.  &amp; Rapp, G. 1998. </w:t>
      </w:r>
      <w:r w:rsidRPr="007A195A">
        <w:rPr>
          <w:rFonts w:asciiTheme="minorHAnsi" w:hAnsiTheme="minorHAnsi" w:cstheme="minorHAnsi"/>
          <w:b/>
          <w:i/>
          <w:iCs/>
          <w:color w:val="000000"/>
          <w:sz w:val="24"/>
          <w:szCs w:val="24"/>
        </w:rPr>
        <w:t>Geoarchaeology - The Earth-Science Approach to Archaeological Interpretation</w:t>
      </w:r>
      <w:r w:rsidRPr="007A195A">
        <w:rPr>
          <w:rFonts w:asciiTheme="minorHAnsi" w:hAnsiTheme="minorHAnsi" w:cstheme="minorHAnsi"/>
          <w:b/>
          <w:color w:val="000000"/>
          <w:sz w:val="24"/>
          <w:szCs w:val="24"/>
        </w:rPr>
        <w:t>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Yale University Press, New Haven.</w:t>
      </w:r>
    </w:p>
    <w:p w14:paraId="3F79B8AC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</w:p>
    <w:p w14:paraId="3BAE6478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color w:val="000000"/>
          <w:sz w:val="24"/>
          <w:szCs w:val="24"/>
        </w:rPr>
      </w:pP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Lowe, J.J. &amp; Walker M.J.C. 2014. </w:t>
      </w:r>
      <w:r w:rsidRPr="007A195A">
        <w:rPr>
          <w:rFonts w:asciiTheme="minorHAnsi" w:hAnsiTheme="minorHAnsi" w:cstheme="minorHAnsi"/>
          <w:b/>
          <w:i/>
          <w:iCs/>
          <w:color w:val="000000"/>
          <w:sz w:val="24"/>
          <w:szCs w:val="24"/>
        </w:rPr>
        <w:t>Reconstructing Quaternary Environments</w:t>
      </w:r>
      <w:r w:rsidRPr="007A195A">
        <w:rPr>
          <w:rFonts w:asciiTheme="minorHAnsi" w:hAnsiTheme="minorHAnsi" w:cstheme="minorHAnsi"/>
          <w:b/>
          <w:color w:val="000000"/>
          <w:sz w:val="24"/>
          <w:szCs w:val="24"/>
        </w:rPr>
        <w:t>.</w:t>
      </w:r>
      <w:r w:rsidRPr="007A195A">
        <w:rPr>
          <w:rFonts w:asciiTheme="minorHAnsi" w:hAnsiTheme="minorHAnsi" w:cstheme="minorHAnsi"/>
          <w:color w:val="000000"/>
          <w:sz w:val="24"/>
          <w:szCs w:val="24"/>
        </w:rPr>
        <w:t xml:space="preserve"> 3rd edition. Addison-Wesley-Longman, London.</w:t>
      </w:r>
    </w:p>
    <w:p w14:paraId="2C511C19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</w:p>
    <w:p w14:paraId="3EAFB004" w14:textId="77777777" w:rsidR="00BD29F2" w:rsidRPr="007A195A" w:rsidRDefault="00BD29F2" w:rsidP="007A195A">
      <w:pPr>
        <w:pStyle w:val="BodyText"/>
        <w:spacing w:before="0" w:after="0"/>
        <w:rPr>
          <w:rFonts w:asciiTheme="minorHAnsi" w:hAnsiTheme="minorHAnsi" w:cstheme="minorHAnsi"/>
          <w:sz w:val="24"/>
          <w:szCs w:val="24"/>
        </w:rPr>
      </w:pPr>
      <w:r w:rsidRPr="007A195A">
        <w:rPr>
          <w:rFonts w:asciiTheme="minorHAnsi" w:hAnsiTheme="minorHAnsi" w:cstheme="minorHAnsi"/>
          <w:sz w:val="24"/>
          <w:szCs w:val="24"/>
        </w:rPr>
        <w:t xml:space="preserve">Waters, M.R. 1992. </w:t>
      </w:r>
      <w:r w:rsidRPr="007A195A">
        <w:rPr>
          <w:rFonts w:asciiTheme="minorHAnsi" w:hAnsiTheme="minorHAnsi" w:cstheme="minorHAnsi"/>
          <w:b/>
          <w:i/>
          <w:iCs/>
          <w:sz w:val="24"/>
          <w:szCs w:val="24"/>
        </w:rPr>
        <w:t>Principles of Geoarchaeology: A North American Perspective</w:t>
      </w:r>
      <w:r w:rsidRPr="007A195A">
        <w:rPr>
          <w:rFonts w:asciiTheme="minorHAnsi" w:hAnsiTheme="minorHAnsi" w:cstheme="minorHAnsi"/>
          <w:sz w:val="24"/>
          <w:szCs w:val="24"/>
        </w:rPr>
        <w:t>. University of Arizona Press, Tucson, 20- 24.</w:t>
      </w:r>
    </w:p>
    <w:p w14:paraId="76D3AFB3" w14:textId="77777777" w:rsidR="00BD29F2" w:rsidRPr="007A195A" w:rsidRDefault="00BD29F2" w:rsidP="007A195A">
      <w:pPr>
        <w:spacing w:before="0" w:after="0"/>
        <w:rPr>
          <w:rFonts w:asciiTheme="minorHAnsi" w:hAnsiTheme="minorHAnsi" w:cstheme="minorHAnsi"/>
          <w:sz w:val="24"/>
          <w:szCs w:val="24"/>
        </w:rPr>
      </w:pPr>
    </w:p>
    <w:sectPr w:rsidR="00BD29F2" w:rsidRPr="007A195A" w:rsidSect="00320776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C944764"/>
    <w:multiLevelType w:val="hybridMultilevel"/>
    <w:tmpl w:val="1012FE24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78F2"/>
    <w:rsid w:val="001B78F2"/>
    <w:rsid w:val="00252511"/>
    <w:rsid w:val="00297331"/>
    <w:rsid w:val="00320776"/>
    <w:rsid w:val="00444301"/>
    <w:rsid w:val="00457C2D"/>
    <w:rsid w:val="00503BA5"/>
    <w:rsid w:val="00584C6B"/>
    <w:rsid w:val="006750FB"/>
    <w:rsid w:val="007054C0"/>
    <w:rsid w:val="00752C45"/>
    <w:rsid w:val="007A195A"/>
    <w:rsid w:val="007C06DF"/>
    <w:rsid w:val="00800859"/>
    <w:rsid w:val="009349D4"/>
    <w:rsid w:val="00AC7F49"/>
    <w:rsid w:val="00AD6E45"/>
    <w:rsid w:val="00B35EFD"/>
    <w:rsid w:val="00B80FD5"/>
    <w:rsid w:val="00B91EEE"/>
    <w:rsid w:val="00BD29F2"/>
    <w:rsid w:val="00CF5431"/>
    <w:rsid w:val="00D06690"/>
    <w:rsid w:val="00D27553"/>
    <w:rsid w:val="00DD6F8E"/>
    <w:rsid w:val="00E113C9"/>
    <w:rsid w:val="00FC4C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E340BA3"/>
  <w15:docId w15:val="{95ECAF70-4C79-4693-B708-12DB24BB8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91EEE"/>
    <w:pPr>
      <w:overflowPunct w:val="0"/>
      <w:autoSpaceDE w:val="0"/>
      <w:autoSpaceDN w:val="0"/>
      <w:adjustRightInd w:val="0"/>
      <w:spacing w:before="120" w:after="120"/>
      <w:jc w:val="both"/>
      <w:textAlignment w:val="baseline"/>
    </w:pPr>
    <w:rPr>
      <w:lang w:eastAsia="en-US"/>
    </w:rPr>
  </w:style>
  <w:style w:type="paragraph" w:styleId="Heading3">
    <w:name w:val="heading 3"/>
    <w:basedOn w:val="Normal"/>
    <w:qFormat/>
    <w:rsid w:val="00B91EEE"/>
    <w:pPr>
      <w:spacing w:before="240" w:after="60"/>
      <w:jc w:val="left"/>
      <w:outlineLvl w:val="2"/>
    </w:pPr>
    <w:rPr>
      <w:b/>
      <w:kern w:val="22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rsid w:val="001B78F2"/>
    <w:pPr>
      <w:spacing w:before="100" w:beforeAutospacing="1" w:after="100" w:afterAutospacing="1"/>
    </w:pPr>
  </w:style>
  <w:style w:type="paragraph" w:styleId="BodyText2">
    <w:name w:val="Body Text 2"/>
    <w:basedOn w:val="Normal"/>
    <w:rsid w:val="00B91EEE"/>
    <w:pPr>
      <w:overflowPunct/>
      <w:autoSpaceDE/>
      <w:autoSpaceDN/>
      <w:adjustRightInd/>
      <w:spacing w:before="0" w:after="0"/>
      <w:jc w:val="left"/>
      <w:textAlignment w:val="auto"/>
    </w:pPr>
    <w:rPr>
      <w:sz w:val="22"/>
    </w:rPr>
  </w:style>
  <w:style w:type="paragraph" w:styleId="BodyTextIndent2">
    <w:name w:val="Body Text Indent 2"/>
    <w:basedOn w:val="Normal"/>
    <w:rsid w:val="00B91EEE"/>
    <w:pPr>
      <w:spacing w:before="80" w:after="80"/>
      <w:ind w:left="709"/>
    </w:pPr>
    <w:rPr>
      <w:color w:val="000000"/>
    </w:rPr>
  </w:style>
  <w:style w:type="paragraph" w:styleId="BodyText">
    <w:name w:val="Body Text"/>
    <w:basedOn w:val="Normal"/>
    <w:link w:val="BodyTextChar"/>
    <w:uiPriority w:val="99"/>
    <w:semiHidden/>
    <w:unhideWhenUsed/>
    <w:rsid w:val="00800859"/>
  </w:style>
  <w:style w:type="character" w:customStyle="1" w:styleId="BodyTextChar">
    <w:name w:val="Body Text Char"/>
    <w:basedOn w:val="DefaultParagraphFont"/>
    <w:link w:val="BodyText"/>
    <w:uiPriority w:val="99"/>
    <w:semiHidden/>
    <w:rsid w:val="00800859"/>
    <w:rPr>
      <w:lang w:eastAsia="en-US"/>
    </w:rPr>
  </w:style>
  <w:style w:type="paragraph" w:styleId="BlockText">
    <w:name w:val="Block Text"/>
    <w:basedOn w:val="Normal"/>
    <w:rsid w:val="00800859"/>
    <w:pPr>
      <w:overflowPunct/>
      <w:autoSpaceDE/>
      <w:autoSpaceDN/>
      <w:adjustRightInd/>
      <w:spacing w:before="0" w:after="0"/>
      <w:ind w:left="567" w:right="368" w:hanging="567"/>
      <w:textAlignment w:val="auto"/>
    </w:pPr>
    <w:rPr>
      <w:bCs/>
    </w:rPr>
  </w:style>
  <w:style w:type="character" w:styleId="Emphasis">
    <w:name w:val="Emphasis"/>
    <w:basedOn w:val="DefaultParagraphFont"/>
    <w:uiPriority w:val="20"/>
    <w:qFormat/>
    <w:rsid w:val="00800859"/>
    <w:rPr>
      <w:i/>
      <w:iCs/>
    </w:rPr>
  </w:style>
  <w:style w:type="table" w:styleId="TableGrid">
    <w:name w:val="Table Grid"/>
    <w:basedOn w:val="TableNormal"/>
    <w:uiPriority w:val="59"/>
    <w:rsid w:val="0029733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AC7F49"/>
    <w:pPr>
      <w:spacing w:before="0" w:after="0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7F49"/>
    <w:rPr>
      <w:rFonts w:ascii="Tahoma" w:hAnsi="Tahoma" w:cs="Tahoma"/>
      <w:sz w:val="16"/>
      <w:szCs w:val="16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669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417057">
          <w:blockQuote w:val="1"/>
          <w:marLeft w:val="84"/>
          <w:marRight w:val="0"/>
          <w:marTop w:val="100"/>
          <w:marBottom w:val="100"/>
          <w:divBdr>
            <w:top w:val="none" w:sz="0" w:space="0" w:color="auto"/>
            <w:left w:val="single" w:sz="12" w:space="4" w:color="000000"/>
            <w:bottom w:val="none" w:sz="0" w:space="0" w:color="auto"/>
            <w:right w:val="none" w:sz="0" w:space="0" w:color="auto"/>
          </w:divBdr>
        </w:div>
      </w:divsChild>
    </w:div>
    <w:div w:id="1904293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514</Words>
  <Characters>2931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PROJECT ASSIGNMENT: A GEOARCHAEOLOGICAL STUDY OF A SITE AT ALLHALLOWS IN KENT</vt:lpstr>
    </vt:vector>
  </TitlesOfParts>
  <Company>University of Wales Lampeter</Company>
  <LinksUpToDate>false</LinksUpToDate>
  <CharactersWithSpaces>3439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ASSIGNMENT: A GEOARCHAEOLOGICAL STUDY OF A SITE AT ALLHALLOWS IN KENT</dc:title>
  <dc:creator>SR014</dc:creator>
  <cp:lastModifiedBy>Martin Bates</cp:lastModifiedBy>
  <cp:revision>2</cp:revision>
  <cp:lastPrinted>2011-03-27T13:32:00Z</cp:lastPrinted>
  <dcterms:created xsi:type="dcterms:W3CDTF">2019-05-29T16:42:00Z</dcterms:created>
  <dcterms:modified xsi:type="dcterms:W3CDTF">2019-05-29T16:42:00Z</dcterms:modified>
</cp:coreProperties>
</file>