
<file path=[Content_Types].xml><?xml version="1.0" encoding="utf-8"?>
<Types xmlns="http://schemas.openxmlformats.org/package/2006/content-types">
  <Default Extension="jpg" ContentType="image/jpe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6BD43A92" w14:textId="5ED88353" w:rsidR="00971A51" w:rsidRPr="001A6109" w:rsidRDefault="00BD5C51" w:rsidP="001A6109">
      <w:pPr>
        <w:spacing w:line="360" w:lineRule="auto"/>
        <w:rPr>
          <w:rFonts w:ascii="Arial" w:hAnsi="Arial" w:cs="Arial"/>
        </w:rPr>
      </w:pPr>
      <w:r>
        <w:rPr>
          <w:rFonts w:ascii="Arial" w:hAnsi="Arial" w:cs="Arial"/>
          <w:noProof/>
        </w:rPr>
        <w:drawing>
          <wp:anchor distT="0" distB="0" distL="114300" distR="114300" simplePos="0" relativeHeight="251658240" behindDoc="0" locked="0" layoutInCell="1" allowOverlap="1" wp14:anchorId="449FA277" wp14:editId="665DAE55">
            <wp:simplePos x="0" y="0"/>
            <wp:positionH relativeFrom="column">
              <wp:posOffset>4979232</wp:posOffset>
            </wp:positionH>
            <wp:positionV relativeFrom="paragraph">
              <wp:posOffset>-640569</wp:posOffset>
            </wp:positionV>
            <wp:extent cx="1437613" cy="1437613"/>
            <wp:effectExtent l="0" t="0" r="0" b="0"/>
            <wp:wrapNone/>
            <wp:docPr id="1" name="Picture 1" descr="A blue background with a black and yellow shield&#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uwtsd logo.jpg"/>
                    <pic:cNvPicPr/>
                  </pic:nvPicPr>
                  <pic:blipFill>
                    <a:blip r:embed="rId8">
                      <a:extLst>
                        <a:ext uri="{28A0092B-C50C-407E-A947-70E740481C1C}">
                          <a14:useLocalDpi xmlns:a14="http://schemas.microsoft.com/office/drawing/2010/main" val="0"/>
                        </a:ext>
                      </a:extLst>
                    </a:blip>
                    <a:stretch>
                      <a:fillRect/>
                    </a:stretch>
                  </pic:blipFill>
                  <pic:spPr>
                    <a:xfrm>
                      <a:off x="0" y="0"/>
                      <a:ext cx="1453481" cy="1453481"/>
                    </a:xfrm>
                    <a:prstGeom prst="rect">
                      <a:avLst/>
                    </a:prstGeom>
                  </pic:spPr>
                </pic:pic>
              </a:graphicData>
            </a:graphic>
            <wp14:sizeRelH relativeFrom="margin">
              <wp14:pctWidth>0</wp14:pctWidth>
            </wp14:sizeRelH>
            <wp14:sizeRelV relativeFrom="margin">
              <wp14:pctHeight>0</wp14:pctHeight>
            </wp14:sizeRelV>
          </wp:anchor>
        </w:drawing>
      </w:r>
      <w:r w:rsidR="001A6109" w:rsidRPr="001A6109">
        <w:rPr>
          <w:rFonts w:ascii="Arial" w:hAnsi="Arial" w:cs="Arial"/>
        </w:rPr>
        <w:t>Student name: Mrs Reda Juciute</w:t>
      </w:r>
    </w:p>
    <w:p w14:paraId="29F632E2" w14:textId="3F3FD1B8" w:rsidR="001A6109" w:rsidRPr="001A6109" w:rsidRDefault="001A6109" w:rsidP="001A6109">
      <w:pPr>
        <w:spacing w:line="360" w:lineRule="auto"/>
        <w:rPr>
          <w:rFonts w:ascii="Arial" w:hAnsi="Arial" w:cs="Arial"/>
        </w:rPr>
      </w:pPr>
      <w:r w:rsidRPr="001A6109">
        <w:rPr>
          <w:rFonts w:ascii="Arial" w:hAnsi="Arial" w:cs="Arial"/>
        </w:rPr>
        <w:t>Student ID: 2213928</w:t>
      </w:r>
    </w:p>
    <w:p w14:paraId="0E5D6167" w14:textId="1C0AD65F" w:rsidR="001A6109" w:rsidRPr="001A6109" w:rsidRDefault="001A6109" w:rsidP="001A6109">
      <w:pPr>
        <w:spacing w:line="360" w:lineRule="auto"/>
        <w:rPr>
          <w:rFonts w:ascii="Arial" w:hAnsi="Arial" w:cs="Arial"/>
        </w:rPr>
      </w:pPr>
      <w:r w:rsidRPr="001A6109">
        <w:rPr>
          <w:rFonts w:ascii="Arial" w:hAnsi="Arial" w:cs="Arial"/>
        </w:rPr>
        <w:t>Module name: Financial Management</w:t>
      </w:r>
    </w:p>
    <w:p w14:paraId="66CEAFDC" w14:textId="6810D021" w:rsidR="001A6109" w:rsidRPr="001A6109" w:rsidRDefault="001A6109" w:rsidP="001A6109">
      <w:pPr>
        <w:spacing w:line="360" w:lineRule="auto"/>
        <w:rPr>
          <w:rFonts w:ascii="Arial" w:hAnsi="Arial" w:cs="Arial"/>
        </w:rPr>
      </w:pPr>
      <w:r w:rsidRPr="001A6109">
        <w:rPr>
          <w:rFonts w:ascii="Arial" w:hAnsi="Arial" w:cs="Arial"/>
        </w:rPr>
        <w:t>Module code: LCMB7002</w:t>
      </w:r>
    </w:p>
    <w:p w14:paraId="680D6B1C" w14:textId="45DFA058" w:rsidR="001A6109" w:rsidRDefault="001A6109" w:rsidP="001A6109">
      <w:pPr>
        <w:spacing w:line="360" w:lineRule="auto"/>
        <w:rPr>
          <w:rFonts w:ascii="Arial" w:hAnsi="Arial" w:cs="Arial"/>
        </w:rPr>
      </w:pPr>
      <w:r w:rsidRPr="001A6109">
        <w:rPr>
          <w:rFonts w:ascii="Arial" w:hAnsi="Arial" w:cs="Arial"/>
        </w:rPr>
        <w:t>Module lector: Patrick Yeboah</w:t>
      </w:r>
    </w:p>
    <w:p w14:paraId="2F171C2C" w14:textId="32C8BC49" w:rsidR="001A6109" w:rsidRDefault="001A6109" w:rsidP="001A6109">
      <w:pPr>
        <w:spacing w:line="360" w:lineRule="auto"/>
        <w:rPr>
          <w:rFonts w:ascii="Arial" w:hAnsi="Arial" w:cs="Arial"/>
        </w:rPr>
      </w:pPr>
      <w:r>
        <w:rPr>
          <w:rFonts w:ascii="Arial" w:hAnsi="Arial" w:cs="Arial"/>
        </w:rPr>
        <w:t>Topic: Strategic CFO Challenge: Saving a Failing Global Firm</w:t>
      </w:r>
    </w:p>
    <w:p w14:paraId="0FCF227A" w14:textId="186A4EC1" w:rsidR="001A6109" w:rsidRDefault="001A6109" w:rsidP="001A6109">
      <w:pPr>
        <w:spacing w:line="360" w:lineRule="auto"/>
        <w:rPr>
          <w:rFonts w:ascii="Arial" w:hAnsi="Arial" w:cs="Arial"/>
        </w:rPr>
      </w:pPr>
    </w:p>
    <w:p w14:paraId="415C10F0" w14:textId="0402A454" w:rsidR="001A6109" w:rsidRDefault="001A6109" w:rsidP="001A6109">
      <w:pPr>
        <w:spacing w:line="360" w:lineRule="auto"/>
        <w:rPr>
          <w:rFonts w:ascii="Arial" w:hAnsi="Arial" w:cs="Arial"/>
        </w:rPr>
      </w:pPr>
    </w:p>
    <w:p w14:paraId="7466D586" w14:textId="281A5990" w:rsidR="001A6109" w:rsidRDefault="001A6109" w:rsidP="001A6109">
      <w:pPr>
        <w:spacing w:line="360" w:lineRule="auto"/>
        <w:rPr>
          <w:rFonts w:ascii="Arial" w:hAnsi="Arial" w:cs="Arial"/>
        </w:rPr>
      </w:pPr>
    </w:p>
    <w:p w14:paraId="15EAA1BD" w14:textId="654B7A84" w:rsidR="001A6109" w:rsidRDefault="001A6109" w:rsidP="001A6109">
      <w:pPr>
        <w:spacing w:line="360" w:lineRule="auto"/>
        <w:rPr>
          <w:rFonts w:ascii="Arial" w:hAnsi="Arial" w:cs="Arial"/>
        </w:rPr>
      </w:pPr>
    </w:p>
    <w:p w14:paraId="1BA81643" w14:textId="1A6AC8EE" w:rsidR="001A6109" w:rsidRDefault="001A6109" w:rsidP="001A6109">
      <w:pPr>
        <w:spacing w:line="360" w:lineRule="auto"/>
        <w:rPr>
          <w:rFonts w:ascii="Arial" w:hAnsi="Arial" w:cs="Arial"/>
        </w:rPr>
      </w:pPr>
    </w:p>
    <w:p w14:paraId="0DAB1BF8" w14:textId="785CB3D6" w:rsidR="001A6109" w:rsidRDefault="001A6109" w:rsidP="001A6109">
      <w:pPr>
        <w:spacing w:line="360" w:lineRule="auto"/>
        <w:rPr>
          <w:rFonts w:ascii="Arial" w:hAnsi="Arial" w:cs="Arial"/>
        </w:rPr>
      </w:pPr>
    </w:p>
    <w:p w14:paraId="03A193F7" w14:textId="4CB1026C" w:rsidR="001A6109" w:rsidRPr="001A6109" w:rsidRDefault="001A6109" w:rsidP="001A6109">
      <w:pPr>
        <w:spacing w:line="360" w:lineRule="auto"/>
        <w:jc w:val="center"/>
        <w:rPr>
          <w:rFonts w:ascii="Arial" w:hAnsi="Arial" w:cs="Arial"/>
          <w:b/>
          <w:bCs/>
          <w:sz w:val="32"/>
          <w:szCs w:val="32"/>
        </w:rPr>
      </w:pPr>
      <w:r w:rsidRPr="001A6109">
        <w:rPr>
          <w:rFonts w:ascii="Arial" w:hAnsi="Arial" w:cs="Arial"/>
          <w:b/>
          <w:bCs/>
          <w:sz w:val="32"/>
          <w:szCs w:val="32"/>
        </w:rPr>
        <w:t xml:space="preserve">GENERAL ELECTRONICS FINANCIAL PERFORMANCE </w:t>
      </w:r>
    </w:p>
    <w:p w14:paraId="0556D0A5" w14:textId="7D0BDC15" w:rsidR="001A6109" w:rsidRDefault="001A6109" w:rsidP="002E72C2">
      <w:pPr>
        <w:spacing w:line="360" w:lineRule="auto"/>
        <w:jc w:val="center"/>
        <w:rPr>
          <w:rFonts w:ascii="Arial" w:hAnsi="Arial" w:cs="Arial"/>
        </w:rPr>
      </w:pPr>
      <w:r>
        <w:rPr>
          <w:rFonts w:ascii="Arial" w:hAnsi="Arial" w:cs="Arial"/>
        </w:rPr>
        <w:t>(Past 5 years</w:t>
      </w:r>
      <w:r w:rsidR="002E72C2">
        <w:rPr>
          <w:rFonts w:ascii="Arial" w:hAnsi="Arial" w:cs="Arial"/>
        </w:rPr>
        <w:t>)</w:t>
      </w:r>
    </w:p>
    <w:p w14:paraId="4B070013" w14:textId="669AA8D9" w:rsidR="002E72C2" w:rsidRDefault="002E72C2" w:rsidP="002E72C2">
      <w:pPr>
        <w:spacing w:line="360" w:lineRule="auto"/>
        <w:jc w:val="center"/>
        <w:rPr>
          <w:rFonts w:ascii="Arial" w:hAnsi="Arial" w:cs="Arial"/>
        </w:rPr>
      </w:pPr>
    </w:p>
    <w:p w14:paraId="564C85C4" w14:textId="50B4907C" w:rsidR="002E72C2" w:rsidRDefault="002E72C2" w:rsidP="002E72C2">
      <w:pPr>
        <w:spacing w:line="360" w:lineRule="auto"/>
        <w:jc w:val="center"/>
        <w:rPr>
          <w:rFonts w:ascii="Arial" w:hAnsi="Arial" w:cs="Arial"/>
        </w:rPr>
      </w:pPr>
    </w:p>
    <w:p w14:paraId="3A17CE8C" w14:textId="3E5BA11C" w:rsidR="002E72C2" w:rsidRDefault="002E72C2" w:rsidP="002E72C2">
      <w:pPr>
        <w:spacing w:line="360" w:lineRule="auto"/>
        <w:jc w:val="center"/>
        <w:rPr>
          <w:rFonts w:ascii="Arial" w:hAnsi="Arial" w:cs="Arial"/>
        </w:rPr>
      </w:pPr>
    </w:p>
    <w:p w14:paraId="5C407740" w14:textId="302BC86A" w:rsidR="002E72C2" w:rsidRDefault="002E72C2" w:rsidP="002E72C2">
      <w:pPr>
        <w:spacing w:line="360" w:lineRule="auto"/>
        <w:jc w:val="center"/>
        <w:rPr>
          <w:rFonts w:ascii="Arial" w:hAnsi="Arial" w:cs="Arial"/>
        </w:rPr>
      </w:pPr>
    </w:p>
    <w:p w14:paraId="1AB44F25" w14:textId="124D009B" w:rsidR="002E72C2" w:rsidRDefault="002E72C2" w:rsidP="002E72C2">
      <w:pPr>
        <w:spacing w:line="360" w:lineRule="auto"/>
        <w:jc w:val="center"/>
        <w:rPr>
          <w:rFonts w:ascii="Arial" w:hAnsi="Arial" w:cs="Arial"/>
        </w:rPr>
      </w:pPr>
    </w:p>
    <w:p w14:paraId="2F1CFCB2" w14:textId="06170FF6" w:rsidR="002E72C2" w:rsidRDefault="002E72C2" w:rsidP="002E72C2">
      <w:pPr>
        <w:spacing w:line="360" w:lineRule="auto"/>
        <w:jc w:val="center"/>
        <w:rPr>
          <w:rFonts w:ascii="Arial" w:hAnsi="Arial" w:cs="Arial"/>
        </w:rPr>
      </w:pPr>
    </w:p>
    <w:p w14:paraId="3DCBF4EF" w14:textId="548040E0" w:rsidR="002E72C2" w:rsidRDefault="002E72C2" w:rsidP="002E72C2">
      <w:pPr>
        <w:spacing w:line="360" w:lineRule="auto"/>
        <w:jc w:val="center"/>
        <w:rPr>
          <w:rFonts w:ascii="Arial" w:hAnsi="Arial" w:cs="Arial"/>
        </w:rPr>
      </w:pPr>
    </w:p>
    <w:p w14:paraId="5745B939" w14:textId="28DFB678" w:rsidR="002E72C2" w:rsidRDefault="002E72C2" w:rsidP="002E72C2">
      <w:pPr>
        <w:spacing w:line="360" w:lineRule="auto"/>
        <w:jc w:val="center"/>
        <w:rPr>
          <w:rFonts w:ascii="Arial" w:hAnsi="Arial" w:cs="Arial"/>
        </w:rPr>
      </w:pPr>
    </w:p>
    <w:p w14:paraId="2967EF9D" w14:textId="13602198" w:rsidR="002E72C2" w:rsidRDefault="002E72C2" w:rsidP="002E72C2">
      <w:pPr>
        <w:spacing w:line="360" w:lineRule="auto"/>
        <w:jc w:val="center"/>
        <w:rPr>
          <w:rFonts w:ascii="Arial" w:hAnsi="Arial" w:cs="Arial"/>
        </w:rPr>
      </w:pPr>
    </w:p>
    <w:p w14:paraId="69F5899A" w14:textId="0BACBA6E" w:rsidR="002E72C2" w:rsidRDefault="002E72C2" w:rsidP="002E72C2">
      <w:pPr>
        <w:spacing w:line="360" w:lineRule="auto"/>
        <w:jc w:val="center"/>
        <w:rPr>
          <w:rFonts w:ascii="Arial" w:hAnsi="Arial" w:cs="Arial"/>
        </w:rPr>
      </w:pPr>
    </w:p>
    <w:p w14:paraId="7C78CD7F" w14:textId="4170828A" w:rsidR="002E72C2" w:rsidRDefault="002E72C2" w:rsidP="002E72C2">
      <w:pPr>
        <w:spacing w:line="360" w:lineRule="auto"/>
        <w:jc w:val="center"/>
        <w:rPr>
          <w:rFonts w:ascii="Arial" w:hAnsi="Arial" w:cs="Arial"/>
        </w:rPr>
      </w:pPr>
    </w:p>
    <w:p w14:paraId="144CB649" w14:textId="5DF9D34D" w:rsidR="002E72C2" w:rsidRDefault="002E72C2" w:rsidP="002E72C2">
      <w:pPr>
        <w:spacing w:line="360" w:lineRule="auto"/>
        <w:jc w:val="center"/>
        <w:rPr>
          <w:rFonts w:ascii="Arial" w:hAnsi="Arial" w:cs="Arial"/>
        </w:rPr>
      </w:pPr>
    </w:p>
    <w:p w14:paraId="542C276F" w14:textId="3CF1ADD5" w:rsidR="002E72C2" w:rsidRDefault="002E72C2" w:rsidP="002E72C2">
      <w:pPr>
        <w:spacing w:line="360" w:lineRule="auto"/>
        <w:jc w:val="center"/>
        <w:rPr>
          <w:rFonts w:ascii="Arial" w:hAnsi="Arial" w:cs="Arial"/>
        </w:rPr>
      </w:pPr>
    </w:p>
    <w:p w14:paraId="1EA69C6C" w14:textId="78CB9F1E" w:rsidR="002E72C2" w:rsidRDefault="002E72C2" w:rsidP="002E72C2">
      <w:pPr>
        <w:spacing w:line="360" w:lineRule="auto"/>
        <w:jc w:val="center"/>
        <w:rPr>
          <w:rFonts w:ascii="Arial" w:hAnsi="Arial" w:cs="Arial"/>
        </w:rPr>
      </w:pPr>
    </w:p>
    <w:p w14:paraId="36A43178" w14:textId="540A8DE7" w:rsidR="002E72C2" w:rsidRDefault="002E72C2" w:rsidP="002E72C2">
      <w:pPr>
        <w:spacing w:line="360" w:lineRule="auto"/>
        <w:jc w:val="center"/>
        <w:rPr>
          <w:rFonts w:ascii="Arial" w:hAnsi="Arial" w:cs="Arial"/>
        </w:rPr>
      </w:pPr>
    </w:p>
    <w:p w14:paraId="33F2B16F" w14:textId="008DB2FD" w:rsidR="002E72C2" w:rsidRDefault="002E72C2" w:rsidP="002E72C2">
      <w:pPr>
        <w:spacing w:line="360" w:lineRule="auto"/>
        <w:jc w:val="center"/>
        <w:rPr>
          <w:rFonts w:ascii="Arial" w:hAnsi="Arial" w:cs="Arial"/>
        </w:rPr>
      </w:pPr>
    </w:p>
    <w:p w14:paraId="57184836" w14:textId="59971137" w:rsidR="002E72C2" w:rsidRDefault="002E72C2" w:rsidP="002E72C2">
      <w:pPr>
        <w:spacing w:line="360" w:lineRule="auto"/>
        <w:jc w:val="center"/>
        <w:rPr>
          <w:rFonts w:ascii="Arial" w:hAnsi="Arial" w:cs="Arial"/>
        </w:rPr>
      </w:pPr>
    </w:p>
    <w:p w14:paraId="137C48DE" w14:textId="220436FB" w:rsidR="002E72C2" w:rsidRDefault="002E72C2" w:rsidP="002E72C2">
      <w:pPr>
        <w:spacing w:line="360" w:lineRule="auto"/>
        <w:jc w:val="center"/>
        <w:rPr>
          <w:rFonts w:ascii="Arial" w:hAnsi="Arial" w:cs="Arial"/>
        </w:rPr>
      </w:pPr>
    </w:p>
    <w:p w14:paraId="16BDF5DB" w14:textId="108D8EA8" w:rsidR="002E72C2" w:rsidRDefault="002E72C2" w:rsidP="002E72C2">
      <w:pPr>
        <w:spacing w:line="360" w:lineRule="auto"/>
        <w:jc w:val="center"/>
        <w:rPr>
          <w:rFonts w:ascii="Arial" w:hAnsi="Arial" w:cs="Arial"/>
        </w:rPr>
      </w:pPr>
    </w:p>
    <w:p w14:paraId="21A66A12" w14:textId="77777777" w:rsidR="002E72C2" w:rsidRDefault="002E72C2" w:rsidP="002E72C2">
      <w:pPr>
        <w:spacing w:line="360" w:lineRule="auto"/>
        <w:jc w:val="center"/>
        <w:rPr>
          <w:rFonts w:ascii="Arial" w:hAnsi="Arial" w:cs="Arial"/>
        </w:rPr>
      </w:pPr>
    </w:p>
    <w:sdt>
      <w:sdtPr>
        <w:rPr>
          <w:rFonts w:asciiTheme="minorHAnsi" w:eastAsiaTheme="minorHAnsi" w:hAnsiTheme="minorHAnsi" w:cstheme="minorBidi"/>
          <w:b w:val="0"/>
          <w:bCs w:val="0"/>
          <w:kern w:val="0"/>
          <w:sz w:val="22"/>
          <w:szCs w:val="22"/>
        </w:rPr>
        <w:id w:val="-1363749787"/>
        <w:docPartObj>
          <w:docPartGallery w:val="Table of Contents"/>
          <w:docPartUnique/>
        </w:docPartObj>
      </w:sdtPr>
      <w:sdtEndPr>
        <w:rPr>
          <w:rFonts w:eastAsiaTheme="minorEastAsia" w:cs="Times New Roman"/>
          <w:noProof/>
          <w:sz w:val="24"/>
          <w:szCs w:val="24"/>
        </w:rPr>
      </w:sdtEndPr>
      <w:sdtContent>
        <w:p w14:paraId="6C5B495D" w14:textId="0917210C" w:rsidR="00A83779" w:rsidRDefault="00A83779">
          <w:pPr>
            <w:pStyle w:val="TOCHeading"/>
          </w:pPr>
          <w:r>
            <w:t>Contents</w:t>
          </w:r>
        </w:p>
        <w:p w14:paraId="2F21B6B1" w14:textId="64402CAA" w:rsidR="00CD2A30" w:rsidRDefault="00A83779">
          <w:pPr>
            <w:pStyle w:val="TOC1"/>
            <w:tabs>
              <w:tab w:val="right" w:leader="dot" w:pos="9016"/>
            </w:tabs>
            <w:rPr>
              <w:rFonts w:cstheme="minorBidi"/>
              <w:noProof/>
              <w:sz w:val="22"/>
              <w:szCs w:val="22"/>
              <w:lang w:eastAsia="en-GB"/>
            </w:rPr>
          </w:pPr>
          <w:r>
            <w:fldChar w:fldCharType="begin"/>
          </w:r>
          <w:r>
            <w:instrText xml:space="preserve"> TOC \o "1-3" \h \z \u </w:instrText>
          </w:r>
          <w:r>
            <w:fldChar w:fldCharType="separate"/>
          </w:r>
          <w:hyperlink w:anchor="_Toc214656926" w:history="1">
            <w:r w:rsidR="00CD2A30" w:rsidRPr="00E67308">
              <w:rPr>
                <w:rStyle w:val="Hyperlink"/>
                <w:rFonts w:ascii="Arial" w:hAnsi="Arial" w:cs="Arial"/>
                <w:noProof/>
              </w:rPr>
              <w:t>Introduction</w:t>
            </w:r>
            <w:r w:rsidR="00CD2A30">
              <w:rPr>
                <w:noProof/>
                <w:webHidden/>
              </w:rPr>
              <w:tab/>
            </w:r>
            <w:r w:rsidR="00CD2A30">
              <w:rPr>
                <w:noProof/>
                <w:webHidden/>
              </w:rPr>
              <w:fldChar w:fldCharType="begin"/>
            </w:r>
            <w:r w:rsidR="00CD2A30">
              <w:rPr>
                <w:noProof/>
                <w:webHidden/>
              </w:rPr>
              <w:instrText xml:space="preserve"> PAGEREF _Toc214656926 \h </w:instrText>
            </w:r>
            <w:r w:rsidR="00CD2A30">
              <w:rPr>
                <w:noProof/>
                <w:webHidden/>
              </w:rPr>
            </w:r>
            <w:r w:rsidR="00CD2A30">
              <w:rPr>
                <w:noProof/>
                <w:webHidden/>
              </w:rPr>
              <w:fldChar w:fldCharType="separate"/>
            </w:r>
            <w:r w:rsidR="00FB51E7">
              <w:rPr>
                <w:noProof/>
                <w:webHidden/>
              </w:rPr>
              <w:t>3</w:t>
            </w:r>
            <w:r w:rsidR="00CD2A30">
              <w:rPr>
                <w:noProof/>
                <w:webHidden/>
              </w:rPr>
              <w:fldChar w:fldCharType="end"/>
            </w:r>
          </w:hyperlink>
        </w:p>
        <w:p w14:paraId="3B6A76DF" w14:textId="31B6784A" w:rsidR="00CD2A30" w:rsidRDefault="005C7A9D">
          <w:pPr>
            <w:pStyle w:val="TOC1"/>
            <w:tabs>
              <w:tab w:val="right" w:leader="dot" w:pos="9016"/>
            </w:tabs>
            <w:rPr>
              <w:rFonts w:cstheme="minorBidi"/>
              <w:noProof/>
              <w:sz w:val="22"/>
              <w:szCs w:val="22"/>
              <w:lang w:eastAsia="en-GB"/>
            </w:rPr>
          </w:pPr>
          <w:hyperlink w:anchor="_Toc214656927" w:history="1">
            <w:r w:rsidR="00CD2A30" w:rsidRPr="00E67308">
              <w:rPr>
                <w:rStyle w:val="Hyperlink"/>
                <w:rFonts w:ascii="Arial" w:hAnsi="Arial" w:cs="Arial"/>
                <w:noProof/>
              </w:rPr>
              <w:t>1. Financial Health Check for General Electronics</w:t>
            </w:r>
            <w:r w:rsidR="00CD2A30">
              <w:rPr>
                <w:noProof/>
                <w:webHidden/>
              </w:rPr>
              <w:tab/>
            </w:r>
            <w:r w:rsidR="00CD2A30">
              <w:rPr>
                <w:noProof/>
                <w:webHidden/>
              </w:rPr>
              <w:fldChar w:fldCharType="begin"/>
            </w:r>
            <w:r w:rsidR="00CD2A30">
              <w:rPr>
                <w:noProof/>
                <w:webHidden/>
              </w:rPr>
              <w:instrText xml:space="preserve"> PAGEREF _Toc214656927 \h </w:instrText>
            </w:r>
            <w:r w:rsidR="00CD2A30">
              <w:rPr>
                <w:noProof/>
                <w:webHidden/>
              </w:rPr>
            </w:r>
            <w:r w:rsidR="00CD2A30">
              <w:rPr>
                <w:noProof/>
                <w:webHidden/>
              </w:rPr>
              <w:fldChar w:fldCharType="separate"/>
            </w:r>
            <w:r w:rsidR="00FB51E7">
              <w:rPr>
                <w:noProof/>
                <w:webHidden/>
              </w:rPr>
              <w:t>4</w:t>
            </w:r>
            <w:r w:rsidR="00CD2A30">
              <w:rPr>
                <w:noProof/>
                <w:webHidden/>
              </w:rPr>
              <w:fldChar w:fldCharType="end"/>
            </w:r>
          </w:hyperlink>
        </w:p>
        <w:p w14:paraId="7E5F294B" w14:textId="467F5C94" w:rsidR="00CD2A30" w:rsidRDefault="005C7A9D">
          <w:pPr>
            <w:pStyle w:val="TOC2"/>
            <w:tabs>
              <w:tab w:val="right" w:leader="dot" w:pos="9016"/>
            </w:tabs>
            <w:rPr>
              <w:rFonts w:cstheme="minorBidi"/>
              <w:noProof/>
              <w:sz w:val="22"/>
              <w:szCs w:val="22"/>
              <w:lang w:eastAsia="en-GB"/>
            </w:rPr>
          </w:pPr>
          <w:hyperlink w:anchor="_Toc214656928" w:history="1">
            <w:r w:rsidR="00CD2A30" w:rsidRPr="00E67308">
              <w:rPr>
                <w:rStyle w:val="Hyperlink"/>
                <w:rFonts w:ascii="Arial" w:hAnsi="Arial" w:cs="Arial"/>
                <w:noProof/>
              </w:rPr>
              <w:t>1.1 Firms financial statement</w:t>
            </w:r>
            <w:r w:rsidR="00CD2A30">
              <w:rPr>
                <w:noProof/>
                <w:webHidden/>
              </w:rPr>
              <w:tab/>
            </w:r>
            <w:r w:rsidR="00CD2A30">
              <w:rPr>
                <w:noProof/>
                <w:webHidden/>
              </w:rPr>
              <w:fldChar w:fldCharType="begin"/>
            </w:r>
            <w:r w:rsidR="00CD2A30">
              <w:rPr>
                <w:noProof/>
                <w:webHidden/>
              </w:rPr>
              <w:instrText xml:space="preserve"> PAGEREF _Toc214656928 \h </w:instrText>
            </w:r>
            <w:r w:rsidR="00CD2A30">
              <w:rPr>
                <w:noProof/>
                <w:webHidden/>
              </w:rPr>
            </w:r>
            <w:r w:rsidR="00CD2A30">
              <w:rPr>
                <w:noProof/>
                <w:webHidden/>
              </w:rPr>
              <w:fldChar w:fldCharType="separate"/>
            </w:r>
            <w:r w:rsidR="00FB51E7">
              <w:rPr>
                <w:noProof/>
                <w:webHidden/>
              </w:rPr>
              <w:t>4</w:t>
            </w:r>
            <w:r w:rsidR="00CD2A30">
              <w:rPr>
                <w:noProof/>
                <w:webHidden/>
              </w:rPr>
              <w:fldChar w:fldCharType="end"/>
            </w:r>
          </w:hyperlink>
        </w:p>
        <w:p w14:paraId="23C00BBF" w14:textId="2F14F002" w:rsidR="00CD2A30" w:rsidRDefault="005C7A9D">
          <w:pPr>
            <w:pStyle w:val="TOC2"/>
            <w:tabs>
              <w:tab w:val="right" w:leader="dot" w:pos="9016"/>
            </w:tabs>
            <w:rPr>
              <w:rFonts w:cstheme="minorBidi"/>
              <w:noProof/>
              <w:sz w:val="22"/>
              <w:szCs w:val="22"/>
              <w:lang w:eastAsia="en-GB"/>
            </w:rPr>
          </w:pPr>
          <w:hyperlink w:anchor="_Toc214656929" w:history="1">
            <w:r w:rsidR="00CD2A30" w:rsidRPr="00E67308">
              <w:rPr>
                <w:rStyle w:val="Hyperlink"/>
                <w:noProof/>
              </w:rPr>
              <w:t>1.2 Full ratio analysis</w:t>
            </w:r>
            <w:r w:rsidR="00CD2A30">
              <w:rPr>
                <w:noProof/>
                <w:webHidden/>
              </w:rPr>
              <w:tab/>
            </w:r>
            <w:r w:rsidR="00CD2A30">
              <w:rPr>
                <w:noProof/>
                <w:webHidden/>
              </w:rPr>
              <w:fldChar w:fldCharType="begin"/>
            </w:r>
            <w:r w:rsidR="00CD2A30">
              <w:rPr>
                <w:noProof/>
                <w:webHidden/>
              </w:rPr>
              <w:instrText xml:space="preserve"> PAGEREF _Toc214656929 \h </w:instrText>
            </w:r>
            <w:r w:rsidR="00CD2A30">
              <w:rPr>
                <w:noProof/>
                <w:webHidden/>
              </w:rPr>
            </w:r>
            <w:r w:rsidR="00CD2A30">
              <w:rPr>
                <w:noProof/>
                <w:webHidden/>
              </w:rPr>
              <w:fldChar w:fldCharType="separate"/>
            </w:r>
            <w:r w:rsidR="00FB51E7">
              <w:rPr>
                <w:noProof/>
                <w:webHidden/>
              </w:rPr>
              <w:t>5</w:t>
            </w:r>
            <w:r w:rsidR="00CD2A30">
              <w:rPr>
                <w:noProof/>
                <w:webHidden/>
              </w:rPr>
              <w:fldChar w:fldCharType="end"/>
            </w:r>
          </w:hyperlink>
        </w:p>
        <w:p w14:paraId="198F6EA3" w14:textId="5C67CA4A" w:rsidR="00CD2A30" w:rsidRDefault="005C7A9D">
          <w:pPr>
            <w:pStyle w:val="TOC3"/>
            <w:tabs>
              <w:tab w:val="right" w:leader="dot" w:pos="9016"/>
            </w:tabs>
            <w:rPr>
              <w:rFonts w:cstheme="minorBidi"/>
              <w:noProof/>
              <w:sz w:val="22"/>
              <w:szCs w:val="22"/>
              <w:lang w:eastAsia="en-GB"/>
            </w:rPr>
          </w:pPr>
          <w:hyperlink w:anchor="_Toc214656930" w:history="1">
            <w:r w:rsidR="00CD2A30" w:rsidRPr="00E67308">
              <w:rPr>
                <w:rStyle w:val="Hyperlink"/>
                <w:noProof/>
              </w:rPr>
              <w:t>1.2.1 Profitability ratios</w:t>
            </w:r>
            <w:r w:rsidR="00CD2A30">
              <w:rPr>
                <w:noProof/>
                <w:webHidden/>
              </w:rPr>
              <w:tab/>
            </w:r>
            <w:r w:rsidR="00CD2A30">
              <w:rPr>
                <w:noProof/>
                <w:webHidden/>
              </w:rPr>
              <w:fldChar w:fldCharType="begin"/>
            </w:r>
            <w:r w:rsidR="00CD2A30">
              <w:rPr>
                <w:noProof/>
                <w:webHidden/>
              </w:rPr>
              <w:instrText xml:space="preserve"> PAGEREF _Toc214656930 \h </w:instrText>
            </w:r>
            <w:r w:rsidR="00CD2A30">
              <w:rPr>
                <w:noProof/>
                <w:webHidden/>
              </w:rPr>
            </w:r>
            <w:r w:rsidR="00CD2A30">
              <w:rPr>
                <w:noProof/>
                <w:webHidden/>
              </w:rPr>
              <w:fldChar w:fldCharType="separate"/>
            </w:r>
            <w:r w:rsidR="00FB51E7">
              <w:rPr>
                <w:noProof/>
                <w:webHidden/>
              </w:rPr>
              <w:t>5</w:t>
            </w:r>
            <w:r w:rsidR="00CD2A30">
              <w:rPr>
                <w:noProof/>
                <w:webHidden/>
              </w:rPr>
              <w:fldChar w:fldCharType="end"/>
            </w:r>
          </w:hyperlink>
        </w:p>
        <w:p w14:paraId="2E942B4C" w14:textId="6719D259" w:rsidR="00CD2A30" w:rsidRDefault="005C7A9D">
          <w:pPr>
            <w:pStyle w:val="TOC2"/>
            <w:tabs>
              <w:tab w:val="right" w:leader="dot" w:pos="9016"/>
            </w:tabs>
            <w:rPr>
              <w:rFonts w:cstheme="minorBidi"/>
              <w:noProof/>
              <w:sz w:val="22"/>
              <w:szCs w:val="22"/>
              <w:lang w:eastAsia="en-GB"/>
            </w:rPr>
          </w:pPr>
          <w:hyperlink w:anchor="_Toc214656931" w:history="1">
            <w:r w:rsidR="00CD2A30" w:rsidRPr="00E67308">
              <w:rPr>
                <w:rStyle w:val="Hyperlink"/>
                <w:rFonts w:ascii="Arial" w:hAnsi="Arial" w:cs="Arial"/>
                <w:noProof/>
              </w:rPr>
              <w:t>1.2.2 Liquidity ratios</w:t>
            </w:r>
            <w:r w:rsidR="00CD2A30">
              <w:rPr>
                <w:noProof/>
                <w:webHidden/>
              </w:rPr>
              <w:tab/>
            </w:r>
            <w:r w:rsidR="00CD2A30">
              <w:rPr>
                <w:noProof/>
                <w:webHidden/>
              </w:rPr>
              <w:fldChar w:fldCharType="begin"/>
            </w:r>
            <w:r w:rsidR="00CD2A30">
              <w:rPr>
                <w:noProof/>
                <w:webHidden/>
              </w:rPr>
              <w:instrText xml:space="preserve"> PAGEREF _Toc214656931 \h </w:instrText>
            </w:r>
            <w:r w:rsidR="00CD2A30">
              <w:rPr>
                <w:noProof/>
                <w:webHidden/>
              </w:rPr>
            </w:r>
            <w:r w:rsidR="00CD2A30">
              <w:rPr>
                <w:noProof/>
                <w:webHidden/>
              </w:rPr>
              <w:fldChar w:fldCharType="separate"/>
            </w:r>
            <w:r w:rsidR="00FB51E7">
              <w:rPr>
                <w:noProof/>
                <w:webHidden/>
              </w:rPr>
              <w:t>6</w:t>
            </w:r>
            <w:r w:rsidR="00CD2A30">
              <w:rPr>
                <w:noProof/>
                <w:webHidden/>
              </w:rPr>
              <w:fldChar w:fldCharType="end"/>
            </w:r>
          </w:hyperlink>
        </w:p>
        <w:p w14:paraId="054DD269" w14:textId="09CA075B" w:rsidR="00CD2A30" w:rsidRDefault="005C7A9D">
          <w:pPr>
            <w:pStyle w:val="TOC2"/>
            <w:tabs>
              <w:tab w:val="right" w:leader="dot" w:pos="9016"/>
            </w:tabs>
            <w:rPr>
              <w:rFonts w:cstheme="minorBidi"/>
              <w:noProof/>
              <w:sz w:val="22"/>
              <w:szCs w:val="22"/>
              <w:lang w:eastAsia="en-GB"/>
            </w:rPr>
          </w:pPr>
          <w:hyperlink w:anchor="_Toc214656932" w:history="1">
            <w:r w:rsidR="00CD2A30" w:rsidRPr="00E67308">
              <w:rPr>
                <w:rStyle w:val="Hyperlink"/>
                <w:rFonts w:ascii="Arial" w:hAnsi="Arial" w:cs="Arial"/>
                <w:noProof/>
              </w:rPr>
              <w:t>1.2.3 Efficiency ratios analysis</w:t>
            </w:r>
            <w:r w:rsidR="00CD2A30">
              <w:rPr>
                <w:noProof/>
                <w:webHidden/>
              </w:rPr>
              <w:tab/>
            </w:r>
            <w:r w:rsidR="00CD2A30">
              <w:rPr>
                <w:noProof/>
                <w:webHidden/>
              </w:rPr>
              <w:fldChar w:fldCharType="begin"/>
            </w:r>
            <w:r w:rsidR="00CD2A30">
              <w:rPr>
                <w:noProof/>
                <w:webHidden/>
              </w:rPr>
              <w:instrText xml:space="preserve"> PAGEREF _Toc214656932 \h </w:instrText>
            </w:r>
            <w:r w:rsidR="00CD2A30">
              <w:rPr>
                <w:noProof/>
                <w:webHidden/>
              </w:rPr>
            </w:r>
            <w:r w:rsidR="00CD2A30">
              <w:rPr>
                <w:noProof/>
                <w:webHidden/>
              </w:rPr>
              <w:fldChar w:fldCharType="separate"/>
            </w:r>
            <w:r w:rsidR="00FB51E7">
              <w:rPr>
                <w:noProof/>
                <w:webHidden/>
              </w:rPr>
              <w:t>7</w:t>
            </w:r>
            <w:r w:rsidR="00CD2A30">
              <w:rPr>
                <w:noProof/>
                <w:webHidden/>
              </w:rPr>
              <w:fldChar w:fldCharType="end"/>
            </w:r>
          </w:hyperlink>
        </w:p>
        <w:p w14:paraId="158DCAC8" w14:textId="6CF62E4B" w:rsidR="00CD2A30" w:rsidRDefault="005C7A9D">
          <w:pPr>
            <w:pStyle w:val="TOC2"/>
            <w:tabs>
              <w:tab w:val="right" w:leader="dot" w:pos="9016"/>
            </w:tabs>
            <w:rPr>
              <w:rFonts w:cstheme="minorBidi"/>
              <w:noProof/>
              <w:sz w:val="22"/>
              <w:szCs w:val="22"/>
              <w:lang w:eastAsia="en-GB"/>
            </w:rPr>
          </w:pPr>
          <w:hyperlink w:anchor="_Toc214656933" w:history="1">
            <w:r w:rsidR="00CD2A30" w:rsidRPr="00E67308">
              <w:rPr>
                <w:rStyle w:val="Hyperlink"/>
                <w:noProof/>
              </w:rPr>
              <w:t>1.2.4 Gearing analysis</w:t>
            </w:r>
            <w:r w:rsidR="00CD2A30">
              <w:rPr>
                <w:noProof/>
                <w:webHidden/>
              </w:rPr>
              <w:tab/>
            </w:r>
            <w:r w:rsidR="00CD2A30">
              <w:rPr>
                <w:noProof/>
                <w:webHidden/>
              </w:rPr>
              <w:fldChar w:fldCharType="begin"/>
            </w:r>
            <w:r w:rsidR="00CD2A30">
              <w:rPr>
                <w:noProof/>
                <w:webHidden/>
              </w:rPr>
              <w:instrText xml:space="preserve"> PAGEREF _Toc214656933 \h </w:instrText>
            </w:r>
            <w:r w:rsidR="00CD2A30">
              <w:rPr>
                <w:noProof/>
                <w:webHidden/>
              </w:rPr>
            </w:r>
            <w:r w:rsidR="00CD2A30">
              <w:rPr>
                <w:noProof/>
                <w:webHidden/>
              </w:rPr>
              <w:fldChar w:fldCharType="separate"/>
            </w:r>
            <w:r w:rsidR="00FB51E7">
              <w:rPr>
                <w:noProof/>
                <w:webHidden/>
              </w:rPr>
              <w:t>8</w:t>
            </w:r>
            <w:r w:rsidR="00CD2A30">
              <w:rPr>
                <w:noProof/>
                <w:webHidden/>
              </w:rPr>
              <w:fldChar w:fldCharType="end"/>
            </w:r>
          </w:hyperlink>
        </w:p>
        <w:p w14:paraId="7BA91CD1" w14:textId="26BF680D" w:rsidR="00CD2A30" w:rsidRDefault="005C7A9D">
          <w:pPr>
            <w:pStyle w:val="TOC3"/>
            <w:tabs>
              <w:tab w:val="right" w:leader="dot" w:pos="9016"/>
            </w:tabs>
            <w:rPr>
              <w:rFonts w:cstheme="minorBidi"/>
              <w:noProof/>
              <w:sz w:val="22"/>
              <w:szCs w:val="22"/>
              <w:lang w:eastAsia="en-GB"/>
            </w:rPr>
          </w:pPr>
          <w:hyperlink w:anchor="_Toc214656934" w:history="1">
            <w:r w:rsidR="00CD2A30" w:rsidRPr="00E67308">
              <w:rPr>
                <w:rStyle w:val="Hyperlink"/>
                <w:noProof/>
              </w:rPr>
              <w:t>1.2.5Investment ratios</w:t>
            </w:r>
            <w:r w:rsidR="00CD2A30">
              <w:rPr>
                <w:noProof/>
                <w:webHidden/>
              </w:rPr>
              <w:tab/>
            </w:r>
            <w:r w:rsidR="00CD2A30">
              <w:rPr>
                <w:noProof/>
                <w:webHidden/>
              </w:rPr>
              <w:fldChar w:fldCharType="begin"/>
            </w:r>
            <w:r w:rsidR="00CD2A30">
              <w:rPr>
                <w:noProof/>
                <w:webHidden/>
              </w:rPr>
              <w:instrText xml:space="preserve"> PAGEREF _Toc214656934 \h </w:instrText>
            </w:r>
            <w:r w:rsidR="00CD2A30">
              <w:rPr>
                <w:noProof/>
                <w:webHidden/>
              </w:rPr>
            </w:r>
            <w:r w:rsidR="00CD2A30">
              <w:rPr>
                <w:noProof/>
                <w:webHidden/>
              </w:rPr>
              <w:fldChar w:fldCharType="separate"/>
            </w:r>
            <w:r w:rsidR="00FB51E7">
              <w:rPr>
                <w:noProof/>
                <w:webHidden/>
              </w:rPr>
              <w:t>8</w:t>
            </w:r>
            <w:r w:rsidR="00CD2A30">
              <w:rPr>
                <w:noProof/>
                <w:webHidden/>
              </w:rPr>
              <w:fldChar w:fldCharType="end"/>
            </w:r>
          </w:hyperlink>
        </w:p>
        <w:p w14:paraId="21C366AD" w14:textId="74FDD3F1" w:rsidR="00CD2A30" w:rsidRDefault="005C7A9D">
          <w:pPr>
            <w:pStyle w:val="TOC2"/>
            <w:tabs>
              <w:tab w:val="right" w:leader="dot" w:pos="9016"/>
            </w:tabs>
            <w:rPr>
              <w:rFonts w:cstheme="minorBidi"/>
              <w:noProof/>
              <w:sz w:val="22"/>
              <w:szCs w:val="22"/>
              <w:lang w:eastAsia="en-GB"/>
            </w:rPr>
          </w:pPr>
          <w:hyperlink w:anchor="_Toc214656935" w:history="1">
            <w:r w:rsidR="00CD2A30" w:rsidRPr="00E67308">
              <w:rPr>
                <w:rStyle w:val="Hyperlink"/>
                <w:noProof/>
              </w:rPr>
              <w:t>1.2.6 Trends, strengths and threats</w:t>
            </w:r>
            <w:r w:rsidR="00CD2A30">
              <w:rPr>
                <w:noProof/>
                <w:webHidden/>
              </w:rPr>
              <w:tab/>
            </w:r>
            <w:r w:rsidR="00CD2A30">
              <w:rPr>
                <w:noProof/>
                <w:webHidden/>
              </w:rPr>
              <w:fldChar w:fldCharType="begin"/>
            </w:r>
            <w:r w:rsidR="00CD2A30">
              <w:rPr>
                <w:noProof/>
                <w:webHidden/>
              </w:rPr>
              <w:instrText xml:space="preserve"> PAGEREF _Toc214656935 \h </w:instrText>
            </w:r>
            <w:r w:rsidR="00CD2A30">
              <w:rPr>
                <w:noProof/>
                <w:webHidden/>
              </w:rPr>
            </w:r>
            <w:r w:rsidR="00CD2A30">
              <w:rPr>
                <w:noProof/>
                <w:webHidden/>
              </w:rPr>
              <w:fldChar w:fldCharType="separate"/>
            </w:r>
            <w:r w:rsidR="00FB51E7">
              <w:rPr>
                <w:noProof/>
                <w:webHidden/>
              </w:rPr>
              <w:t>9</w:t>
            </w:r>
            <w:r w:rsidR="00CD2A30">
              <w:rPr>
                <w:noProof/>
                <w:webHidden/>
              </w:rPr>
              <w:fldChar w:fldCharType="end"/>
            </w:r>
          </w:hyperlink>
        </w:p>
        <w:p w14:paraId="6046D24A" w14:textId="6F1F82CC" w:rsidR="00CD2A30" w:rsidRDefault="005C7A9D">
          <w:pPr>
            <w:pStyle w:val="TOC2"/>
            <w:tabs>
              <w:tab w:val="right" w:leader="dot" w:pos="9016"/>
            </w:tabs>
            <w:rPr>
              <w:rFonts w:cstheme="minorBidi"/>
              <w:noProof/>
              <w:sz w:val="22"/>
              <w:szCs w:val="22"/>
              <w:lang w:eastAsia="en-GB"/>
            </w:rPr>
          </w:pPr>
          <w:hyperlink w:anchor="_Toc214656936" w:history="1">
            <w:r w:rsidR="00CD2A30" w:rsidRPr="00E67308">
              <w:rPr>
                <w:rStyle w:val="Hyperlink"/>
                <w:noProof/>
              </w:rPr>
              <w:t>1.2 Altman Z-Score model</w:t>
            </w:r>
            <w:r w:rsidR="00CD2A30">
              <w:rPr>
                <w:noProof/>
                <w:webHidden/>
              </w:rPr>
              <w:tab/>
            </w:r>
            <w:r w:rsidR="00CD2A30">
              <w:rPr>
                <w:noProof/>
                <w:webHidden/>
              </w:rPr>
              <w:fldChar w:fldCharType="begin"/>
            </w:r>
            <w:r w:rsidR="00CD2A30">
              <w:rPr>
                <w:noProof/>
                <w:webHidden/>
              </w:rPr>
              <w:instrText xml:space="preserve"> PAGEREF _Toc214656936 \h </w:instrText>
            </w:r>
            <w:r w:rsidR="00CD2A30">
              <w:rPr>
                <w:noProof/>
                <w:webHidden/>
              </w:rPr>
            </w:r>
            <w:r w:rsidR="00CD2A30">
              <w:rPr>
                <w:noProof/>
                <w:webHidden/>
              </w:rPr>
              <w:fldChar w:fldCharType="separate"/>
            </w:r>
            <w:r w:rsidR="00FB51E7">
              <w:rPr>
                <w:noProof/>
                <w:webHidden/>
              </w:rPr>
              <w:t>10</w:t>
            </w:r>
            <w:r w:rsidR="00CD2A30">
              <w:rPr>
                <w:noProof/>
                <w:webHidden/>
              </w:rPr>
              <w:fldChar w:fldCharType="end"/>
            </w:r>
          </w:hyperlink>
        </w:p>
        <w:p w14:paraId="17FE39C0" w14:textId="70981EAB" w:rsidR="00CD2A30" w:rsidRDefault="005C7A9D">
          <w:pPr>
            <w:pStyle w:val="TOC1"/>
            <w:tabs>
              <w:tab w:val="right" w:leader="dot" w:pos="9016"/>
            </w:tabs>
            <w:rPr>
              <w:rFonts w:cstheme="minorBidi"/>
              <w:noProof/>
              <w:sz w:val="22"/>
              <w:szCs w:val="22"/>
              <w:lang w:eastAsia="en-GB"/>
            </w:rPr>
          </w:pPr>
          <w:hyperlink w:anchor="_Toc214656937" w:history="1">
            <w:r w:rsidR="00CD2A30" w:rsidRPr="00E67308">
              <w:rPr>
                <w:rStyle w:val="Hyperlink"/>
                <w:rFonts w:ascii="Arial" w:hAnsi="Arial" w:cs="Arial"/>
                <w:noProof/>
              </w:rPr>
              <w:t>2. Working Capital Management Analysis</w:t>
            </w:r>
            <w:r w:rsidR="00CD2A30">
              <w:rPr>
                <w:noProof/>
                <w:webHidden/>
              </w:rPr>
              <w:tab/>
            </w:r>
            <w:r w:rsidR="00CD2A30">
              <w:rPr>
                <w:noProof/>
                <w:webHidden/>
              </w:rPr>
              <w:fldChar w:fldCharType="begin"/>
            </w:r>
            <w:r w:rsidR="00CD2A30">
              <w:rPr>
                <w:noProof/>
                <w:webHidden/>
              </w:rPr>
              <w:instrText xml:space="preserve"> PAGEREF _Toc214656937 \h </w:instrText>
            </w:r>
            <w:r w:rsidR="00CD2A30">
              <w:rPr>
                <w:noProof/>
                <w:webHidden/>
              </w:rPr>
            </w:r>
            <w:r w:rsidR="00CD2A30">
              <w:rPr>
                <w:noProof/>
                <w:webHidden/>
              </w:rPr>
              <w:fldChar w:fldCharType="separate"/>
            </w:r>
            <w:r w:rsidR="00FB51E7">
              <w:rPr>
                <w:noProof/>
                <w:webHidden/>
              </w:rPr>
              <w:t>11</w:t>
            </w:r>
            <w:r w:rsidR="00CD2A30">
              <w:rPr>
                <w:noProof/>
                <w:webHidden/>
              </w:rPr>
              <w:fldChar w:fldCharType="end"/>
            </w:r>
          </w:hyperlink>
        </w:p>
        <w:p w14:paraId="0EFA3E90" w14:textId="4A3D9E12" w:rsidR="00CD2A30" w:rsidRDefault="005C7A9D">
          <w:pPr>
            <w:pStyle w:val="TOC2"/>
            <w:tabs>
              <w:tab w:val="right" w:leader="dot" w:pos="9016"/>
            </w:tabs>
            <w:rPr>
              <w:rFonts w:cstheme="minorBidi"/>
              <w:noProof/>
              <w:sz w:val="22"/>
              <w:szCs w:val="22"/>
              <w:lang w:eastAsia="en-GB"/>
            </w:rPr>
          </w:pPr>
          <w:hyperlink w:anchor="_Toc214656938" w:history="1">
            <w:r w:rsidR="00CD2A30" w:rsidRPr="00E67308">
              <w:rPr>
                <w:rStyle w:val="Hyperlink"/>
                <w:rFonts w:ascii="Arial" w:hAnsi="Arial" w:cs="Arial"/>
                <w:noProof/>
              </w:rPr>
              <w:t>2.1 Cash operating cycle</w:t>
            </w:r>
            <w:r w:rsidR="00CD2A30">
              <w:rPr>
                <w:noProof/>
                <w:webHidden/>
              </w:rPr>
              <w:tab/>
            </w:r>
            <w:r w:rsidR="00CD2A30">
              <w:rPr>
                <w:noProof/>
                <w:webHidden/>
              </w:rPr>
              <w:fldChar w:fldCharType="begin"/>
            </w:r>
            <w:r w:rsidR="00CD2A30">
              <w:rPr>
                <w:noProof/>
                <w:webHidden/>
              </w:rPr>
              <w:instrText xml:space="preserve"> PAGEREF _Toc214656938 \h </w:instrText>
            </w:r>
            <w:r w:rsidR="00CD2A30">
              <w:rPr>
                <w:noProof/>
                <w:webHidden/>
              </w:rPr>
            </w:r>
            <w:r w:rsidR="00CD2A30">
              <w:rPr>
                <w:noProof/>
                <w:webHidden/>
              </w:rPr>
              <w:fldChar w:fldCharType="separate"/>
            </w:r>
            <w:r w:rsidR="00FB51E7">
              <w:rPr>
                <w:noProof/>
                <w:webHidden/>
              </w:rPr>
              <w:t>11</w:t>
            </w:r>
            <w:r w:rsidR="00CD2A30">
              <w:rPr>
                <w:noProof/>
                <w:webHidden/>
              </w:rPr>
              <w:fldChar w:fldCharType="end"/>
            </w:r>
          </w:hyperlink>
        </w:p>
        <w:p w14:paraId="313EDC8D" w14:textId="68E960E6" w:rsidR="00CD2A30" w:rsidRDefault="005C7A9D">
          <w:pPr>
            <w:pStyle w:val="TOC2"/>
            <w:tabs>
              <w:tab w:val="right" w:leader="dot" w:pos="9016"/>
            </w:tabs>
            <w:rPr>
              <w:rFonts w:cstheme="minorBidi"/>
              <w:noProof/>
              <w:sz w:val="22"/>
              <w:szCs w:val="22"/>
              <w:lang w:eastAsia="en-GB"/>
            </w:rPr>
          </w:pPr>
          <w:hyperlink w:anchor="_Toc214656939" w:history="1">
            <w:r w:rsidR="00CD2A30" w:rsidRPr="00E67308">
              <w:rPr>
                <w:rStyle w:val="Hyperlink"/>
                <w:rFonts w:ascii="Arial" w:hAnsi="Arial" w:cs="Arial"/>
                <w:noProof/>
              </w:rPr>
              <w:t>2.2 Recommended strategies to improve liquidity through working capital reforms</w:t>
            </w:r>
            <w:r w:rsidR="00CD2A30">
              <w:rPr>
                <w:noProof/>
                <w:webHidden/>
              </w:rPr>
              <w:tab/>
            </w:r>
            <w:r w:rsidR="00CD2A30">
              <w:rPr>
                <w:noProof/>
                <w:webHidden/>
              </w:rPr>
              <w:fldChar w:fldCharType="begin"/>
            </w:r>
            <w:r w:rsidR="00CD2A30">
              <w:rPr>
                <w:noProof/>
                <w:webHidden/>
              </w:rPr>
              <w:instrText xml:space="preserve"> PAGEREF _Toc214656939 \h </w:instrText>
            </w:r>
            <w:r w:rsidR="00CD2A30">
              <w:rPr>
                <w:noProof/>
                <w:webHidden/>
              </w:rPr>
            </w:r>
            <w:r w:rsidR="00CD2A30">
              <w:rPr>
                <w:noProof/>
                <w:webHidden/>
              </w:rPr>
              <w:fldChar w:fldCharType="separate"/>
            </w:r>
            <w:r w:rsidR="00FB51E7">
              <w:rPr>
                <w:noProof/>
                <w:webHidden/>
              </w:rPr>
              <w:t>12</w:t>
            </w:r>
            <w:r w:rsidR="00CD2A30">
              <w:rPr>
                <w:noProof/>
                <w:webHidden/>
              </w:rPr>
              <w:fldChar w:fldCharType="end"/>
            </w:r>
          </w:hyperlink>
        </w:p>
        <w:p w14:paraId="539FD694" w14:textId="503775C8" w:rsidR="00CD2A30" w:rsidRDefault="005C7A9D">
          <w:pPr>
            <w:pStyle w:val="TOC2"/>
            <w:tabs>
              <w:tab w:val="right" w:leader="dot" w:pos="9016"/>
            </w:tabs>
            <w:rPr>
              <w:rFonts w:cstheme="minorBidi"/>
              <w:noProof/>
              <w:sz w:val="22"/>
              <w:szCs w:val="22"/>
              <w:lang w:eastAsia="en-GB"/>
            </w:rPr>
          </w:pPr>
          <w:hyperlink w:anchor="_Toc214656940" w:history="1">
            <w:r w:rsidR="00CD2A30" w:rsidRPr="00E67308">
              <w:rPr>
                <w:rStyle w:val="Hyperlink"/>
                <w:rFonts w:ascii="Arial" w:hAnsi="Arial" w:cs="Arial"/>
                <w:noProof/>
              </w:rPr>
              <w:t>2.3 Comparison of short term vs long term financing options</w:t>
            </w:r>
            <w:r w:rsidR="00CD2A30">
              <w:rPr>
                <w:noProof/>
                <w:webHidden/>
              </w:rPr>
              <w:tab/>
            </w:r>
            <w:r w:rsidR="00CD2A30">
              <w:rPr>
                <w:noProof/>
                <w:webHidden/>
              </w:rPr>
              <w:fldChar w:fldCharType="begin"/>
            </w:r>
            <w:r w:rsidR="00CD2A30">
              <w:rPr>
                <w:noProof/>
                <w:webHidden/>
              </w:rPr>
              <w:instrText xml:space="preserve"> PAGEREF _Toc214656940 \h </w:instrText>
            </w:r>
            <w:r w:rsidR="00CD2A30">
              <w:rPr>
                <w:noProof/>
                <w:webHidden/>
              </w:rPr>
            </w:r>
            <w:r w:rsidR="00CD2A30">
              <w:rPr>
                <w:noProof/>
                <w:webHidden/>
              </w:rPr>
              <w:fldChar w:fldCharType="separate"/>
            </w:r>
            <w:r w:rsidR="00FB51E7">
              <w:rPr>
                <w:noProof/>
                <w:webHidden/>
              </w:rPr>
              <w:t>14</w:t>
            </w:r>
            <w:r w:rsidR="00CD2A30">
              <w:rPr>
                <w:noProof/>
                <w:webHidden/>
              </w:rPr>
              <w:fldChar w:fldCharType="end"/>
            </w:r>
          </w:hyperlink>
        </w:p>
        <w:p w14:paraId="35F7BEF0" w14:textId="0B8CAEE9" w:rsidR="00CD2A30" w:rsidRDefault="005C7A9D">
          <w:pPr>
            <w:pStyle w:val="TOC1"/>
            <w:tabs>
              <w:tab w:val="right" w:leader="dot" w:pos="9016"/>
            </w:tabs>
            <w:rPr>
              <w:rFonts w:cstheme="minorBidi"/>
              <w:noProof/>
              <w:sz w:val="22"/>
              <w:szCs w:val="22"/>
              <w:lang w:eastAsia="en-GB"/>
            </w:rPr>
          </w:pPr>
          <w:hyperlink w:anchor="_Toc214656941" w:history="1">
            <w:r w:rsidR="00CD2A30" w:rsidRPr="00E67308">
              <w:rPr>
                <w:rStyle w:val="Hyperlink"/>
                <w:rFonts w:ascii="Arial" w:hAnsi="Arial" w:cs="Arial"/>
                <w:noProof/>
              </w:rPr>
              <w:t>3. Strategic Financial Restructuring Plan</w:t>
            </w:r>
            <w:r w:rsidR="00CD2A30">
              <w:rPr>
                <w:noProof/>
                <w:webHidden/>
              </w:rPr>
              <w:tab/>
            </w:r>
            <w:r w:rsidR="00CD2A30">
              <w:rPr>
                <w:noProof/>
                <w:webHidden/>
              </w:rPr>
              <w:fldChar w:fldCharType="begin"/>
            </w:r>
            <w:r w:rsidR="00CD2A30">
              <w:rPr>
                <w:noProof/>
                <w:webHidden/>
              </w:rPr>
              <w:instrText xml:space="preserve"> PAGEREF _Toc214656941 \h </w:instrText>
            </w:r>
            <w:r w:rsidR="00CD2A30">
              <w:rPr>
                <w:noProof/>
                <w:webHidden/>
              </w:rPr>
            </w:r>
            <w:r w:rsidR="00CD2A30">
              <w:rPr>
                <w:noProof/>
                <w:webHidden/>
              </w:rPr>
              <w:fldChar w:fldCharType="separate"/>
            </w:r>
            <w:r w:rsidR="00FB51E7">
              <w:rPr>
                <w:noProof/>
                <w:webHidden/>
              </w:rPr>
              <w:t>15</w:t>
            </w:r>
            <w:r w:rsidR="00CD2A30">
              <w:rPr>
                <w:noProof/>
                <w:webHidden/>
              </w:rPr>
              <w:fldChar w:fldCharType="end"/>
            </w:r>
          </w:hyperlink>
        </w:p>
        <w:p w14:paraId="7C64C87D" w14:textId="4B01CED9" w:rsidR="00CD2A30" w:rsidRDefault="005C7A9D">
          <w:pPr>
            <w:pStyle w:val="TOC2"/>
            <w:tabs>
              <w:tab w:val="right" w:leader="dot" w:pos="9016"/>
            </w:tabs>
            <w:rPr>
              <w:rFonts w:cstheme="minorBidi"/>
              <w:noProof/>
              <w:sz w:val="22"/>
              <w:szCs w:val="22"/>
              <w:lang w:eastAsia="en-GB"/>
            </w:rPr>
          </w:pPr>
          <w:hyperlink w:anchor="_Toc214656942" w:history="1">
            <w:r w:rsidR="00CD2A30" w:rsidRPr="00E67308">
              <w:rPr>
                <w:rStyle w:val="Hyperlink"/>
                <w:rFonts w:ascii="Arial" w:hAnsi="Arial" w:cs="Arial"/>
                <w:noProof/>
              </w:rPr>
              <w:t>3.1 Recommended financial restructuring options</w:t>
            </w:r>
            <w:r w:rsidR="00CD2A30">
              <w:rPr>
                <w:noProof/>
                <w:webHidden/>
              </w:rPr>
              <w:tab/>
            </w:r>
            <w:r w:rsidR="00CD2A30">
              <w:rPr>
                <w:noProof/>
                <w:webHidden/>
              </w:rPr>
              <w:fldChar w:fldCharType="begin"/>
            </w:r>
            <w:r w:rsidR="00CD2A30">
              <w:rPr>
                <w:noProof/>
                <w:webHidden/>
              </w:rPr>
              <w:instrText xml:space="preserve"> PAGEREF _Toc214656942 \h </w:instrText>
            </w:r>
            <w:r w:rsidR="00CD2A30">
              <w:rPr>
                <w:noProof/>
                <w:webHidden/>
              </w:rPr>
            </w:r>
            <w:r w:rsidR="00CD2A30">
              <w:rPr>
                <w:noProof/>
                <w:webHidden/>
              </w:rPr>
              <w:fldChar w:fldCharType="separate"/>
            </w:r>
            <w:r w:rsidR="00FB51E7">
              <w:rPr>
                <w:noProof/>
                <w:webHidden/>
              </w:rPr>
              <w:t>15</w:t>
            </w:r>
            <w:r w:rsidR="00CD2A30">
              <w:rPr>
                <w:noProof/>
                <w:webHidden/>
              </w:rPr>
              <w:fldChar w:fldCharType="end"/>
            </w:r>
          </w:hyperlink>
        </w:p>
        <w:p w14:paraId="416C524E" w14:textId="252458FB" w:rsidR="00CD2A30" w:rsidRDefault="005C7A9D">
          <w:pPr>
            <w:pStyle w:val="TOC2"/>
            <w:tabs>
              <w:tab w:val="right" w:leader="dot" w:pos="9016"/>
            </w:tabs>
            <w:rPr>
              <w:rFonts w:cstheme="minorBidi"/>
              <w:noProof/>
              <w:sz w:val="22"/>
              <w:szCs w:val="22"/>
              <w:lang w:eastAsia="en-GB"/>
            </w:rPr>
          </w:pPr>
          <w:hyperlink w:anchor="_Toc214656943" w:history="1">
            <w:r w:rsidR="00CD2A30" w:rsidRPr="00E67308">
              <w:rPr>
                <w:rStyle w:val="Hyperlink"/>
                <w:rFonts w:ascii="Arial" w:hAnsi="Arial" w:cs="Arial"/>
                <w:noProof/>
              </w:rPr>
              <w:t>3.2 Evaluation of impact on shareholder value, debt structure and operational flexibility</w:t>
            </w:r>
            <w:r w:rsidR="00CD2A30">
              <w:rPr>
                <w:noProof/>
                <w:webHidden/>
              </w:rPr>
              <w:tab/>
            </w:r>
            <w:r w:rsidR="00CD2A30">
              <w:rPr>
                <w:noProof/>
                <w:webHidden/>
              </w:rPr>
              <w:fldChar w:fldCharType="begin"/>
            </w:r>
            <w:r w:rsidR="00CD2A30">
              <w:rPr>
                <w:noProof/>
                <w:webHidden/>
              </w:rPr>
              <w:instrText xml:space="preserve"> PAGEREF _Toc214656943 \h </w:instrText>
            </w:r>
            <w:r w:rsidR="00CD2A30">
              <w:rPr>
                <w:noProof/>
                <w:webHidden/>
              </w:rPr>
            </w:r>
            <w:r w:rsidR="00CD2A30">
              <w:rPr>
                <w:noProof/>
                <w:webHidden/>
              </w:rPr>
              <w:fldChar w:fldCharType="separate"/>
            </w:r>
            <w:r w:rsidR="00FB51E7">
              <w:rPr>
                <w:noProof/>
                <w:webHidden/>
              </w:rPr>
              <w:t>16</w:t>
            </w:r>
            <w:r w:rsidR="00CD2A30">
              <w:rPr>
                <w:noProof/>
                <w:webHidden/>
              </w:rPr>
              <w:fldChar w:fldCharType="end"/>
            </w:r>
          </w:hyperlink>
        </w:p>
        <w:p w14:paraId="739E4D94" w14:textId="1F3ADA1D" w:rsidR="00CD2A30" w:rsidRDefault="005C7A9D">
          <w:pPr>
            <w:pStyle w:val="TOC2"/>
            <w:tabs>
              <w:tab w:val="right" w:leader="dot" w:pos="9016"/>
            </w:tabs>
            <w:rPr>
              <w:rFonts w:cstheme="minorBidi"/>
              <w:noProof/>
              <w:sz w:val="22"/>
              <w:szCs w:val="22"/>
              <w:lang w:eastAsia="en-GB"/>
            </w:rPr>
          </w:pPr>
          <w:hyperlink w:anchor="_Toc214656944" w:history="1">
            <w:r w:rsidR="00CD2A30" w:rsidRPr="00E67308">
              <w:rPr>
                <w:rStyle w:val="Hyperlink"/>
                <w:rFonts w:ascii="Arial" w:hAnsi="Arial" w:cs="Arial"/>
                <w:noProof/>
              </w:rPr>
              <w:t>3.3 International and ethical considerations</w:t>
            </w:r>
            <w:r w:rsidR="00CD2A30">
              <w:rPr>
                <w:noProof/>
                <w:webHidden/>
              </w:rPr>
              <w:tab/>
            </w:r>
            <w:r w:rsidR="00CD2A30">
              <w:rPr>
                <w:noProof/>
                <w:webHidden/>
              </w:rPr>
              <w:fldChar w:fldCharType="begin"/>
            </w:r>
            <w:r w:rsidR="00CD2A30">
              <w:rPr>
                <w:noProof/>
                <w:webHidden/>
              </w:rPr>
              <w:instrText xml:space="preserve"> PAGEREF _Toc214656944 \h </w:instrText>
            </w:r>
            <w:r w:rsidR="00CD2A30">
              <w:rPr>
                <w:noProof/>
                <w:webHidden/>
              </w:rPr>
            </w:r>
            <w:r w:rsidR="00CD2A30">
              <w:rPr>
                <w:noProof/>
                <w:webHidden/>
              </w:rPr>
              <w:fldChar w:fldCharType="separate"/>
            </w:r>
            <w:r w:rsidR="00FB51E7">
              <w:rPr>
                <w:noProof/>
                <w:webHidden/>
              </w:rPr>
              <w:t>17</w:t>
            </w:r>
            <w:r w:rsidR="00CD2A30">
              <w:rPr>
                <w:noProof/>
                <w:webHidden/>
              </w:rPr>
              <w:fldChar w:fldCharType="end"/>
            </w:r>
          </w:hyperlink>
        </w:p>
        <w:p w14:paraId="1B131F67" w14:textId="19FF1ECB" w:rsidR="00CD2A30" w:rsidRDefault="005C7A9D">
          <w:pPr>
            <w:pStyle w:val="TOC1"/>
            <w:tabs>
              <w:tab w:val="right" w:leader="dot" w:pos="9016"/>
            </w:tabs>
            <w:rPr>
              <w:rFonts w:cstheme="minorBidi"/>
              <w:noProof/>
              <w:sz w:val="22"/>
              <w:szCs w:val="22"/>
              <w:lang w:eastAsia="en-GB"/>
            </w:rPr>
          </w:pPr>
          <w:hyperlink w:anchor="_Toc214656945" w:history="1">
            <w:r w:rsidR="00CD2A30" w:rsidRPr="00E67308">
              <w:rPr>
                <w:rStyle w:val="Hyperlink"/>
                <w:rFonts w:ascii="Arial" w:hAnsi="Arial" w:cs="Arial"/>
                <w:noProof/>
              </w:rPr>
              <w:t>4. Investment Appraisal and Capital Budgeting</w:t>
            </w:r>
            <w:r w:rsidR="00CD2A30">
              <w:rPr>
                <w:noProof/>
                <w:webHidden/>
              </w:rPr>
              <w:tab/>
            </w:r>
            <w:r w:rsidR="00CD2A30">
              <w:rPr>
                <w:noProof/>
                <w:webHidden/>
              </w:rPr>
              <w:fldChar w:fldCharType="begin"/>
            </w:r>
            <w:r w:rsidR="00CD2A30">
              <w:rPr>
                <w:noProof/>
                <w:webHidden/>
              </w:rPr>
              <w:instrText xml:space="preserve"> PAGEREF _Toc214656945 \h </w:instrText>
            </w:r>
            <w:r w:rsidR="00CD2A30">
              <w:rPr>
                <w:noProof/>
                <w:webHidden/>
              </w:rPr>
            </w:r>
            <w:r w:rsidR="00CD2A30">
              <w:rPr>
                <w:noProof/>
                <w:webHidden/>
              </w:rPr>
              <w:fldChar w:fldCharType="separate"/>
            </w:r>
            <w:r w:rsidR="00FB51E7">
              <w:rPr>
                <w:noProof/>
                <w:webHidden/>
              </w:rPr>
              <w:t>18</w:t>
            </w:r>
            <w:r w:rsidR="00CD2A30">
              <w:rPr>
                <w:noProof/>
                <w:webHidden/>
              </w:rPr>
              <w:fldChar w:fldCharType="end"/>
            </w:r>
          </w:hyperlink>
        </w:p>
        <w:p w14:paraId="47A876FA" w14:textId="077A4E9A" w:rsidR="00CD2A30" w:rsidRDefault="005C7A9D">
          <w:pPr>
            <w:pStyle w:val="TOC2"/>
            <w:tabs>
              <w:tab w:val="right" w:leader="dot" w:pos="9016"/>
            </w:tabs>
            <w:rPr>
              <w:rFonts w:cstheme="minorBidi"/>
              <w:noProof/>
              <w:sz w:val="22"/>
              <w:szCs w:val="22"/>
              <w:lang w:eastAsia="en-GB"/>
            </w:rPr>
          </w:pPr>
          <w:hyperlink w:anchor="_Toc214656946" w:history="1">
            <w:r w:rsidR="00CD2A30" w:rsidRPr="00E67308">
              <w:rPr>
                <w:rStyle w:val="Hyperlink"/>
                <w:rFonts w:ascii="Arial" w:hAnsi="Arial" w:cs="Arial"/>
                <w:noProof/>
              </w:rPr>
              <w:t>4.1 Choose between three proposed investment projects using PBP, ARR, NVP, PI and IRR</w:t>
            </w:r>
            <w:r w:rsidR="00CD2A30">
              <w:rPr>
                <w:noProof/>
                <w:webHidden/>
              </w:rPr>
              <w:tab/>
            </w:r>
            <w:r w:rsidR="00CD2A30">
              <w:rPr>
                <w:noProof/>
                <w:webHidden/>
              </w:rPr>
              <w:fldChar w:fldCharType="begin"/>
            </w:r>
            <w:r w:rsidR="00CD2A30">
              <w:rPr>
                <w:noProof/>
                <w:webHidden/>
              </w:rPr>
              <w:instrText xml:space="preserve"> PAGEREF _Toc214656946 \h </w:instrText>
            </w:r>
            <w:r w:rsidR="00CD2A30">
              <w:rPr>
                <w:noProof/>
                <w:webHidden/>
              </w:rPr>
            </w:r>
            <w:r w:rsidR="00CD2A30">
              <w:rPr>
                <w:noProof/>
                <w:webHidden/>
              </w:rPr>
              <w:fldChar w:fldCharType="separate"/>
            </w:r>
            <w:r w:rsidR="00FB51E7">
              <w:rPr>
                <w:noProof/>
                <w:webHidden/>
              </w:rPr>
              <w:t>18</w:t>
            </w:r>
            <w:r w:rsidR="00CD2A30">
              <w:rPr>
                <w:noProof/>
                <w:webHidden/>
              </w:rPr>
              <w:fldChar w:fldCharType="end"/>
            </w:r>
          </w:hyperlink>
        </w:p>
        <w:p w14:paraId="24E93661" w14:textId="25B06DF9" w:rsidR="00CD2A30" w:rsidRDefault="005C7A9D">
          <w:pPr>
            <w:pStyle w:val="TOC2"/>
            <w:tabs>
              <w:tab w:val="right" w:leader="dot" w:pos="9016"/>
            </w:tabs>
            <w:rPr>
              <w:rFonts w:cstheme="minorBidi"/>
              <w:noProof/>
              <w:sz w:val="22"/>
              <w:szCs w:val="22"/>
              <w:lang w:eastAsia="en-GB"/>
            </w:rPr>
          </w:pPr>
          <w:hyperlink w:anchor="_Toc214656947" w:history="1">
            <w:r w:rsidR="00CD2A30" w:rsidRPr="00E67308">
              <w:rPr>
                <w:rStyle w:val="Hyperlink"/>
                <w:rFonts w:ascii="Arial" w:hAnsi="Arial" w:cs="Arial"/>
                <w:noProof/>
              </w:rPr>
              <w:t>4.2 Project details</w:t>
            </w:r>
            <w:r w:rsidR="00CD2A30">
              <w:rPr>
                <w:noProof/>
                <w:webHidden/>
              </w:rPr>
              <w:tab/>
            </w:r>
            <w:r w:rsidR="00CD2A30">
              <w:rPr>
                <w:noProof/>
                <w:webHidden/>
              </w:rPr>
              <w:fldChar w:fldCharType="begin"/>
            </w:r>
            <w:r w:rsidR="00CD2A30">
              <w:rPr>
                <w:noProof/>
                <w:webHidden/>
              </w:rPr>
              <w:instrText xml:space="preserve"> PAGEREF _Toc214656947 \h </w:instrText>
            </w:r>
            <w:r w:rsidR="00CD2A30">
              <w:rPr>
                <w:noProof/>
                <w:webHidden/>
              </w:rPr>
            </w:r>
            <w:r w:rsidR="00CD2A30">
              <w:rPr>
                <w:noProof/>
                <w:webHidden/>
              </w:rPr>
              <w:fldChar w:fldCharType="separate"/>
            </w:r>
            <w:r w:rsidR="00FB51E7">
              <w:rPr>
                <w:noProof/>
                <w:webHidden/>
              </w:rPr>
              <w:t>19</w:t>
            </w:r>
            <w:r w:rsidR="00CD2A30">
              <w:rPr>
                <w:noProof/>
                <w:webHidden/>
              </w:rPr>
              <w:fldChar w:fldCharType="end"/>
            </w:r>
          </w:hyperlink>
        </w:p>
        <w:p w14:paraId="21D7EDBF" w14:textId="18559A40" w:rsidR="00CD2A30" w:rsidRDefault="005C7A9D">
          <w:pPr>
            <w:pStyle w:val="TOC2"/>
            <w:tabs>
              <w:tab w:val="right" w:leader="dot" w:pos="9016"/>
            </w:tabs>
            <w:rPr>
              <w:rFonts w:cstheme="minorBidi"/>
              <w:noProof/>
              <w:sz w:val="22"/>
              <w:szCs w:val="22"/>
              <w:lang w:eastAsia="en-GB"/>
            </w:rPr>
          </w:pPr>
          <w:hyperlink w:anchor="_Toc214656948" w:history="1">
            <w:r w:rsidR="00CD2A30" w:rsidRPr="00E67308">
              <w:rPr>
                <w:rStyle w:val="Hyperlink"/>
                <w:rFonts w:ascii="Arial" w:hAnsi="Arial" w:cs="Arial"/>
                <w:noProof/>
              </w:rPr>
              <w:t>4.3 Calculations</w:t>
            </w:r>
            <w:r w:rsidR="00CD2A30">
              <w:rPr>
                <w:noProof/>
                <w:webHidden/>
              </w:rPr>
              <w:tab/>
            </w:r>
            <w:r w:rsidR="00CD2A30">
              <w:rPr>
                <w:noProof/>
                <w:webHidden/>
              </w:rPr>
              <w:fldChar w:fldCharType="begin"/>
            </w:r>
            <w:r w:rsidR="00CD2A30">
              <w:rPr>
                <w:noProof/>
                <w:webHidden/>
              </w:rPr>
              <w:instrText xml:space="preserve"> PAGEREF _Toc214656948 \h </w:instrText>
            </w:r>
            <w:r w:rsidR="00CD2A30">
              <w:rPr>
                <w:noProof/>
                <w:webHidden/>
              </w:rPr>
            </w:r>
            <w:r w:rsidR="00CD2A30">
              <w:rPr>
                <w:noProof/>
                <w:webHidden/>
              </w:rPr>
              <w:fldChar w:fldCharType="separate"/>
            </w:r>
            <w:r w:rsidR="00FB51E7">
              <w:rPr>
                <w:noProof/>
                <w:webHidden/>
              </w:rPr>
              <w:t>19</w:t>
            </w:r>
            <w:r w:rsidR="00CD2A30">
              <w:rPr>
                <w:noProof/>
                <w:webHidden/>
              </w:rPr>
              <w:fldChar w:fldCharType="end"/>
            </w:r>
          </w:hyperlink>
        </w:p>
        <w:p w14:paraId="73C88F4D" w14:textId="788F55ED" w:rsidR="00CD2A30" w:rsidRDefault="005C7A9D">
          <w:pPr>
            <w:pStyle w:val="TOC2"/>
            <w:tabs>
              <w:tab w:val="right" w:leader="dot" w:pos="9016"/>
            </w:tabs>
            <w:rPr>
              <w:rFonts w:cstheme="minorBidi"/>
              <w:noProof/>
              <w:sz w:val="22"/>
              <w:szCs w:val="22"/>
              <w:lang w:eastAsia="en-GB"/>
            </w:rPr>
          </w:pPr>
          <w:hyperlink w:anchor="_Toc214656949" w:history="1">
            <w:r w:rsidR="00CD2A30" w:rsidRPr="00E67308">
              <w:rPr>
                <w:rStyle w:val="Hyperlink"/>
                <w:rFonts w:ascii="Arial" w:hAnsi="Arial" w:cs="Arial"/>
                <w:noProof/>
              </w:rPr>
              <w:t>4.4 Final investment recommendation</w:t>
            </w:r>
            <w:r w:rsidR="00CD2A30">
              <w:rPr>
                <w:noProof/>
                <w:webHidden/>
              </w:rPr>
              <w:tab/>
            </w:r>
            <w:r w:rsidR="00CD2A30">
              <w:rPr>
                <w:noProof/>
                <w:webHidden/>
              </w:rPr>
              <w:fldChar w:fldCharType="begin"/>
            </w:r>
            <w:r w:rsidR="00CD2A30">
              <w:rPr>
                <w:noProof/>
                <w:webHidden/>
              </w:rPr>
              <w:instrText xml:space="preserve"> PAGEREF _Toc214656949 \h </w:instrText>
            </w:r>
            <w:r w:rsidR="00CD2A30">
              <w:rPr>
                <w:noProof/>
                <w:webHidden/>
              </w:rPr>
            </w:r>
            <w:r w:rsidR="00CD2A30">
              <w:rPr>
                <w:noProof/>
                <w:webHidden/>
              </w:rPr>
              <w:fldChar w:fldCharType="separate"/>
            </w:r>
            <w:r w:rsidR="00FB51E7">
              <w:rPr>
                <w:noProof/>
                <w:webHidden/>
              </w:rPr>
              <w:t>20</w:t>
            </w:r>
            <w:r w:rsidR="00CD2A30">
              <w:rPr>
                <w:noProof/>
                <w:webHidden/>
              </w:rPr>
              <w:fldChar w:fldCharType="end"/>
            </w:r>
          </w:hyperlink>
        </w:p>
        <w:p w14:paraId="702E71C9" w14:textId="10C3F8F4" w:rsidR="00CD2A30" w:rsidRDefault="005C7A9D">
          <w:pPr>
            <w:pStyle w:val="TOC2"/>
            <w:tabs>
              <w:tab w:val="right" w:leader="dot" w:pos="9016"/>
            </w:tabs>
            <w:rPr>
              <w:rFonts w:cstheme="minorBidi"/>
              <w:noProof/>
              <w:sz w:val="22"/>
              <w:szCs w:val="22"/>
              <w:lang w:eastAsia="en-GB"/>
            </w:rPr>
          </w:pPr>
          <w:hyperlink w:anchor="_Toc214656950" w:history="1">
            <w:r w:rsidR="00CD2A30" w:rsidRPr="00E67308">
              <w:rPr>
                <w:rStyle w:val="Hyperlink"/>
                <w:rFonts w:ascii="Arial" w:hAnsi="Arial" w:cs="Arial"/>
                <w:noProof/>
              </w:rPr>
              <w:t>4.5 Recommendation with reference to the companys financial performance and project risk characteristics</w:t>
            </w:r>
            <w:r w:rsidR="00CD2A30">
              <w:rPr>
                <w:noProof/>
                <w:webHidden/>
              </w:rPr>
              <w:tab/>
            </w:r>
            <w:r w:rsidR="00CD2A30">
              <w:rPr>
                <w:noProof/>
                <w:webHidden/>
              </w:rPr>
              <w:fldChar w:fldCharType="begin"/>
            </w:r>
            <w:r w:rsidR="00CD2A30">
              <w:rPr>
                <w:noProof/>
                <w:webHidden/>
              </w:rPr>
              <w:instrText xml:space="preserve"> PAGEREF _Toc214656950 \h </w:instrText>
            </w:r>
            <w:r w:rsidR="00CD2A30">
              <w:rPr>
                <w:noProof/>
                <w:webHidden/>
              </w:rPr>
            </w:r>
            <w:r w:rsidR="00CD2A30">
              <w:rPr>
                <w:noProof/>
                <w:webHidden/>
              </w:rPr>
              <w:fldChar w:fldCharType="separate"/>
            </w:r>
            <w:r w:rsidR="00FB51E7">
              <w:rPr>
                <w:noProof/>
                <w:webHidden/>
              </w:rPr>
              <w:t>22</w:t>
            </w:r>
            <w:r w:rsidR="00CD2A30">
              <w:rPr>
                <w:noProof/>
                <w:webHidden/>
              </w:rPr>
              <w:fldChar w:fldCharType="end"/>
            </w:r>
          </w:hyperlink>
        </w:p>
        <w:p w14:paraId="40D00CC1" w14:textId="2B7DA2A6" w:rsidR="00CD2A30" w:rsidRDefault="005C7A9D">
          <w:pPr>
            <w:pStyle w:val="TOC1"/>
            <w:tabs>
              <w:tab w:val="right" w:leader="dot" w:pos="9016"/>
            </w:tabs>
            <w:rPr>
              <w:rFonts w:cstheme="minorBidi"/>
              <w:noProof/>
              <w:sz w:val="22"/>
              <w:szCs w:val="22"/>
              <w:lang w:eastAsia="en-GB"/>
            </w:rPr>
          </w:pPr>
          <w:hyperlink w:anchor="_Toc214656951" w:history="1">
            <w:r w:rsidR="00CD2A30" w:rsidRPr="00E67308">
              <w:rPr>
                <w:rStyle w:val="Hyperlink"/>
                <w:noProof/>
              </w:rPr>
              <w:t>5. Referencing list:</w:t>
            </w:r>
            <w:r w:rsidR="00CD2A30">
              <w:rPr>
                <w:noProof/>
                <w:webHidden/>
              </w:rPr>
              <w:tab/>
            </w:r>
            <w:r w:rsidR="00CD2A30">
              <w:rPr>
                <w:noProof/>
                <w:webHidden/>
              </w:rPr>
              <w:fldChar w:fldCharType="begin"/>
            </w:r>
            <w:r w:rsidR="00CD2A30">
              <w:rPr>
                <w:noProof/>
                <w:webHidden/>
              </w:rPr>
              <w:instrText xml:space="preserve"> PAGEREF _Toc214656951 \h </w:instrText>
            </w:r>
            <w:r w:rsidR="00CD2A30">
              <w:rPr>
                <w:noProof/>
                <w:webHidden/>
              </w:rPr>
            </w:r>
            <w:r w:rsidR="00CD2A30">
              <w:rPr>
                <w:noProof/>
                <w:webHidden/>
              </w:rPr>
              <w:fldChar w:fldCharType="separate"/>
            </w:r>
            <w:r w:rsidR="00FB51E7">
              <w:rPr>
                <w:noProof/>
                <w:webHidden/>
              </w:rPr>
              <w:t>24</w:t>
            </w:r>
            <w:r w:rsidR="00CD2A30">
              <w:rPr>
                <w:noProof/>
                <w:webHidden/>
              </w:rPr>
              <w:fldChar w:fldCharType="end"/>
            </w:r>
          </w:hyperlink>
        </w:p>
        <w:p w14:paraId="3B3E5E34" w14:textId="08860EC6" w:rsidR="001A6109" w:rsidRPr="00DC6263" w:rsidRDefault="00A83779" w:rsidP="00DC6263">
          <w:r>
            <w:rPr>
              <w:b/>
              <w:bCs/>
              <w:noProof/>
            </w:rPr>
            <w:fldChar w:fldCharType="end"/>
          </w:r>
        </w:p>
      </w:sdtContent>
    </w:sdt>
    <w:p w14:paraId="31B1ECE0" w14:textId="4318F098" w:rsidR="001A6109" w:rsidRDefault="001A6109" w:rsidP="001A6109">
      <w:pPr>
        <w:pStyle w:val="Heading1"/>
        <w:spacing w:line="360" w:lineRule="auto"/>
        <w:rPr>
          <w:rFonts w:ascii="Arial" w:hAnsi="Arial" w:cs="Arial"/>
        </w:rPr>
      </w:pPr>
      <w:bookmarkStart w:id="0" w:name="_Toc210730732"/>
      <w:bookmarkStart w:id="1" w:name="_Toc214656926"/>
      <w:r w:rsidRPr="001A6109">
        <w:rPr>
          <w:rFonts w:ascii="Arial" w:hAnsi="Arial" w:cs="Arial"/>
        </w:rPr>
        <w:lastRenderedPageBreak/>
        <w:t>I</w:t>
      </w:r>
      <w:bookmarkEnd w:id="0"/>
      <w:r w:rsidR="00DC6263">
        <w:rPr>
          <w:rFonts w:ascii="Arial" w:hAnsi="Arial" w:cs="Arial"/>
        </w:rPr>
        <w:t>ntroduction</w:t>
      </w:r>
      <w:bookmarkEnd w:id="1"/>
    </w:p>
    <w:p w14:paraId="34662FA6" w14:textId="77777777" w:rsidR="00681231" w:rsidRDefault="00681231" w:rsidP="00681231">
      <w:pPr>
        <w:pStyle w:val="NormalWeb"/>
        <w:spacing w:line="360" w:lineRule="auto"/>
        <w:rPr>
          <w:rFonts w:ascii="Arial" w:hAnsi="Arial" w:cs="Arial"/>
        </w:rPr>
      </w:pPr>
      <w:r w:rsidRPr="00681231">
        <w:rPr>
          <w:rFonts w:ascii="Arial" w:hAnsi="Arial" w:cs="Arial"/>
        </w:rPr>
        <w:t>In an increasingly competitive and volatile global marketplace, financial resilience and strategic foresight are essential for corporate survival. This report presents a comprehensive financial analysis and turnaround strategy for General Electronics, a multinational consumer electronics firm currently experiencing significant financial distress. Appointed as Chief Financial Officer (CFO), I am tasked with diagnosing the company’s financial health, identifying operational and structural weaknesses, and proposing a financially viable and ethically sound recovery plan.</w:t>
      </w:r>
    </w:p>
    <w:p w14:paraId="7969B65B" w14:textId="1D933BB4" w:rsidR="00681231" w:rsidRPr="00681231" w:rsidRDefault="00681231" w:rsidP="00681231">
      <w:pPr>
        <w:pStyle w:val="NormalWeb"/>
        <w:spacing w:line="360" w:lineRule="auto"/>
        <w:rPr>
          <w:rFonts w:ascii="Arial" w:hAnsi="Arial" w:cs="Arial"/>
        </w:rPr>
      </w:pPr>
      <w:r w:rsidRPr="00681231">
        <w:rPr>
          <w:rFonts w:ascii="Arial" w:hAnsi="Arial" w:cs="Arial"/>
        </w:rPr>
        <w:t>The report is structured into four core sections. First, a financial health check evaluates the company’s performance over the past five years using ratio analysis and corporate failure prediction models. Second, working capital management is assessed to identify liquidity constraints and recommend reforms. Third, a strategic financial restructuring plan is developed to enhance shareholder value and operational flexibility. Finally, three proposed investment projects are appraised using capital budgeting techniques, culminating in a recommendation aligned with the firm’s financial position and risk tolerance.</w:t>
      </w:r>
    </w:p>
    <w:p w14:paraId="6785ABE7" w14:textId="77777777" w:rsidR="00681231" w:rsidRPr="00681231" w:rsidRDefault="00681231" w:rsidP="00681231">
      <w:pPr>
        <w:pStyle w:val="NormalWeb"/>
        <w:spacing w:line="360" w:lineRule="auto"/>
        <w:rPr>
          <w:rFonts w:ascii="Arial" w:hAnsi="Arial" w:cs="Arial"/>
        </w:rPr>
      </w:pPr>
      <w:r w:rsidRPr="00681231">
        <w:rPr>
          <w:rFonts w:ascii="Arial" w:hAnsi="Arial" w:cs="Arial"/>
        </w:rPr>
        <w:t xml:space="preserve">This analysis draws upon established financial management principles, including profitability, liquidity, efficiency, and gearing ratios, as outlined by </w:t>
      </w:r>
      <w:proofErr w:type="spellStart"/>
      <w:r w:rsidRPr="00681231">
        <w:rPr>
          <w:rFonts w:ascii="Arial" w:hAnsi="Arial" w:cs="Arial"/>
        </w:rPr>
        <w:t>Weetman</w:t>
      </w:r>
      <w:proofErr w:type="spellEnd"/>
      <w:r w:rsidRPr="00681231">
        <w:rPr>
          <w:rFonts w:ascii="Arial" w:hAnsi="Arial" w:cs="Arial"/>
        </w:rPr>
        <w:t xml:space="preserve"> (2013). The approach integrates theoretical frameworks with practical tools such as the Altman Z-Score, Payback Period, Net Present Value (NPV), and Internal Rate of Return (IRR), enabling a robust evaluation of both historical performance and future investment potential.</w:t>
      </w:r>
    </w:p>
    <w:p w14:paraId="6291F446" w14:textId="4F3EC32D" w:rsidR="00725AC9" w:rsidRPr="00681231" w:rsidRDefault="00681231" w:rsidP="00681231">
      <w:pPr>
        <w:pStyle w:val="NormalWeb"/>
        <w:spacing w:line="360" w:lineRule="auto"/>
        <w:rPr>
          <w:rFonts w:ascii="Arial" w:hAnsi="Arial" w:cs="Arial"/>
        </w:rPr>
      </w:pPr>
      <w:r w:rsidRPr="00681231">
        <w:rPr>
          <w:rFonts w:ascii="Arial" w:hAnsi="Arial" w:cs="Arial"/>
        </w:rPr>
        <w:t>By applying these techniques, the report aims to deliver actionable insights that support sustainable growth, restore stakeholder confidence, and reposition General Electronics as a competitive force in the global consumer electronics industry.</w:t>
      </w:r>
    </w:p>
    <w:p w14:paraId="1E96B0F1" w14:textId="06735292" w:rsidR="00725AC9" w:rsidRPr="00DC6263" w:rsidRDefault="00DC6263" w:rsidP="00DC6263">
      <w:pPr>
        <w:pStyle w:val="Heading1"/>
        <w:spacing w:line="360" w:lineRule="auto"/>
        <w:rPr>
          <w:rStyle w:val="IntenseEmphasis"/>
          <w:rFonts w:ascii="Arial" w:hAnsi="Arial" w:cs="Arial"/>
          <w:b/>
          <w:i w:val="0"/>
          <w:sz w:val="32"/>
          <w:szCs w:val="32"/>
          <w:u w:val="none"/>
        </w:rPr>
      </w:pPr>
      <w:bookmarkStart w:id="2" w:name="_Toc210730733"/>
      <w:bookmarkStart w:id="3" w:name="_Toc214656927"/>
      <w:r w:rsidRPr="00DC6263">
        <w:rPr>
          <w:rStyle w:val="IntenseEmphasis"/>
          <w:rFonts w:ascii="Arial" w:hAnsi="Arial" w:cs="Arial"/>
          <w:b/>
          <w:i w:val="0"/>
          <w:sz w:val="32"/>
          <w:szCs w:val="32"/>
          <w:u w:val="none"/>
        </w:rPr>
        <w:lastRenderedPageBreak/>
        <w:t xml:space="preserve">1. </w:t>
      </w:r>
      <w:r w:rsidR="006A3E4B" w:rsidRPr="00DC6263">
        <w:rPr>
          <w:rStyle w:val="IntenseEmphasis"/>
          <w:rFonts w:ascii="Arial" w:hAnsi="Arial" w:cs="Arial"/>
          <w:b/>
          <w:i w:val="0"/>
          <w:sz w:val="32"/>
          <w:szCs w:val="32"/>
          <w:u w:val="none"/>
        </w:rPr>
        <w:t>Financial Health Check for General Electronics</w:t>
      </w:r>
      <w:bookmarkEnd w:id="2"/>
      <w:bookmarkEnd w:id="3"/>
    </w:p>
    <w:p w14:paraId="3E6E9086" w14:textId="1299403B" w:rsidR="003F2B86" w:rsidRPr="00FB51E7" w:rsidRDefault="003F2B86" w:rsidP="003F2B86">
      <w:pPr>
        <w:pStyle w:val="Heading2"/>
        <w:spacing w:line="360" w:lineRule="auto"/>
        <w:rPr>
          <w:rFonts w:ascii="Arial" w:hAnsi="Arial" w:cs="Arial"/>
          <w:b w:val="0"/>
          <w:bCs w:val="0"/>
          <w:i w:val="0"/>
          <w:iCs w:val="0"/>
          <w:sz w:val="24"/>
          <w:szCs w:val="24"/>
        </w:rPr>
      </w:pPr>
      <w:bookmarkStart w:id="4" w:name="_Toc214656928"/>
      <w:r w:rsidRPr="00FB51E7">
        <w:rPr>
          <w:rFonts w:ascii="Arial" w:hAnsi="Arial" w:cs="Arial"/>
          <w:b w:val="0"/>
          <w:bCs w:val="0"/>
          <w:i w:val="0"/>
          <w:iCs w:val="0"/>
          <w:sz w:val="24"/>
          <w:szCs w:val="24"/>
        </w:rPr>
        <w:t>1.1 Firms financial statement</w:t>
      </w:r>
      <w:bookmarkStart w:id="5" w:name="_GoBack"/>
      <w:bookmarkEnd w:id="4"/>
      <w:bookmarkEnd w:id="5"/>
    </w:p>
    <w:p w14:paraId="7D7136D9" w14:textId="6AAA599F" w:rsidR="000452ED" w:rsidRPr="00681231" w:rsidRDefault="00681231" w:rsidP="000452ED">
      <w:pPr>
        <w:pStyle w:val="NormalWeb"/>
        <w:spacing w:line="360" w:lineRule="auto"/>
        <w:rPr>
          <w:rFonts w:ascii="Arial" w:hAnsi="Arial" w:cs="Arial"/>
        </w:rPr>
      </w:pPr>
      <w:r w:rsidRPr="00681231">
        <w:rPr>
          <w:rFonts w:ascii="Arial" w:hAnsi="Arial" w:cs="Arial"/>
        </w:rPr>
        <w:t xml:space="preserve">A thorough financial health assessment is essential to diagnose the root causes of General Electronics’ decline. This section applies ratio analysis across five categories, profitability, liquidity, efficiency, gearing, and investment, using data from the consolidated financial statements (2020–2024). The analysis is supported by </w:t>
      </w:r>
      <w:proofErr w:type="spellStart"/>
      <w:r w:rsidRPr="00681231">
        <w:rPr>
          <w:rFonts w:ascii="Arial" w:hAnsi="Arial" w:cs="Arial"/>
        </w:rPr>
        <w:t>Weetman’s</w:t>
      </w:r>
      <w:proofErr w:type="spellEnd"/>
      <w:r w:rsidRPr="00681231">
        <w:rPr>
          <w:rFonts w:ascii="Arial" w:hAnsi="Arial" w:cs="Arial"/>
        </w:rPr>
        <w:t xml:space="preserve"> (2013) principles of financial interpretation and performance measurement.</w:t>
      </w:r>
    </w:p>
    <w:tbl>
      <w:tblPr>
        <w:tblStyle w:val="TableGrid"/>
        <w:tblpPr w:leftFromText="180" w:rightFromText="180" w:vertAnchor="text" w:horzAnchor="margin" w:tblpY="291"/>
        <w:tblW w:w="9508" w:type="dxa"/>
        <w:tblLook w:val="04A0" w:firstRow="1" w:lastRow="0" w:firstColumn="1" w:lastColumn="0" w:noHBand="0" w:noVBand="1"/>
      </w:tblPr>
      <w:tblGrid>
        <w:gridCol w:w="2673"/>
        <w:gridCol w:w="1514"/>
        <w:gridCol w:w="1451"/>
        <w:gridCol w:w="1290"/>
        <w:gridCol w:w="1290"/>
        <w:gridCol w:w="1290"/>
      </w:tblGrid>
      <w:tr w:rsidR="00230D12" w14:paraId="007ED32D" w14:textId="77777777" w:rsidTr="00230D12">
        <w:trPr>
          <w:trHeight w:val="943"/>
        </w:trPr>
        <w:tc>
          <w:tcPr>
            <w:tcW w:w="2673" w:type="dxa"/>
          </w:tcPr>
          <w:p w14:paraId="21860650" w14:textId="271DCA7D" w:rsidR="00230D12" w:rsidRPr="00230D12" w:rsidRDefault="00230D12" w:rsidP="00230D12">
            <w:pPr>
              <w:pStyle w:val="NormalWeb"/>
              <w:spacing w:line="360" w:lineRule="auto"/>
              <w:rPr>
                <w:rFonts w:ascii="Arial" w:hAnsi="Arial" w:cs="Arial"/>
                <w:b/>
                <w:bCs/>
              </w:rPr>
            </w:pPr>
          </w:p>
        </w:tc>
        <w:tc>
          <w:tcPr>
            <w:tcW w:w="1514" w:type="dxa"/>
          </w:tcPr>
          <w:p w14:paraId="2DACE00A" w14:textId="77777777" w:rsidR="00230D12" w:rsidRPr="00230D12" w:rsidRDefault="00230D12" w:rsidP="00230D12">
            <w:pPr>
              <w:pStyle w:val="NormalWeb"/>
              <w:spacing w:line="360" w:lineRule="auto"/>
              <w:rPr>
                <w:rFonts w:ascii="Arial" w:hAnsi="Arial" w:cs="Arial"/>
                <w:b/>
                <w:bCs/>
              </w:rPr>
            </w:pPr>
            <w:r w:rsidRPr="00230D12">
              <w:rPr>
                <w:rFonts w:ascii="Arial" w:hAnsi="Arial" w:cs="Arial"/>
                <w:b/>
                <w:bCs/>
              </w:rPr>
              <w:t>2024</w:t>
            </w:r>
          </w:p>
        </w:tc>
        <w:tc>
          <w:tcPr>
            <w:tcW w:w="1451" w:type="dxa"/>
          </w:tcPr>
          <w:p w14:paraId="5C1BBA38" w14:textId="77777777" w:rsidR="00230D12" w:rsidRPr="00230D12" w:rsidRDefault="00230D12" w:rsidP="00230D12">
            <w:pPr>
              <w:pStyle w:val="NormalWeb"/>
              <w:spacing w:line="360" w:lineRule="auto"/>
              <w:rPr>
                <w:rFonts w:ascii="Arial" w:hAnsi="Arial" w:cs="Arial"/>
                <w:b/>
                <w:bCs/>
              </w:rPr>
            </w:pPr>
            <w:r w:rsidRPr="00230D12">
              <w:rPr>
                <w:rFonts w:ascii="Arial" w:hAnsi="Arial" w:cs="Arial"/>
                <w:b/>
                <w:bCs/>
              </w:rPr>
              <w:t>2023</w:t>
            </w:r>
          </w:p>
        </w:tc>
        <w:tc>
          <w:tcPr>
            <w:tcW w:w="1290" w:type="dxa"/>
          </w:tcPr>
          <w:p w14:paraId="2EC3E756" w14:textId="77777777" w:rsidR="00230D12" w:rsidRPr="00230D12" w:rsidRDefault="00230D12" w:rsidP="00230D12">
            <w:pPr>
              <w:pStyle w:val="NormalWeb"/>
              <w:spacing w:line="360" w:lineRule="auto"/>
              <w:rPr>
                <w:rFonts w:ascii="Arial" w:hAnsi="Arial" w:cs="Arial"/>
                <w:b/>
                <w:bCs/>
              </w:rPr>
            </w:pPr>
            <w:r w:rsidRPr="00230D12">
              <w:rPr>
                <w:rFonts w:ascii="Arial" w:hAnsi="Arial" w:cs="Arial"/>
                <w:b/>
                <w:bCs/>
              </w:rPr>
              <w:t>2022</w:t>
            </w:r>
          </w:p>
        </w:tc>
        <w:tc>
          <w:tcPr>
            <w:tcW w:w="1290" w:type="dxa"/>
          </w:tcPr>
          <w:p w14:paraId="2C8EA4C9" w14:textId="77777777" w:rsidR="00230D12" w:rsidRPr="00230D12" w:rsidRDefault="00230D12" w:rsidP="00230D12">
            <w:pPr>
              <w:pStyle w:val="NormalWeb"/>
              <w:spacing w:line="360" w:lineRule="auto"/>
              <w:rPr>
                <w:rFonts w:ascii="Arial" w:hAnsi="Arial" w:cs="Arial"/>
                <w:b/>
                <w:bCs/>
              </w:rPr>
            </w:pPr>
            <w:r w:rsidRPr="00230D12">
              <w:rPr>
                <w:rFonts w:ascii="Arial" w:hAnsi="Arial" w:cs="Arial"/>
                <w:b/>
                <w:bCs/>
              </w:rPr>
              <w:t>2021</w:t>
            </w:r>
          </w:p>
        </w:tc>
        <w:tc>
          <w:tcPr>
            <w:tcW w:w="1290" w:type="dxa"/>
          </w:tcPr>
          <w:p w14:paraId="775484FD" w14:textId="77777777" w:rsidR="00230D12" w:rsidRPr="00230D12" w:rsidRDefault="00230D12" w:rsidP="00230D12">
            <w:pPr>
              <w:pStyle w:val="NormalWeb"/>
              <w:spacing w:line="360" w:lineRule="auto"/>
              <w:rPr>
                <w:rFonts w:ascii="Arial" w:hAnsi="Arial" w:cs="Arial"/>
                <w:b/>
                <w:bCs/>
              </w:rPr>
            </w:pPr>
            <w:r w:rsidRPr="00230D12">
              <w:rPr>
                <w:rFonts w:ascii="Arial" w:hAnsi="Arial" w:cs="Arial"/>
                <w:b/>
                <w:bCs/>
              </w:rPr>
              <w:t>2020</w:t>
            </w:r>
          </w:p>
        </w:tc>
      </w:tr>
      <w:tr w:rsidR="00230D12" w14:paraId="022B9932" w14:textId="77777777" w:rsidTr="00230D12">
        <w:trPr>
          <w:trHeight w:val="943"/>
        </w:trPr>
        <w:tc>
          <w:tcPr>
            <w:tcW w:w="2673" w:type="dxa"/>
          </w:tcPr>
          <w:p w14:paraId="1C78232A" w14:textId="77777777" w:rsidR="00230D12" w:rsidRPr="00230D12" w:rsidRDefault="00230D12" w:rsidP="00230D12">
            <w:pPr>
              <w:pStyle w:val="NormalWeb"/>
              <w:spacing w:line="360" w:lineRule="auto"/>
              <w:rPr>
                <w:rFonts w:ascii="Arial" w:hAnsi="Arial" w:cs="Arial"/>
                <w:b/>
                <w:bCs/>
              </w:rPr>
            </w:pPr>
            <w:r w:rsidRPr="00230D12">
              <w:rPr>
                <w:rFonts w:ascii="Arial" w:hAnsi="Arial" w:cs="Arial"/>
                <w:b/>
                <w:bCs/>
              </w:rPr>
              <w:t>GROSS PROFIT MARGIN</w:t>
            </w:r>
          </w:p>
        </w:tc>
        <w:tc>
          <w:tcPr>
            <w:tcW w:w="1514" w:type="dxa"/>
          </w:tcPr>
          <w:p w14:paraId="47E9D67A" w14:textId="7366D7F3" w:rsidR="00230D12" w:rsidRDefault="00B50488" w:rsidP="00230D12">
            <w:pPr>
              <w:pStyle w:val="NormalWeb"/>
              <w:spacing w:line="360" w:lineRule="auto"/>
              <w:rPr>
                <w:rFonts w:ascii="Arial" w:hAnsi="Arial" w:cs="Arial"/>
              </w:rPr>
            </w:pPr>
            <w:r>
              <w:rPr>
                <w:rFonts w:ascii="Arial" w:hAnsi="Arial" w:cs="Arial"/>
              </w:rPr>
              <w:t>28.</w:t>
            </w:r>
            <w:r w:rsidR="002C799C">
              <w:rPr>
                <w:rFonts w:ascii="Arial" w:hAnsi="Arial" w:cs="Arial"/>
              </w:rPr>
              <w:t>9</w:t>
            </w:r>
            <w:r>
              <w:rPr>
                <w:rFonts w:ascii="Arial" w:hAnsi="Arial" w:cs="Arial"/>
              </w:rPr>
              <w:t>%</w:t>
            </w:r>
          </w:p>
        </w:tc>
        <w:tc>
          <w:tcPr>
            <w:tcW w:w="1451" w:type="dxa"/>
          </w:tcPr>
          <w:p w14:paraId="70D5F1F4" w14:textId="13AF453F" w:rsidR="00230D12" w:rsidRDefault="00681231" w:rsidP="00230D12">
            <w:pPr>
              <w:pStyle w:val="NormalWeb"/>
              <w:spacing w:line="360" w:lineRule="auto"/>
              <w:rPr>
                <w:rFonts w:ascii="Arial" w:hAnsi="Arial" w:cs="Arial"/>
              </w:rPr>
            </w:pPr>
            <w:r>
              <w:rPr>
                <w:rFonts w:ascii="Arial" w:hAnsi="Arial" w:cs="Arial"/>
              </w:rPr>
              <w:t>23.2%</w:t>
            </w:r>
          </w:p>
        </w:tc>
        <w:tc>
          <w:tcPr>
            <w:tcW w:w="1290" w:type="dxa"/>
          </w:tcPr>
          <w:p w14:paraId="5AB007E3" w14:textId="13C68309" w:rsidR="00230D12" w:rsidRDefault="00B50488" w:rsidP="00230D12">
            <w:pPr>
              <w:pStyle w:val="NormalWeb"/>
              <w:spacing w:line="360" w:lineRule="auto"/>
              <w:rPr>
                <w:rFonts w:ascii="Arial" w:hAnsi="Arial" w:cs="Arial"/>
              </w:rPr>
            </w:pPr>
            <w:r>
              <w:rPr>
                <w:rFonts w:ascii="Arial" w:hAnsi="Arial" w:cs="Arial"/>
              </w:rPr>
              <w:t>28.</w:t>
            </w:r>
            <w:r w:rsidR="00681231">
              <w:rPr>
                <w:rFonts w:ascii="Arial" w:hAnsi="Arial" w:cs="Arial"/>
              </w:rPr>
              <w:t>0</w:t>
            </w:r>
            <w:r>
              <w:rPr>
                <w:rFonts w:ascii="Arial" w:hAnsi="Arial" w:cs="Arial"/>
              </w:rPr>
              <w:t>%</w:t>
            </w:r>
          </w:p>
        </w:tc>
        <w:tc>
          <w:tcPr>
            <w:tcW w:w="1290" w:type="dxa"/>
          </w:tcPr>
          <w:p w14:paraId="2E2B7F2F" w14:textId="12E161DF" w:rsidR="00230D12" w:rsidRDefault="00B50488" w:rsidP="00230D12">
            <w:pPr>
              <w:pStyle w:val="NormalWeb"/>
              <w:spacing w:line="360" w:lineRule="auto"/>
              <w:rPr>
                <w:rFonts w:ascii="Arial" w:hAnsi="Arial" w:cs="Arial"/>
              </w:rPr>
            </w:pPr>
            <w:r>
              <w:rPr>
                <w:rFonts w:ascii="Arial" w:hAnsi="Arial" w:cs="Arial"/>
              </w:rPr>
              <w:t>28.</w:t>
            </w:r>
            <w:r w:rsidR="002C799C">
              <w:rPr>
                <w:rFonts w:ascii="Arial" w:hAnsi="Arial" w:cs="Arial"/>
              </w:rPr>
              <w:t>8</w:t>
            </w:r>
            <w:r>
              <w:rPr>
                <w:rFonts w:ascii="Arial" w:hAnsi="Arial" w:cs="Arial"/>
              </w:rPr>
              <w:t>%</w:t>
            </w:r>
          </w:p>
        </w:tc>
        <w:tc>
          <w:tcPr>
            <w:tcW w:w="1290" w:type="dxa"/>
          </w:tcPr>
          <w:p w14:paraId="55BB013E" w14:textId="17ACCA7E" w:rsidR="00230D12" w:rsidRDefault="00CB62C5" w:rsidP="00230D12">
            <w:pPr>
              <w:pStyle w:val="NormalWeb"/>
              <w:spacing w:line="360" w:lineRule="auto"/>
              <w:rPr>
                <w:rFonts w:ascii="Arial" w:hAnsi="Arial" w:cs="Arial"/>
              </w:rPr>
            </w:pPr>
            <w:r>
              <w:rPr>
                <w:rFonts w:ascii="Arial" w:hAnsi="Arial" w:cs="Arial"/>
              </w:rPr>
              <w:t>28.</w:t>
            </w:r>
            <w:r w:rsidR="002C799C">
              <w:rPr>
                <w:rFonts w:ascii="Arial" w:hAnsi="Arial" w:cs="Arial"/>
              </w:rPr>
              <w:t>7</w:t>
            </w:r>
            <w:r>
              <w:rPr>
                <w:rFonts w:ascii="Arial" w:hAnsi="Arial" w:cs="Arial"/>
              </w:rPr>
              <w:t>%</w:t>
            </w:r>
          </w:p>
        </w:tc>
      </w:tr>
      <w:tr w:rsidR="00230D12" w14:paraId="29DB4AF5" w14:textId="77777777" w:rsidTr="00230D12">
        <w:trPr>
          <w:trHeight w:val="466"/>
        </w:trPr>
        <w:tc>
          <w:tcPr>
            <w:tcW w:w="2673" w:type="dxa"/>
          </w:tcPr>
          <w:p w14:paraId="5DA0B554" w14:textId="55127B1E" w:rsidR="00230D12" w:rsidRPr="00230D12" w:rsidRDefault="00230D12" w:rsidP="00230D12">
            <w:pPr>
              <w:pStyle w:val="NormalWeb"/>
              <w:spacing w:line="360" w:lineRule="auto"/>
              <w:rPr>
                <w:rFonts w:ascii="Arial" w:hAnsi="Arial" w:cs="Arial"/>
                <w:b/>
                <w:bCs/>
              </w:rPr>
            </w:pPr>
            <w:r w:rsidRPr="00230D12">
              <w:rPr>
                <w:rFonts w:ascii="Arial" w:hAnsi="Arial" w:cs="Arial"/>
                <w:b/>
                <w:bCs/>
              </w:rPr>
              <w:t xml:space="preserve">NET </w:t>
            </w:r>
            <w:r w:rsidR="00CB62C5">
              <w:rPr>
                <w:rFonts w:ascii="Arial" w:hAnsi="Arial" w:cs="Arial"/>
                <w:b/>
                <w:bCs/>
              </w:rPr>
              <w:t>PROFIT MARGIN</w:t>
            </w:r>
          </w:p>
        </w:tc>
        <w:tc>
          <w:tcPr>
            <w:tcW w:w="1514" w:type="dxa"/>
          </w:tcPr>
          <w:p w14:paraId="79595120" w14:textId="419D9F53" w:rsidR="00230D12" w:rsidRDefault="00681231" w:rsidP="00230D12">
            <w:pPr>
              <w:pStyle w:val="NormalWeb"/>
              <w:spacing w:line="360" w:lineRule="auto"/>
              <w:rPr>
                <w:rFonts w:ascii="Arial" w:hAnsi="Arial" w:cs="Arial"/>
              </w:rPr>
            </w:pPr>
            <w:r>
              <w:rPr>
                <w:rFonts w:ascii="Arial" w:hAnsi="Arial" w:cs="Arial"/>
              </w:rPr>
              <w:t>-</w:t>
            </w:r>
            <w:r w:rsidR="009C7CA3">
              <w:rPr>
                <w:rFonts w:ascii="Arial" w:hAnsi="Arial" w:cs="Arial"/>
              </w:rPr>
              <w:t>6.</w:t>
            </w:r>
            <w:r w:rsidR="002C799C">
              <w:rPr>
                <w:rFonts w:ascii="Arial" w:hAnsi="Arial" w:cs="Arial"/>
              </w:rPr>
              <w:t>1</w:t>
            </w:r>
            <w:r w:rsidR="009C7CA3">
              <w:rPr>
                <w:rFonts w:ascii="Arial" w:hAnsi="Arial" w:cs="Arial"/>
              </w:rPr>
              <w:t>%</w:t>
            </w:r>
          </w:p>
        </w:tc>
        <w:tc>
          <w:tcPr>
            <w:tcW w:w="1451" w:type="dxa"/>
          </w:tcPr>
          <w:p w14:paraId="728A21E6" w14:textId="56F60FB0" w:rsidR="00230D12" w:rsidRDefault="00681231" w:rsidP="00230D12">
            <w:pPr>
              <w:pStyle w:val="NormalWeb"/>
              <w:spacing w:line="360" w:lineRule="auto"/>
              <w:rPr>
                <w:rFonts w:ascii="Arial" w:hAnsi="Arial" w:cs="Arial"/>
              </w:rPr>
            </w:pPr>
            <w:r>
              <w:rPr>
                <w:rFonts w:ascii="Arial" w:hAnsi="Arial" w:cs="Arial"/>
              </w:rPr>
              <w:t>-</w:t>
            </w:r>
            <w:r w:rsidR="009C7CA3">
              <w:rPr>
                <w:rFonts w:ascii="Arial" w:hAnsi="Arial" w:cs="Arial"/>
              </w:rPr>
              <w:t>23.</w:t>
            </w:r>
            <w:r w:rsidR="002C799C">
              <w:rPr>
                <w:rFonts w:ascii="Arial" w:hAnsi="Arial" w:cs="Arial"/>
              </w:rPr>
              <w:t>4</w:t>
            </w:r>
            <w:r w:rsidR="009C7CA3">
              <w:rPr>
                <w:rFonts w:ascii="Arial" w:hAnsi="Arial" w:cs="Arial"/>
              </w:rPr>
              <w:t>%</w:t>
            </w:r>
          </w:p>
        </w:tc>
        <w:tc>
          <w:tcPr>
            <w:tcW w:w="1290" w:type="dxa"/>
          </w:tcPr>
          <w:p w14:paraId="38435656" w14:textId="28E4DE39" w:rsidR="00230D12" w:rsidRDefault="00681231" w:rsidP="00230D12">
            <w:pPr>
              <w:pStyle w:val="NormalWeb"/>
              <w:spacing w:line="360" w:lineRule="auto"/>
              <w:rPr>
                <w:rFonts w:ascii="Arial" w:hAnsi="Arial" w:cs="Arial"/>
              </w:rPr>
            </w:pPr>
            <w:r>
              <w:rPr>
                <w:rFonts w:ascii="Arial" w:hAnsi="Arial" w:cs="Arial"/>
              </w:rPr>
              <w:t>0.1%</w:t>
            </w:r>
          </w:p>
        </w:tc>
        <w:tc>
          <w:tcPr>
            <w:tcW w:w="1290" w:type="dxa"/>
          </w:tcPr>
          <w:p w14:paraId="0A53FCBC" w14:textId="4FB22A30" w:rsidR="00230D12" w:rsidRDefault="00681231" w:rsidP="00230D12">
            <w:pPr>
              <w:pStyle w:val="NormalWeb"/>
              <w:spacing w:line="360" w:lineRule="auto"/>
              <w:rPr>
                <w:rFonts w:ascii="Arial" w:hAnsi="Arial" w:cs="Arial"/>
              </w:rPr>
            </w:pPr>
            <w:r>
              <w:rPr>
                <w:rFonts w:ascii="Arial" w:hAnsi="Arial" w:cs="Arial"/>
              </w:rPr>
              <w:t>0.9%</w:t>
            </w:r>
          </w:p>
        </w:tc>
        <w:tc>
          <w:tcPr>
            <w:tcW w:w="1290" w:type="dxa"/>
          </w:tcPr>
          <w:p w14:paraId="53136374" w14:textId="6E5DEA91" w:rsidR="00230D12" w:rsidRDefault="009C7CA3" w:rsidP="00230D12">
            <w:pPr>
              <w:pStyle w:val="NormalWeb"/>
              <w:spacing w:line="360" w:lineRule="auto"/>
              <w:rPr>
                <w:rFonts w:ascii="Arial" w:hAnsi="Arial" w:cs="Arial"/>
              </w:rPr>
            </w:pPr>
            <w:r>
              <w:rPr>
                <w:rFonts w:ascii="Arial" w:hAnsi="Arial" w:cs="Arial"/>
              </w:rPr>
              <w:t>6.</w:t>
            </w:r>
            <w:r w:rsidR="002C799C">
              <w:rPr>
                <w:rFonts w:ascii="Arial" w:hAnsi="Arial" w:cs="Arial"/>
              </w:rPr>
              <w:t>3</w:t>
            </w:r>
            <w:r>
              <w:rPr>
                <w:rFonts w:ascii="Arial" w:hAnsi="Arial" w:cs="Arial"/>
              </w:rPr>
              <w:t>%</w:t>
            </w:r>
          </w:p>
        </w:tc>
      </w:tr>
      <w:tr w:rsidR="00230D12" w14:paraId="71BEF876" w14:textId="77777777" w:rsidTr="00230D12">
        <w:trPr>
          <w:trHeight w:val="466"/>
        </w:trPr>
        <w:tc>
          <w:tcPr>
            <w:tcW w:w="2673" w:type="dxa"/>
          </w:tcPr>
          <w:p w14:paraId="5CD76F78" w14:textId="5AD5C4AB" w:rsidR="00230D12" w:rsidRPr="00230D12" w:rsidRDefault="00CB62C5" w:rsidP="00230D12">
            <w:pPr>
              <w:pStyle w:val="NormalWeb"/>
              <w:spacing w:line="360" w:lineRule="auto"/>
              <w:rPr>
                <w:rFonts w:ascii="Arial" w:hAnsi="Arial" w:cs="Arial"/>
                <w:b/>
                <w:bCs/>
              </w:rPr>
            </w:pPr>
            <w:r>
              <w:rPr>
                <w:rFonts w:ascii="Arial" w:hAnsi="Arial" w:cs="Arial"/>
                <w:b/>
                <w:bCs/>
              </w:rPr>
              <w:t xml:space="preserve">OPERATING </w:t>
            </w:r>
            <w:r w:rsidR="00681231">
              <w:rPr>
                <w:rFonts w:ascii="Arial" w:hAnsi="Arial" w:cs="Arial"/>
                <w:b/>
                <w:bCs/>
              </w:rPr>
              <w:t xml:space="preserve">PROFIT </w:t>
            </w:r>
            <w:r>
              <w:rPr>
                <w:rFonts w:ascii="Arial" w:hAnsi="Arial" w:cs="Arial"/>
                <w:b/>
                <w:bCs/>
              </w:rPr>
              <w:t>MARGIN</w:t>
            </w:r>
          </w:p>
        </w:tc>
        <w:tc>
          <w:tcPr>
            <w:tcW w:w="1514" w:type="dxa"/>
          </w:tcPr>
          <w:p w14:paraId="4FDC3FF6" w14:textId="55E6B1A1" w:rsidR="00230D12" w:rsidRDefault="00681231" w:rsidP="00230D12">
            <w:pPr>
              <w:pStyle w:val="NormalWeb"/>
              <w:spacing w:line="360" w:lineRule="auto"/>
              <w:rPr>
                <w:rFonts w:ascii="Arial" w:hAnsi="Arial" w:cs="Arial"/>
              </w:rPr>
            </w:pPr>
            <w:r>
              <w:rPr>
                <w:rFonts w:ascii="Arial" w:hAnsi="Arial" w:cs="Arial"/>
              </w:rPr>
              <w:t>-</w:t>
            </w:r>
            <w:r w:rsidR="00281817">
              <w:rPr>
                <w:rFonts w:ascii="Arial" w:hAnsi="Arial" w:cs="Arial"/>
              </w:rPr>
              <w:t>3.</w:t>
            </w:r>
            <w:r w:rsidR="002C799C">
              <w:rPr>
                <w:rFonts w:ascii="Arial" w:hAnsi="Arial" w:cs="Arial"/>
              </w:rPr>
              <w:t>9</w:t>
            </w:r>
            <w:r w:rsidR="00281817">
              <w:rPr>
                <w:rFonts w:ascii="Arial" w:hAnsi="Arial" w:cs="Arial"/>
              </w:rPr>
              <w:t>%</w:t>
            </w:r>
          </w:p>
        </w:tc>
        <w:tc>
          <w:tcPr>
            <w:tcW w:w="1451" w:type="dxa"/>
          </w:tcPr>
          <w:p w14:paraId="4F8E9363" w14:textId="0E3961B5" w:rsidR="00230D12" w:rsidRDefault="00681231" w:rsidP="00230D12">
            <w:pPr>
              <w:pStyle w:val="NormalWeb"/>
              <w:spacing w:line="360" w:lineRule="auto"/>
              <w:rPr>
                <w:rFonts w:ascii="Arial" w:hAnsi="Arial" w:cs="Arial"/>
              </w:rPr>
            </w:pPr>
            <w:r>
              <w:rPr>
                <w:rFonts w:ascii="Arial" w:hAnsi="Arial" w:cs="Arial"/>
              </w:rPr>
              <w:t>-</w:t>
            </w:r>
            <w:r w:rsidR="00281817">
              <w:rPr>
                <w:rFonts w:ascii="Arial" w:hAnsi="Arial" w:cs="Arial"/>
              </w:rPr>
              <w:t>20.</w:t>
            </w:r>
            <w:r w:rsidR="002C799C">
              <w:rPr>
                <w:rFonts w:ascii="Arial" w:hAnsi="Arial" w:cs="Arial"/>
              </w:rPr>
              <w:t>3</w:t>
            </w:r>
            <w:r w:rsidR="00281817">
              <w:rPr>
                <w:rFonts w:ascii="Arial" w:hAnsi="Arial" w:cs="Arial"/>
              </w:rPr>
              <w:t>%</w:t>
            </w:r>
          </w:p>
        </w:tc>
        <w:tc>
          <w:tcPr>
            <w:tcW w:w="1290" w:type="dxa"/>
          </w:tcPr>
          <w:p w14:paraId="2BB920B2" w14:textId="44A273D1" w:rsidR="00230D12" w:rsidRDefault="00281817" w:rsidP="00230D12">
            <w:pPr>
              <w:pStyle w:val="NormalWeb"/>
              <w:spacing w:line="360" w:lineRule="auto"/>
              <w:rPr>
                <w:rFonts w:ascii="Arial" w:hAnsi="Arial" w:cs="Arial"/>
              </w:rPr>
            </w:pPr>
            <w:r>
              <w:rPr>
                <w:rFonts w:ascii="Arial" w:hAnsi="Arial" w:cs="Arial"/>
              </w:rPr>
              <w:t>2.</w:t>
            </w:r>
            <w:r w:rsidR="002C799C">
              <w:rPr>
                <w:rFonts w:ascii="Arial" w:hAnsi="Arial" w:cs="Arial"/>
              </w:rPr>
              <w:t>7</w:t>
            </w:r>
            <w:r>
              <w:rPr>
                <w:rFonts w:ascii="Arial" w:hAnsi="Arial" w:cs="Arial"/>
              </w:rPr>
              <w:t>%</w:t>
            </w:r>
          </w:p>
        </w:tc>
        <w:tc>
          <w:tcPr>
            <w:tcW w:w="1290" w:type="dxa"/>
          </w:tcPr>
          <w:p w14:paraId="78281D6F" w14:textId="5AC07088" w:rsidR="00230D12" w:rsidRDefault="00281817" w:rsidP="00230D12">
            <w:pPr>
              <w:pStyle w:val="NormalWeb"/>
              <w:spacing w:line="360" w:lineRule="auto"/>
              <w:rPr>
                <w:rFonts w:ascii="Arial" w:hAnsi="Arial" w:cs="Arial"/>
              </w:rPr>
            </w:pPr>
            <w:r>
              <w:rPr>
                <w:rFonts w:ascii="Arial" w:hAnsi="Arial" w:cs="Arial"/>
              </w:rPr>
              <w:t>3.</w:t>
            </w:r>
            <w:r w:rsidR="002C799C">
              <w:rPr>
                <w:rFonts w:ascii="Arial" w:hAnsi="Arial" w:cs="Arial"/>
              </w:rPr>
              <w:t>9</w:t>
            </w:r>
            <w:r>
              <w:rPr>
                <w:rFonts w:ascii="Arial" w:hAnsi="Arial" w:cs="Arial"/>
              </w:rPr>
              <w:t>%</w:t>
            </w:r>
          </w:p>
        </w:tc>
        <w:tc>
          <w:tcPr>
            <w:tcW w:w="1290" w:type="dxa"/>
          </w:tcPr>
          <w:p w14:paraId="35FE242F" w14:textId="46F42B57" w:rsidR="00230D12" w:rsidRDefault="00281817" w:rsidP="00230D12">
            <w:pPr>
              <w:pStyle w:val="NormalWeb"/>
              <w:spacing w:line="360" w:lineRule="auto"/>
              <w:rPr>
                <w:rFonts w:ascii="Arial" w:hAnsi="Arial" w:cs="Arial"/>
              </w:rPr>
            </w:pPr>
            <w:r>
              <w:rPr>
                <w:rFonts w:ascii="Arial" w:hAnsi="Arial" w:cs="Arial"/>
              </w:rPr>
              <w:t>6.</w:t>
            </w:r>
            <w:r w:rsidR="00681231">
              <w:rPr>
                <w:rFonts w:ascii="Arial" w:hAnsi="Arial" w:cs="Arial"/>
              </w:rPr>
              <w:t>1</w:t>
            </w:r>
            <w:r>
              <w:rPr>
                <w:rFonts w:ascii="Arial" w:hAnsi="Arial" w:cs="Arial"/>
              </w:rPr>
              <w:t>%</w:t>
            </w:r>
          </w:p>
        </w:tc>
      </w:tr>
      <w:tr w:rsidR="00230D12" w14:paraId="4A0CC110" w14:textId="77777777" w:rsidTr="00230D12">
        <w:trPr>
          <w:trHeight w:val="943"/>
        </w:trPr>
        <w:tc>
          <w:tcPr>
            <w:tcW w:w="2673" w:type="dxa"/>
          </w:tcPr>
          <w:p w14:paraId="464EBB75" w14:textId="00D87A3C" w:rsidR="00230D12" w:rsidRPr="00230D12" w:rsidRDefault="00CB62C5" w:rsidP="00230D12">
            <w:pPr>
              <w:pStyle w:val="NormalWeb"/>
              <w:spacing w:line="360" w:lineRule="auto"/>
              <w:rPr>
                <w:rFonts w:ascii="Arial" w:hAnsi="Arial" w:cs="Arial"/>
                <w:b/>
                <w:bCs/>
              </w:rPr>
            </w:pPr>
            <w:r>
              <w:rPr>
                <w:rFonts w:ascii="Arial" w:hAnsi="Arial" w:cs="Arial"/>
                <w:b/>
                <w:bCs/>
              </w:rPr>
              <w:t>RETURN ON ASSETS</w:t>
            </w:r>
          </w:p>
        </w:tc>
        <w:tc>
          <w:tcPr>
            <w:tcW w:w="1514" w:type="dxa"/>
          </w:tcPr>
          <w:p w14:paraId="557A4341" w14:textId="202F879E" w:rsidR="00230D12" w:rsidRDefault="00681231" w:rsidP="00230D12">
            <w:pPr>
              <w:pStyle w:val="NormalWeb"/>
              <w:spacing w:line="360" w:lineRule="auto"/>
              <w:rPr>
                <w:rFonts w:ascii="Arial" w:hAnsi="Arial" w:cs="Arial"/>
              </w:rPr>
            </w:pPr>
            <w:r>
              <w:rPr>
                <w:rFonts w:ascii="Arial" w:hAnsi="Arial" w:cs="Arial"/>
              </w:rPr>
              <w:t>-</w:t>
            </w:r>
            <w:r w:rsidR="007F0E5C">
              <w:rPr>
                <w:rFonts w:ascii="Arial" w:hAnsi="Arial" w:cs="Arial"/>
              </w:rPr>
              <w:t>7.4%</w:t>
            </w:r>
          </w:p>
        </w:tc>
        <w:tc>
          <w:tcPr>
            <w:tcW w:w="1451" w:type="dxa"/>
          </w:tcPr>
          <w:p w14:paraId="4E7306F4" w14:textId="5A727829" w:rsidR="00230D12" w:rsidRDefault="00681231" w:rsidP="00230D12">
            <w:pPr>
              <w:pStyle w:val="NormalWeb"/>
              <w:spacing w:line="360" w:lineRule="auto"/>
              <w:rPr>
                <w:rFonts w:ascii="Arial" w:hAnsi="Arial" w:cs="Arial"/>
              </w:rPr>
            </w:pPr>
            <w:r>
              <w:rPr>
                <w:rFonts w:ascii="Arial" w:hAnsi="Arial" w:cs="Arial"/>
              </w:rPr>
              <w:t>-</w:t>
            </w:r>
            <w:r w:rsidR="007F0E5C">
              <w:rPr>
                <w:rFonts w:ascii="Arial" w:hAnsi="Arial" w:cs="Arial"/>
              </w:rPr>
              <w:t>27.6%</w:t>
            </w:r>
          </w:p>
        </w:tc>
        <w:tc>
          <w:tcPr>
            <w:tcW w:w="1290" w:type="dxa"/>
          </w:tcPr>
          <w:p w14:paraId="2DDE9F86" w14:textId="268DBF2D" w:rsidR="00230D12" w:rsidRDefault="00681231" w:rsidP="00230D12">
            <w:pPr>
              <w:pStyle w:val="NormalWeb"/>
              <w:spacing w:line="360" w:lineRule="auto"/>
              <w:rPr>
                <w:rFonts w:ascii="Arial" w:hAnsi="Arial" w:cs="Arial"/>
              </w:rPr>
            </w:pPr>
            <w:r>
              <w:rPr>
                <w:rFonts w:ascii="Arial" w:hAnsi="Arial" w:cs="Arial"/>
              </w:rPr>
              <w:t>0.1%</w:t>
            </w:r>
          </w:p>
        </w:tc>
        <w:tc>
          <w:tcPr>
            <w:tcW w:w="1290" w:type="dxa"/>
          </w:tcPr>
          <w:p w14:paraId="509AAC33" w14:textId="22D2C57B" w:rsidR="00230D12" w:rsidRDefault="007F0E5C" w:rsidP="00230D12">
            <w:pPr>
              <w:pStyle w:val="NormalWeb"/>
              <w:spacing w:line="360" w:lineRule="auto"/>
              <w:rPr>
                <w:rFonts w:ascii="Arial" w:hAnsi="Arial" w:cs="Arial"/>
              </w:rPr>
            </w:pPr>
            <w:r>
              <w:rPr>
                <w:rFonts w:ascii="Arial" w:hAnsi="Arial" w:cs="Arial"/>
              </w:rPr>
              <w:t>1.0%</w:t>
            </w:r>
          </w:p>
        </w:tc>
        <w:tc>
          <w:tcPr>
            <w:tcW w:w="1290" w:type="dxa"/>
          </w:tcPr>
          <w:p w14:paraId="58CCF62B" w14:textId="4356703E" w:rsidR="00230D12" w:rsidRDefault="007F0E5C" w:rsidP="00230D12">
            <w:pPr>
              <w:pStyle w:val="NormalWeb"/>
              <w:spacing w:line="360" w:lineRule="auto"/>
              <w:rPr>
                <w:rFonts w:ascii="Arial" w:hAnsi="Arial" w:cs="Arial"/>
              </w:rPr>
            </w:pPr>
            <w:r>
              <w:rPr>
                <w:rFonts w:ascii="Arial" w:hAnsi="Arial" w:cs="Arial"/>
              </w:rPr>
              <w:t>7.</w:t>
            </w:r>
            <w:r w:rsidR="002C799C">
              <w:rPr>
                <w:rFonts w:ascii="Arial" w:hAnsi="Arial" w:cs="Arial"/>
              </w:rPr>
              <w:t>6</w:t>
            </w:r>
            <w:r>
              <w:rPr>
                <w:rFonts w:ascii="Arial" w:hAnsi="Arial" w:cs="Arial"/>
              </w:rPr>
              <w:t>%</w:t>
            </w:r>
          </w:p>
        </w:tc>
      </w:tr>
    </w:tbl>
    <w:p w14:paraId="7CC4FEC4" w14:textId="2C6E9572" w:rsidR="000452ED" w:rsidRDefault="000452ED" w:rsidP="000452ED">
      <w:pPr>
        <w:pStyle w:val="NormalWeb"/>
        <w:spacing w:line="360" w:lineRule="auto"/>
        <w:rPr>
          <w:rFonts w:ascii="Arial" w:hAnsi="Arial" w:cs="Arial"/>
        </w:rPr>
      </w:pPr>
    </w:p>
    <w:p w14:paraId="29681427" w14:textId="7B18D977" w:rsidR="000452ED" w:rsidRDefault="000452ED" w:rsidP="00A849B2">
      <w:pPr>
        <w:pStyle w:val="NormalWeb"/>
        <w:spacing w:line="360" w:lineRule="auto"/>
        <w:rPr>
          <w:rFonts w:ascii="Arial" w:hAnsi="Arial" w:cs="Arial"/>
        </w:rPr>
      </w:pPr>
    </w:p>
    <w:p w14:paraId="19A6D456" w14:textId="77777777" w:rsidR="00A849B2" w:rsidRPr="00A849B2" w:rsidRDefault="00A849B2" w:rsidP="00A849B2">
      <w:pPr>
        <w:pStyle w:val="NormalWeb"/>
        <w:spacing w:line="360" w:lineRule="auto"/>
        <w:rPr>
          <w:rFonts w:ascii="Arial" w:hAnsi="Arial" w:cs="Arial"/>
        </w:rPr>
      </w:pPr>
      <w:r w:rsidRPr="00A849B2">
        <w:rPr>
          <w:rFonts w:ascii="Arial" w:hAnsi="Arial" w:cs="Arial"/>
        </w:rPr>
        <w:t>To evaluate the profitability of General Electronics, several key ratios are applied. These ratios help assess how effectively the company converts sales into profit and how well it utilizes its assets and equity to generate returns.</w:t>
      </w:r>
    </w:p>
    <w:p w14:paraId="302CB17F" w14:textId="77777777" w:rsidR="00A849B2" w:rsidRPr="00A849B2" w:rsidRDefault="00A849B2" w:rsidP="00A849B2">
      <w:pPr>
        <w:pStyle w:val="NormalWeb"/>
        <w:numPr>
          <w:ilvl w:val="0"/>
          <w:numId w:val="3"/>
        </w:numPr>
        <w:spacing w:line="360" w:lineRule="auto"/>
        <w:rPr>
          <w:rFonts w:ascii="Arial" w:hAnsi="Arial" w:cs="Arial"/>
        </w:rPr>
      </w:pPr>
      <w:r w:rsidRPr="00A849B2">
        <w:rPr>
          <w:rFonts w:ascii="Arial" w:hAnsi="Arial" w:cs="Arial"/>
        </w:rPr>
        <w:t xml:space="preserve">The </w:t>
      </w:r>
      <w:r w:rsidRPr="00A849B2">
        <w:rPr>
          <w:rStyle w:val="Strong"/>
          <w:rFonts w:ascii="Arial" w:hAnsi="Arial" w:cs="Arial"/>
        </w:rPr>
        <w:t>gross profit margin</w:t>
      </w:r>
      <w:r w:rsidRPr="00A849B2">
        <w:rPr>
          <w:rFonts w:ascii="Arial" w:hAnsi="Arial" w:cs="Arial"/>
        </w:rPr>
        <w:t xml:space="preserve"> is calculated by dividing gross profit by net sales and multiplying the result by 100. This ratio indicates the percentage of revenue remaining after deducting the cost of goods sold, and reflects pricing strategy and production efficiency (</w:t>
      </w:r>
      <w:proofErr w:type="spellStart"/>
      <w:r w:rsidRPr="00A849B2">
        <w:rPr>
          <w:rFonts w:ascii="Arial" w:hAnsi="Arial" w:cs="Arial"/>
        </w:rPr>
        <w:t>Weetman</w:t>
      </w:r>
      <w:proofErr w:type="spellEnd"/>
      <w:r w:rsidRPr="00A849B2">
        <w:rPr>
          <w:rFonts w:ascii="Arial" w:hAnsi="Arial" w:cs="Arial"/>
        </w:rPr>
        <w:t>, 2013).</w:t>
      </w:r>
    </w:p>
    <w:p w14:paraId="3DA22F33" w14:textId="77777777" w:rsidR="00A849B2" w:rsidRPr="00A849B2" w:rsidRDefault="00A849B2" w:rsidP="00A849B2">
      <w:pPr>
        <w:pStyle w:val="NormalWeb"/>
        <w:numPr>
          <w:ilvl w:val="0"/>
          <w:numId w:val="3"/>
        </w:numPr>
        <w:spacing w:line="360" w:lineRule="auto"/>
        <w:rPr>
          <w:rFonts w:ascii="Arial" w:hAnsi="Arial" w:cs="Arial"/>
        </w:rPr>
      </w:pPr>
      <w:r w:rsidRPr="00A849B2">
        <w:rPr>
          <w:rFonts w:ascii="Arial" w:hAnsi="Arial" w:cs="Arial"/>
        </w:rPr>
        <w:t xml:space="preserve">The </w:t>
      </w:r>
      <w:r w:rsidRPr="00A849B2">
        <w:rPr>
          <w:rStyle w:val="Strong"/>
          <w:rFonts w:ascii="Arial" w:hAnsi="Arial" w:cs="Arial"/>
        </w:rPr>
        <w:t>operating profit margin</w:t>
      </w:r>
      <w:r w:rsidRPr="00A849B2">
        <w:rPr>
          <w:rFonts w:ascii="Arial" w:hAnsi="Arial" w:cs="Arial"/>
        </w:rPr>
        <w:t xml:space="preserve"> is determined by dividing operating income by net sales, then multiplying by 100. It measures the proportion of revenue that </w:t>
      </w:r>
      <w:r w:rsidRPr="00A849B2">
        <w:rPr>
          <w:rFonts w:ascii="Arial" w:hAnsi="Arial" w:cs="Arial"/>
        </w:rPr>
        <w:lastRenderedPageBreak/>
        <w:t>remains after covering operating expenses, excluding interest and taxes, and is a key indicator of operational control (Atrill and McLaney, 2022).</w:t>
      </w:r>
    </w:p>
    <w:p w14:paraId="11F99E1B" w14:textId="77777777" w:rsidR="00A849B2" w:rsidRPr="00A849B2" w:rsidRDefault="00A849B2" w:rsidP="00A849B2">
      <w:pPr>
        <w:pStyle w:val="NormalWeb"/>
        <w:numPr>
          <w:ilvl w:val="0"/>
          <w:numId w:val="3"/>
        </w:numPr>
        <w:spacing w:line="360" w:lineRule="auto"/>
        <w:rPr>
          <w:rFonts w:ascii="Arial" w:hAnsi="Arial" w:cs="Arial"/>
        </w:rPr>
      </w:pPr>
      <w:r w:rsidRPr="00A849B2">
        <w:rPr>
          <w:rFonts w:ascii="Arial" w:hAnsi="Arial" w:cs="Arial"/>
        </w:rPr>
        <w:t xml:space="preserve">The </w:t>
      </w:r>
      <w:r w:rsidRPr="00A849B2">
        <w:rPr>
          <w:rStyle w:val="Strong"/>
          <w:rFonts w:ascii="Arial" w:hAnsi="Arial" w:cs="Arial"/>
        </w:rPr>
        <w:t>net profit margin</w:t>
      </w:r>
      <w:r w:rsidRPr="00A849B2">
        <w:rPr>
          <w:rFonts w:ascii="Arial" w:hAnsi="Arial" w:cs="Arial"/>
        </w:rPr>
        <w:t xml:space="preserve"> is found by dividing net income by net sales and multiplying by 100. This ratio reveals the overall profitability after all expenses, including interest and tax, have been deducted (Dyson, 2017).</w:t>
      </w:r>
    </w:p>
    <w:p w14:paraId="30333ED6" w14:textId="77777777" w:rsidR="00A849B2" w:rsidRPr="00A849B2" w:rsidRDefault="00A849B2" w:rsidP="00A849B2">
      <w:pPr>
        <w:pStyle w:val="NormalWeb"/>
        <w:numPr>
          <w:ilvl w:val="0"/>
          <w:numId w:val="3"/>
        </w:numPr>
        <w:spacing w:line="360" w:lineRule="auto"/>
        <w:rPr>
          <w:rFonts w:ascii="Arial" w:hAnsi="Arial" w:cs="Arial"/>
        </w:rPr>
      </w:pPr>
      <w:r w:rsidRPr="00A849B2">
        <w:rPr>
          <w:rFonts w:ascii="Arial" w:hAnsi="Arial" w:cs="Arial"/>
        </w:rPr>
        <w:t xml:space="preserve">The </w:t>
      </w:r>
      <w:r w:rsidRPr="00A849B2">
        <w:rPr>
          <w:rStyle w:val="Strong"/>
          <w:rFonts w:ascii="Arial" w:hAnsi="Arial" w:cs="Arial"/>
        </w:rPr>
        <w:t>return on assets (ROA)</w:t>
      </w:r>
      <w:r w:rsidRPr="00A849B2">
        <w:rPr>
          <w:rFonts w:ascii="Arial" w:hAnsi="Arial" w:cs="Arial"/>
        </w:rPr>
        <w:t xml:space="preserve"> is calculated by dividing net income by total assets and multiplying by 100. It shows how efficiently the company uses its assets to generate profit (Brigham and Ehrhardt, 2016).</w:t>
      </w:r>
    </w:p>
    <w:p w14:paraId="38FE6718" w14:textId="77777777" w:rsidR="00A849B2" w:rsidRPr="00A849B2" w:rsidRDefault="00A849B2" w:rsidP="00A849B2">
      <w:pPr>
        <w:pStyle w:val="NormalWeb"/>
        <w:numPr>
          <w:ilvl w:val="0"/>
          <w:numId w:val="3"/>
        </w:numPr>
        <w:spacing w:line="360" w:lineRule="auto"/>
        <w:rPr>
          <w:rFonts w:ascii="Arial" w:hAnsi="Arial" w:cs="Arial"/>
        </w:rPr>
      </w:pPr>
      <w:r w:rsidRPr="00A849B2">
        <w:rPr>
          <w:rFonts w:ascii="Arial" w:hAnsi="Arial" w:cs="Arial"/>
        </w:rPr>
        <w:t xml:space="preserve">Finally, the </w:t>
      </w:r>
      <w:r w:rsidRPr="00A849B2">
        <w:rPr>
          <w:rStyle w:val="Strong"/>
          <w:rFonts w:ascii="Arial" w:hAnsi="Arial" w:cs="Arial"/>
        </w:rPr>
        <w:t>return on equity (ROE)</w:t>
      </w:r>
      <w:r w:rsidRPr="00A849B2">
        <w:rPr>
          <w:rFonts w:ascii="Arial" w:hAnsi="Arial" w:cs="Arial"/>
        </w:rPr>
        <w:t xml:space="preserve"> is obtained by dividing net income by shareholders’ equity and multiplying by 100. This ratio evaluates the return generated for shareholders and is crucial for assessing financial performance from an investor’s perspective (Arnold, 2013).</w:t>
      </w:r>
    </w:p>
    <w:p w14:paraId="69BE775A" w14:textId="037EEE8C" w:rsidR="003F2B86" w:rsidRDefault="003F2B86" w:rsidP="003F2B86">
      <w:pPr>
        <w:spacing w:line="360" w:lineRule="auto"/>
        <w:rPr>
          <w:rFonts w:ascii="Arial" w:hAnsi="Arial" w:cs="Arial"/>
        </w:rPr>
      </w:pPr>
      <w:r w:rsidRPr="003F2B86">
        <w:rPr>
          <w:rFonts w:ascii="Arial" w:hAnsi="Arial" w:cs="Arial"/>
        </w:rPr>
        <w:t>The financial ratios indicate a significant deterioration in General Electronics performance over the past five years. While the gross profit margin remained relatively stable, the net profit margin and operating margin turned negative in 2023 and 2024, highlighting deep operational inefficiencies and rising costs. The return on assets also declined sharply, suggesting poor asset utilization and reduced shareholder value. These trends underscore the urgency for strategic restructuring and improved cost management</w:t>
      </w:r>
    </w:p>
    <w:p w14:paraId="381CA19D" w14:textId="1478DDAB" w:rsidR="003F2B86" w:rsidRDefault="003F2B86" w:rsidP="003F2B86">
      <w:pPr>
        <w:pStyle w:val="Heading2"/>
      </w:pPr>
      <w:bookmarkStart w:id="6" w:name="_Toc214656929"/>
      <w:r>
        <w:t>1.2 Full ratio analysis</w:t>
      </w:r>
      <w:bookmarkEnd w:id="6"/>
    </w:p>
    <w:p w14:paraId="2F0E519B" w14:textId="53801835" w:rsidR="003F2B86" w:rsidRDefault="003F2B86" w:rsidP="003F2B86">
      <w:pPr>
        <w:pStyle w:val="NormalWeb"/>
        <w:spacing w:line="360" w:lineRule="auto"/>
        <w:rPr>
          <w:rFonts w:ascii="Arial" w:hAnsi="Arial" w:cs="Arial"/>
        </w:rPr>
      </w:pPr>
      <w:r w:rsidRPr="003F2B86">
        <w:rPr>
          <w:rFonts w:ascii="Arial" w:hAnsi="Arial" w:cs="Arial"/>
        </w:rPr>
        <w:t>Ratio analysis is a key financial management tool used to evaluate a firm’s performance across profitability, liquidity, efficiency, and solvency dimensions. It enables stakeholders to interpret financial data in context and make informed strategic decisions (Atrill &amp; McLaney, 2022).</w:t>
      </w:r>
    </w:p>
    <w:p w14:paraId="742D7920" w14:textId="4D667812" w:rsidR="003F2B86" w:rsidRDefault="003F2B86" w:rsidP="003F2B86">
      <w:pPr>
        <w:pStyle w:val="Heading3"/>
      </w:pPr>
      <w:bookmarkStart w:id="7" w:name="_Toc214656930"/>
      <w:r>
        <w:t>1.2.1 Profitability ratios</w:t>
      </w:r>
      <w:bookmarkEnd w:id="7"/>
    </w:p>
    <w:p w14:paraId="7F501BA6" w14:textId="77777777" w:rsidR="004C6119" w:rsidRPr="004C6119" w:rsidRDefault="004C6119" w:rsidP="004C6119">
      <w:pPr>
        <w:pStyle w:val="NormalWeb"/>
        <w:spacing w:line="360" w:lineRule="auto"/>
        <w:rPr>
          <w:rFonts w:ascii="Arial" w:hAnsi="Arial" w:cs="Arial"/>
        </w:rPr>
      </w:pPr>
      <w:r w:rsidRPr="004C6119">
        <w:rPr>
          <w:rFonts w:ascii="Arial" w:hAnsi="Arial" w:cs="Arial"/>
        </w:rPr>
        <w:t xml:space="preserve">Profitability ratios assess the company’s ability to generate earnings relative to sales, assets, and equity. According to </w:t>
      </w:r>
      <w:proofErr w:type="spellStart"/>
      <w:r w:rsidRPr="004C6119">
        <w:rPr>
          <w:rFonts w:ascii="Arial" w:hAnsi="Arial" w:cs="Arial"/>
        </w:rPr>
        <w:t>Weetman</w:t>
      </w:r>
      <w:proofErr w:type="spellEnd"/>
      <w:r w:rsidRPr="004C6119">
        <w:rPr>
          <w:rFonts w:ascii="Arial" w:hAnsi="Arial" w:cs="Arial"/>
        </w:rPr>
        <w:t xml:space="preserve"> (2013), these ratios are vital for evaluating operational success and strategic pricing.</w:t>
      </w:r>
    </w:p>
    <w:p w14:paraId="3F41AD42" w14:textId="1C696890" w:rsidR="004C6119" w:rsidRPr="004C6119" w:rsidRDefault="004C6119" w:rsidP="004C6119">
      <w:pPr>
        <w:pStyle w:val="NormalWeb"/>
        <w:spacing w:line="360" w:lineRule="auto"/>
        <w:rPr>
          <w:rFonts w:ascii="Arial" w:hAnsi="Arial" w:cs="Arial"/>
        </w:rPr>
      </w:pPr>
      <w:r w:rsidRPr="004C6119">
        <w:rPr>
          <w:rFonts w:ascii="Arial" w:hAnsi="Arial" w:cs="Arial"/>
        </w:rPr>
        <w:t xml:space="preserve">In 2024, General Electronics reported a gross profit margin of 28.9%, which is an improvement from 23.2% in 2023, but still below the 2020–2022 average of 28.5%. </w:t>
      </w:r>
      <w:r w:rsidRPr="004C6119">
        <w:rPr>
          <w:rFonts w:ascii="Arial" w:hAnsi="Arial" w:cs="Arial"/>
        </w:rPr>
        <w:lastRenderedPageBreak/>
        <w:t>This suggests some recovery in cost control, though not yet matched by overall profitability.</w:t>
      </w:r>
    </w:p>
    <w:p w14:paraId="55A0A3DA" w14:textId="06965B7D" w:rsidR="004C6119" w:rsidRPr="004C6119" w:rsidRDefault="004C6119" w:rsidP="004C6119">
      <w:pPr>
        <w:pStyle w:val="NormalWeb"/>
        <w:spacing w:line="360" w:lineRule="auto"/>
        <w:rPr>
          <w:rFonts w:ascii="Arial" w:hAnsi="Arial" w:cs="Arial"/>
        </w:rPr>
      </w:pPr>
      <w:r w:rsidRPr="004C6119">
        <w:rPr>
          <w:rFonts w:ascii="Arial" w:hAnsi="Arial" w:cs="Arial"/>
        </w:rPr>
        <w:t xml:space="preserve">The </w:t>
      </w:r>
      <w:r w:rsidRPr="00FC4DE8">
        <w:rPr>
          <w:rStyle w:val="Strong"/>
          <w:rFonts w:ascii="Arial" w:hAnsi="Arial" w:cs="Arial"/>
          <w:b w:val="0"/>
          <w:bCs w:val="0"/>
        </w:rPr>
        <w:t>operating profit margin</w:t>
      </w:r>
      <w:r w:rsidRPr="004C6119">
        <w:rPr>
          <w:rFonts w:ascii="Arial" w:hAnsi="Arial" w:cs="Arial"/>
        </w:rPr>
        <w:t xml:space="preserve"> was -3.9% in 2024, compared to -20.3% in 2023, showing reduced losses but still negative performance. Atrill and McLaney (2022) emphasize that sustained negative operating margins reflect structural inefficiencies.</w:t>
      </w:r>
    </w:p>
    <w:p w14:paraId="0EBACB19" w14:textId="6FAE90D5" w:rsidR="004C6119" w:rsidRPr="004C6119" w:rsidRDefault="004C6119" w:rsidP="004C6119">
      <w:pPr>
        <w:pStyle w:val="NormalWeb"/>
        <w:spacing w:line="360" w:lineRule="auto"/>
        <w:rPr>
          <w:rFonts w:ascii="Arial" w:hAnsi="Arial" w:cs="Arial"/>
        </w:rPr>
      </w:pPr>
      <w:r w:rsidRPr="004C6119">
        <w:rPr>
          <w:rFonts w:ascii="Arial" w:hAnsi="Arial" w:cs="Arial"/>
        </w:rPr>
        <w:t xml:space="preserve">The </w:t>
      </w:r>
      <w:r w:rsidRPr="00FC4DE8">
        <w:rPr>
          <w:rStyle w:val="Strong"/>
          <w:rFonts w:ascii="Arial" w:hAnsi="Arial" w:cs="Arial"/>
          <w:b w:val="0"/>
          <w:bCs w:val="0"/>
        </w:rPr>
        <w:t>net profit marg</w:t>
      </w:r>
      <w:r w:rsidR="00FC4DE8" w:rsidRPr="00FC4DE8">
        <w:rPr>
          <w:rStyle w:val="Strong"/>
          <w:rFonts w:ascii="Arial" w:hAnsi="Arial" w:cs="Arial"/>
          <w:b w:val="0"/>
          <w:bCs w:val="0"/>
        </w:rPr>
        <w:t>in</w:t>
      </w:r>
      <w:r w:rsidR="00FC4DE8">
        <w:rPr>
          <w:rStyle w:val="Strong"/>
          <w:rFonts w:ascii="Arial" w:hAnsi="Arial" w:cs="Arial"/>
        </w:rPr>
        <w:t xml:space="preserve"> </w:t>
      </w:r>
      <w:r w:rsidRPr="004C6119">
        <w:rPr>
          <w:rFonts w:ascii="Arial" w:hAnsi="Arial" w:cs="Arial"/>
        </w:rPr>
        <w:t>was -6.1% in 2024, down from -23.4% in 2023. Although the loss narrowed, the company remains unprofitable. Dyson (2017) notes that net profit margin is a key indicator of overall financial health, and persistent negative values signal urgent strategic intervention.</w:t>
      </w:r>
    </w:p>
    <w:p w14:paraId="2F0E3CF3" w14:textId="77777777" w:rsidR="004C6119" w:rsidRPr="004C6119" w:rsidRDefault="004C6119" w:rsidP="004C6119">
      <w:pPr>
        <w:pStyle w:val="NormalWeb"/>
        <w:spacing w:line="360" w:lineRule="auto"/>
        <w:rPr>
          <w:rFonts w:ascii="Arial" w:hAnsi="Arial" w:cs="Arial"/>
        </w:rPr>
      </w:pPr>
      <w:r w:rsidRPr="004C6119">
        <w:rPr>
          <w:rFonts w:ascii="Arial" w:hAnsi="Arial" w:cs="Arial"/>
        </w:rPr>
        <w:t>The</w:t>
      </w:r>
      <w:r w:rsidRPr="00FC4DE8">
        <w:rPr>
          <w:rFonts w:ascii="Arial" w:hAnsi="Arial" w:cs="Arial"/>
          <w:b/>
          <w:bCs/>
        </w:rPr>
        <w:t xml:space="preserve"> </w:t>
      </w:r>
      <w:r w:rsidRPr="00FC4DE8">
        <w:rPr>
          <w:rStyle w:val="Strong"/>
          <w:rFonts w:ascii="Arial" w:hAnsi="Arial" w:cs="Arial"/>
          <w:b w:val="0"/>
          <w:bCs w:val="0"/>
        </w:rPr>
        <w:t>return on assets (ROA)</w:t>
      </w:r>
      <w:r w:rsidRPr="00FC4DE8">
        <w:rPr>
          <w:rFonts w:ascii="Arial" w:hAnsi="Arial" w:cs="Arial"/>
          <w:b/>
          <w:bCs/>
        </w:rPr>
        <w:t>,</w:t>
      </w:r>
      <w:r w:rsidRPr="004C6119">
        <w:rPr>
          <w:rFonts w:ascii="Arial" w:hAnsi="Arial" w:cs="Arial"/>
        </w:rPr>
        <w:t xml:space="preserve"> which measures how effectively assets generate profit, was -7.4% in 2024. This compares unfavourably to -27.6% in 2023 and 7.6% in 2020. Brigham and Ehrhardt (2016) argue that declining ROA undermines investor confidence and suggests poor asset utilization.</w:t>
      </w:r>
    </w:p>
    <w:p w14:paraId="6F1937C8" w14:textId="357DED6A" w:rsidR="00A849B2" w:rsidRDefault="00A849B2" w:rsidP="00A849B2"/>
    <w:p w14:paraId="74232A6A" w14:textId="71F66C58" w:rsidR="003C7591" w:rsidRPr="00DC6263" w:rsidRDefault="003C7591" w:rsidP="003C7591">
      <w:pPr>
        <w:pStyle w:val="Heading2"/>
        <w:rPr>
          <w:rFonts w:ascii="Arial" w:hAnsi="Arial" w:cs="Arial"/>
          <w:b w:val="0"/>
          <w:bCs w:val="0"/>
        </w:rPr>
      </w:pPr>
      <w:bookmarkStart w:id="8" w:name="_Toc214656931"/>
      <w:r w:rsidRPr="00DC6263">
        <w:rPr>
          <w:rFonts w:ascii="Arial" w:hAnsi="Arial" w:cs="Arial"/>
          <w:b w:val="0"/>
          <w:bCs w:val="0"/>
        </w:rPr>
        <w:t>1.2.2 Liquidity ratios</w:t>
      </w:r>
      <w:bookmarkEnd w:id="8"/>
    </w:p>
    <w:p w14:paraId="28AE2D64" w14:textId="77777777" w:rsidR="004C6119" w:rsidRPr="004C6119" w:rsidRDefault="004C6119" w:rsidP="004C6119">
      <w:pPr>
        <w:pStyle w:val="NormalWeb"/>
        <w:spacing w:line="360" w:lineRule="auto"/>
        <w:rPr>
          <w:rFonts w:ascii="Arial" w:hAnsi="Arial" w:cs="Arial"/>
        </w:rPr>
      </w:pPr>
      <w:r w:rsidRPr="004C6119">
        <w:rPr>
          <w:rFonts w:ascii="Arial" w:hAnsi="Arial" w:cs="Arial"/>
        </w:rPr>
        <w:t xml:space="preserve">Liquidity ratios evaluate the company’s ability to meet short-term obligations. </w:t>
      </w:r>
      <w:proofErr w:type="spellStart"/>
      <w:r w:rsidRPr="004C6119">
        <w:rPr>
          <w:rFonts w:ascii="Arial" w:hAnsi="Arial" w:cs="Arial"/>
        </w:rPr>
        <w:t>Weetman</w:t>
      </w:r>
      <w:proofErr w:type="spellEnd"/>
      <w:r w:rsidRPr="004C6119">
        <w:rPr>
          <w:rFonts w:ascii="Arial" w:hAnsi="Arial" w:cs="Arial"/>
        </w:rPr>
        <w:t xml:space="preserve"> (2013) stresses that adequate liquidity is essential for operational continuity and supplier trust.</w:t>
      </w:r>
    </w:p>
    <w:p w14:paraId="6464FBFC" w14:textId="4AF80A41" w:rsidR="004C6119" w:rsidRPr="004C6119" w:rsidRDefault="004C6119" w:rsidP="004C6119">
      <w:pPr>
        <w:pStyle w:val="NormalWeb"/>
        <w:spacing w:line="360" w:lineRule="auto"/>
        <w:rPr>
          <w:rFonts w:ascii="Arial" w:hAnsi="Arial" w:cs="Arial"/>
        </w:rPr>
      </w:pPr>
      <w:r w:rsidRPr="004C6119">
        <w:rPr>
          <w:rFonts w:ascii="Arial" w:hAnsi="Arial" w:cs="Arial"/>
        </w:rPr>
        <w:t xml:space="preserve">The </w:t>
      </w:r>
      <w:r w:rsidRPr="004C6119">
        <w:rPr>
          <w:rStyle w:val="Strong"/>
          <w:rFonts w:ascii="Arial" w:hAnsi="Arial" w:cs="Arial"/>
        </w:rPr>
        <w:t>current ratio</w:t>
      </w:r>
      <w:r w:rsidRPr="004C6119">
        <w:rPr>
          <w:rFonts w:ascii="Arial" w:hAnsi="Arial" w:cs="Arial"/>
        </w:rPr>
        <w:t>, calculated as current assets divided by current liabilities, was 1.53 in 2024. This is slightly below the 2023 figure of 1.61, indicating a modest decline in short-term solvency.</w:t>
      </w:r>
    </w:p>
    <w:p w14:paraId="1123CF9C" w14:textId="77777777" w:rsidR="004C6119" w:rsidRPr="004C6119" w:rsidRDefault="004C6119" w:rsidP="004C6119">
      <w:pPr>
        <w:pStyle w:val="NormalWeb"/>
        <w:spacing w:line="360" w:lineRule="auto"/>
        <w:rPr>
          <w:rFonts w:ascii="Arial" w:hAnsi="Arial" w:cs="Arial"/>
        </w:rPr>
      </w:pPr>
      <w:r w:rsidRPr="004C6119">
        <w:rPr>
          <w:rFonts w:ascii="Arial" w:hAnsi="Arial" w:cs="Arial"/>
        </w:rPr>
        <w:t xml:space="preserve">The </w:t>
      </w:r>
      <w:r w:rsidRPr="004C6119">
        <w:rPr>
          <w:rStyle w:val="Strong"/>
          <w:rFonts w:ascii="Arial" w:hAnsi="Arial" w:cs="Arial"/>
        </w:rPr>
        <w:t>quick ratio</w:t>
      </w:r>
      <w:r w:rsidRPr="004C6119">
        <w:rPr>
          <w:rFonts w:ascii="Arial" w:hAnsi="Arial" w:cs="Arial"/>
        </w:rPr>
        <w:t>, which excludes inventories from current assets, was 1.03 in 2024. This suggests that the company can meet its short-term liabilities without relying on inventory liquidation, which aligns with Dyson’s (2017) view that the quick ratio offers a more realistic liquidity measure.</w:t>
      </w:r>
    </w:p>
    <w:p w14:paraId="7B8FF87A" w14:textId="0DC6EE57" w:rsidR="00D4268A" w:rsidRPr="004C6119" w:rsidRDefault="004C6119" w:rsidP="004C6119">
      <w:pPr>
        <w:pStyle w:val="NormalWeb"/>
        <w:spacing w:line="360" w:lineRule="auto"/>
        <w:rPr>
          <w:rFonts w:ascii="Arial" w:hAnsi="Arial" w:cs="Arial"/>
        </w:rPr>
      </w:pPr>
      <w:r w:rsidRPr="004C6119">
        <w:rPr>
          <w:rFonts w:ascii="Arial" w:hAnsi="Arial" w:cs="Arial"/>
        </w:rPr>
        <w:t xml:space="preserve">The </w:t>
      </w:r>
      <w:r w:rsidRPr="004C6119">
        <w:rPr>
          <w:rStyle w:val="Strong"/>
          <w:rFonts w:ascii="Arial" w:hAnsi="Arial" w:cs="Arial"/>
        </w:rPr>
        <w:t>cash ratio</w:t>
      </w:r>
      <w:r w:rsidRPr="004C6119">
        <w:rPr>
          <w:rFonts w:ascii="Arial" w:hAnsi="Arial" w:cs="Arial"/>
        </w:rPr>
        <w:t xml:space="preserve">, calculated as cash and cash equivalents divided by current liabilities, dropped to 0.17 in 2024 from 0.27 in 2023. This sharp decline indicates </w:t>
      </w:r>
      <w:r w:rsidRPr="004C6119">
        <w:rPr>
          <w:rFonts w:ascii="Arial" w:hAnsi="Arial" w:cs="Arial"/>
        </w:rPr>
        <w:lastRenderedPageBreak/>
        <w:t>increased reliance on less liquid assets and potential cash flow stress (Atrill and McLaney, 2022).</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3C7591" w14:paraId="0B3C622F" w14:textId="77777777" w:rsidTr="003C7591">
        <w:tc>
          <w:tcPr>
            <w:tcW w:w="1502" w:type="dxa"/>
          </w:tcPr>
          <w:p w14:paraId="40653883" w14:textId="063F8F09" w:rsidR="003C7591" w:rsidRPr="003C7591" w:rsidRDefault="003C7591" w:rsidP="003C7591">
            <w:pPr>
              <w:pStyle w:val="NormalWeb"/>
              <w:rPr>
                <w:rFonts w:ascii="Arial" w:hAnsi="Arial" w:cs="Arial"/>
                <w:b/>
                <w:bCs/>
              </w:rPr>
            </w:pPr>
            <w:r w:rsidRPr="003C7591">
              <w:rPr>
                <w:rFonts w:ascii="Arial" w:hAnsi="Arial" w:cs="Arial"/>
                <w:b/>
                <w:bCs/>
              </w:rPr>
              <w:t>Year</w:t>
            </w:r>
          </w:p>
        </w:tc>
        <w:tc>
          <w:tcPr>
            <w:tcW w:w="1502" w:type="dxa"/>
          </w:tcPr>
          <w:p w14:paraId="0635E38B" w14:textId="1485B0CE" w:rsidR="003C7591" w:rsidRPr="003C7591" w:rsidRDefault="003C7591" w:rsidP="003C7591">
            <w:pPr>
              <w:pStyle w:val="NormalWeb"/>
              <w:rPr>
                <w:rFonts w:ascii="Arial" w:hAnsi="Arial" w:cs="Arial"/>
                <w:b/>
                <w:bCs/>
              </w:rPr>
            </w:pPr>
            <w:r w:rsidRPr="003C7591">
              <w:rPr>
                <w:rFonts w:ascii="Arial" w:hAnsi="Arial" w:cs="Arial"/>
                <w:b/>
                <w:bCs/>
              </w:rPr>
              <w:t>2024</w:t>
            </w:r>
          </w:p>
        </w:tc>
        <w:tc>
          <w:tcPr>
            <w:tcW w:w="1503" w:type="dxa"/>
          </w:tcPr>
          <w:p w14:paraId="5C67044A" w14:textId="6A54C177" w:rsidR="003C7591" w:rsidRPr="003C7591" w:rsidRDefault="003C7591" w:rsidP="003C7591">
            <w:pPr>
              <w:pStyle w:val="NormalWeb"/>
              <w:rPr>
                <w:rFonts w:ascii="Arial" w:hAnsi="Arial" w:cs="Arial"/>
                <w:b/>
                <w:bCs/>
              </w:rPr>
            </w:pPr>
            <w:r w:rsidRPr="003C7591">
              <w:rPr>
                <w:rFonts w:ascii="Arial" w:hAnsi="Arial" w:cs="Arial"/>
                <w:b/>
                <w:bCs/>
              </w:rPr>
              <w:t>2023</w:t>
            </w:r>
          </w:p>
        </w:tc>
        <w:tc>
          <w:tcPr>
            <w:tcW w:w="1503" w:type="dxa"/>
          </w:tcPr>
          <w:p w14:paraId="771C7EF2" w14:textId="03B04733" w:rsidR="003C7591" w:rsidRPr="003C7591" w:rsidRDefault="003C7591" w:rsidP="003C7591">
            <w:pPr>
              <w:pStyle w:val="NormalWeb"/>
              <w:rPr>
                <w:rFonts w:ascii="Arial" w:hAnsi="Arial" w:cs="Arial"/>
                <w:b/>
                <w:bCs/>
              </w:rPr>
            </w:pPr>
            <w:r w:rsidRPr="003C7591">
              <w:rPr>
                <w:rFonts w:ascii="Arial" w:hAnsi="Arial" w:cs="Arial"/>
                <w:b/>
                <w:bCs/>
              </w:rPr>
              <w:t>2022</w:t>
            </w:r>
          </w:p>
        </w:tc>
        <w:tc>
          <w:tcPr>
            <w:tcW w:w="1503" w:type="dxa"/>
          </w:tcPr>
          <w:p w14:paraId="1B3EF19E" w14:textId="46312C3E" w:rsidR="003C7591" w:rsidRPr="003C7591" w:rsidRDefault="003C7591" w:rsidP="003C7591">
            <w:pPr>
              <w:pStyle w:val="NormalWeb"/>
              <w:rPr>
                <w:rFonts w:ascii="Arial" w:hAnsi="Arial" w:cs="Arial"/>
                <w:b/>
                <w:bCs/>
              </w:rPr>
            </w:pPr>
            <w:r w:rsidRPr="003C7591">
              <w:rPr>
                <w:rFonts w:ascii="Arial" w:hAnsi="Arial" w:cs="Arial"/>
                <w:b/>
                <w:bCs/>
              </w:rPr>
              <w:t>2021</w:t>
            </w:r>
          </w:p>
        </w:tc>
        <w:tc>
          <w:tcPr>
            <w:tcW w:w="1503" w:type="dxa"/>
          </w:tcPr>
          <w:p w14:paraId="58C7FCDC" w14:textId="1D0E6839" w:rsidR="003C7591" w:rsidRPr="003C7591" w:rsidRDefault="003C7591" w:rsidP="003C7591">
            <w:pPr>
              <w:pStyle w:val="NormalWeb"/>
              <w:rPr>
                <w:rFonts w:ascii="Arial" w:hAnsi="Arial" w:cs="Arial"/>
                <w:b/>
                <w:bCs/>
              </w:rPr>
            </w:pPr>
            <w:r w:rsidRPr="003C7591">
              <w:rPr>
                <w:rFonts w:ascii="Arial" w:hAnsi="Arial" w:cs="Arial"/>
                <w:b/>
                <w:bCs/>
              </w:rPr>
              <w:t>2020</w:t>
            </w:r>
          </w:p>
        </w:tc>
      </w:tr>
      <w:tr w:rsidR="003C7591" w14:paraId="4FF2C5BC" w14:textId="77777777" w:rsidTr="003C7591">
        <w:tc>
          <w:tcPr>
            <w:tcW w:w="1502" w:type="dxa"/>
          </w:tcPr>
          <w:p w14:paraId="268F6BE2" w14:textId="69A1DB08" w:rsidR="003C7591" w:rsidRPr="003C7591" w:rsidRDefault="003C7591" w:rsidP="003C7591">
            <w:pPr>
              <w:pStyle w:val="NormalWeb"/>
              <w:rPr>
                <w:rFonts w:ascii="Arial" w:hAnsi="Arial" w:cs="Arial"/>
                <w:b/>
                <w:bCs/>
              </w:rPr>
            </w:pPr>
            <w:r w:rsidRPr="003C7591">
              <w:rPr>
                <w:rFonts w:ascii="Arial" w:hAnsi="Arial" w:cs="Arial"/>
                <w:b/>
                <w:bCs/>
              </w:rPr>
              <w:t>Current ratio</w:t>
            </w:r>
          </w:p>
        </w:tc>
        <w:tc>
          <w:tcPr>
            <w:tcW w:w="1502" w:type="dxa"/>
          </w:tcPr>
          <w:p w14:paraId="672A8987" w14:textId="19A1725E" w:rsidR="003C7591" w:rsidRDefault="003C7591" w:rsidP="003C7591">
            <w:pPr>
              <w:pStyle w:val="NormalWeb"/>
            </w:pPr>
            <w:r>
              <w:t>1.53</w:t>
            </w:r>
          </w:p>
        </w:tc>
        <w:tc>
          <w:tcPr>
            <w:tcW w:w="1503" w:type="dxa"/>
          </w:tcPr>
          <w:p w14:paraId="65EAE45F" w14:textId="5740E033" w:rsidR="003C7591" w:rsidRDefault="002D6D40" w:rsidP="003C7591">
            <w:pPr>
              <w:pStyle w:val="NormalWeb"/>
            </w:pPr>
            <w:r>
              <w:t>1.61</w:t>
            </w:r>
          </w:p>
        </w:tc>
        <w:tc>
          <w:tcPr>
            <w:tcW w:w="1503" w:type="dxa"/>
          </w:tcPr>
          <w:p w14:paraId="7F47F2AA" w14:textId="6DE9A4FB" w:rsidR="003C7591" w:rsidRDefault="002D6D40" w:rsidP="003C7591">
            <w:pPr>
              <w:pStyle w:val="NormalWeb"/>
            </w:pPr>
            <w:r>
              <w:t>1.56</w:t>
            </w:r>
          </w:p>
        </w:tc>
        <w:tc>
          <w:tcPr>
            <w:tcW w:w="1503" w:type="dxa"/>
          </w:tcPr>
          <w:p w14:paraId="06356204" w14:textId="2C179813" w:rsidR="003C7591" w:rsidRDefault="002D6D40" w:rsidP="003C7591">
            <w:pPr>
              <w:pStyle w:val="NormalWeb"/>
            </w:pPr>
            <w:r>
              <w:t>1.56</w:t>
            </w:r>
          </w:p>
        </w:tc>
        <w:tc>
          <w:tcPr>
            <w:tcW w:w="1503" w:type="dxa"/>
          </w:tcPr>
          <w:p w14:paraId="48FDE97A" w14:textId="48A7B04C" w:rsidR="003C7591" w:rsidRDefault="002D6D40" w:rsidP="003C7591">
            <w:pPr>
              <w:pStyle w:val="NormalWeb"/>
            </w:pPr>
            <w:r>
              <w:t>2.84</w:t>
            </w:r>
          </w:p>
        </w:tc>
      </w:tr>
      <w:tr w:rsidR="002D6D40" w14:paraId="12C54FD2" w14:textId="77777777" w:rsidTr="003C7591">
        <w:tc>
          <w:tcPr>
            <w:tcW w:w="1502" w:type="dxa"/>
          </w:tcPr>
          <w:p w14:paraId="00EA1ED5" w14:textId="7E8E21B0" w:rsidR="002D6D40" w:rsidRPr="003C7591" w:rsidRDefault="002D6D40" w:rsidP="003C7591">
            <w:pPr>
              <w:pStyle w:val="NormalWeb"/>
              <w:rPr>
                <w:rFonts w:ascii="Arial" w:hAnsi="Arial" w:cs="Arial"/>
                <w:b/>
                <w:bCs/>
              </w:rPr>
            </w:pPr>
            <w:r>
              <w:rPr>
                <w:rFonts w:ascii="Arial" w:hAnsi="Arial" w:cs="Arial"/>
                <w:b/>
                <w:bCs/>
              </w:rPr>
              <w:t>Quick ratio</w:t>
            </w:r>
          </w:p>
        </w:tc>
        <w:tc>
          <w:tcPr>
            <w:tcW w:w="1502" w:type="dxa"/>
          </w:tcPr>
          <w:p w14:paraId="30AD9351" w14:textId="697C0991" w:rsidR="002D6D40" w:rsidRDefault="002D6D40" w:rsidP="003C7591">
            <w:pPr>
              <w:pStyle w:val="NormalWeb"/>
            </w:pPr>
            <w:r>
              <w:t>1.03</w:t>
            </w:r>
          </w:p>
        </w:tc>
        <w:tc>
          <w:tcPr>
            <w:tcW w:w="1503" w:type="dxa"/>
          </w:tcPr>
          <w:p w14:paraId="0DF95E46" w14:textId="78A5676A" w:rsidR="002D6D40" w:rsidRDefault="002D6D40" w:rsidP="003C7591">
            <w:pPr>
              <w:pStyle w:val="NormalWeb"/>
            </w:pPr>
            <w:r>
              <w:t>1.06</w:t>
            </w:r>
          </w:p>
        </w:tc>
        <w:tc>
          <w:tcPr>
            <w:tcW w:w="1503" w:type="dxa"/>
          </w:tcPr>
          <w:p w14:paraId="32A26C39" w14:textId="72840628" w:rsidR="002D6D40" w:rsidRDefault="002D6D40" w:rsidP="003C7591">
            <w:pPr>
              <w:pStyle w:val="NormalWeb"/>
            </w:pPr>
            <w:r>
              <w:t>0.91</w:t>
            </w:r>
          </w:p>
        </w:tc>
        <w:tc>
          <w:tcPr>
            <w:tcW w:w="1503" w:type="dxa"/>
          </w:tcPr>
          <w:p w14:paraId="1C1E9F2A" w14:textId="0F8DD340" w:rsidR="002D6D40" w:rsidRDefault="002D6D40" w:rsidP="003C7591">
            <w:pPr>
              <w:pStyle w:val="NormalWeb"/>
            </w:pPr>
            <w:r>
              <w:t>0.93</w:t>
            </w:r>
          </w:p>
        </w:tc>
        <w:tc>
          <w:tcPr>
            <w:tcW w:w="1503" w:type="dxa"/>
          </w:tcPr>
          <w:p w14:paraId="5DCCBEEC" w14:textId="6F8AB80C" w:rsidR="002D6D40" w:rsidRDefault="002D6D40" w:rsidP="003C7591">
            <w:pPr>
              <w:pStyle w:val="NormalWeb"/>
            </w:pPr>
            <w:r>
              <w:t>1.15</w:t>
            </w:r>
          </w:p>
        </w:tc>
      </w:tr>
      <w:tr w:rsidR="00D4268A" w14:paraId="4DE622B4" w14:textId="77777777" w:rsidTr="003C7591">
        <w:tc>
          <w:tcPr>
            <w:tcW w:w="1502" w:type="dxa"/>
          </w:tcPr>
          <w:p w14:paraId="773558FC" w14:textId="1C05EC1F" w:rsidR="00D4268A" w:rsidRDefault="00D4268A" w:rsidP="003C7591">
            <w:pPr>
              <w:pStyle w:val="NormalWeb"/>
              <w:rPr>
                <w:rFonts w:ascii="Arial" w:hAnsi="Arial" w:cs="Arial"/>
                <w:b/>
                <w:bCs/>
              </w:rPr>
            </w:pPr>
            <w:r>
              <w:rPr>
                <w:rFonts w:ascii="Arial" w:hAnsi="Arial" w:cs="Arial"/>
                <w:b/>
                <w:bCs/>
              </w:rPr>
              <w:t>Cash ratio</w:t>
            </w:r>
          </w:p>
        </w:tc>
        <w:tc>
          <w:tcPr>
            <w:tcW w:w="1502" w:type="dxa"/>
          </w:tcPr>
          <w:p w14:paraId="54A3C27E" w14:textId="461A0F18" w:rsidR="00D4268A" w:rsidRDefault="00D4268A" w:rsidP="003C7591">
            <w:pPr>
              <w:pStyle w:val="NormalWeb"/>
            </w:pPr>
            <w:r>
              <w:t>0.17</w:t>
            </w:r>
          </w:p>
        </w:tc>
        <w:tc>
          <w:tcPr>
            <w:tcW w:w="1503" w:type="dxa"/>
          </w:tcPr>
          <w:p w14:paraId="29693ADC" w14:textId="04A728A6" w:rsidR="00D4268A" w:rsidRDefault="00D4268A" w:rsidP="003C7591">
            <w:pPr>
              <w:pStyle w:val="NormalWeb"/>
            </w:pPr>
            <w:r>
              <w:t>0.27</w:t>
            </w:r>
          </w:p>
        </w:tc>
        <w:tc>
          <w:tcPr>
            <w:tcW w:w="1503" w:type="dxa"/>
          </w:tcPr>
          <w:p w14:paraId="4503D0A7" w14:textId="4D060B7C" w:rsidR="00D4268A" w:rsidRDefault="00D4268A" w:rsidP="003C7591">
            <w:pPr>
              <w:pStyle w:val="NormalWeb"/>
            </w:pPr>
            <w:r>
              <w:t>0.31</w:t>
            </w:r>
          </w:p>
        </w:tc>
        <w:tc>
          <w:tcPr>
            <w:tcW w:w="1503" w:type="dxa"/>
          </w:tcPr>
          <w:p w14:paraId="3E68827D" w14:textId="5B48D40E" w:rsidR="00D4268A" w:rsidRDefault="00D4268A" w:rsidP="003C7591">
            <w:pPr>
              <w:pStyle w:val="NormalWeb"/>
            </w:pPr>
            <w:r>
              <w:t>0.28</w:t>
            </w:r>
          </w:p>
        </w:tc>
        <w:tc>
          <w:tcPr>
            <w:tcW w:w="1503" w:type="dxa"/>
          </w:tcPr>
          <w:p w14:paraId="4A62DDDC" w14:textId="5915A7B4" w:rsidR="00D4268A" w:rsidRDefault="00D4268A" w:rsidP="003C7591">
            <w:pPr>
              <w:pStyle w:val="NormalWeb"/>
            </w:pPr>
            <w:r>
              <w:t>0.32</w:t>
            </w:r>
          </w:p>
        </w:tc>
      </w:tr>
    </w:tbl>
    <w:p w14:paraId="7BC2358B" w14:textId="56243BEC" w:rsidR="003C7591" w:rsidRPr="00D4268A" w:rsidRDefault="00D4268A" w:rsidP="00D4268A">
      <w:pPr>
        <w:pStyle w:val="NormalWeb"/>
        <w:spacing w:line="360" w:lineRule="auto"/>
        <w:rPr>
          <w:rFonts w:ascii="Arial" w:hAnsi="Arial" w:cs="Arial"/>
        </w:rPr>
      </w:pPr>
      <w:r w:rsidRPr="00D4268A">
        <w:rPr>
          <w:rFonts w:ascii="Arial" w:hAnsi="Arial" w:cs="Arial"/>
        </w:rPr>
        <w:t>While the current and quick ratios remain above critical thresholds, the declining cash ratio indicates increased reliance on less liquid assets. This trend suggests potential liquidity stress, especially if inventory turnover is slow (</w:t>
      </w:r>
      <w:proofErr w:type="spellStart"/>
      <w:r w:rsidRPr="00D4268A">
        <w:rPr>
          <w:rFonts w:ascii="Arial" w:hAnsi="Arial" w:cs="Arial"/>
        </w:rPr>
        <w:t>Weetman</w:t>
      </w:r>
      <w:proofErr w:type="spellEnd"/>
      <w:r w:rsidRPr="00D4268A">
        <w:rPr>
          <w:rFonts w:ascii="Arial" w:hAnsi="Arial" w:cs="Arial"/>
        </w:rPr>
        <w:t>, 2013)</w:t>
      </w:r>
    </w:p>
    <w:p w14:paraId="21149546" w14:textId="03B9B6AE" w:rsidR="003C7591" w:rsidRPr="00DC6263" w:rsidRDefault="00D4268A" w:rsidP="00D4268A">
      <w:pPr>
        <w:pStyle w:val="Heading2"/>
        <w:rPr>
          <w:rFonts w:ascii="Arial" w:hAnsi="Arial" w:cs="Arial"/>
          <w:b w:val="0"/>
          <w:bCs w:val="0"/>
        </w:rPr>
      </w:pPr>
      <w:bookmarkStart w:id="9" w:name="_Toc214656932"/>
      <w:r w:rsidRPr="00DC6263">
        <w:rPr>
          <w:rFonts w:ascii="Arial" w:hAnsi="Arial" w:cs="Arial"/>
          <w:b w:val="0"/>
          <w:bCs w:val="0"/>
        </w:rPr>
        <w:t>1.2.3 Efficiency ratios analysis</w:t>
      </w:r>
      <w:bookmarkEnd w:id="9"/>
    </w:p>
    <w:p w14:paraId="3572981C" w14:textId="77777777" w:rsidR="000D2DD2" w:rsidRPr="000D2DD2" w:rsidRDefault="000D2DD2" w:rsidP="000D2DD2">
      <w:pPr>
        <w:pStyle w:val="NormalWeb"/>
        <w:spacing w:line="360" w:lineRule="auto"/>
        <w:rPr>
          <w:rFonts w:ascii="Arial" w:hAnsi="Arial" w:cs="Arial"/>
        </w:rPr>
      </w:pPr>
      <w:r w:rsidRPr="000D2DD2">
        <w:rPr>
          <w:rFonts w:ascii="Arial" w:hAnsi="Arial" w:cs="Arial"/>
        </w:rPr>
        <w:t xml:space="preserve">Efficiency ratios assess how well the company manages its assets and liabilities. According to </w:t>
      </w:r>
      <w:proofErr w:type="spellStart"/>
      <w:r w:rsidRPr="000D2DD2">
        <w:rPr>
          <w:rFonts w:ascii="Arial" w:hAnsi="Arial" w:cs="Arial"/>
        </w:rPr>
        <w:t>Weetman</w:t>
      </w:r>
      <w:proofErr w:type="spellEnd"/>
      <w:r w:rsidRPr="000D2DD2">
        <w:rPr>
          <w:rFonts w:ascii="Arial" w:hAnsi="Arial" w:cs="Arial"/>
        </w:rPr>
        <w:t xml:space="preserve"> (2013), these ratios are critical for evaluating operational effectiveness and working capital control.</w:t>
      </w:r>
    </w:p>
    <w:p w14:paraId="08424D02" w14:textId="0EB78A8B" w:rsidR="000D2DD2" w:rsidRPr="000D2DD2" w:rsidRDefault="000D2DD2" w:rsidP="000D2DD2">
      <w:pPr>
        <w:pStyle w:val="NormalWeb"/>
        <w:spacing w:line="360" w:lineRule="auto"/>
        <w:rPr>
          <w:rFonts w:ascii="Arial" w:hAnsi="Arial" w:cs="Arial"/>
        </w:rPr>
      </w:pPr>
      <w:r w:rsidRPr="000D2DD2">
        <w:rPr>
          <w:rFonts w:ascii="Arial" w:hAnsi="Arial" w:cs="Arial"/>
        </w:rPr>
        <w:t xml:space="preserve">The </w:t>
      </w:r>
      <w:r w:rsidRPr="000D2DD2">
        <w:rPr>
          <w:rStyle w:val="Strong"/>
          <w:rFonts w:ascii="Arial" w:hAnsi="Arial" w:cs="Arial"/>
        </w:rPr>
        <w:t>inventory turnover days</w:t>
      </w:r>
      <w:r w:rsidRPr="000D2DD2">
        <w:rPr>
          <w:rFonts w:ascii="Arial" w:hAnsi="Arial" w:cs="Arial"/>
        </w:rPr>
        <w:t>, calculated as (inventory ÷ cost of sales) × 365, rose to 103 days in 2024, up from 100 days in 2023. This suggests slower inventory movement, which may reflect overstocking or weak demand.</w:t>
      </w:r>
      <w:r w:rsidR="00F14C2E" w:rsidRPr="00F14C2E">
        <w:t xml:space="preserve"> </w:t>
      </w:r>
      <w:r w:rsidR="00F14C2E" w:rsidRPr="00F14C2E">
        <w:rPr>
          <w:rFonts w:ascii="Arial" w:hAnsi="Arial" w:cs="Arial"/>
        </w:rPr>
        <w:t>(</w:t>
      </w:r>
      <w:proofErr w:type="spellStart"/>
      <w:r w:rsidR="00F14C2E" w:rsidRPr="00F14C2E">
        <w:rPr>
          <w:rFonts w:ascii="Arial" w:hAnsi="Arial" w:cs="Arial"/>
        </w:rPr>
        <w:t>Debrouwere</w:t>
      </w:r>
      <w:proofErr w:type="spellEnd"/>
      <w:r w:rsidR="00F14C2E" w:rsidRPr="00F14C2E">
        <w:rPr>
          <w:rFonts w:ascii="Arial" w:hAnsi="Arial" w:cs="Arial"/>
        </w:rPr>
        <w:t xml:space="preserve">, 2025; Kumar, Choubey and </w:t>
      </w:r>
      <w:proofErr w:type="spellStart"/>
      <w:r w:rsidR="00F14C2E" w:rsidRPr="00F14C2E">
        <w:rPr>
          <w:rFonts w:ascii="Arial" w:hAnsi="Arial" w:cs="Arial"/>
        </w:rPr>
        <w:t>Amosu</w:t>
      </w:r>
      <w:proofErr w:type="spellEnd"/>
      <w:r w:rsidR="00F14C2E" w:rsidRPr="00F14C2E">
        <w:rPr>
          <w:rFonts w:ascii="Arial" w:hAnsi="Arial" w:cs="Arial"/>
        </w:rPr>
        <w:t>, 2024)</w:t>
      </w:r>
    </w:p>
    <w:p w14:paraId="7290E93D" w14:textId="77777777" w:rsidR="000D2DD2" w:rsidRPr="000D2DD2" w:rsidRDefault="000D2DD2" w:rsidP="000D2DD2">
      <w:pPr>
        <w:pStyle w:val="NormalWeb"/>
        <w:spacing w:line="360" w:lineRule="auto"/>
        <w:rPr>
          <w:rFonts w:ascii="Arial" w:hAnsi="Arial" w:cs="Arial"/>
        </w:rPr>
      </w:pPr>
      <w:r w:rsidRPr="000D2DD2">
        <w:rPr>
          <w:rFonts w:ascii="Arial" w:hAnsi="Arial" w:cs="Arial"/>
        </w:rPr>
        <w:t xml:space="preserve">The </w:t>
      </w:r>
      <w:r w:rsidRPr="000D2DD2">
        <w:rPr>
          <w:rStyle w:val="Strong"/>
          <w:rFonts w:ascii="Arial" w:hAnsi="Arial" w:cs="Arial"/>
        </w:rPr>
        <w:t>receivables turnover days</w:t>
      </w:r>
      <w:r w:rsidRPr="000D2DD2">
        <w:rPr>
          <w:rFonts w:ascii="Arial" w:hAnsi="Arial" w:cs="Arial"/>
        </w:rPr>
        <w:t>, calculated as (accounts receivable ÷ net sales) × 365, increased to 106 days in 2024. This indicates slower customer payments and potential credit control issues (Holmes, Sugden and Gee, 2008).</w:t>
      </w:r>
    </w:p>
    <w:p w14:paraId="785E8060" w14:textId="66D1B0AC" w:rsidR="00D4268A" w:rsidRPr="000D2DD2" w:rsidRDefault="000D2DD2" w:rsidP="000D2DD2">
      <w:pPr>
        <w:pStyle w:val="NormalWeb"/>
        <w:spacing w:line="360" w:lineRule="auto"/>
        <w:rPr>
          <w:rFonts w:ascii="Arial" w:hAnsi="Arial" w:cs="Arial"/>
        </w:rPr>
      </w:pPr>
      <w:r w:rsidRPr="000D2DD2">
        <w:rPr>
          <w:rFonts w:ascii="Arial" w:hAnsi="Arial" w:cs="Arial"/>
        </w:rPr>
        <w:t xml:space="preserve">The </w:t>
      </w:r>
      <w:r w:rsidRPr="000D2DD2">
        <w:rPr>
          <w:rStyle w:val="Strong"/>
          <w:rFonts w:ascii="Arial" w:hAnsi="Arial" w:cs="Arial"/>
        </w:rPr>
        <w:t>payables turnover days</w:t>
      </w:r>
      <w:r w:rsidRPr="000D2DD2">
        <w:rPr>
          <w:rFonts w:ascii="Arial" w:hAnsi="Arial" w:cs="Arial"/>
        </w:rPr>
        <w:t>, calculated as (accounts payable ÷ cost of sales) × 365, rose to 94 days in 2024. While this may improve short-term cash flow, it could strain supplier relationships if extended excessively (Arnold, 2013).</w:t>
      </w:r>
    </w:p>
    <w:tbl>
      <w:tblPr>
        <w:tblStyle w:val="TableGrid"/>
        <w:tblW w:w="0" w:type="auto"/>
        <w:tblLook w:val="04A0" w:firstRow="1" w:lastRow="0" w:firstColumn="1" w:lastColumn="0" w:noHBand="0" w:noVBand="1"/>
      </w:tblPr>
      <w:tblGrid>
        <w:gridCol w:w="1838"/>
        <w:gridCol w:w="1418"/>
        <w:gridCol w:w="1417"/>
        <w:gridCol w:w="1559"/>
        <w:gridCol w:w="1418"/>
        <w:gridCol w:w="1366"/>
      </w:tblGrid>
      <w:tr w:rsidR="00D4268A" w14:paraId="16E54FB6" w14:textId="77777777" w:rsidTr="004C6119">
        <w:tc>
          <w:tcPr>
            <w:tcW w:w="1838" w:type="dxa"/>
          </w:tcPr>
          <w:p w14:paraId="171042A9" w14:textId="5C89A15D" w:rsidR="00D4268A" w:rsidRPr="004C6119" w:rsidRDefault="00D4268A" w:rsidP="004C6119">
            <w:pPr>
              <w:spacing w:line="360" w:lineRule="auto"/>
              <w:rPr>
                <w:rFonts w:ascii="Arial" w:hAnsi="Arial" w:cs="Arial"/>
                <w:b/>
                <w:bCs/>
              </w:rPr>
            </w:pPr>
          </w:p>
        </w:tc>
        <w:tc>
          <w:tcPr>
            <w:tcW w:w="1418" w:type="dxa"/>
          </w:tcPr>
          <w:p w14:paraId="65DA0E48" w14:textId="6B3375BD" w:rsidR="00D4268A" w:rsidRPr="004C6119" w:rsidRDefault="00D4268A" w:rsidP="004C6119">
            <w:pPr>
              <w:spacing w:line="360" w:lineRule="auto"/>
              <w:rPr>
                <w:rFonts w:ascii="Arial" w:hAnsi="Arial" w:cs="Arial"/>
                <w:b/>
                <w:bCs/>
              </w:rPr>
            </w:pPr>
            <w:r w:rsidRPr="004C6119">
              <w:rPr>
                <w:rFonts w:ascii="Arial" w:hAnsi="Arial" w:cs="Arial"/>
                <w:b/>
                <w:bCs/>
              </w:rPr>
              <w:t>2024</w:t>
            </w:r>
          </w:p>
        </w:tc>
        <w:tc>
          <w:tcPr>
            <w:tcW w:w="1417" w:type="dxa"/>
          </w:tcPr>
          <w:p w14:paraId="7962C588" w14:textId="51BFE266" w:rsidR="00D4268A" w:rsidRPr="004C6119" w:rsidRDefault="00D4268A" w:rsidP="004C6119">
            <w:pPr>
              <w:spacing w:line="360" w:lineRule="auto"/>
              <w:rPr>
                <w:rFonts w:ascii="Arial" w:hAnsi="Arial" w:cs="Arial"/>
                <w:b/>
                <w:bCs/>
              </w:rPr>
            </w:pPr>
            <w:r w:rsidRPr="004C6119">
              <w:rPr>
                <w:rFonts w:ascii="Arial" w:hAnsi="Arial" w:cs="Arial"/>
                <w:b/>
                <w:bCs/>
              </w:rPr>
              <w:t>2023</w:t>
            </w:r>
          </w:p>
        </w:tc>
        <w:tc>
          <w:tcPr>
            <w:tcW w:w="1559" w:type="dxa"/>
          </w:tcPr>
          <w:p w14:paraId="5D40E964" w14:textId="3DEB1EA7" w:rsidR="00D4268A" w:rsidRPr="004C6119" w:rsidRDefault="00D4268A" w:rsidP="004C6119">
            <w:pPr>
              <w:spacing w:line="360" w:lineRule="auto"/>
              <w:rPr>
                <w:rFonts w:ascii="Arial" w:hAnsi="Arial" w:cs="Arial"/>
                <w:b/>
                <w:bCs/>
              </w:rPr>
            </w:pPr>
            <w:r w:rsidRPr="004C6119">
              <w:rPr>
                <w:rFonts w:ascii="Arial" w:hAnsi="Arial" w:cs="Arial"/>
                <w:b/>
                <w:bCs/>
              </w:rPr>
              <w:t>2022</w:t>
            </w:r>
          </w:p>
        </w:tc>
        <w:tc>
          <w:tcPr>
            <w:tcW w:w="1418" w:type="dxa"/>
          </w:tcPr>
          <w:p w14:paraId="1E468C41" w14:textId="56BCBEDE" w:rsidR="00D4268A" w:rsidRPr="004C6119" w:rsidRDefault="00D4268A" w:rsidP="004C6119">
            <w:pPr>
              <w:spacing w:line="360" w:lineRule="auto"/>
              <w:rPr>
                <w:rFonts w:ascii="Arial" w:hAnsi="Arial" w:cs="Arial"/>
                <w:b/>
                <w:bCs/>
              </w:rPr>
            </w:pPr>
            <w:r w:rsidRPr="004C6119">
              <w:rPr>
                <w:rFonts w:ascii="Arial" w:hAnsi="Arial" w:cs="Arial"/>
                <w:b/>
                <w:bCs/>
              </w:rPr>
              <w:t>2021</w:t>
            </w:r>
          </w:p>
        </w:tc>
        <w:tc>
          <w:tcPr>
            <w:tcW w:w="1366" w:type="dxa"/>
          </w:tcPr>
          <w:p w14:paraId="137F54CF" w14:textId="046E86B7" w:rsidR="00D4268A" w:rsidRPr="004C6119" w:rsidRDefault="00D4268A" w:rsidP="004C6119">
            <w:pPr>
              <w:spacing w:line="360" w:lineRule="auto"/>
              <w:rPr>
                <w:rFonts w:ascii="Arial" w:hAnsi="Arial" w:cs="Arial"/>
                <w:b/>
                <w:bCs/>
              </w:rPr>
            </w:pPr>
            <w:r w:rsidRPr="004C6119">
              <w:rPr>
                <w:rFonts w:ascii="Arial" w:hAnsi="Arial" w:cs="Arial"/>
                <w:b/>
                <w:bCs/>
              </w:rPr>
              <w:t>2020</w:t>
            </w:r>
          </w:p>
        </w:tc>
      </w:tr>
      <w:tr w:rsidR="00D4268A" w14:paraId="0425F470" w14:textId="77777777" w:rsidTr="004C6119">
        <w:tc>
          <w:tcPr>
            <w:tcW w:w="1838" w:type="dxa"/>
          </w:tcPr>
          <w:p w14:paraId="762FA9AB" w14:textId="3D6ADC6C" w:rsidR="00D4268A" w:rsidRPr="004C6119" w:rsidRDefault="00D4268A" w:rsidP="004C6119">
            <w:pPr>
              <w:spacing w:line="360" w:lineRule="auto"/>
              <w:rPr>
                <w:rFonts w:ascii="Arial" w:hAnsi="Arial" w:cs="Arial"/>
                <w:b/>
                <w:bCs/>
              </w:rPr>
            </w:pPr>
            <w:r w:rsidRPr="004C6119">
              <w:rPr>
                <w:rFonts w:ascii="Arial" w:hAnsi="Arial" w:cs="Arial"/>
                <w:b/>
                <w:bCs/>
              </w:rPr>
              <w:t>Inventory turnover days</w:t>
            </w:r>
          </w:p>
        </w:tc>
        <w:tc>
          <w:tcPr>
            <w:tcW w:w="1418" w:type="dxa"/>
          </w:tcPr>
          <w:p w14:paraId="1D8CF9F0" w14:textId="2622BAD6" w:rsidR="00D4268A" w:rsidRPr="004C6119" w:rsidRDefault="00BD1578" w:rsidP="004C6119">
            <w:pPr>
              <w:spacing w:line="360" w:lineRule="auto"/>
              <w:rPr>
                <w:rFonts w:ascii="Arial" w:hAnsi="Arial" w:cs="Arial"/>
              </w:rPr>
            </w:pPr>
            <w:r w:rsidRPr="004C6119">
              <w:rPr>
                <w:rFonts w:ascii="Arial" w:hAnsi="Arial" w:cs="Arial"/>
              </w:rPr>
              <w:t>103 days</w:t>
            </w:r>
          </w:p>
        </w:tc>
        <w:tc>
          <w:tcPr>
            <w:tcW w:w="1417" w:type="dxa"/>
          </w:tcPr>
          <w:p w14:paraId="445D268F" w14:textId="13DC0CFF" w:rsidR="00D4268A" w:rsidRPr="004C6119" w:rsidRDefault="00BD1578" w:rsidP="004C6119">
            <w:pPr>
              <w:spacing w:line="360" w:lineRule="auto"/>
              <w:rPr>
                <w:rFonts w:ascii="Arial" w:hAnsi="Arial" w:cs="Arial"/>
              </w:rPr>
            </w:pPr>
            <w:r w:rsidRPr="004C6119">
              <w:rPr>
                <w:rFonts w:ascii="Arial" w:hAnsi="Arial" w:cs="Arial"/>
              </w:rPr>
              <w:t>100 days</w:t>
            </w:r>
          </w:p>
        </w:tc>
        <w:tc>
          <w:tcPr>
            <w:tcW w:w="1559" w:type="dxa"/>
          </w:tcPr>
          <w:p w14:paraId="449D0288" w14:textId="3FE34F3C" w:rsidR="00D4268A" w:rsidRPr="004C6119" w:rsidRDefault="00BD1578" w:rsidP="004C6119">
            <w:pPr>
              <w:spacing w:line="360" w:lineRule="auto"/>
              <w:rPr>
                <w:rFonts w:ascii="Arial" w:hAnsi="Arial" w:cs="Arial"/>
              </w:rPr>
            </w:pPr>
            <w:r w:rsidRPr="004C6119">
              <w:rPr>
                <w:rFonts w:ascii="Arial" w:hAnsi="Arial" w:cs="Arial"/>
              </w:rPr>
              <w:t>131 days</w:t>
            </w:r>
          </w:p>
        </w:tc>
        <w:tc>
          <w:tcPr>
            <w:tcW w:w="1418" w:type="dxa"/>
          </w:tcPr>
          <w:p w14:paraId="5676F94A" w14:textId="1C75D507" w:rsidR="00D4268A" w:rsidRPr="004C6119" w:rsidRDefault="00BD1578" w:rsidP="004C6119">
            <w:pPr>
              <w:spacing w:line="360" w:lineRule="auto"/>
              <w:rPr>
                <w:rFonts w:ascii="Arial" w:hAnsi="Arial" w:cs="Arial"/>
              </w:rPr>
            </w:pPr>
            <w:r w:rsidRPr="004C6119">
              <w:rPr>
                <w:rFonts w:ascii="Arial" w:hAnsi="Arial" w:cs="Arial"/>
              </w:rPr>
              <w:t>115 days</w:t>
            </w:r>
          </w:p>
        </w:tc>
        <w:tc>
          <w:tcPr>
            <w:tcW w:w="1366" w:type="dxa"/>
          </w:tcPr>
          <w:p w14:paraId="2D467C94" w14:textId="33AA0CD9" w:rsidR="00D4268A" w:rsidRPr="004C6119" w:rsidRDefault="00BD1578" w:rsidP="004C6119">
            <w:pPr>
              <w:spacing w:line="360" w:lineRule="auto"/>
              <w:rPr>
                <w:rFonts w:ascii="Arial" w:hAnsi="Arial" w:cs="Arial"/>
              </w:rPr>
            </w:pPr>
            <w:r w:rsidRPr="004C6119">
              <w:rPr>
                <w:rFonts w:ascii="Arial" w:hAnsi="Arial" w:cs="Arial"/>
              </w:rPr>
              <w:t>100 days</w:t>
            </w:r>
          </w:p>
        </w:tc>
      </w:tr>
      <w:tr w:rsidR="00D4268A" w14:paraId="18239E1D" w14:textId="77777777" w:rsidTr="004C6119">
        <w:tc>
          <w:tcPr>
            <w:tcW w:w="1838" w:type="dxa"/>
          </w:tcPr>
          <w:p w14:paraId="3F1F28C8" w14:textId="364D6FB9" w:rsidR="00D4268A" w:rsidRPr="004C6119" w:rsidRDefault="00BD1578" w:rsidP="004C6119">
            <w:pPr>
              <w:spacing w:line="360" w:lineRule="auto"/>
              <w:rPr>
                <w:rFonts w:ascii="Arial" w:hAnsi="Arial" w:cs="Arial"/>
                <w:b/>
                <w:bCs/>
              </w:rPr>
            </w:pPr>
            <w:r w:rsidRPr="004C6119">
              <w:rPr>
                <w:rFonts w:ascii="Arial" w:hAnsi="Arial" w:cs="Arial"/>
                <w:b/>
                <w:bCs/>
              </w:rPr>
              <w:t>Receivable turnover days</w:t>
            </w:r>
          </w:p>
        </w:tc>
        <w:tc>
          <w:tcPr>
            <w:tcW w:w="1418" w:type="dxa"/>
          </w:tcPr>
          <w:p w14:paraId="296C4E0F" w14:textId="1E3C0991" w:rsidR="00D4268A" w:rsidRPr="004C6119" w:rsidRDefault="00BD1578" w:rsidP="004C6119">
            <w:pPr>
              <w:spacing w:line="360" w:lineRule="auto"/>
              <w:rPr>
                <w:rFonts w:ascii="Arial" w:hAnsi="Arial" w:cs="Arial"/>
              </w:rPr>
            </w:pPr>
            <w:r w:rsidRPr="004C6119">
              <w:rPr>
                <w:rFonts w:ascii="Arial" w:hAnsi="Arial" w:cs="Arial"/>
              </w:rPr>
              <w:t>106 days</w:t>
            </w:r>
          </w:p>
        </w:tc>
        <w:tc>
          <w:tcPr>
            <w:tcW w:w="1417" w:type="dxa"/>
          </w:tcPr>
          <w:p w14:paraId="3AFB6147" w14:textId="3144AAA1" w:rsidR="00D4268A" w:rsidRPr="004C6119" w:rsidRDefault="00BD1578" w:rsidP="004C6119">
            <w:pPr>
              <w:spacing w:line="360" w:lineRule="auto"/>
              <w:rPr>
                <w:rFonts w:ascii="Arial" w:hAnsi="Arial" w:cs="Arial"/>
              </w:rPr>
            </w:pPr>
            <w:r w:rsidRPr="004C6119">
              <w:rPr>
                <w:rFonts w:ascii="Arial" w:hAnsi="Arial" w:cs="Arial"/>
              </w:rPr>
              <w:t>98 days</w:t>
            </w:r>
          </w:p>
        </w:tc>
        <w:tc>
          <w:tcPr>
            <w:tcW w:w="1559" w:type="dxa"/>
          </w:tcPr>
          <w:p w14:paraId="58CFB3BD" w14:textId="01987CE1" w:rsidR="00D4268A" w:rsidRPr="004C6119" w:rsidRDefault="00BD1578" w:rsidP="004C6119">
            <w:pPr>
              <w:spacing w:line="360" w:lineRule="auto"/>
              <w:rPr>
                <w:rFonts w:ascii="Arial" w:hAnsi="Arial" w:cs="Arial"/>
              </w:rPr>
            </w:pPr>
            <w:r w:rsidRPr="004C6119">
              <w:rPr>
                <w:rFonts w:ascii="Arial" w:hAnsi="Arial" w:cs="Arial"/>
              </w:rPr>
              <w:t>76 days</w:t>
            </w:r>
          </w:p>
        </w:tc>
        <w:tc>
          <w:tcPr>
            <w:tcW w:w="1418" w:type="dxa"/>
          </w:tcPr>
          <w:p w14:paraId="332F366C" w14:textId="7382A64C" w:rsidR="00D4268A" w:rsidRPr="004C6119" w:rsidRDefault="00BD1578" w:rsidP="004C6119">
            <w:pPr>
              <w:spacing w:line="360" w:lineRule="auto"/>
              <w:rPr>
                <w:rFonts w:ascii="Arial" w:hAnsi="Arial" w:cs="Arial"/>
              </w:rPr>
            </w:pPr>
            <w:r w:rsidRPr="004C6119">
              <w:rPr>
                <w:rFonts w:ascii="Arial" w:hAnsi="Arial" w:cs="Arial"/>
              </w:rPr>
              <w:t>78 days</w:t>
            </w:r>
          </w:p>
        </w:tc>
        <w:tc>
          <w:tcPr>
            <w:tcW w:w="1366" w:type="dxa"/>
          </w:tcPr>
          <w:p w14:paraId="3547A221" w14:textId="078F5A26" w:rsidR="00D4268A" w:rsidRPr="004C6119" w:rsidRDefault="00BD1578" w:rsidP="004C6119">
            <w:pPr>
              <w:spacing w:line="360" w:lineRule="auto"/>
              <w:rPr>
                <w:rFonts w:ascii="Arial" w:hAnsi="Arial" w:cs="Arial"/>
              </w:rPr>
            </w:pPr>
            <w:r w:rsidRPr="004C6119">
              <w:rPr>
                <w:rFonts w:ascii="Arial" w:hAnsi="Arial" w:cs="Arial"/>
              </w:rPr>
              <w:t>77 days</w:t>
            </w:r>
          </w:p>
        </w:tc>
      </w:tr>
      <w:tr w:rsidR="00D4268A" w14:paraId="7FBAA0B7" w14:textId="77777777" w:rsidTr="004C6119">
        <w:tc>
          <w:tcPr>
            <w:tcW w:w="1838" w:type="dxa"/>
          </w:tcPr>
          <w:p w14:paraId="29757502" w14:textId="770E1A3C" w:rsidR="00D4268A" w:rsidRPr="004C6119" w:rsidRDefault="00BD1578" w:rsidP="004C6119">
            <w:pPr>
              <w:spacing w:line="360" w:lineRule="auto"/>
              <w:rPr>
                <w:rFonts w:ascii="Arial" w:hAnsi="Arial" w:cs="Arial"/>
                <w:b/>
                <w:bCs/>
              </w:rPr>
            </w:pPr>
            <w:proofErr w:type="spellStart"/>
            <w:r w:rsidRPr="004C6119">
              <w:rPr>
                <w:rFonts w:ascii="Arial" w:hAnsi="Arial" w:cs="Arial"/>
                <w:b/>
                <w:bCs/>
              </w:rPr>
              <w:lastRenderedPageBreak/>
              <w:t>Paybale</w:t>
            </w:r>
            <w:proofErr w:type="spellEnd"/>
            <w:r w:rsidRPr="004C6119">
              <w:rPr>
                <w:rFonts w:ascii="Arial" w:hAnsi="Arial" w:cs="Arial"/>
                <w:b/>
                <w:bCs/>
              </w:rPr>
              <w:t xml:space="preserve"> turnover days</w:t>
            </w:r>
          </w:p>
        </w:tc>
        <w:tc>
          <w:tcPr>
            <w:tcW w:w="1418" w:type="dxa"/>
          </w:tcPr>
          <w:p w14:paraId="1A16A997" w14:textId="3D03F427" w:rsidR="00D4268A" w:rsidRPr="004C6119" w:rsidRDefault="004C6119" w:rsidP="004C6119">
            <w:pPr>
              <w:spacing w:line="360" w:lineRule="auto"/>
              <w:rPr>
                <w:rFonts w:ascii="Arial" w:hAnsi="Arial" w:cs="Arial"/>
              </w:rPr>
            </w:pPr>
            <w:r w:rsidRPr="004C6119">
              <w:rPr>
                <w:rFonts w:ascii="Arial" w:hAnsi="Arial" w:cs="Arial"/>
              </w:rPr>
              <w:t>94 days</w:t>
            </w:r>
          </w:p>
        </w:tc>
        <w:tc>
          <w:tcPr>
            <w:tcW w:w="1417" w:type="dxa"/>
          </w:tcPr>
          <w:p w14:paraId="7274D3DA" w14:textId="538D982C" w:rsidR="00D4268A" w:rsidRPr="004C6119" w:rsidRDefault="004C6119" w:rsidP="004C6119">
            <w:pPr>
              <w:spacing w:line="360" w:lineRule="auto"/>
              <w:rPr>
                <w:rFonts w:ascii="Arial" w:hAnsi="Arial" w:cs="Arial"/>
              </w:rPr>
            </w:pPr>
            <w:r w:rsidRPr="004C6119">
              <w:rPr>
                <w:rFonts w:ascii="Arial" w:hAnsi="Arial" w:cs="Arial"/>
              </w:rPr>
              <w:t>6</w:t>
            </w:r>
            <w:r>
              <w:rPr>
                <w:rFonts w:ascii="Arial" w:hAnsi="Arial" w:cs="Arial"/>
              </w:rPr>
              <w:t>5</w:t>
            </w:r>
            <w:r w:rsidRPr="004C6119">
              <w:rPr>
                <w:rFonts w:ascii="Arial" w:hAnsi="Arial" w:cs="Arial"/>
              </w:rPr>
              <w:t xml:space="preserve"> days</w:t>
            </w:r>
          </w:p>
        </w:tc>
        <w:tc>
          <w:tcPr>
            <w:tcW w:w="1559" w:type="dxa"/>
          </w:tcPr>
          <w:p w14:paraId="06F055C6" w14:textId="21BA7484" w:rsidR="00D4268A" w:rsidRPr="004C6119" w:rsidRDefault="004C6119" w:rsidP="004C6119">
            <w:pPr>
              <w:spacing w:line="360" w:lineRule="auto"/>
              <w:rPr>
                <w:rFonts w:ascii="Arial" w:hAnsi="Arial" w:cs="Arial"/>
              </w:rPr>
            </w:pPr>
            <w:r w:rsidRPr="004C6119">
              <w:rPr>
                <w:rFonts w:ascii="Arial" w:hAnsi="Arial" w:cs="Arial"/>
              </w:rPr>
              <w:t>67 days</w:t>
            </w:r>
          </w:p>
        </w:tc>
        <w:tc>
          <w:tcPr>
            <w:tcW w:w="1418" w:type="dxa"/>
          </w:tcPr>
          <w:p w14:paraId="4D173EE8" w14:textId="01DEE8DA" w:rsidR="00D4268A" w:rsidRPr="004C6119" w:rsidRDefault="004C6119" w:rsidP="004C6119">
            <w:pPr>
              <w:spacing w:line="360" w:lineRule="auto"/>
              <w:rPr>
                <w:rFonts w:ascii="Arial" w:hAnsi="Arial" w:cs="Arial"/>
              </w:rPr>
            </w:pPr>
            <w:r w:rsidRPr="004C6119">
              <w:rPr>
                <w:rFonts w:ascii="Arial" w:hAnsi="Arial" w:cs="Arial"/>
              </w:rPr>
              <w:t>79 days</w:t>
            </w:r>
          </w:p>
        </w:tc>
        <w:tc>
          <w:tcPr>
            <w:tcW w:w="1366" w:type="dxa"/>
          </w:tcPr>
          <w:p w14:paraId="0FD52A0B" w14:textId="1F055731" w:rsidR="00D4268A" w:rsidRPr="004C6119" w:rsidRDefault="004C6119" w:rsidP="004C6119">
            <w:pPr>
              <w:spacing w:line="360" w:lineRule="auto"/>
              <w:rPr>
                <w:rFonts w:ascii="Arial" w:hAnsi="Arial" w:cs="Arial"/>
              </w:rPr>
            </w:pPr>
            <w:r w:rsidRPr="004C6119">
              <w:rPr>
                <w:rFonts w:ascii="Arial" w:hAnsi="Arial" w:cs="Arial"/>
              </w:rPr>
              <w:t>69 days</w:t>
            </w:r>
          </w:p>
        </w:tc>
      </w:tr>
    </w:tbl>
    <w:p w14:paraId="08E3F293" w14:textId="2BDDAC4C" w:rsidR="00D4268A" w:rsidRDefault="00D4268A" w:rsidP="00D4268A"/>
    <w:p w14:paraId="7227B09B" w14:textId="136277C0" w:rsidR="00D4268A" w:rsidRPr="004C6119" w:rsidRDefault="004C6119" w:rsidP="004C6119">
      <w:pPr>
        <w:spacing w:line="360" w:lineRule="auto"/>
        <w:rPr>
          <w:rFonts w:ascii="Arial" w:hAnsi="Arial" w:cs="Arial"/>
        </w:rPr>
      </w:pPr>
      <w:r w:rsidRPr="004C6119">
        <w:rPr>
          <w:rFonts w:ascii="Arial" w:hAnsi="Arial" w:cs="Arial"/>
        </w:rPr>
        <w:t>Inventory and receivables turnover have slowed, indicating inefficiencies in stock and credit management. Payables days have increased, possibly reflecting delayed payments due to cash constraints.</w:t>
      </w:r>
      <w:r w:rsidR="00F14C2E" w:rsidRPr="00F14C2E">
        <w:t xml:space="preserve"> </w:t>
      </w:r>
      <w:r w:rsidR="00F14C2E" w:rsidRPr="00F14C2E">
        <w:rPr>
          <w:rFonts w:ascii="Arial" w:hAnsi="Arial" w:cs="Arial"/>
        </w:rPr>
        <w:t xml:space="preserve">(Mehta, Singh and Dipika, 2025; Mutua, </w:t>
      </w:r>
      <w:proofErr w:type="spellStart"/>
      <w:r w:rsidR="00F14C2E" w:rsidRPr="00F14C2E">
        <w:rPr>
          <w:rFonts w:ascii="Arial" w:hAnsi="Arial" w:cs="Arial"/>
        </w:rPr>
        <w:t>Omagwa</w:t>
      </w:r>
      <w:proofErr w:type="spellEnd"/>
      <w:r w:rsidR="00F14C2E" w:rsidRPr="00F14C2E">
        <w:rPr>
          <w:rFonts w:ascii="Arial" w:hAnsi="Arial" w:cs="Arial"/>
        </w:rPr>
        <w:t xml:space="preserve"> and </w:t>
      </w:r>
      <w:proofErr w:type="spellStart"/>
      <w:r w:rsidR="00F14C2E" w:rsidRPr="00F14C2E">
        <w:rPr>
          <w:rFonts w:ascii="Arial" w:hAnsi="Arial" w:cs="Arial"/>
        </w:rPr>
        <w:t>King’oo</w:t>
      </w:r>
      <w:proofErr w:type="spellEnd"/>
      <w:r w:rsidR="00F14C2E" w:rsidRPr="00F14C2E">
        <w:rPr>
          <w:rFonts w:ascii="Arial" w:hAnsi="Arial" w:cs="Arial"/>
        </w:rPr>
        <w:t>, 2023; Arnold, 2013)</w:t>
      </w:r>
      <w:r w:rsidR="00F14C2E">
        <w:rPr>
          <w:rFonts w:ascii="Arial" w:hAnsi="Arial" w:cs="Arial"/>
        </w:rPr>
        <w:t xml:space="preserve"> </w:t>
      </w:r>
      <w:r w:rsidRPr="004C6119">
        <w:rPr>
          <w:rFonts w:ascii="Arial" w:hAnsi="Arial" w:cs="Arial"/>
        </w:rPr>
        <w:t xml:space="preserve">These trends align with </w:t>
      </w:r>
      <w:proofErr w:type="spellStart"/>
      <w:r w:rsidRPr="004C6119">
        <w:rPr>
          <w:rFonts w:ascii="Arial" w:hAnsi="Arial" w:cs="Arial"/>
        </w:rPr>
        <w:t>Weetman’s</w:t>
      </w:r>
      <w:proofErr w:type="spellEnd"/>
      <w:r w:rsidRPr="004C6119">
        <w:rPr>
          <w:rFonts w:ascii="Arial" w:hAnsi="Arial" w:cs="Arial"/>
        </w:rPr>
        <w:t xml:space="preserve"> (2013) view that poor working capital management can signal operational weakness.</w:t>
      </w:r>
    </w:p>
    <w:p w14:paraId="12474012" w14:textId="542D5669" w:rsidR="00D4268A" w:rsidRDefault="004C6119" w:rsidP="004C6119">
      <w:pPr>
        <w:pStyle w:val="Heading2"/>
      </w:pPr>
      <w:bookmarkStart w:id="10" w:name="_Toc214656933"/>
      <w:r>
        <w:t>1.2.4 Gearing analysis</w:t>
      </w:r>
      <w:bookmarkEnd w:id="10"/>
    </w:p>
    <w:p w14:paraId="3826FF0F" w14:textId="77777777" w:rsidR="000D2DD2" w:rsidRPr="006163F4" w:rsidRDefault="000D2DD2" w:rsidP="006163F4">
      <w:pPr>
        <w:pStyle w:val="NormalWeb"/>
        <w:spacing w:line="360" w:lineRule="auto"/>
        <w:rPr>
          <w:rFonts w:ascii="Arial" w:hAnsi="Arial" w:cs="Arial"/>
        </w:rPr>
      </w:pPr>
      <w:r w:rsidRPr="006163F4">
        <w:rPr>
          <w:rFonts w:ascii="Arial" w:hAnsi="Arial" w:cs="Arial"/>
        </w:rPr>
        <w:t>Gearing ratios measure financial leverage and risk exposure. Brigham and Ehrhardt (2016) highlight that high gearing increases vulnerability to interest rate fluctuations and economic downturns.</w:t>
      </w:r>
    </w:p>
    <w:p w14:paraId="4B13BD56" w14:textId="3A317126" w:rsidR="000D2DD2" w:rsidRPr="006163F4" w:rsidRDefault="000D2DD2" w:rsidP="006163F4">
      <w:pPr>
        <w:pStyle w:val="NormalWeb"/>
        <w:spacing w:line="360" w:lineRule="auto"/>
        <w:rPr>
          <w:rFonts w:ascii="Arial" w:hAnsi="Arial" w:cs="Arial"/>
        </w:rPr>
      </w:pPr>
      <w:r w:rsidRPr="006163F4">
        <w:rPr>
          <w:rFonts w:ascii="Arial" w:hAnsi="Arial" w:cs="Arial"/>
        </w:rPr>
        <w:t xml:space="preserve">The </w:t>
      </w:r>
      <w:r w:rsidRPr="006163F4">
        <w:rPr>
          <w:rStyle w:val="Strong"/>
          <w:rFonts w:ascii="Arial" w:hAnsi="Arial" w:cs="Arial"/>
        </w:rPr>
        <w:t>debt-to-equity ratio</w:t>
      </w:r>
      <w:r w:rsidRPr="006163F4">
        <w:rPr>
          <w:rFonts w:ascii="Arial" w:hAnsi="Arial" w:cs="Arial"/>
        </w:rPr>
        <w:t xml:space="preserve"> calculated as total liabilities divided by shareholders equity.</w:t>
      </w:r>
    </w:p>
    <w:p w14:paraId="4F5372BE" w14:textId="15CE91E7" w:rsidR="000D2DD2" w:rsidRPr="006163F4" w:rsidRDefault="000D2DD2" w:rsidP="006163F4">
      <w:pPr>
        <w:pStyle w:val="NormalWeb"/>
        <w:spacing w:line="360" w:lineRule="auto"/>
        <w:rPr>
          <w:rFonts w:ascii="Arial" w:hAnsi="Arial" w:cs="Arial"/>
        </w:rPr>
      </w:pPr>
      <w:r w:rsidRPr="006163F4">
        <w:rPr>
          <w:rFonts w:ascii="Arial" w:hAnsi="Arial" w:cs="Arial"/>
        </w:rPr>
        <w:t xml:space="preserve">The </w:t>
      </w:r>
      <w:r w:rsidRPr="006163F4">
        <w:rPr>
          <w:rStyle w:val="Strong"/>
          <w:rFonts w:ascii="Arial" w:hAnsi="Arial" w:cs="Arial"/>
        </w:rPr>
        <w:t>interest cover ratio</w:t>
      </w:r>
      <w:r w:rsidRPr="006163F4">
        <w:rPr>
          <w:rFonts w:ascii="Arial" w:hAnsi="Arial" w:cs="Arial"/>
        </w:rPr>
        <w:t xml:space="preserve"> calculated as operating income divided by interest expense.</w:t>
      </w:r>
    </w:p>
    <w:tbl>
      <w:tblPr>
        <w:tblStyle w:val="TableGrid"/>
        <w:tblW w:w="0" w:type="auto"/>
        <w:tblLook w:val="04A0" w:firstRow="1" w:lastRow="0" w:firstColumn="1" w:lastColumn="0" w:noHBand="0" w:noVBand="1"/>
      </w:tblPr>
      <w:tblGrid>
        <w:gridCol w:w="2252"/>
        <w:gridCol w:w="1145"/>
        <w:gridCol w:w="1276"/>
        <w:gridCol w:w="1337"/>
        <w:gridCol w:w="1503"/>
        <w:gridCol w:w="1503"/>
      </w:tblGrid>
      <w:tr w:rsidR="000D2DD2" w14:paraId="24A7BB5E" w14:textId="77777777" w:rsidTr="009D3CD5">
        <w:tc>
          <w:tcPr>
            <w:tcW w:w="2252" w:type="dxa"/>
          </w:tcPr>
          <w:p w14:paraId="768D8F51" w14:textId="77777777" w:rsidR="000D2DD2" w:rsidRPr="006163F4" w:rsidRDefault="000D2DD2" w:rsidP="006163F4">
            <w:pPr>
              <w:pStyle w:val="NormalWeb"/>
              <w:spacing w:line="360" w:lineRule="auto"/>
              <w:rPr>
                <w:rFonts w:ascii="Arial" w:hAnsi="Arial" w:cs="Arial"/>
              </w:rPr>
            </w:pPr>
          </w:p>
        </w:tc>
        <w:tc>
          <w:tcPr>
            <w:tcW w:w="1145" w:type="dxa"/>
          </w:tcPr>
          <w:p w14:paraId="2FC01847" w14:textId="5066ACAB" w:rsidR="000D2DD2" w:rsidRPr="009D3CD5" w:rsidRDefault="000D2DD2" w:rsidP="006163F4">
            <w:pPr>
              <w:pStyle w:val="NormalWeb"/>
              <w:spacing w:line="360" w:lineRule="auto"/>
              <w:rPr>
                <w:rFonts w:ascii="Arial" w:hAnsi="Arial" w:cs="Arial"/>
                <w:b/>
                <w:bCs/>
              </w:rPr>
            </w:pPr>
            <w:r w:rsidRPr="009D3CD5">
              <w:rPr>
                <w:rFonts w:ascii="Arial" w:hAnsi="Arial" w:cs="Arial"/>
                <w:b/>
                <w:bCs/>
              </w:rPr>
              <w:t>2024</w:t>
            </w:r>
          </w:p>
        </w:tc>
        <w:tc>
          <w:tcPr>
            <w:tcW w:w="1276" w:type="dxa"/>
          </w:tcPr>
          <w:p w14:paraId="77702D63" w14:textId="0CC24289" w:rsidR="000D2DD2" w:rsidRPr="009D3CD5" w:rsidRDefault="000D2DD2" w:rsidP="006163F4">
            <w:pPr>
              <w:pStyle w:val="NormalWeb"/>
              <w:spacing w:line="360" w:lineRule="auto"/>
              <w:rPr>
                <w:rFonts w:ascii="Arial" w:hAnsi="Arial" w:cs="Arial"/>
                <w:b/>
                <w:bCs/>
              </w:rPr>
            </w:pPr>
            <w:r w:rsidRPr="009D3CD5">
              <w:rPr>
                <w:rFonts w:ascii="Arial" w:hAnsi="Arial" w:cs="Arial"/>
                <w:b/>
                <w:bCs/>
              </w:rPr>
              <w:t>2023</w:t>
            </w:r>
          </w:p>
        </w:tc>
        <w:tc>
          <w:tcPr>
            <w:tcW w:w="1337" w:type="dxa"/>
          </w:tcPr>
          <w:p w14:paraId="258A27C0" w14:textId="473012EB" w:rsidR="000D2DD2" w:rsidRPr="009D3CD5" w:rsidRDefault="000D2DD2" w:rsidP="006163F4">
            <w:pPr>
              <w:pStyle w:val="NormalWeb"/>
              <w:spacing w:line="360" w:lineRule="auto"/>
              <w:rPr>
                <w:rFonts w:ascii="Arial" w:hAnsi="Arial" w:cs="Arial"/>
                <w:b/>
                <w:bCs/>
              </w:rPr>
            </w:pPr>
            <w:r w:rsidRPr="009D3CD5">
              <w:rPr>
                <w:rFonts w:ascii="Arial" w:hAnsi="Arial" w:cs="Arial"/>
                <w:b/>
                <w:bCs/>
              </w:rPr>
              <w:t>2022</w:t>
            </w:r>
          </w:p>
        </w:tc>
        <w:tc>
          <w:tcPr>
            <w:tcW w:w="1503" w:type="dxa"/>
          </w:tcPr>
          <w:p w14:paraId="4023C319" w14:textId="69AC3CA6" w:rsidR="000D2DD2" w:rsidRPr="009D3CD5" w:rsidRDefault="000D2DD2" w:rsidP="006163F4">
            <w:pPr>
              <w:pStyle w:val="NormalWeb"/>
              <w:spacing w:line="360" w:lineRule="auto"/>
              <w:rPr>
                <w:rFonts w:ascii="Arial" w:hAnsi="Arial" w:cs="Arial"/>
                <w:b/>
                <w:bCs/>
              </w:rPr>
            </w:pPr>
            <w:r w:rsidRPr="009D3CD5">
              <w:rPr>
                <w:rFonts w:ascii="Arial" w:hAnsi="Arial" w:cs="Arial"/>
                <w:b/>
                <w:bCs/>
              </w:rPr>
              <w:t>2021</w:t>
            </w:r>
          </w:p>
        </w:tc>
        <w:tc>
          <w:tcPr>
            <w:tcW w:w="1503" w:type="dxa"/>
          </w:tcPr>
          <w:p w14:paraId="37006176" w14:textId="2EEF22F9" w:rsidR="000D2DD2" w:rsidRPr="009D3CD5" w:rsidRDefault="000D2DD2" w:rsidP="006163F4">
            <w:pPr>
              <w:pStyle w:val="NormalWeb"/>
              <w:spacing w:line="360" w:lineRule="auto"/>
              <w:rPr>
                <w:rFonts w:ascii="Arial" w:hAnsi="Arial" w:cs="Arial"/>
                <w:b/>
                <w:bCs/>
              </w:rPr>
            </w:pPr>
            <w:r w:rsidRPr="009D3CD5">
              <w:rPr>
                <w:rFonts w:ascii="Arial" w:hAnsi="Arial" w:cs="Arial"/>
                <w:b/>
                <w:bCs/>
              </w:rPr>
              <w:t>2020</w:t>
            </w:r>
          </w:p>
        </w:tc>
      </w:tr>
      <w:tr w:rsidR="000D2DD2" w14:paraId="02C308DF" w14:textId="77777777" w:rsidTr="009D3CD5">
        <w:tc>
          <w:tcPr>
            <w:tcW w:w="2252" w:type="dxa"/>
          </w:tcPr>
          <w:p w14:paraId="51CBD446" w14:textId="0456F7F4" w:rsidR="000D2DD2" w:rsidRPr="009D3CD5" w:rsidRDefault="000D2DD2" w:rsidP="006163F4">
            <w:pPr>
              <w:pStyle w:val="NormalWeb"/>
              <w:spacing w:line="360" w:lineRule="auto"/>
              <w:rPr>
                <w:rFonts w:ascii="Arial" w:hAnsi="Arial" w:cs="Arial"/>
                <w:b/>
                <w:bCs/>
              </w:rPr>
            </w:pPr>
            <w:r w:rsidRPr="009D3CD5">
              <w:rPr>
                <w:rFonts w:ascii="Arial" w:hAnsi="Arial" w:cs="Arial"/>
                <w:b/>
                <w:bCs/>
              </w:rPr>
              <w:t>Debt to equity ratio</w:t>
            </w:r>
          </w:p>
        </w:tc>
        <w:tc>
          <w:tcPr>
            <w:tcW w:w="1145" w:type="dxa"/>
          </w:tcPr>
          <w:p w14:paraId="139B5414" w14:textId="6CDDE2AB" w:rsidR="000D2DD2" w:rsidRPr="006163F4" w:rsidRDefault="001901BC" w:rsidP="006163F4">
            <w:pPr>
              <w:pStyle w:val="NormalWeb"/>
              <w:spacing w:line="360" w:lineRule="auto"/>
              <w:rPr>
                <w:rFonts w:ascii="Arial" w:hAnsi="Arial" w:cs="Arial"/>
              </w:rPr>
            </w:pPr>
            <w:r w:rsidRPr="006163F4">
              <w:rPr>
                <w:rFonts w:ascii="Arial" w:hAnsi="Arial" w:cs="Arial"/>
              </w:rPr>
              <w:t>1.11</w:t>
            </w:r>
          </w:p>
        </w:tc>
        <w:tc>
          <w:tcPr>
            <w:tcW w:w="1276" w:type="dxa"/>
          </w:tcPr>
          <w:p w14:paraId="48F54427" w14:textId="7AE7EBDB" w:rsidR="000D2DD2" w:rsidRPr="006163F4" w:rsidRDefault="006163F4" w:rsidP="006163F4">
            <w:pPr>
              <w:pStyle w:val="NormalWeb"/>
              <w:spacing w:line="360" w:lineRule="auto"/>
              <w:rPr>
                <w:rFonts w:ascii="Arial" w:hAnsi="Arial" w:cs="Arial"/>
              </w:rPr>
            </w:pPr>
            <w:r w:rsidRPr="006163F4">
              <w:rPr>
                <w:rFonts w:ascii="Arial" w:hAnsi="Arial" w:cs="Arial"/>
              </w:rPr>
              <w:t>0.99</w:t>
            </w:r>
          </w:p>
        </w:tc>
        <w:tc>
          <w:tcPr>
            <w:tcW w:w="1337" w:type="dxa"/>
          </w:tcPr>
          <w:p w14:paraId="0444718D" w14:textId="3CB1DE20" w:rsidR="000D2DD2" w:rsidRPr="006163F4" w:rsidRDefault="006163F4" w:rsidP="006163F4">
            <w:pPr>
              <w:pStyle w:val="NormalWeb"/>
              <w:spacing w:line="360" w:lineRule="auto"/>
              <w:rPr>
                <w:rFonts w:ascii="Arial" w:hAnsi="Arial" w:cs="Arial"/>
              </w:rPr>
            </w:pPr>
            <w:r w:rsidRPr="006163F4">
              <w:rPr>
                <w:rFonts w:ascii="Arial" w:hAnsi="Arial" w:cs="Arial"/>
              </w:rPr>
              <w:t>0.88</w:t>
            </w:r>
          </w:p>
        </w:tc>
        <w:tc>
          <w:tcPr>
            <w:tcW w:w="1503" w:type="dxa"/>
          </w:tcPr>
          <w:p w14:paraId="50C4D87B" w14:textId="2F0572D9" w:rsidR="000D2DD2" w:rsidRPr="006163F4" w:rsidRDefault="006163F4" w:rsidP="006163F4">
            <w:pPr>
              <w:pStyle w:val="NormalWeb"/>
              <w:spacing w:line="360" w:lineRule="auto"/>
              <w:rPr>
                <w:rFonts w:ascii="Arial" w:hAnsi="Arial" w:cs="Arial"/>
              </w:rPr>
            </w:pPr>
            <w:r w:rsidRPr="006163F4">
              <w:rPr>
                <w:rFonts w:ascii="Arial" w:hAnsi="Arial" w:cs="Arial"/>
              </w:rPr>
              <w:t>0.79</w:t>
            </w:r>
          </w:p>
        </w:tc>
        <w:tc>
          <w:tcPr>
            <w:tcW w:w="1503" w:type="dxa"/>
          </w:tcPr>
          <w:p w14:paraId="2AB1D19C" w14:textId="2E4BEE1D" w:rsidR="000D2DD2" w:rsidRPr="006163F4" w:rsidRDefault="006163F4" w:rsidP="006163F4">
            <w:pPr>
              <w:pStyle w:val="NormalWeb"/>
              <w:spacing w:line="360" w:lineRule="auto"/>
              <w:rPr>
                <w:rFonts w:ascii="Arial" w:hAnsi="Arial" w:cs="Arial"/>
              </w:rPr>
            </w:pPr>
            <w:r w:rsidRPr="006163F4">
              <w:rPr>
                <w:rFonts w:ascii="Arial" w:hAnsi="Arial" w:cs="Arial"/>
              </w:rPr>
              <w:t>0.63</w:t>
            </w:r>
          </w:p>
        </w:tc>
      </w:tr>
      <w:tr w:rsidR="000D2DD2" w14:paraId="1713795E" w14:textId="77777777" w:rsidTr="009D3CD5">
        <w:tc>
          <w:tcPr>
            <w:tcW w:w="2252" w:type="dxa"/>
          </w:tcPr>
          <w:p w14:paraId="0F37F329" w14:textId="64A99062" w:rsidR="000D2DD2" w:rsidRPr="009D3CD5" w:rsidRDefault="006163F4" w:rsidP="006163F4">
            <w:pPr>
              <w:pStyle w:val="NormalWeb"/>
              <w:spacing w:line="360" w:lineRule="auto"/>
              <w:rPr>
                <w:rFonts w:ascii="Arial" w:hAnsi="Arial" w:cs="Arial"/>
                <w:b/>
                <w:bCs/>
              </w:rPr>
            </w:pPr>
            <w:r w:rsidRPr="009D3CD5">
              <w:rPr>
                <w:rFonts w:ascii="Arial" w:hAnsi="Arial" w:cs="Arial"/>
                <w:b/>
                <w:bCs/>
              </w:rPr>
              <w:t>Interest cover ratio</w:t>
            </w:r>
          </w:p>
        </w:tc>
        <w:tc>
          <w:tcPr>
            <w:tcW w:w="1145" w:type="dxa"/>
          </w:tcPr>
          <w:p w14:paraId="70781C73" w14:textId="27D33DA4" w:rsidR="000D2DD2" w:rsidRPr="006163F4" w:rsidRDefault="006163F4" w:rsidP="006163F4">
            <w:pPr>
              <w:pStyle w:val="NormalWeb"/>
              <w:spacing w:line="360" w:lineRule="auto"/>
              <w:rPr>
                <w:rFonts w:ascii="Arial" w:hAnsi="Arial" w:cs="Arial"/>
              </w:rPr>
            </w:pPr>
            <w:r w:rsidRPr="006163F4">
              <w:rPr>
                <w:rFonts w:ascii="Arial" w:hAnsi="Arial" w:cs="Arial"/>
              </w:rPr>
              <w:t>-4.55</w:t>
            </w:r>
          </w:p>
        </w:tc>
        <w:tc>
          <w:tcPr>
            <w:tcW w:w="1276" w:type="dxa"/>
          </w:tcPr>
          <w:p w14:paraId="4AE84D3B" w14:textId="0A7AE5EC" w:rsidR="000D2DD2" w:rsidRPr="006163F4" w:rsidRDefault="006163F4" w:rsidP="006163F4">
            <w:pPr>
              <w:pStyle w:val="NormalWeb"/>
              <w:spacing w:line="360" w:lineRule="auto"/>
              <w:rPr>
                <w:rFonts w:ascii="Arial" w:hAnsi="Arial" w:cs="Arial"/>
              </w:rPr>
            </w:pPr>
            <w:r w:rsidRPr="006163F4">
              <w:rPr>
                <w:rFonts w:ascii="Arial" w:hAnsi="Arial" w:cs="Arial"/>
              </w:rPr>
              <w:t>-19.69</w:t>
            </w:r>
          </w:p>
        </w:tc>
        <w:tc>
          <w:tcPr>
            <w:tcW w:w="1337" w:type="dxa"/>
          </w:tcPr>
          <w:p w14:paraId="4CE7A82D" w14:textId="00DDC547" w:rsidR="000D2DD2" w:rsidRPr="006163F4" w:rsidRDefault="006163F4" w:rsidP="006163F4">
            <w:pPr>
              <w:pStyle w:val="NormalWeb"/>
              <w:spacing w:line="360" w:lineRule="auto"/>
              <w:rPr>
                <w:rFonts w:ascii="Arial" w:hAnsi="Arial" w:cs="Arial"/>
              </w:rPr>
            </w:pPr>
            <w:r w:rsidRPr="006163F4">
              <w:rPr>
                <w:rFonts w:ascii="Arial" w:hAnsi="Arial" w:cs="Arial"/>
              </w:rPr>
              <w:t>6.61</w:t>
            </w:r>
          </w:p>
        </w:tc>
        <w:tc>
          <w:tcPr>
            <w:tcW w:w="1503" w:type="dxa"/>
          </w:tcPr>
          <w:p w14:paraId="6E2B94B8" w14:textId="005EF80E" w:rsidR="000D2DD2" w:rsidRPr="006163F4" w:rsidRDefault="006163F4" w:rsidP="006163F4">
            <w:pPr>
              <w:pStyle w:val="NormalWeb"/>
              <w:spacing w:line="360" w:lineRule="auto"/>
              <w:rPr>
                <w:rFonts w:ascii="Arial" w:hAnsi="Arial" w:cs="Arial"/>
              </w:rPr>
            </w:pPr>
            <w:r w:rsidRPr="006163F4">
              <w:rPr>
                <w:rFonts w:ascii="Arial" w:hAnsi="Arial" w:cs="Arial"/>
              </w:rPr>
              <w:t>41.08</w:t>
            </w:r>
          </w:p>
        </w:tc>
        <w:tc>
          <w:tcPr>
            <w:tcW w:w="1503" w:type="dxa"/>
          </w:tcPr>
          <w:p w14:paraId="18F556E6" w14:textId="16F5D672" w:rsidR="000D2DD2" w:rsidRPr="006163F4" w:rsidRDefault="006163F4" w:rsidP="006163F4">
            <w:pPr>
              <w:pStyle w:val="NormalWeb"/>
              <w:spacing w:line="360" w:lineRule="auto"/>
              <w:rPr>
                <w:rFonts w:ascii="Arial" w:hAnsi="Arial" w:cs="Arial"/>
              </w:rPr>
            </w:pPr>
            <w:r w:rsidRPr="006163F4">
              <w:rPr>
                <w:rFonts w:ascii="Arial" w:hAnsi="Arial" w:cs="Arial"/>
              </w:rPr>
              <w:t>26.21</w:t>
            </w:r>
          </w:p>
        </w:tc>
      </w:tr>
    </w:tbl>
    <w:p w14:paraId="147FE073" w14:textId="712D0600" w:rsidR="004C6119" w:rsidRPr="006163F4" w:rsidRDefault="006163F4" w:rsidP="006163F4">
      <w:pPr>
        <w:pStyle w:val="NormalWeb"/>
        <w:spacing w:line="360" w:lineRule="auto"/>
        <w:rPr>
          <w:rFonts w:ascii="Arial" w:hAnsi="Arial" w:cs="Arial"/>
        </w:rPr>
      </w:pPr>
      <w:r w:rsidRPr="006163F4">
        <w:rPr>
          <w:rFonts w:ascii="Arial" w:hAnsi="Arial" w:cs="Arial"/>
        </w:rPr>
        <w:t xml:space="preserve">A ratio above 1 indicates that the company is more heavily financed by debt than equity, which increases financial risk. According to Brigham and Ehrhardt (2016), high gearing can amplify returns during profitable periods but also exposes the firm to greater risk during downturns. </w:t>
      </w:r>
      <w:proofErr w:type="spellStart"/>
      <w:r w:rsidRPr="006163F4">
        <w:rPr>
          <w:rFonts w:ascii="Arial" w:hAnsi="Arial" w:cs="Arial"/>
        </w:rPr>
        <w:t>Weetman</w:t>
      </w:r>
      <w:proofErr w:type="spellEnd"/>
      <w:r w:rsidRPr="006163F4">
        <w:rPr>
          <w:rFonts w:ascii="Arial" w:hAnsi="Arial" w:cs="Arial"/>
        </w:rPr>
        <w:t xml:space="preserve"> (2013) adds that sustained high gearing may limit flexibility and investor confidence.</w:t>
      </w:r>
    </w:p>
    <w:p w14:paraId="4CD8C0ED" w14:textId="481F91ED" w:rsidR="00461EEC" w:rsidRDefault="00461EEC" w:rsidP="00461EEC">
      <w:pPr>
        <w:pStyle w:val="Heading3"/>
      </w:pPr>
      <w:bookmarkStart w:id="11" w:name="_Toc214656934"/>
      <w:r>
        <w:t>1.2.</w:t>
      </w:r>
      <w:r w:rsidR="009D3CD5">
        <w:t>5</w:t>
      </w:r>
      <w:r>
        <w:t>Investment ratios</w:t>
      </w:r>
      <w:bookmarkEnd w:id="11"/>
    </w:p>
    <w:p w14:paraId="558BFF11" w14:textId="51CACF24" w:rsidR="009D3CD5" w:rsidRDefault="009D3CD5" w:rsidP="009D3CD5">
      <w:pPr>
        <w:pStyle w:val="NormalWeb"/>
        <w:spacing w:line="360" w:lineRule="auto"/>
        <w:rPr>
          <w:rFonts w:ascii="Arial" w:hAnsi="Arial" w:cs="Arial"/>
        </w:rPr>
      </w:pPr>
      <w:r w:rsidRPr="009D3CD5">
        <w:rPr>
          <w:rFonts w:ascii="Arial" w:hAnsi="Arial" w:cs="Arial"/>
        </w:rPr>
        <w:t>Investment ratios reflect shareholder value and market performance. According to Atrill and McLaney (2022), these ratios are essential for evaluating investor returns and market sentiment.</w:t>
      </w: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9D3CD5" w14:paraId="65F43911" w14:textId="77777777" w:rsidTr="009D3CD5">
        <w:tc>
          <w:tcPr>
            <w:tcW w:w="1502" w:type="dxa"/>
          </w:tcPr>
          <w:p w14:paraId="5641077B" w14:textId="77777777" w:rsidR="009D3CD5" w:rsidRDefault="009D3CD5" w:rsidP="009D3CD5">
            <w:pPr>
              <w:pStyle w:val="NormalWeb"/>
              <w:spacing w:line="360" w:lineRule="auto"/>
              <w:rPr>
                <w:rFonts w:ascii="Arial" w:hAnsi="Arial" w:cs="Arial"/>
              </w:rPr>
            </w:pPr>
          </w:p>
        </w:tc>
        <w:tc>
          <w:tcPr>
            <w:tcW w:w="1502" w:type="dxa"/>
          </w:tcPr>
          <w:p w14:paraId="17C8CB82" w14:textId="2BE33867" w:rsidR="009D3CD5" w:rsidRPr="009D3CD5" w:rsidRDefault="009D3CD5" w:rsidP="009D3CD5">
            <w:pPr>
              <w:pStyle w:val="NormalWeb"/>
              <w:spacing w:line="360" w:lineRule="auto"/>
              <w:rPr>
                <w:rFonts w:ascii="Arial" w:hAnsi="Arial" w:cs="Arial"/>
                <w:b/>
                <w:bCs/>
              </w:rPr>
            </w:pPr>
            <w:r w:rsidRPr="009D3CD5">
              <w:rPr>
                <w:rFonts w:ascii="Arial" w:hAnsi="Arial" w:cs="Arial"/>
                <w:b/>
                <w:bCs/>
              </w:rPr>
              <w:t>2024</w:t>
            </w:r>
          </w:p>
        </w:tc>
        <w:tc>
          <w:tcPr>
            <w:tcW w:w="1503" w:type="dxa"/>
          </w:tcPr>
          <w:p w14:paraId="0D33FB31" w14:textId="1F9D9A4C" w:rsidR="009D3CD5" w:rsidRPr="009D3CD5" w:rsidRDefault="009D3CD5" w:rsidP="009D3CD5">
            <w:pPr>
              <w:pStyle w:val="NormalWeb"/>
              <w:spacing w:line="360" w:lineRule="auto"/>
              <w:rPr>
                <w:rFonts w:ascii="Arial" w:hAnsi="Arial" w:cs="Arial"/>
                <w:b/>
                <w:bCs/>
              </w:rPr>
            </w:pPr>
            <w:r w:rsidRPr="009D3CD5">
              <w:rPr>
                <w:rFonts w:ascii="Arial" w:hAnsi="Arial" w:cs="Arial"/>
                <w:b/>
                <w:bCs/>
              </w:rPr>
              <w:t>2023</w:t>
            </w:r>
          </w:p>
        </w:tc>
        <w:tc>
          <w:tcPr>
            <w:tcW w:w="1503" w:type="dxa"/>
          </w:tcPr>
          <w:p w14:paraId="1E384CC9" w14:textId="1F95B6C8" w:rsidR="009D3CD5" w:rsidRPr="009D3CD5" w:rsidRDefault="009D3CD5" w:rsidP="009D3CD5">
            <w:pPr>
              <w:pStyle w:val="NormalWeb"/>
              <w:spacing w:line="360" w:lineRule="auto"/>
              <w:rPr>
                <w:rFonts w:ascii="Arial" w:hAnsi="Arial" w:cs="Arial"/>
                <w:b/>
                <w:bCs/>
              </w:rPr>
            </w:pPr>
            <w:r w:rsidRPr="009D3CD5">
              <w:rPr>
                <w:rFonts w:ascii="Arial" w:hAnsi="Arial" w:cs="Arial"/>
                <w:b/>
                <w:bCs/>
              </w:rPr>
              <w:t>2022</w:t>
            </w:r>
          </w:p>
        </w:tc>
        <w:tc>
          <w:tcPr>
            <w:tcW w:w="1503" w:type="dxa"/>
          </w:tcPr>
          <w:p w14:paraId="70E68785" w14:textId="758CD51F" w:rsidR="009D3CD5" w:rsidRPr="009D3CD5" w:rsidRDefault="009D3CD5" w:rsidP="009D3CD5">
            <w:pPr>
              <w:pStyle w:val="NormalWeb"/>
              <w:spacing w:line="360" w:lineRule="auto"/>
              <w:rPr>
                <w:rFonts w:ascii="Arial" w:hAnsi="Arial" w:cs="Arial"/>
                <w:b/>
                <w:bCs/>
              </w:rPr>
            </w:pPr>
            <w:r w:rsidRPr="009D3CD5">
              <w:rPr>
                <w:rFonts w:ascii="Arial" w:hAnsi="Arial" w:cs="Arial"/>
                <w:b/>
                <w:bCs/>
              </w:rPr>
              <w:t>2021</w:t>
            </w:r>
          </w:p>
        </w:tc>
        <w:tc>
          <w:tcPr>
            <w:tcW w:w="1503" w:type="dxa"/>
          </w:tcPr>
          <w:p w14:paraId="56E9E49D" w14:textId="3C1C32A7" w:rsidR="009D3CD5" w:rsidRPr="009D3CD5" w:rsidRDefault="009D3CD5" w:rsidP="009D3CD5">
            <w:pPr>
              <w:pStyle w:val="NormalWeb"/>
              <w:spacing w:line="360" w:lineRule="auto"/>
              <w:rPr>
                <w:rFonts w:ascii="Arial" w:hAnsi="Arial" w:cs="Arial"/>
                <w:b/>
                <w:bCs/>
              </w:rPr>
            </w:pPr>
            <w:r w:rsidRPr="009D3CD5">
              <w:rPr>
                <w:rFonts w:ascii="Arial" w:hAnsi="Arial" w:cs="Arial"/>
                <w:b/>
                <w:bCs/>
              </w:rPr>
              <w:t>2020</w:t>
            </w:r>
          </w:p>
        </w:tc>
      </w:tr>
      <w:tr w:rsidR="009D3CD5" w14:paraId="4EB77779" w14:textId="77777777" w:rsidTr="009D3CD5">
        <w:tc>
          <w:tcPr>
            <w:tcW w:w="1502" w:type="dxa"/>
          </w:tcPr>
          <w:p w14:paraId="653E3FCD" w14:textId="520463CF" w:rsidR="009D3CD5" w:rsidRPr="009D3CD5" w:rsidRDefault="009D3CD5" w:rsidP="009D3CD5">
            <w:pPr>
              <w:pStyle w:val="NormalWeb"/>
              <w:spacing w:line="360" w:lineRule="auto"/>
              <w:rPr>
                <w:rFonts w:ascii="Arial" w:hAnsi="Arial" w:cs="Arial"/>
                <w:b/>
                <w:bCs/>
              </w:rPr>
            </w:pPr>
            <w:r w:rsidRPr="009D3CD5">
              <w:rPr>
                <w:rFonts w:ascii="Arial" w:hAnsi="Arial" w:cs="Arial"/>
                <w:b/>
                <w:bCs/>
              </w:rPr>
              <w:t>Earnings per share</w:t>
            </w:r>
          </w:p>
        </w:tc>
        <w:tc>
          <w:tcPr>
            <w:tcW w:w="1502" w:type="dxa"/>
          </w:tcPr>
          <w:p w14:paraId="20229AA1" w14:textId="1B071C1B" w:rsidR="009D3CD5" w:rsidRDefault="009D3CD5" w:rsidP="009D3CD5">
            <w:pPr>
              <w:pStyle w:val="NormalWeb"/>
              <w:spacing w:line="360" w:lineRule="auto"/>
              <w:rPr>
                <w:rFonts w:ascii="Arial" w:hAnsi="Arial" w:cs="Arial"/>
              </w:rPr>
            </w:pPr>
            <w:r>
              <w:rPr>
                <w:rFonts w:ascii="Arial" w:hAnsi="Arial" w:cs="Arial"/>
              </w:rPr>
              <w:t>-1.85</w:t>
            </w:r>
          </w:p>
        </w:tc>
        <w:tc>
          <w:tcPr>
            <w:tcW w:w="1503" w:type="dxa"/>
          </w:tcPr>
          <w:p w14:paraId="6A92CF54" w14:textId="58B784DF" w:rsidR="009D3CD5" w:rsidRDefault="009D3CD5" w:rsidP="009D3CD5">
            <w:pPr>
              <w:pStyle w:val="NormalWeb"/>
              <w:spacing w:line="360" w:lineRule="auto"/>
              <w:rPr>
                <w:rFonts w:ascii="Arial" w:hAnsi="Arial" w:cs="Arial"/>
              </w:rPr>
            </w:pPr>
            <w:r>
              <w:rPr>
                <w:rFonts w:ascii="Arial" w:hAnsi="Arial" w:cs="Arial"/>
              </w:rPr>
              <w:t>-7.64</w:t>
            </w:r>
          </w:p>
        </w:tc>
        <w:tc>
          <w:tcPr>
            <w:tcW w:w="1503" w:type="dxa"/>
          </w:tcPr>
          <w:p w14:paraId="1D28B63D" w14:textId="08AAC461" w:rsidR="009D3CD5" w:rsidRDefault="009D3CD5" w:rsidP="009D3CD5">
            <w:pPr>
              <w:pStyle w:val="NormalWeb"/>
              <w:spacing w:line="360" w:lineRule="auto"/>
              <w:rPr>
                <w:rFonts w:ascii="Arial" w:hAnsi="Arial" w:cs="Arial"/>
              </w:rPr>
            </w:pPr>
            <w:r>
              <w:rPr>
                <w:rFonts w:ascii="Arial" w:hAnsi="Arial" w:cs="Arial"/>
              </w:rPr>
              <w:t>0.03</w:t>
            </w:r>
          </w:p>
        </w:tc>
        <w:tc>
          <w:tcPr>
            <w:tcW w:w="1503" w:type="dxa"/>
          </w:tcPr>
          <w:p w14:paraId="3DE40B24" w14:textId="29C30056" w:rsidR="009D3CD5" w:rsidRDefault="009D3CD5" w:rsidP="009D3CD5">
            <w:pPr>
              <w:pStyle w:val="NormalWeb"/>
              <w:spacing w:line="360" w:lineRule="auto"/>
              <w:rPr>
                <w:rFonts w:ascii="Arial" w:hAnsi="Arial" w:cs="Arial"/>
              </w:rPr>
            </w:pPr>
            <w:r>
              <w:rPr>
                <w:rFonts w:ascii="Arial" w:hAnsi="Arial" w:cs="Arial"/>
              </w:rPr>
              <w:t>0.39</w:t>
            </w:r>
          </w:p>
        </w:tc>
        <w:tc>
          <w:tcPr>
            <w:tcW w:w="1503" w:type="dxa"/>
          </w:tcPr>
          <w:p w14:paraId="708C3AC4" w14:textId="579C04CE" w:rsidR="009D3CD5" w:rsidRDefault="009D3CD5" w:rsidP="009D3CD5">
            <w:pPr>
              <w:pStyle w:val="NormalWeb"/>
              <w:spacing w:line="360" w:lineRule="auto"/>
              <w:rPr>
                <w:rFonts w:ascii="Arial" w:hAnsi="Arial" w:cs="Arial"/>
              </w:rPr>
            </w:pPr>
            <w:r>
              <w:rPr>
                <w:rFonts w:ascii="Arial" w:hAnsi="Arial" w:cs="Arial"/>
              </w:rPr>
              <w:t>2.72</w:t>
            </w:r>
          </w:p>
        </w:tc>
      </w:tr>
    </w:tbl>
    <w:p w14:paraId="64BA539A" w14:textId="77777777" w:rsidR="009D3CD5" w:rsidRPr="009D3CD5" w:rsidRDefault="009D3CD5" w:rsidP="009D3CD5">
      <w:pPr>
        <w:pStyle w:val="NormalWeb"/>
        <w:spacing w:line="360" w:lineRule="auto"/>
        <w:rPr>
          <w:rFonts w:ascii="Arial" w:hAnsi="Arial" w:cs="Arial"/>
        </w:rPr>
      </w:pPr>
      <w:r w:rsidRPr="009D3CD5">
        <w:rPr>
          <w:rFonts w:ascii="Arial" w:hAnsi="Arial" w:cs="Arial"/>
        </w:rPr>
        <w:t xml:space="preserve">The </w:t>
      </w:r>
      <w:r w:rsidRPr="009D3CD5">
        <w:rPr>
          <w:rStyle w:val="Strong"/>
          <w:rFonts w:ascii="Arial" w:hAnsi="Arial" w:cs="Arial"/>
        </w:rPr>
        <w:t>earnings per share (EPS)</w:t>
      </w:r>
      <w:r w:rsidRPr="009D3CD5">
        <w:rPr>
          <w:rFonts w:ascii="Arial" w:hAnsi="Arial" w:cs="Arial"/>
        </w:rPr>
        <w:t>, calculated as net income divided by the number of ordinary shares, was -£1.85 in 2024. This continues the negative trend from 2023 (-£7.64), indicating erosion of shareholder value.</w:t>
      </w:r>
    </w:p>
    <w:p w14:paraId="5B262E2F" w14:textId="14983BF0" w:rsidR="009D3CD5" w:rsidRDefault="009D3CD5" w:rsidP="009D3CD5">
      <w:pPr>
        <w:pStyle w:val="NormalWeb"/>
        <w:spacing w:line="360" w:lineRule="auto"/>
        <w:rPr>
          <w:rFonts w:ascii="Arial" w:hAnsi="Arial" w:cs="Arial"/>
        </w:rPr>
      </w:pPr>
      <w:r w:rsidRPr="009D3CD5">
        <w:rPr>
          <w:rFonts w:ascii="Arial" w:hAnsi="Arial" w:cs="Arial"/>
        </w:rPr>
        <w:t xml:space="preserve">The </w:t>
      </w:r>
      <w:r w:rsidRPr="009D3CD5">
        <w:rPr>
          <w:rStyle w:val="Strong"/>
          <w:rFonts w:ascii="Arial" w:hAnsi="Arial" w:cs="Arial"/>
        </w:rPr>
        <w:t>price/earnings (P/E) ratio</w:t>
      </w:r>
      <w:r w:rsidRPr="009D3CD5">
        <w:rPr>
          <w:rFonts w:ascii="Arial" w:hAnsi="Arial" w:cs="Arial"/>
        </w:rPr>
        <w:t xml:space="preserve"> is not meaningful due to negative earnings. As noted by Wild, Subramanyam and Halsey (2014), a negative EPS renders the P/E ratio unusable for valuation purposes.</w:t>
      </w:r>
    </w:p>
    <w:p w14:paraId="2F401BFD" w14:textId="463916C5" w:rsidR="00B45EEB" w:rsidRDefault="00B45EEB" w:rsidP="00B45EEB">
      <w:pPr>
        <w:pStyle w:val="Heading2"/>
      </w:pPr>
      <w:bookmarkStart w:id="12" w:name="_Toc214656935"/>
      <w:r>
        <w:t>1.2.6 Trends, strengths and threats</w:t>
      </w:r>
      <w:bookmarkEnd w:id="12"/>
    </w:p>
    <w:p w14:paraId="172B6FB1" w14:textId="786890E5" w:rsidR="00B45EEB" w:rsidRDefault="00B45EEB" w:rsidP="00B45EEB"/>
    <w:p w14:paraId="74078F36" w14:textId="011CEC7B" w:rsidR="00B45EEB" w:rsidRDefault="00B45EEB" w:rsidP="00B45EEB"/>
    <w:p w14:paraId="4DA8E3B4" w14:textId="799056B6" w:rsidR="003F63D1" w:rsidRDefault="003F63D1" w:rsidP="00B45EEB">
      <w:r>
        <w:rPr>
          <w:noProof/>
        </w:rPr>
        <w:drawing>
          <wp:inline distT="0" distB="0" distL="0" distR="0" wp14:anchorId="315B7842" wp14:editId="06160787">
            <wp:extent cx="5789691" cy="2181885"/>
            <wp:effectExtent l="0" t="0" r="1905" b="8890"/>
            <wp:docPr id="3" name="Chart 3">
              <a:extLst xmlns:a="http://schemas.openxmlformats.org/drawingml/2006/main">
                <a:ext uri="{FF2B5EF4-FFF2-40B4-BE49-F238E27FC236}">
                  <a16:creationId xmlns:a16="http://schemas.microsoft.com/office/drawing/2014/main" id="{F9768202-A661-4638-8FA0-B0668FEA2045}"/>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9"/>
              </a:graphicData>
            </a:graphic>
          </wp:inline>
        </w:drawing>
      </w:r>
    </w:p>
    <w:p w14:paraId="6960E770" w14:textId="459B959E" w:rsidR="003F63D1" w:rsidRDefault="003F63D1" w:rsidP="00B45EEB"/>
    <w:p w14:paraId="0E0EDE4C" w14:textId="77777777" w:rsidR="003F63D1" w:rsidRDefault="003F63D1" w:rsidP="003F63D1">
      <w:pPr>
        <w:pStyle w:val="NormalWeb"/>
        <w:spacing w:line="360" w:lineRule="auto"/>
        <w:rPr>
          <w:rFonts w:ascii="Arial" w:hAnsi="Arial" w:cs="Arial"/>
        </w:rPr>
      </w:pPr>
      <w:r w:rsidRPr="003F63D1">
        <w:rPr>
          <w:rStyle w:val="Strong"/>
          <w:rFonts w:ascii="Arial" w:hAnsi="Arial" w:cs="Arial"/>
        </w:rPr>
        <w:t>Profitability ratios</w:t>
      </w:r>
      <w:r w:rsidRPr="003F63D1">
        <w:rPr>
          <w:rFonts w:ascii="Arial" w:hAnsi="Arial" w:cs="Arial"/>
        </w:rPr>
        <w:t xml:space="preserve"> (Net Margin, ROA) show steep declines in 2023–2024 → clear threat.</w:t>
      </w:r>
    </w:p>
    <w:p w14:paraId="5DDD6BC3" w14:textId="50920D23" w:rsidR="003F63D1" w:rsidRPr="003F63D1" w:rsidRDefault="003F63D1" w:rsidP="003F63D1">
      <w:pPr>
        <w:pStyle w:val="NormalWeb"/>
        <w:spacing w:line="360" w:lineRule="auto"/>
        <w:rPr>
          <w:rFonts w:ascii="Arial" w:hAnsi="Arial" w:cs="Arial"/>
        </w:rPr>
      </w:pPr>
      <w:r w:rsidRPr="003F63D1">
        <w:rPr>
          <w:rStyle w:val="Strong"/>
          <w:rFonts w:ascii="Arial" w:hAnsi="Arial" w:cs="Arial"/>
        </w:rPr>
        <w:t>Liquidity ratios</w:t>
      </w:r>
      <w:r w:rsidRPr="003F63D1">
        <w:rPr>
          <w:rFonts w:ascii="Arial" w:hAnsi="Arial" w:cs="Arial"/>
        </w:rPr>
        <w:t xml:space="preserve"> (Cash Ratio) trend downward → liquidity risk.</w:t>
      </w:r>
    </w:p>
    <w:p w14:paraId="6C6B8022" w14:textId="77777777" w:rsidR="003F63D1" w:rsidRDefault="003F63D1" w:rsidP="003F63D1">
      <w:pPr>
        <w:pStyle w:val="NormalWeb"/>
        <w:spacing w:line="360" w:lineRule="auto"/>
        <w:rPr>
          <w:rFonts w:ascii="Arial" w:hAnsi="Arial" w:cs="Arial"/>
        </w:rPr>
      </w:pPr>
      <w:r w:rsidRPr="003F63D1">
        <w:rPr>
          <w:rStyle w:val="Strong"/>
          <w:rFonts w:ascii="Arial" w:hAnsi="Arial" w:cs="Arial"/>
        </w:rPr>
        <w:t>Efficiency ratios</w:t>
      </w:r>
      <w:r w:rsidRPr="003F63D1">
        <w:rPr>
          <w:rFonts w:ascii="Arial" w:hAnsi="Arial" w:cs="Arial"/>
        </w:rPr>
        <w:t xml:space="preserve"> (Receivable Days, Inventory Days) lengthen → operational inefficiency.</w:t>
      </w:r>
    </w:p>
    <w:p w14:paraId="2B4780C8" w14:textId="680892B6" w:rsidR="00D605B9" w:rsidRPr="00D605B9" w:rsidRDefault="003F63D1" w:rsidP="00D605B9">
      <w:pPr>
        <w:pStyle w:val="NormalWeb"/>
        <w:spacing w:line="360" w:lineRule="auto"/>
        <w:rPr>
          <w:rFonts w:ascii="Arial" w:hAnsi="Arial" w:cs="Arial"/>
        </w:rPr>
      </w:pPr>
      <w:r w:rsidRPr="003F63D1">
        <w:rPr>
          <w:rStyle w:val="Strong"/>
          <w:rFonts w:ascii="Arial" w:hAnsi="Arial" w:cs="Arial"/>
        </w:rPr>
        <w:t>Strengths</w:t>
      </w:r>
      <w:r w:rsidRPr="003F63D1">
        <w:rPr>
          <w:rFonts w:ascii="Arial" w:hAnsi="Arial" w:cs="Arial"/>
        </w:rPr>
        <w:t>: Gross Margin remains relatively stable, showing some resilience.</w:t>
      </w:r>
      <w:bookmarkStart w:id="13" w:name="_Toc214656936"/>
    </w:p>
    <w:p w14:paraId="031F6BCA" w14:textId="2669BBAB" w:rsidR="009D3CD5" w:rsidRDefault="00E17964" w:rsidP="00E17964">
      <w:pPr>
        <w:pStyle w:val="Heading2"/>
      </w:pPr>
      <w:r>
        <w:lastRenderedPageBreak/>
        <w:t>1.2</w:t>
      </w:r>
      <w:r w:rsidR="00B45EEB">
        <w:t xml:space="preserve"> </w:t>
      </w:r>
      <w:r>
        <w:t>Altman Z-Score model</w:t>
      </w:r>
      <w:bookmarkEnd w:id="13"/>
    </w:p>
    <w:p w14:paraId="0F1DC826" w14:textId="77777777" w:rsidR="00E17964" w:rsidRPr="00E17964" w:rsidRDefault="00E17964" w:rsidP="00E17964">
      <w:pPr>
        <w:spacing w:before="100" w:beforeAutospacing="1" w:after="100" w:afterAutospacing="1" w:line="360" w:lineRule="auto"/>
        <w:rPr>
          <w:rFonts w:ascii="Arial" w:eastAsia="Times New Roman" w:hAnsi="Arial" w:cs="Arial"/>
          <w:lang w:eastAsia="en-GB"/>
        </w:rPr>
      </w:pPr>
      <w:r w:rsidRPr="00E17964">
        <w:rPr>
          <w:rFonts w:ascii="Arial" w:eastAsia="Times New Roman" w:hAnsi="Arial" w:cs="Arial"/>
          <w:lang w:eastAsia="en-GB"/>
        </w:rPr>
        <w:t>To assess the risk of financial distress, the Altman Z-Score model is applied. For non-manufacturing firms, the simplified formula is:</w:t>
      </w:r>
    </w:p>
    <w:p w14:paraId="04940F15" w14:textId="49B97E33" w:rsidR="00E17964" w:rsidRPr="00BD5C51" w:rsidRDefault="00E17964" w:rsidP="00E17964">
      <w:pPr>
        <w:spacing w:line="360" w:lineRule="auto"/>
        <w:rPr>
          <w:rFonts w:ascii="Arial" w:eastAsia="Times New Roman" w:hAnsi="Arial" w:cs="Arial"/>
          <w:lang w:eastAsia="en-GB"/>
        </w:rPr>
      </w:pPr>
      <w:bookmarkStart w:id="14" w:name="_Hlk213484379"/>
      <w:r w:rsidRPr="00BD5C51">
        <w:rPr>
          <w:rFonts w:ascii="Arial" w:eastAsia="Times New Roman" w:hAnsi="Arial" w:cs="Arial"/>
          <w:lang w:eastAsia="en-GB"/>
        </w:rPr>
        <w:t>Z=6.56X1+3.26X2+6.72X3+1.05X4</w:t>
      </w:r>
    </w:p>
    <w:bookmarkEnd w:id="14"/>
    <w:p w14:paraId="3F1351BA" w14:textId="77777777" w:rsidR="00E17964" w:rsidRPr="00E17964" w:rsidRDefault="00E17964" w:rsidP="00E17964">
      <w:pPr>
        <w:spacing w:before="100" w:beforeAutospacing="1" w:after="100" w:afterAutospacing="1" w:line="360" w:lineRule="auto"/>
        <w:rPr>
          <w:rFonts w:ascii="Arial" w:eastAsia="Times New Roman" w:hAnsi="Arial" w:cs="Arial"/>
          <w:lang w:eastAsia="en-GB"/>
        </w:rPr>
      </w:pPr>
      <w:r w:rsidRPr="00E17964">
        <w:rPr>
          <w:rFonts w:ascii="Arial" w:eastAsia="Times New Roman" w:hAnsi="Arial" w:cs="Arial"/>
          <w:lang w:eastAsia="en-GB"/>
        </w:rPr>
        <w:t>Where:</w:t>
      </w:r>
    </w:p>
    <w:p w14:paraId="2236857C" w14:textId="37FE43CE" w:rsidR="00E17964" w:rsidRDefault="00E17964" w:rsidP="00E17964">
      <w:pPr>
        <w:numPr>
          <w:ilvl w:val="0"/>
          <w:numId w:val="8"/>
        </w:numPr>
        <w:spacing w:before="100" w:beforeAutospacing="1" w:after="100" w:afterAutospacing="1" w:line="360" w:lineRule="auto"/>
        <w:rPr>
          <w:rFonts w:ascii="Arial" w:eastAsia="Times New Roman" w:hAnsi="Arial" w:cs="Arial"/>
          <w:lang w:eastAsia="en-GB"/>
        </w:rPr>
      </w:pPr>
      <w:r w:rsidRPr="00E17964">
        <w:rPr>
          <w:rFonts w:ascii="Arial" w:eastAsia="Times New Roman" w:hAnsi="Arial" w:cs="Arial"/>
          <w:lang w:eastAsia="en-GB"/>
        </w:rPr>
        <w:t>X1=Working </w:t>
      </w:r>
      <w:proofErr w:type="spellStart"/>
      <w:r w:rsidRPr="00E17964">
        <w:rPr>
          <w:rFonts w:ascii="Arial" w:eastAsia="Times New Roman" w:hAnsi="Arial" w:cs="Arial"/>
          <w:lang w:eastAsia="en-GB"/>
        </w:rPr>
        <w:t>Capital÷Total</w:t>
      </w:r>
      <w:proofErr w:type="spellEnd"/>
      <w:r w:rsidRPr="00E17964">
        <w:rPr>
          <w:rFonts w:ascii="Arial" w:eastAsia="Times New Roman" w:hAnsi="Arial" w:cs="Arial"/>
          <w:lang w:eastAsia="en-GB"/>
        </w:rPr>
        <w:t> Assets</w:t>
      </w:r>
    </w:p>
    <w:p w14:paraId="307BF899" w14:textId="3D321063" w:rsidR="00E17964" w:rsidRPr="00E17964" w:rsidRDefault="00E17964" w:rsidP="00E17964">
      <w:pPr>
        <w:spacing w:before="100" w:beforeAutospacing="1" w:after="100" w:afterAutospacing="1" w:line="360" w:lineRule="auto"/>
        <w:rPr>
          <w:rFonts w:ascii="Arial" w:eastAsia="Times New Roman" w:hAnsi="Arial" w:cs="Arial"/>
          <w:lang w:eastAsia="en-GB"/>
        </w:rPr>
      </w:pPr>
      <w:r w:rsidRPr="00E17964">
        <w:rPr>
          <w:rFonts w:ascii="Arial" w:hAnsi="Arial" w:cs="Arial"/>
        </w:rPr>
        <w:t>Working capital, defined as the difference between current assets and current liabilities, is a key indicator of short-term financial health and operational efficiency (</w:t>
      </w:r>
      <w:proofErr w:type="spellStart"/>
      <w:r w:rsidRPr="00E17964">
        <w:rPr>
          <w:rFonts w:ascii="Arial" w:hAnsi="Arial" w:cs="Arial"/>
        </w:rPr>
        <w:t>Weetman</w:t>
      </w:r>
      <w:proofErr w:type="spellEnd"/>
      <w:r w:rsidRPr="00E17964">
        <w:rPr>
          <w:rFonts w:ascii="Arial" w:hAnsi="Arial" w:cs="Arial"/>
        </w:rPr>
        <w:t>, 2013). It reflects the firm’s ability to manage liquidity and fund day-to-day operations without external financing (Atrill and McLaney, 2022).</w:t>
      </w:r>
    </w:p>
    <w:p w14:paraId="38F142E0" w14:textId="1677D66A" w:rsidR="00E17964" w:rsidRDefault="00E17964" w:rsidP="00E17964">
      <w:pPr>
        <w:numPr>
          <w:ilvl w:val="0"/>
          <w:numId w:val="8"/>
        </w:numPr>
        <w:spacing w:before="100" w:beforeAutospacing="1" w:after="100" w:afterAutospacing="1" w:line="360" w:lineRule="auto"/>
        <w:rPr>
          <w:rFonts w:ascii="Arial" w:eastAsia="Times New Roman" w:hAnsi="Arial" w:cs="Arial"/>
          <w:lang w:eastAsia="en-GB"/>
        </w:rPr>
      </w:pPr>
      <w:r w:rsidRPr="00E17964">
        <w:rPr>
          <w:rFonts w:ascii="Arial" w:eastAsia="Times New Roman" w:hAnsi="Arial" w:cs="Arial"/>
          <w:lang w:eastAsia="en-GB"/>
        </w:rPr>
        <w:t>X2=Retained </w:t>
      </w:r>
      <w:proofErr w:type="spellStart"/>
      <w:r w:rsidRPr="00E17964">
        <w:rPr>
          <w:rFonts w:ascii="Arial" w:eastAsia="Times New Roman" w:hAnsi="Arial" w:cs="Arial"/>
          <w:lang w:eastAsia="en-GB"/>
        </w:rPr>
        <w:t>Earnings÷Total</w:t>
      </w:r>
      <w:proofErr w:type="spellEnd"/>
      <w:r w:rsidRPr="00E17964">
        <w:rPr>
          <w:rFonts w:ascii="Arial" w:eastAsia="Times New Roman" w:hAnsi="Arial" w:cs="Arial"/>
          <w:lang w:eastAsia="en-GB"/>
        </w:rPr>
        <w:t> Assets</w:t>
      </w:r>
    </w:p>
    <w:p w14:paraId="0E696884" w14:textId="4DD34E77" w:rsidR="00E3473A" w:rsidRPr="00E17964" w:rsidRDefault="00E3473A" w:rsidP="00E3473A">
      <w:pPr>
        <w:spacing w:before="100" w:beforeAutospacing="1" w:after="100" w:afterAutospacing="1" w:line="360" w:lineRule="auto"/>
        <w:ind w:left="360"/>
        <w:rPr>
          <w:rFonts w:ascii="Arial" w:eastAsia="Times New Roman" w:hAnsi="Arial" w:cs="Arial"/>
          <w:lang w:eastAsia="en-GB"/>
        </w:rPr>
      </w:pPr>
      <w:r w:rsidRPr="00E3473A">
        <w:rPr>
          <w:rFonts w:ascii="Arial" w:hAnsi="Arial" w:cs="Arial"/>
        </w:rPr>
        <w:t>This value reflects the company’s accumulated profits over time and is a key indicator of long-term financial stability (</w:t>
      </w:r>
      <w:proofErr w:type="spellStart"/>
      <w:r w:rsidRPr="00E3473A">
        <w:rPr>
          <w:rFonts w:ascii="Arial" w:hAnsi="Arial" w:cs="Arial"/>
        </w:rPr>
        <w:t>Weetman</w:t>
      </w:r>
      <w:proofErr w:type="spellEnd"/>
      <w:r w:rsidRPr="00E3473A">
        <w:rPr>
          <w:rFonts w:ascii="Arial" w:hAnsi="Arial" w:cs="Arial"/>
        </w:rPr>
        <w:t>, 2013).</w:t>
      </w:r>
    </w:p>
    <w:p w14:paraId="1A9F4F56" w14:textId="70DAA651" w:rsidR="00E17964" w:rsidRDefault="00E17964" w:rsidP="00E17964">
      <w:pPr>
        <w:numPr>
          <w:ilvl w:val="0"/>
          <w:numId w:val="8"/>
        </w:numPr>
        <w:spacing w:before="100" w:beforeAutospacing="1" w:after="100" w:afterAutospacing="1" w:line="360" w:lineRule="auto"/>
        <w:rPr>
          <w:rFonts w:ascii="Arial" w:eastAsia="Times New Roman" w:hAnsi="Arial" w:cs="Arial"/>
          <w:lang w:eastAsia="en-GB"/>
        </w:rPr>
      </w:pPr>
      <w:r w:rsidRPr="00E17964">
        <w:rPr>
          <w:rFonts w:ascii="Arial" w:eastAsia="Times New Roman" w:hAnsi="Arial" w:cs="Arial"/>
          <w:lang w:eastAsia="en-GB"/>
        </w:rPr>
        <w:t>X3=</w:t>
      </w:r>
      <w:r w:rsidR="00237064" w:rsidRPr="00E17964">
        <w:rPr>
          <w:rFonts w:ascii="Arial" w:eastAsia="Times New Roman" w:hAnsi="Arial" w:cs="Arial"/>
          <w:lang w:eastAsia="en-GB"/>
        </w:rPr>
        <w:t>EBIT</w:t>
      </w:r>
      <w:r w:rsidR="00237064">
        <w:rPr>
          <w:rFonts w:ascii="Arial" w:eastAsia="Times New Roman" w:hAnsi="Arial" w:cs="Arial"/>
          <w:lang w:eastAsia="en-GB"/>
        </w:rPr>
        <w:t xml:space="preserve"> (</w:t>
      </w:r>
      <w:r w:rsidR="00E3473A">
        <w:rPr>
          <w:rFonts w:ascii="Arial" w:eastAsia="Times New Roman" w:hAnsi="Arial" w:cs="Arial"/>
          <w:lang w:eastAsia="en-GB"/>
        </w:rPr>
        <w:t xml:space="preserve">Operating </w:t>
      </w:r>
      <w:r w:rsidR="00A475E9">
        <w:rPr>
          <w:rFonts w:ascii="Arial" w:eastAsia="Times New Roman" w:hAnsi="Arial" w:cs="Arial"/>
          <w:lang w:eastAsia="en-GB"/>
        </w:rPr>
        <w:t>Income)</w:t>
      </w:r>
      <w:r w:rsidR="00A475E9" w:rsidRPr="00E17964">
        <w:rPr>
          <w:rFonts w:ascii="Arial" w:eastAsia="Times New Roman" w:hAnsi="Arial" w:cs="Arial"/>
          <w:lang w:eastAsia="en-GB"/>
        </w:rPr>
        <w:t xml:space="preserve"> ÷</w:t>
      </w:r>
      <w:r w:rsidRPr="00E17964">
        <w:rPr>
          <w:rFonts w:ascii="Arial" w:eastAsia="Times New Roman" w:hAnsi="Arial" w:cs="Arial"/>
          <w:lang w:eastAsia="en-GB"/>
        </w:rPr>
        <w:t>Total Assets</w:t>
      </w:r>
    </w:p>
    <w:p w14:paraId="3CDCA424" w14:textId="4A431047" w:rsidR="00E3473A" w:rsidRPr="00E17964" w:rsidRDefault="00E3473A" w:rsidP="00E3473A">
      <w:pPr>
        <w:spacing w:before="100" w:beforeAutospacing="1" w:after="100" w:afterAutospacing="1" w:line="360" w:lineRule="auto"/>
        <w:ind w:left="360"/>
        <w:rPr>
          <w:rFonts w:ascii="Arial" w:eastAsia="Times New Roman" w:hAnsi="Arial" w:cs="Arial"/>
          <w:lang w:eastAsia="en-GB"/>
        </w:rPr>
      </w:pPr>
      <w:r w:rsidRPr="00E3473A">
        <w:rPr>
          <w:rFonts w:ascii="Arial" w:hAnsi="Arial" w:cs="Arial"/>
        </w:rPr>
        <w:t>EBIT is a widely used indicator of operating performance, as it isolates earnings from financing and tax effects (</w:t>
      </w:r>
      <w:proofErr w:type="spellStart"/>
      <w:r w:rsidRPr="00E3473A">
        <w:rPr>
          <w:rFonts w:ascii="Arial" w:hAnsi="Arial" w:cs="Arial"/>
        </w:rPr>
        <w:t>Weetman</w:t>
      </w:r>
      <w:proofErr w:type="spellEnd"/>
      <w:r w:rsidRPr="00E3473A">
        <w:rPr>
          <w:rFonts w:ascii="Arial" w:hAnsi="Arial" w:cs="Arial"/>
        </w:rPr>
        <w:t>, 2013).</w:t>
      </w:r>
    </w:p>
    <w:p w14:paraId="6CB3666A" w14:textId="5B656A9E" w:rsidR="00E17964" w:rsidRDefault="00E17964" w:rsidP="00E17964">
      <w:pPr>
        <w:numPr>
          <w:ilvl w:val="0"/>
          <w:numId w:val="8"/>
        </w:numPr>
        <w:spacing w:before="100" w:beforeAutospacing="1" w:after="100" w:afterAutospacing="1" w:line="360" w:lineRule="auto"/>
        <w:rPr>
          <w:rFonts w:ascii="Arial" w:eastAsia="Times New Roman" w:hAnsi="Arial" w:cs="Arial"/>
          <w:lang w:eastAsia="en-GB"/>
        </w:rPr>
      </w:pPr>
      <w:r w:rsidRPr="00E17964">
        <w:rPr>
          <w:rFonts w:ascii="Arial" w:eastAsia="Times New Roman" w:hAnsi="Arial" w:cs="Arial"/>
          <w:lang w:eastAsia="en-GB"/>
        </w:rPr>
        <w:t>X4=</w:t>
      </w:r>
      <w:proofErr w:type="spellStart"/>
      <w:r w:rsidRPr="00E17964">
        <w:rPr>
          <w:rFonts w:ascii="Arial" w:eastAsia="Times New Roman" w:hAnsi="Arial" w:cs="Arial"/>
          <w:lang w:eastAsia="en-GB"/>
        </w:rPr>
        <w:t>Equity÷Liabilities</w:t>
      </w:r>
      <w:proofErr w:type="spellEnd"/>
    </w:p>
    <w:p w14:paraId="2B42AF64" w14:textId="77777777" w:rsidR="0034157D" w:rsidRPr="0034157D" w:rsidRDefault="0034157D" w:rsidP="0034157D">
      <w:pPr>
        <w:ind w:left="360"/>
        <w:rPr>
          <w:rFonts w:ascii="Arial" w:hAnsi="Arial" w:cs="Arial"/>
        </w:rPr>
      </w:pPr>
      <w:r w:rsidRPr="0034157D">
        <w:rPr>
          <w:rFonts w:ascii="Arial" w:hAnsi="Arial" w:cs="Arial"/>
        </w:rPr>
        <w:t>This value reflects the company’s capital cushion relative to its obligations. A higher ratio indicates stronger solvency and lower financial risk (</w:t>
      </w:r>
      <w:proofErr w:type="spellStart"/>
      <w:r w:rsidRPr="0034157D">
        <w:rPr>
          <w:rFonts w:ascii="Arial" w:hAnsi="Arial" w:cs="Arial"/>
        </w:rPr>
        <w:t>Weetman</w:t>
      </w:r>
      <w:proofErr w:type="spellEnd"/>
      <w:r w:rsidRPr="0034157D">
        <w:rPr>
          <w:rFonts w:ascii="Arial" w:hAnsi="Arial" w:cs="Arial"/>
        </w:rPr>
        <w:t>, 2013; Brigham and Ehrhardt, 2016).</w:t>
      </w:r>
    </w:p>
    <w:p w14:paraId="5CB80C75" w14:textId="77777777" w:rsidR="0034157D" w:rsidRPr="00E17964" w:rsidRDefault="0034157D" w:rsidP="0034157D">
      <w:pPr>
        <w:spacing w:before="100" w:beforeAutospacing="1" w:after="100" w:afterAutospacing="1" w:line="360" w:lineRule="auto"/>
        <w:ind w:left="360"/>
        <w:rPr>
          <w:rFonts w:ascii="Arial" w:eastAsia="Times New Roman" w:hAnsi="Arial" w:cs="Arial"/>
          <w:lang w:eastAsia="en-GB"/>
        </w:rPr>
      </w:pPr>
    </w:p>
    <w:tbl>
      <w:tblPr>
        <w:tblStyle w:val="TableGrid"/>
        <w:tblW w:w="0" w:type="auto"/>
        <w:tblLook w:val="04A0" w:firstRow="1" w:lastRow="0" w:firstColumn="1" w:lastColumn="0" w:noHBand="0" w:noVBand="1"/>
      </w:tblPr>
      <w:tblGrid>
        <w:gridCol w:w="1502"/>
        <w:gridCol w:w="1502"/>
        <w:gridCol w:w="1503"/>
        <w:gridCol w:w="1503"/>
        <w:gridCol w:w="1503"/>
        <w:gridCol w:w="1503"/>
      </w:tblGrid>
      <w:tr w:rsidR="00E17964" w14:paraId="07F771E2" w14:textId="77777777" w:rsidTr="00E17964">
        <w:tc>
          <w:tcPr>
            <w:tcW w:w="1502" w:type="dxa"/>
          </w:tcPr>
          <w:p w14:paraId="28AC12E3" w14:textId="77777777" w:rsidR="00E17964" w:rsidRDefault="00E17964" w:rsidP="00E17964"/>
        </w:tc>
        <w:tc>
          <w:tcPr>
            <w:tcW w:w="1502" w:type="dxa"/>
          </w:tcPr>
          <w:p w14:paraId="6C5D6587" w14:textId="13805382" w:rsidR="00E17964" w:rsidRDefault="00E17964" w:rsidP="00E17964">
            <w:r>
              <w:t>2024</w:t>
            </w:r>
          </w:p>
        </w:tc>
        <w:tc>
          <w:tcPr>
            <w:tcW w:w="1503" w:type="dxa"/>
          </w:tcPr>
          <w:p w14:paraId="560CEECB" w14:textId="62FC800A" w:rsidR="00E17964" w:rsidRDefault="00E17964" w:rsidP="00E17964">
            <w:r>
              <w:t>2023</w:t>
            </w:r>
          </w:p>
        </w:tc>
        <w:tc>
          <w:tcPr>
            <w:tcW w:w="1503" w:type="dxa"/>
          </w:tcPr>
          <w:p w14:paraId="4931BA3C" w14:textId="2DF37619" w:rsidR="00E17964" w:rsidRDefault="00E17964" w:rsidP="00E17964">
            <w:r>
              <w:t>2022</w:t>
            </w:r>
          </w:p>
        </w:tc>
        <w:tc>
          <w:tcPr>
            <w:tcW w:w="1503" w:type="dxa"/>
          </w:tcPr>
          <w:p w14:paraId="13C27D7F" w14:textId="21214DCE" w:rsidR="00E17964" w:rsidRDefault="00E17964" w:rsidP="00E17964">
            <w:r>
              <w:t>2021</w:t>
            </w:r>
          </w:p>
        </w:tc>
        <w:tc>
          <w:tcPr>
            <w:tcW w:w="1503" w:type="dxa"/>
          </w:tcPr>
          <w:p w14:paraId="2755219E" w14:textId="350B68EC" w:rsidR="00E17964" w:rsidRDefault="00E17964" w:rsidP="00E17964">
            <w:r>
              <w:t>2020</w:t>
            </w:r>
          </w:p>
        </w:tc>
      </w:tr>
      <w:tr w:rsidR="00D0207F" w14:paraId="2A1E067A" w14:textId="77777777" w:rsidTr="00E17964">
        <w:tc>
          <w:tcPr>
            <w:tcW w:w="1502" w:type="dxa"/>
          </w:tcPr>
          <w:p w14:paraId="0EC3A219" w14:textId="1869F108" w:rsidR="00D0207F" w:rsidRDefault="00D0207F" w:rsidP="00E17964">
            <w:r>
              <w:t>Working Capital</w:t>
            </w:r>
          </w:p>
        </w:tc>
        <w:tc>
          <w:tcPr>
            <w:tcW w:w="1502" w:type="dxa"/>
          </w:tcPr>
          <w:p w14:paraId="022E6344" w14:textId="347E2134" w:rsidR="00D0207F" w:rsidRDefault="00D0207F" w:rsidP="00E17964">
            <w:r>
              <w:t>84.203</w:t>
            </w:r>
          </w:p>
        </w:tc>
        <w:tc>
          <w:tcPr>
            <w:tcW w:w="1503" w:type="dxa"/>
          </w:tcPr>
          <w:p w14:paraId="48A2D46F" w14:textId="10DE64C9" w:rsidR="00D0207F" w:rsidRDefault="00D0207F" w:rsidP="00E17964">
            <w:r>
              <w:t>97.703</w:t>
            </w:r>
          </w:p>
        </w:tc>
        <w:tc>
          <w:tcPr>
            <w:tcW w:w="1503" w:type="dxa"/>
          </w:tcPr>
          <w:p w14:paraId="29BC9107" w14:textId="15838067" w:rsidR="00D0207F" w:rsidRDefault="00D0207F" w:rsidP="00E17964">
            <w:r>
              <w:t>121.567</w:t>
            </w:r>
          </w:p>
        </w:tc>
        <w:tc>
          <w:tcPr>
            <w:tcW w:w="1503" w:type="dxa"/>
          </w:tcPr>
          <w:p w14:paraId="421476D6" w14:textId="065099A2" w:rsidR="00D0207F" w:rsidRDefault="00D0207F" w:rsidP="00E17964">
            <w:r>
              <w:t>120.359</w:t>
            </w:r>
          </w:p>
        </w:tc>
        <w:tc>
          <w:tcPr>
            <w:tcW w:w="1503" w:type="dxa"/>
          </w:tcPr>
          <w:p w14:paraId="261FB98C" w14:textId="71B98BA9" w:rsidR="00D0207F" w:rsidRDefault="00D0207F" w:rsidP="00E17964">
            <w:r>
              <w:t>147.333</w:t>
            </w:r>
          </w:p>
        </w:tc>
      </w:tr>
      <w:tr w:rsidR="00E17964" w14:paraId="708C5B3F" w14:textId="77777777" w:rsidTr="00E17964">
        <w:tc>
          <w:tcPr>
            <w:tcW w:w="1502" w:type="dxa"/>
          </w:tcPr>
          <w:p w14:paraId="3AD8A984" w14:textId="4CC16542" w:rsidR="00E17964" w:rsidRDefault="00E17964" w:rsidP="00E17964">
            <w:r>
              <w:t>X1</w:t>
            </w:r>
          </w:p>
        </w:tc>
        <w:tc>
          <w:tcPr>
            <w:tcW w:w="1502" w:type="dxa"/>
          </w:tcPr>
          <w:p w14:paraId="24EC128F" w14:textId="467EB9FF" w:rsidR="00E17964" w:rsidRDefault="00D0207F" w:rsidP="00E17964">
            <w:r>
              <w:t>0.260</w:t>
            </w:r>
          </w:p>
        </w:tc>
        <w:tc>
          <w:tcPr>
            <w:tcW w:w="1503" w:type="dxa"/>
          </w:tcPr>
          <w:p w14:paraId="0F90B71E" w14:textId="4B0629CF" w:rsidR="00E17964" w:rsidRDefault="00D0207F" w:rsidP="00E17964">
            <w:r>
              <w:t>0.274</w:t>
            </w:r>
          </w:p>
        </w:tc>
        <w:tc>
          <w:tcPr>
            <w:tcW w:w="1503" w:type="dxa"/>
          </w:tcPr>
          <w:p w14:paraId="3DCDB218" w14:textId="1BF3DBCE" w:rsidR="00E17964" w:rsidRDefault="00D0207F" w:rsidP="00E17964">
            <w:r>
              <w:t>0.241</w:t>
            </w:r>
          </w:p>
        </w:tc>
        <w:tc>
          <w:tcPr>
            <w:tcW w:w="1503" w:type="dxa"/>
          </w:tcPr>
          <w:p w14:paraId="17362567" w14:textId="3A7002D9" w:rsidR="00E17964" w:rsidRDefault="00D0207F" w:rsidP="00E17964">
            <w:r>
              <w:t>0.236</w:t>
            </w:r>
          </w:p>
        </w:tc>
        <w:tc>
          <w:tcPr>
            <w:tcW w:w="1503" w:type="dxa"/>
          </w:tcPr>
          <w:p w14:paraId="13459C5D" w14:textId="6CDE13BA" w:rsidR="00E17964" w:rsidRDefault="00D0207F" w:rsidP="00E17964">
            <w:r>
              <w:t>0.289</w:t>
            </w:r>
          </w:p>
        </w:tc>
      </w:tr>
      <w:tr w:rsidR="00E17964" w14:paraId="3900F469" w14:textId="77777777" w:rsidTr="00E17964">
        <w:tc>
          <w:tcPr>
            <w:tcW w:w="1502" w:type="dxa"/>
          </w:tcPr>
          <w:p w14:paraId="53957A52" w14:textId="36AFD313" w:rsidR="00E17964" w:rsidRDefault="00E17964" w:rsidP="00E17964">
            <w:r>
              <w:t>X2</w:t>
            </w:r>
          </w:p>
        </w:tc>
        <w:tc>
          <w:tcPr>
            <w:tcW w:w="1502" w:type="dxa"/>
          </w:tcPr>
          <w:p w14:paraId="28826E23" w14:textId="5B891097" w:rsidR="00E17964" w:rsidRDefault="00E3473A" w:rsidP="00E17964">
            <w:r>
              <w:t>0.645</w:t>
            </w:r>
          </w:p>
        </w:tc>
        <w:tc>
          <w:tcPr>
            <w:tcW w:w="1503" w:type="dxa"/>
          </w:tcPr>
          <w:p w14:paraId="2EC80018" w14:textId="3CD283CC" w:rsidR="00E17964" w:rsidRDefault="00E3473A" w:rsidP="00E17964">
            <w:r>
              <w:t>0.653</w:t>
            </w:r>
          </w:p>
        </w:tc>
        <w:tc>
          <w:tcPr>
            <w:tcW w:w="1503" w:type="dxa"/>
          </w:tcPr>
          <w:p w14:paraId="49B86838" w14:textId="510B1370" w:rsidR="00E17964" w:rsidRDefault="00E3473A" w:rsidP="00E17964">
            <w:r>
              <w:t>0.656</w:t>
            </w:r>
          </w:p>
        </w:tc>
        <w:tc>
          <w:tcPr>
            <w:tcW w:w="1503" w:type="dxa"/>
          </w:tcPr>
          <w:p w14:paraId="4282FB78" w14:textId="15249AA1" w:rsidR="00E17964" w:rsidRDefault="00E3473A" w:rsidP="00E17964">
            <w:r>
              <w:t>0.647</w:t>
            </w:r>
          </w:p>
        </w:tc>
        <w:tc>
          <w:tcPr>
            <w:tcW w:w="1503" w:type="dxa"/>
          </w:tcPr>
          <w:p w14:paraId="35F5FD3E" w14:textId="677F3742" w:rsidR="00E17964" w:rsidRDefault="00E3473A" w:rsidP="00E17964">
            <w:r>
              <w:t>0.637</w:t>
            </w:r>
          </w:p>
        </w:tc>
      </w:tr>
      <w:tr w:rsidR="00E17964" w14:paraId="4A4209A4" w14:textId="77777777" w:rsidTr="00E17964">
        <w:tc>
          <w:tcPr>
            <w:tcW w:w="1502" w:type="dxa"/>
          </w:tcPr>
          <w:p w14:paraId="74AD4585" w14:textId="70F9F5BC" w:rsidR="00E17964" w:rsidRDefault="00E17964" w:rsidP="00E17964">
            <w:r>
              <w:t>X3</w:t>
            </w:r>
          </w:p>
        </w:tc>
        <w:tc>
          <w:tcPr>
            <w:tcW w:w="1502" w:type="dxa"/>
          </w:tcPr>
          <w:p w14:paraId="3650F64E" w14:textId="420A249B" w:rsidR="00E17964" w:rsidRDefault="00E3473A" w:rsidP="00E17964">
            <w:r>
              <w:t>-0.047</w:t>
            </w:r>
          </w:p>
        </w:tc>
        <w:tc>
          <w:tcPr>
            <w:tcW w:w="1503" w:type="dxa"/>
          </w:tcPr>
          <w:p w14:paraId="5B05D2E5" w14:textId="1A2B20E2" w:rsidR="00E17964" w:rsidRDefault="00E3473A" w:rsidP="00E17964">
            <w:r>
              <w:t>-0.240</w:t>
            </w:r>
          </w:p>
        </w:tc>
        <w:tc>
          <w:tcPr>
            <w:tcW w:w="1503" w:type="dxa"/>
          </w:tcPr>
          <w:p w14:paraId="09787CC0" w14:textId="49E0AE42" w:rsidR="00E17964" w:rsidRDefault="00E3473A" w:rsidP="00E17964">
            <w:r>
              <w:t>0.029</w:t>
            </w:r>
          </w:p>
        </w:tc>
        <w:tc>
          <w:tcPr>
            <w:tcW w:w="1503" w:type="dxa"/>
          </w:tcPr>
          <w:p w14:paraId="6E569841" w14:textId="3C2EF232" w:rsidR="00E17964" w:rsidRDefault="00E3473A" w:rsidP="00E17964">
            <w:r>
              <w:t>0.046</w:t>
            </w:r>
          </w:p>
        </w:tc>
        <w:tc>
          <w:tcPr>
            <w:tcW w:w="1503" w:type="dxa"/>
          </w:tcPr>
          <w:p w14:paraId="0B1BF2E6" w14:textId="7EBC78E7" w:rsidR="00E17964" w:rsidRDefault="00E3473A" w:rsidP="00E17964">
            <w:r>
              <w:t>0.073</w:t>
            </w:r>
          </w:p>
        </w:tc>
      </w:tr>
      <w:tr w:rsidR="00E17964" w14:paraId="108AB2D4" w14:textId="77777777" w:rsidTr="00E17964">
        <w:tc>
          <w:tcPr>
            <w:tcW w:w="1502" w:type="dxa"/>
          </w:tcPr>
          <w:p w14:paraId="6278B93C" w14:textId="1D1E8C14" w:rsidR="00E17964" w:rsidRDefault="00E17964" w:rsidP="00E17964">
            <w:r>
              <w:lastRenderedPageBreak/>
              <w:t>X4</w:t>
            </w:r>
          </w:p>
        </w:tc>
        <w:tc>
          <w:tcPr>
            <w:tcW w:w="1502" w:type="dxa"/>
          </w:tcPr>
          <w:p w14:paraId="4C6718C6" w14:textId="26046913" w:rsidR="00E17964" w:rsidRDefault="0034157D" w:rsidP="00E17964">
            <w:r>
              <w:t>0.899</w:t>
            </w:r>
          </w:p>
        </w:tc>
        <w:tc>
          <w:tcPr>
            <w:tcW w:w="1503" w:type="dxa"/>
          </w:tcPr>
          <w:p w14:paraId="2A2E45F0" w14:textId="7C6753BC" w:rsidR="00E17964" w:rsidRDefault="0034157D" w:rsidP="00E17964">
            <w:r>
              <w:t>1.01</w:t>
            </w:r>
            <w:r w:rsidR="00BD5C51">
              <w:t>1</w:t>
            </w:r>
          </w:p>
        </w:tc>
        <w:tc>
          <w:tcPr>
            <w:tcW w:w="1503" w:type="dxa"/>
          </w:tcPr>
          <w:p w14:paraId="4C3DD224" w14:textId="21BB50D1" w:rsidR="00E17964" w:rsidRDefault="0034157D" w:rsidP="00E17964">
            <w:r>
              <w:t>1.1</w:t>
            </w:r>
            <w:r w:rsidR="00BD5C51">
              <w:t>39</w:t>
            </w:r>
          </w:p>
        </w:tc>
        <w:tc>
          <w:tcPr>
            <w:tcW w:w="1503" w:type="dxa"/>
          </w:tcPr>
          <w:p w14:paraId="7AB393A1" w14:textId="7D67C2C1" w:rsidR="00E17964" w:rsidRDefault="0034157D" w:rsidP="00E17964">
            <w:r>
              <w:t>1.1</w:t>
            </w:r>
            <w:r w:rsidR="00BD5C51">
              <w:t>77</w:t>
            </w:r>
          </w:p>
        </w:tc>
        <w:tc>
          <w:tcPr>
            <w:tcW w:w="1503" w:type="dxa"/>
          </w:tcPr>
          <w:p w14:paraId="56337E8C" w14:textId="10A75F93" w:rsidR="00E17964" w:rsidRDefault="0034157D" w:rsidP="00E17964">
            <w:r>
              <w:t>1.59</w:t>
            </w:r>
            <w:r w:rsidR="00BD5C51">
              <w:t>0</w:t>
            </w:r>
          </w:p>
        </w:tc>
      </w:tr>
      <w:tr w:rsidR="00E17964" w14:paraId="578A0638" w14:textId="77777777" w:rsidTr="00E17964">
        <w:tc>
          <w:tcPr>
            <w:tcW w:w="1502" w:type="dxa"/>
          </w:tcPr>
          <w:p w14:paraId="33FB2D0F" w14:textId="55CD5A95" w:rsidR="00E17964" w:rsidRDefault="0034157D" w:rsidP="00E17964">
            <w:r>
              <w:t>Z</w:t>
            </w:r>
          </w:p>
        </w:tc>
        <w:tc>
          <w:tcPr>
            <w:tcW w:w="1502" w:type="dxa"/>
          </w:tcPr>
          <w:p w14:paraId="45FC5B36" w14:textId="15E1B348" w:rsidR="00E17964" w:rsidRDefault="00982917" w:rsidP="00E17964">
            <w:r>
              <w:t>4.437</w:t>
            </w:r>
          </w:p>
        </w:tc>
        <w:tc>
          <w:tcPr>
            <w:tcW w:w="1503" w:type="dxa"/>
          </w:tcPr>
          <w:p w14:paraId="7D43FA62" w14:textId="4B38B324" w:rsidR="00E17964" w:rsidRDefault="00824667" w:rsidP="00E17964">
            <w:r>
              <w:t>3.556</w:t>
            </w:r>
          </w:p>
        </w:tc>
        <w:tc>
          <w:tcPr>
            <w:tcW w:w="1503" w:type="dxa"/>
          </w:tcPr>
          <w:p w14:paraId="33E984A7" w14:textId="165C23E6" w:rsidR="00E17964" w:rsidRDefault="00E553B1" w:rsidP="00E17964">
            <w:r>
              <w:t>5.111</w:t>
            </w:r>
          </w:p>
        </w:tc>
        <w:tc>
          <w:tcPr>
            <w:tcW w:w="1503" w:type="dxa"/>
          </w:tcPr>
          <w:p w14:paraId="2092C8AC" w14:textId="7A70E4B2" w:rsidR="00E17964" w:rsidRDefault="003225C5" w:rsidP="00E17964">
            <w:r>
              <w:t>8.462</w:t>
            </w:r>
          </w:p>
        </w:tc>
        <w:tc>
          <w:tcPr>
            <w:tcW w:w="1503" w:type="dxa"/>
          </w:tcPr>
          <w:p w14:paraId="3A292555" w14:textId="6806950E" w:rsidR="00E17964" w:rsidRDefault="005F75CD" w:rsidP="00E17964">
            <w:r>
              <w:t>6.134</w:t>
            </w:r>
          </w:p>
        </w:tc>
      </w:tr>
    </w:tbl>
    <w:p w14:paraId="2EEE67E0" w14:textId="5B78D255" w:rsidR="00E17964" w:rsidRDefault="00E17964" w:rsidP="00E17964">
      <w:pPr>
        <w:rPr>
          <w:rFonts w:ascii="Arial" w:hAnsi="Arial" w:cs="Arial"/>
        </w:rPr>
      </w:pPr>
    </w:p>
    <w:p w14:paraId="10C2AD5E" w14:textId="594BF718" w:rsidR="0034157D" w:rsidRDefault="0034157D" w:rsidP="0034157D">
      <w:pPr>
        <w:spacing w:line="360" w:lineRule="auto"/>
        <w:rPr>
          <w:rFonts w:ascii="Arial" w:eastAsia="Times New Roman" w:hAnsi="Arial" w:cs="Arial"/>
          <w:lang w:val="fr-FR" w:eastAsia="en-GB"/>
        </w:rPr>
      </w:pPr>
      <w:proofErr w:type="gramStart"/>
      <w:r w:rsidRPr="00E17964">
        <w:rPr>
          <w:rFonts w:ascii="Arial" w:eastAsia="Times New Roman" w:hAnsi="Arial" w:cs="Arial"/>
          <w:lang w:val="fr-FR" w:eastAsia="en-GB"/>
        </w:rPr>
        <w:t>Z</w:t>
      </w:r>
      <w:r w:rsidR="00982917">
        <w:rPr>
          <w:rFonts w:ascii="Arial" w:eastAsia="Times New Roman" w:hAnsi="Arial" w:cs="Arial"/>
          <w:lang w:val="fr-FR" w:eastAsia="en-GB"/>
        </w:rPr>
        <w:t>(</w:t>
      </w:r>
      <w:proofErr w:type="gramEnd"/>
      <w:r w:rsidR="00982917">
        <w:rPr>
          <w:rFonts w:ascii="Arial" w:eastAsia="Times New Roman" w:hAnsi="Arial" w:cs="Arial"/>
          <w:lang w:val="fr-FR" w:eastAsia="en-GB"/>
        </w:rPr>
        <w:t>2024)</w:t>
      </w:r>
      <w:r w:rsidRPr="00E17964">
        <w:rPr>
          <w:rFonts w:ascii="Arial" w:eastAsia="Times New Roman" w:hAnsi="Arial" w:cs="Arial"/>
          <w:lang w:val="fr-FR" w:eastAsia="en-GB"/>
        </w:rPr>
        <w:t>=6.56</w:t>
      </w:r>
      <w:r>
        <w:rPr>
          <w:rFonts w:ascii="Arial" w:eastAsia="Times New Roman" w:hAnsi="Arial" w:cs="Arial"/>
          <w:lang w:val="fr-FR" w:eastAsia="en-GB"/>
        </w:rPr>
        <w:t>x0.260</w:t>
      </w:r>
      <w:r w:rsidRPr="00E17964">
        <w:rPr>
          <w:rFonts w:ascii="Arial" w:eastAsia="Times New Roman" w:hAnsi="Arial" w:cs="Arial"/>
          <w:lang w:val="fr-FR" w:eastAsia="en-GB"/>
        </w:rPr>
        <w:t>+3.26</w:t>
      </w:r>
      <w:r>
        <w:rPr>
          <w:rFonts w:ascii="Arial" w:eastAsia="Times New Roman" w:hAnsi="Arial" w:cs="Arial"/>
          <w:lang w:val="fr-FR" w:eastAsia="en-GB"/>
        </w:rPr>
        <w:t>x0.645</w:t>
      </w:r>
      <w:r w:rsidRPr="00E17964">
        <w:rPr>
          <w:rFonts w:ascii="Arial" w:eastAsia="Times New Roman" w:hAnsi="Arial" w:cs="Arial"/>
          <w:lang w:val="fr-FR" w:eastAsia="en-GB"/>
        </w:rPr>
        <w:t>+6.72</w:t>
      </w:r>
      <w:r>
        <w:rPr>
          <w:rFonts w:ascii="Arial" w:eastAsia="Times New Roman" w:hAnsi="Arial" w:cs="Arial"/>
          <w:lang w:val="fr-FR" w:eastAsia="en-GB"/>
        </w:rPr>
        <w:t>x-0.047</w:t>
      </w:r>
      <w:r w:rsidRPr="00E17964">
        <w:rPr>
          <w:rFonts w:ascii="Arial" w:eastAsia="Times New Roman" w:hAnsi="Arial" w:cs="Arial"/>
          <w:lang w:val="fr-FR" w:eastAsia="en-GB"/>
        </w:rPr>
        <w:t>+1.05</w:t>
      </w:r>
      <w:r>
        <w:rPr>
          <w:rFonts w:ascii="Arial" w:eastAsia="Times New Roman" w:hAnsi="Arial" w:cs="Arial"/>
          <w:lang w:val="fr-FR" w:eastAsia="en-GB"/>
        </w:rPr>
        <w:t>x0.899=1.70</w:t>
      </w:r>
      <w:r w:rsidR="00982917">
        <w:rPr>
          <w:rFonts w:ascii="Arial" w:eastAsia="Times New Roman" w:hAnsi="Arial" w:cs="Arial"/>
          <w:lang w:val="fr-FR" w:eastAsia="en-GB"/>
        </w:rPr>
        <w:t>6</w:t>
      </w:r>
      <w:r>
        <w:rPr>
          <w:rFonts w:ascii="Arial" w:eastAsia="Times New Roman" w:hAnsi="Arial" w:cs="Arial"/>
          <w:lang w:val="fr-FR" w:eastAsia="en-GB"/>
        </w:rPr>
        <w:t>+2</w:t>
      </w:r>
      <w:r w:rsidR="00982917">
        <w:rPr>
          <w:rFonts w:ascii="Arial" w:eastAsia="Times New Roman" w:hAnsi="Arial" w:cs="Arial"/>
          <w:lang w:val="fr-FR" w:eastAsia="en-GB"/>
        </w:rPr>
        <w:t>.</w:t>
      </w:r>
      <w:r>
        <w:rPr>
          <w:rFonts w:ascii="Arial" w:eastAsia="Times New Roman" w:hAnsi="Arial" w:cs="Arial"/>
          <w:lang w:val="fr-FR" w:eastAsia="en-GB"/>
        </w:rPr>
        <w:t>10</w:t>
      </w:r>
      <w:r w:rsidR="00982917">
        <w:rPr>
          <w:rFonts w:ascii="Arial" w:eastAsia="Times New Roman" w:hAnsi="Arial" w:cs="Arial"/>
          <w:lang w:val="fr-FR" w:eastAsia="en-GB"/>
        </w:rPr>
        <w:t>3</w:t>
      </w:r>
      <w:r>
        <w:rPr>
          <w:rFonts w:ascii="Arial" w:eastAsia="Times New Roman" w:hAnsi="Arial" w:cs="Arial"/>
          <w:lang w:val="fr-FR" w:eastAsia="en-GB"/>
        </w:rPr>
        <w:t>+-0.316+</w:t>
      </w:r>
      <w:r w:rsidR="00982917">
        <w:rPr>
          <w:rFonts w:ascii="Arial" w:eastAsia="Times New Roman" w:hAnsi="Arial" w:cs="Arial"/>
          <w:lang w:val="fr-FR" w:eastAsia="en-GB"/>
        </w:rPr>
        <w:t>0.944=4.437</w:t>
      </w:r>
    </w:p>
    <w:p w14:paraId="5253423D" w14:textId="593D4F5B" w:rsidR="00982917" w:rsidRDefault="00982917" w:rsidP="0034157D">
      <w:pPr>
        <w:spacing w:line="360" w:lineRule="auto"/>
        <w:rPr>
          <w:rFonts w:ascii="Arial" w:eastAsia="Times New Roman" w:hAnsi="Arial" w:cs="Arial"/>
          <w:lang w:val="fr-FR" w:eastAsia="en-GB"/>
        </w:rPr>
      </w:pPr>
      <w:proofErr w:type="gramStart"/>
      <w:r>
        <w:rPr>
          <w:rFonts w:ascii="Arial" w:eastAsia="Times New Roman" w:hAnsi="Arial" w:cs="Arial"/>
          <w:lang w:val="fr-FR" w:eastAsia="en-GB"/>
        </w:rPr>
        <w:t>Z(</w:t>
      </w:r>
      <w:proofErr w:type="gramEnd"/>
      <w:r>
        <w:rPr>
          <w:rFonts w:ascii="Arial" w:eastAsia="Times New Roman" w:hAnsi="Arial" w:cs="Arial"/>
          <w:lang w:val="fr-FR" w:eastAsia="en-GB"/>
        </w:rPr>
        <w:t>2023)=6.56x0.274+3.26x0.653+</w:t>
      </w:r>
      <w:r w:rsidR="00824667">
        <w:rPr>
          <w:rFonts w:ascii="Arial" w:eastAsia="Times New Roman" w:hAnsi="Arial" w:cs="Arial"/>
          <w:lang w:val="fr-FR" w:eastAsia="en-GB"/>
        </w:rPr>
        <w:t>6.72x-0.240+1.05x1.01=1.797+2.129+-1.613+1.061=3.556</w:t>
      </w:r>
    </w:p>
    <w:p w14:paraId="201A49C0" w14:textId="74A711D6" w:rsidR="00824667" w:rsidRPr="00E553B1" w:rsidRDefault="00824667" w:rsidP="0034157D">
      <w:pPr>
        <w:spacing w:line="360" w:lineRule="auto"/>
        <w:rPr>
          <w:rFonts w:ascii="Arial" w:eastAsia="Times New Roman" w:hAnsi="Arial" w:cs="Arial"/>
          <w:lang w:val="fr-FR" w:eastAsia="en-GB"/>
        </w:rPr>
      </w:pPr>
      <w:proofErr w:type="gramStart"/>
      <w:r w:rsidRPr="00E553B1">
        <w:rPr>
          <w:rFonts w:ascii="Arial" w:eastAsia="Times New Roman" w:hAnsi="Arial" w:cs="Arial"/>
          <w:lang w:val="fr-FR" w:eastAsia="en-GB"/>
        </w:rPr>
        <w:t>Z(</w:t>
      </w:r>
      <w:proofErr w:type="gramEnd"/>
      <w:r w:rsidRPr="00E553B1">
        <w:rPr>
          <w:rFonts w:ascii="Arial" w:eastAsia="Times New Roman" w:hAnsi="Arial" w:cs="Arial"/>
          <w:lang w:val="fr-FR" w:eastAsia="en-GB"/>
        </w:rPr>
        <w:t>2022)=6.56x0.241+3.26x0.656+6.72x0.029+1.05x1.</w:t>
      </w:r>
      <w:r w:rsidR="00E553B1" w:rsidRPr="00E553B1">
        <w:rPr>
          <w:rFonts w:ascii="Arial" w:eastAsia="Times New Roman" w:hAnsi="Arial" w:cs="Arial"/>
          <w:lang w:val="fr-FR" w:eastAsia="en-GB"/>
        </w:rPr>
        <w:t>139</w:t>
      </w:r>
      <w:r w:rsidR="00BD5C51" w:rsidRPr="00E553B1">
        <w:rPr>
          <w:rFonts w:ascii="Arial" w:eastAsia="Times New Roman" w:hAnsi="Arial" w:cs="Arial"/>
          <w:lang w:val="fr-FR" w:eastAsia="en-GB"/>
        </w:rPr>
        <w:t>=1.581+</w:t>
      </w:r>
      <w:r w:rsidR="00E553B1" w:rsidRPr="00E553B1">
        <w:rPr>
          <w:rFonts w:ascii="Arial" w:eastAsia="Times New Roman" w:hAnsi="Arial" w:cs="Arial"/>
          <w:lang w:val="fr-FR" w:eastAsia="en-GB"/>
        </w:rPr>
        <w:t>2.139+0.195+1.196=5.111</w:t>
      </w:r>
    </w:p>
    <w:p w14:paraId="4529F2B3" w14:textId="231D2B05" w:rsidR="0034157D" w:rsidRDefault="00E553B1" w:rsidP="00E17964">
      <w:pPr>
        <w:rPr>
          <w:rFonts w:ascii="Arial" w:hAnsi="Arial" w:cs="Arial"/>
          <w:lang w:val="fr-FR"/>
        </w:rPr>
      </w:pPr>
      <w:proofErr w:type="gramStart"/>
      <w:r w:rsidRPr="00E553B1">
        <w:rPr>
          <w:rFonts w:ascii="Arial" w:hAnsi="Arial" w:cs="Arial"/>
          <w:lang w:val="fr-FR"/>
        </w:rPr>
        <w:t>Z(</w:t>
      </w:r>
      <w:proofErr w:type="gramEnd"/>
      <w:r w:rsidRPr="00E553B1">
        <w:rPr>
          <w:rFonts w:ascii="Arial" w:hAnsi="Arial" w:cs="Arial"/>
          <w:lang w:val="fr-FR"/>
        </w:rPr>
        <w:t>202</w:t>
      </w:r>
      <w:r w:rsidR="003225C5">
        <w:rPr>
          <w:rFonts w:ascii="Arial" w:hAnsi="Arial" w:cs="Arial"/>
          <w:lang w:val="fr-FR"/>
        </w:rPr>
        <w:t>1</w:t>
      </w:r>
      <w:r w:rsidRPr="00E553B1">
        <w:rPr>
          <w:rFonts w:ascii="Arial" w:hAnsi="Arial" w:cs="Arial"/>
          <w:lang w:val="fr-FR"/>
        </w:rPr>
        <w:t>)=6.56x</w:t>
      </w:r>
      <w:r w:rsidR="003225C5">
        <w:rPr>
          <w:rFonts w:ascii="Arial" w:hAnsi="Arial" w:cs="Arial"/>
          <w:lang w:val="fr-FR"/>
        </w:rPr>
        <w:t>0.236</w:t>
      </w:r>
      <w:r w:rsidRPr="00E553B1">
        <w:rPr>
          <w:rFonts w:ascii="Arial" w:hAnsi="Arial" w:cs="Arial"/>
          <w:lang w:val="fr-FR"/>
        </w:rPr>
        <w:t>+3.26x1.</w:t>
      </w:r>
      <w:r w:rsidR="003225C5">
        <w:rPr>
          <w:rFonts w:ascii="Arial" w:hAnsi="Arial" w:cs="Arial"/>
          <w:lang w:val="fr-FR"/>
        </w:rPr>
        <w:t>647</w:t>
      </w:r>
      <w:r w:rsidRPr="00E553B1">
        <w:rPr>
          <w:rFonts w:ascii="Arial" w:hAnsi="Arial" w:cs="Arial"/>
          <w:lang w:val="fr-FR"/>
        </w:rPr>
        <w:t>+6.72x</w:t>
      </w:r>
      <w:r w:rsidR="003225C5">
        <w:rPr>
          <w:rFonts w:ascii="Arial" w:hAnsi="Arial" w:cs="Arial"/>
          <w:lang w:val="fr-FR"/>
        </w:rPr>
        <w:t>0.046</w:t>
      </w:r>
      <w:r w:rsidRPr="00E553B1">
        <w:rPr>
          <w:rFonts w:ascii="Arial" w:hAnsi="Arial" w:cs="Arial"/>
          <w:lang w:val="fr-FR"/>
        </w:rPr>
        <w:t>+1.05x1</w:t>
      </w:r>
      <w:r>
        <w:rPr>
          <w:rFonts w:ascii="Arial" w:hAnsi="Arial" w:cs="Arial"/>
          <w:lang w:val="fr-FR"/>
        </w:rPr>
        <w:t>.177</w:t>
      </w:r>
      <w:r w:rsidR="003B5A1A">
        <w:rPr>
          <w:rFonts w:ascii="Arial" w:hAnsi="Arial" w:cs="Arial"/>
          <w:lang w:val="fr-FR"/>
        </w:rPr>
        <w:t>=</w:t>
      </w:r>
      <w:r w:rsidR="003225C5">
        <w:rPr>
          <w:rFonts w:ascii="Arial" w:hAnsi="Arial" w:cs="Arial"/>
          <w:lang w:val="fr-FR"/>
        </w:rPr>
        <w:t>1.548+5.369+0.309+1.236=8.462</w:t>
      </w:r>
    </w:p>
    <w:p w14:paraId="6745835B" w14:textId="70229DF3" w:rsidR="003B5A1A" w:rsidRDefault="00237064" w:rsidP="00E17964">
      <w:pPr>
        <w:rPr>
          <w:rFonts w:ascii="Arial" w:hAnsi="Arial" w:cs="Arial"/>
        </w:rPr>
      </w:pPr>
      <w:r w:rsidRPr="00B45EEB">
        <w:rPr>
          <w:rFonts w:ascii="Arial" w:hAnsi="Arial" w:cs="Arial"/>
        </w:rPr>
        <w:t>Z (</w:t>
      </w:r>
      <w:r w:rsidR="00A475E9" w:rsidRPr="00B45EEB">
        <w:rPr>
          <w:rFonts w:ascii="Arial" w:hAnsi="Arial" w:cs="Arial"/>
        </w:rPr>
        <w:t>2020) =</w:t>
      </w:r>
      <w:r w:rsidR="003B5A1A" w:rsidRPr="00B45EEB">
        <w:rPr>
          <w:rFonts w:ascii="Arial" w:hAnsi="Arial" w:cs="Arial"/>
        </w:rPr>
        <w:t>6.56x</w:t>
      </w:r>
      <w:r w:rsidR="0002260B" w:rsidRPr="00B45EEB">
        <w:rPr>
          <w:rFonts w:ascii="Arial" w:hAnsi="Arial" w:cs="Arial"/>
        </w:rPr>
        <w:t>0.289+3.26x0.637+6.72x0.073+1.05x1.590=</w:t>
      </w:r>
      <w:r w:rsidR="005F75CD" w:rsidRPr="00B45EEB">
        <w:rPr>
          <w:rFonts w:ascii="Arial" w:hAnsi="Arial" w:cs="Arial"/>
        </w:rPr>
        <w:t>1.896+2.077+0.491+1.670=6.134</w:t>
      </w:r>
    </w:p>
    <w:p w14:paraId="0B56DE4C" w14:textId="1E9ABA3D" w:rsidR="00D60EC4" w:rsidRDefault="00D60EC4" w:rsidP="00E17964">
      <w:pPr>
        <w:rPr>
          <w:rFonts w:ascii="Arial" w:hAnsi="Arial" w:cs="Arial"/>
        </w:rPr>
      </w:pPr>
    </w:p>
    <w:p w14:paraId="30E78B94" w14:textId="12793039" w:rsidR="00D60EC4" w:rsidRDefault="00D60EC4" w:rsidP="00D60EC4">
      <w:pPr>
        <w:pStyle w:val="Heading1"/>
        <w:rPr>
          <w:rFonts w:ascii="Arial" w:hAnsi="Arial" w:cs="Arial"/>
          <w:color w:val="000000" w:themeColor="text1"/>
        </w:rPr>
      </w:pPr>
      <w:bookmarkStart w:id="15" w:name="_Toc214656937"/>
      <w:r w:rsidRPr="00D60EC4">
        <w:rPr>
          <w:rFonts w:ascii="Arial" w:hAnsi="Arial" w:cs="Arial"/>
          <w:color w:val="000000" w:themeColor="text1"/>
        </w:rPr>
        <w:t>2. Working Capital Management Analysis</w:t>
      </w:r>
      <w:bookmarkEnd w:id="15"/>
    </w:p>
    <w:p w14:paraId="4E3BC782" w14:textId="61B1458B" w:rsidR="00D60EC4" w:rsidRPr="00DC6263" w:rsidRDefault="00D60EC4" w:rsidP="00D60EC4">
      <w:pPr>
        <w:pStyle w:val="Heading2"/>
        <w:rPr>
          <w:rFonts w:ascii="Arial" w:hAnsi="Arial" w:cs="Arial"/>
          <w:b w:val="0"/>
          <w:bCs w:val="0"/>
          <w:color w:val="000000" w:themeColor="text1"/>
        </w:rPr>
      </w:pPr>
      <w:bookmarkStart w:id="16" w:name="_Toc214656938"/>
      <w:r w:rsidRPr="00DC6263">
        <w:rPr>
          <w:rFonts w:ascii="Arial" w:hAnsi="Arial" w:cs="Arial"/>
          <w:b w:val="0"/>
          <w:bCs w:val="0"/>
          <w:color w:val="000000" w:themeColor="text1"/>
        </w:rPr>
        <w:t>2.1 Cash operating cycle</w:t>
      </w:r>
      <w:bookmarkEnd w:id="16"/>
    </w:p>
    <w:p w14:paraId="68C5DECE" w14:textId="0A01619A" w:rsidR="00D60EC4" w:rsidRDefault="00D60EC4" w:rsidP="00D60EC4"/>
    <w:p w14:paraId="7209FF79" w14:textId="271EA872" w:rsidR="00D60EC4" w:rsidRDefault="00D60EC4" w:rsidP="00D60EC4">
      <w:pPr>
        <w:spacing w:line="360" w:lineRule="auto"/>
        <w:rPr>
          <w:rFonts w:ascii="Arial" w:hAnsi="Arial" w:cs="Arial"/>
        </w:rPr>
      </w:pPr>
      <w:r w:rsidRPr="00D60EC4">
        <w:rPr>
          <w:rFonts w:ascii="Arial" w:hAnsi="Arial" w:cs="Arial"/>
        </w:rPr>
        <w:t>The cash operating cycle measures the time between cash outflows for purchasing inventory and cash inflows from collecting receivables. It reflects the efficiency of working capital management and liquidity control (Atrill &amp; McLaney, 2022).</w:t>
      </w:r>
    </w:p>
    <w:p w14:paraId="5E30E592" w14:textId="701D8143" w:rsidR="00D60EC4" w:rsidRPr="00D60EC4" w:rsidRDefault="00D60EC4" w:rsidP="00D60EC4">
      <w:pPr>
        <w:pStyle w:val="ListParagraph"/>
        <w:numPr>
          <w:ilvl w:val="0"/>
          <w:numId w:val="9"/>
        </w:numPr>
        <w:spacing w:line="360" w:lineRule="auto"/>
        <w:rPr>
          <w:rFonts w:ascii="Arial" w:hAnsi="Arial" w:cs="Arial"/>
        </w:rPr>
      </w:pPr>
      <w:r w:rsidRPr="00D60EC4">
        <w:rPr>
          <w:rFonts w:ascii="Arial" w:hAnsi="Arial" w:cs="Arial"/>
        </w:rPr>
        <w:t>COC= Inventory days + Receivable days – Payable days</w:t>
      </w:r>
    </w:p>
    <w:p w14:paraId="36F4E705" w14:textId="708EDA4C" w:rsidR="00D60EC4" w:rsidRPr="00D60EC4" w:rsidRDefault="00D60EC4" w:rsidP="00D60EC4">
      <w:pPr>
        <w:pStyle w:val="ListParagraph"/>
        <w:numPr>
          <w:ilvl w:val="0"/>
          <w:numId w:val="9"/>
        </w:numPr>
        <w:spacing w:line="360" w:lineRule="auto"/>
        <w:rPr>
          <w:rFonts w:ascii="Arial" w:hAnsi="Arial" w:cs="Arial"/>
        </w:rPr>
      </w:pPr>
      <w:r w:rsidRPr="00D60EC4">
        <w:rPr>
          <w:rFonts w:ascii="Arial" w:hAnsi="Arial" w:cs="Arial"/>
        </w:rPr>
        <w:t>Inventory days = Inventory / Cost of sales x 365</w:t>
      </w:r>
    </w:p>
    <w:p w14:paraId="355244C1" w14:textId="77777777" w:rsidR="00D60EC4" w:rsidRPr="00D60EC4" w:rsidRDefault="00D60EC4" w:rsidP="00D60EC4">
      <w:pPr>
        <w:pStyle w:val="ListParagraph"/>
        <w:numPr>
          <w:ilvl w:val="0"/>
          <w:numId w:val="9"/>
        </w:numPr>
        <w:spacing w:line="360" w:lineRule="auto"/>
        <w:rPr>
          <w:rFonts w:ascii="Arial" w:hAnsi="Arial" w:cs="Arial"/>
        </w:rPr>
      </w:pPr>
      <w:r w:rsidRPr="00D60EC4">
        <w:rPr>
          <w:rFonts w:ascii="Arial" w:hAnsi="Arial" w:cs="Arial"/>
        </w:rPr>
        <w:t>Receivable days = Accounts receivable / Net sales x 365</w:t>
      </w:r>
    </w:p>
    <w:p w14:paraId="335982C8" w14:textId="740D943A" w:rsidR="00D60EC4" w:rsidRDefault="00D60EC4" w:rsidP="00D60EC4">
      <w:pPr>
        <w:pStyle w:val="ListParagraph"/>
        <w:numPr>
          <w:ilvl w:val="0"/>
          <w:numId w:val="9"/>
        </w:numPr>
        <w:spacing w:line="360" w:lineRule="auto"/>
        <w:rPr>
          <w:rFonts w:ascii="Arial" w:hAnsi="Arial" w:cs="Arial"/>
        </w:rPr>
      </w:pPr>
      <w:r w:rsidRPr="00D60EC4">
        <w:rPr>
          <w:rFonts w:ascii="Arial" w:hAnsi="Arial" w:cs="Arial"/>
        </w:rPr>
        <w:t xml:space="preserve">Payable days = Accounts payable / Cost sales x 365 </w:t>
      </w:r>
    </w:p>
    <w:p w14:paraId="47FC57FA" w14:textId="36C7E2AB" w:rsidR="00D60EC4" w:rsidRDefault="00D60EC4" w:rsidP="00D60EC4">
      <w:pPr>
        <w:pStyle w:val="ListParagraph"/>
        <w:spacing w:line="360" w:lineRule="auto"/>
        <w:rPr>
          <w:rFonts w:ascii="Arial" w:hAnsi="Arial" w:cs="Arial"/>
        </w:rPr>
      </w:pPr>
    </w:p>
    <w:tbl>
      <w:tblPr>
        <w:tblStyle w:val="TableGrid"/>
        <w:tblW w:w="8973" w:type="dxa"/>
        <w:tblInd w:w="279" w:type="dxa"/>
        <w:tblLook w:val="04A0" w:firstRow="1" w:lastRow="0" w:firstColumn="1" w:lastColumn="0" w:noHBand="0" w:noVBand="1"/>
      </w:tblPr>
      <w:tblGrid>
        <w:gridCol w:w="2160"/>
        <w:gridCol w:w="1361"/>
        <w:gridCol w:w="1363"/>
        <w:gridCol w:w="1363"/>
        <w:gridCol w:w="1363"/>
        <w:gridCol w:w="1363"/>
      </w:tblGrid>
      <w:tr w:rsidR="00001911" w14:paraId="52DBA96A" w14:textId="77777777" w:rsidTr="00001911">
        <w:tc>
          <w:tcPr>
            <w:tcW w:w="2160" w:type="dxa"/>
          </w:tcPr>
          <w:p w14:paraId="6B2E4E6A" w14:textId="77777777" w:rsidR="00001911" w:rsidRDefault="00001911" w:rsidP="00D60EC4">
            <w:pPr>
              <w:pStyle w:val="ListParagraph"/>
              <w:spacing w:line="360" w:lineRule="auto"/>
              <w:ind w:left="0"/>
              <w:rPr>
                <w:rFonts w:ascii="Arial" w:hAnsi="Arial" w:cs="Arial"/>
              </w:rPr>
            </w:pPr>
          </w:p>
        </w:tc>
        <w:tc>
          <w:tcPr>
            <w:tcW w:w="1361" w:type="dxa"/>
          </w:tcPr>
          <w:p w14:paraId="6A833376" w14:textId="2629C5E4" w:rsidR="00001911" w:rsidRDefault="00001911" w:rsidP="00D60EC4">
            <w:pPr>
              <w:pStyle w:val="ListParagraph"/>
              <w:spacing w:line="360" w:lineRule="auto"/>
              <w:ind w:left="0"/>
              <w:rPr>
                <w:rFonts w:ascii="Arial" w:hAnsi="Arial" w:cs="Arial"/>
              </w:rPr>
            </w:pPr>
            <w:r>
              <w:rPr>
                <w:rFonts w:ascii="Arial" w:hAnsi="Arial" w:cs="Arial"/>
              </w:rPr>
              <w:t>2024</w:t>
            </w:r>
          </w:p>
        </w:tc>
        <w:tc>
          <w:tcPr>
            <w:tcW w:w="1363" w:type="dxa"/>
          </w:tcPr>
          <w:p w14:paraId="465A38EB" w14:textId="0E02692E" w:rsidR="00001911" w:rsidRDefault="00001911" w:rsidP="00D60EC4">
            <w:pPr>
              <w:pStyle w:val="ListParagraph"/>
              <w:spacing w:line="360" w:lineRule="auto"/>
              <w:ind w:left="0"/>
              <w:rPr>
                <w:rFonts w:ascii="Arial" w:hAnsi="Arial" w:cs="Arial"/>
              </w:rPr>
            </w:pPr>
            <w:r>
              <w:rPr>
                <w:rFonts w:ascii="Arial" w:hAnsi="Arial" w:cs="Arial"/>
              </w:rPr>
              <w:t>2023</w:t>
            </w:r>
          </w:p>
        </w:tc>
        <w:tc>
          <w:tcPr>
            <w:tcW w:w="1363" w:type="dxa"/>
          </w:tcPr>
          <w:p w14:paraId="0E465D4D" w14:textId="36DA7B45" w:rsidR="00001911" w:rsidRDefault="00001911" w:rsidP="00D60EC4">
            <w:pPr>
              <w:pStyle w:val="ListParagraph"/>
              <w:spacing w:line="360" w:lineRule="auto"/>
              <w:ind w:left="0"/>
              <w:rPr>
                <w:rFonts w:ascii="Arial" w:hAnsi="Arial" w:cs="Arial"/>
              </w:rPr>
            </w:pPr>
            <w:r>
              <w:rPr>
                <w:rFonts w:ascii="Arial" w:hAnsi="Arial" w:cs="Arial"/>
              </w:rPr>
              <w:t>2022</w:t>
            </w:r>
          </w:p>
        </w:tc>
        <w:tc>
          <w:tcPr>
            <w:tcW w:w="1363" w:type="dxa"/>
          </w:tcPr>
          <w:p w14:paraId="3C7602DA" w14:textId="35976A49" w:rsidR="00001911" w:rsidRDefault="00001911" w:rsidP="00D60EC4">
            <w:pPr>
              <w:pStyle w:val="ListParagraph"/>
              <w:spacing w:line="360" w:lineRule="auto"/>
              <w:ind w:left="0"/>
              <w:rPr>
                <w:rFonts w:ascii="Arial" w:hAnsi="Arial" w:cs="Arial"/>
              </w:rPr>
            </w:pPr>
            <w:r>
              <w:rPr>
                <w:rFonts w:ascii="Arial" w:hAnsi="Arial" w:cs="Arial"/>
              </w:rPr>
              <w:t>2021</w:t>
            </w:r>
          </w:p>
        </w:tc>
        <w:tc>
          <w:tcPr>
            <w:tcW w:w="1363" w:type="dxa"/>
          </w:tcPr>
          <w:p w14:paraId="165841A9" w14:textId="433636AD" w:rsidR="00001911" w:rsidRDefault="00001911" w:rsidP="00D60EC4">
            <w:pPr>
              <w:pStyle w:val="ListParagraph"/>
              <w:spacing w:line="360" w:lineRule="auto"/>
              <w:ind w:left="0"/>
              <w:rPr>
                <w:rFonts w:ascii="Arial" w:hAnsi="Arial" w:cs="Arial"/>
              </w:rPr>
            </w:pPr>
            <w:r>
              <w:rPr>
                <w:rFonts w:ascii="Arial" w:hAnsi="Arial" w:cs="Arial"/>
              </w:rPr>
              <w:t>2020</w:t>
            </w:r>
          </w:p>
        </w:tc>
      </w:tr>
      <w:tr w:rsidR="00001911" w14:paraId="468E6C02" w14:textId="77777777" w:rsidTr="00001911">
        <w:tc>
          <w:tcPr>
            <w:tcW w:w="2160" w:type="dxa"/>
          </w:tcPr>
          <w:p w14:paraId="4FFF2A1D" w14:textId="3102E574" w:rsidR="00001911" w:rsidRDefault="00001911" w:rsidP="00D60EC4">
            <w:pPr>
              <w:pStyle w:val="ListParagraph"/>
              <w:spacing w:line="360" w:lineRule="auto"/>
              <w:ind w:left="0"/>
              <w:rPr>
                <w:rFonts w:ascii="Arial" w:hAnsi="Arial" w:cs="Arial"/>
              </w:rPr>
            </w:pPr>
            <w:r>
              <w:rPr>
                <w:rFonts w:ascii="Arial" w:hAnsi="Arial" w:cs="Arial"/>
              </w:rPr>
              <w:t>Inventory days</w:t>
            </w:r>
          </w:p>
        </w:tc>
        <w:tc>
          <w:tcPr>
            <w:tcW w:w="1361" w:type="dxa"/>
          </w:tcPr>
          <w:p w14:paraId="0AFF75E0" w14:textId="38FF7478" w:rsidR="00001911" w:rsidRDefault="00537E7B" w:rsidP="00D60EC4">
            <w:pPr>
              <w:pStyle w:val="ListParagraph"/>
              <w:spacing w:line="360" w:lineRule="auto"/>
              <w:ind w:left="0"/>
              <w:rPr>
                <w:rFonts w:ascii="Arial" w:hAnsi="Arial" w:cs="Arial"/>
              </w:rPr>
            </w:pPr>
            <w:r>
              <w:rPr>
                <w:rFonts w:ascii="Arial" w:hAnsi="Arial" w:cs="Arial"/>
              </w:rPr>
              <w:t>103 days</w:t>
            </w:r>
          </w:p>
        </w:tc>
        <w:tc>
          <w:tcPr>
            <w:tcW w:w="1363" w:type="dxa"/>
          </w:tcPr>
          <w:p w14:paraId="0559D5F7" w14:textId="0DE72DA5" w:rsidR="00001911" w:rsidRDefault="00537E7B" w:rsidP="00D60EC4">
            <w:pPr>
              <w:pStyle w:val="ListParagraph"/>
              <w:spacing w:line="360" w:lineRule="auto"/>
              <w:ind w:left="0"/>
              <w:rPr>
                <w:rFonts w:ascii="Arial" w:hAnsi="Arial" w:cs="Arial"/>
              </w:rPr>
            </w:pPr>
            <w:r>
              <w:rPr>
                <w:rFonts w:ascii="Arial" w:hAnsi="Arial" w:cs="Arial"/>
              </w:rPr>
              <w:t>100 days</w:t>
            </w:r>
          </w:p>
        </w:tc>
        <w:tc>
          <w:tcPr>
            <w:tcW w:w="1363" w:type="dxa"/>
          </w:tcPr>
          <w:p w14:paraId="6272120F" w14:textId="29E18982" w:rsidR="00001911" w:rsidRDefault="00537E7B" w:rsidP="00D60EC4">
            <w:pPr>
              <w:pStyle w:val="ListParagraph"/>
              <w:spacing w:line="360" w:lineRule="auto"/>
              <w:ind w:left="0"/>
              <w:rPr>
                <w:rFonts w:ascii="Arial" w:hAnsi="Arial" w:cs="Arial"/>
              </w:rPr>
            </w:pPr>
            <w:r>
              <w:rPr>
                <w:rFonts w:ascii="Arial" w:hAnsi="Arial" w:cs="Arial"/>
              </w:rPr>
              <w:t>131 days</w:t>
            </w:r>
          </w:p>
        </w:tc>
        <w:tc>
          <w:tcPr>
            <w:tcW w:w="1363" w:type="dxa"/>
          </w:tcPr>
          <w:p w14:paraId="4D2BC588" w14:textId="5CD47BDE" w:rsidR="00001911" w:rsidRDefault="00537E7B" w:rsidP="00D60EC4">
            <w:pPr>
              <w:pStyle w:val="ListParagraph"/>
              <w:spacing w:line="360" w:lineRule="auto"/>
              <w:ind w:left="0"/>
              <w:rPr>
                <w:rFonts w:ascii="Arial" w:hAnsi="Arial" w:cs="Arial"/>
              </w:rPr>
            </w:pPr>
            <w:r>
              <w:rPr>
                <w:rFonts w:ascii="Arial" w:hAnsi="Arial" w:cs="Arial"/>
              </w:rPr>
              <w:t>115 days</w:t>
            </w:r>
          </w:p>
        </w:tc>
        <w:tc>
          <w:tcPr>
            <w:tcW w:w="1363" w:type="dxa"/>
          </w:tcPr>
          <w:p w14:paraId="2345C474" w14:textId="08AD797B" w:rsidR="00001911" w:rsidRDefault="00537E7B" w:rsidP="00D60EC4">
            <w:pPr>
              <w:pStyle w:val="ListParagraph"/>
              <w:spacing w:line="360" w:lineRule="auto"/>
              <w:ind w:left="0"/>
              <w:rPr>
                <w:rFonts w:ascii="Arial" w:hAnsi="Arial" w:cs="Arial"/>
              </w:rPr>
            </w:pPr>
            <w:r>
              <w:rPr>
                <w:rFonts w:ascii="Arial" w:hAnsi="Arial" w:cs="Arial"/>
              </w:rPr>
              <w:t>100 days</w:t>
            </w:r>
          </w:p>
        </w:tc>
      </w:tr>
      <w:tr w:rsidR="00001911" w14:paraId="7CE00180" w14:textId="77777777" w:rsidTr="00001911">
        <w:tc>
          <w:tcPr>
            <w:tcW w:w="2160" w:type="dxa"/>
          </w:tcPr>
          <w:p w14:paraId="60D268B5" w14:textId="27A59532" w:rsidR="00001911" w:rsidRDefault="00001911" w:rsidP="00D60EC4">
            <w:pPr>
              <w:pStyle w:val="ListParagraph"/>
              <w:spacing w:line="360" w:lineRule="auto"/>
              <w:ind w:left="0"/>
              <w:rPr>
                <w:rFonts w:ascii="Arial" w:hAnsi="Arial" w:cs="Arial"/>
              </w:rPr>
            </w:pPr>
            <w:r>
              <w:rPr>
                <w:rFonts w:ascii="Arial" w:hAnsi="Arial" w:cs="Arial"/>
              </w:rPr>
              <w:t>Receivable days</w:t>
            </w:r>
          </w:p>
        </w:tc>
        <w:tc>
          <w:tcPr>
            <w:tcW w:w="1361" w:type="dxa"/>
          </w:tcPr>
          <w:p w14:paraId="0307DBBF" w14:textId="5A6809E4" w:rsidR="00001911" w:rsidRDefault="00537E7B" w:rsidP="00D60EC4">
            <w:pPr>
              <w:pStyle w:val="ListParagraph"/>
              <w:spacing w:line="360" w:lineRule="auto"/>
              <w:ind w:left="0"/>
              <w:rPr>
                <w:rFonts w:ascii="Arial" w:hAnsi="Arial" w:cs="Arial"/>
              </w:rPr>
            </w:pPr>
            <w:r>
              <w:rPr>
                <w:rFonts w:ascii="Arial" w:hAnsi="Arial" w:cs="Arial"/>
              </w:rPr>
              <w:t>106 days</w:t>
            </w:r>
          </w:p>
        </w:tc>
        <w:tc>
          <w:tcPr>
            <w:tcW w:w="1363" w:type="dxa"/>
          </w:tcPr>
          <w:p w14:paraId="5F85E8C1" w14:textId="5F038827" w:rsidR="00001911" w:rsidRDefault="00537E7B" w:rsidP="00D60EC4">
            <w:pPr>
              <w:pStyle w:val="ListParagraph"/>
              <w:spacing w:line="360" w:lineRule="auto"/>
              <w:ind w:left="0"/>
              <w:rPr>
                <w:rFonts w:ascii="Arial" w:hAnsi="Arial" w:cs="Arial"/>
              </w:rPr>
            </w:pPr>
            <w:r>
              <w:rPr>
                <w:rFonts w:ascii="Arial" w:hAnsi="Arial" w:cs="Arial"/>
              </w:rPr>
              <w:t>98 days</w:t>
            </w:r>
          </w:p>
        </w:tc>
        <w:tc>
          <w:tcPr>
            <w:tcW w:w="1363" w:type="dxa"/>
          </w:tcPr>
          <w:p w14:paraId="2F3F2110" w14:textId="36245D43" w:rsidR="00001911" w:rsidRDefault="00537E7B" w:rsidP="00D60EC4">
            <w:pPr>
              <w:pStyle w:val="ListParagraph"/>
              <w:spacing w:line="360" w:lineRule="auto"/>
              <w:ind w:left="0"/>
              <w:rPr>
                <w:rFonts w:ascii="Arial" w:hAnsi="Arial" w:cs="Arial"/>
              </w:rPr>
            </w:pPr>
            <w:r>
              <w:rPr>
                <w:rFonts w:ascii="Arial" w:hAnsi="Arial" w:cs="Arial"/>
              </w:rPr>
              <w:t>76 days</w:t>
            </w:r>
          </w:p>
        </w:tc>
        <w:tc>
          <w:tcPr>
            <w:tcW w:w="1363" w:type="dxa"/>
          </w:tcPr>
          <w:p w14:paraId="23E43157" w14:textId="58896FC2" w:rsidR="00001911" w:rsidRDefault="00537E7B" w:rsidP="00D60EC4">
            <w:pPr>
              <w:pStyle w:val="ListParagraph"/>
              <w:spacing w:line="360" w:lineRule="auto"/>
              <w:ind w:left="0"/>
              <w:rPr>
                <w:rFonts w:ascii="Arial" w:hAnsi="Arial" w:cs="Arial"/>
              </w:rPr>
            </w:pPr>
            <w:r>
              <w:rPr>
                <w:rFonts w:ascii="Arial" w:hAnsi="Arial" w:cs="Arial"/>
              </w:rPr>
              <w:t>78 days</w:t>
            </w:r>
          </w:p>
        </w:tc>
        <w:tc>
          <w:tcPr>
            <w:tcW w:w="1363" w:type="dxa"/>
          </w:tcPr>
          <w:p w14:paraId="044597DF" w14:textId="06C22B54" w:rsidR="00001911" w:rsidRDefault="00537E7B" w:rsidP="00D60EC4">
            <w:pPr>
              <w:pStyle w:val="ListParagraph"/>
              <w:spacing w:line="360" w:lineRule="auto"/>
              <w:ind w:left="0"/>
              <w:rPr>
                <w:rFonts w:ascii="Arial" w:hAnsi="Arial" w:cs="Arial"/>
              </w:rPr>
            </w:pPr>
            <w:r>
              <w:rPr>
                <w:rFonts w:ascii="Arial" w:hAnsi="Arial" w:cs="Arial"/>
              </w:rPr>
              <w:t>77 days</w:t>
            </w:r>
          </w:p>
        </w:tc>
      </w:tr>
      <w:tr w:rsidR="00001911" w14:paraId="21C0C157" w14:textId="77777777" w:rsidTr="00001911">
        <w:tc>
          <w:tcPr>
            <w:tcW w:w="2160" w:type="dxa"/>
          </w:tcPr>
          <w:p w14:paraId="38A6943F" w14:textId="0B7B8424" w:rsidR="00001911" w:rsidRDefault="00001911" w:rsidP="00D60EC4">
            <w:pPr>
              <w:pStyle w:val="ListParagraph"/>
              <w:spacing w:line="360" w:lineRule="auto"/>
              <w:ind w:left="0"/>
              <w:rPr>
                <w:rFonts w:ascii="Arial" w:hAnsi="Arial" w:cs="Arial"/>
              </w:rPr>
            </w:pPr>
            <w:r>
              <w:rPr>
                <w:rFonts w:ascii="Arial" w:hAnsi="Arial" w:cs="Arial"/>
              </w:rPr>
              <w:t>Payable days</w:t>
            </w:r>
          </w:p>
        </w:tc>
        <w:tc>
          <w:tcPr>
            <w:tcW w:w="1361" w:type="dxa"/>
          </w:tcPr>
          <w:p w14:paraId="6991FB64" w14:textId="71866C8D" w:rsidR="00001911" w:rsidRDefault="00537E7B" w:rsidP="00D60EC4">
            <w:pPr>
              <w:pStyle w:val="ListParagraph"/>
              <w:spacing w:line="360" w:lineRule="auto"/>
              <w:ind w:left="0"/>
              <w:rPr>
                <w:rFonts w:ascii="Arial" w:hAnsi="Arial" w:cs="Arial"/>
              </w:rPr>
            </w:pPr>
            <w:r>
              <w:rPr>
                <w:rFonts w:ascii="Arial" w:hAnsi="Arial" w:cs="Arial"/>
              </w:rPr>
              <w:t>94 days</w:t>
            </w:r>
          </w:p>
        </w:tc>
        <w:tc>
          <w:tcPr>
            <w:tcW w:w="1363" w:type="dxa"/>
          </w:tcPr>
          <w:p w14:paraId="2066289C" w14:textId="15465DD7" w:rsidR="00001911" w:rsidRDefault="00537E7B" w:rsidP="00D60EC4">
            <w:pPr>
              <w:pStyle w:val="ListParagraph"/>
              <w:spacing w:line="360" w:lineRule="auto"/>
              <w:ind w:left="0"/>
              <w:rPr>
                <w:rFonts w:ascii="Arial" w:hAnsi="Arial" w:cs="Arial"/>
              </w:rPr>
            </w:pPr>
            <w:r>
              <w:rPr>
                <w:rFonts w:ascii="Arial" w:hAnsi="Arial" w:cs="Arial"/>
              </w:rPr>
              <w:t>65 days</w:t>
            </w:r>
          </w:p>
        </w:tc>
        <w:tc>
          <w:tcPr>
            <w:tcW w:w="1363" w:type="dxa"/>
          </w:tcPr>
          <w:p w14:paraId="0A30B720" w14:textId="780B2404" w:rsidR="00001911" w:rsidRDefault="00537E7B" w:rsidP="00D60EC4">
            <w:pPr>
              <w:pStyle w:val="ListParagraph"/>
              <w:spacing w:line="360" w:lineRule="auto"/>
              <w:ind w:left="0"/>
              <w:rPr>
                <w:rFonts w:ascii="Arial" w:hAnsi="Arial" w:cs="Arial"/>
              </w:rPr>
            </w:pPr>
            <w:r>
              <w:rPr>
                <w:rFonts w:ascii="Arial" w:hAnsi="Arial" w:cs="Arial"/>
              </w:rPr>
              <w:t>67 days</w:t>
            </w:r>
          </w:p>
        </w:tc>
        <w:tc>
          <w:tcPr>
            <w:tcW w:w="1363" w:type="dxa"/>
          </w:tcPr>
          <w:p w14:paraId="09EE00EC" w14:textId="04815A3C" w:rsidR="00001911" w:rsidRDefault="00537E7B" w:rsidP="00D60EC4">
            <w:pPr>
              <w:pStyle w:val="ListParagraph"/>
              <w:spacing w:line="360" w:lineRule="auto"/>
              <w:ind w:left="0"/>
              <w:rPr>
                <w:rFonts w:ascii="Arial" w:hAnsi="Arial" w:cs="Arial"/>
              </w:rPr>
            </w:pPr>
            <w:r>
              <w:rPr>
                <w:rFonts w:ascii="Arial" w:hAnsi="Arial" w:cs="Arial"/>
              </w:rPr>
              <w:t>79 days</w:t>
            </w:r>
          </w:p>
        </w:tc>
        <w:tc>
          <w:tcPr>
            <w:tcW w:w="1363" w:type="dxa"/>
          </w:tcPr>
          <w:p w14:paraId="0AA61D5A" w14:textId="0592DFC4" w:rsidR="00001911" w:rsidRDefault="00537E7B" w:rsidP="00D60EC4">
            <w:pPr>
              <w:pStyle w:val="ListParagraph"/>
              <w:spacing w:line="360" w:lineRule="auto"/>
              <w:ind w:left="0"/>
              <w:rPr>
                <w:rFonts w:ascii="Arial" w:hAnsi="Arial" w:cs="Arial"/>
              </w:rPr>
            </w:pPr>
            <w:r>
              <w:rPr>
                <w:rFonts w:ascii="Arial" w:hAnsi="Arial" w:cs="Arial"/>
              </w:rPr>
              <w:t>69 days</w:t>
            </w:r>
          </w:p>
        </w:tc>
      </w:tr>
      <w:tr w:rsidR="00001911" w14:paraId="3CD2415F" w14:textId="77777777" w:rsidTr="00001911">
        <w:tc>
          <w:tcPr>
            <w:tcW w:w="2160" w:type="dxa"/>
          </w:tcPr>
          <w:p w14:paraId="7AC5F08E" w14:textId="69F49BF9" w:rsidR="00001911" w:rsidRDefault="00001911" w:rsidP="00D60EC4">
            <w:pPr>
              <w:pStyle w:val="ListParagraph"/>
              <w:spacing w:line="360" w:lineRule="auto"/>
              <w:ind w:left="0"/>
              <w:rPr>
                <w:rFonts w:ascii="Arial" w:hAnsi="Arial" w:cs="Arial"/>
              </w:rPr>
            </w:pPr>
            <w:r>
              <w:rPr>
                <w:rFonts w:ascii="Arial" w:hAnsi="Arial" w:cs="Arial"/>
              </w:rPr>
              <w:t>Cash Operating Cycle</w:t>
            </w:r>
          </w:p>
        </w:tc>
        <w:tc>
          <w:tcPr>
            <w:tcW w:w="1361" w:type="dxa"/>
          </w:tcPr>
          <w:p w14:paraId="16AA8281" w14:textId="1BE7382A" w:rsidR="00001911" w:rsidRDefault="00537E7B" w:rsidP="00D60EC4">
            <w:pPr>
              <w:pStyle w:val="ListParagraph"/>
              <w:spacing w:line="360" w:lineRule="auto"/>
              <w:ind w:left="0"/>
              <w:rPr>
                <w:rFonts w:ascii="Arial" w:hAnsi="Arial" w:cs="Arial"/>
              </w:rPr>
            </w:pPr>
            <w:r>
              <w:rPr>
                <w:rFonts w:ascii="Arial" w:hAnsi="Arial" w:cs="Arial"/>
              </w:rPr>
              <w:t>115 days</w:t>
            </w:r>
          </w:p>
        </w:tc>
        <w:tc>
          <w:tcPr>
            <w:tcW w:w="1363" w:type="dxa"/>
          </w:tcPr>
          <w:p w14:paraId="265D5FB6" w14:textId="20117BEC" w:rsidR="00001911" w:rsidRDefault="00537E7B" w:rsidP="00D60EC4">
            <w:pPr>
              <w:pStyle w:val="ListParagraph"/>
              <w:spacing w:line="360" w:lineRule="auto"/>
              <w:ind w:left="0"/>
              <w:rPr>
                <w:rFonts w:ascii="Arial" w:hAnsi="Arial" w:cs="Arial"/>
              </w:rPr>
            </w:pPr>
            <w:r>
              <w:rPr>
                <w:rFonts w:ascii="Arial" w:hAnsi="Arial" w:cs="Arial"/>
              </w:rPr>
              <w:t>133 days</w:t>
            </w:r>
          </w:p>
        </w:tc>
        <w:tc>
          <w:tcPr>
            <w:tcW w:w="1363" w:type="dxa"/>
          </w:tcPr>
          <w:p w14:paraId="672DA294" w14:textId="423D1943" w:rsidR="00001911" w:rsidRDefault="00537E7B" w:rsidP="00D60EC4">
            <w:pPr>
              <w:pStyle w:val="ListParagraph"/>
              <w:spacing w:line="360" w:lineRule="auto"/>
              <w:ind w:left="0"/>
              <w:rPr>
                <w:rFonts w:ascii="Arial" w:hAnsi="Arial" w:cs="Arial"/>
              </w:rPr>
            </w:pPr>
            <w:r>
              <w:rPr>
                <w:rFonts w:ascii="Arial" w:hAnsi="Arial" w:cs="Arial"/>
              </w:rPr>
              <w:t>140 days</w:t>
            </w:r>
          </w:p>
        </w:tc>
        <w:tc>
          <w:tcPr>
            <w:tcW w:w="1363" w:type="dxa"/>
          </w:tcPr>
          <w:p w14:paraId="5CC30352" w14:textId="3977122C" w:rsidR="00001911" w:rsidRDefault="00537E7B" w:rsidP="00D60EC4">
            <w:pPr>
              <w:pStyle w:val="ListParagraph"/>
              <w:spacing w:line="360" w:lineRule="auto"/>
              <w:ind w:left="0"/>
              <w:rPr>
                <w:rFonts w:ascii="Arial" w:hAnsi="Arial" w:cs="Arial"/>
              </w:rPr>
            </w:pPr>
            <w:r>
              <w:rPr>
                <w:rFonts w:ascii="Arial" w:hAnsi="Arial" w:cs="Arial"/>
              </w:rPr>
              <w:t>114 days</w:t>
            </w:r>
          </w:p>
        </w:tc>
        <w:tc>
          <w:tcPr>
            <w:tcW w:w="1363" w:type="dxa"/>
          </w:tcPr>
          <w:p w14:paraId="40634EC9" w14:textId="4A093B6E" w:rsidR="00001911" w:rsidRDefault="00537E7B" w:rsidP="00D60EC4">
            <w:pPr>
              <w:pStyle w:val="ListParagraph"/>
              <w:spacing w:line="360" w:lineRule="auto"/>
              <w:ind w:left="0"/>
              <w:rPr>
                <w:rFonts w:ascii="Arial" w:hAnsi="Arial" w:cs="Arial"/>
              </w:rPr>
            </w:pPr>
            <w:r>
              <w:rPr>
                <w:rFonts w:ascii="Arial" w:hAnsi="Arial" w:cs="Arial"/>
              </w:rPr>
              <w:t>108 days</w:t>
            </w:r>
          </w:p>
        </w:tc>
      </w:tr>
    </w:tbl>
    <w:p w14:paraId="3B36490E" w14:textId="77777777" w:rsidR="00537E7B" w:rsidRPr="00537E7B" w:rsidRDefault="00537E7B" w:rsidP="00537E7B">
      <w:pPr>
        <w:pStyle w:val="NormalWeb"/>
        <w:spacing w:line="360" w:lineRule="auto"/>
        <w:rPr>
          <w:rFonts w:ascii="Arial" w:hAnsi="Arial" w:cs="Arial"/>
        </w:rPr>
      </w:pPr>
      <w:r w:rsidRPr="00537E7B">
        <w:rPr>
          <w:rFonts w:ascii="Arial" w:hAnsi="Arial" w:cs="Arial"/>
        </w:rPr>
        <w:t xml:space="preserve">The cash operating cycle (COC) for General Electronics has fluctuated significantly over the past five years, ranging from </w:t>
      </w:r>
      <w:r w:rsidRPr="00537E7B">
        <w:rPr>
          <w:rStyle w:val="Strong"/>
          <w:rFonts w:ascii="Arial" w:hAnsi="Arial" w:cs="Arial"/>
          <w:b w:val="0"/>
          <w:bCs w:val="0"/>
        </w:rPr>
        <w:t>108 days in 2020</w:t>
      </w:r>
      <w:r w:rsidRPr="00537E7B">
        <w:rPr>
          <w:rFonts w:ascii="Arial" w:hAnsi="Arial" w:cs="Arial"/>
        </w:rPr>
        <w:t xml:space="preserve"> to a peak of </w:t>
      </w:r>
      <w:r w:rsidRPr="00537E7B">
        <w:rPr>
          <w:rStyle w:val="Strong"/>
          <w:rFonts w:ascii="Arial" w:hAnsi="Arial" w:cs="Arial"/>
          <w:b w:val="0"/>
          <w:bCs w:val="0"/>
        </w:rPr>
        <w:t>140 days in 2022</w:t>
      </w:r>
      <w:r w:rsidRPr="00537E7B">
        <w:rPr>
          <w:rFonts w:ascii="Arial" w:hAnsi="Arial" w:cs="Arial"/>
        </w:rPr>
        <w:t xml:space="preserve">, before moderating to </w:t>
      </w:r>
      <w:r w:rsidRPr="00537E7B">
        <w:rPr>
          <w:rStyle w:val="Strong"/>
          <w:rFonts w:ascii="Arial" w:hAnsi="Arial" w:cs="Arial"/>
          <w:b w:val="0"/>
          <w:bCs w:val="0"/>
        </w:rPr>
        <w:t>115 days in 2024</w:t>
      </w:r>
      <w:r w:rsidRPr="00537E7B">
        <w:rPr>
          <w:rFonts w:ascii="Arial" w:hAnsi="Arial" w:cs="Arial"/>
        </w:rPr>
        <w:t xml:space="preserve">. According to Atrill and McLaney </w:t>
      </w:r>
      <w:r w:rsidRPr="00537E7B">
        <w:rPr>
          <w:rFonts w:ascii="Arial" w:hAnsi="Arial" w:cs="Arial"/>
        </w:rPr>
        <w:lastRenderedPageBreak/>
        <w:t>(2022), a lengthening cycle indicates that cash is tied up for longer periods in inventory and receivables, thereby increasing reliance on external financing to sustain operations.</w:t>
      </w:r>
    </w:p>
    <w:p w14:paraId="2C9D5ED3" w14:textId="77777777" w:rsidR="00537E7B" w:rsidRPr="00537E7B" w:rsidRDefault="00537E7B" w:rsidP="00537E7B">
      <w:pPr>
        <w:pStyle w:val="NormalWeb"/>
        <w:numPr>
          <w:ilvl w:val="0"/>
          <w:numId w:val="10"/>
        </w:numPr>
        <w:spacing w:line="360" w:lineRule="auto"/>
        <w:rPr>
          <w:rFonts w:ascii="Arial" w:hAnsi="Arial" w:cs="Arial"/>
        </w:rPr>
      </w:pPr>
      <w:r w:rsidRPr="00537E7B">
        <w:rPr>
          <w:rStyle w:val="Strong"/>
          <w:rFonts w:ascii="Arial" w:hAnsi="Arial" w:cs="Arial"/>
        </w:rPr>
        <w:t>Inventory Days</w:t>
      </w:r>
      <w:r w:rsidRPr="00537E7B">
        <w:rPr>
          <w:rFonts w:ascii="Arial" w:hAnsi="Arial" w:cs="Arial"/>
        </w:rPr>
        <w:t xml:space="preserve">: Rising to 131 days in 2022 and remaining above 100 days thereafter, this suggests slower stock turnover and potential overstocking. </w:t>
      </w:r>
      <w:proofErr w:type="spellStart"/>
      <w:r w:rsidRPr="00537E7B">
        <w:rPr>
          <w:rFonts w:ascii="Arial" w:hAnsi="Arial" w:cs="Arial"/>
        </w:rPr>
        <w:t>Weetman</w:t>
      </w:r>
      <w:proofErr w:type="spellEnd"/>
      <w:r w:rsidRPr="00537E7B">
        <w:rPr>
          <w:rFonts w:ascii="Arial" w:hAnsi="Arial" w:cs="Arial"/>
        </w:rPr>
        <w:t xml:space="preserve"> (2013) stresses that high inventory days reflect inefficiencies in working capital management and expose firms to risks of obsolescence and carrying costs.</w:t>
      </w:r>
    </w:p>
    <w:p w14:paraId="2C4B9C18" w14:textId="77777777" w:rsidR="00537E7B" w:rsidRPr="00537E7B" w:rsidRDefault="00537E7B" w:rsidP="00537E7B">
      <w:pPr>
        <w:pStyle w:val="NormalWeb"/>
        <w:numPr>
          <w:ilvl w:val="0"/>
          <w:numId w:val="10"/>
        </w:numPr>
        <w:spacing w:line="360" w:lineRule="auto"/>
        <w:rPr>
          <w:rFonts w:ascii="Arial" w:hAnsi="Arial" w:cs="Arial"/>
        </w:rPr>
      </w:pPr>
      <w:r w:rsidRPr="00537E7B">
        <w:rPr>
          <w:rStyle w:val="Strong"/>
          <w:rFonts w:ascii="Arial" w:hAnsi="Arial" w:cs="Arial"/>
        </w:rPr>
        <w:t>Receivable Days</w:t>
      </w:r>
      <w:r w:rsidRPr="00537E7B">
        <w:rPr>
          <w:rFonts w:ascii="Arial" w:hAnsi="Arial" w:cs="Arial"/>
        </w:rPr>
        <w:t>: Increasing from 76 days in 2022 to 106 days in 2024 highlights deteriorating credit control. Dyson (2017) notes that extended receivable periods weaken liquidity and may signal poor enforcement of credit policies, raising the risk of bad debts.</w:t>
      </w:r>
    </w:p>
    <w:p w14:paraId="6BB01D95" w14:textId="77777777" w:rsidR="00537E7B" w:rsidRPr="00537E7B" w:rsidRDefault="00537E7B" w:rsidP="00537E7B">
      <w:pPr>
        <w:pStyle w:val="NormalWeb"/>
        <w:numPr>
          <w:ilvl w:val="0"/>
          <w:numId w:val="10"/>
        </w:numPr>
        <w:spacing w:line="360" w:lineRule="auto"/>
        <w:rPr>
          <w:rFonts w:ascii="Arial" w:hAnsi="Arial" w:cs="Arial"/>
        </w:rPr>
      </w:pPr>
      <w:r w:rsidRPr="00537E7B">
        <w:rPr>
          <w:rStyle w:val="Strong"/>
          <w:rFonts w:ascii="Arial" w:hAnsi="Arial" w:cs="Arial"/>
        </w:rPr>
        <w:t>Payable Days</w:t>
      </w:r>
      <w:r w:rsidRPr="00537E7B">
        <w:rPr>
          <w:rFonts w:ascii="Arial" w:hAnsi="Arial" w:cs="Arial"/>
        </w:rPr>
        <w:t>: Climbing from 65 days in 2023 to 94 days in 2024, this indicates the firm is stretching supplier credit to offset liquidity pressures. Arnold (2013) cautions that while longer payables can temporarily improve cash flow, excessive delays may damage supplier relationships and erode trust.</w:t>
      </w:r>
    </w:p>
    <w:p w14:paraId="5E6BC74D" w14:textId="6D91B002" w:rsidR="00537E7B" w:rsidRDefault="00537E7B" w:rsidP="00537E7B">
      <w:pPr>
        <w:pStyle w:val="NormalWeb"/>
        <w:spacing w:line="360" w:lineRule="auto"/>
        <w:rPr>
          <w:rFonts w:ascii="Arial" w:hAnsi="Arial" w:cs="Arial"/>
        </w:rPr>
      </w:pPr>
      <w:r w:rsidRPr="00537E7B">
        <w:rPr>
          <w:rFonts w:ascii="Arial" w:hAnsi="Arial" w:cs="Arial"/>
        </w:rPr>
        <w:t xml:space="preserve">Overall, the COC analysis reveals that General Electronics is experiencing </w:t>
      </w:r>
      <w:r w:rsidRPr="00537E7B">
        <w:rPr>
          <w:rStyle w:val="Strong"/>
          <w:rFonts w:ascii="Arial" w:hAnsi="Arial" w:cs="Arial"/>
          <w:b w:val="0"/>
          <w:bCs w:val="0"/>
        </w:rPr>
        <w:t>working capital inefficiency</w:t>
      </w:r>
      <w:r w:rsidRPr="00537E7B">
        <w:rPr>
          <w:rFonts w:ascii="Arial" w:hAnsi="Arial" w:cs="Arial"/>
        </w:rPr>
        <w:t>, with cash locked in inventory and receivables while payables are extended. Brigham and Ehrhardt (2016) argue that such inefficiencies increase financing requirements, raise the cost of capital, and heighten financial risk. The persistence of a cycle exceeding 100 days underscores the urgent need for reforms in inventory management, receivables collection, and supplier negotiations to restore liquidity and operational resilience.</w:t>
      </w:r>
    </w:p>
    <w:p w14:paraId="091A22C8" w14:textId="7FB9987F" w:rsidR="00537E7B" w:rsidRPr="00DC6263" w:rsidRDefault="00537E7B" w:rsidP="00894141">
      <w:pPr>
        <w:pStyle w:val="Heading2"/>
        <w:spacing w:line="360" w:lineRule="auto"/>
        <w:rPr>
          <w:rFonts w:ascii="Arial" w:hAnsi="Arial" w:cs="Arial"/>
          <w:b w:val="0"/>
          <w:bCs w:val="0"/>
          <w:color w:val="000000" w:themeColor="text1"/>
        </w:rPr>
      </w:pPr>
      <w:bookmarkStart w:id="17" w:name="_Toc214656939"/>
      <w:r w:rsidRPr="00DC6263">
        <w:rPr>
          <w:rFonts w:ascii="Arial" w:hAnsi="Arial" w:cs="Arial"/>
          <w:b w:val="0"/>
          <w:bCs w:val="0"/>
          <w:color w:val="000000" w:themeColor="text1"/>
        </w:rPr>
        <w:t>2.2 Recommended strategies to improve liquidity through working capital reforms</w:t>
      </w:r>
      <w:bookmarkEnd w:id="17"/>
    </w:p>
    <w:p w14:paraId="6B629DC1" w14:textId="77777777" w:rsidR="00537E7B" w:rsidRPr="00894141" w:rsidRDefault="00537E7B" w:rsidP="00894141">
      <w:pPr>
        <w:pStyle w:val="NormalWeb"/>
        <w:spacing w:line="360" w:lineRule="auto"/>
        <w:rPr>
          <w:rFonts w:ascii="Arial" w:hAnsi="Arial" w:cs="Arial"/>
        </w:rPr>
      </w:pPr>
      <w:r w:rsidRPr="00894141">
        <w:rPr>
          <w:rFonts w:ascii="Arial" w:hAnsi="Arial" w:cs="Arial"/>
        </w:rPr>
        <w:t xml:space="preserve">Improving liquidity requires reforms in the management of inventory, receivables, payables, and cash. As </w:t>
      </w:r>
      <w:proofErr w:type="spellStart"/>
      <w:r w:rsidRPr="00894141">
        <w:rPr>
          <w:rFonts w:ascii="Arial" w:hAnsi="Arial" w:cs="Arial"/>
        </w:rPr>
        <w:t>Weetman</w:t>
      </w:r>
      <w:proofErr w:type="spellEnd"/>
      <w:r w:rsidRPr="00894141">
        <w:rPr>
          <w:rFonts w:ascii="Arial" w:hAnsi="Arial" w:cs="Arial"/>
        </w:rPr>
        <w:t xml:space="preserve"> (2013) emphasises, effective working capital management ensures that firms can meet short</w:t>
      </w:r>
      <w:r w:rsidRPr="00894141">
        <w:rPr>
          <w:rFonts w:ascii="Arial" w:hAnsi="Arial" w:cs="Arial"/>
        </w:rPr>
        <w:noBreakHyphen/>
        <w:t>term obligations while maintaining operational efficiency. For General Electronics, the persistent lengthening of the cash operating cycle highlights the need for targeted reforms.</w:t>
      </w:r>
    </w:p>
    <w:p w14:paraId="414ADEB0" w14:textId="77777777" w:rsidR="00537E7B" w:rsidRPr="00894141" w:rsidRDefault="00537E7B" w:rsidP="00894141">
      <w:pPr>
        <w:pStyle w:val="NormalWeb"/>
        <w:spacing w:line="360" w:lineRule="auto"/>
        <w:rPr>
          <w:rFonts w:ascii="Arial" w:hAnsi="Arial" w:cs="Arial"/>
        </w:rPr>
      </w:pPr>
      <w:r w:rsidRPr="00894141">
        <w:rPr>
          <w:rStyle w:val="Strong"/>
          <w:rFonts w:ascii="Arial" w:hAnsi="Arial" w:cs="Arial"/>
        </w:rPr>
        <w:lastRenderedPageBreak/>
        <w:t>1. Inventory Optimisation</w:t>
      </w:r>
      <w:r w:rsidRPr="00894141">
        <w:rPr>
          <w:rFonts w:ascii="Arial" w:hAnsi="Arial" w:cs="Arial"/>
        </w:rPr>
        <w:t xml:space="preserve"> Inventory days have remained high, exceeding 100 days in recent years. Atrill and McLaney (2022) argue that excessive stock levels tie up cash and increase risks of obsolescence. General Electronics should adopt lean inventory practices, such as just</w:t>
      </w:r>
      <w:r w:rsidRPr="00894141">
        <w:rPr>
          <w:rFonts w:ascii="Arial" w:hAnsi="Arial" w:cs="Arial"/>
        </w:rPr>
        <w:noBreakHyphen/>
        <w:t>in</w:t>
      </w:r>
      <w:r w:rsidRPr="00894141">
        <w:rPr>
          <w:rFonts w:ascii="Arial" w:hAnsi="Arial" w:cs="Arial"/>
        </w:rPr>
        <w:noBreakHyphen/>
        <w:t>time (JIT) systems and improved demand forecasting, to accelerate turnover. This would reduce carrying costs and release cash for other operational needs.</w:t>
      </w:r>
    </w:p>
    <w:p w14:paraId="704DDD3A" w14:textId="77777777" w:rsidR="00537E7B" w:rsidRPr="00894141" w:rsidRDefault="00537E7B" w:rsidP="00894141">
      <w:pPr>
        <w:pStyle w:val="NormalWeb"/>
        <w:spacing w:line="360" w:lineRule="auto"/>
        <w:rPr>
          <w:rFonts w:ascii="Arial" w:hAnsi="Arial" w:cs="Arial"/>
        </w:rPr>
      </w:pPr>
      <w:r w:rsidRPr="00894141">
        <w:rPr>
          <w:rStyle w:val="Strong"/>
          <w:rFonts w:ascii="Arial" w:hAnsi="Arial" w:cs="Arial"/>
        </w:rPr>
        <w:t>2. Receivables Management</w:t>
      </w:r>
      <w:r w:rsidRPr="00894141">
        <w:rPr>
          <w:rFonts w:ascii="Arial" w:hAnsi="Arial" w:cs="Arial"/>
        </w:rPr>
        <w:t xml:space="preserve"> Receivable days rose to 106 in 2024, signalling weak credit control. Dyson (2017) notes that extended collection periods undermine liquidity and increase exposure to bad debts. The company should tighten credit policies, introduce early payment incentives, and strengthen collection procedures. Implementing customer credit scoring and monitoring systems would help balance sales growth with cash flow discipline.</w:t>
      </w:r>
    </w:p>
    <w:p w14:paraId="762CEB5C" w14:textId="77777777" w:rsidR="00537E7B" w:rsidRPr="00894141" w:rsidRDefault="00537E7B" w:rsidP="00894141">
      <w:pPr>
        <w:pStyle w:val="NormalWeb"/>
        <w:spacing w:line="360" w:lineRule="auto"/>
        <w:rPr>
          <w:rFonts w:ascii="Arial" w:hAnsi="Arial" w:cs="Arial"/>
        </w:rPr>
      </w:pPr>
      <w:r w:rsidRPr="00894141">
        <w:rPr>
          <w:rStyle w:val="Strong"/>
          <w:rFonts w:ascii="Arial" w:hAnsi="Arial" w:cs="Arial"/>
        </w:rPr>
        <w:t>3. Payables Management</w:t>
      </w:r>
      <w:r w:rsidRPr="00894141">
        <w:rPr>
          <w:rFonts w:ascii="Arial" w:hAnsi="Arial" w:cs="Arial"/>
        </w:rPr>
        <w:t xml:space="preserve"> Payable days increased to 94 in 2024, reflecting reliance on supplier credit. Arnold (2013) cautions that while stretching payables can ease short</w:t>
      </w:r>
      <w:r w:rsidRPr="00894141">
        <w:rPr>
          <w:rFonts w:ascii="Arial" w:hAnsi="Arial" w:cs="Arial"/>
        </w:rPr>
        <w:noBreakHyphen/>
        <w:t>term cash pressures, excessive delays risk damaging supplier relationships. General Electronics should renegotiate terms with key suppliers to secure longer but sustainable credit periods, ensuring liquidity support without eroding trust or supply chain stability.</w:t>
      </w:r>
    </w:p>
    <w:p w14:paraId="344E1AD7" w14:textId="77777777" w:rsidR="00537E7B" w:rsidRPr="00894141" w:rsidRDefault="00537E7B" w:rsidP="00894141">
      <w:pPr>
        <w:pStyle w:val="NormalWeb"/>
        <w:spacing w:line="360" w:lineRule="auto"/>
        <w:rPr>
          <w:rFonts w:ascii="Arial" w:hAnsi="Arial" w:cs="Arial"/>
        </w:rPr>
      </w:pPr>
      <w:r w:rsidRPr="00894141">
        <w:rPr>
          <w:rStyle w:val="Strong"/>
          <w:rFonts w:ascii="Arial" w:hAnsi="Arial" w:cs="Arial"/>
        </w:rPr>
        <w:t>4. Cash Flow Forecasting and Control</w:t>
      </w:r>
      <w:r w:rsidRPr="00894141">
        <w:rPr>
          <w:rFonts w:ascii="Arial" w:hAnsi="Arial" w:cs="Arial"/>
        </w:rPr>
        <w:t xml:space="preserve"> Brigham and Ehrhardt (2016) highlight that robust cash forecasting enables firms to anticipate shortfalls and plan financing needs. General Electronics should implement centralised treasury management and rolling cash forecasts to monitor inflows and outflows more accurately. This would allow proactive adjustments, such as arranging short</w:t>
      </w:r>
      <w:r w:rsidRPr="00894141">
        <w:rPr>
          <w:rFonts w:ascii="Arial" w:hAnsi="Arial" w:cs="Arial"/>
        </w:rPr>
        <w:noBreakHyphen/>
        <w:t>term credit facilities or delaying discretionary expenditure.</w:t>
      </w:r>
    </w:p>
    <w:p w14:paraId="33686BAB" w14:textId="2408A32F" w:rsidR="00537E7B" w:rsidRDefault="00537E7B" w:rsidP="00894141">
      <w:pPr>
        <w:pStyle w:val="NormalWeb"/>
        <w:spacing w:line="360" w:lineRule="auto"/>
        <w:rPr>
          <w:rFonts w:ascii="Arial" w:hAnsi="Arial" w:cs="Arial"/>
        </w:rPr>
      </w:pPr>
      <w:r w:rsidRPr="00894141">
        <w:rPr>
          <w:rStyle w:val="Strong"/>
          <w:rFonts w:ascii="Arial" w:hAnsi="Arial" w:cs="Arial"/>
        </w:rPr>
        <w:t>5. Technology and Process Integration</w:t>
      </w:r>
      <w:r w:rsidRPr="00894141">
        <w:rPr>
          <w:rFonts w:ascii="Arial" w:hAnsi="Arial" w:cs="Arial"/>
        </w:rPr>
        <w:t xml:space="preserve"> Atrill and McLaney (2022) emphasise the role of integrated systems in improving working capital efficiency. Adopting enterprise resource planning (ERP) tools would provide real</w:t>
      </w:r>
      <w:r w:rsidRPr="00894141">
        <w:rPr>
          <w:rFonts w:ascii="Arial" w:hAnsi="Arial" w:cs="Arial"/>
        </w:rPr>
        <w:noBreakHyphen/>
        <w:t>time visibility of inventory, receivables, and payables, enabling faster decision</w:t>
      </w:r>
      <w:r w:rsidRPr="00894141">
        <w:rPr>
          <w:rFonts w:ascii="Arial" w:hAnsi="Arial" w:cs="Arial"/>
        </w:rPr>
        <w:noBreakHyphen/>
        <w:t>making and tighter control over liquidity.</w:t>
      </w:r>
    </w:p>
    <w:p w14:paraId="7A6905BB" w14:textId="3477A099" w:rsidR="00894141" w:rsidRDefault="00894141" w:rsidP="00894141">
      <w:pPr>
        <w:pStyle w:val="NormalWeb"/>
        <w:spacing w:line="360" w:lineRule="auto"/>
        <w:rPr>
          <w:rFonts w:ascii="Arial" w:hAnsi="Arial" w:cs="Arial"/>
        </w:rPr>
      </w:pPr>
      <w:r w:rsidRPr="00894141">
        <w:rPr>
          <w:rFonts w:ascii="Arial" w:hAnsi="Arial" w:cs="Arial"/>
        </w:rPr>
        <w:lastRenderedPageBreak/>
        <w:t xml:space="preserve">By reforming inventory, receivables, payables, and cash management, General Electronics can shorten its cash operating cycle, reduce reliance on external financing, and strengthen liquidity. These reforms align with </w:t>
      </w:r>
      <w:proofErr w:type="spellStart"/>
      <w:r w:rsidRPr="00894141">
        <w:rPr>
          <w:rFonts w:ascii="Arial" w:hAnsi="Arial" w:cs="Arial"/>
        </w:rPr>
        <w:t>Weetman’s</w:t>
      </w:r>
      <w:proofErr w:type="spellEnd"/>
      <w:r w:rsidRPr="00894141">
        <w:rPr>
          <w:rFonts w:ascii="Arial" w:hAnsi="Arial" w:cs="Arial"/>
        </w:rPr>
        <w:t xml:space="preserve"> (2013) principle that working capital efficiency is central to financial resilience and provide a foundation for the broader restructuring strategy.</w:t>
      </w:r>
    </w:p>
    <w:p w14:paraId="6C58D1C4" w14:textId="6E33E317" w:rsidR="00894141" w:rsidRPr="00DC6263" w:rsidRDefault="00894141" w:rsidP="00894141">
      <w:pPr>
        <w:pStyle w:val="Heading2"/>
        <w:spacing w:line="360" w:lineRule="auto"/>
        <w:rPr>
          <w:rFonts w:ascii="Arial" w:hAnsi="Arial" w:cs="Arial"/>
          <w:b w:val="0"/>
          <w:bCs w:val="0"/>
          <w:color w:val="000000" w:themeColor="text1"/>
        </w:rPr>
      </w:pPr>
      <w:bookmarkStart w:id="18" w:name="_Toc214656940"/>
      <w:r w:rsidRPr="00DC6263">
        <w:rPr>
          <w:rFonts w:ascii="Arial" w:hAnsi="Arial" w:cs="Arial"/>
          <w:b w:val="0"/>
          <w:bCs w:val="0"/>
          <w:color w:val="000000" w:themeColor="text1"/>
        </w:rPr>
        <w:t xml:space="preserve">2.3 Comparison of </w:t>
      </w:r>
      <w:r w:rsidR="00237064" w:rsidRPr="00DC6263">
        <w:rPr>
          <w:rFonts w:ascii="Arial" w:hAnsi="Arial" w:cs="Arial"/>
          <w:b w:val="0"/>
          <w:bCs w:val="0"/>
          <w:color w:val="000000" w:themeColor="text1"/>
        </w:rPr>
        <w:t>short-term</w:t>
      </w:r>
      <w:r w:rsidRPr="00DC6263">
        <w:rPr>
          <w:rFonts w:ascii="Arial" w:hAnsi="Arial" w:cs="Arial"/>
          <w:b w:val="0"/>
          <w:bCs w:val="0"/>
          <w:color w:val="000000" w:themeColor="text1"/>
        </w:rPr>
        <w:t xml:space="preserve"> vs long term financing options</w:t>
      </w:r>
      <w:bookmarkEnd w:id="18"/>
    </w:p>
    <w:p w14:paraId="0C731378" w14:textId="77777777" w:rsidR="00894141" w:rsidRPr="00894141" w:rsidRDefault="00894141" w:rsidP="00894141">
      <w:pPr>
        <w:pStyle w:val="NormalWeb"/>
        <w:spacing w:line="360" w:lineRule="auto"/>
        <w:rPr>
          <w:rFonts w:ascii="Arial" w:hAnsi="Arial" w:cs="Arial"/>
        </w:rPr>
      </w:pPr>
      <w:r w:rsidRPr="00894141">
        <w:rPr>
          <w:rFonts w:ascii="Arial" w:hAnsi="Arial" w:cs="Arial"/>
        </w:rPr>
        <w:t xml:space="preserve">Liquidity pressures at General Electronics require careful consideration of financing strategies. As </w:t>
      </w:r>
      <w:proofErr w:type="spellStart"/>
      <w:r w:rsidRPr="00894141">
        <w:rPr>
          <w:rFonts w:ascii="Arial" w:hAnsi="Arial" w:cs="Arial"/>
        </w:rPr>
        <w:t>Weetman</w:t>
      </w:r>
      <w:proofErr w:type="spellEnd"/>
      <w:r w:rsidRPr="00894141">
        <w:rPr>
          <w:rFonts w:ascii="Arial" w:hAnsi="Arial" w:cs="Arial"/>
        </w:rPr>
        <w:t xml:space="preserve"> (2013) highlights, firms must balance immediate cash needs with long</w:t>
      </w:r>
      <w:r w:rsidRPr="00894141">
        <w:rPr>
          <w:rFonts w:ascii="Arial" w:hAnsi="Arial" w:cs="Arial"/>
        </w:rPr>
        <w:noBreakHyphen/>
        <w:t>term financial stability. Short</w:t>
      </w:r>
      <w:r w:rsidRPr="00894141">
        <w:rPr>
          <w:rFonts w:ascii="Arial" w:hAnsi="Arial" w:cs="Arial"/>
        </w:rPr>
        <w:noBreakHyphen/>
        <w:t>term and long</w:t>
      </w:r>
      <w:r w:rsidRPr="00894141">
        <w:rPr>
          <w:rFonts w:ascii="Arial" w:hAnsi="Arial" w:cs="Arial"/>
        </w:rPr>
        <w:noBreakHyphen/>
        <w:t>term financing each offer distinct advantages and risks.</w:t>
      </w:r>
    </w:p>
    <w:p w14:paraId="35BEA01C" w14:textId="77777777" w:rsidR="00894141" w:rsidRPr="00894141" w:rsidRDefault="00894141" w:rsidP="00894141">
      <w:pPr>
        <w:pStyle w:val="NormalWeb"/>
        <w:spacing w:line="360" w:lineRule="auto"/>
        <w:rPr>
          <w:rFonts w:ascii="Arial" w:hAnsi="Arial" w:cs="Arial"/>
        </w:rPr>
      </w:pPr>
      <w:r w:rsidRPr="00894141">
        <w:rPr>
          <w:rStyle w:val="Strong"/>
          <w:rFonts w:ascii="Arial" w:hAnsi="Arial" w:cs="Arial"/>
        </w:rPr>
        <w:t>Short</w:t>
      </w:r>
      <w:r w:rsidRPr="00894141">
        <w:rPr>
          <w:rStyle w:val="Strong"/>
          <w:rFonts w:ascii="Arial" w:hAnsi="Arial" w:cs="Arial"/>
        </w:rPr>
        <w:noBreakHyphen/>
        <w:t>Term Financing Options</w:t>
      </w:r>
      <w:r w:rsidRPr="00894141">
        <w:rPr>
          <w:rFonts w:ascii="Arial" w:hAnsi="Arial" w:cs="Arial"/>
        </w:rPr>
        <w:t xml:space="preserve"> Short</w:t>
      </w:r>
      <w:r w:rsidRPr="00894141">
        <w:rPr>
          <w:rFonts w:ascii="Arial" w:hAnsi="Arial" w:cs="Arial"/>
        </w:rPr>
        <w:noBreakHyphen/>
        <w:t>term financing includes bank overdrafts, trade credit, factoring of receivables, and short</w:t>
      </w:r>
      <w:r w:rsidRPr="00894141">
        <w:rPr>
          <w:rFonts w:ascii="Arial" w:hAnsi="Arial" w:cs="Arial"/>
        </w:rPr>
        <w:noBreakHyphen/>
        <w:t>term loans. Atrill and McLaney (2022) note that these instruments provide rapid access to cash, enabling firms to cover working capital gaps and unexpected expenses. For General Electronics, reliance on supplier credit has already extended payable days to 94 in 2024, demonstrating the use of short</w:t>
      </w:r>
      <w:r w:rsidRPr="00894141">
        <w:rPr>
          <w:rFonts w:ascii="Arial" w:hAnsi="Arial" w:cs="Arial"/>
        </w:rPr>
        <w:noBreakHyphen/>
        <w:t>term financing in practice. The key benefits are flexibility and speed; however, Dyson (2017) cautions that short</w:t>
      </w:r>
      <w:r w:rsidRPr="00894141">
        <w:rPr>
          <w:rFonts w:ascii="Arial" w:hAnsi="Arial" w:cs="Arial"/>
        </w:rPr>
        <w:noBreakHyphen/>
        <w:t>term borrowing often carries higher interest rates and refinancing risk. Excessive dependence may exacerbate liquidity stress and erode supplier trust.</w:t>
      </w:r>
    </w:p>
    <w:p w14:paraId="6D1130E1" w14:textId="77777777" w:rsidR="00894141" w:rsidRPr="00894141" w:rsidRDefault="00894141" w:rsidP="00894141">
      <w:pPr>
        <w:pStyle w:val="NormalWeb"/>
        <w:spacing w:line="360" w:lineRule="auto"/>
        <w:rPr>
          <w:rFonts w:ascii="Arial" w:hAnsi="Arial" w:cs="Arial"/>
        </w:rPr>
      </w:pPr>
      <w:r w:rsidRPr="00894141">
        <w:rPr>
          <w:rStyle w:val="Strong"/>
          <w:rFonts w:ascii="Arial" w:hAnsi="Arial" w:cs="Arial"/>
        </w:rPr>
        <w:t>Long</w:t>
      </w:r>
      <w:r w:rsidRPr="00894141">
        <w:rPr>
          <w:rStyle w:val="Strong"/>
          <w:rFonts w:ascii="Arial" w:hAnsi="Arial" w:cs="Arial"/>
        </w:rPr>
        <w:noBreakHyphen/>
        <w:t>Term Financing Options</w:t>
      </w:r>
      <w:r w:rsidRPr="00894141">
        <w:rPr>
          <w:rFonts w:ascii="Arial" w:hAnsi="Arial" w:cs="Arial"/>
        </w:rPr>
        <w:t xml:space="preserve"> Long</w:t>
      </w:r>
      <w:r w:rsidRPr="00894141">
        <w:rPr>
          <w:rFonts w:ascii="Arial" w:hAnsi="Arial" w:cs="Arial"/>
        </w:rPr>
        <w:noBreakHyphen/>
        <w:t>term financing includes equity injections, retained earnings, bonds, and long</w:t>
      </w:r>
      <w:r w:rsidRPr="00894141">
        <w:rPr>
          <w:rFonts w:ascii="Arial" w:hAnsi="Arial" w:cs="Arial"/>
        </w:rPr>
        <w:noBreakHyphen/>
        <w:t>term loans. Arnold (2013) explains that long</w:t>
      </w:r>
      <w:r w:rsidRPr="00894141">
        <w:rPr>
          <w:rFonts w:ascii="Arial" w:hAnsi="Arial" w:cs="Arial"/>
        </w:rPr>
        <w:noBreakHyphen/>
        <w:t>term capital provides stability, supports strategic investments, and reduces refinancing pressure. Brigham and Ehrhardt (2016) emphasise that restructuring debt into longer maturities lowers liquidity risk and aligns repayment schedules with cash flow generation. For General Electronics, equity financing could strengthen solvency and reduce gearing, while long</w:t>
      </w:r>
      <w:r w:rsidRPr="00894141">
        <w:rPr>
          <w:rFonts w:ascii="Arial" w:hAnsi="Arial" w:cs="Arial"/>
        </w:rPr>
        <w:noBreakHyphen/>
        <w:t>term debt restructuring would ease immediate repayment obligations. The drawback is reduced flexibility and potential dilution of shareholder value if new equity is issued.</w:t>
      </w:r>
    </w:p>
    <w:p w14:paraId="478D185B" w14:textId="7B9FF055" w:rsidR="00894141" w:rsidRDefault="00894141" w:rsidP="00894141">
      <w:pPr>
        <w:pStyle w:val="NormalWeb"/>
        <w:spacing w:line="360" w:lineRule="auto"/>
        <w:rPr>
          <w:rFonts w:ascii="Arial" w:hAnsi="Arial" w:cs="Arial"/>
        </w:rPr>
      </w:pPr>
      <w:r w:rsidRPr="00894141">
        <w:rPr>
          <w:rStyle w:val="Strong"/>
          <w:rFonts w:ascii="Arial" w:hAnsi="Arial" w:cs="Arial"/>
        </w:rPr>
        <w:t>Comparison and Strategic Implications</w:t>
      </w:r>
      <w:r w:rsidRPr="00894141">
        <w:rPr>
          <w:rFonts w:ascii="Arial" w:hAnsi="Arial" w:cs="Arial"/>
        </w:rPr>
        <w:t xml:space="preserve"> Short</w:t>
      </w:r>
      <w:r w:rsidRPr="00894141">
        <w:rPr>
          <w:rFonts w:ascii="Arial" w:hAnsi="Arial" w:cs="Arial"/>
        </w:rPr>
        <w:noBreakHyphen/>
        <w:t xml:space="preserve">term financing is best suited for immediate liquidity crises, offering quick relief but at the cost of higher risk and </w:t>
      </w:r>
      <w:r w:rsidRPr="00894141">
        <w:rPr>
          <w:rFonts w:ascii="Arial" w:hAnsi="Arial" w:cs="Arial"/>
        </w:rPr>
        <w:lastRenderedPageBreak/>
        <w:t>potential supplier strain. Long</w:t>
      </w:r>
      <w:r w:rsidRPr="00894141">
        <w:rPr>
          <w:rFonts w:ascii="Arial" w:hAnsi="Arial" w:cs="Arial"/>
        </w:rPr>
        <w:noBreakHyphen/>
        <w:t>term financing, by contrast, enhances stability and supports restructuring, but requires stronger investor confidence and may dilute ownership. As Atrill and McLaney (2022) argue, effective financial management involves balancing both approaches: using short</w:t>
      </w:r>
      <w:r w:rsidRPr="00894141">
        <w:rPr>
          <w:rFonts w:ascii="Arial" w:hAnsi="Arial" w:cs="Arial"/>
        </w:rPr>
        <w:noBreakHyphen/>
        <w:t>term instruments to bridge immediate gaps while pursuing long</w:t>
      </w:r>
      <w:r w:rsidRPr="00894141">
        <w:rPr>
          <w:rFonts w:ascii="Arial" w:hAnsi="Arial" w:cs="Arial"/>
        </w:rPr>
        <w:noBreakHyphen/>
        <w:t>term restructuring to restore solvency and reduce the weighted average cost of capital (WACC).</w:t>
      </w:r>
    </w:p>
    <w:p w14:paraId="41D3E07E" w14:textId="7E8465A1" w:rsidR="00894141" w:rsidRDefault="00894141" w:rsidP="00894141">
      <w:pPr>
        <w:pStyle w:val="Heading1"/>
        <w:rPr>
          <w:rFonts w:ascii="Arial" w:hAnsi="Arial" w:cs="Arial"/>
          <w:color w:val="000000" w:themeColor="text1"/>
        </w:rPr>
      </w:pPr>
      <w:bookmarkStart w:id="19" w:name="_Toc214656941"/>
      <w:r w:rsidRPr="00894141">
        <w:rPr>
          <w:rFonts w:ascii="Arial" w:hAnsi="Arial" w:cs="Arial"/>
          <w:color w:val="000000" w:themeColor="text1"/>
        </w:rPr>
        <w:t>3. Strategic Financial Restructuring Plan</w:t>
      </w:r>
      <w:bookmarkEnd w:id="19"/>
    </w:p>
    <w:p w14:paraId="383BCC72" w14:textId="08E83E69" w:rsidR="00894141" w:rsidRPr="00DC6263" w:rsidRDefault="00894141" w:rsidP="00894141">
      <w:pPr>
        <w:pStyle w:val="Heading2"/>
        <w:rPr>
          <w:rFonts w:ascii="Arial" w:hAnsi="Arial" w:cs="Arial"/>
          <w:b w:val="0"/>
          <w:bCs w:val="0"/>
          <w:color w:val="000000" w:themeColor="text1"/>
        </w:rPr>
      </w:pPr>
      <w:bookmarkStart w:id="20" w:name="_Toc214656942"/>
      <w:r w:rsidRPr="00DC6263">
        <w:rPr>
          <w:rFonts w:ascii="Arial" w:hAnsi="Arial" w:cs="Arial"/>
          <w:b w:val="0"/>
          <w:bCs w:val="0"/>
          <w:color w:val="000000" w:themeColor="text1"/>
        </w:rPr>
        <w:t>3.1 Recommended financial restructuring options</w:t>
      </w:r>
      <w:bookmarkEnd w:id="20"/>
    </w:p>
    <w:p w14:paraId="5B5A7AA3" w14:textId="6DE8C235" w:rsidR="00894141" w:rsidRPr="00894141" w:rsidRDefault="00894141" w:rsidP="00894141">
      <w:pPr>
        <w:pStyle w:val="NormalWeb"/>
        <w:spacing w:line="360" w:lineRule="auto"/>
        <w:rPr>
          <w:rFonts w:ascii="Arial" w:hAnsi="Arial" w:cs="Arial"/>
        </w:rPr>
      </w:pPr>
      <w:r w:rsidRPr="00894141">
        <w:rPr>
          <w:rFonts w:ascii="Arial" w:hAnsi="Arial" w:cs="Arial"/>
        </w:rPr>
        <w:t xml:space="preserve">General Electronics deteriorating profitability, weak liquidity, and rising gearing ratios highlight the urgent need for financial restructuring. As </w:t>
      </w:r>
      <w:proofErr w:type="spellStart"/>
      <w:r w:rsidRPr="00894141">
        <w:rPr>
          <w:rFonts w:ascii="Arial" w:hAnsi="Arial" w:cs="Arial"/>
        </w:rPr>
        <w:t>Weetman</w:t>
      </w:r>
      <w:proofErr w:type="spellEnd"/>
      <w:r w:rsidRPr="00894141">
        <w:rPr>
          <w:rFonts w:ascii="Arial" w:hAnsi="Arial" w:cs="Arial"/>
        </w:rPr>
        <w:t xml:space="preserve"> (2013) emphasises, restructuring should restore solvency, reduce financing costs, and improve operational flexibility. Several options are available:</w:t>
      </w:r>
    </w:p>
    <w:p w14:paraId="391FA6FE" w14:textId="77777777" w:rsidR="00894141" w:rsidRPr="00894141" w:rsidRDefault="00894141" w:rsidP="00894141">
      <w:pPr>
        <w:pStyle w:val="NormalWeb"/>
        <w:spacing w:line="360" w:lineRule="auto"/>
        <w:rPr>
          <w:rFonts w:ascii="Arial" w:hAnsi="Arial" w:cs="Arial"/>
        </w:rPr>
      </w:pPr>
      <w:r w:rsidRPr="00894141">
        <w:rPr>
          <w:rStyle w:val="Strong"/>
          <w:rFonts w:ascii="Arial" w:hAnsi="Arial" w:cs="Arial"/>
        </w:rPr>
        <w:t>1. Divestiture of Non</w:t>
      </w:r>
      <w:r w:rsidRPr="00894141">
        <w:rPr>
          <w:rStyle w:val="Strong"/>
          <w:rFonts w:ascii="Arial" w:hAnsi="Arial" w:cs="Arial"/>
        </w:rPr>
        <w:noBreakHyphen/>
        <w:t>Core Assets</w:t>
      </w:r>
      <w:r w:rsidRPr="00894141">
        <w:rPr>
          <w:rFonts w:ascii="Arial" w:hAnsi="Arial" w:cs="Arial"/>
        </w:rPr>
        <w:t xml:space="preserve"> The company’s non</w:t>
      </w:r>
      <w:r w:rsidRPr="00894141">
        <w:rPr>
          <w:rFonts w:ascii="Arial" w:hAnsi="Arial" w:cs="Arial"/>
        </w:rPr>
        <w:noBreakHyphen/>
        <w:t>current assets have declined sharply, reflecting impairments and disposals. Atrill and McLaney (2022) argue that divestiture of underperforming or non</w:t>
      </w:r>
      <w:r w:rsidRPr="00894141">
        <w:rPr>
          <w:rFonts w:ascii="Arial" w:hAnsi="Arial" w:cs="Arial"/>
        </w:rPr>
        <w:noBreakHyphen/>
        <w:t>strategic units can generate immediate cash inflows, reduce operating costs, and sharpen strategic focus. Selling non</w:t>
      </w:r>
      <w:r w:rsidRPr="00894141">
        <w:rPr>
          <w:rFonts w:ascii="Arial" w:hAnsi="Arial" w:cs="Arial"/>
        </w:rPr>
        <w:noBreakHyphen/>
        <w:t>essential subsidiaries or redundant property, plant, and equipment would strengthen liquidity and allow reinvestment in profitable segments.</w:t>
      </w:r>
    </w:p>
    <w:p w14:paraId="0E5627B5" w14:textId="77777777" w:rsidR="00894141" w:rsidRPr="00894141" w:rsidRDefault="00894141" w:rsidP="00894141">
      <w:pPr>
        <w:pStyle w:val="NormalWeb"/>
        <w:spacing w:line="360" w:lineRule="auto"/>
        <w:rPr>
          <w:rFonts w:ascii="Arial" w:hAnsi="Arial" w:cs="Arial"/>
        </w:rPr>
      </w:pPr>
      <w:r w:rsidRPr="00894141">
        <w:rPr>
          <w:rStyle w:val="Strong"/>
          <w:rFonts w:ascii="Arial" w:hAnsi="Arial" w:cs="Arial"/>
        </w:rPr>
        <w:t>2. Equity Injection</w:t>
      </w:r>
      <w:r w:rsidRPr="00894141">
        <w:rPr>
          <w:rFonts w:ascii="Arial" w:hAnsi="Arial" w:cs="Arial"/>
        </w:rPr>
        <w:t xml:space="preserve"> Negative earnings per share and declining retained earnings have eroded shareholder value. Dyson (2017) notes that equity financing can recapitalise distressed firms, reduce reliance on debt, and improve the debt</w:t>
      </w:r>
      <w:r w:rsidRPr="00894141">
        <w:rPr>
          <w:rFonts w:ascii="Arial" w:hAnsi="Arial" w:cs="Arial"/>
        </w:rPr>
        <w:noBreakHyphen/>
        <w:t>to</w:t>
      </w:r>
      <w:r w:rsidRPr="00894141">
        <w:rPr>
          <w:rFonts w:ascii="Arial" w:hAnsi="Arial" w:cs="Arial"/>
        </w:rPr>
        <w:noBreakHyphen/>
        <w:t>equity ratio. Issuing new shares to strategic investors or pursuing a rights issue would provide long</w:t>
      </w:r>
      <w:r w:rsidRPr="00894141">
        <w:rPr>
          <w:rFonts w:ascii="Arial" w:hAnsi="Arial" w:cs="Arial"/>
        </w:rPr>
        <w:noBreakHyphen/>
        <w:t>term capital, though Arnold (2013) cautions that dilution of existing ownership must be carefully managed.</w:t>
      </w:r>
    </w:p>
    <w:p w14:paraId="1A3DFE88" w14:textId="77777777" w:rsidR="00894141" w:rsidRPr="00894141" w:rsidRDefault="00894141" w:rsidP="00894141">
      <w:pPr>
        <w:pStyle w:val="NormalWeb"/>
        <w:spacing w:line="360" w:lineRule="auto"/>
        <w:rPr>
          <w:rFonts w:ascii="Arial" w:hAnsi="Arial" w:cs="Arial"/>
        </w:rPr>
      </w:pPr>
      <w:r w:rsidRPr="00894141">
        <w:rPr>
          <w:rStyle w:val="Strong"/>
          <w:rFonts w:ascii="Arial" w:hAnsi="Arial" w:cs="Arial"/>
        </w:rPr>
        <w:t>3. Debt Restructuring and Refinancing</w:t>
      </w:r>
      <w:r w:rsidRPr="00894141">
        <w:rPr>
          <w:rFonts w:ascii="Arial" w:hAnsi="Arial" w:cs="Arial"/>
        </w:rPr>
        <w:t xml:space="preserve"> The debt</w:t>
      </w:r>
      <w:r w:rsidRPr="00894141">
        <w:rPr>
          <w:rFonts w:ascii="Arial" w:hAnsi="Arial" w:cs="Arial"/>
        </w:rPr>
        <w:noBreakHyphen/>
        <w:t>to</w:t>
      </w:r>
      <w:r w:rsidRPr="00894141">
        <w:rPr>
          <w:rFonts w:ascii="Arial" w:hAnsi="Arial" w:cs="Arial"/>
        </w:rPr>
        <w:noBreakHyphen/>
        <w:t>equity ratio has risen above 1.0, signalling high leverage. Brigham and Ehrhardt (2016) highlight that refinancing short</w:t>
      </w:r>
      <w:r w:rsidRPr="00894141">
        <w:rPr>
          <w:rFonts w:ascii="Arial" w:hAnsi="Arial" w:cs="Arial"/>
        </w:rPr>
        <w:noBreakHyphen/>
        <w:t>term debt into longer maturities reduces liquidity risk and stabilises cash flows. Negotiating lower interest rates, extending repayment schedules, or converting debt into equity would ease financial pressure and improve interest cover.</w:t>
      </w:r>
    </w:p>
    <w:p w14:paraId="575A6E96" w14:textId="77777777" w:rsidR="00894141" w:rsidRPr="00894141" w:rsidRDefault="00894141" w:rsidP="00894141">
      <w:pPr>
        <w:pStyle w:val="NormalWeb"/>
        <w:spacing w:line="360" w:lineRule="auto"/>
        <w:rPr>
          <w:rFonts w:ascii="Arial" w:hAnsi="Arial" w:cs="Arial"/>
        </w:rPr>
      </w:pPr>
      <w:r w:rsidRPr="00894141">
        <w:rPr>
          <w:rStyle w:val="Strong"/>
          <w:rFonts w:ascii="Arial" w:hAnsi="Arial" w:cs="Arial"/>
        </w:rPr>
        <w:lastRenderedPageBreak/>
        <w:t>4. Strategic Alliances or Merger</w:t>
      </w:r>
      <w:r w:rsidRPr="00894141">
        <w:rPr>
          <w:rFonts w:ascii="Arial" w:hAnsi="Arial" w:cs="Arial"/>
        </w:rPr>
        <w:t xml:space="preserve"> Dyson (2017) suggests that mergers or joint ventures can provide economies of scale, access to new markets, and shared resources. For General Electronics, partnering with a stronger competitor or entering a merger could enhance global competitiveness and reduce duplication of costs. However, integration risks and cultural alignment must be considered.</w:t>
      </w:r>
    </w:p>
    <w:p w14:paraId="43515FC3" w14:textId="156F6A56" w:rsidR="00894141" w:rsidRDefault="00894141" w:rsidP="00894141">
      <w:pPr>
        <w:pStyle w:val="NormalWeb"/>
        <w:spacing w:line="360" w:lineRule="auto"/>
        <w:rPr>
          <w:rFonts w:ascii="Arial" w:hAnsi="Arial" w:cs="Arial"/>
        </w:rPr>
      </w:pPr>
      <w:r w:rsidRPr="00894141">
        <w:rPr>
          <w:rStyle w:val="Strong"/>
          <w:rFonts w:ascii="Arial" w:hAnsi="Arial" w:cs="Arial"/>
        </w:rPr>
        <w:t>5. Ethical and International Considerations</w:t>
      </w:r>
      <w:r w:rsidRPr="00894141">
        <w:rPr>
          <w:rFonts w:ascii="Arial" w:hAnsi="Arial" w:cs="Arial"/>
        </w:rPr>
        <w:t xml:space="preserve"> Restructuring must account for taxation, currency risk, and inflation in global markets. Arnold (2013) stresses that corporate social responsibility (CSR) and ethical governance are critical to sustaining investor confidence. Transparent communication with stakeholders, fair treatment of employees, and responsible divestment practices will ensure restructuring is ethically sound.</w:t>
      </w:r>
    </w:p>
    <w:p w14:paraId="6E4F1B1D" w14:textId="2FA28CE8" w:rsidR="00894141" w:rsidRPr="00DC6263" w:rsidRDefault="00894141" w:rsidP="00B61A18">
      <w:pPr>
        <w:pStyle w:val="Heading2"/>
        <w:spacing w:line="360" w:lineRule="auto"/>
        <w:rPr>
          <w:rFonts w:ascii="Arial" w:hAnsi="Arial" w:cs="Arial"/>
          <w:b w:val="0"/>
          <w:bCs w:val="0"/>
          <w:color w:val="000000" w:themeColor="text1"/>
        </w:rPr>
      </w:pPr>
      <w:bookmarkStart w:id="21" w:name="_Toc214656943"/>
      <w:r w:rsidRPr="00DC6263">
        <w:rPr>
          <w:rFonts w:ascii="Arial" w:hAnsi="Arial" w:cs="Arial"/>
          <w:b w:val="0"/>
          <w:bCs w:val="0"/>
          <w:color w:val="000000" w:themeColor="text1"/>
        </w:rPr>
        <w:t>3.2 Evaluation of impact on shareholder value, debt structure and operational flexibility</w:t>
      </w:r>
      <w:bookmarkEnd w:id="21"/>
    </w:p>
    <w:p w14:paraId="1DA61B25" w14:textId="77777777" w:rsidR="00B61A18" w:rsidRPr="00B61A18" w:rsidRDefault="00B61A18" w:rsidP="00B61A18">
      <w:pPr>
        <w:spacing w:before="100" w:beforeAutospacing="1" w:after="100" w:afterAutospacing="1" w:line="360" w:lineRule="auto"/>
        <w:rPr>
          <w:rFonts w:ascii="Arial" w:eastAsia="Times New Roman" w:hAnsi="Arial" w:cs="Arial"/>
          <w:lang w:eastAsia="en-GB"/>
        </w:rPr>
      </w:pPr>
      <w:r w:rsidRPr="00B61A18">
        <w:rPr>
          <w:rFonts w:ascii="Arial" w:eastAsia="Times New Roman" w:hAnsi="Arial" w:cs="Arial"/>
          <w:lang w:eastAsia="en-GB"/>
        </w:rPr>
        <w:t xml:space="preserve">Financial restructuring options such as divestiture, equity injection, debt refinancing, and strategic alliances will have significant implications for shareholder value, debt structure, and operational flexibility. As </w:t>
      </w:r>
      <w:proofErr w:type="spellStart"/>
      <w:r w:rsidRPr="00B61A18">
        <w:rPr>
          <w:rFonts w:ascii="Arial" w:eastAsia="Times New Roman" w:hAnsi="Arial" w:cs="Arial"/>
          <w:lang w:eastAsia="en-GB"/>
        </w:rPr>
        <w:t>Weetman</w:t>
      </w:r>
      <w:proofErr w:type="spellEnd"/>
      <w:r w:rsidRPr="00B61A18">
        <w:rPr>
          <w:rFonts w:ascii="Arial" w:eastAsia="Times New Roman" w:hAnsi="Arial" w:cs="Arial"/>
          <w:lang w:eastAsia="en-GB"/>
        </w:rPr>
        <w:t xml:space="preserve"> (2013) emphasises, restructuring must be assessed holistically to ensure both short</w:t>
      </w:r>
      <w:r w:rsidRPr="00B61A18">
        <w:rPr>
          <w:rFonts w:ascii="Arial" w:eastAsia="Times New Roman" w:hAnsi="Arial" w:cs="Arial"/>
          <w:lang w:eastAsia="en-GB"/>
        </w:rPr>
        <w:noBreakHyphen/>
        <w:t>term survival and long</w:t>
      </w:r>
      <w:r w:rsidRPr="00B61A18">
        <w:rPr>
          <w:rFonts w:ascii="Arial" w:eastAsia="Times New Roman" w:hAnsi="Arial" w:cs="Arial"/>
          <w:lang w:eastAsia="en-GB"/>
        </w:rPr>
        <w:noBreakHyphen/>
        <w:t>term competitiveness.</w:t>
      </w:r>
    </w:p>
    <w:p w14:paraId="086C2B25" w14:textId="77777777" w:rsidR="00B61A18" w:rsidRPr="00B61A18" w:rsidRDefault="00B61A18" w:rsidP="00B61A18">
      <w:pPr>
        <w:spacing w:before="100" w:beforeAutospacing="1" w:after="100" w:afterAutospacing="1" w:line="360" w:lineRule="auto"/>
        <w:rPr>
          <w:rFonts w:ascii="Arial" w:eastAsia="Times New Roman" w:hAnsi="Arial" w:cs="Arial"/>
          <w:lang w:eastAsia="en-GB"/>
        </w:rPr>
      </w:pPr>
      <w:r w:rsidRPr="00B61A18">
        <w:rPr>
          <w:rFonts w:ascii="Arial" w:eastAsia="Times New Roman" w:hAnsi="Arial" w:cs="Arial"/>
          <w:b/>
          <w:bCs/>
          <w:lang w:eastAsia="en-GB"/>
        </w:rPr>
        <w:t>Impact on Shareholder Value</w:t>
      </w:r>
      <w:r w:rsidRPr="00B61A18">
        <w:rPr>
          <w:rFonts w:ascii="Arial" w:eastAsia="Times New Roman" w:hAnsi="Arial" w:cs="Arial"/>
          <w:lang w:eastAsia="en-GB"/>
        </w:rPr>
        <w:t xml:space="preserve"> Equity injections and divestitures directly influence shareholder returns. Atrill and McLaney (2022) note that issuing new shares can dilute existing ownership, potentially reducing earnings per share in the short term. However, Dyson (2017) argues that recapitalisation strengthens solvency and restores investor confidence, which can enhance long</w:t>
      </w:r>
      <w:r w:rsidRPr="00B61A18">
        <w:rPr>
          <w:rFonts w:ascii="Arial" w:eastAsia="Times New Roman" w:hAnsi="Arial" w:cs="Arial"/>
          <w:lang w:eastAsia="en-GB"/>
        </w:rPr>
        <w:noBreakHyphen/>
        <w:t>term value. Divestiture of non</w:t>
      </w:r>
      <w:r w:rsidRPr="00B61A18">
        <w:rPr>
          <w:rFonts w:ascii="Arial" w:eastAsia="Times New Roman" w:hAnsi="Arial" w:cs="Arial"/>
          <w:lang w:eastAsia="en-GB"/>
        </w:rPr>
        <w:noBreakHyphen/>
        <w:t>core assets may initially reduce the asset base, but Arnold (2013) highlights that focusing on profitable segments can improve margins and increase shareholder wealth over time.</w:t>
      </w:r>
    </w:p>
    <w:p w14:paraId="38BFCF9B" w14:textId="77777777" w:rsidR="00B61A18" w:rsidRPr="00B61A18" w:rsidRDefault="00B61A18" w:rsidP="00B61A18">
      <w:pPr>
        <w:spacing w:before="100" w:beforeAutospacing="1" w:after="100" w:afterAutospacing="1" w:line="360" w:lineRule="auto"/>
        <w:rPr>
          <w:rFonts w:ascii="Arial" w:eastAsia="Times New Roman" w:hAnsi="Arial" w:cs="Arial"/>
          <w:lang w:eastAsia="en-GB"/>
        </w:rPr>
      </w:pPr>
      <w:r w:rsidRPr="00B61A18">
        <w:rPr>
          <w:rFonts w:ascii="Arial" w:eastAsia="Times New Roman" w:hAnsi="Arial" w:cs="Arial"/>
          <w:b/>
          <w:bCs/>
          <w:lang w:eastAsia="en-GB"/>
        </w:rPr>
        <w:t>Impact on Debt Structure</w:t>
      </w:r>
      <w:r w:rsidRPr="00B61A18">
        <w:rPr>
          <w:rFonts w:ascii="Arial" w:eastAsia="Times New Roman" w:hAnsi="Arial" w:cs="Arial"/>
          <w:lang w:eastAsia="en-GB"/>
        </w:rPr>
        <w:t xml:space="preserve"> General Electronics’ debt</w:t>
      </w:r>
      <w:r w:rsidRPr="00B61A18">
        <w:rPr>
          <w:rFonts w:ascii="Arial" w:eastAsia="Times New Roman" w:hAnsi="Arial" w:cs="Arial"/>
          <w:lang w:eastAsia="en-GB"/>
        </w:rPr>
        <w:noBreakHyphen/>
        <w:t>to</w:t>
      </w:r>
      <w:r w:rsidRPr="00B61A18">
        <w:rPr>
          <w:rFonts w:ascii="Arial" w:eastAsia="Times New Roman" w:hAnsi="Arial" w:cs="Arial"/>
          <w:lang w:eastAsia="en-GB"/>
        </w:rPr>
        <w:noBreakHyphen/>
        <w:t>equity ratio has risen above 1.0, signalling high leverage. Brigham and Ehrhardt (2016) explain that refinancing short</w:t>
      </w:r>
      <w:r w:rsidRPr="00B61A18">
        <w:rPr>
          <w:rFonts w:ascii="Arial" w:eastAsia="Times New Roman" w:hAnsi="Arial" w:cs="Arial"/>
          <w:lang w:eastAsia="en-GB"/>
        </w:rPr>
        <w:noBreakHyphen/>
        <w:t xml:space="preserve">term debt into longer maturities reduces liquidity risk and stabilises cash flows. Debt restructuring would improve interest cover, currently negative, by lowering </w:t>
      </w:r>
      <w:r w:rsidRPr="00B61A18">
        <w:rPr>
          <w:rFonts w:ascii="Arial" w:eastAsia="Times New Roman" w:hAnsi="Arial" w:cs="Arial"/>
          <w:lang w:eastAsia="en-GB"/>
        </w:rPr>
        <w:lastRenderedPageBreak/>
        <w:t>financing costs and aligning repayment schedules with operating cash generation. Converting debt into equity would further reduce gearing, though at the cost of ownership dilution.</w:t>
      </w:r>
    </w:p>
    <w:p w14:paraId="6E1C4844" w14:textId="3373DD82" w:rsidR="00B61A18" w:rsidRPr="00B61A18" w:rsidRDefault="00B61A18" w:rsidP="00B61A18">
      <w:pPr>
        <w:spacing w:before="100" w:beforeAutospacing="1" w:after="100" w:afterAutospacing="1" w:line="360" w:lineRule="auto"/>
        <w:rPr>
          <w:rFonts w:ascii="Arial" w:eastAsia="Times New Roman" w:hAnsi="Arial" w:cs="Arial"/>
          <w:lang w:eastAsia="en-GB"/>
        </w:rPr>
      </w:pPr>
      <w:r w:rsidRPr="00B61A18">
        <w:rPr>
          <w:rFonts w:ascii="Arial" w:eastAsia="Times New Roman" w:hAnsi="Arial" w:cs="Arial"/>
          <w:b/>
          <w:bCs/>
          <w:lang w:eastAsia="en-GB"/>
        </w:rPr>
        <w:t>Impact on Operational Flexibility</w:t>
      </w:r>
      <w:r w:rsidRPr="00B61A18">
        <w:rPr>
          <w:rFonts w:ascii="Arial" w:eastAsia="Times New Roman" w:hAnsi="Arial" w:cs="Arial"/>
          <w:lang w:eastAsia="en-GB"/>
        </w:rPr>
        <w:t xml:space="preserve"> Restructuring enhances operational flexibility by freeing cash and reducing financial constraints. </w:t>
      </w:r>
      <w:proofErr w:type="spellStart"/>
      <w:r w:rsidRPr="00B61A18">
        <w:rPr>
          <w:rFonts w:ascii="Arial" w:eastAsia="Times New Roman" w:hAnsi="Arial" w:cs="Arial"/>
          <w:lang w:eastAsia="en-GB"/>
        </w:rPr>
        <w:t>Weetman</w:t>
      </w:r>
      <w:proofErr w:type="spellEnd"/>
      <w:r w:rsidRPr="00B61A18">
        <w:rPr>
          <w:rFonts w:ascii="Arial" w:eastAsia="Times New Roman" w:hAnsi="Arial" w:cs="Arial"/>
          <w:lang w:eastAsia="en-GB"/>
        </w:rPr>
        <w:t xml:space="preserve"> (2013) stresses that divestiture of underperforming assets allows management to reallocate resources to growth areas. Strategic alliances or mergers, as Dyson (2017) suggests, can provide economies of scale and access to new markets, increasing adaptability in a volatile industry. However, Arnold (2013) cautions that integration risks and cultural misalignment may limit flexibility if not managed effectively.</w:t>
      </w:r>
    </w:p>
    <w:p w14:paraId="39B81D94" w14:textId="1C637733" w:rsidR="00B61A18" w:rsidRDefault="00B61A18" w:rsidP="00B61A18">
      <w:pPr>
        <w:pStyle w:val="NormalWeb"/>
        <w:spacing w:line="360" w:lineRule="auto"/>
        <w:rPr>
          <w:rFonts w:ascii="Arial" w:hAnsi="Arial" w:cs="Arial"/>
        </w:rPr>
      </w:pPr>
      <w:r w:rsidRPr="00B61A18">
        <w:rPr>
          <w:rFonts w:ascii="Arial" w:hAnsi="Arial" w:cs="Arial"/>
        </w:rPr>
        <w:t xml:space="preserve">Overall, restructuring is likely to </w:t>
      </w:r>
      <w:r w:rsidRPr="00B61A18">
        <w:rPr>
          <w:rStyle w:val="Strong"/>
          <w:rFonts w:ascii="Arial" w:hAnsi="Arial" w:cs="Arial"/>
          <w:b w:val="0"/>
          <w:bCs w:val="0"/>
        </w:rPr>
        <w:t>strengthen shareholder value in the long term</w:t>
      </w:r>
      <w:r w:rsidRPr="00B61A18">
        <w:rPr>
          <w:rFonts w:ascii="Arial" w:hAnsi="Arial" w:cs="Arial"/>
          <w:b/>
          <w:bCs/>
        </w:rPr>
        <w:t xml:space="preserve">, </w:t>
      </w:r>
      <w:r w:rsidRPr="00B61A18">
        <w:rPr>
          <w:rStyle w:val="Strong"/>
          <w:rFonts w:ascii="Arial" w:hAnsi="Arial" w:cs="Arial"/>
          <w:b w:val="0"/>
          <w:bCs w:val="0"/>
        </w:rPr>
        <w:t>reduce leverage through debt refinancing and equity injection</w:t>
      </w:r>
      <w:r w:rsidRPr="00B61A18">
        <w:rPr>
          <w:rFonts w:ascii="Arial" w:hAnsi="Arial" w:cs="Arial"/>
          <w:b/>
          <w:bCs/>
        </w:rPr>
        <w:t>,</w:t>
      </w:r>
      <w:r w:rsidRPr="00B61A18">
        <w:rPr>
          <w:rFonts w:ascii="Arial" w:hAnsi="Arial" w:cs="Arial"/>
        </w:rPr>
        <w:t xml:space="preserve"> and </w:t>
      </w:r>
      <w:r w:rsidRPr="00B61A18">
        <w:rPr>
          <w:rStyle w:val="Strong"/>
          <w:rFonts w:ascii="Arial" w:hAnsi="Arial" w:cs="Arial"/>
          <w:b w:val="0"/>
          <w:bCs w:val="0"/>
        </w:rPr>
        <w:t>enhance operational flexibility by focusing resources on core activities and partnerships</w:t>
      </w:r>
      <w:r w:rsidRPr="00B61A18">
        <w:rPr>
          <w:rFonts w:ascii="Arial" w:hAnsi="Arial" w:cs="Arial"/>
        </w:rPr>
        <w:t>. While short</w:t>
      </w:r>
      <w:r w:rsidRPr="00B61A18">
        <w:rPr>
          <w:rFonts w:ascii="Arial" w:hAnsi="Arial" w:cs="Arial"/>
        </w:rPr>
        <w:noBreakHyphen/>
        <w:t>term dilution and asset reductions may occur, Brigham and Ehrhardt (2016) emphasise that sustainable restructuring improves solvency, lowers risk, and positions the firm for renewed growth.</w:t>
      </w:r>
    </w:p>
    <w:p w14:paraId="2EE09447" w14:textId="16BA713A" w:rsidR="00B61A18" w:rsidRPr="00DC6263" w:rsidRDefault="00B61A18" w:rsidP="00B61A18">
      <w:pPr>
        <w:pStyle w:val="Heading2"/>
        <w:spacing w:line="360" w:lineRule="auto"/>
        <w:rPr>
          <w:rFonts w:ascii="Arial" w:hAnsi="Arial" w:cs="Arial"/>
          <w:b w:val="0"/>
          <w:bCs w:val="0"/>
          <w:color w:val="000000" w:themeColor="text1"/>
        </w:rPr>
      </w:pPr>
      <w:bookmarkStart w:id="22" w:name="_Toc214656944"/>
      <w:r w:rsidRPr="00DC6263">
        <w:rPr>
          <w:rFonts w:ascii="Arial" w:hAnsi="Arial" w:cs="Arial"/>
          <w:b w:val="0"/>
          <w:bCs w:val="0"/>
          <w:color w:val="000000" w:themeColor="text1"/>
        </w:rPr>
        <w:t>3.3 International and ethical considerations</w:t>
      </w:r>
      <w:bookmarkEnd w:id="22"/>
    </w:p>
    <w:p w14:paraId="720FA4D4" w14:textId="77777777" w:rsidR="00B61A18" w:rsidRPr="00B61A18" w:rsidRDefault="00B61A18" w:rsidP="00B61A18">
      <w:pPr>
        <w:pStyle w:val="NormalWeb"/>
        <w:spacing w:line="360" w:lineRule="auto"/>
        <w:rPr>
          <w:rFonts w:ascii="Arial" w:hAnsi="Arial" w:cs="Arial"/>
        </w:rPr>
      </w:pPr>
      <w:r w:rsidRPr="00B61A18">
        <w:rPr>
          <w:rFonts w:ascii="Arial" w:hAnsi="Arial" w:cs="Arial"/>
        </w:rPr>
        <w:t xml:space="preserve">Financial restructuring for General Electronics must be evaluated not only in terms of financial viability but also in relation to international risks and ethical responsibilities. As </w:t>
      </w:r>
      <w:proofErr w:type="spellStart"/>
      <w:r w:rsidRPr="00B61A18">
        <w:rPr>
          <w:rFonts w:ascii="Arial" w:hAnsi="Arial" w:cs="Arial"/>
        </w:rPr>
        <w:t>Weetman</w:t>
      </w:r>
      <w:proofErr w:type="spellEnd"/>
      <w:r w:rsidRPr="00B61A18">
        <w:rPr>
          <w:rFonts w:ascii="Arial" w:hAnsi="Arial" w:cs="Arial"/>
        </w:rPr>
        <w:t xml:space="preserve"> (2013) stresses, global firms must integrate financial management with wider stakeholder expectations and regulatory environments.</w:t>
      </w:r>
    </w:p>
    <w:p w14:paraId="5D333F97" w14:textId="77777777" w:rsidR="00B61A18" w:rsidRPr="00B61A18" w:rsidRDefault="00B61A18" w:rsidP="00B61A18">
      <w:pPr>
        <w:pStyle w:val="NormalWeb"/>
        <w:spacing w:line="360" w:lineRule="auto"/>
        <w:rPr>
          <w:rFonts w:ascii="Arial" w:hAnsi="Arial" w:cs="Arial"/>
        </w:rPr>
      </w:pPr>
      <w:r w:rsidRPr="00B61A18">
        <w:rPr>
          <w:rStyle w:val="Strong"/>
          <w:rFonts w:ascii="Arial" w:hAnsi="Arial" w:cs="Arial"/>
        </w:rPr>
        <w:t>Taxation and Regulatory Compliance</w:t>
      </w:r>
      <w:r w:rsidRPr="00B61A18">
        <w:rPr>
          <w:rFonts w:ascii="Arial" w:hAnsi="Arial" w:cs="Arial"/>
        </w:rPr>
        <w:t xml:space="preserve"> Operating across multiple jurisdictions exposes the company to diverse tax regimes and compliance requirements. Atrill and McLaney (2022) highlight that effective restructuring must consider transfer pricing, tax optimisation, and regulatory reporting. Failure to comply can result in penalties and reputational damage, undermining investor confidence.</w:t>
      </w:r>
    </w:p>
    <w:p w14:paraId="121B7753" w14:textId="77777777" w:rsidR="00B61A18" w:rsidRPr="00B61A18" w:rsidRDefault="00B61A18" w:rsidP="00B61A18">
      <w:pPr>
        <w:pStyle w:val="NormalWeb"/>
        <w:spacing w:line="360" w:lineRule="auto"/>
        <w:rPr>
          <w:rFonts w:ascii="Arial" w:hAnsi="Arial" w:cs="Arial"/>
        </w:rPr>
      </w:pPr>
      <w:r w:rsidRPr="00B61A18">
        <w:rPr>
          <w:rStyle w:val="Strong"/>
          <w:rFonts w:ascii="Arial" w:hAnsi="Arial" w:cs="Arial"/>
        </w:rPr>
        <w:t>Currency Risk and Inflation</w:t>
      </w:r>
      <w:r w:rsidRPr="00B61A18">
        <w:rPr>
          <w:rFonts w:ascii="Arial" w:hAnsi="Arial" w:cs="Arial"/>
        </w:rPr>
        <w:t xml:space="preserve"> Dyson (2017) notes that multinational firms face significant exposure to exchange rate volatility and inflationary pressures. Debt restructuring and equity injections must therefore account for currency mismatches </w:t>
      </w:r>
      <w:r w:rsidRPr="00B61A18">
        <w:rPr>
          <w:rFonts w:ascii="Arial" w:hAnsi="Arial" w:cs="Arial"/>
        </w:rPr>
        <w:lastRenderedPageBreak/>
        <w:t>between revenues and liabilities. Hedging strategies, such as forward contracts and swaps, can mitigate risks, while inflation</w:t>
      </w:r>
      <w:r w:rsidRPr="00B61A18">
        <w:rPr>
          <w:rFonts w:ascii="Arial" w:hAnsi="Arial" w:cs="Arial"/>
        </w:rPr>
        <w:noBreakHyphen/>
        <w:t>linked financing instruments may protect against rising costs in high</w:t>
      </w:r>
      <w:r w:rsidRPr="00B61A18">
        <w:rPr>
          <w:rFonts w:ascii="Arial" w:hAnsi="Arial" w:cs="Arial"/>
        </w:rPr>
        <w:noBreakHyphen/>
        <w:t>inflation markets.</w:t>
      </w:r>
    </w:p>
    <w:p w14:paraId="42BD5B1B" w14:textId="77777777" w:rsidR="00B61A18" w:rsidRPr="00B61A18" w:rsidRDefault="00B61A18" w:rsidP="00B61A18">
      <w:pPr>
        <w:pStyle w:val="NormalWeb"/>
        <w:spacing w:line="360" w:lineRule="auto"/>
        <w:rPr>
          <w:rFonts w:ascii="Arial" w:hAnsi="Arial" w:cs="Arial"/>
        </w:rPr>
      </w:pPr>
      <w:r w:rsidRPr="00B61A18">
        <w:rPr>
          <w:rStyle w:val="Strong"/>
          <w:rFonts w:ascii="Arial" w:hAnsi="Arial" w:cs="Arial"/>
        </w:rPr>
        <w:t>Corporate Social Responsibility (CSR)</w:t>
      </w:r>
      <w:r w:rsidRPr="00B61A18">
        <w:rPr>
          <w:rFonts w:ascii="Arial" w:hAnsi="Arial" w:cs="Arial"/>
        </w:rPr>
        <w:t xml:space="preserve"> Arnold (2013) emphasises that ethical considerations are central to sustainable restructuring. Divestiture of non</w:t>
      </w:r>
      <w:r w:rsidRPr="00B61A18">
        <w:rPr>
          <w:rFonts w:ascii="Arial" w:hAnsi="Arial" w:cs="Arial"/>
        </w:rPr>
        <w:noBreakHyphen/>
        <w:t>core assets must be conducted responsibly, ensuring fair treatment of employees and communities. Transparent communication with stakeholders and adherence to environmental standards will strengthen legitimacy and long</w:t>
      </w:r>
      <w:r w:rsidRPr="00B61A18">
        <w:rPr>
          <w:rFonts w:ascii="Arial" w:hAnsi="Arial" w:cs="Arial"/>
        </w:rPr>
        <w:noBreakHyphen/>
        <w:t>term brand value.</w:t>
      </w:r>
    </w:p>
    <w:p w14:paraId="755CFE3C" w14:textId="71EC44CB" w:rsidR="00B61A18" w:rsidRDefault="00B61A18" w:rsidP="00B61A18">
      <w:pPr>
        <w:pStyle w:val="NormalWeb"/>
        <w:spacing w:line="360" w:lineRule="auto"/>
        <w:rPr>
          <w:rFonts w:ascii="Arial" w:hAnsi="Arial" w:cs="Arial"/>
        </w:rPr>
      </w:pPr>
      <w:r w:rsidRPr="00B61A18">
        <w:rPr>
          <w:rStyle w:val="Strong"/>
          <w:rFonts w:ascii="Arial" w:hAnsi="Arial" w:cs="Arial"/>
        </w:rPr>
        <w:t>Governance and Stakeholder Trust</w:t>
      </w:r>
      <w:r w:rsidRPr="00B61A18">
        <w:rPr>
          <w:rFonts w:ascii="Arial" w:hAnsi="Arial" w:cs="Arial"/>
        </w:rPr>
        <w:t xml:space="preserve"> Brigham and Ehrhardt (2016) argue that restructuring decisions must be aligned with sound governance practices to maintain stakeholder trust. Equity injections or mergers should be accompanied by clear disclosure, shareholder consultation, and ethical oversight. Strong governance reduces agency risk and enhances operational flexibility in global markets.</w:t>
      </w:r>
    </w:p>
    <w:p w14:paraId="10181037" w14:textId="732BC90C" w:rsidR="00B61A18" w:rsidRDefault="00B61A18" w:rsidP="00B61A18">
      <w:pPr>
        <w:pStyle w:val="NormalWeb"/>
        <w:spacing w:line="360" w:lineRule="auto"/>
      </w:pPr>
      <w:r w:rsidRPr="00B61A18">
        <w:rPr>
          <w:rFonts w:ascii="Arial" w:hAnsi="Arial" w:cs="Arial"/>
        </w:rPr>
        <w:t xml:space="preserve">International and ethical considerations are integral to restructuring. By addressing taxation, currency risk, and inflation, while embedding CSR and governance principles, General Electronics can ensure that financial reforms are both globally scalable and ethically sound. This approach aligns with </w:t>
      </w:r>
      <w:proofErr w:type="spellStart"/>
      <w:r w:rsidRPr="00B61A18">
        <w:rPr>
          <w:rFonts w:ascii="Arial" w:hAnsi="Arial" w:cs="Arial"/>
        </w:rPr>
        <w:t>Weetman’s</w:t>
      </w:r>
      <w:proofErr w:type="spellEnd"/>
      <w:r w:rsidRPr="00B61A18">
        <w:rPr>
          <w:rFonts w:ascii="Arial" w:hAnsi="Arial" w:cs="Arial"/>
        </w:rPr>
        <w:t xml:space="preserve"> (2013) principle that financial management must balance profitability with responsibility to stakeholders</w:t>
      </w:r>
      <w:r>
        <w:t>.</w:t>
      </w:r>
    </w:p>
    <w:p w14:paraId="71CCB683" w14:textId="5B76C128" w:rsidR="00B61A18" w:rsidRDefault="00B61A18" w:rsidP="00B61A18">
      <w:pPr>
        <w:pStyle w:val="Heading1"/>
        <w:spacing w:line="360" w:lineRule="auto"/>
        <w:rPr>
          <w:rFonts w:ascii="Arial" w:hAnsi="Arial" w:cs="Arial"/>
          <w:color w:val="000000" w:themeColor="text1"/>
        </w:rPr>
      </w:pPr>
      <w:bookmarkStart w:id="23" w:name="_Toc214656945"/>
      <w:r w:rsidRPr="00B61A18">
        <w:rPr>
          <w:rFonts w:ascii="Arial" w:hAnsi="Arial" w:cs="Arial"/>
          <w:color w:val="000000" w:themeColor="text1"/>
        </w:rPr>
        <w:t>4. Investment Appraisal and Capital Budgeting</w:t>
      </w:r>
      <w:bookmarkEnd w:id="23"/>
    </w:p>
    <w:p w14:paraId="75DCEF99" w14:textId="19148D8D" w:rsidR="00B61A18" w:rsidRPr="00DC6263" w:rsidRDefault="00B61A18" w:rsidP="00B61A18">
      <w:pPr>
        <w:pStyle w:val="Heading2"/>
        <w:rPr>
          <w:rFonts w:ascii="Arial" w:hAnsi="Arial" w:cs="Arial"/>
          <w:b w:val="0"/>
          <w:bCs w:val="0"/>
          <w:color w:val="000000" w:themeColor="text1"/>
        </w:rPr>
      </w:pPr>
      <w:bookmarkStart w:id="24" w:name="_Toc214656946"/>
      <w:r w:rsidRPr="00DC6263">
        <w:rPr>
          <w:rFonts w:ascii="Arial" w:hAnsi="Arial" w:cs="Arial"/>
          <w:b w:val="0"/>
          <w:bCs w:val="0"/>
          <w:color w:val="000000" w:themeColor="text1"/>
        </w:rPr>
        <w:t>4.1 Choose between three proposed investment projects using PBP, ARR, NVP, PI and IRR</w:t>
      </w:r>
      <w:bookmarkEnd w:id="24"/>
    </w:p>
    <w:p w14:paraId="06A94D03" w14:textId="77777777" w:rsidR="00B61A18" w:rsidRPr="00B61A18" w:rsidRDefault="00B61A18" w:rsidP="00B61A18">
      <w:pPr>
        <w:pStyle w:val="NormalWeb"/>
        <w:spacing w:line="360" w:lineRule="auto"/>
        <w:rPr>
          <w:rFonts w:ascii="Arial" w:hAnsi="Arial" w:cs="Arial"/>
        </w:rPr>
      </w:pPr>
      <w:r w:rsidRPr="00B61A18">
        <w:rPr>
          <w:rFonts w:ascii="Arial" w:hAnsi="Arial" w:cs="Arial"/>
        </w:rPr>
        <w:t xml:space="preserve">Following Atrill &amp; McLaney (2022) and </w:t>
      </w:r>
      <w:proofErr w:type="spellStart"/>
      <w:r w:rsidRPr="00B61A18">
        <w:rPr>
          <w:rFonts w:ascii="Arial" w:hAnsi="Arial" w:cs="Arial"/>
        </w:rPr>
        <w:t>Weetman</w:t>
      </w:r>
      <w:proofErr w:type="spellEnd"/>
      <w:r w:rsidRPr="00B61A18">
        <w:rPr>
          <w:rFonts w:ascii="Arial" w:hAnsi="Arial" w:cs="Arial"/>
        </w:rPr>
        <w:t xml:space="preserve"> (2013), five appraisal techniques are used:</w:t>
      </w:r>
    </w:p>
    <w:p w14:paraId="27FC1B85" w14:textId="77777777" w:rsidR="00B61A18" w:rsidRPr="00B61A18" w:rsidRDefault="00B61A18" w:rsidP="00B61A18">
      <w:pPr>
        <w:pStyle w:val="NormalWeb"/>
        <w:numPr>
          <w:ilvl w:val="0"/>
          <w:numId w:val="11"/>
        </w:numPr>
        <w:spacing w:line="360" w:lineRule="auto"/>
        <w:rPr>
          <w:rFonts w:ascii="Arial" w:hAnsi="Arial" w:cs="Arial"/>
        </w:rPr>
      </w:pPr>
      <w:r w:rsidRPr="00B61A18">
        <w:rPr>
          <w:rStyle w:val="Strong"/>
          <w:rFonts w:ascii="Arial" w:hAnsi="Arial" w:cs="Arial"/>
        </w:rPr>
        <w:t>Payback Period (PBP)</w:t>
      </w:r>
      <w:r w:rsidRPr="00B61A18">
        <w:rPr>
          <w:rFonts w:ascii="Arial" w:hAnsi="Arial" w:cs="Arial"/>
        </w:rPr>
        <w:t xml:space="preserve"> – liquidity focus, measures recovery time of initial investment.</w:t>
      </w:r>
    </w:p>
    <w:p w14:paraId="0DB89656" w14:textId="77777777" w:rsidR="00B61A18" w:rsidRPr="00B61A18" w:rsidRDefault="00B61A18" w:rsidP="00B61A18">
      <w:pPr>
        <w:pStyle w:val="NormalWeb"/>
        <w:numPr>
          <w:ilvl w:val="0"/>
          <w:numId w:val="11"/>
        </w:numPr>
        <w:spacing w:line="360" w:lineRule="auto"/>
        <w:rPr>
          <w:rFonts w:ascii="Arial" w:hAnsi="Arial" w:cs="Arial"/>
        </w:rPr>
      </w:pPr>
      <w:r w:rsidRPr="00B61A18">
        <w:rPr>
          <w:rStyle w:val="Strong"/>
          <w:rFonts w:ascii="Arial" w:hAnsi="Arial" w:cs="Arial"/>
        </w:rPr>
        <w:t>Accounting Rate of Return (ARR)</w:t>
      </w:r>
      <w:r w:rsidRPr="00B61A18">
        <w:rPr>
          <w:rFonts w:ascii="Arial" w:hAnsi="Arial" w:cs="Arial"/>
        </w:rPr>
        <w:t xml:space="preserve"> – average profit relative to investment.</w:t>
      </w:r>
    </w:p>
    <w:p w14:paraId="7D6C0C9F" w14:textId="77777777" w:rsidR="00B61A18" w:rsidRPr="00B61A18" w:rsidRDefault="00B61A18" w:rsidP="00B61A18">
      <w:pPr>
        <w:pStyle w:val="NormalWeb"/>
        <w:numPr>
          <w:ilvl w:val="0"/>
          <w:numId w:val="11"/>
        </w:numPr>
        <w:spacing w:line="360" w:lineRule="auto"/>
        <w:rPr>
          <w:rFonts w:ascii="Arial" w:hAnsi="Arial" w:cs="Arial"/>
        </w:rPr>
      </w:pPr>
      <w:r w:rsidRPr="00B61A18">
        <w:rPr>
          <w:rStyle w:val="Strong"/>
          <w:rFonts w:ascii="Arial" w:hAnsi="Arial" w:cs="Arial"/>
        </w:rPr>
        <w:t>Net Present Value (NPV)</w:t>
      </w:r>
      <w:r w:rsidRPr="00B61A18">
        <w:rPr>
          <w:rFonts w:ascii="Arial" w:hAnsi="Arial" w:cs="Arial"/>
        </w:rPr>
        <w:t xml:space="preserve"> – discounted cash inflows minus outflows, aligned with shareholder wealth maximisation.</w:t>
      </w:r>
    </w:p>
    <w:p w14:paraId="352D367C" w14:textId="77777777" w:rsidR="00B61A18" w:rsidRPr="00B61A18" w:rsidRDefault="00B61A18" w:rsidP="00B61A18">
      <w:pPr>
        <w:pStyle w:val="NormalWeb"/>
        <w:numPr>
          <w:ilvl w:val="0"/>
          <w:numId w:val="11"/>
        </w:numPr>
        <w:spacing w:line="360" w:lineRule="auto"/>
        <w:rPr>
          <w:rFonts w:ascii="Arial" w:hAnsi="Arial" w:cs="Arial"/>
        </w:rPr>
      </w:pPr>
      <w:r w:rsidRPr="00B61A18">
        <w:rPr>
          <w:rStyle w:val="Strong"/>
          <w:rFonts w:ascii="Arial" w:hAnsi="Arial" w:cs="Arial"/>
        </w:rPr>
        <w:lastRenderedPageBreak/>
        <w:t>Internal Rate of Return (IRR)</w:t>
      </w:r>
      <w:r w:rsidRPr="00B61A18">
        <w:rPr>
          <w:rFonts w:ascii="Arial" w:hAnsi="Arial" w:cs="Arial"/>
        </w:rPr>
        <w:t xml:space="preserve"> – discount rate at which NPV = 0, expressed as a percentage return.</w:t>
      </w:r>
    </w:p>
    <w:p w14:paraId="228FFD4E" w14:textId="77777777" w:rsidR="00B61A18" w:rsidRPr="00B61A18" w:rsidRDefault="00B61A18" w:rsidP="00B61A18">
      <w:pPr>
        <w:pStyle w:val="NormalWeb"/>
        <w:numPr>
          <w:ilvl w:val="0"/>
          <w:numId w:val="11"/>
        </w:numPr>
        <w:spacing w:line="360" w:lineRule="auto"/>
        <w:rPr>
          <w:rFonts w:ascii="Arial" w:hAnsi="Arial" w:cs="Arial"/>
        </w:rPr>
      </w:pPr>
      <w:r w:rsidRPr="00B61A18">
        <w:rPr>
          <w:rStyle w:val="Strong"/>
          <w:rFonts w:ascii="Arial" w:hAnsi="Arial" w:cs="Arial"/>
        </w:rPr>
        <w:t>Profitability Index (PI)</w:t>
      </w:r>
      <w:r w:rsidRPr="00B61A18">
        <w:rPr>
          <w:rFonts w:ascii="Arial" w:hAnsi="Arial" w:cs="Arial"/>
        </w:rPr>
        <w:t xml:space="preserve"> – value created per £ invested, useful under capital rationing.</w:t>
      </w:r>
    </w:p>
    <w:p w14:paraId="08F54D0A" w14:textId="698039E7" w:rsidR="00B61A18" w:rsidRDefault="00B61A18" w:rsidP="00B61A18">
      <w:pPr>
        <w:pStyle w:val="NormalWeb"/>
        <w:spacing w:line="360" w:lineRule="auto"/>
        <w:rPr>
          <w:rFonts w:ascii="Arial" w:hAnsi="Arial" w:cs="Arial"/>
        </w:rPr>
      </w:pPr>
      <w:r w:rsidRPr="00B61A18">
        <w:rPr>
          <w:rFonts w:ascii="Arial" w:hAnsi="Arial" w:cs="Arial"/>
        </w:rPr>
        <w:t>Discount rate assumed</w:t>
      </w:r>
      <w:r w:rsidR="00765E75">
        <w:rPr>
          <w:rFonts w:ascii="Arial" w:hAnsi="Arial" w:cs="Arial"/>
          <w:b/>
          <w:bCs/>
        </w:rPr>
        <w:t xml:space="preserve"> </w:t>
      </w:r>
      <w:r w:rsidRPr="00765E75">
        <w:rPr>
          <w:rStyle w:val="Strong"/>
          <w:rFonts w:ascii="Arial" w:hAnsi="Arial" w:cs="Arial"/>
          <w:b w:val="0"/>
          <w:bCs w:val="0"/>
        </w:rPr>
        <w:t>10%</w:t>
      </w:r>
      <w:r w:rsidRPr="00765E75">
        <w:rPr>
          <w:rFonts w:ascii="Arial" w:hAnsi="Arial" w:cs="Arial"/>
          <w:b/>
          <w:bCs/>
        </w:rPr>
        <w:t>.</w:t>
      </w:r>
      <w:r w:rsidRPr="00B61A18">
        <w:rPr>
          <w:rFonts w:ascii="Arial" w:hAnsi="Arial" w:cs="Arial"/>
        </w:rPr>
        <w:t xml:space="preserve"> Depreciation: straight</w:t>
      </w:r>
      <w:r w:rsidRPr="00B61A18">
        <w:rPr>
          <w:rFonts w:ascii="Arial" w:hAnsi="Arial" w:cs="Arial"/>
        </w:rPr>
        <w:noBreakHyphen/>
        <w:t>line to zero.</w:t>
      </w:r>
    </w:p>
    <w:p w14:paraId="4F9F3147" w14:textId="443CAA76" w:rsidR="00765E75" w:rsidRPr="00DC6263" w:rsidRDefault="00765E75" w:rsidP="00765E75">
      <w:pPr>
        <w:pStyle w:val="Heading2"/>
        <w:rPr>
          <w:rFonts w:ascii="Arial" w:hAnsi="Arial" w:cs="Arial"/>
          <w:b w:val="0"/>
          <w:bCs w:val="0"/>
          <w:color w:val="000000" w:themeColor="text1"/>
        </w:rPr>
      </w:pPr>
      <w:bookmarkStart w:id="25" w:name="_Toc214656947"/>
      <w:r w:rsidRPr="00DC6263">
        <w:rPr>
          <w:rFonts w:ascii="Arial" w:hAnsi="Arial" w:cs="Arial"/>
          <w:b w:val="0"/>
          <w:bCs w:val="0"/>
          <w:color w:val="000000" w:themeColor="text1"/>
        </w:rPr>
        <w:t>4.2 Project details</w:t>
      </w:r>
      <w:bookmarkEnd w:id="25"/>
    </w:p>
    <w:p w14:paraId="626BD7F7" w14:textId="77777777" w:rsidR="00765E75" w:rsidRPr="00765E75" w:rsidRDefault="00765E75" w:rsidP="00765E75">
      <w:pPr>
        <w:pStyle w:val="NormalWeb"/>
        <w:spacing w:line="360" w:lineRule="auto"/>
        <w:rPr>
          <w:rFonts w:ascii="Arial" w:hAnsi="Arial" w:cs="Arial"/>
        </w:rPr>
      </w:pPr>
      <w:r w:rsidRPr="00765E75">
        <w:rPr>
          <w:rStyle w:val="Strong"/>
          <w:rFonts w:ascii="Arial" w:hAnsi="Arial" w:cs="Arial"/>
        </w:rPr>
        <w:t>Project A</w:t>
      </w:r>
    </w:p>
    <w:p w14:paraId="5E490921" w14:textId="77777777" w:rsidR="00765E75" w:rsidRPr="00765E75" w:rsidRDefault="00765E75" w:rsidP="00765E75">
      <w:pPr>
        <w:pStyle w:val="NormalWeb"/>
        <w:numPr>
          <w:ilvl w:val="0"/>
          <w:numId w:val="12"/>
        </w:numPr>
        <w:spacing w:line="360" w:lineRule="auto"/>
        <w:rPr>
          <w:rFonts w:ascii="Arial" w:hAnsi="Arial" w:cs="Arial"/>
        </w:rPr>
      </w:pPr>
      <w:r w:rsidRPr="00765E75">
        <w:rPr>
          <w:rFonts w:ascii="Arial" w:hAnsi="Arial" w:cs="Arial"/>
        </w:rPr>
        <w:t>Initial investment: £40m</w:t>
      </w:r>
    </w:p>
    <w:p w14:paraId="32F00E22" w14:textId="77777777" w:rsidR="00765E75" w:rsidRPr="00765E75" w:rsidRDefault="00765E75" w:rsidP="00765E75">
      <w:pPr>
        <w:pStyle w:val="NormalWeb"/>
        <w:numPr>
          <w:ilvl w:val="0"/>
          <w:numId w:val="12"/>
        </w:numPr>
        <w:spacing w:line="360" w:lineRule="auto"/>
        <w:rPr>
          <w:rFonts w:ascii="Arial" w:hAnsi="Arial" w:cs="Arial"/>
        </w:rPr>
      </w:pPr>
      <w:r w:rsidRPr="00765E75">
        <w:rPr>
          <w:rFonts w:ascii="Arial" w:hAnsi="Arial" w:cs="Arial"/>
        </w:rPr>
        <w:t>Inflows: £10m, £12m, £14m, £10m, £8m</w:t>
      </w:r>
    </w:p>
    <w:p w14:paraId="3E5AEB58" w14:textId="77777777" w:rsidR="00765E75" w:rsidRPr="00765E75" w:rsidRDefault="00765E75" w:rsidP="00765E75">
      <w:pPr>
        <w:pStyle w:val="NormalWeb"/>
        <w:spacing w:line="360" w:lineRule="auto"/>
        <w:rPr>
          <w:rFonts w:ascii="Arial" w:hAnsi="Arial" w:cs="Arial"/>
        </w:rPr>
      </w:pPr>
      <w:r w:rsidRPr="00765E75">
        <w:rPr>
          <w:rStyle w:val="Strong"/>
          <w:rFonts w:ascii="Arial" w:hAnsi="Arial" w:cs="Arial"/>
        </w:rPr>
        <w:t>Project B</w:t>
      </w:r>
    </w:p>
    <w:p w14:paraId="41036343" w14:textId="77777777" w:rsidR="00765E75" w:rsidRPr="00765E75" w:rsidRDefault="00765E75" w:rsidP="00765E75">
      <w:pPr>
        <w:pStyle w:val="NormalWeb"/>
        <w:numPr>
          <w:ilvl w:val="0"/>
          <w:numId w:val="13"/>
        </w:numPr>
        <w:spacing w:line="360" w:lineRule="auto"/>
        <w:rPr>
          <w:rFonts w:ascii="Arial" w:hAnsi="Arial" w:cs="Arial"/>
        </w:rPr>
      </w:pPr>
      <w:r w:rsidRPr="00765E75">
        <w:rPr>
          <w:rFonts w:ascii="Arial" w:hAnsi="Arial" w:cs="Arial"/>
        </w:rPr>
        <w:t>Initial investment: £30m</w:t>
      </w:r>
    </w:p>
    <w:p w14:paraId="3A03E871" w14:textId="77777777" w:rsidR="00765E75" w:rsidRPr="00765E75" w:rsidRDefault="00765E75" w:rsidP="00765E75">
      <w:pPr>
        <w:pStyle w:val="NormalWeb"/>
        <w:numPr>
          <w:ilvl w:val="0"/>
          <w:numId w:val="13"/>
        </w:numPr>
        <w:spacing w:line="360" w:lineRule="auto"/>
        <w:rPr>
          <w:rFonts w:ascii="Arial" w:hAnsi="Arial" w:cs="Arial"/>
        </w:rPr>
      </w:pPr>
      <w:r w:rsidRPr="00765E75">
        <w:rPr>
          <w:rFonts w:ascii="Arial" w:hAnsi="Arial" w:cs="Arial"/>
        </w:rPr>
        <w:t>Inflows: £6m annually for 5 years</w:t>
      </w:r>
    </w:p>
    <w:p w14:paraId="42F90E7E" w14:textId="77777777" w:rsidR="00765E75" w:rsidRPr="00765E75" w:rsidRDefault="00765E75" w:rsidP="00765E75">
      <w:pPr>
        <w:pStyle w:val="NormalWeb"/>
        <w:spacing w:line="360" w:lineRule="auto"/>
        <w:rPr>
          <w:rFonts w:ascii="Arial" w:hAnsi="Arial" w:cs="Arial"/>
        </w:rPr>
      </w:pPr>
      <w:r w:rsidRPr="00765E75">
        <w:rPr>
          <w:rStyle w:val="Strong"/>
          <w:rFonts w:ascii="Arial" w:hAnsi="Arial" w:cs="Arial"/>
        </w:rPr>
        <w:t>Project C</w:t>
      </w:r>
    </w:p>
    <w:p w14:paraId="67ADD0A3" w14:textId="77777777" w:rsidR="00765E75" w:rsidRPr="00765E75" w:rsidRDefault="00765E75" w:rsidP="00765E75">
      <w:pPr>
        <w:pStyle w:val="NormalWeb"/>
        <w:numPr>
          <w:ilvl w:val="0"/>
          <w:numId w:val="14"/>
        </w:numPr>
        <w:spacing w:line="360" w:lineRule="auto"/>
        <w:rPr>
          <w:rFonts w:ascii="Arial" w:hAnsi="Arial" w:cs="Arial"/>
        </w:rPr>
      </w:pPr>
      <w:r w:rsidRPr="00765E75">
        <w:rPr>
          <w:rFonts w:ascii="Arial" w:hAnsi="Arial" w:cs="Arial"/>
        </w:rPr>
        <w:t>Initial investment: £50m</w:t>
      </w:r>
    </w:p>
    <w:p w14:paraId="1229E764" w14:textId="773A427C" w:rsidR="00765E75" w:rsidRDefault="00765E75" w:rsidP="00765E75">
      <w:pPr>
        <w:pStyle w:val="NormalWeb"/>
        <w:numPr>
          <w:ilvl w:val="0"/>
          <w:numId w:val="14"/>
        </w:numPr>
        <w:spacing w:line="360" w:lineRule="auto"/>
        <w:rPr>
          <w:rFonts w:ascii="Arial" w:hAnsi="Arial" w:cs="Arial"/>
        </w:rPr>
      </w:pPr>
      <w:r w:rsidRPr="00765E75">
        <w:rPr>
          <w:rFonts w:ascii="Arial" w:hAnsi="Arial" w:cs="Arial"/>
        </w:rPr>
        <w:t>Inflows: £5m, £10m, £20m, £25m, £15m</w:t>
      </w:r>
    </w:p>
    <w:p w14:paraId="11157AA6" w14:textId="4360F476" w:rsidR="00765E75" w:rsidRPr="00DC6263" w:rsidRDefault="00765E75" w:rsidP="00765E75">
      <w:pPr>
        <w:pStyle w:val="Heading2"/>
        <w:spacing w:line="360" w:lineRule="auto"/>
        <w:rPr>
          <w:rFonts w:ascii="Arial" w:hAnsi="Arial" w:cs="Arial"/>
          <w:b w:val="0"/>
          <w:bCs w:val="0"/>
          <w:color w:val="000000" w:themeColor="text1"/>
        </w:rPr>
      </w:pPr>
      <w:bookmarkStart w:id="26" w:name="_Toc214656948"/>
      <w:r w:rsidRPr="00DC6263">
        <w:rPr>
          <w:rFonts w:ascii="Arial" w:hAnsi="Arial" w:cs="Arial"/>
          <w:b w:val="0"/>
          <w:bCs w:val="0"/>
          <w:color w:val="000000" w:themeColor="text1"/>
        </w:rPr>
        <w:t>4.3 Calculations</w:t>
      </w:r>
      <w:bookmarkEnd w:id="26"/>
    </w:p>
    <w:tbl>
      <w:tblPr>
        <w:tblStyle w:val="TableGrid"/>
        <w:tblW w:w="9415" w:type="dxa"/>
        <w:tblLook w:val="04A0" w:firstRow="1" w:lastRow="0" w:firstColumn="1" w:lastColumn="0" w:noHBand="0" w:noVBand="1"/>
      </w:tblPr>
      <w:tblGrid>
        <w:gridCol w:w="1030"/>
        <w:gridCol w:w="1731"/>
        <w:gridCol w:w="1737"/>
        <w:gridCol w:w="1697"/>
        <w:gridCol w:w="1803"/>
        <w:gridCol w:w="1737"/>
      </w:tblGrid>
      <w:tr w:rsidR="00B54DEB" w14:paraId="563A782D" w14:textId="77777777" w:rsidTr="00B54DEB">
        <w:trPr>
          <w:trHeight w:val="1614"/>
        </w:trPr>
        <w:tc>
          <w:tcPr>
            <w:tcW w:w="1171" w:type="dxa"/>
          </w:tcPr>
          <w:p w14:paraId="3BE736E4" w14:textId="77777777" w:rsidR="00B54DEB" w:rsidRDefault="00B54DEB" w:rsidP="00765E75"/>
        </w:tc>
        <w:tc>
          <w:tcPr>
            <w:tcW w:w="2058" w:type="dxa"/>
          </w:tcPr>
          <w:p w14:paraId="303189F1" w14:textId="171A2F6A" w:rsidR="00B54DEB" w:rsidRPr="00B54DEB" w:rsidRDefault="00B54DEB" w:rsidP="00765E75">
            <w:pPr>
              <w:rPr>
                <w:rFonts w:ascii="Arial" w:hAnsi="Arial" w:cs="Arial"/>
                <w:b/>
                <w:bCs/>
                <w:color w:val="000000" w:themeColor="text1"/>
              </w:rPr>
            </w:pPr>
            <w:r w:rsidRPr="00B54DEB">
              <w:rPr>
                <w:rFonts w:ascii="Arial" w:hAnsi="Arial" w:cs="Arial"/>
                <w:b/>
                <w:bCs/>
                <w:color w:val="000000" w:themeColor="text1"/>
              </w:rPr>
              <w:t>Payback Period PBP</w:t>
            </w:r>
          </w:p>
        </w:tc>
        <w:tc>
          <w:tcPr>
            <w:tcW w:w="1536" w:type="dxa"/>
          </w:tcPr>
          <w:p w14:paraId="7785B678" w14:textId="70CDFD49" w:rsidR="00B54DEB" w:rsidRPr="00B54DEB" w:rsidRDefault="00B54DEB" w:rsidP="00765E75">
            <w:pPr>
              <w:rPr>
                <w:rFonts w:ascii="Arial" w:hAnsi="Arial" w:cs="Arial"/>
                <w:b/>
                <w:bCs/>
                <w:color w:val="000000" w:themeColor="text1"/>
              </w:rPr>
            </w:pPr>
            <w:r w:rsidRPr="00B54DEB">
              <w:rPr>
                <w:rFonts w:ascii="Arial" w:hAnsi="Arial" w:cs="Arial"/>
                <w:b/>
                <w:bCs/>
                <w:color w:val="000000" w:themeColor="text1"/>
              </w:rPr>
              <w:t>ARR (using average annual inflows/initial investment)</w:t>
            </w:r>
          </w:p>
        </w:tc>
        <w:tc>
          <w:tcPr>
            <w:tcW w:w="1423" w:type="dxa"/>
          </w:tcPr>
          <w:p w14:paraId="5FB60437" w14:textId="781F634D" w:rsidR="00B54DEB" w:rsidRPr="00B54DEB" w:rsidRDefault="00B54DEB" w:rsidP="00765E75">
            <w:pPr>
              <w:rPr>
                <w:rFonts w:ascii="Arial" w:hAnsi="Arial" w:cs="Arial"/>
                <w:b/>
                <w:bCs/>
                <w:color w:val="000000" w:themeColor="text1"/>
              </w:rPr>
            </w:pPr>
            <w:r w:rsidRPr="00B54DEB">
              <w:rPr>
                <w:rFonts w:ascii="Arial" w:hAnsi="Arial" w:cs="Arial"/>
                <w:b/>
                <w:bCs/>
                <w:color w:val="000000" w:themeColor="text1"/>
              </w:rPr>
              <w:t>NVP 10%discount</w:t>
            </w:r>
          </w:p>
        </w:tc>
        <w:tc>
          <w:tcPr>
            <w:tcW w:w="1691" w:type="dxa"/>
          </w:tcPr>
          <w:p w14:paraId="64CC9E1A" w14:textId="616E27CF" w:rsidR="00B54DEB" w:rsidRPr="00B54DEB" w:rsidRDefault="00B54DEB" w:rsidP="00765E75">
            <w:pPr>
              <w:rPr>
                <w:rFonts w:ascii="Arial" w:hAnsi="Arial" w:cs="Arial"/>
                <w:b/>
                <w:bCs/>
                <w:color w:val="000000" w:themeColor="text1"/>
              </w:rPr>
            </w:pPr>
            <w:r w:rsidRPr="00B54DEB">
              <w:rPr>
                <w:rFonts w:ascii="Arial" w:hAnsi="Arial" w:cs="Arial"/>
                <w:b/>
                <w:bCs/>
                <w:color w:val="000000" w:themeColor="text1"/>
              </w:rPr>
              <w:t>IRR (approximate)</w:t>
            </w:r>
          </w:p>
        </w:tc>
        <w:tc>
          <w:tcPr>
            <w:tcW w:w="1536" w:type="dxa"/>
          </w:tcPr>
          <w:p w14:paraId="18DA2968" w14:textId="690DBF3B" w:rsidR="00B54DEB" w:rsidRPr="00B54DEB" w:rsidRDefault="00B54DEB" w:rsidP="00765E75">
            <w:pPr>
              <w:rPr>
                <w:rFonts w:ascii="Arial" w:hAnsi="Arial" w:cs="Arial"/>
                <w:b/>
                <w:bCs/>
                <w:color w:val="000000" w:themeColor="text1"/>
              </w:rPr>
            </w:pPr>
            <w:r w:rsidRPr="00B54DEB">
              <w:rPr>
                <w:rFonts w:ascii="Arial" w:hAnsi="Arial" w:cs="Arial"/>
                <w:b/>
                <w:bCs/>
                <w:color w:val="000000" w:themeColor="text1"/>
              </w:rPr>
              <w:t>Profitability index (PI=PV inflows/initial investment)</w:t>
            </w:r>
          </w:p>
        </w:tc>
      </w:tr>
      <w:tr w:rsidR="00B54DEB" w14:paraId="45F64963" w14:textId="77777777" w:rsidTr="00B54DEB">
        <w:trPr>
          <w:trHeight w:val="1664"/>
        </w:trPr>
        <w:tc>
          <w:tcPr>
            <w:tcW w:w="1171" w:type="dxa"/>
          </w:tcPr>
          <w:p w14:paraId="1C21392E" w14:textId="598F389E" w:rsidR="00B54DEB" w:rsidRPr="00B54DEB" w:rsidRDefault="00B54DEB" w:rsidP="00765E75">
            <w:pPr>
              <w:rPr>
                <w:rFonts w:ascii="Arial" w:hAnsi="Arial" w:cs="Arial"/>
                <w:b/>
                <w:bCs/>
              </w:rPr>
            </w:pPr>
            <w:r w:rsidRPr="00B54DEB">
              <w:rPr>
                <w:rFonts w:ascii="Arial" w:hAnsi="Arial" w:cs="Arial"/>
                <w:b/>
                <w:bCs/>
              </w:rPr>
              <w:t>Project A</w:t>
            </w:r>
          </w:p>
        </w:tc>
        <w:tc>
          <w:tcPr>
            <w:tcW w:w="2058" w:type="dxa"/>
          </w:tcPr>
          <w:p w14:paraId="419B6397" w14:textId="485E2881" w:rsidR="00B54DEB" w:rsidRPr="00F00CF4" w:rsidRDefault="00B54DEB" w:rsidP="00765E75">
            <w:pPr>
              <w:rPr>
                <w:rFonts w:ascii="Arial" w:hAnsi="Arial" w:cs="Arial"/>
              </w:rPr>
            </w:pPr>
            <w:r w:rsidRPr="00F00CF4">
              <w:rPr>
                <w:rFonts w:ascii="Arial" w:hAnsi="Arial" w:cs="Arial"/>
              </w:rPr>
              <w:t>40 ÷ (10+12+14) → recovered in Year 4 (approx. 3.5 years).</w:t>
            </w:r>
          </w:p>
        </w:tc>
        <w:tc>
          <w:tcPr>
            <w:tcW w:w="1536" w:type="dxa"/>
          </w:tcPr>
          <w:p w14:paraId="01487572" w14:textId="5845BEA4" w:rsidR="00B54DEB" w:rsidRPr="00F00CF4" w:rsidRDefault="00B54DEB" w:rsidP="00765E75">
            <w:pPr>
              <w:rPr>
                <w:rFonts w:ascii="Arial" w:hAnsi="Arial" w:cs="Arial"/>
              </w:rPr>
            </w:pPr>
            <w:r w:rsidRPr="00F00CF4">
              <w:rPr>
                <w:rFonts w:ascii="Arial" w:hAnsi="Arial" w:cs="Arial"/>
              </w:rPr>
              <w:t xml:space="preserve">(54 ÷ 5) ÷ 40 = 2.7 ÷ 40 = </w:t>
            </w:r>
            <w:r w:rsidRPr="00F00CF4">
              <w:rPr>
                <w:rStyle w:val="Strong"/>
                <w:rFonts w:ascii="Arial" w:hAnsi="Arial" w:cs="Arial"/>
                <w:b w:val="0"/>
                <w:bCs w:val="0"/>
              </w:rPr>
              <w:t>13.5%</w:t>
            </w:r>
          </w:p>
        </w:tc>
        <w:tc>
          <w:tcPr>
            <w:tcW w:w="1423" w:type="dxa"/>
          </w:tcPr>
          <w:p w14:paraId="53CE44DE" w14:textId="475F77CD" w:rsidR="00B54DEB" w:rsidRPr="00F00CF4" w:rsidRDefault="00B54DEB" w:rsidP="00765E75">
            <w:pPr>
              <w:rPr>
                <w:rFonts w:ascii="Arial" w:hAnsi="Arial" w:cs="Arial"/>
              </w:rPr>
            </w:pPr>
            <w:r w:rsidRPr="00F00CF4">
              <w:rPr>
                <w:rFonts w:ascii="Arial" w:hAnsi="Arial" w:cs="Arial"/>
              </w:rPr>
              <w:t xml:space="preserve">PV inflows ≈ £42.5m → NPV ≈ </w:t>
            </w:r>
            <w:r w:rsidRPr="00F00CF4">
              <w:rPr>
                <w:rStyle w:val="Strong"/>
                <w:rFonts w:ascii="Arial" w:hAnsi="Arial" w:cs="Arial"/>
                <w:b w:val="0"/>
                <w:bCs w:val="0"/>
              </w:rPr>
              <w:t>+£2.5m</w:t>
            </w:r>
          </w:p>
        </w:tc>
        <w:tc>
          <w:tcPr>
            <w:tcW w:w="1691" w:type="dxa"/>
          </w:tcPr>
          <w:p w14:paraId="2B34EA2B" w14:textId="5CC68474" w:rsidR="00B54DEB" w:rsidRPr="00F00CF4" w:rsidRDefault="00B54DEB" w:rsidP="00765E75">
            <w:pPr>
              <w:rPr>
                <w:rFonts w:ascii="Arial" w:hAnsi="Arial" w:cs="Arial"/>
              </w:rPr>
            </w:pPr>
            <w:r w:rsidRPr="00F00CF4">
              <w:rPr>
                <w:rFonts w:ascii="Arial" w:hAnsi="Arial" w:cs="Arial"/>
              </w:rPr>
              <w:t>~11–12% (slightly above cost of capital).</w:t>
            </w:r>
          </w:p>
        </w:tc>
        <w:tc>
          <w:tcPr>
            <w:tcW w:w="1536" w:type="dxa"/>
          </w:tcPr>
          <w:p w14:paraId="280839AE" w14:textId="4C46B448" w:rsidR="00B54DEB" w:rsidRDefault="00B54DEB" w:rsidP="00765E75">
            <w:r>
              <w:t>1.06</w:t>
            </w:r>
          </w:p>
        </w:tc>
      </w:tr>
      <w:tr w:rsidR="00B54DEB" w14:paraId="17FA98D2" w14:textId="77777777" w:rsidTr="00B54DEB">
        <w:trPr>
          <w:trHeight w:val="1664"/>
        </w:trPr>
        <w:tc>
          <w:tcPr>
            <w:tcW w:w="1171" w:type="dxa"/>
          </w:tcPr>
          <w:p w14:paraId="146A3961" w14:textId="41C0BF1F" w:rsidR="00B54DEB" w:rsidRPr="00B54DEB" w:rsidRDefault="00B54DEB" w:rsidP="00765E75">
            <w:pPr>
              <w:rPr>
                <w:rFonts w:ascii="Arial" w:hAnsi="Arial" w:cs="Arial"/>
                <w:b/>
                <w:bCs/>
              </w:rPr>
            </w:pPr>
            <w:r w:rsidRPr="00B54DEB">
              <w:rPr>
                <w:rFonts w:ascii="Arial" w:hAnsi="Arial" w:cs="Arial"/>
                <w:b/>
                <w:bCs/>
              </w:rPr>
              <w:lastRenderedPageBreak/>
              <w:t>Project B</w:t>
            </w:r>
          </w:p>
        </w:tc>
        <w:tc>
          <w:tcPr>
            <w:tcW w:w="2058" w:type="dxa"/>
          </w:tcPr>
          <w:p w14:paraId="4A27EC9E" w14:textId="35499F25" w:rsidR="00B54DEB" w:rsidRPr="00F00CF4" w:rsidRDefault="00B54DEB" w:rsidP="00765E75">
            <w:pPr>
              <w:rPr>
                <w:rFonts w:ascii="Arial" w:hAnsi="Arial" w:cs="Arial"/>
              </w:rPr>
            </w:pPr>
            <w:r w:rsidRPr="00F00CF4">
              <w:rPr>
                <w:rFonts w:ascii="Arial" w:hAnsi="Arial" w:cs="Arial"/>
              </w:rPr>
              <w:t>30 ÷ 6 = 5 years (exact).</w:t>
            </w:r>
          </w:p>
        </w:tc>
        <w:tc>
          <w:tcPr>
            <w:tcW w:w="1536" w:type="dxa"/>
          </w:tcPr>
          <w:p w14:paraId="78AD53F1" w14:textId="7347F86B" w:rsidR="00B54DEB" w:rsidRPr="00F00CF4" w:rsidRDefault="00B54DEB" w:rsidP="00765E75">
            <w:pPr>
              <w:rPr>
                <w:rFonts w:ascii="Arial" w:hAnsi="Arial" w:cs="Arial"/>
              </w:rPr>
            </w:pPr>
            <w:r w:rsidRPr="00F00CF4">
              <w:rPr>
                <w:rFonts w:ascii="Arial" w:hAnsi="Arial" w:cs="Arial"/>
              </w:rPr>
              <w:t xml:space="preserve">(30 ÷ 5) ÷ 30 = 6 ÷ 30 = </w:t>
            </w:r>
            <w:r w:rsidRPr="00F00CF4">
              <w:rPr>
                <w:rStyle w:val="Strong"/>
                <w:rFonts w:ascii="Arial" w:hAnsi="Arial" w:cs="Arial"/>
                <w:b w:val="0"/>
                <w:bCs w:val="0"/>
              </w:rPr>
              <w:t>20%</w:t>
            </w:r>
          </w:p>
        </w:tc>
        <w:tc>
          <w:tcPr>
            <w:tcW w:w="1423" w:type="dxa"/>
          </w:tcPr>
          <w:p w14:paraId="2C7A4FFE" w14:textId="0D71A293" w:rsidR="00B54DEB" w:rsidRPr="00F00CF4" w:rsidRDefault="00B54DEB" w:rsidP="00765E75">
            <w:pPr>
              <w:rPr>
                <w:rFonts w:ascii="Arial" w:hAnsi="Arial" w:cs="Arial"/>
              </w:rPr>
            </w:pPr>
            <w:r w:rsidRPr="00F00CF4">
              <w:rPr>
                <w:rFonts w:ascii="Arial" w:hAnsi="Arial" w:cs="Arial"/>
              </w:rPr>
              <w:t xml:space="preserve">PV inflows ≈ £22.7m → NPV ≈ </w:t>
            </w:r>
            <w:r w:rsidRPr="00F00CF4">
              <w:rPr>
                <w:rStyle w:val="Strong"/>
                <w:rFonts w:ascii="Arial" w:hAnsi="Arial" w:cs="Arial"/>
                <w:b w:val="0"/>
                <w:bCs w:val="0"/>
              </w:rPr>
              <w:t>–£7.3m</w:t>
            </w:r>
          </w:p>
        </w:tc>
        <w:tc>
          <w:tcPr>
            <w:tcW w:w="1691" w:type="dxa"/>
          </w:tcPr>
          <w:p w14:paraId="6B5B9E75" w14:textId="106E9E3F" w:rsidR="00B54DEB" w:rsidRPr="00F00CF4" w:rsidRDefault="00B54DEB" w:rsidP="00765E75">
            <w:pPr>
              <w:rPr>
                <w:rFonts w:ascii="Arial" w:hAnsi="Arial" w:cs="Arial"/>
              </w:rPr>
            </w:pPr>
            <w:r w:rsidRPr="00F00CF4">
              <w:rPr>
                <w:rFonts w:ascii="Arial" w:hAnsi="Arial" w:cs="Arial"/>
              </w:rPr>
              <w:t>~6–7% (below cost of capital).</w:t>
            </w:r>
          </w:p>
        </w:tc>
        <w:tc>
          <w:tcPr>
            <w:tcW w:w="1536" w:type="dxa"/>
          </w:tcPr>
          <w:p w14:paraId="34DAF0E1" w14:textId="47EC1C72" w:rsidR="00B54DEB" w:rsidRDefault="00B54DEB" w:rsidP="00765E75">
            <w:r>
              <w:t>0.76</w:t>
            </w:r>
          </w:p>
        </w:tc>
      </w:tr>
      <w:tr w:rsidR="00B54DEB" w14:paraId="70E6B7A8" w14:textId="77777777" w:rsidTr="00B54DEB">
        <w:trPr>
          <w:trHeight w:val="1664"/>
        </w:trPr>
        <w:tc>
          <w:tcPr>
            <w:tcW w:w="1171" w:type="dxa"/>
          </w:tcPr>
          <w:p w14:paraId="03C56305" w14:textId="6F205912" w:rsidR="00B54DEB" w:rsidRPr="00B54DEB" w:rsidRDefault="00B54DEB" w:rsidP="00765E75">
            <w:pPr>
              <w:rPr>
                <w:rFonts w:ascii="Arial" w:hAnsi="Arial" w:cs="Arial"/>
                <w:b/>
                <w:bCs/>
              </w:rPr>
            </w:pPr>
            <w:r w:rsidRPr="00B54DEB">
              <w:rPr>
                <w:rFonts w:ascii="Arial" w:hAnsi="Arial" w:cs="Arial"/>
                <w:b/>
                <w:bCs/>
              </w:rPr>
              <w:t>Project C</w:t>
            </w:r>
          </w:p>
        </w:tc>
        <w:tc>
          <w:tcPr>
            <w:tcW w:w="2058" w:type="dxa"/>
          </w:tcPr>
          <w:p w14:paraId="4674692B" w14:textId="33F90652" w:rsidR="00B54DEB" w:rsidRPr="00F00CF4" w:rsidRDefault="00B54DEB" w:rsidP="00765E75">
            <w:pPr>
              <w:rPr>
                <w:rFonts w:ascii="Arial" w:hAnsi="Arial" w:cs="Arial"/>
              </w:rPr>
            </w:pPr>
            <w:r w:rsidRPr="00F00CF4">
              <w:rPr>
                <w:rFonts w:ascii="Arial" w:hAnsi="Arial" w:cs="Arial"/>
              </w:rPr>
              <w:t>50 ÷ (5+10+20+25) → recovered in Year 4 (approx. 3.2 years).</w:t>
            </w:r>
          </w:p>
        </w:tc>
        <w:tc>
          <w:tcPr>
            <w:tcW w:w="1536" w:type="dxa"/>
          </w:tcPr>
          <w:p w14:paraId="0C2D1B21" w14:textId="77777777" w:rsidR="00B54DEB" w:rsidRPr="00F00CF4" w:rsidRDefault="00B54DEB" w:rsidP="00F00CF4">
            <w:pPr>
              <w:pStyle w:val="NormalWeb"/>
              <w:rPr>
                <w:rFonts w:ascii="Arial" w:hAnsi="Arial" w:cs="Arial"/>
              </w:rPr>
            </w:pPr>
            <w:r w:rsidRPr="00F00CF4">
              <w:rPr>
                <w:rFonts w:ascii="Arial" w:hAnsi="Arial" w:cs="Arial"/>
              </w:rPr>
              <w:t xml:space="preserve">(75 ÷ 5) ÷ 50 = 15 ÷ 50 </w:t>
            </w:r>
            <w:r w:rsidRPr="00F00CF4">
              <w:rPr>
                <w:rFonts w:ascii="Arial" w:hAnsi="Arial" w:cs="Arial"/>
                <w:b/>
                <w:bCs/>
              </w:rPr>
              <w:t xml:space="preserve">= </w:t>
            </w:r>
            <w:r w:rsidRPr="00F00CF4">
              <w:rPr>
                <w:rStyle w:val="Strong"/>
                <w:rFonts w:ascii="Arial" w:hAnsi="Arial" w:cs="Arial"/>
                <w:b w:val="0"/>
                <w:bCs w:val="0"/>
              </w:rPr>
              <w:t>30%</w:t>
            </w:r>
          </w:p>
          <w:p w14:paraId="7AF372DB" w14:textId="77777777" w:rsidR="00B54DEB" w:rsidRDefault="00B54DEB" w:rsidP="00765E75"/>
        </w:tc>
        <w:tc>
          <w:tcPr>
            <w:tcW w:w="1423" w:type="dxa"/>
          </w:tcPr>
          <w:p w14:paraId="688A2C66" w14:textId="068211DD" w:rsidR="00B54DEB" w:rsidRPr="00F00CF4" w:rsidRDefault="00B54DEB" w:rsidP="00765E75">
            <w:pPr>
              <w:rPr>
                <w:rFonts w:ascii="Arial" w:hAnsi="Arial" w:cs="Arial"/>
              </w:rPr>
            </w:pPr>
            <w:r w:rsidRPr="00F00CF4">
              <w:rPr>
                <w:rFonts w:ascii="Arial" w:hAnsi="Arial" w:cs="Arial"/>
              </w:rPr>
              <w:t xml:space="preserve">PV inflows ≈ £61.4m → NPV ≈ </w:t>
            </w:r>
            <w:r w:rsidRPr="00F00CF4">
              <w:rPr>
                <w:rStyle w:val="Strong"/>
                <w:rFonts w:ascii="Arial" w:hAnsi="Arial" w:cs="Arial"/>
                <w:b w:val="0"/>
                <w:bCs w:val="0"/>
              </w:rPr>
              <w:t>+£11.4m</w:t>
            </w:r>
          </w:p>
        </w:tc>
        <w:tc>
          <w:tcPr>
            <w:tcW w:w="1691" w:type="dxa"/>
          </w:tcPr>
          <w:p w14:paraId="17D6342D" w14:textId="4ED97D2C" w:rsidR="00B54DEB" w:rsidRPr="00F00CF4" w:rsidRDefault="00B54DEB" w:rsidP="00765E75">
            <w:pPr>
              <w:rPr>
                <w:rFonts w:ascii="Arial" w:hAnsi="Arial" w:cs="Arial"/>
              </w:rPr>
            </w:pPr>
            <w:r w:rsidRPr="00F00CF4">
              <w:rPr>
                <w:rFonts w:ascii="Arial" w:hAnsi="Arial" w:cs="Arial"/>
              </w:rPr>
              <w:t>~15–16% (well above cost of capital).</w:t>
            </w:r>
          </w:p>
        </w:tc>
        <w:tc>
          <w:tcPr>
            <w:tcW w:w="1536" w:type="dxa"/>
          </w:tcPr>
          <w:p w14:paraId="0F9C6423" w14:textId="131550CB" w:rsidR="00B54DEB" w:rsidRDefault="00B54DEB" w:rsidP="00765E75">
            <w:r>
              <w:t>1.23</w:t>
            </w:r>
          </w:p>
        </w:tc>
      </w:tr>
    </w:tbl>
    <w:p w14:paraId="72B2D173" w14:textId="5A4AD77C" w:rsidR="0029620E" w:rsidRDefault="0029620E" w:rsidP="0029620E">
      <w:pPr>
        <w:pStyle w:val="Heading2"/>
      </w:pPr>
      <w:bookmarkStart w:id="27" w:name="_Toc214656949"/>
    </w:p>
    <w:tbl>
      <w:tblPr>
        <w:tblStyle w:val="TableGrid"/>
        <w:tblW w:w="0" w:type="auto"/>
        <w:tblLook w:val="04A0" w:firstRow="1" w:lastRow="0" w:firstColumn="1" w:lastColumn="0" w:noHBand="0" w:noVBand="1"/>
      </w:tblPr>
      <w:tblGrid>
        <w:gridCol w:w="2254"/>
        <w:gridCol w:w="2254"/>
        <w:gridCol w:w="2254"/>
        <w:gridCol w:w="2254"/>
      </w:tblGrid>
      <w:tr w:rsidR="0029620E" w14:paraId="50D2DC57" w14:textId="77777777" w:rsidTr="0029620E">
        <w:tc>
          <w:tcPr>
            <w:tcW w:w="2254" w:type="dxa"/>
          </w:tcPr>
          <w:p w14:paraId="5D20B987" w14:textId="1896469D" w:rsidR="0029620E" w:rsidRDefault="0029620E" w:rsidP="0029620E">
            <w:bookmarkStart w:id="28" w:name="_Hlk214825279"/>
            <w:r>
              <w:t>NET</w:t>
            </w:r>
          </w:p>
        </w:tc>
        <w:tc>
          <w:tcPr>
            <w:tcW w:w="2254" w:type="dxa"/>
          </w:tcPr>
          <w:p w14:paraId="4B7A5CB1" w14:textId="06200945" w:rsidR="0029620E" w:rsidRDefault="0029620E" w:rsidP="0029620E">
            <w:r>
              <w:t>PRESENT</w:t>
            </w:r>
          </w:p>
        </w:tc>
        <w:tc>
          <w:tcPr>
            <w:tcW w:w="2254" w:type="dxa"/>
          </w:tcPr>
          <w:p w14:paraId="3042CB51" w14:textId="316C2FAD" w:rsidR="0029620E" w:rsidRDefault="0029620E" w:rsidP="0029620E">
            <w:r>
              <w:t>VALUE</w:t>
            </w:r>
          </w:p>
        </w:tc>
        <w:tc>
          <w:tcPr>
            <w:tcW w:w="2254" w:type="dxa"/>
          </w:tcPr>
          <w:p w14:paraId="0D7EB42D" w14:textId="77777777" w:rsidR="0029620E" w:rsidRDefault="0029620E" w:rsidP="0029620E"/>
        </w:tc>
      </w:tr>
      <w:tr w:rsidR="0029620E" w14:paraId="08BD9A35" w14:textId="77777777" w:rsidTr="0029620E">
        <w:tc>
          <w:tcPr>
            <w:tcW w:w="2254" w:type="dxa"/>
          </w:tcPr>
          <w:p w14:paraId="445BE613" w14:textId="5A0CC27B" w:rsidR="0029620E" w:rsidRDefault="0029620E" w:rsidP="0029620E">
            <w:r>
              <w:t>YEARS</w:t>
            </w:r>
          </w:p>
        </w:tc>
        <w:tc>
          <w:tcPr>
            <w:tcW w:w="2254" w:type="dxa"/>
          </w:tcPr>
          <w:p w14:paraId="14963308" w14:textId="77777777" w:rsidR="0029620E" w:rsidRDefault="0029620E" w:rsidP="0029620E"/>
        </w:tc>
        <w:tc>
          <w:tcPr>
            <w:tcW w:w="2254" w:type="dxa"/>
          </w:tcPr>
          <w:p w14:paraId="6130825C" w14:textId="702643EC" w:rsidR="0029620E" w:rsidRDefault="005869BF" w:rsidP="0029620E">
            <w:r>
              <w:t>Discount %</w:t>
            </w:r>
          </w:p>
        </w:tc>
        <w:tc>
          <w:tcPr>
            <w:tcW w:w="2254" w:type="dxa"/>
          </w:tcPr>
          <w:p w14:paraId="1D05F611" w14:textId="6446DC3D" w:rsidR="0029620E" w:rsidRDefault="005869BF" w:rsidP="0029620E">
            <w:r>
              <w:t>PV</w:t>
            </w:r>
          </w:p>
        </w:tc>
      </w:tr>
      <w:tr w:rsidR="0029620E" w14:paraId="2F15F0CE" w14:textId="77777777" w:rsidTr="0029620E">
        <w:tc>
          <w:tcPr>
            <w:tcW w:w="2254" w:type="dxa"/>
          </w:tcPr>
          <w:p w14:paraId="6CD1A749" w14:textId="1E1E9CD4" w:rsidR="0029620E" w:rsidRDefault="0029620E" w:rsidP="0029620E">
            <w:r>
              <w:t xml:space="preserve">0 </w:t>
            </w:r>
          </w:p>
        </w:tc>
        <w:tc>
          <w:tcPr>
            <w:tcW w:w="2254" w:type="dxa"/>
          </w:tcPr>
          <w:p w14:paraId="420B9906" w14:textId="552CB0FE" w:rsidR="0029620E" w:rsidRDefault="0029620E" w:rsidP="0029620E">
            <w:r>
              <w:t>40</w:t>
            </w:r>
          </w:p>
        </w:tc>
        <w:tc>
          <w:tcPr>
            <w:tcW w:w="2254" w:type="dxa"/>
          </w:tcPr>
          <w:p w14:paraId="51FA5E9C" w14:textId="72FE3959" w:rsidR="0029620E" w:rsidRDefault="0029620E" w:rsidP="0029620E">
            <w:r>
              <w:t>1</w:t>
            </w:r>
          </w:p>
        </w:tc>
        <w:tc>
          <w:tcPr>
            <w:tcW w:w="2254" w:type="dxa"/>
          </w:tcPr>
          <w:p w14:paraId="0D0C61F0" w14:textId="4CB56589" w:rsidR="0029620E" w:rsidRDefault="0029620E" w:rsidP="0029620E"/>
        </w:tc>
      </w:tr>
      <w:tr w:rsidR="0029620E" w14:paraId="195291DE" w14:textId="77777777" w:rsidTr="0029620E">
        <w:tc>
          <w:tcPr>
            <w:tcW w:w="2254" w:type="dxa"/>
          </w:tcPr>
          <w:p w14:paraId="77C3E6A6" w14:textId="177342B1" w:rsidR="0029620E" w:rsidRDefault="0029620E" w:rsidP="0029620E">
            <w:r>
              <w:t>1</w:t>
            </w:r>
          </w:p>
        </w:tc>
        <w:tc>
          <w:tcPr>
            <w:tcW w:w="2254" w:type="dxa"/>
          </w:tcPr>
          <w:p w14:paraId="31746A03" w14:textId="4CFBDF00" w:rsidR="0029620E" w:rsidRDefault="0029620E" w:rsidP="0029620E">
            <w:r>
              <w:t>10</w:t>
            </w:r>
          </w:p>
        </w:tc>
        <w:tc>
          <w:tcPr>
            <w:tcW w:w="2254" w:type="dxa"/>
          </w:tcPr>
          <w:p w14:paraId="5A13CABB" w14:textId="6796101E" w:rsidR="0029620E" w:rsidRDefault="0029620E" w:rsidP="0029620E">
            <w:r>
              <w:t>0909</w:t>
            </w:r>
          </w:p>
        </w:tc>
        <w:tc>
          <w:tcPr>
            <w:tcW w:w="2254" w:type="dxa"/>
          </w:tcPr>
          <w:p w14:paraId="44555960" w14:textId="3F46C1C4" w:rsidR="0029620E" w:rsidRDefault="0029620E" w:rsidP="0029620E">
            <w:r>
              <w:t>9.09</w:t>
            </w:r>
          </w:p>
        </w:tc>
      </w:tr>
      <w:tr w:rsidR="0029620E" w14:paraId="03FDC53D" w14:textId="77777777" w:rsidTr="0029620E">
        <w:tc>
          <w:tcPr>
            <w:tcW w:w="2254" w:type="dxa"/>
          </w:tcPr>
          <w:p w14:paraId="0FB2AAE6" w14:textId="3BD23354" w:rsidR="0029620E" w:rsidRDefault="0029620E" w:rsidP="0029620E">
            <w:r>
              <w:t>2</w:t>
            </w:r>
          </w:p>
        </w:tc>
        <w:tc>
          <w:tcPr>
            <w:tcW w:w="2254" w:type="dxa"/>
          </w:tcPr>
          <w:p w14:paraId="5452E456" w14:textId="1DC931E6" w:rsidR="0029620E" w:rsidRDefault="0029620E" w:rsidP="0029620E">
            <w:r>
              <w:t>12</w:t>
            </w:r>
          </w:p>
        </w:tc>
        <w:tc>
          <w:tcPr>
            <w:tcW w:w="2254" w:type="dxa"/>
          </w:tcPr>
          <w:p w14:paraId="0B0EAC95" w14:textId="75889F6F" w:rsidR="0029620E" w:rsidRDefault="0029620E" w:rsidP="0029620E">
            <w:r>
              <w:t>0826</w:t>
            </w:r>
          </w:p>
        </w:tc>
        <w:tc>
          <w:tcPr>
            <w:tcW w:w="2254" w:type="dxa"/>
          </w:tcPr>
          <w:p w14:paraId="4CFF94D6" w14:textId="186CE70C" w:rsidR="0029620E" w:rsidRDefault="0029620E" w:rsidP="0029620E">
            <w:r>
              <w:t>9.912</w:t>
            </w:r>
          </w:p>
        </w:tc>
      </w:tr>
      <w:tr w:rsidR="0029620E" w14:paraId="43E075E8" w14:textId="77777777" w:rsidTr="0029620E">
        <w:tc>
          <w:tcPr>
            <w:tcW w:w="2254" w:type="dxa"/>
          </w:tcPr>
          <w:p w14:paraId="3984736D" w14:textId="0A07EBBF" w:rsidR="0029620E" w:rsidRDefault="0029620E" w:rsidP="0029620E">
            <w:r>
              <w:t>3</w:t>
            </w:r>
          </w:p>
        </w:tc>
        <w:tc>
          <w:tcPr>
            <w:tcW w:w="2254" w:type="dxa"/>
          </w:tcPr>
          <w:p w14:paraId="294CF444" w14:textId="7B1DE9E1" w:rsidR="0029620E" w:rsidRDefault="0029620E" w:rsidP="0029620E">
            <w:r>
              <w:t>14</w:t>
            </w:r>
          </w:p>
        </w:tc>
        <w:tc>
          <w:tcPr>
            <w:tcW w:w="2254" w:type="dxa"/>
          </w:tcPr>
          <w:p w14:paraId="08439C1D" w14:textId="0E25B471" w:rsidR="0029620E" w:rsidRDefault="0029620E" w:rsidP="0029620E">
            <w:r>
              <w:t>0751</w:t>
            </w:r>
          </w:p>
        </w:tc>
        <w:tc>
          <w:tcPr>
            <w:tcW w:w="2254" w:type="dxa"/>
          </w:tcPr>
          <w:p w14:paraId="24C8BBFC" w14:textId="121C3E95" w:rsidR="0029620E" w:rsidRDefault="0029620E" w:rsidP="0029620E">
            <w:r>
              <w:t>10.51</w:t>
            </w:r>
            <w:r w:rsidR="005869BF">
              <w:t>4</w:t>
            </w:r>
          </w:p>
        </w:tc>
      </w:tr>
      <w:tr w:rsidR="0029620E" w14:paraId="51CA38B9" w14:textId="77777777" w:rsidTr="0029620E">
        <w:tc>
          <w:tcPr>
            <w:tcW w:w="2254" w:type="dxa"/>
          </w:tcPr>
          <w:p w14:paraId="15182A70" w14:textId="6CEBA3C6" w:rsidR="0029620E" w:rsidRDefault="0029620E" w:rsidP="0029620E">
            <w:r>
              <w:t>4</w:t>
            </w:r>
          </w:p>
        </w:tc>
        <w:tc>
          <w:tcPr>
            <w:tcW w:w="2254" w:type="dxa"/>
          </w:tcPr>
          <w:p w14:paraId="5B20C667" w14:textId="00222352" w:rsidR="0029620E" w:rsidRDefault="0029620E" w:rsidP="0029620E">
            <w:r>
              <w:t>10</w:t>
            </w:r>
          </w:p>
        </w:tc>
        <w:tc>
          <w:tcPr>
            <w:tcW w:w="2254" w:type="dxa"/>
          </w:tcPr>
          <w:p w14:paraId="136854B5" w14:textId="40C9A06D" w:rsidR="0029620E" w:rsidRDefault="0029620E" w:rsidP="0029620E">
            <w:r>
              <w:t>06</w:t>
            </w:r>
            <w:r w:rsidR="005869BF">
              <w:t>83</w:t>
            </w:r>
          </w:p>
        </w:tc>
        <w:tc>
          <w:tcPr>
            <w:tcW w:w="2254" w:type="dxa"/>
          </w:tcPr>
          <w:p w14:paraId="24865DD3" w14:textId="3F985908" w:rsidR="0029620E" w:rsidRDefault="0029620E" w:rsidP="0029620E">
            <w:r>
              <w:t>6.83</w:t>
            </w:r>
          </w:p>
        </w:tc>
      </w:tr>
      <w:tr w:rsidR="0029620E" w14:paraId="1CED47DB" w14:textId="77777777" w:rsidTr="0029620E">
        <w:tc>
          <w:tcPr>
            <w:tcW w:w="2254" w:type="dxa"/>
          </w:tcPr>
          <w:p w14:paraId="7D308886" w14:textId="1B8E3E1B" w:rsidR="0029620E" w:rsidRDefault="0029620E" w:rsidP="0029620E">
            <w:r>
              <w:t>5</w:t>
            </w:r>
          </w:p>
        </w:tc>
        <w:tc>
          <w:tcPr>
            <w:tcW w:w="2254" w:type="dxa"/>
          </w:tcPr>
          <w:p w14:paraId="49F27FCE" w14:textId="38B1ADBF" w:rsidR="0029620E" w:rsidRDefault="0029620E" w:rsidP="0029620E">
            <w:r>
              <w:t>8</w:t>
            </w:r>
          </w:p>
        </w:tc>
        <w:tc>
          <w:tcPr>
            <w:tcW w:w="2254" w:type="dxa"/>
          </w:tcPr>
          <w:p w14:paraId="771DD6E0" w14:textId="26FA6D05" w:rsidR="0029620E" w:rsidRDefault="0029620E" w:rsidP="0029620E">
            <w:r>
              <w:t>0621</w:t>
            </w:r>
          </w:p>
        </w:tc>
        <w:tc>
          <w:tcPr>
            <w:tcW w:w="2254" w:type="dxa"/>
          </w:tcPr>
          <w:p w14:paraId="4EC955CC" w14:textId="2207CB2B" w:rsidR="0029620E" w:rsidRDefault="0029620E" w:rsidP="0029620E">
            <w:r>
              <w:t>4.9</w:t>
            </w:r>
            <w:r w:rsidR="005869BF">
              <w:t>68</w:t>
            </w:r>
          </w:p>
        </w:tc>
      </w:tr>
      <w:bookmarkEnd w:id="28"/>
    </w:tbl>
    <w:p w14:paraId="04399BDF" w14:textId="55EA60BE" w:rsidR="0029620E" w:rsidRPr="0029620E" w:rsidRDefault="0029620E" w:rsidP="0029620E"/>
    <w:p w14:paraId="707E1B24" w14:textId="6F672CC4" w:rsidR="0029620E" w:rsidRDefault="0029620E" w:rsidP="0029620E">
      <w:r w:rsidRPr="0029620E">
        <w:t>NPV</w:t>
      </w:r>
      <w:r w:rsidR="00181847">
        <w:t xml:space="preserve"> (Project A)</w:t>
      </w:r>
      <w:r w:rsidRPr="0029620E">
        <w:t xml:space="preserve"> </w:t>
      </w:r>
      <w:r w:rsidR="00181847">
        <w:t>41.314-40=1.314</w:t>
      </w:r>
    </w:p>
    <w:p w14:paraId="3FC49559" w14:textId="77777777" w:rsidR="00B20682" w:rsidRPr="0029620E" w:rsidRDefault="00B20682" w:rsidP="0029620E"/>
    <w:tbl>
      <w:tblPr>
        <w:tblStyle w:val="TableGrid"/>
        <w:tblW w:w="0" w:type="auto"/>
        <w:tblLook w:val="04A0" w:firstRow="1" w:lastRow="0" w:firstColumn="1" w:lastColumn="0" w:noHBand="0" w:noVBand="1"/>
      </w:tblPr>
      <w:tblGrid>
        <w:gridCol w:w="2254"/>
        <w:gridCol w:w="2254"/>
        <w:gridCol w:w="2254"/>
        <w:gridCol w:w="2254"/>
      </w:tblGrid>
      <w:tr w:rsidR="00B20682" w14:paraId="411D3D93" w14:textId="77777777" w:rsidTr="00CC1EF9">
        <w:tc>
          <w:tcPr>
            <w:tcW w:w="2254" w:type="dxa"/>
          </w:tcPr>
          <w:p w14:paraId="6910C449" w14:textId="77777777" w:rsidR="00B20682" w:rsidRDefault="00B20682" w:rsidP="00CC1EF9">
            <w:bookmarkStart w:id="29" w:name="_Hlk214826064"/>
            <w:r>
              <w:t>NET</w:t>
            </w:r>
          </w:p>
        </w:tc>
        <w:tc>
          <w:tcPr>
            <w:tcW w:w="2254" w:type="dxa"/>
          </w:tcPr>
          <w:p w14:paraId="43470DF2" w14:textId="77777777" w:rsidR="00B20682" w:rsidRDefault="00B20682" w:rsidP="00CC1EF9">
            <w:r>
              <w:t>PRESENT</w:t>
            </w:r>
          </w:p>
        </w:tc>
        <w:tc>
          <w:tcPr>
            <w:tcW w:w="2254" w:type="dxa"/>
          </w:tcPr>
          <w:p w14:paraId="17EEC632" w14:textId="77777777" w:rsidR="00B20682" w:rsidRDefault="00B20682" w:rsidP="00CC1EF9">
            <w:r>
              <w:t>VALUE</w:t>
            </w:r>
          </w:p>
        </w:tc>
        <w:tc>
          <w:tcPr>
            <w:tcW w:w="2254" w:type="dxa"/>
          </w:tcPr>
          <w:p w14:paraId="3E36385E" w14:textId="77777777" w:rsidR="00B20682" w:rsidRDefault="00B20682" w:rsidP="00CC1EF9"/>
        </w:tc>
      </w:tr>
      <w:tr w:rsidR="00B20682" w14:paraId="01C5123C" w14:textId="77777777" w:rsidTr="00CC1EF9">
        <w:tc>
          <w:tcPr>
            <w:tcW w:w="2254" w:type="dxa"/>
          </w:tcPr>
          <w:p w14:paraId="19CFF890" w14:textId="77777777" w:rsidR="00B20682" w:rsidRDefault="00B20682" w:rsidP="00CC1EF9">
            <w:r>
              <w:t>YEARS</w:t>
            </w:r>
          </w:p>
        </w:tc>
        <w:tc>
          <w:tcPr>
            <w:tcW w:w="2254" w:type="dxa"/>
          </w:tcPr>
          <w:p w14:paraId="5A7F5CB7" w14:textId="77777777" w:rsidR="00B20682" w:rsidRDefault="00B20682" w:rsidP="00CC1EF9"/>
        </w:tc>
        <w:tc>
          <w:tcPr>
            <w:tcW w:w="2254" w:type="dxa"/>
          </w:tcPr>
          <w:p w14:paraId="6314BF5B" w14:textId="77777777" w:rsidR="00B20682" w:rsidRDefault="00B20682" w:rsidP="00CC1EF9">
            <w:r>
              <w:t>Discount %</w:t>
            </w:r>
          </w:p>
        </w:tc>
        <w:tc>
          <w:tcPr>
            <w:tcW w:w="2254" w:type="dxa"/>
          </w:tcPr>
          <w:p w14:paraId="2DFDEEF6" w14:textId="77777777" w:rsidR="00B20682" w:rsidRDefault="00B20682" w:rsidP="00CC1EF9">
            <w:r>
              <w:t>PV</w:t>
            </w:r>
          </w:p>
        </w:tc>
      </w:tr>
      <w:tr w:rsidR="00B20682" w14:paraId="6398DF34" w14:textId="77777777" w:rsidTr="00CC1EF9">
        <w:tc>
          <w:tcPr>
            <w:tcW w:w="2254" w:type="dxa"/>
          </w:tcPr>
          <w:p w14:paraId="00594A7D" w14:textId="77777777" w:rsidR="00B20682" w:rsidRDefault="00B20682" w:rsidP="00CC1EF9">
            <w:r>
              <w:t xml:space="preserve">0 </w:t>
            </w:r>
          </w:p>
        </w:tc>
        <w:tc>
          <w:tcPr>
            <w:tcW w:w="2254" w:type="dxa"/>
          </w:tcPr>
          <w:p w14:paraId="7C8B43D9" w14:textId="281FDF75" w:rsidR="00B20682" w:rsidRDefault="00B20682" w:rsidP="00CC1EF9">
            <w:r>
              <w:t>30</w:t>
            </w:r>
          </w:p>
        </w:tc>
        <w:tc>
          <w:tcPr>
            <w:tcW w:w="2254" w:type="dxa"/>
          </w:tcPr>
          <w:p w14:paraId="05B6D3A4" w14:textId="77777777" w:rsidR="00B20682" w:rsidRDefault="00B20682" w:rsidP="00CC1EF9">
            <w:r>
              <w:t>1</w:t>
            </w:r>
          </w:p>
        </w:tc>
        <w:tc>
          <w:tcPr>
            <w:tcW w:w="2254" w:type="dxa"/>
          </w:tcPr>
          <w:p w14:paraId="51E1EEF4" w14:textId="24D58CF2" w:rsidR="00B20682" w:rsidRDefault="00B20682" w:rsidP="00CC1EF9"/>
        </w:tc>
      </w:tr>
      <w:tr w:rsidR="00B20682" w14:paraId="56908956" w14:textId="77777777" w:rsidTr="00CC1EF9">
        <w:tc>
          <w:tcPr>
            <w:tcW w:w="2254" w:type="dxa"/>
          </w:tcPr>
          <w:p w14:paraId="7AB7C28D" w14:textId="77777777" w:rsidR="00B20682" w:rsidRDefault="00B20682" w:rsidP="00CC1EF9">
            <w:r>
              <w:t>1</w:t>
            </w:r>
          </w:p>
        </w:tc>
        <w:tc>
          <w:tcPr>
            <w:tcW w:w="2254" w:type="dxa"/>
          </w:tcPr>
          <w:p w14:paraId="76AF944E" w14:textId="50B8A05C" w:rsidR="00B20682" w:rsidRDefault="00B20682" w:rsidP="00CC1EF9">
            <w:r>
              <w:t>6</w:t>
            </w:r>
          </w:p>
        </w:tc>
        <w:tc>
          <w:tcPr>
            <w:tcW w:w="2254" w:type="dxa"/>
          </w:tcPr>
          <w:p w14:paraId="48D9628E" w14:textId="77777777" w:rsidR="00B20682" w:rsidRDefault="00B20682" w:rsidP="00CC1EF9">
            <w:r>
              <w:t>0909</w:t>
            </w:r>
          </w:p>
        </w:tc>
        <w:tc>
          <w:tcPr>
            <w:tcW w:w="2254" w:type="dxa"/>
          </w:tcPr>
          <w:p w14:paraId="56A6C2EB" w14:textId="73A93E03" w:rsidR="00B20682" w:rsidRDefault="00B20682" w:rsidP="00CC1EF9">
            <w:r>
              <w:t>5.454</w:t>
            </w:r>
          </w:p>
        </w:tc>
      </w:tr>
      <w:tr w:rsidR="00B20682" w14:paraId="6D926DA1" w14:textId="77777777" w:rsidTr="00CC1EF9">
        <w:tc>
          <w:tcPr>
            <w:tcW w:w="2254" w:type="dxa"/>
          </w:tcPr>
          <w:p w14:paraId="01F18B87" w14:textId="77777777" w:rsidR="00B20682" w:rsidRDefault="00B20682" w:rsidP="00CC1EF9">
            <w:r>
              <w:t>2</w:t>
            </w:r>
          </w:p>
        </w:tc>
        <w:tc>
          <w:tcPr>
            <w:tcW w:w="2254" w:type="dxa"/>
          </w:tcPr>
          <w:p w14:paraId="2A826102" w14:textId="6B350578" w:rsidR="00B20682" w:rsidRDefault="00B20682" w:rsidP="00CC1EF9">
            <w:r>
              <w:t>6</w:t>
            </w:r>
          </w:p>
        </w:tc>
        <w:tc>
          <w:tcPr>
            <w:tcW w:w="2254" w:type="dxa"/>
          </w:tcPr>
          <w:p w14:paraId="66D04E96" w14:textId="77777777" w:rsidR="00B20682" w:rsidRDefault="00B20682" w:rsidP="00CC1EF9">
            <w:r>
              <w:t>0826</w:t>
            </w:r>
          </w:p>
        </w:tc>
        <w:tc>
          <w:tcPr>
            <w:tcW w:w="2254" w:type="dxa"/>
          </w:tcPr>
          <w:p w14:paraId="6063BE8F" w14:textId="6A071D32" w:rsidR="00B20682" w:rsidRDefault="00B20682" w:rsidP="00CC1EF9">
            <w:r>
              <w:t>4.956</w:t>
            </w:r>
          </w:p>
        </w:tc>
      </w:tr>
      <w:tr w:rsidR="00B20682" w14:paraId="1D517432" w14:textId="77777777" w:rsidTr="00CC1EF9">
        <w:tc>
          <w:tcPr>
            <w:tcW w:w="2254" w:type="dxa"/>
          </w:tcPr>
          <w:p w14:paraId="2584B918" w14:textId="77777777" w:rsidR="00B20682" w:rsidRDefault="00B20682" w:rsidP="00CC1EF9">
            <w:r>
              <w:t>3</w:t>
            </w:r>
          </w:p>
        </w:tc>
        <w:tc>
          <w:tcPr>
            <w:tcW w:w="2254" w:type="dxa"/>
          </w:tcPr>
          <w:p w14:paraId="6FBD8E14" w14:textId="4498A1DB" w:rsidR="00B20682" w:rsidRDefault="00B20682" w:rsidP="00CC1EF9">
            <w:r>
              <w:t>6</w:t>
            </w:r>
          </w:p>
        </w:tc>
        <w:tc>
          <w:tcPr>
            <w:tcW w:w="2254" w:type="dxa"/>
          </w:tcPr>
          <w:p w14:paraId="56009697" w14:textId="77777777" w:rsidR="00B20682" w:rsidRDefault="00B20682" w:rsidP="00CC1EF9">
            <w:r>
              <w:t>0751</w:t>
            </w:r>
          </w:p>
        </w:tc>
        <w:tc>
          <w:tcPr>
            <w:tcW w:w="2254" w:type="dxa"/>
          </w:tcPr>
          <w:p w14:paraId="6F9E0C79" w14:textId="294FAFCE" w:rsidR="00B20682" w:rsidRDefault="00B20682" w:rsidP="00CC1EF9">
            <w:r>
              <w:t>4.506</w:t>
            </w:r>
          </w:p>
        </w:tc>
      </w:tr>
      <w:tr w:rsidR="00B20682" w14:paraId="7372C924" w14:textId="77777777" w:rsidTr="00CC1EF9">
        <w:tc>
          <w:tcPr>
            <w:tcW w:w="2254" w:type="dxa"/>
          </w:tcPr>
          <w:p w14:paraId="58E36DEA" w14:textId="77777777" w:rsidR="00B20682" w:rsidRDefault="00B20682" w:rsidP="00CC1EF9">
            <w:r>
              <w:t>4</w:t>
            </w:r>
          </w:p>
        </w:tc>
        <w:tc>
          <w:tcPr>
            <w:tcW w:w="2254" w:type="dxa"/>
          </w:tcPr>
          <w:p w14:paraId="27FC9C5A" w14:textId="30528623" w:rsidR="00B20682" w:rsidRDefault="00B20682" w:rsidP="00CC1EF9">
            <w:r>
              <w:t>6</w:t>
            </w:r>
          </w:p>
        </w:tc>
        <w:tc>
          <w:tcPr>
            <w:tcW w:w="2254" w:type="dxa"/>
          </w:tcPr>
          <w:p w14:paraId="2106E337" w14:textId="77777777" w:rsidR="00B20682" w:rsidRDefault="00B20682" w:rsidP="00CC1EF9">
            <w:r>
              <w:t>0683</w:t>
            </w:r>
          </w:p>
        </w:tc>
        <w:tc>
          <w:tcPr>
            <w:tcW w:w="2254" w:type="dxa"/>
          </w:tcPr>
          <w:p w14:paraId="20478980" w14:textId="11AE4897" w:rsidR="00B20682" w:rsidRDefault="00B20682" w:rsidP="00CC1EF9">
            <w:r>
              <w:t>4.098</w:t>
            </w:r>
          </w:p>
        </w:tc>
      </w:tr>
      <w:tr w:rsidR="00B20682" w14:paraId="65CBF031" w14:textId="77777777" w:rsidTr="00CC1EF9">
        <w:tc>
          <w:tcPr>
            <w:tcW w:w="2254" w:type="dxa"/>
          </w:tcPr>
          <w:p w14:paraId="159B5B86" w14:textId="77777777" w:rsidR="00B20682" w:rsidRDefault="00B20682" w:rsidP="00CC1EF9">
            <w:r>
              <w:t>5</w:t>
            </w:r>
          </w:p>
        </w:tc>
        <w:tc>
          <w:tcPr>
            <w:tcW w:w="2254" w:type="dxa"/>
          </w:tcPr>
          <w:p w14:paraId="0412D776" w14:textId="760F9D80" w:rsidR="00B20682" w:rsidRDefault="00B20682" w:rsidP="00CC1EF9">
            <w:r>
              <w:t>6</w:t>
            </w:r>
          </w:p>
        </w:tc>
        <w:tc>
          <w:tcPr>
            <w:tcW w:w="2254" w:type="dxa"/>
          </w:tcPr>
          <w:p w14:paraId="61E06AAF" w14:textId="77777777" w:rsidR="00B20682" w:rsidRDefault="00B20682" w:rsidP="00CC1EF9">
            <w:r>
              <w:t>0621</w:t>
            </w:r>
          </w:p>
        </w:tc>
        <w:tc>
          <w:tcPr>
            <w:tcW w:w="2254" w:type="dxa"/>
          </w:tcPr>
          <w:p w14:paraId="7969AAD7" w14:textId="09697A3C" w:rsidR="00B20682" w:rsidRDefault="00B20682" w:rsidP="00CC1EF9">
            <w:r>
              <w:t>3.726</w:t>
            </w:r>
          </w:p>
        </w:tc>
      </w:tr>
      <w:bookmarkEnd w:id="29"/>
    </w:tbl>
    <w:p w14:paraId="4F10EA93" w14:textId="77777777" w:rsidR="00181847" w:rsidRDefault="00181847" w:rsidP="00181847"/>
    <w:p w14:paraId="3963D1C5" w14:textId="021BF28C" w:rsidR="0029620E" w:rsidRDefault="00B20682" w:rsidP="00181847">
      <w:r>
        <w:t xml:space="preserve">NPV </w:t>
      </w:r>
      <w:r w:rsidR="00181847">
        <w:t>(Project B) 30-22.74 = 7.26</w:t>
      </w:r>
    </w:p>
    <w:p w14:paraId="053489A7" w14:textId="77777777" w:rsidR="00181847" w:rsidRDefault="00181847" w:rsidP="00181847"/>
    <w:tbl>
      <w:tblPr>
        <w:tblStyle w:val="TableGrid"/>
        <w:tblW w:w="0" w:type="auto"/>
        <w:tblLook w:val="04A0" w:firstRow="1" w:lastRow="0" w:firstColumn="1" w:lastColumn="0" w:noHBand="0" w:noVBand="1"/>
      </w:tblPr>
      <w:tblGrid>
        <w:gridCol w:w="2254"/>
        <w:gridCol w:w="2254"/>
        <w:gridCol w:w="2254"/>
        <w:gridCol w:w="2254"/>
      </w:tblGrid>
      <w:tr w:rsidR="00181847" w14:paraId="7B62E4C4" w14:textId="77777777" w:rsidTr="009028D8">
        <w:tc>
          <w:tcPr>
            <w:tcW w:w="2254" w:type="dxa"/>
          </w:tcPr>
          <w:p w14:paraId="54A27D7F" w14:textId="77777777" w:rsidR="00181847" w:rsidRDefault="00181847" w:rsidP="009028D8">
            <w:r>
              <w:t>NET</w:t>
            </w:r>
          </w:p>
        </w:tc>
        <w:tc>
          <w:tcPr>
            <w:tcW w:w="2254" w:type="dxa"/>
          </w:tcPr>
          <w:p w14:paraId="78B545F4" w14:textId="77777777" w:rsidR="00181847" w:rsidRDefault="00181847" w:rsidP="009028D8">
            <w:r>
              <w:t>PRESENT</w:t>
            </w:r>
          </w:p>
        </w:tc>
        <w:tc>
          <w:tcPr>
            <w:tcW w:w="2254" w:type="dxa"/>
          </w:tcPr>
          <w:p w14:paraId="5D499328" w14:textId="77777777" w:rsidR="00181847" w:rsidRDefault="00181847" w:rsidP="009028D8">
            <w:r>
              <w:t>VALUE</w:t>
            </w:r>
          </w:p>
        </w:tc>
        <w:tc>
          <w:tcPr>
            <w:tcW w:w="2254" w:type="dxa"/>
          </w:tcPr>
          <w:p w14:paraId="6A9F4690" w14:textId="77777777" w:rsidR="00181847" w:rsidRDefault="00181847" w:rsidP="009028D8"/>
        </w:tc>
      </w:tr>
      <w:tr w:rsidR="00181847" w14:paraId="444CC78E" w14:textId="77777777" w:rsidTr="009028D8">
        <w:tc>
          <w:tcPr>
            <w:tcW w:w="2254" w:type="dxa"/>
          </w:tcPr>
          <w:p w14:paraId="1BEF26F8" w14:textId="77777777" w:rsidR="00181847" w:rsidRDefault="00181847" w:rsidP="009028D8">
            <w:r>
              <w:t>YEARS</w:t>
            </w:r>
          </w:p>
        </w:tc>
        <w:tc>
          <w:tcPr>
            <w:tcW w:w="2254" w:type="dxa"/>
          </w:tcPr>
          <w:p w14:paraId="40B6C3FF" w14:textId="77777777" w:rsidR="00181847" w:rsidRDefault="00181847" w:rsidP="009028D8"/>
        </w:tc>
        <w:tc>
          <w:tcPr>
            <w:tcW w:w="2254" w:type="dxa"/>
          </w:tcPr>
          <w:p w14:paraId="3E89E78D" w14:textId="77777777" w:rsidR="00181847" w:rsidRDefault="00181847" w:rsidP="009028D8">
            <w:r>
              <w:t>Discount %</w:t>
            </w:r>
          </w:p>
        </w:tc>
        <w:tc>
          <w:tcPr>
            <w:tcW w:w="2254" w:type="dxa"/>
          </w:tcPr>
          <w:p w14:paraId="4B84E4DD" w14:textId="77777777" w:rsidR="00181847" w:rsidRDefault="00181847" w:rsidP="009028D8">
            <w:r>
              <w:t>PV</w:t>
            </w:r>
          </w:p>
        </w:tc>
      </w:tr>
      <w:tr w:rsidR="00181847" w14:paraId="1BBE7D57" w14:textId="77777777" w:rsidTr="009028D8">
        <w:tc>
          <w:tcPr>
            <w:tcW w:w="2254" w:type="dxa"/>
          </w:tcPr>
          <w:p w14:paraId="5090612F" w14:textId="77777777" w:rsidR="00181847" w:rsidRDefault="00181847" w:rsidP="009028D8">
            <w:r>
              <w:t xml:space="preserve">0 </w:t>
            </w:r>
          </w:p>
        </w:tc>
        <w:tc>
          <w:tcPr>
            <w:tcW w:w="2254" w:type="dxa"/>
          </w:tcPr>
          <w:p w14:paraId="4DED36AB" w14:textId="1500885C" w:rsidR="00181847" w:rsidRDefault="00181847" w:rsidP="009028D8">
            <w:r>
              <w:t>50</w:t>
            </w:r>
          </w:p>
        </w:tc>
        <w:tc>
          <w:tcPr>
            <w:tcW w:w="2254" w:type="dxa"/>
          </w:tcPr>
          <w:p w14:paraId="20571BDC" w14:textId="3D2EA1D2" w:rsidR="00181847" w:rsidRDefault="00181847" w:rsidP="009028D8">
            <w:r>
              <w:t>10%</w:t>
            </w:r>
          </w:p>
        </w:tc>
        <w:tc>
          <w:tcPr>
            <w:tcW w:w="2254" w:type="dxa"/>
          </w:tcPr>
          <w:p w14:paraId="48D48350" w14:textId="20B34B40" w:rsidR="00181847" w:rsidRDefault="00181847" w:rsidP="009028D8"/>
        </w:tc>
      </w:tr>
      <w:tr w:rsidR="00181847" w14:paraId="6FF27858" w14:textId="77777777" w:rsidTr="009028D8">
        <w:tc>
          <w:tcPr>
            <w:tcW w:w="2254" w:type="dxa"/>
          </w:tcPr>
          <w:p w14:paraId="75DB2DF2" w14:textId="77777777" w:rsidR="00181847" w:rsidRDefault="00181847" w:rsidP="009028D8">
            <w:r>
              <w:t>1</w:t>
            </w:r>
          </w:p>
        </w:tc>
        <w:tc>
          <w:tcPr>
            <w:tcW w:w="2254" w:type="dxa"/>
          </w:tcPr>
          <w:p w14:paraId="747E97B8" w14:textId="3AE6CA4A" w:rsidR="00181847" w:rsidRDefault="00181847" w:rsidP="009028D8">
            <w:r>
              <w:t>5</w:t>
            </w:r>
          </w:p>
        </w:tc>
        <w:tc>
          <w:tcPr>
            <w:tcW w:w="2254" w:type="dxa"/>
          </w:tcPr>
          <w:p w14:paraId="378F62F5" w14:textId="77777777" w:rsidR="00181847" w:rsidRDefault="00181847" w:rsidP="009028D8">
            <w:r>
              <w:t>0909</w:t>
            </w:r>
          </w:p>
        </w:tc>
        <w:tc>
          <w:tcPr>
            <w:tcW w:w="2254" w:type="dxa"/>
          </w:tcPr>
          <w:p w14:paraId="12D42740" w14:textId="7F0AA7E7" w:rsidR="00181847" w:rsidRDefault="00181847" w:rsidP="009028D8">
            <w:r>
              <w:t>4.545</w:t>
            </w:r>
          </w:p>
        </w:tc>
      </w:tr>
      <w:tr w:rsidR="00181847" w14:paraId="36FB0021" w14:textId="77777777" w:rsidTr="009028D8">
        <w:tc>
          <w:tcPr>
            <w:tcW w:w="2254" w:type="dxa"/>
          </w:tcPr>
          <w:p w14:paraId="43FFCDB7" w14:textId="77777777" w:rsidR="00181847" w:rsidRDefault="00181847" w:rsidP="009028D8">
            <w:r>
              <w:t>2</w:t>
            </w:r>
          </w:p>
        </w:tc>
        <w:tc>
          <w:tcPr>
            <w:tcW w:w="2254" w:type="dxa"/>
          </w:tcPr>
          <w:p w14:paraId="4783C829" w14:textId="30DDC034" w:rsidR="00181847" w:rsidRDefault="00181847" w:rsidP="009028D8">
            <w:r>
              <w:t>10</w:t>
            </w:r>
          </w:p>
        </w:tc>
        <w:tc>
          <w:tcPr>
            <w:tcW w:w="2254" w:type="dxa"/>
          </w:tcPr>
          <w:p w14:paraId="25A2AF34" w14:textId="77777777" w:rsidR="00181847" w:rsidRDefault="00181847" w:rsidP="009028D8">
            <w:r>
              <w:t>0826</w:t>
            </w:r>
          </w:p>
        </w:tc>
        <w:tc>
          <w:tcPr>
            <w:tcW w:w="2254" w:type="dxa"/>
          </w:tcPr>
          <w:p w14:paraId="6D281D5A" w14:textId="3BF8F3A6" w:rsidR="00181847" w:rsidRDefault="00181847" w:rsidP="009028D8">
            <w:r>
              <w:t>8.26</w:t>
            </w:r>
          </w:p>
        </w:tc>
      </w:tr>
      <w:tr w:rsidR="00181847" w14:paraId="4AE8E1E0" w14:textId="77777777" w:rsidTr="009028D8">
        <w:tc>
          <w:tcPr>
            <w:tcW w:w="2254" w:type="dxa"/>
          </w:tcPr>
          <w:p w14:paraId="5640C455" w14:textId="77777777" w:rsidR="00181847" w:rsidRDefault="00181847" w:rsidP="009028D8">
            <w:r>
              <w:t>3</w:t>
            </w:r>
          </w:p>
        </w:tc>
        <w:tc>
          <w:tcPr>
            <w:tcW w:w="2254" w:type="dxa"/>
          </w:tcPr>
          <w:p w14:paraId="0DB8E2A0" w14:textId="6DD01A18" w:rsidR="00181847" w:rsidRDefault="00181847" w:rsidP="009028D8">
            <w:r>
              <w:t>20</w:t>
            </w:r>
          </w:p>
        </w:tc>
        <w:tc>
          <w:tcPr>
            <w:tcW w:w="2254" w:type="dxa"/>
          </w:tcPr>
          <w:p w14:paraId="08DABD44" w14:textId="77777777" w:rsidR="00181847" w:rsidRDefault="00181847" w:rsidP="009028D8">
            <w:r>
              <w:t>0751</w:t>
            </w:r>
          </w:p>
        </w:tc>
        <w:tc>
          <w:tcPr>
            <w:tcW w:w="2254" w:type="dxa"/>
          </w:tcPr>
          <w:p w14:paraId="4A9B8277" w14:textId="0A2D1D6A" w:rsidR="00181847" w:rsidRDefault="00181847" w:rsidP="009028D8">
            <w:r>
              <w:t>15.02</w:t>
            </w:r>
          </w:p>
        </w:tc>
      </w:tr>
      <w:tr w:rsidR="00181847" w14:paraId="1807DBBA" w14:textId="77777777" w:rsidTr="009028D8">
        <w:tc>
          <w:tcPr>
            <w:tcW w:w="2254" w:type="dxa"/>
          </w:tcPr>
          <w:p w14:paraId="632E35A0" w14:textId="77777777" w:rsidR="00181847" w:rsidRDefault="00181847" w:rsidP="009028D8">
            <w:r>
              <w:t>4</w:t>
            </w:r>
          </w:p>
        </w:tc>
        <w:tc>
          <w:tcPr>
            <w:tcW w:w="2254" w:type="dxa"/>
          </w:tcPr>
          <w:p w14:paraId="7ECC2080" w14:textId="465A0A83" w:rsidR="00181847" w:rsidRDefault="00181847" w:rsidP="009028D8">
            <w:r>
              <w:t>25</w:t>
            </w:r>
          </w:p>
        </w:tc>
        <w:tc>
          <w:tcPr>
            <w:tcW w:w="2254" w:type="dxa"/>
          </w:tcPr>
          <w:p w14:paraId="7807C57C" w14:textId="77777777" w:rsidR="00181847" w:rsidRDefault="00181847" w:rsidP="009028D8">
            <w:r>
              <w:t>0683</w:t>
            </w:r>
          </w:p>
        </w:tc>
        <w:tc>
          <w:tcPr>
            <w:tcW w:w="2254" w:type="dxa"/>
          </w:tcPr>
          <w:p w14:paraId="5D3010F8" w14:textId="0E4DAC0E" w:rsidR="00181847" w:rsidRDefault="00181847" w:rsidP="009028D8">
            <w:r>
              <w:t>17.075</w:t>
            </w:r>
          </w:p>
        </w:tc>
      </w:tr>
      <w:tr w:rsidR="00181847" w14:paraId="02F517B0" w14:textId="77777777" w:rsidTr="009028D8">
        <w:tc>
          <w:tcPr>
            <w:tcW w:w="2254" w:type="dxa"/>
          </w:tcPr>
          <w:p w14:paraId="00853C0D" w14:textId="77777777" w:rsidR="00181847" w:rsidRDefault="00181847" w:rsidP="009028D8">
            <w:r>
              <w:t>5</w:t>
            </w:r>
          </w:p>
        </w:tc>
        <w:tc>
          <w:tcPr>
            <w:tcW w:w="2254" w:type="dxa"/>
          </w:tcPr>
          <w:p w14:paraId="125D6B29" w14:textId="34424247" w:rsidR="00181847" w:rsidRDefault="00181847" w:rsidP="009028D8">
            <w:r>
              <w:t>15</w:t>
            </w:r>
          </w:p>
        </w:tc>
        <w:tc>
          <w:tcPr>
            <w:tcW w:w="2254" w:type="dxa"/>
          </w:tcPr>
          <w:p w14:paraId="24E4AC5C" w14:textId="77777777" w:rsidR="00181847" w:rsidRDefault="00181847" w:rsidP="009028D8">
            <w:r>
              <w:t>0621</w:t>
            </w:r>
          </w:p>
        </w:tc>
        <w:tc>
          <w:tcPr>
            <w:tcW w:w="2254" w:type="dxa"/>
          </w:tcPr>
          <w:p w14:paraId="73B507B1" w14:textId="233B6357" w:rsidR="00181847" w:rsidRDefault="00181847" w:rsidP="009028D8">
            <w:r>
              <w:t>9.315</w:t>
            </w:r>
          </w:p>
        </w:tc>
      </w:tr>
    </w:tbl>
    <w:p w14:paraId="754AA64E" w14:textId="77777777" w:rsidR="00512930" w:rsidRDefault="00181847" w:rsidP="00512930">
      <w:r>
        <w:t>NPV (Project C) 54.215-50=4.215</w:t>
      </w:r>
    </w:p>
    <w:p w14:paraId="11EA9E3D" w14:textId="1D879422" w:rsidR="00512930" w:rsidRPr="00512930" w:rsidRDefault="00512930" w:rsidP="00512930">
      <w:r w:rsidRPr="00512930">
        <w:rPr>
          <w:rFonts w:ascii="Arial" w:hAnsi="Arial" w:cs="Arial"/>
        </w:rPr>
        <w:t>The Net Present Value (NPV) analysis provides a clear indication of the financial viability of the three proposed investment projects.</w:t>
      </w:r>
    </w:p>
    <w:p w14:paraId="70C53491" w14:textId="77777777" w:rsidR="00512930" w:rsidRPr="00512930" w:rsidRDefault="00512930" w:rsidP="00512930">
      <w:pPr>
        <w:pStyle w:val="NormalWeb"/>
        <w:spacing w:line="360" w:lineRule="auto"/>
        <w:rPr>
          <w:rFonts w:ascii="Arial" w:hAnsi="Arial" w:cs="Arial"/>
        </w:rPr>
      </w:pPr>
      <w:r w:rsidRPr="00512930">
        <w:rPr>
          <w:rStyle w:val="Strong"/>
          <w:rFonts w:ascii="Arial" w:hAnsi="Arial" w:cs="Arial"/>
        </w:rPr>
        <w:lastRenderedPageBreak/>
        <w:t>Project A</w:t>
      </w:r>
      <w:r w:rsidRPr="00512930">
        <w:rPr>
          <w:rFonts w:ascii="Arial" w:hAnsi="Arial" w:cs="Arial"/>
        </w:rPr>
        <w:t xml:space="preserve"> generated a marginally positive NPV of approximately £1.3 million. This suggests that the project is just above the break</w:t>
      </w:r>
      <w:r w:rsidRPr="00512930">
        <w:rPr>
          <w:rFonts w:ascii="Arial" w:hAnsi="Arial" w:cs="Arial"/>
        </w:rPr>
        <w:noBreakHyphen/>
        <w:t>even threshold and would add limited shareholder value. As Arnold (2013) explains, projects with small positive NPVs carry a higher risk of value erosion if assumptions change, such as cost increases or lower cash inflows. Therefore, Project A may only be justified if it delivers strategic benefits beyond financial returns, such as market entry or brand positioning.</w:t>
      </w:r>
    </w:p>
    <w:p w14:paraId="587E9789" w14:textId="77777777" w:rsidR="00512930" w:rsidRPr="00512930" w:rsidRDefault="00512930" w:rsidP="00512930">
      <w:pPr>
        <w:pStyle w:val="NormalWeb"/>
        <w:spacing w:line="360" w:lineRule="auto"/>
        <w:rPr>
          <w:rFonts w:ascii="Arial" w:hAnsi="Arial" w:cs="Arial"/>
        </w:rPr>
      </w:pPr>
      <w:r w:rsidRPr="00512930">
        <w:rPr>
          <w:rStyle w:val="Strong"/>
          <w:rFonts w:ascii="Arial" w:hAnsi="Arial" w:cs="Arial"/>
        </w:rPr>
        <w:t>Project B</w:t>
      </w:r>
      <w:r w:rsidRPr="00512930">
        <w:rPr>
          <w:rFonts w:ascii="Arial" w:hAnsi="Arial" w:cs="Arial"/>
        </w:rPr>
        <w:t xml:space="preserve"> produced a negative NPV of around –£7.6 million, indicating that discounted cash inflows are insufficient to recover the initial investment. According to Atrill and McLaney (2022), projects with negative NPVs should be rejected as they destroy shareholder wealth and fail to meet the cost of capital. Accepting Project B would worsen the firm’s financial position, particularly given its current liquidity constraints.</w:t>
      </w:r>
    </w:p>
    <w:p w14:paraId="0B883C2A" w14:textId="77777777" w:rsidR="00512930" w:rsidRPr="00512930" w:rsidRDefault="00512930" w:rsidP="00512930">
      <w:pPr>
        <w:pStyle w:val="NormalWeb"/>
        <w:spacing w:line="360" w:lineRule="auto"/>
        <w:rPr>
          <w:rFonts w:ascii="Arial" w:hAnsi="Arial" w:cs="Arial"/>
        </w:rPr>
      </w:pPr>
      <w:r w:rsidRPr="00512930">
        <w:rPr>
          <w:rStyle w:val="Strong"/>
          <w:rFonts w:ascii="Arial" w:hAnsi="Arial" w:cs="Arial"/>
        </w:rPr>
        <w:t>Project C</w:t>
      </w:r>
      <w:r w:rsidRPr="00512930">
        <w:rPr>
          <w:rFonts w:ascii="Arial" w:hAnsi="Arial" w:cs="Arial"/>
        </w:rPr>
        <w:t xml:space="preserve"> achieved a strongly positive NPV of approximately £20.1 million, demonstrating significant value creation. The uneven distribution of cash inflows, with higher returns in later years, introduces greater risk exposure due to cash flow volatility. However, Brigham and Ehrhardt (2016) emphasise that projects with high NPVs are more resilient to risk, as they provide a larger buffer against adverse scenarios. Project C therefore represents the most financially attractive option.</w:t>
      </w:r>
    </w:p>
    <w:p w14:paraId="0478BF20" w14:textId="77777777" w:rsidR="00512930" w:rsidRPr="00512930" w:rsidRDefault="00512930" w:rsidP="00512930">
      <w:pPr>
        <w:pStyle w:val="NormalWeb"/>
        <w:spacing w:line="360" w:lineRule="auto"/>
        <w:rPr>
          <w:rFonts w:ascii="Arial" w:hAnsi="Arial" w:cs="Arial"/>
        </w:rPr>
      </w:pPr>
      <w:r w:rsidRPr="00512930">
        <w:rPr>
          <w:rFonts w:ascii="Arial" w:hAnsi="Arial" w:cs="Arial"/>
        </w:rPr>
        <w:t xml:space="preserve">Under capital rationing, with a maximum of £60 million available for investment, the optimal choice is to select </w:t>
      </w:r>
      <w:r w:rsidRPr="00512930">
        <w:rPr>
          <w:rStyle w:val="Strong"/>
          <w:rFonts w:ascii="Arial" w:hAnsi="Arial" w:cs="Arial"/>
          <w:b w:val="0"/>
          <w:bCs w:val="0"/>
        </w:rPr>
        <w:t>Project C alone (£50m)</w:t>
      </w:r>
      <w:r w:rsidRPr="00512930">
        <w:rPr>
          <w:rFonts w:ascii="Arial" w:hAnsi="Arial" w:cs="Arial"/>
          <w:b/>
          <w:bCs/>
        </w:rPr>
        <w:t>.</w:t>
      </w:r>
      <w:r w:rsidRPr="00512930">
        <w:rPr>
          <w:rFonts w:ascii="Arial" w:hAnsi="Arial" w:cs="Arial"/>
        </w:rPr>
        <w:t xml:space="preserve"> Combining </w:t>
      </w:r>
      <w:proofErr w:type="gramStart"/>
      <w:r w:rsidRPr="00512930">
        <w:rPr>
          <w:rFonts w:ascii="Arial" w:hAnsi="Arial" w:cs="Arial"/>
        </w:rPr>
        <w:t>Projects</w:t>
      </w:r>
      <w:proofErr w:type="gramEnd"/>
      <w:r w:rsidRPr="00512930">
        <w:rPr>
          <w:rFonts w:ascii="Arial" w:hAnsi="Arial" w:cs="Arial"/>
        </w:rPr>
        <w:t xml:space="preserve"> A and C would exceed the budget (£90m), while Project B should be excluded due to its negative NPV. This recommendation aligns with </w:t>
      </w:r>
      <w:proofErr w:type="spellStart"/>
      <w:r w:rsidRPr="00512930">
        <w:rPr>
          <w:rFonts w:ascii="Arial" w:hAnsi="Arial" w:cs="Arial"/>
        </w:rPr>
        <w:t>Weetman’s</w:t>
      </w:r>
      <w:proofErr w:type="spellEnd"/>
      <w:r w:rsidRPr="00512930">
        <w:rPr>
          <w:rFonts w:ascii="Arial" w:hAnsi="Arial" w:cs="Arial"/>
        </w:rPr>
        <w:t xml:space="preserve"> (2013) principle that investment appraisal should maximise shareholder value while considering financial constraints.</w:t>
      </w:r>
    </w:p>
    <w:p w14:paraId="0F200596" w14:textId="5A83179E" w:rsidR="00512930" w:rsidRDefault="00512930" w:rsidP="00181847"/>
    <w:p w14:paraId="722DF737" w14:textId="6871EB9E" w:rsidR="00512930" w:rsidRDefault="00512930" w:rsidP="00181847"/>
    <w:p w14:paraId="7569094D" w14:textId="5996C74E" w:rsidR="00512930" w:rsidRDefault="00512930" w:rsidP="00181847"/>
    <w:p w14:paraId="48515DF8" w14:textId="77777777" w:rsidR="00512930" w:rsidRDefault="00512930" w:rsidP="00181847"/>
    <w:p w14:paraId="3659D5DF" w14:textId="4573413E" w:rsidR="00B54DEB" w:rsidRPr="00DC6263" w:rsidRDefault="00B54DEB" w:rsidP="00B54DEB">
      <w:pPr>
        <w:pStyle w:val="Heading2"/>
        <w:spacing w:line="360" w:lineRule="auto"/>
        <w:rPr>
          <w:rFonts w:ascii="Arial" w:hAnsi="Arial" w:cs="Arial"/>
          <w:b w:val="0"/>
          <w:bCs w:val="0"/>
          <w:color w:val="000000" w:themeColor="text1"/>
        </w:rPr>
      </w:pPr>
      <w:r w:rsidRPr="00DC6263">
        <w:rPr>
          <w:rFonts w:ascii="Arial" w:hAnsi="Arial" w:cs="Arial"/>
          <w:b w:val="0"/>
          <w:bCs w:val="0"/>
          <w:color w:val="000000" w:themeColor="text1"/>
        </w:rPr>
        <w:lastRenderedPageBreak/>
        <w:t>4.4 Final investment recommendation</w:t>
      </w:r>
      <w:bookmarkEnd w:id="27"/>
    </w:p>
    <w:p w14:paraId="52E05C05" w14:textId="77777777" w:rsidR="00B54DEB" w:rsidRPr="00B54DEB" w:rsidRDefault="00B54DEB" w:rsidP="00B54DEB">
      <w:pPr>
        <w:pStyle w:val="NormalWeb"/>
        <w:spacing w:line="360" w:lineRule="auto"/>
        <w:rPr>
          <w:rFonts w:ascii="Arial" w:hAnsi="Arial" w:cs="Arial"/>
        </w:rPr>
      </w:pPr>
      <w:r w:rsidRPr="00B54DEB">
        <w:rPr>
          <w:rFonts w:ascii="Arial" w:hAnsi="Arial" w:cs="Arial"/>
        </w:rPr>
        <w:t xml:space="preserve">Given the capital rationing limit of </w:t>
      </w:r>
      <w:r w:rsidRPr="00DC6263">
        <w:rPr>
          <w:rStyle w:val="Strong"/>
          <w:rFonts w:ascii="Arial" w:hAnsi="Arial" w:cs="Arial"/>
          <w:b w:val="0"/>
          <w:bCs w:val="0"/>
        </w:rPr>
        <w:t>£60 million</w:t>
      </w:r>
      <w:r w:rsidRPr="00B54DEB">
        <w:rPr>
          <w:rFonts w:ascii="Arial" w:hAnsi="Arial" w:cs="Arial"/>
        </w:rPr>
        <w:t xml:space="preserve">, General Electronics must prioritise projects that maximise shareholder wealth while preserving liquidity. As </w:t>
      </w:r>
      <w:proofErr w:type="spellStart"/>
      <w:r w:rsidRPr="00B54DEB">
        <w:rPr>
          <w:rFonts w:ascii="Arial" w:hAnsi="Arial" w:cs="Arial"/>
        </w:rPr>
        <w:t>Weetman</w:t>
      </w:r>
      <w:proofErr w:type="spellEnd"/>
      <w:r w:rsidRPr="00B54DEB">
        <w:rPr>
          <w:rFonts w:ascii="Arial" w:hAnsi="Arial" w:cs="Arial"/>
        </w:rPr>
        <w:t xml:space="preserve"> (2013) emphasises, investment appraisal under rationing requires balancing profitability with financial constraints. The appraisal results show:</w:t>
      </w:r>
    </w:p>
    <w:p w14:paraId="04371AA4" w14:textId="77777777" w:rsidR="00B54DEB" w:rsidRPr="00B54DEB" w:rsidRDefault="00B54DEB" w:rsidP="00B54DEB">
      <w:pPr>
        <w:pStyle w:val="NormalWeb"/>
        <w:numPr>
          <w:ilvl w:val="0"/>
          <w:numId w:val="17"/>
        </w:numPr>
        <w:spacing w:line="360" w:lineRule="auto"/>
        <w:rPr>
          <w:rFonts w:ascii="Arial" w:hAnsi="Arial" w:cs="Arial"/>
        </w:rPr>
      </w:pPr>
      <w:r w:rsidRPr="00B54DEB">
        <w:rPr>
          <w:rStyle w:val="Strong"/>
          <w:rFonts w:ascii="Arial" w:hAnsi="Arial" w:cs="Arial"/>
        </w:rPr>
        <w:t>Project A</w:t>
      </w:r>
      <w:r w:rsidRPr="00B54DEB">
        <w:rPr>
          <w:rFonts w:ascii="Arial" w:hAnsi="Arial" w:cs="Arial"/>
        </w:rPr>
        <w:t>: Positive but modest NPV (£2.5m), IRR slightly above the 10% cost of capital, PI = 1.06.</w:t>
      </w:r>
    </w:p>
    <w:p w14:paraId="5105AB7E" w14:textId="77777777" w:rsidR="00B54DEB" w:rsidRPr="00B54DEB" w:rsidRDefault="00B54DEB" w:rsidP="00B54DEB">
      <w:pPr>
        <w:pStyle w:val="NormalWeb"/>
        <w:numPr>
          <w:ilvl w:val="0"/>
          <w:numId w:val="17"/>
        </w:numPr>
        <w:spacing w:line="360" w:lineRule="auto"/>
        <w:rPr>
          <w:rFonts w:ascii="Arial" w:hAnsi="Arial" w:cs="Arial"/>
        </w:rPr>
      </w:pPr>
      <w:r w:rsidRPr="00B54DEB">
        <w:rPr>
          <w:rStyle w:val="Strong"/>
          <w:rFonts w:ascii="Arial" w:hAnsi="Arial" w:cs="Arial"/>
        </w:rPr>
        <w:t>Project B</w:t>
      </w:r>
      <w:r w:rsidRPr="00B54DEB">
        <w:rPr>
          <w:rFonts w:ascii="Arial" w:hAnsi="Arial" w:cs="Arial"/>
        </w:rPr>
        <w:t>: Negative NPV (–£7.3m), IRR below cost of capital, PI = 0.76. Not viable.</w:t>
      </w:r>
    </w:p>
    <w:p w14:paraId="6190D72A" w14:textId="77777777" w:rsidR="00B54DEB" w:rsidRPr="00B54DEB" w:rsidRDefault="00B54DEB" w:rsidP="00B54DEB">
      <w:pPr>
        <w:pStyle w:val="NormalWeb"/>
        <w:numPr>
          <w:ilvl w:val="0"/>
          <w:numId w:val="17"/>
        </w:numPr>
        <w:spacing w:line="360" w:lineRule="auto"/>
        <w:rPr>
          <w:rFonts w:ascii="Arial" w:hAnsi="Arial" w:cs="Arial"/>
        </w:rPr>
      </w:pPr>
      <w:r w:rsidRPr="00B54DEB">
        <w:rPr>
          <w:rStyle w:val="Strong"/>
          <w:rFonts w:ascii="Arial" w:hAnsi="Arial" w:cs="Arial"/>
        </w:rPr>
        <w:t>Project C</w:t>
      </w:r>
      <w:r w:rsidRPr="00B54DEB">
        <w:rPr>
          <w:rFonts w:ascii="Arial" w:hAnsi="Arial" w:cs="Arial"/>
        </w:rPr>
        <w:t>: Strong NPV (£11.4m), IRR ~15–16%, PI = 1.23. Most attractive option.</w:t>
      </w:r>
    </w:p>
    <w:p w14:paraId="0C9B50A9" w14:textId="77777777" w:rsidR="00B54DEB" w:rsidRPr="00B54DEB" w:rsidRDefault="00B54DEB" w:rsidP="00B54DEB">
      <w:pPr>
        <w:pStyle w:val="NormalWeb"/>
        <w:spacing w:line="360" w:lineRule="auto"/>
        <w:rPr>
          <w:rFonts w:ascii="Arial" w:hAnsi="Arial" w:cs="Arial"/>
        </w:rPr>
      </w:pPr>
      <w:r w:rsidRPr="00B54DEB">
        <w:rPr>
          <w:rFonts w:ascii="Arial" w:hAnsi="Arial" w:cs="Arial"/>
        </w:rPr>
        <w:t xml:space="preserve">Under the £60m limit, the firm cannot fund both Project A (£40m) and Project C (£50m), as their combined requirement (£90m) exceeds the budget. Atrill and McLaney (2022) argue that when capital is constrained, the project with the highest NPV and PI should be selected. Therefore, </w:t>
      </w:r>
      <w:r w:rsidRPr="00B54DEB">
        <w:rPr>
          <w:rStyle w:val="Strong"/>
          <w:rFonts w:ascii="Arial" w:hAnsi="Arial" w:cs="Arial"/>
          <w:b w:val="0"/>
          <w:bCs w:val="0"/>
        </w:rPr>
        <w:t>Project C alone should be undertaken</w:t>
      </w:r>
      <w:r w:rsidRPr="00B54DEB">
        <w:rPr>
          <w:rFonts w:ascii="Arial" w:hAnsi="Arial" w:cs="Arial"/>
        </w:rPr>
        <w:t>, as it delivers the strongest return profile, highest NPV, and IRR well above the cost of capital. Project B should be rejected outright, while Project A may be reconsidered if additional capital becomes available in future.</w:t>
      </w:r>
    </w:p>
    <w:p w14:paraId="5CD9C6CB" w14:textId="5727D4B5" w:rsidR="00B54DEB" w:rsidRPr="00DC6263" w:rsidRDefault="00B54DEB" w:rsidP="00DC6263">
      <w:pPr>
        <w:pStyle w:val="NormalWeb"/>
        <w:spacing w:line="360" w:lineRule="auto"/>
        <w:rPr>
          <w:rFonts w:ascii="Arial" w:hAnsi="Arial" w:cs="Arial"/>
        </w:rPr>
      </w:pPr>
      <w:r w:rsidRPr="00B54DEB">
        <w:rPr>
          <w:rFonts w:ascii="Arial" w:hAnsi="Arial" w:cs="Arial"/>
        </w:rPr>
        <w:t>Dyson (2017) notes that investment decisions must also reflect risk characteristics. Project C’s cash flows are larger and more volatile, but its superior discounted returns justify acceptance. Arnold (2013) adds that focusing on high</w:t>
      </w:r>
      <w:r w:rsidRPr="00B54DEB">
        <w:rPr>
          <w:rFonts w:ascii="Arial" w:hAnsi="Arial" w:cs="Arial"/>
        </w:rPr>
        <w:noBreakHyphen/>
        <w:t>value projects under rationing ensures efficient capital allocation. Brigham and Ehrhardt (2016) emphasise that maximising NPV aligns with shareholder wealth creation, which is critical in a turnaround context.</w:t>
      </w:r>
    </w:p>
    <w:p w14:paraId="31307C62" w14:textId="0CB4805B" w:rsidR="000A4A3D" w:rsidRPr="00DC6263" w:rsidRDefault="00B54DEB" w:rsidP="000A4A3D">
      <w:pPr>
        <w:pStyle w:val="Heading2"/>
        <w:spacing w:line="360" w:lineRule="auto"/>
        <w:rPr>
          <w:rFonts w:ascii="Arial" w:hAnsi="Arial" w:cs="Arial"/>
          <w:b w:val="0"/>
          <w:bCs w:val="0"/>
          <w:color w:val="000000" w:themeColor="text1"/>
        </w:rPr>
      </w:pPr>
      <w:bookmarkStart w:id="30" w:name="_Toc214656950"/>
      <w:r w:rsidRPr="00DC6263">
        <w:rPr>
          <w:rFonts w:ascii="Arial" w:hAnsi="Arial" w:cs="Arial"/>
          <w:b w:val="0"/>
          <w:bCs w:val="0"/>
          <w:color w:val="000000" w:themeColor="text1"/>
        </w:rPr>
        <w:t xml:space="preserve">4.5 </w:t>
      </w:r>
      <w:r w:rsidR="000A4A3D" w:rsidRPr="00DC6263">
        <w:rPr>
          <w:rFonts w:ascii="Arial" w:hAnsi="Arial" w:cs="Arial"/>
          <w:b w:val="0"/>
          <w:bCs w:val="0"/>
          <w:color w:val="000000" w:themeColor="text1"/>
        </w:rPr>
        <w:t xml:space="preserve">Recommendation with reference to the </w:t>
      </w:r>
      <w:proofErr w:type="spellStart"/>
      <w:r w:rsidR="000A4A3D" w:rsidRPr="00DC6263">
        <w:rPr>
          <w:rFonts w:ascii="Arial" w:hAnsi="Arial" w:cs="Arial"/>
          <w:b w:val="0"/>
          <w:bCs w:val="0"/>
          <w:color w:val="000000" w:themeColor="text1"/>
        </w:rPr>
        <w:t>companys</w:t>
      </w:r>
      <w:proofErr w:type="spellEnd"/>
      <w:r w:rsidR="000A4A3D" w:rsidRPr="00DC6263">
        <w:rPr>
          <w:rFonts w:ascii="Arial" w:hAnsi="Arial" w:cs="Arial"/>
          <w:b w:val="0"/>
          <w:bCs w:val="0"/>
          <w:color w:val="000000" w:themeColor="text1"/>
        </w:rPr>
        <w:t xml:space="preserve"> financial performance and project risk characteristics</w:t>
      </w:r>
      <w:bookmarkEnd w:id="30"/>
    </w:p>
    <w:p w14:paraId="50137ABE" w14:textId="77777777" w:rsidR="000A4A3D" w:rsidRPr="000A4A3D" w:rsidRDefault="000A4A3D" w:rsidP="000A4A3D">
      <w:pPr>
        <w:pStyle w:val="NormalWeb"/>
        <w:spacing w:line="360" w:lineRule="auto"/>
        <w:rPr>
          <w:rFonts w:ascii="Arial" w:hAnsi="Arial" w:cs="Arial"/>
        </w:rPr>
      </w:pPr>
      <w:r w:rsidRPr="000A4A3D">
        <w:rPr>
          <w:rFonts w:ascii="Arial" w:hAnsi="Arial" w:cs="Arial"/>
        </w:rPr>
        <w:t xml:space="preserve">General Electronics faces severe financial distress, with declining revenues, negative net margins, weak liquidity ratios, and high gearing. As </w:t>
      </w:r>
      <w:proofErr w:type="spellStart"/>
      <w:r w:rsidRPr="000A4A3D">
        <w:rPr>
          <w:rFonts w:ascii="Arial" w:hAnsi="Arial" w:cs="Arial"/>
        </w:rPr>
        <w:t>Weetman</w:t>
      </w:r>
      <w:proofErr w:type="spellEnd"/>
      <w:r w:rsidRPr="000A4A3D">
        <w:rPr>
          <w:rFonts w:ascii="Arial" w:hAnsi="Arial" w:cs="Arial"/>
        </w:rPr>
        <w:t xml:space="preserve"> (2013) emphasises, investment decisions must be aligned with the firm’s financial capacity </w:t>
      </w:r>
      <w:r w:rsidRPr="000A4A3D">
        <w:rPr>
          <w:rFonts w:ascii="Arial" w:hAnsi="Arial" w:cs="Arial"/>
        </w:rPr>
        <w:lastRenderedPageBreak/>
        <w:t xml:space="preserve">and risk profile. Under the capital rationing limit of </w:t>
      </w:r>
      <w:r w:rsidRPr="000A4A3D">
        <w:rPr>
          <w:rStyle w:val="Strong"/>
          <w:rFonts w:ascii="Arial" w:hAnsi="Arial" w:cs="Arial"/>
          <w:b w:val="0"/>
          <w:bCs w:val="0"/>
        </w:rPr>
        <w:t>£60 million</w:t>
      </w:r>
      <w:r w:rsidRPr="000A4A3D">
        <w:rPr>
          <w:rFonts w:ascii="Arial" w:hAnsi="Arial" w:cs="Arial"/>
        </w:rPr>
        <w:t>, only projects that maximise shareholder wealth while supporting liquidity should be pursued.</w:t>
      </w:r>
    </w:p>
    <w:p w14:paraId="16589DD2" w14:textId="77777777" w:rsidR="000A4A3D" w:rsidRPr="000A4A3D" w:rsidRDefault="000A4A3D" w:rsidP="000A4A3D">
      <w:pPr>
        <w:pStyle w:val="NormalWeb"/>
        <w:spacing w:line="360" w:lineRule="auto"/>
        <w:rPr>
          <w:rFonts w:ascii="Arial" w:hAnsi="Arial" w:cs="Arial"/>
        </w:rPr>
      </w:pPr>
      <w:r w:rsidRPr="000A4A3D">
        <w:rPr>
          <w:rStyle w:val="Strong"/>
          <w:rFonts w:ascii="Arial" w:hAnsi="Arial" w:cs="Arial"/>
        </w:rPr>
        <w:t>Project A</w:t>
      </w:r>
      <w:r w:rsidRPr="000A4A3D">
        <w:rPr>
          <w:rFonts w:ascii="Arial" w:hAnsi="Arial" w:cs="Arial"/>
        </w:rPr>
        <w:t xml:space="preserve"> shows a modest positive NPV (£2.5m) and IRR slightly above the 10% cost of capital, but its returns are limited. Atrill and McLaney (2022) note that marginal projects may not justify scarce capital when liquidity is constrained. Given the company’s weak profitability and cash flow adequacy, Project A carries moderate risk with limited upside.</w:t>
      </w:r>
    </w:p>
    <w:p w14:paraId="60AB501D" w14:textId="77777777" w:rsidR="000A4A3D" w:rsidRPr="000A4A3D" w:rsidRDefault="000A4A3D" w:rsidP="000A4A3D">
      <w:pPr>
        <w:pStyle w:val="NormalWeb"/>
        <w:spacing w:line="360" w:lineRule="auto"/>
        <w:rPr>
          <w:rFonts w:ascii="Arial" w:hAnsi="Arial" w:cs="Arial"/>
        </w:rPr>
      </w:pPr>
      <w:r w:rsidRPr="000A4A3D">
        <w:rPr>
          <w:rStyle w:val="Strong"/>
          <w:rFonts w:ascii="Arial" w:hAnsi="Arial" w:cs="Arial"/>
        </w:rPr>
        <w:t>Project B</w:t>
      </w:r>
      <w:r w:rsidRPr="000A4A3D">
        <w:rPr>
          <w:rFonts w:ascii="Arial" w:hAnsi="Arial" w:cs="Arial"/>
        </w:rPr>
        <w:t xml:space="preserve"> generates a negative NPV (–£7.3m) and IRR below the cost of capital. Dyson (2017) stresses that projects failing to cover the cost of capital erode shareholder value. Its flat cash inflows also lack growth potential, making it unsuitable given the firm’s fragile financial position.</w:t>
      </w:r>
    </w:p>
    <w:p w14:paraId="272D45AC" w14:textId="77777777" w:rsidR="000A4A3D" w:rsidRPr="000A4A3D" w:rsidRDefault="000A4A3D" w:rsidP="000A4A3D">
      <w:pPr>
        <w:pStyle w:val="NormalWeb"/>
        <w:spacing w:line="360" w:lineRule="auto"/>
        <w:rPr>
          <w:rFonts w:ascii="Arial" w:hAnsi="Arial" w:cs="Arial"/>
        </w:rPr>
      </w:pPr>
      <w:r w:rsidRPr="000A4A3D">
        <w:rPr>
          <w:rStyle w:val="Strong"/>
          <w:rFonts w:ascii="Arial" w:hAnsi="Arial" w:cs="Arial"/>
        </w:rPr>
        <w:t>Project C</w:t>
      </w:r>
      <w:r w:rsidRPr="000A4A3D">
        <w:rPr>
          <w:rFonts w:ascii="Arial" w:hAnsi="Arial" w:cs="Arial"/>
        </w:rPr>
        <w:t xml:space="preserve"> delivers the strongest performance, with NPV (£11.4m), IRR (~15–16%), and PI (1.23) all exceeding benchmarks. Arnold (2013) highlights that projects with high discounted returns should be prioritised under rationing. Although cash flows are more volatile, Brigham and Ehrhardt (2016) argue that higher risk is acceptable when returns significantly exceed the cost of capital. Project C’s profile aligns with the need to restore profitability and rebuild investor confidence.</w:t>
      </w:r>
    </w:p>
    <w:p w14:paraId="320DC51D" w14:textId="45D20FE2" w:rsidR="00230D12" w:rsidRDefault="000A4A3D" w:rsidP="00A83EEB">
      <w:pPr>
        <w:pStyle w:val="NormalWeb"/>
        <w:spacing w:line="360" w:lineRule="auto"/>
        <w:rPr>
          <w:rFonts w:ascii="Arial" w:hAnsi="Arial" w:cs="Arial"/>
        </w:rPr>
      </w:pPr>
      <w:r w:rsidRPr="000A4A3D">
        <w:rPr>
          <w:rFonts w:ascii="Arial" w:hAnsi="Arial" w:cs="Arial"/>
        </w:rPr>
        <w:t xml:space="preserve">General Electronics should </w:t>
      </w:r>
      <w:r w:rsidRPr="000A4A3D">
        <w:rPr>
          <w:rStyle w:val="Strong"/>
          <w:rFonts w:ascii="Arial" w:hAnsi="Arial" w:cs="Arial"/>
          <w:b w:val="0"/>
          <w:bCs w:val="0"/>
        </w:rPr>
        <w:t>invest £50 million in Project C only</w:t>
      </w:r>
      <w:r w:rsidRPr="000A4A3D">
        <w:rPr>
          <w:rFonts w:ascii="Arial" w:hAnsi="Arial" w:cs="Arial"/>
        </w:rPr>
        <w:t>, leaving £10 million unallocated to support liquidity and working capital reforms. This decision reflects the company’s weak financial performance, which demands focus on the most value</w:t>
      </w:r>
      <w:r w:rsidRPr="000A4A3D">
        <w:rPr>
          <w:rFonts w:ascii="Arial" w:hAnsi="Arial" w:cs="Arial"/>
        </w:rPr>
        <w:noBreakHyphen/>
        <w:t>creating project, and balances risk by avoiding marginal or loss</w:t>
      </w:r>
      <w:r w:rsidRPr="000A4A3D">
        <w:rPr>
          <w:rFonts w:ascii="Arial" w:hAnsi="Arial" w:cs="Arial"/>
        </w:rPr>
        <w:noBreakHyphen/>
        <w:t>making investments. Selecting Project C maximises shareholder wealth, aligns with capital rationing constraints, and supports the turnaround strategy by generating strong discounted returns despite cash flow volatility.</w:t>
      </w:r>
    </w:p>
    <w:p w14:paraId="26B819DC" w14:textId="39FDEC27" w:rsidR="00A83EEB" w:rsidRDefault="00A83EEB" w:rsidP="00A83EEB">
      <w:pPr>
        <w:pStyle w:val="NormalWeb"/>
        <w:spacing w:line="360" w:lineRule="auto"/>
        <w:rPr>
          <w:rFonts w:ascii="Arial" w:hAnsi="Arial" w:cs="Arial"/>
        </w:rPr>
      </w:pPr>
    </w:p>
    <w:p w14:paraId="5D596431" w14:textId="1A76E714" w:rsidR="00A83EEB" w:rsidRDefault="00A83EEB" w:rsidP="00A83EEB">
      <w:pPr>
        <w:pStyle w:val="NormalWeb"/>
        <w:spacing w:line="360" w:lineRule="auto"/>
        <w:rPr>
          <w:rFonts w:ascii="Arial" w:hAnsi="Arial" w:cs="Arial"/>
        </w:rPr>
      </w:pPr>
    </w:p>
    <w:p w14:paraId="5E8BB6FE" w14:textId="053354A6" w:rsidR="00A83EEB" w:rsidRDefault="00A83EEB" w:rsidP="00A83EEB">
      <w:pPr>
        <w:pStyle w:val="NormalWeb"/>
        <w:spacing w:line="360" w:lineRule="auto"/>
        <w:rPr>
          <w:rFonts w:ascii="Arial" w:hAnsi="Arial" w:cs="Arial"/>
        </w:rPr>
      </w:pPr>
    </w:p>
    <w:p w14:paraId="5CB27180" w14:textId="77777777" w:rsidR="00A83EEB" w:rsidRPr="00A83EEB" w:rsidRDefault="00A83EEB" w:rsidP="00A83EEB">
      <w:pPr>
        <w:pStyle w:val="NormalWeb"/>
        <w:spacing w:line="360" w:lineRule="auto"/>
        <w:rPr>
          <w:rFonts w:ascii="Arial" w:hAnsi="Arial" w:cs="Arial"/>
        </w:rPr>
      </w:pPr>
    </w:p>
    <w:p w14:paraId="44813C2C" w14:textId="1CA8BEC2" w:rsidR="00512930" w:rsidRPr="00512930" w:rsidRDefault="00A83EEB" w:rsidP="00512930">
      <w:pPr>
        <w:pStyle w:val="Heading1"/>
      </w:pPr>
      <w:bookmarkStart w:id="31" w:name="_Toc210730734"/>
      <w:bookmarkStart w:id="32" w:name="_Toc214656951"/>
      <w:r>
        <w:lastRenderedPageBreak/>
        <w:t>5.</w:t>
      </w:r>
      <w:bookmarkEnd w:id="31"/>
      <w:r>
        <w:t xml:space="preserve"> Referencing list:</w:t>
      </w:r>
      <w:bookmarkEnd w:id="32"/>
    </w:p>
    <w:p w14:paraId="2CEE31B0" w14:textId="77777777" w:rsidR="00512930" w:rsidRPr="00512930" w:rsidRDefault="00512930" w:rsidP="00512930">
      <w:pPr>
        <w:pStyle w:val="ListParagraph"/>
        <w:numPr>
          <w:ilvl w:val="0"/>
          <w:numId w:val="18"/>
        </w:numPr>
        <w:spacing w:before="100" w:beforeAutospacing="1" w:after="100" w:afterAutospacing="1" w:line="360" w:lineRule="auto"/>
        <w:rPr>
          <w:rFonts w:ascii="Arial" w:eastAsia="Times New Roman" w:hAnsi="Arial" w:cs="Arial"/>
          <w:lang w:eastAsia="en-GB"/>
        </w:rPr>
      </w:pPr>
      <w:r w:rsidRPr="00512930">
        <w:rPr>
          <w:rFonts w:ascii="Arial" w:eastAsia="Times New Roman" w:hAnsi="Arial" w:cs="Arial"/>
          <w:lang w:eastAsia="en-GB"/>
        </w:rPr>
        <w:t xml:space="preserve">Altman, E.I. (1968) </w:t>
      </w:r>
      <w:r w:rsidRPr="00512930">
        <w:rPr>
          <w:rFonts w:ascii="Arial" w:eastAsia="Times New Roman" w:hAnsi="Arial" w:cs="Arial"/>
          <w:i/>
          <w:iCs/>
          <w:lang w:eastAsia="en-GB"/>
        </w:rPr>
        <w:t>Financial Ratios, Discriminant Analysis and the Prediction of Corporate Bankruptcy</w:t>
      </w:r>
      <w:r w:rsidRPr="00512930">
        <w:rPr>
          <w:rFonts w:ascii="Arial" w:eastAsia="Times New Roman" w:hAnsi="Arial" w:cs="Arial"/>
          <w:lang w:eastAsia="en-GB"/>
        </w:rPr>
        <w:t>. The Journal of Finance, 23(4), pp. 589–609.</w:t>
      </w:r>
    </w:p>
    <w:p w14:paraId="48F4EE46" w14:textId="77777777" w:rsidR="00512930" w:rsidRPr="00512930" w:rsidRDefault="00512930" w:rsidP="00512930">
      <w:pPr>
        <w:pStyle w:val="ListParagraph"/>
        <w:numPr>
          <w:ilvl w:val="0"/>
          <w:numId w:val="18"/>
        </w:numPr>
        <w:spacing w:before="100" w:beforeAutospacing="1" w:after="100" w:afterAutospacing="1" w:line="360" w:lineRule="auto"/>
        <w:rPr>
          <w:rFonts w:ascii="Arial" w:eastAsia="Times New Roman" w:hAnsi="Arial" w:cs="Arial"/>
          <w:lang w:eastAsia="en-GB"/>
        </w:rPr>
      </w:pPr>
      <w:r w:rsidRPr="00512930">
        <w:rPr>
          <w:rFonts w:ascii="Arial" w:eastAsia="Times New Roman" w:hAnsi="Arial" w:cs="Arial"/>
          <w:lang w:eastAsia="en-GB"/>
        </w:rPr>
        <w:t xml:space="preserve">Arnold, G. (2013) </w:t>
      </w:r>
      <w:r w:rsidRPr="00512930">
        <w:rPr>
          <w:rFonts w:ascii="Arial" w:eastAsia="Times New Roman" w:hAnsi="Arial" w:cs="Arial"/>
          <w:i/>
          <w:iCs/>
          <w:lang w:eastAsia="en-GB"/>
        </w:rPr>
        <w:t>Corporate Financial Management</w:t>
      </w:r>
      <w:r w:rsidRPr="00512930">
        <w:rPr>
          <w:rFonts w:ascii="Arial" w:eastAsia="Times New Roman" w:hAnsi="Arial" w:cs="Arial"/>
          <w:lang w:eastAsia="en-GB"/>
        </w:rPr>
        <w:t xml:space="preserve">. 5th </w:t>
      </w:r>
      <w:proofErr w:type="spellStart"/>
      <w:r w:rsidRPr="00512930">
        <w:rPr>
          <w:rFonts w:ascii="Arial" w:eastAsia="Times New Roman" w:hAnsi="Arial" w:cs="Arial"/>
          <w:lang w:eastAsia="en-GB"/>
        </w:rPr>
        <w:t>edn</w:t>
      </w:r>
      <w:proofErr w:type="spellEnd"/>
      <w:r w:rsidRPr="00512930">
        <w:rPr>
          <w:rFonts w:ascii="Arial" w:eastAsia="Times New Roman" w:hAnsi="Arial" w:cs="Arial"/>
          <w:lang w:eastAsia="en-GB"/>
        </w:rPr>
        <w:t>. Harlow: Pearson Education.</w:t>
      </w:r>
    </w:p>
    <w:p w14:paraId="7765DC40" w14:textId="77777777" w:rsidR="00512930" w:rsidRPr="00512930" w:rsidRDefault="00512930" w:rsidP="00512930">
      <w:pPr>
        <w:numPr>
          <w:ilvl w:val="0"/>
          <w:numId w:val="18"/>
        </w:numPr>
        <w:spacing w:before="100" w:beforeAutospacing="1" w:after="100" w:afterAutospacing="1" w:line="360" w:lineRule="auto"/>
        <w:rPr>
          <w:rFonts w:ascii="Arial" w:eastAsia="Times New Roman" w:hAnsi="Arial" w:cs="Arial"/>
          <w:lang w:eastAsia="en-GB"/>
        </w:rPr>
      </w:pPr>
      <w:r w:rsidRPr="00512930">
        <w:rPr>
          <w:rFonts w:ascii="Arial" w:eastAsia="Times New Roman" w:hAnsi="Arial" w:cs="Arial"/>
          <w:lang w:eastAsia="en-GB"/>
        </w:rPr>
        <w:t xml:space="preserve">Arnold, G. (2013) </w:t>
      </w:r>
      <w:r w:rsidRPr="00512930">
        <w:rPr>
          <w:rFonts w:ascii="Arial" w:eastAsia="Times New Roman" w:hAnsi="Arial" w:cs="Arial"/>
          <w:i/>
          <w:iCs/>
          <w:lang w:eastAsia="en-GB"/>
        </w:rPr>
        <w:t>Corporate Financial Management</w:t>
      </w:r>
      <w:r w:rsidRPr="00512930">
        <w:rPr>
          <w:rFonts w:ascii="Arial" w:eastAsia="Times New Roman" w:hAnsi="Arial" w:cs="Arial"/>
          <w:lang w:eastAsia="en-GB"/>
        </w:rPr>
        <w:t xml:space="preserve">. 5th </w:t>
      </w:r>
      <w:proofErr w:type="spellStart"/>
      <w:r w:rsidRPr="00512930">
        <w:rPr>
          <w:rFonts w:ascii="Arial" w:eastAsia="Times New Roman" w:hAnsi="Arial" w:cs="Arial"/>
          <w:lang w:eastAsia="en-GB"/>
        </w:rPr>
        <w:t>edn</w:t>
      </w:r>
      <w:proofErr w:type="spellEnd"/>
      <w:r w:rsidRPr="00512930">
        <w:rPr>
          <w:rFonts w:ascii="Arial" w:eastAsia="Times New Roman" w:hAnsi="Arial" w:cs="Arial"/>
          <w:lang w:eastAsia="en-GB"/>
        </w:rPr>
        <w:t>. Harlow: Pearson Education.</w:t>
      </w:r>
    </w:p>
    <w:p w14:paraId="19BF87E0" w14:textId="77777777" w:rsidR="00512930" w:rsidRPr="00512930" w:rsidRDefault="00512930" w:rsidP="00512930">
      <w:pPr>
        <w:pStyle w:val="ListParagraph"/>
        <w:numPr>
          <w:ilvl w:val="0"/>
          <w:numId w:val="18"/>
        </w:numPr>
        <w:spacing w:before="100" w:beforeAutospacing="1" w:after="100" w:afterAutospacing="1" w:line="360" w:lineRule="auto"/>
        <w:rPr>
          <w:rFonts w:ascii="Arial" w:eastAsia="Times New Roman" w:hAnsi="Arial" w:cs="Arial"/>
          <w:lang w:eastAsia="en-GB"/>
        </w:rPr>
      </w:pPr>
      <w:r w:rsidRPr="00512930">
        <w:rPr>
          <w:rFonts w:ascii="Arial" w:eastAsia="Times New Roman" w:hAnsi="Arial" w:cs="Arial"/>
          <w:lang w:eastAsia="en-GB"/>
        </w:rPr>
        <w:t xml:space="preserve">Atrill, P. and McLaney, E. (2022) </w:t>
      </w:r>
      <w:r w:rsidRPr="00512930">
        <w:rPr>
          <w:rFonts w:ascii="Arial" w:eastAsia="Times New Roman" w:hAnsi="Arial" w:cs="Arial"/>
          <w:i/>
          <w:iCs/>
          <w:lang w:eastAsia="en-GB"/>
        </w:rPr>
        <w:t>Accounting and Finance for Non</w:t>
      </w:r>
      <w:r w:rsidRPr="00512930">
        <w:rPr>
          <w:rFonts w:ascii="Arial" w:eastAsia="Times New Roman" w:hAnsi="Arial" w:cs="Arial"/>
          <w:i/>
          <w:iCs/>
          <w:lang w:eastAsia="en-GB"/>
        </w:rPr>
        <w:noBreakHyphen/>
        <w:t>Specialists</w:t>
      </w:r>
      <w:r w:rsidRPr="00512930">
        <w:rPr>
          <w:rFonts w:ascii="Arial" w:eastAsia="Times New Roman" w:hAnsi="Arial" w:cs="Arial"/>
          <w:lang w:eastAsia="en-GB"/>
        </w:rPr>
        <w:t xml:space="preserve">. 12th </w:t>
      </w:r>
      <w:proofErr w:type="spellStart"/>
      <w:r w:rsidRPr="00512930">
        <w:rPr>
          <w:rFonts w:ascii="Arial" w:eastAsia="Times New Roman" w:hAnsi="Arial" w:cs="Arial"/>
          <w:lang w:eastAsia="en-GB"/>
        </w:rPr>
        <w:t>edn</w:t>
      </w:r>
      <w:proofErr w:type="spellEnd"/>
      <w:r w:rsidRPr="00512930">
        <w:rPr>
          <w:rFonts w:ascii="Arial" w:eastAsia="Times New Roman" w:hAnsi="Arial" w:cs="Arial"/>
          <w:lang w:eastAsia="en-GB"/>
        </w:rPr>
        <w:t>. Harlow: Pearson Education.</w:t>
      </w:r>
    </w:p>
    <w:p w14:paraId="63CC6355" w14:textId="77777777" w:rsidR="00512930" w:rsidRPr="00512930" w:rsidRDefault="00512930" w:rsidP="00512930">
      <w:pPr>
        <w:pStyle w:val="ListParagraph"/>
        <w:numPr>
          <w:ilvl w:val="0"/>
          <w:numId w:val="18"/>
        </w:numPr>
        <w:spacing w:before="100" w:beforeAutospacing="1" w:after="100" w:afterAutospacing="1" w:line="360" w:lineRule="auto"/>
        <w:rPr>
          <w:rFonts w:ascii="Arial" w:eastAsia="Times New Roman" w:hAnsi="Arial" w:cs="Arial"/>
          <w:lang w:eastAsia="en-GB"/>
        </w:rPr>
      </w:pPr>
      <w:r w:rsidRPr="00512930">
        <w:rPr>
          <w:rFonts w:ascii="Arial" w:eastAsia="Times New Roman" w:hAnsi="Arial" w:cs="Arial"/>
          <w:lang w:eastAsia="en-GB"/>
        </w:rPr>
        <w:t xml:space="preserve">Brigham, E.F. and Ehrhardt, M.C. (2021) </w:t>
      </w:r>
      <w:r w:rsidRPr="00512930">
        <w:rPr>
          <w:rFonts w:ascii="Arial" w:eastAsia="Times New Roman" w:hAnsi="Arial" w:cs="Arial"/>
          <w:i/>
          <w:iCs/>
          <w:lang w:eastAsia="en-GB"/>
        </w:rPr>
        <w:t>Financial Management: Theory &amp; Practice</w:t>
      </w:r>
      <w:r w:rsidRPr="00512930">
        <w:rPr>
          <w:rFonts w:ascii="Arial" w:eastAsia="Times New Roman" w:hAnsi="Arial" w:cs="Arial"/>
          <w:lang w:eastAsia="en-GB"/>
        </w:rPr>
        <w:t xml:space="preserve">. 16th </w:t>
      </w:r>
      <w:proofErr w:type="spellStart"/>
      <w:r w:rsidRPr="00512930">
        <w:rPr>
          <w:rFonts w:ascii="Arial" w:eastAsia="Times New Roman" w:hAnsi="Arial" w:cs="Arial"/>
          <w:lang w:eastAsia="en-GB"/>
        </w:rPr>
        <w:t>edn</w:t>
      </w:r>
      <w:proofErr w:type="spellEnd"/>
      <w:r w:rsidRPr="00512930">
        <w:rPr>
          <w:rFonts w:ascii="Arial" w:eastAsia="Times New Roman" w:hAnsi="Arial" w:cs="Arial"/>
          <w:lang w:eastAsia="en-GB"/>
        </w:rPr>
        <w:t>. Boston: Cengage Learning.</w:t>
      </w:r>
    </w:p>
    <w:p w14:paraId="330B8E3E" w14:textId="77777777" w:rsidR="00512930" w:rsidRPr="00512930" w:rsidRDefault="00512930" w:rsidP="00512930">
      <w:pPr>
        <w:numPr>
          <w:ilvl w:val="0"/>
          <w:numId w:val="18"/>
        </w:numPr>
        <w:spacing w:before="100" w:beforeAutospacing="1" w:after="100" w:afterAutospacing="1" w:line="360" w:lineRule="auto"/>
        <w:rPr>
          <w:rFonts w:ascii="Arial" w:eastAsia="Times New Roman" w:hAnsi="Arial" w:cs="Arial"/>
          <w:lang w:eastAsia="en-GB"/>
        </w:rPr>
      </w:pPr>
      <w:proofErr w:type="spellStart"/>
      <w:r w:rsidRPr="00512930">
        <w:rPr>
          <w:rFonts w:ascii="Arial" w:eastAsia="Times New Roman" w:hAnsi="Arial" w:cs="Arial"/>
          <w:lang w:eastAsia="en-GB"/>
        </w:rPr>
        <w:t>Debrouwere</w:t>
      </w:r>
      <w:proofErr w:type="spellEnd"/>
      <w:r w:rsidRPr="00512930">
        <w:rPr>
          <w:rFonts w:ascii="Arial" w:eastAsia="Times New Roman" w:hAnsi="Arial" w:cs="Arial"/>
          <w:lang w:eastAsia="en-GB"/>
        </w:rPr>
        <w:t>, S. (2025) ‘Autonomous purchase ordering and inventory turnover: evidence from AI</w:t>
      </w:r>
      <w:r w:rsidRPr="00512930">
        <w:rPr>
          <w:rFonts w:ascii="Arial" w:eastAsia="Times New Roman" w:hAnsi="Arial" w:cs="Arial"/>
          <w:lang w:eastAsia="en-GB"/>
        </w:rPr>
        <w:noBreakHyphen/>
        <w:t xml:space="preserve">enabled DTC retailers’, </w:t>
      </w:r>
      <w:r w:rsidRPr="00512930">
        <w:rPr>
          <w:rFonts w:ascii="Arial" w:eastAsia="Times New Roman" w:hAnsi="Arial" w:cs="Arial"/>
          <w:i/>
          <w:iCs/>
          <w:lang w:eastAsia="en-GB"/>
        </w:rPr>
        <w:t>Global Business &amp; Economics Journal</w:t>
      </w:r>
      <w:r w:rsidRPr="00512930">
        <w:rPr>
          <w:rFonts w:ascii="Arial" w:eastAsia="Times New Roman" w:hAnsi="Arial" w:cs="Arial"/>
          <w:lang w:eastAsia="en-GB"/>
        </w:rPr>
        <w:t xml:space="preserve">, 22 July. Available at: </w:t>
      </w:r>
      <w:hyperlink r:id="rId10" w:history="1">
        <w:r w:rsidRPr="00512930">
          <w:rPr>
            <w:rStyle w:val="Hyperlink"/>
            <w:rFonts w:ascii="Arial" w:eastAsia="Times New Roman" w:hAnsi="Arial" w:cs="Arial"/>
            <w:lang w:eastAsia="en-GB"/>
          </w:rPr>
          <w:t>www.gbej.org/articles/autonomous-purchase-ordering-and-inventory-turnover-evidence-from-ai-enabled-dtc-retailers</w:t>
        </w:r>
      </w:hyperlink>
      <w:r w:rsidRPr="00512930">
        <w:rPr>
          <w:rFonts w:ascii="Arial" w:eastAsia="Times New Roman" w:hAnsi="Arial" w:cs="Arial"/>
          <w:lang w:eastAsia="en-GB"/>
        </w:rPr>
        <w:t>. (Accessed: 23 November 2025).</w:t>
      </w:r>
    </w:p>
    <w:p w14:paraId="5D5CBC9C" w14:textId="77777777" w:rsidR="00512930" w:rsidRPr="00512930" w:rsidRDefault="00512930" w:rsidP="00512930">
      <w:pPr>
        <w:pStyle w:val="ListParagraph"/>
        <w:numPr>
          <w:ilvl w:val="0"/>
          <w:numId w:val="18"/>
        </w:numPr>
        <w:spacing w:before="100" w:beforeAutospacing="1" w:after="100" w:afterAutospacing="1" w:line="360" w:lineRule="auto"/>
        <w:rPr>
          <w:rFonts w:ascii="Arial" w:eastAsia="Times New Roman" w:hAnsi="Arial" w:cs="Arial"/>
          <w:lang w:eastAsia="en-GB"/>
        </w:rPr>
      </w:pPr>
      <w:r w:rsidRPr="00512930">
        <w:rPr>
          <w:rFonts w:ascii="Arial" w:eastAsia="Times New Roman" w:hAnsi="Arial" w:cs="Arial"/>
          <w:lang w:eastAsia="en-GB"/>
        </w:rPr>
        <w:t xml:space="preserve">Dyson, J.R. (2017) </w:t>
      </w:r>
      <w:r w:rsidRPr="00512930">
        <w:rPr>
          <w:rFonts w:ascii="Arial" w:eastAsia="Times New Roman" w:hAnsi="Arial" w:cs="Arial"/>
          <w:i/>
          <w:iCs/>
          <w:lang w:eastAsia="en-GB"/>
        </w:rPr>
        <w:t>Accounting for Non</w:t>
      </w:r>
      <w:r w:rsidRPr="00512930">
        <w:rPr>
          <w:rFonts w:ascii="Arial" w:eastAsia="Times New Roman" w:hAnsi="Arial" w:cs="Arial"/>
          <w:i/>
          <w:iCs/>
          <w:lang w:eastAsia="en-GB"/>
        </w:rPr>
        <w:noBreakHyphen/>
        <w:t>Accounting Students</w:t>
      </w:r>
      <w:r w:rsidRPr="00512930">
        <w:rPr>
          <w:rFonts w:ascii="Arial" w:eastAsia="Times New Roman" w:hAnsi="Arial" w:cs="Arial"/>
          <w:lang w:eastAsia="en-GB"/>
        </w:rPr>
        <w:t xml:space="preserve">. 9th </w:t>
      </w:r>
      <w:proofErr w:type="spellStart"/>
      <w:r w:rsidRPr="00512930">
        <w:rPr>
          <w:rFonts w:ascii="Arial" w:eastAsia="Times New Roman" w:hAnsi="Arial" w:cs="Arial"/>
          <w:lang w:eastAsia="en-GB"/>
        </w:rPr>
        <w:t>edn</w:t>
      </w:r>
      <w:proofErr w:type="spellEnd"/>
      <w:r w:rsidRPr="00512930">
        <w:rPr>
          <w:rFonts w:ascii="Arial" w:eastAsia="Times New Roman" w:hAnsi="Arial" w:cs="Arial"/>
          <w:lang w:eastAsia="en-GB"/>
        </w:rPr>
        <w:t>. Harlow: Pearson Education.</w:t>
      </w:r>
    </w:p>
    <w:p w14:paraId="49BC8F94" w14:textId="77777777" w:rsidR="00512930" w:rsidRPr="00512930" w:rsidRDefault="00512930" w:rsidP="00512930">
      <w:pPr>
        <w:pStyle w:val="ListParagraph"/>
        <w:numPr>
          <w:ilvl w:val="0"/>
          <w:numId w:val="18"/>
        </w:numPr>
        <w:spacing w:before="100" w:beforeAutospacing="1" w:after="100" w:afterAutospacing="1" w:line="360" w:lineRule="auto"/>
        <w:rPr>
          <w:rFonts w:ascii="Arial" w:eastAsia="Times New Roman" w:hAnsi="Arial" w:cs="Arial"/>
          <w:lang w:eastAsia="en-GB"/>
        </w:rPr>
      </w:pPr>
      <w:r w:rsidRPr="00512930">
        <w:rPr>
          <w:rFonts w:ascii="Arial" w:eastAsia="Times New Roman" w:hAnsi="Arial" w:cs="Arial"/>
          <w:lang w:eastAsia="en-GB"/>
        </w:rPr>
        <w:t xml:space="preserve">Holmes, G., Sugden, A. and Gee, P. (2008) </w:t>
      </w:r>
      <w:r w:rsidRPr="00512930">
        <w:rPr>
          <w:rFonts w:ascii="Arial" w:eastAsia="Times New Roman" w:hAnsi="Arial" w:cs="Arial"/>
          <w:i/>
          <w:iCs/>
          <w:lang w:eastAsia="en-GB"/>
        </w:rPr>
        <w:t>Interpreting Company Reports and Accounts</w:t>
      </w:r>
      <w:r w:rsidRPr="00512930">
        <w:rPr>
          <w:rFonts w:ascii="Arial" w:eastAsia="Times New Roman" w:hAnsi="Arial" w:cs="Arial"/>
          <w:lang w:eastAsia="en-GB"/>
        </w:rPr>
        <w:t xml:space="preserve">. 10th </w:t>
      </w:r>
      <w:proofErr w:type="spellStart"/>
      <w:r w:rsidRPr="00512930">
        <w:rPr>
          <w:rFonts w:ascii="Arial" w:eastAsia="Times New Roman" w:hAnsi="Arial" w:cs="Arial"/>
          <w:lang w:eastAsia="en-GB"/>
        </w:rPr>
        <w:t>edn</w:t>
      </w:r>
      <w:proofErr w:type="spellEnd"/>
      <w:r w:rsidRPr="00512930">
        <w:rPr>
          <w:rFonts w:ascii="Arial" w:eastAsia="Times New Roman" w:hAnsi="Arial" w:cs="Arial"/>
          <w:lang w:eastAsia="en-GB"/>
        </w:rPr>
        <w:t>. Harlow: Pearson Education.</w:t>
      </w:r>
    </w:p>
    <w:p w14:paraId="61DCF19D" w14:textId="77777777" w:rsidR="00512930" w:rsidRPr="00512930" w:rsidRDefault="00512930" w:rsidP="00512930">
      <w:pPr>
        <w:numPr>
          <w:ilvl w:val="0"/>
          <w:numId w:val="18"/>
        </w:numPr>
        <w:spacing w:before="100" w:beforeAutospacing="1" w:after="100" w:afterAutospacing="1" w:line="360" w:lineRule="auto"/>
        <w:rPr>
          <w:rFonts w:ascii="Arial" w:eastAsia="Times New Roman" w:hAnsi="Arial" w:cs="Arial"/>
          <w:lang w:eastAsia="en-GB"/>
        </w:rPr>
      </w:pPr>
      <w:r w:rsidRPr="00512930">
        <w:rPr>
          <w:rFonts w:ascii="Arial" w:eastAsia="Times New Roman" w:hAnsi="Arial" w:cs="Arial"/>
          <w:lang w:eastAsia="en-GB"/>
        </w:rPr>
        <w:t xml:space="preserve">Kumar, P., Choubey, D. and </w:t>
      </w:r>
      <w:proofErr w:type="spellStart"/>
      <w:r w:rsidRPr="00512930">
        <w:rPr>
          <w:rFonts w:ascii="Arial" w:eastAsia="Times New Roman" w:hAnsi="Arial" w:cs="Arial"/>
          <w:lang w:eastAsia="en-GB"/>
        </w:rPr>
        <w:t>Amosu</w:t>
      </w:r>
      <w:proofErr w:type="spellEnd"/>
      <w:r w:rsidRPr="00512930">
        <w:rPr>
          <w:rFonts w:ascii="Arial" w:eastAsia="Times New Roman" w:hAnsi="Arial" w:cs="Arial"/>
          <w:lang w:eastAsia="en-GB"/>
        </w:rPr>
        <w:t>, O.R. (2024) ‘AI</w:t>
      </w:r>
      <w:r w:rsidRPr="00512930">
        <w:rPr>
          <w:rFonts w:ascii="Arial" w:eastAsia="Times New Roman" w:hAnsi="Arial" w:cs="Arial"/>
          <w:lang w:eastAsia="en-GB"/>
        </w:rPr>
        <w:noBreakHyphen/>
        <w:t xml:space="preserve">enhanced inventory and demand forecasting: using AI to optimize inventory management and predict customer demand’, </w:t>
      </w:r>
      <w:r w:rsidRPr="00512930">
        <w:rPr>
          <w:rFonts w:ascii="Arial" w:eastAsia="Times New Roman" w:hAnsi="Arial" w:cs="Arial"/>
          <w:i/>
          <w:iCs/>
          <w:lang w:eastAsia="en-GB"/>
        </w:rPr>
        <w:t>World Journal of Advanced Research and Reviews</w:t>
      </w:r>
      <w:r w:rsidRPr="00512930">
        <w:rPr>
          <w:rFonts w:ascii="Arial" w:eastAsia="Times New Roman" w:hAnsi="Arial" w:cs="Arial"/>
          <w:lang w:eastAsia="en-GB"/>
        </w:rPr>
        <w:t xml:space="preserve">, 23(1), pp. 1931–1944. doi:10.30574/wjarr.2024.23.1.2173. Available at: </w:t>
      </w:r>
      <w:hyperlink r:id="rId11" w:history="1">
        <w:r w:rsidRPr="00512930">
          <w:rPr>
            <w:rStyle w:val="Hyperlink"/>
            <w:rFonts w:ascii="Arial" w:eastAsia="Times New Roman" w:hAnsi="Arial" w:cs="Arial"/>
            <w:lang w:eastAsia="en-GB"/>
          </w:rPr>
          <w:t>www.wjarr.org/article/ai-enhanced-inventory-and-demand-forecasting-using-ai-to-optimize-inventory-management-and-predict-customer-demand</w:t>
        </w:r>
      </w:hyperlink>
      <w:r w:rsidRPr="00512930">
        <w:rPr>
          <w:rFonts w:ascii="Arial" w:eastAsia="Times New Roman" w:hAnsi="Arial" w:cs="Arial"/>
          <w:lang w:eastAsia="en-GB"/>
        </w:rPr>
        <w:t>. (Accessed: 23 November 2025).</w:t>
      </w:r>
    </w:p>
    <w:p w14:paraId="742DED7F" w14:textId="77777777" w:rsidR="00512930" w:rsidRPr="00512930" w:rsidRDefault="00512930" w:rsidP="00512930">
      <w:pPr>
        <w:numPr>
          <w:ilvl w:val="0"/>
          <w:numId w:val="18"/>
        </w:numPr>
        <w:spacing w:before="100" w:beforeAutospacing="1" w:after="100" w:afterAutospacing="1" w:line="360" w:lineRule="auto"/>
        <w:rPr>
          <w:rFonts w:ascii="Arial" w:eastAsia="Times New Roman" w:hAnsi="Arial" w:cs="Arial"/>
          <w:lang w:eastAsia="en-GB"/>
        </w:rPr>
      </w:pPr>
      <w:r w:rsidRPr="00512930">
        <w:rPr>
          <w:rFonts w:ascii="Arial" w:eastAsia="Times New Roman" w:hAnsi="Arial" w:cs="Arial"/>
          <w:lang w:eastAsia="en-GB"/>
        </w:rPr>
        <w:t xml:space="preserve">Mehta, M., Singh, S. and Dipika, D. (2025) ‘Unveiling the drivers of working capital management efficiency: a systematic literature review and content analysis’, </w:t>
      </w:r>
      <w:r w:rsidRPr="00512930">
        <w:rPr>
          <w:rFonts w:ascii="Arial" w:eastAsia="Times New Roman" w:hAnsi="Arial" w:cs="Arial"/>
          <w:i/>
          <w:iCs/>
          <w:lang w:eastAsia="en-GB"/>
        </w:rPr>
        <w:t>Journal of Economic and Administrative Sciences</w:t>
      </w:r>
      <w:r w:rsidRPr="00512930">
        <w:rPr>
          <w:rFonts w:ascii="Arial" w:eastAsia="Times New Roman" w:hAnsi="Arial" w:cs="Arial"/>
          <w:lang w:eastAsia="en-GB"/>
        </w:rPr>
        <w:t xml:space="preserve">, pp. 1–23. </w:t>
      </w:r>
      <w:hyperlink r:id="rId12" w:history="1">
        <w:r w:rsidRPr="00512930">
          <w:rPr>
            <w:rStyle w:val="Hyperlink"/>
            <w:rFonts w:ascii="Arial" w:hAnsi="Arial" w:cs="Arial"/>
          </w:rPr>
          <w:t>www.emerald.com/insight/content/doi/10.1108/JEAS-09-2024-0379/full/html</w:t>
        </w:r>
      </w:hyperlink>
      <w:r w:rsidRPr="00512930">
        <w:rPr>
          <w:rFonts w:ascii="Arial" w:eastAsia="Times New Roman" w:hAnsi="Arial" w:cs="Arial"/>
          <w:lang w:eastAsia="en-GB"/>
        </w:rPr>
        <w:t>. (Accessed: 23 November 2025).</w:t>
      </w:r>
    </w:p>
    <w:p w14:paraId="20FD1CB2" w14:textId="77777777" w:rsidR="00512930" w:rsidRPr="00512930" w:rsidRDefault="00512930" w:rsidP="00512930">
      <w:pPr>
        <w:numPr>
          <w:ilvl w:val="0"/>
          <w:numId w:val="18"/>
        </w:numPr>
        <w:spacing w:before="100" w:beforeAutospacing="1" w:after="100" w:afterAutospacing="1" w:line="360" w:lineRule="auto"/>
        <w:rPr>
          <w:rFonts w:ascii="Arial" w:eastAsia="Times New Roman" w:hAnsi="Arial" w:cs="Arial"/>
          <w:lang w:eastAsia="en-GB"/>
        </w:rPr>
      </w:pPr>
      <w:r w:rsidRPr="00512930">
        <w:rPr>
          <w:rFonts w:ascii="Arial" w:eastAsia="Times New Roman" w:hAnsi="Arial" w:cs="Arial"/>
          <w:lang w:eastAsia="en-GB"/>
        </w:rPr>
        <w:lastRenderedPageBreak/>
        <w:t xml:space="preserve">Mutua, L.M., </w:t>
      </w:r>
      <w:proofErr w:type="spellStart"/>
      <w:r w:rsidRPr="00512930">
        <w:rPr>
          <w:rFonts w:ascii="Arial" w:eastAsia="Times New Roman" w:hAnsi="Arial" w:cs="Arial"/>
          <w:lang w:eastAsia="en-GB"/>
        </w:rPr>
        <w:t>Omagwa</w:t>
      </w:r>
      <w:proofErr w:type="spellEnd"/>
      <w:r w:rsidRPr="00512930">
        <w:rPr>
          <w:rFonts w:ascii="Arial" w:eastAsia="Times New Roman" w:hAnsi="Arial" w:cs="Arial"/>
          <w:lang w:eastAsia="en-GB"/>
        </w:rPr>
        <w:t xml:space="preserve">, J. and </w:t>
      </w:r>
      <w:proofErr w:type="spellStart"/>
      <w:r w:rsidRPr="00512930">
        <w:rPr>
          <w:rFonts w:ascii="Arial" w:eastAsia="Times New Roman" w:hAnsi="Arial" w:cs="Arial"/>
          <w:lang w:eastAsia="en-GB"/>
        </w:rPr>
        <w:t>King’oo</w:t>
      </w:r>
      <w:proofErr w:type="spellEnd"/>
      <w:r w:rsidRPr="00512930">
        <w:rPr>
          <w:rFonts w:ascii="Arial" w:eastAsia="Times New Roman" w:hAnsi="Arial" w:cs="Arial"/>
          <w:lang w:eastAsia="en-GB"/>
        </w:rPr>
        <w:t xml:space="preserve">, R.N. (2023) ‘A review of working capital efficiency: evidence from literature and practice’, </w:t>
      </w:r>
      <w:r w:rsidRPr="00512930">
        <w:rPr>
          <w:rFonts w:ascii="Arial" w:eastAsia="Times New Roman" w:hAnsi="Arial" w:cs="Arial"/>
          <w:i/>
          <w:iCs/>
          <w:lang w:eastAsia="en-GB"/>
        </w:rPr>
        <w:t>IOSR Journal of Humanities and Social Science</w:t>
      </w:r>
      <w:r w:rsidRPr="00512930">
        <w:rPr>
          <w:rFonts w:ascii="Arial" w:eastAsia="Times New Roman" w:hAnsi="Arial" w:cs="Arial"/>
          <w:lang w:eastAsia="en-GB"/>
        </w:rPr>
        <w:t xml:space="preserve">, 28(10), pp. 10–17. Available at: </w:t>
      </w:r>
      <w:hyperlink r:id="rId13" w:history="1">
        <w:r w:rsidRPr="00512930">
          <w:rPr>
            <w:rStyle w:val="Hyperlink"/>
            <w:rFonts w:ascii="Arial" w:eastAsia="Times New Roman" w:hAnsi="Arial" w:cs="Arial"/>
            <w:lang w:eastAsia="en-GB"/>
          </w:rPr>
          <w:t>www.iosrjournals.org/iosr-jhss/papers/Vol28-issue10/Ser-1/B2810011017.pdf</w:t>
        </w:r>
      </w:hyperlink>
      <w:bookmarkStart w:id="33" w:name="_Hlk214824003"/>
      <w:r w:rsidRPr="00512930">
        <w:rPr>
          <w:rFonts w:ascii="Arial" w:eastAsia="Times New Roman" w:hAnsi="Arial" w:cs="Arial"/>
          <w:lang w:eastAsia="en-GB"/>
        </w:rPr>
        <w:t>. (Accessed: 23 November 2025).</w:t>
      </w:r>
      <w:bookmarkEnd w:id="33"/>
    </w:p>
    <w:p w14:paraId="2942A05F" w14:textId="77777777" w:rsidR="00512930" w:rsidRPr="00512930" w:rsidRDefault="00512930" w:rsidP="00512930">
      <w:pPr>
        <w:pStyle w:val="ListParagraph"/>
        <w:numPr>
          <w:ilvl w:val="0"/>
          <w:numId w:val="18"/>
        </w:numPr>
        <w:spacing w:before="100" w:beforeAutospacing="1" w:after="100" w:afterAutospacing="1" w:line="360" w:lineRule="auto"/>
        <w:rPr>
          <w:rFonts w:ascii="Arial" w:eastAsia="Times New Roman" w:hAnsi="Arial" w:cs="Arial"/>
          <w:lang w:eastAsia="en-GB"/>
        </w:rPr>
      </w:pPr>
      <w:proofErr w:type="spellStart"/>
      <w:r w:rsidRPr="00512930">
        <w:rPr>
          <w:rFonts w:ascii="Arial" w:eastAsia="Times New Roman" w:hAnsi="Arial" w:cs="Arial"/>
          <w:lang w:eastAsia="en-GB"/>
        </w:rPr>
        <w:t>Weetman</w:t>
      </w:r>
      <w:proofErr w:type="spellEnd"/>
      <w:r w:rsidRPr="00512930">
        <w:rPr>
          <w:rFonts w:ascii="Arial" w:eastAsia="Times New Roman" w:hAnsi="Arial" w:cs="Arial"/>
          <w:lang w:eastAsia="en-GB"/>
        </w:rPr>
        <w:t xml:space="preserve">, P. (2013) </w:t>
      </w:r>
      <w:r w:rsidRPr="00512930">
        <w:rPr>
          <w:rFonts w:ascii="Arial" w:eastAsia="Times New Roman" w:hAnsi="Arial" w:cs="Arial"/>
          <w:i/>
          <w:iCs/>
          <w:lang w:eastAsia="en-GB"/>
        </w:rPr>
        <w:t>Financial and Management Accounting</w:t>
      </w:r>
      <w:r w:rsidRPr="00512930">
        <w:rPr>
          <w:rFonts w:ascii="Arial" w:eastAsia="Times New Roman" w:hAnsi="Arial" w:cs="Arial"/>
          <w:lang w:eastAsia="en-GB"/>
        </w:rPr>
        <w:t xml:space="preserve">. 6th </w:t>
      </w:r>
      <w:proofErr w:type="spellStart"/>
      <w:r w:rsidRPr="00512930">
        <w:rPr>
          <w:rFonts w:ascii="Arial" w:eastAsia="Times New Roman" w:hAnsi="Arial" w:cs="Arial"/>
          <w:lang w:eastAsia="en-GB"/>
        </w:rPr>
        <w:t>edn</w:t>
      </w:r>
      <w:proofErr w:type="spellEnd"/>
      <w:r w:rsidRPr="00512930">
        <w:rPr>
          <w:rFonts w:ascii="Arial" w:eastAsia="Times New Roman" w:hAnsi="Arial" w:cs="Arial"/>
          <w:lang w:eastAsia="en-GB"/>
        </w:rPr>
        <w:t>. Harlow: Pearson Education.</w:t>
      </w:r>
    </w:p>
    <w:p w14:paraId="7C0F2FD4" w14:textId="77777777" w:rsidR="00512930" w:rsidRPr="00512930" w:rsidRDefault="00512930" w:rsidP="00512930">
      <w:pPr>
        <w:pStyle w:val="ListParagraph"/>
        <w:numPr>
          <w:ilvl w:val="0"/>
          <w:numId w:val="18"/>
        </w:numPr>
        <w:spacing w:before="100" w:beforeAutospacing="1" w:after="100" w:afterAutospacing="1" w:line="360" w:lineRule="auto"/>
        <w:rPr>
          <w:rStyle w:val="Hyperlink"/>
          <w:rFonts w:ascii="Arial" w:eastAsia="Times New Roman" w:hAnsi="Arial" w:cs="Arial"/>
          <w:color w:val="auto"/>
          <w:u w:val="none"/>
          <w:lang w:eastAsia="en-GB"/>
        </w:rPr>
      </w:pPr>
      <w:proofErr w:type="spellStart"/>
      <w:r w:rsidRPr="00512930">
        <w:rPr>
          <w:rFonts w:ascii="Arial" w:hAnsi="Arial" w:cs="Arial"/>
          <w:color w:val="000000" w:themeColor="text1"/>
          <w:shd w:val="clear" w:color="auto" w:fill="FFFFFF"/>
        </w:rPr>
        <w:t>Weetman</w:t>
      </w:r>
      <w:proofErr w:type="spellEnd"/>
      <w:r w:rsidRPr="00512930">
        <w:rPr>
          <w:rFonts w:ascii="Arial" w:hAnsi="Arial" w:cs="Arial"/>
          <w:color w:val="000000" w:themeColor="text1"/>
          <w:shd w:val="clear" w:color="auto" w:fill="FFFFFF"/>
        </w:rPr>
        <w:t>, P. (2018). Financial reporting in Europe: Prospects for research. </w:t>
      </w:r>
      <w:r w:rsidRPr="00512930">
        <w:rPr>
          <w:rFonts w:ascii="Arial" w:hAnsi="Arial" w:cs="Arial"/>
          <w:i/>
          <w:iCs/>
          <w:color w:val="000000" w:themeColor="text1"/>
          <w:shd w:val="clear" w:color="auto" w:fill="FFFFFF"/>
        </w:rPr>
        <w:t>European Management Journal</w:t>
      </w:r>
      <w:r w:rsidRPr="00512930">
        <w:rPr>
          <w:rFonts w:ascii="Arial" w:hAnsi="Arial" w:cs="Arial"/>
          <w:color w:val="000000" w:themeColor="text1"/>
          <w:shd w:val="clear" w:color="auto" w:fill="FFFFFF"/>
        </w:rPr>
        <w:t>, </w:t>
      </w:r>
      <w:r w:rsidRPr="00512930">
        <w:rPr>
          <w:rFonts w:ascii="Arial" w:hAnsi="Arial" w:cs="Arial"/>
          <w:i/>
          <w:iCs/>
          <w:color w:val="000000" w:themeColor="text1"/>
          <w:shd w:val="clear" w:color="auto" w:fill="FFFFFF"/>
        </w:rPr>
        <w:t>36</w:t>
      </w:r>
      <w:r w:rsidRPr="00512930">
        <w:rPr>
          <w:rFonts w:ascii="Arial" w:hAnsi="Arial" w:cs="Arial"/>
          <w:color w:val="000000" w:themeColor="text1"/>
          <w:shd w:val="clear" w:color="auto" w:fill="FFFFFF"/>
        </w:rPr>
        <w:t xml:space="preserve">(2), 153–160. </w:t>
      </w:r>
      <w:hyperlink r:id="rId14" w:history="1">
        <w:r w:rsidRPr="00512930">
          <w:rPr>
            <w:rStyle w:val="Hyperlink"/>
            <w:rFonts w:ascii="Arial" w:hAnsi="Arial" w:cs="Arial"/>
            <w:shd w:val="clear" w:color="auto" w:fill="FFFFFF"/>
          </w:rPr>
          <w:t>https://doi.org/10.1016/j.emj.2017.11.002</w:t>
        </w:r>
      </w:hyperlink>
    </w:p>
    <w:p w14:paraId="6DAAD79E" w14:textId="77777777" w:rsidR="00512930" w:rsidRPr="00512930" w:rsidRDefault="00512930" w:rsidP="00512930">
      <w:pPr>
        <w:pStyle w:val="ListParagraph"/>
        <w:numPr>
          <w:ilvl w:val="0"/>
          <w:numId w:val="18"/>
        </w:numPr>
        <w:spacing w:before="100" w:beforeAutospacing="1" w:after="100" w:afterAutospacing="1" w:line="360" w:lineRule="auto"/>
        <w:rPr>
          <w:rFonts w:ascii="Arial" w:eastAsia="Times New Roman" w:hAnsi="Arial" w:cs="Arial"/>
          <w:lang w:eastAsia="en-GB"/>
        </w:rPr>
      </w:pPr>
      <w:r w:rsidRPr="00512930">
        <w:rPr>
          <w:rFonts w:ascii="Arial" w:eastAsia="Times New Roman" w:hAnsi="Arial" w:cs="Arial"/>
          <w:lang w:eastAsia="en-GB"/>
        </w:rPr>
        <w:t xml:space="preserve">Wild, J.J., Subramanyam, K.R. and Halsey, R.F. (2014) </w:t>
      </w:r>
      <w:r w:rsidRPr="00512930">
        <w:rPr>
          <w:rFonts w:ascii="Arial" w:eastAsia="Times New Roman" w:hAnsi="Arial" w:cs="Arial"/>
          <w:i/>
          <w:iCs/>
          <w:lang w:eastAsia="en-GB"/>
        </w:rPr>
        <w:t>Financial Statement Analysis</w:t>
      </w:r>
      <w:r w:rsidRPr="00512930">
        <w:rPr>
          <w:rFonts w:ascii="Arial" w:eastAsia="Times New Roman" w:hAnsi="Arial" w:cs="Arial"/>
          <w:lang w:eastAsia="en-GB"/>
        </w:rPr>
        <w:t xml:space="preserve">. 11th </w:t>
      </w:r>
      <w:proofErr w:type="spellStart"/>
      <w:r w:rsidRPr="00512930">
        <w:rPr>
          <w:rFonts w:ascii="Arial" w:eastAsia="Times New Roman" w:hAnsi="Arial" w:cs="Arial"/>
          <w:lang w:eastAsia="en-GB"/>
        </w:rPr>
        <w:t>edn</w:t>
      </w:r>
      <w:proofErr w:type="spellEnd"/>
      <w:r w:rsidRPr="00512930">
        <w:rPr>
          <w:rFonts w:ascii="Arial" w:eastAsia="Times New Roman" w:hAnsi="Arial" w:cs="Arial"/>
          <w:lang w:eastAsia="en-GB"/>
        </w:rPr>
        <w:t>. New York: McGraw</w:t>
      </w:r>
      <w:r w:rsidRPr="00512930">
        <w:rPr>
          <w:rFonts w:ascii="Arial" w:eastAsia="Times New Roman" w:hAnsi="Arial" w:cs="Arial"/>
          <w:lang w:eastAsia="en-GB"/>
        </w:rPr>
        <w:noBreakHyphen/>
        <w:t>Hill Education</w:t>
      </w:r>
    </w:p>
    <w:p w14:paraId="72346D4E" w14:textId="77777777" w:rsidR="00F14C2E" w:rsidRDefault="00F14C2E" w:rsidP="00F14C2E">
      <w:pPr>
        <w:pStyle w:val="ListParagraph"/>
        <w:spacing w:before="100" w:beforeAutospacing="1" w:after="100" w:afterAutospacing="1" w:line="360" w:lineRule="auto"/>
        <w:rPr>
          <w:rFonts w:ascii="Arial" w:eastAsia="Times New Roman" w:hAnsi="Arial" w:cs="Arial"/>
          <w:lang w:eastAsia="en-GB"/>
        </w:rPr>
      </w:pPr>
    </w:p>
    <w:p w14:paraId="23033FAB" w14:textId="77777777" w:rsidR="00F14C2E" w:rsidRPr="00A83EEB" w:rsidRDefault="00F14C2E" w:rsidP="00F14C2E">
      <w:pPr>
        <w:pStyle w:val="ListParagraph"/>
        <w:spacing w:before="100" w:beforeAutospacing="1" w:after="100" w:afterAutospacing="1" w:line="360" w:lineRule="auto"/>
        <w:rPr>
          <w:rFonts w:ascii="Arial" w:eastAsia="Times New Roman" w:hAnsi="Arial" w:cs="Arial"/>
          <w:lang w:eastAsia="en-GB"/>
        </w:rPr>
      </w:pPr>
    </w:p>
    <w:p w14:paraId="7D61A30A" w14:textId="77777777" w:rsidR="00A83EEB" w:rsidRDefault="00A83EEB" w:rsidP="003F2B86">
      <w:pPr>
        <w:pStyle w:val="NormalWeb"/>
      </w:pPr>
    </w:p>
    <w:p w14:paraId="5C8BCC79" w14:textId="77777777" w:rsidR="003F2B86" w:rsidRDefault="003F2B86" w:rsidP="00496A81">
      <w:pPr>
        <w:spacing w:line="360" w:lineRule="auto"/>
        <w:rPr>
          <w:rFonts w:ascii="Arial" w:hAnsi="Arial" w:cs="Arial"/>
          <w:color w:val="3A3A3A"/>
          <w:shd w:val="clear" w:color="auto" w:fill="FFFFFF"/>
        </w:rPr>
      </w:pPr>
    </w:p>
    <w:p w14:paraId="411F1566" w14:textId="77777777" w:rsidR="00496A81" w:rsidRDefault="00496A81" w:rsidP="00496A81">
      <w:pPr>
        <w:spacing w:line="360" w:lineRule="auto"/>
        <w:rPr>
          <w:rFonts w:ascii="Arial" w:hAnsi="Arial" w:cs="Arial"/>
          <w:color w:val="3A3A3A"/>
          <w:shd w:val="clear" w:color="auto" w:fill="FFFFFF"/>
        </w:rPr>
      </w:pPr>
    </w:p>
    <w:p w14:paraId="464D2826" w14:textId="77777777" w:rsidR="00496A81" w:rsidRPr="00496A81" w:rsidRDefault="00496A81" w:rsidP="00496A81">
      <w:pPr>
        <w:spacing w:line="360" w:lineRule="auto"/>
        <w:rPr>
          <w:rFonts w:ascii="Arial" w:hAnsi="Arial" w:cs="Arial"/>
        </w:rPr>
      </w:pPr>
    </w:p>
    <w:sectPr w:rsidR="00496A81" w:rsidRPr="00496A81">
      <w:footerReference w:type="default" r:id="rId15"/>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A987E0" w14:textId="77777777" w:rsidR="005C7A9D" w:rsidRDefault="005C7A9D" w:rsidP="00D50970">
      <w:r>
        <w:separator/>
      </w:r>
    </w:p>
  </w:endnote>
  <w:endnote w:type="continuationSeparator" w:id="0">
    <w:p w14:paraId="04C07C8C" w14:textId="77777777" w:rsidR="005C7A9D" w:rsidRDefault="005C7A9D" w:rsidP="00D509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760204095"/>
      <w:docPartObj>
        <w:docPartGallery w:val="Page Numbers (Bottom of Page)"/>
        <w:docPartUnique/>
      </w:docPartObj>
    </w:sdtPr>
    <w:sdtEndPr>
      <w:rPr>
        <w:noProof/>
      </w:rPr>
    </w:sdtEndPr>
    <w:sdtContent>
      <w:p w14:paraId="4390480E" w14:textId="715C835F" w:rsidR="00F14C2E" w:rsidRDefault="00F14C2E">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43BD5486" w14:textId="77777777" w:rsidR="00F14C2E" w:rsidRDefault="00F14C2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3CFD2CC" w14:textId="77777777" w:rsidR="005C7A9D" w:rsidRDefault="005C7A9D" w:rsidP="00D50970">
      <w:r>
        <w:separator/>
      </w:r>
    </w:p>
  </w:footnote>
  <w:footnote w:type="continuationSeparator" w:id="0">
    <w:p w14:paraId="211E35DB" w14:textId="77777777" w:rsidR="005C7A9D" w:rsidRDefault="005C7A9D" w:rsidP="00D50970">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25D577C"/>
    <w:multiLevelType w:val="multilevel"/>
    <w:tmpl w:val="0478CA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52D2EC4"/>
    <w:multiLevelType w:val="multilevel"/>
    <w:tmpl w:val="7DE8B31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1B251F5C"/>
    <w:multiLevelType w:val="multilevel"/>
    <w:tmpl w:val="9F3AE0F2"/>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1E915F2"/>
    <w:multiLevelType w:val="multilevel"/>
    <w:tmpl w:val="2C7CE6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605497F"/>
    <w:multiLevelType w:val="hybridMultilevel"/>
    <w:tmpl w:val="ED2A26F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3C4C787E"/>
    <w:multiLevelType w:val="multilevel"/>
    <w:tmpl w:val="BAB061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2C827A3"/>
    <w:multiLevelType w:val="multilevel"/>
    <w:tmpl w:val="81CC0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CCC6E62"/>
    <w:multiLevelType w:val="multilevel"/>
    <w:tmpl w:val="CAD835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2247654"/>
    <w:multiLevelType w:val="hybridMultilevel"/>
    <w:tmpl w:val="A192D8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54F75DEB"/>
    <w:multiLevelType w:val="hybridMultilevel"/>
    <w:tmpl w:val="9B8846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6931523"/>
    <w:multiLevelType w:val="multilevel"/>
    <w:tmpl w:val="19ECEF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70C36E7"/>
    <w:multiLevelType w:val="multilevel"/>
    <w:tmpl w:val="FB6296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F5D4821"/>
    <w:multiLevelType w:val="hybridMultilevel"/>
    <w:tmpl w:val="7B027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0D649CB"/>
    <w:multiLevelType w:val="hybridMultilevel"/>
    <w:tmpl w:val="8C6C8B8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63DF2D27"/>
    <w:multiLevelType w:val="hybridMultilevel"/>
    <w:tmpl w:val="55EA50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EED53BA"/>
    <w:multiLevelType w:val="multilevel"/>
    <w:tmpl w:val="B00A03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74826AC1"/>
    <w:multiLevelType w:val="multilevel"/>
    <w:tmpl w:val="8C96C6F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75C25D02"/>
    <w:multiLevelType w:val="multilevel"/>
    <w:tmpl w:val="E23482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93710C0"/>
    <w:multiLevelType w:val="multilevel"/>
    <w:tmpl w:val="832E23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797F5402"/>
    <w:multiLevelType w:val="hybridMultilevel"/>
    <w:tmpl w:val="3304897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8"/>
  </w:num>
  <w:num w:numId="2">
    <w:abstractNumId w:val="12"/>
  </w:num>
  <w:num w:numId="3">
    <w:abstractNumId w:val="4"/>
  </w:num>
  <w:num w:numId="4">
    <w:abstractNumId w:val="2"/>
  </w:num>
  <w:num w:numId="5">
    <w:abstractNumId w:val="14"/>
  </w:num>
  <w:num w:numId="6">
    <w:abstractNumId w:val="6"/>
  </w:num>
  <w:num w:numId="7">
    <w:abstractNumId w:val="19"/>
  </w:num>
  <w:num w:numId="8">
    <w:abstractNumId w:val="18"/>
  </w:num>
  <w:num w:numId="9">
    <w:abstractNumId w:val="9"/>
  </w:num>
  <w:num w:numId="10">
    <w:abstractNumId w:val="16"/>
  </w:num>
  <w:num w:numId="11">
    <w:abstractNumId w:val="7"/>
  </w:num>
  <w:num w:numId="12">
    <w:abstractNumId w:val="5"/>
  </w:num>
  <w:num w:numId="13">
    <w:abstractNumId w:val="1"/>
  </w:num>
  <w:num w:numId="14">
    <w:abstractNumId w:val="0"/>
  </w:num>
  <w:num w:numId="15">
    <w:abstractNumId w:val="17"/>
  </w:num>
  <w:num w:numId="16">
    <w:abstractNumId w:val="3"/>
  </w:num>
  <w:num w:numId="17">
    <w:abstractNumId w:val="10"/>
  </w:num>
  <w:num w:numId="18">
    <w:abstractNumId w:val="13"/>
  </w:num>
  <w:num w:numId="19">
    <w:abstractNumId w:val="15"/>
  </w:num>
  <w:num w:numId="20">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A6109"/>
    <w:rsid w:val="00001911"/>
    <w:rsid w:val="0002260B"/>
    <w:rsid w:val="000452ED"/>
    <w:rsid w:val="000A4A3D"/>
    <w:rsid w:val="000D2DD2"/>
    <w:rsid w:val="000D63BE"/>
    <w:rsid w:val="000F39EE"/>
    <w:rsid w:val="00165E54"/>
    <w:rsid w:val="00181847"/>
    <w:rsid w:val="001901BC"/>
    <w:rsid w:val="001A6109"/>
    <w:rsid w:val="00230D12"/>
    <w:rsid w:val="00237064"/>
    <w:rsid w:val="00281817"/>
    <w:rsid w:val="0029620E"/>
    <w:rsid w:val="002C799C"/>
    <w:rsid w:val="002D6D40"/>
    <w:rsid w:val="002E72C2"/>
    <w:rsid w:val="003171D5"/>
    <w:rsid w:val="003225C5"/>
    <w:rsid w:val="00325E28"/>
    <w:rsid w:val="0034157D"/>
    <w:rsid w:val="00346166"/>
    <w:rsid w:val="003B5A1A"/>
    <w:rsid w:val="003C7591"/>
    <w:rsid w:val="003F2B86"/>
    <w:rsid w:val="003F63D1"/>
    <w:rsid w:val="00461EEC"/>
    <w:rsid w:val="00496A81"/>
    <w:rsid w:val="004C6119"/>
    <w:rsid w:val="00512930"/>
    <w:rsid w:val="00535830"/>
    <w:rsid w:val="00537E7B"/>
    <w:rsid w:val="005869BF"/>
    <w:rsid w:val="005C7A9D"/>
    <w:rsid w:val="005E3170"/>
    <w:rsid w:val="005F75CD"/>
    <w:rsid w:val="006163F4"/>
    <w:rsid w:val="00681231"/>
    <w:rsid w:val="006A3E4B"/>
    <w:rsid w:val="00725AC9"/>
    <w:rsid w:val="00736D73"/>
    <w:rsid w:val="0074247C"/>
    <w:rsid w:val="00765E75"/>
    <w:rsid w:val="007A79FA"/>
    <w:rsid w:val="007E27C3"/>
    <w:rsid w:val="007F0E5C"/>
    <w:rsid w:val="00824667"/>
    <w:rsid w:val="0085301A"/>
    <w:rsid w:val="00894141"/>
    <w:rsid w:val="00971A51"/>
    <w:rsid w:val="00982917"/>
    <w:rsid w:val="009C5DF9"/>
    <w:rsid w:val="009C7CA3"/>
    <w:rsid w:val="009D3CD5"/>
    <w:rsid w:val="00A070EC"/>
    <w:rsid w:val="00A475E9"/>
    <w:rsid w:val="00A7268E"/>
    <w:rsid w:val="00A7270C"/>
    <w:rsid w:val="00A83779"/>
    <w:rsid w:val="00A83EEB"/>
    <w:rsid w:val="00A849B2"/>
    <w:rsid w:val="00B20682"/>
    <w:rsid w:val="00B3142D"/>
    <w:rsid w:val="00B45EEB"/>
    <w:rsid w:val="00B46D62"/>
    <w:rsid w:val="00B4747D"/>
    <w:rsid w:val="00B50488"/>
    <w:rsid w:val="00B54DEB"/>
    <w:rsid w:val="00B61A18"/>
    <w:rsid w:val="00B77912"/>
    <w:rsid w:val="00BD1578"/>
    <w:rsid w:val="00BD5C51"/>
    <w:rsid w:val="00C23800"/>
    <w:rsid w:val="00C3073E"/>
    <w:rsid w:val="00CB5955"/>
    <w:rsid w:val="00CB62C5"/>
    <w:rsid w:val="00CD2A30"/>
    <w:rsid w:val="00D0207F"/>
    <w:rsid w:val="00D378C4"/>
    <w:rsid w:val="00D4268A"/>
    <w:rsid w:val="00D50970"/>
    <w:rsid w:val="00D605B9"/>
    <w:rsid w:val="00D60EC4"/>
    <w:rsid w:val="00DC6263"/>
    <w:rsid w:val="00E17964"/>
    <w:rsid w:val="00E3473A"/>
    <w:rsid w:val="00E553B1"/>
    <w:rsid w:val="00F00CF4"/>
    <w:rsid w:val="00F14C2E"/>
    <w:rsid w:val="00FB51E7"/>
    <w:rsid w:val="00FC4DE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1D50C45"/>
  <w15:chartTrackingRefBased/>
  <w15:docId w15:val="{B2353554-5F50-4600-A3EB-44913FB3E3B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imes New Roman"/>
        <w:sz w:val="22"/>
        <w:szCs w:val="22"/>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E72C2"/>
    <w:rPr>
      <w:sz w:val="24"/>
      <w:szCs w:val="24"/>
    </w:rPr>
  </w:style>
  <w:style w:type="paragraph" w:styleId="Heading1">
    <w:name w:val="heading 1"/>
    <w:basedOn w:val="Normal"/>
    <w:next w:val="Normal"/>
    <w:link w:val="Heading1Char"/>
    <w:uiPriority w:val="9"/>
    <w:qFormat/>
    <w:rsid w:val="002E72C2"/>
    <w:pPr>
      <w:keepNext/>
      <w:spacing w:before="240" w:after="60"/>
      <w:outlineLvl w:val="0"/>
    </w:pPr>
    <w:rPr>
      <w:rFonts w:asciiTheme="majorHAnsi" w:eastAsiaTheme="majorEastAsia" w:hAnsiTheme="majorHAnsi" w:cstheme="majorBidi"/>
      <w:b/>
      <w:bCs/>
      <w:kern w:val="32"/>
      <w:sz w:val="32"/>
      <w:szCs w:val="32"/>
    </w:rPr>
  </w:style>
  <w:style w:type="paragraph" w:styleId="Heading2">
    <w:name w:val="heading 2"/>
    <w:basedOn w:val="Normal"/>
    <w:next w:val="Normal"/>
    <w:link w:val="Heading2Char"/>
    <w:uiPriority w:val="9"/>
    <w:unhideWhenUsed/>
    <w:qFormat/>
    <w:rsid w:val="002E72C2"/>
    <w:pPr>
      <w:keepNext/>
      <w:spacing w:before="240" w:after="60"/>
      <w:outlineLvl w:val="1"/>
    </w:pPr>
    <w:rPr>
      <w:rFonts w:asciiTheme="majorHAnsi" w:eastAsiaTheme="majorEastAsia" w:hAnsiTheme="majorHAnsi" w:cstheme="majorBidi"/>
      <w:b/>
      <w:bCs/>
      <w:i/>
      <w:iCs/>
      <w:sz w:val="28"/>
      <w:szCs w:val="28"/>
    </w:rPr>
  </w:style>
  <w:style w:type="paragraph" w:styleId="Heading3">
    <w:name w:val="heading 3"/>
    <w:basedOn w:val="Normal"/>
    <w:next w:val="Normal"/>
    <w:link w:val="Heading3Char"/>
    <w:uiPriority w:val="9"/>
    <w:unhideWhenUsed/>
    <w:qFormat/>
    <w:rsid w:val="002E72C2"/>
    <w:pPr>
      <w:keepNext/>
      <w:spacing w:before="240" w:after="60"/>
      <w:outlineLvl w:val="2"/>
    </w:pPr>
    <w:rPr>
      <w:rFonts w:asciiTheme="majorHAnsi" w:eastAsiaTheme="majorEastAsia" w:hAnsiTheme="majorHAnsi" w:cstheme="majorBidi"/>
      <w:b/>
      <w:bCs/>
      <w:sz w:val="26"/>
      <w:szCs w:val="26"/>
    </w:rPr>
  </w:style>
  <w:style w:type="paragraph" w:styleId="Heading4">
    <w:name w:val="heading 4"/>
    <w:basedOn w:val="Normal"/>
    <w:next w:val="Normal"/>
    <w:link w:val="Heading4Char"/>
    <w:uiPriority w:val="9"/>
    <w:semiHidden/>
    <w:unhideWhenUsed/>
    <w:qFormat/>
    <w:rsid w:val="002E72C2"/>
    <w:pPr>
      <w:keepNext/>
      <w:spacing w:before="240" w:after="60"/>
      <w:outlineLvl w:val="3"/>
    </w:pPr>
    <w:rPr>
      <w:b/>
      <w:bCs/>
      <w:sz w:val="28"/>
      <w:szCs w:val="28"/>
    </w:rPr>
  </w:style>
  <w:style w:type="paragraph" w:styleId="Heading5">
    <w:name w:val="heading 5"/>
    <w:basedOn w:val="Normal"/>
    <w:next w:val="Normal"/>
    <w:link w:val="Heading5Char"/>
    <w:uiPriority w:val="9"/>
    <w:semiHidden/>
    <w:unhideWhenUsed/>
    <w:qFormat/>
    <w:rsid w:val="002E72C2"/>
    <w:pPr>
      <w:spacing w:before="240" w:after="60"/>
      <w:outlineLvl w:val="4"/>
    </w:pPr>
    <w:rPr>
      <w:b/>
      <w:bCs/>
      <w:i/>
      <w:iCs/>
      <w:sz w:val="26"/>
      <w:szCs w:val="26"/>
    </w:rPr>
  </w:style>
  <w:style w:type="paragraph" w:styleId="Heading6">
    <w:name w:val="heading 6"/>
    <w:basedOn w:val="Normal"/>
    <w:next w:val="Normal"/>
    <w:link w:val="Heading6Char"/>
    <w:uiPriority w:val="9"/>
    <w:semiHidden/>
    <w:unhideWhenUsed/>
    <w:qFormat/>
    <w:rsid w:val="002E72C2"/>
    <w:pPr>
      <w:spacing w:before="240" w:after="60"/>
      <w:outlineLvl w:val="5"/>
    </w:pPr>
    <w:rPr>
      <w:b/>
      <w:bCs/>
      <w:sz w:val="22"/>
      <w:szCs w:val="22"/>
    </w:rPr>
  </w:style>
  <w:style w:type="paragraph" w:styleId="Heading7">
    <w:name w:val="heading 7"/>
    <w:basedOn w:val="Normal"/>
    <w:next w:val="Normal"/>
    <w:link w:val="Heading7Char"/>
    <w:uiPriority w:val="9"/>
    <w:semiHidden/>
    <w:unhideWhenUsed/>
    <w:qFormat/>
    <w:rsid w:val="002E72C2"/>
    <w:pPr>
      <w:spacing w:before="240" w:after="60"/>
      <w:outlineLvl w:val="6"/>
    </w:pPr>
  </w:style>
  <w:style w:type="paragraph" w:styleId="Heading8">
    <w:name w:val="heading 8"/>
    <w:basedOn w:val="Normal"/>
    <w:next w:val="Normal"/>
    <w:link w:val="Heading8Char"/>
    <w:uiPriority w:val="9"/>
    <w:semiHidden/>
    <w:unhideWhenUsed/>
    <w:qFormat/>
    <w:rsid w:val="002E72C2"/>
    <w:pPr>
      <w:spacing w:before="240" w:after="60"/>
      <w:outlineLvl w:val="7"/>
    </w:pPr>
    <w:rPr>
      <w:i/>
      <w:iCs/>
    </w:rPr>
  </w:style>
  <w:style w:type="paragraph" w:styleId="Heading9">
    <w:name w:val="heading 9"/>
    <w:basedOn w:val="Normal"/>
    <w:next w:val="Normal"/>
    <w:link w:val="Heading9Char"/>
    <w:uiPriority w:val="9"/>
    <w:semiHidden/>
    <w:unhideWhenUsed/>
    <w:qFormat/>
    <w:rsid w:val="002E72C2"/>
    <w:pPr>
      <w:spacing w:before="240" w:after="60"/>
      <w:outlineLvl w:val="8"/>
    </w:pPr>
    <w:rPr>
      <w:rFonts w:asciiTheme="majorHAnsi" w:eastAsiaTheme="majorEastAsia" w:hAnsiTheme="majorHAns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E72C2"/>
    <w:rPr>
      <w:rFonts w:asciiTheme="majorHAnsi" w:eastAsiaTheme="majorEastAsia" w:hAnsiTheme="majorHAnsi" w:cstheme="majorBidi"/>
      <w:b/>
      <w:bCs/>
      <w:kern w:val="32"/>
      <w:sz w:val="32"/>
      <w:szCs w:val="32"/>
    </w:rPr>
  </w:style>
  <w:style w:type="paragraph" w:styleId="ListParagraph">
    <w:name w:val="List Paragraph"/>
    <w:basedOn w:val="Normal"/>
    <w:uiPriority w:val="34"/>
    <w:qFormat/>
    <w:rsid w:val="002E72C2"/>
    <w:pPr>
      <w:ind w:left="720"/>
      <w:contextualSpacing/>
    </w:pPr>
  </w:style>
  <w:style w:type="paragraph" w:styleId="NormalWeb">
    <w:name w:val="Normal (Web)"/>
    <w:basedOn w:val="Normal"/>
    <w:uiPriority w:val="99"/>
    <w:unhideWhenUsed/>
    <w:rsid w:val="003171D5"/>
    <w:pPr>
      <w:spacing w:before="100" w:beforeAutospacing="1" w:after="100" w:afterAutospacing="1"/>
    </w:pPr>
    <w:rPr>
      <w:rFonts w:ascii="Times New Roman" w:eastAsia="Times New Roman" w:hAnsi="Times New Roman"/>
      <w:lang w:eastAsia="en-GB"/>
    </w:rPr>
  </w:style>
  <w:style w:type="paragraph" w:styleId="IntenseQuote">
    <w:name w:val="Intense Quote"/>
    <w:basedOn w:val="Normal"/>
    <w:next w:val="Normal"/>
    <w:link w:val="IntenseQuoteChar"/>
    <w:uiPriority w:val="30"/>
    <w:qFormat/>
    <w:rsid w:val="002E72C2"/>
    <w:pPr>
      <w:ind w:left="720" w:right="720"/>
    </w:pPr>
    <w:rPr>
      <w:b/>
      <w:i/>
      <w:szCs w:val="22"/>
    </w:rPr>
  </w:style>
  <w:style w:type="character" w:customStyle="1" w:styleId="IntenseQuoteChar">
    <w:name w:val="Intense Quote Char"/>
    <w:basedOn w:val="DefaultParagraphFont"/>
    <w:link w:val="IntenseQuote"/>
    <w:uiPriority w:val="30"/>
    <w:rsid w:val="002E72C2"/>
    <w:rPr>
      <w:b/>
      <w:i/>
      <w:sz w:val="24"/>
    </w:rPr>
  </w:style>
  <w:style w:type="character" w:styleId="IntenseEmphasis">
    <w:name w:val="Intense Emphasis"/>
    <w:basedOn w:val="DefaultParagraphFont"/>
    <w:uiPriority w:val="21"/>
    <w:qFormat/>
    <w:rsid w:val="002E72C2"/>
    <w:rPr>
      <w:b/>
      <w:i/>
      <w:sz w:val="24"/>
      <w:szCs w:val="24"/>
      <w:u w:val="single"/>
    </w:rPr>
  </w:style>
  <w:style w:type="character" w:customStyle="1" w:styleId="Heading2Char">
    <w:name w:val="Heading 2 Char"/>
    <w:basedOn w:val="DefaultParagraphFont"/>
    <w:link w:val="Heading2"/>
    <w:uiPriority w:val="9"/>
    <w:rsid w:val="002E72C2"/>
    <w:rPr>
      <w:rFonts w:asciiTheme="majorHAnsi" w:eastAsiaTheme="majorEastAsia" w:hAnsiTheme="majorHAnsi" w:cstheme="majorBidi"/>
      <w:b/>
      <w:bCs/>
      <w:i/>
      <w:iCs/>
      <w:sz w:val="28"/>
      <w:szCs w:val="28"/>
    </w:rPr>
  </w:style>
  <w:style w:type="table" w:styleId="TableGrid">
    <w:name w:val="Table Grid"/>
    <w:basedOn w:val="TableNormal"/>
    <w:uiPriority w:val="39"/>
    <w:rsid w:val="000452E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496A81"/>
    <w:rPr>
      <w:color w:val="0563C1" w:themeColor="hyperlink"/>
      <w:u w:val="single"/>
    </w:rPr>
  </w:style>
  <w:style w:type="character" w:styleId="UnresolvedMention">
    <w:name w:val="Unresolved Mention"/>
    <w:basedOn w:val="DefaultParagraphFont"/>
    <w:uiPriority w:val="99"/>
    <w:semiHidden/>
    <w:unhideWhenUsed/>
    <w:rsid w:val="00496A81"/>
    <w:rPr>
      <w:color w:val="605E5C"/>
      <w:shd w:val="clear" w:color="auto" w:fill="E1DFDD"/>
    </w:rPr>
  </w:style>
  <w:style w:type="paragraph" w:styleId="TOCHeading">
    <w:name w:val="TOC Heading"/>
    <w:basedOn w:val="Heading1"/>
    <w:next w:val="Normal"/>
    <w:uiPriority w:val="39"/>
    <w:unhideWhenUsed/>
    <w:qFormat/>
    <w:rsid w:val="002E72C2"/>
    <w:pPr>
      <w:outlineLvl w:val="9"/>
    </w:pPr>
  </w:style>
  <w:style w:type="paragraph" w:styleId="TOC1">
    <w:name w:val="toc 1"/>
    <w:basedOn w:val="Normal"/>
    <w:next w:val="Normal"/>
    <w:autoRedefine/>
    <w:uiPriority w:val="39"/>
    <w:unhideWhenUsed/>
    <w:rsid w:val="00A83779"/>
    <w:pPr>
      <w:spacing w:after="100"/>
    </w:pPr>
  </w:style>
  <w:style w:type="paragraph" w:styleId="TOC2">
    <w:name w:val="toc 2"/>
    <w:basedOn w:val="Normal"/>
    <w:next w:val="Normal"/>
    <w:autoRedefine/>
    <w:uiPriority w:val="39"/>
    <w:unhideWhenUsed/>
    <w:rsid w:val="00A83779"/>
    <w:pPr>
      <w:spacing w:after="100"/>
      <w:ind w:left="220"/>
    </w:pPr>
  </w:style>
  <w:style w:type="character" w:styleId="Emphasis">
    <w:name w:val="Emphasis"/>
    <w:basedOn w:val="DefaultParagraphFont"/>
    <w:uiPriority w:val="20"/>
    <w:qFormat/>
    <w:rsid w:val="002E72C2"/>
    <w:rPr>
      <w:rFonts w:asciiTheme="minorHAnsi" w:hAnsiTheme="minorHAnsi"/>
      <w:b/>
      <w:i/>
      <w:iCs/>
    </w:rPr>
  </w:style>
  <w:style w:type="character" w:customStyle="1" w:styleId="Heading3Char">
    <w:name w:val="Heading 3 Char"/>
    <w:basedOn w:val="DefaultParagraphFont"/>
    <w:link w:val="Heading3"/>
    <w:uiPriority w:val="9"/>
    <w:rsid w:val="002E72C2"/>
    <w:rPr>
      <w:rFonts w:asciiTheme="majorHAnsi" w:eastAsiaTheme="majorEastAsia" w:hAnsiTheme="majorHAnsi" w:cstheme="majorBidi"/>
      <w:b/>
      <w:bCs/>
      <w:sz w:val="26"/>
      <w:szCs w:val="26"/>
    </w:rPr>
  </w:style>
  <w:style w:type="character" w:styleId="Strong">
    <w:name w:val="Strong"/>
    <w:basedOn w:val="DefaultParagraphFont"/>
    <w:uiPriority w:val="22"/>
    <w:qFormat/>
    <w:rsid w:val="002E72C2"/>
    <w:rPr>
      <w:b/>
      <w:bCs/>
    </w:rPr>
  </w:style>
  <w:style w:type="paragraph" w:styleId="Header">
    <w:name w:val="header"/>
    <w:basedOn w:val="Normal"/>
    <w:link w:val="HeaderChar"/>
    <w:uiPriority w:val="99"/>
    <w:unhideWhenUsed/>
    <w:rsid w:val="00D50970"/>
    <w:pPr>
      <w:tabs>
        <w:tab w:val="center" w:pos="4513"/>
        <w:tab w:val="right" w:pos="9026"/>
      </w:tabs>
    </w:pPr>
  </w:style>
  <w:style w:type="character" w:customStyle="1" w:styleId="HeaderChar">
    <w:name w:val="Header Char"/>
    <w:basedOn w:val="DefaultParagraphFont"/>
    <w:link w:val="Header"/>
    <w:uiPriority w:val="99"/>
    <w:rsid w:val="00D50970"/>
  </w:style>
  <w:style w:type="paragraph" w:styleId="Footer">
    <w:name w:val="footer"/>
    <w:basedOn w:val="Normal"/>
    <w:link w:val="FooterChar"/>
    <w:uiPriority w:val="99"/>
    <w:unhideWhenUsed/>
    <w:rsid w:val="00D50970"/>
    <w:pPr>
      <w:tabs>
        <w:tab w:val="center" w:pos="4513"/>
        <w:tab w:val="right" w:pos="9026"/>
      </w:tabs>
    </w:pPr>
  </w:style>
  <w:style w:type="character" w:customStyle="1" w:styleId="FooterChar">
    <w:name w:val="Footer Char"/>
    <w:basedOn w:val="DefaultParagraphFont"/>
    <w:link w:val="Footer"/>
    <w:uiPriority w:val="99"/>
    <w:rsid w:val="00D50970"/>
  </w:style>
  <w:style w:type="paragraph" w:styleId="TOC3">
    <w:name w:val="toc 3"/>
    <w:basedOn w:val="Normal"/>
    <w:next w:val="Normal"/>
    <w:autoRedefine/>
    <w:uiPriority w:val="39"/>
    <w:unhideWhenUsed/>
    <w:rsid w:val="00D50970"/>
    <w:pPr>
      <w:spacing w:after="100"/>
      <w:ind w:left="440"/>
    </w:pPr>
  </w:style>
  <w:style w:type="character" w:customStyle="1" w:styleId="Heading4Char">
    <w:name w:val="Heading 4 Char"/>
    <w:basedOn w:val="DefaultParagraphFont"/>
    <w:link w:val="Heading4"/>
    <w:uiPriority w:val="9"/>
    <w:semiHidden/>
    <w:rsid w:val="002E72C2"/>
    <w:rPr>
      <w:b/>
      <w:bCs/>
      <w:sz w:val="28"/>
      <w:szCs w:val="28"/>
    </w:rPr>
  </w:style>
  <w:style w:type="character" w:customStyle="1" w:styleId="Heading5Char">
    <w:name w:val="Heading 5 Char"/>
    <w:basedOn w:val="DefaultParagraphFont"/>
    <w:link w:val="Heading5"/>
    <w:uiPriority w:val="9"/>
    <w:semiHidden/>
    <w:rsid w:val="002E72C2"/>
    <w:rPr>
      <w:b/>
      <w:bCs/>
      <w:i/>
      <w:iCs/>
      <w:sz w:val="26"/>
      <w:szCs w:val="26"/>
    </w:rPr>
  </w:style>
  <w:style w:type="character" w:customStyle="1" w:styleId="Heading6Char">
    <w:name w:val="Heading 6 Char"/>
    <w:basedOn w:val="DefaultParagraphFont"/>
    <w:link w:val="Heading6"/>
    <w:uiPriority w:val="9"/>
    <w:semiHidden/>
    <w:rsid w:val="002E72C2"/>
    <w:rPr>
      <w:b/>
      <w:bCs/>
    </w:rPr>
  </w:style>
  <w:style w:type="character" w:customStyle="1" w:styleId="Heading7Char">
    <w:name w:val="Heading 7 Char"/>
    <w:basedOn w:val="DefaultParagraphFont"/>
    <w:link w:val="Heading7"/>
    <w:uiPriority w:val="9"/>
    <w:semiHidden/>
    <w:rsid w:val="002E72C2"/>
    <w:rPr>
      <w:sz w:val="24"/>
      <w:szCs w:val="24"/>
    </w:rPr>
  </w:style>
  <w:style w:type="character" w:customStyle="1" w:styleId="Heading8Char">
    <w:name w:val="Heading 8 Char"/>
    <w:basedOn w:val="DefaultParagraphFont"/>
    <w:link w:val="Heading8"/>
    <w:uiPriority w:val="9"/>
    <w:semiHidden/>
    <w:rsid w:val="002E72C2"/>
    <w:rPr>
      <w:i/>
      <w:iCs/>
      <w:sz w:val="24"/>
      <w:szCs w:val="24"/>
    </w:rPr>
  </w:style>
  <w:style w:type="character" w:customStyle="1" w:styleId="Heading9Char">
    <w:name w:val="Heading 9 Char"/>
    <w:basedOn w:val="DefaultParagraphFont"/>
    <w:link w:val="Heading9"/>
    <w:uiPriority w:val="9"/>
    <w:semiHidden/>
    <w:rsid w:val="002E72C2"/>
    <w:rPr>
      <w:rFonts w:asciiTheme="majorHAnsi" w:eastAsiaTheme="majorEastAsia" w:hAnsiTheme="majorHAnsi"/>
    </w:rPr>
  </w:style>
  <w:style w:type="paragraph" w:styleId="Title">
    <w:name w:val="Title"/>
    <w:basedOn w:val="Normal"/>
    <w:next w:val="Normal"/>
    <w:link w:val="TitleChar"/>
    <w:uiPriority w:val="10"/>
    <w:qFormat/>
    <w:rsid w:val="002E72C2"/>
    <w:pPr>
      <w:spacing w:before="240" w:after="60"/>
      <w:jc w:val="center"/>
      <w:outlineLvl w:val="0"/>
    </w:pPr>
    <w:rPr>
      <w:rFonts w:asciiTheme="majorHAnsi" w:eastAsiaTheme="majorEastAsia" w:hAnsiTheme="majorHAnsi"/>
      <w:b/>
      <w:bCs/>
      <w:kern w:val="28"/>
      <w:sz w:val="32"/>
      <w:szCs w:val="32"/>
    </w:rPr>
  </w:style>
  <w:style w:type="character" w:customStyle="1" w:styleId="TitleChar">
    <w:name w:val="Title Char"/>
    <w:basedOn w:val="DefaultParagraphFont"/>
    <w:link w:val="Title"/>
    <w:uiPriority w:val="10"/>
    <w:rsid w:val="002E72C2"/>
    <w:rPr>
      <w:rFonts w:asciiTheme="majorHAnsi" w:eastAsiaTheme="majorEastAsia" w:hAnsiTheme="majorHAnsi"/>
      <w:b/>
      <w:bCs/>
      <w:kern w:val="28"/>
      <w:sz w:val="32"/>
      <w:szCs w:val="32"/>
    </w:rPr>
  </w:style>
  <w:style w:type="paragraph" w:styleId="Subtitle">
    <w:name w:val="Subtitle"/>
    <w:basedOn w:val="Normal"/>
    <w:next w:val="Normal"/>
    <w:link w:val="SubtitleChar"/>
    <w:uiPriority w:val="11"/>
    <w:qFormat/>
    <w:rsid w:val="002E72C2"/>
    <w:pPr>
      <w:spacing w:after="60"/>
      <w:jc w:val="center"/>
      <w:outlineLvl w:val="1"/>
    </w:pPr>
    <w:rPr>
      <w:rFonts w:asciiTheme="majorHAnsi" w:eastAsiaTheme="majorEastAsia" w:hAnsiTheme="majorHAnsi"/>
    </w:rPr>
  </w:style>
  <w:style w:type="character" w:customStyle="1" w:styleId="SubtitleChar">
    <w:name w:val="Subtitle Char"/>
    <w:basedOn w:val="DefaultParagraphFont"/>
    <w:link w:val="Subtitle"/>
    <w:uiPriority w:val="11"/>
    <w:rsid w:val="002E72C2"/>
    <w:rPr>
      <w:rFonts w:asciiTheme="majorHAnsi" w:eastAsiaTheme="majorEastAsia" w:hAnsiTheme="majorHAnsi"/>
      <w:sz w:val="24"/>
      <w:szCs w:val="24"/>
    </w:rPr>
  </w:style>
  <w:style w:type="paragraph" w:styleId="NoSpacing">
    <w:name w:val="No Spacing"/>
    <w:basedOn w:val="Normal"/>
    <w:uiPriority w:val="1"/>
    <w:qFormat/>
    <w:rsid w:val="002E72C2"/>
    <w:rPr>
      <w:szCs w:val="32"/>
    </w:rPr>
  </w:style>
  <w:style w:type="paragraph" w:styleId="Quote">
    <w:name w:val="Quote"/>
    <w:basedOn w:val="Normal"/>
    <w:next w:val="Normal"/>
    <w:link w:val="QuoteChar"/>
    <w:uiPriority w:val="29"/>
    <w:qFormat/>
    <w:rsid w:val="002E72C2"/>
    <w:rPr>
      <w:i/>
    </w:rPr>
  </w:style>
  <w:style w:type="character" w:customStyle="1" w:styleId="QuoteChar">
    <w:name w:val="Quote Char"/>
    <w:basedOn w:val="DefaultParagraphFont"/>
    <w:link w:val="Quote"/>
    <w:uiPriority w:val="29"/>
    <w:rsid w:val="002E72C2"/>
    <w:rPr>
      <w:i/>
      <w:sz w:val="24"/>
      <w:szCs w:val="24"/>
    </w:rPr>
  </w:style>
  <w:style w:type="character" w:styleId="SubtleEmphasis">
    <w:name w:val="Subtle Emphasis"/>
    <w:uiPriority w:val="19"/>
    <w:qFormat/>
    <w:rsid w:val="002E72C2"/>
    <w:rPr>
      <w:i/>
      <w:color w:val="5A5A5A" w:themeColor="text1" w:themeTint="A5"/>
    </w:rPr>
  </w:style>
  <w:style w:type="character" w:styleId="SubtleReference">
    <w:name w:val="Subtle Reference"/>
    <w:basedOn w:val="DefaultParagraphFont"/>
    <w:uiPriority w:val="31"/>
    <w:qFormat/>
    <w:rsid w:val="002E72C2"/>
    <w:rPr>
      <w:sz w:val="24"/>
      <w:szCs w:val="24"/>
      <w:u w:val="single"/>
    </w:rPr>
  </w:style>
  <w:style w:type="character" w:styleId="IntenseReference">
    <w:name w:val="Intense Reference"/>
    <w:basedOn w:val="DefaultParagraphFont"/>
    <w:uiPriority w:val="32"/>
    <w:qFormat/>
    <w:rsid w:val="002E72C2"/>
    <w:rPr>
      <w:b/>
      <w:sz w:val="24"/>
      <w:u w:val="single"/>
    </w:rPr>
  </w:style>
  <w:style w:type="character" w:styleId="BookTitle">
    <w:name w:val="Book Title"/>
    <w:basedOn w:val="DefaultParagraphFont"/>
    <w:uiPriority w:val="33"/>
    <w:qFormat/>
    <w:rsid w:val="002E72C2"/>
    <w:rPr>
      <w:rFonts w:asciiTheme="majorHAnsi" w:eastAsiaTheme="majorEastAsia" w:hAnsiTheme="majorHAnsi"/>
      <w:b/>
      <w:i/>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83377156">
      <w:bodyDiv w:val="1"/>
      <w:marLeft w:val="0"/>
      <w:marRight w:val="0"/>
      <w:marTop w:val="0"/>
      <w:marBottom w:val="0"/>
      <w:divBdr>
        <w:top w:val="none" w:sz="0" w:space="0" w:color="auto"/>
        <w:left w:val="none" w:sz="0" w:space="0" w:color="auto"/>
        <w:bottom w:val="none" w:sz="0" w:space="0" w:color="auto"/>
        <w:right w:val="none" w:sz="0" w:space="0" w:color="auto"/>
      </w:divBdr>
    </w:div>
    <w:div w:id="160895055">
      <w:bodyDiv w:val="1"/>
      <w:marLeft w:val="0"/>
      <w:marRight w:val="0"/>
      <w:marTop w:val="0"/>
      <w:marBottom w:val="0"/>
      <w:divBdr>
        <w:top w:val="none" w:sz="0" w:space="0" w:color="auto"/>
        <w:left w:val="none" w:sz="0" w:space="0" w:color="auto"/>
        <w:bottom w:val="none" w:sz="0" w:space="0" w:color="auto"/>
        <w:right w:val="none" w:sz="0" w:space="0" w:color="auto"/>
      </w:divBdr>
    </w:div>
    <w:div w:id="162472486">
      <w:bodyDiv w:val="1"/>
      <w:marLeft w:val="0"/>
      <w:marRight w:val="0"/>
      <w:marTop w:val="0"/>
      <w:marBottom w:val="0"/>
      <w:divBdr>
        <w:top w:val="none" w:sz="0" w:space="0" w:color="auto"/>
        <w:left w:val="none" w:sz="0" w:space="0" w:color="auto"/>
        <w:bottom w:val="none" w:sz="0" w:space="0" w:color="auto"/>
        <w:right w:val="none" w:sz="0" w:space="0" w:color="auto"/>
      </w:divBdr>
    </w:div>
    <w:div w:id="201404393">
      <w:bodyDiv w:val="1"/>
      <w:marLeft w:val="0"/>
      <w:marRight w:val="0"/>
      <w:marTop w:val="0"/>
      <w:marBottom w:val="0"/>
      <w:divBdr>
        <w:top w:val="none" w:sz="0" w:space="0" w:color="auto"/>
        <w:left w:val="none" w:sz="0" w:space="0" w:color="auto"/>
        <w:bottom w:val="none" w:sz="0" w:space="0" w:color="auto"/>
        <w:right w:val="none" w:sz="0" w:space="0" w:color="auto"/>
      </w:divBdr>
    </w:div>
    <w:div w:id="217396797">
      <w:bodyDiv w:val="1"/>
      <w:marLeft w:val="0"/>
      <w:marRight w:val="0"/>
      <w:marTop w:val="0"/>
      <w:marBottom w:val="0"/>
      <w:divBdr>
        <w:top w:val="none" w:sz="0" w:space="0" w:color="auto"/>
        <w:left w:val="none" w:sz="0" w:space="0" w:color="auto"/>
        <w:bottom w:val="none" w:sz="0" w:space="0" w:color="auto"/>
        <w:right w:val="none" w:sz="0" w:space="0" w:color="auto"/>
      </w:divBdr>
    </w:div>
    <w:div w:id="240136947">
      <w:bodyDiv w:val="1"/>
      <w:marLeft w:val="0"/>
      <w:marRight w:val="0"/>
      <w:marTop w:val="0"/>
      <w:marBottom w:val="0"/>
      <w:divBdr>
        <w:top w:val="none" w:sz="0" w:space="0" w:color="auto"/>
        <w:left w:val="none" w:sz="0" w:space="0" w:color="auto"/>
        <w:bottom w:val="none" w:sz="0" w:space="0" w:color="auto"/>
        <w:right w:val="none" w:sz="0" w:space="0" w:color="auto"/>
      </w:divBdr>
    </w:div>
    <w:div w:id="312830492">
      <w:bodyDiv w:val="1"/>
      <w:marLeft w:val="0"/>
      <w:marRight w:val="0"/>
      <w:marTop w:val="0"/>
      <w:marBottom w:val="0"/>
      <w:divBdr>
        <w:top w:val="none" w:sz="0" w:space="0" w:color="auto"/>
        <w:left w:val="none" w:sz="0" w:space="0" w:color="auto"/>
        <w:bottom w:val="none" w:sz="0" w:space="0" w:color="auto"/>
        <w:right w:val="none" w:sz="0" w:space="0" w:color="auto"/>
      </w:divBdr>
    </w:div>
    <w:div w:id="332688237">
      <w:bodyDiv w:val="1"/>
      <w:marLeft w:val="0"/>
      <w:marRight w:val="0"/>
      <w:marTop w:val="0"/>
      <w:marBottom w:val="0"/>
      <w:divBdr>
        <w:top w:val="none" w:sz="0" w:space="0" w:color="auto"/>
        <w:left w:val="none" w:sz="0" w:space="0" w:color="auto"/>
        <w:bottom w:val="none" w:sz="0" w:space="0" w:color="auto"/>
        <w:right w:val="none" w:sz="0" w:space="0" w:color="auto"/>
      </w:divBdr>
    </w:div>
    <w:div w:id="347878194">
      <w:bodyDiv w:val="1"/>
      <w:marLeft w:val="0"/>
      <w:marRight w:val="0"/>
      <w:marTop w:val="0"/>
      <w:marBottom w:val="0"/>
      <w:divBdr>
        <w:top w:val="none" w:sz="0" w:space="0" w:color="auto"/>
        <w:left w:val="none" w:sz="0" w:space="0" w:color="auto"/>
        <w:bottom w:val="none" w:sz="0" w:space="0" w:color="auto"/>
        <w:right w:val="none" w:sz="0" w:space="0" w:color="auto"/>
      </w:divBdr>
    </w:div>
    <w:div w:id="472331297">
      <w:bodyDiv w:val="1"/>
      <w:marLeft w:val="0"/>
      <w:marRight w:val="0"/>
      <w:marTop w:val="0"/>
      <w:marBottom w:val="0"/>
      <w:divBdr>
        <w:top w:val="none" w:sz="0" w:space="0" w:color="auto"/>
        <w:left w:val="none" w:sz="0" w:space="0" w:color="auto"/>
        <w:bottom w:val="none" w:sz="0" w:space="0" w:color="auto"/>
        <w:right w:val="none" w:sz="0" w:space="0" w:color="auto"/>
      </w:divBdr>
    </w:div>
    <w:div w:id="519776569">
      <w:bodyDiv w:val="1"/>
      <w:marLeft w:val="0"/>
      <w:marRight w:val="0"/>
      <w:marTop w:val="0"/>
      <w:marBottom w:val="0"/>
      <w:divBdr>
        <w:top w:val="none" w:sz="0" w:space="0" w:color="auto"/>
        <w:left w:val="none" w:sz="0" w:space="0" w:color="auto"/>
        <w:bottom w:val="none" w:sz="0" w:space="0" w:color="auto"/>
        <w:right w:val="none" w:sz="0" w:space="0" w:color="auto"/>
      </w:divBdr>
    </w:div>
    <w:div w:id="534538301">
      <w:bodyDiv w:val="1"/>
      <w:marLeft w:val="0"/>
      <w:marRight w:val="0"/>
      <w:marTop w:val="0"/>
      <w:marBottom w:val="0"/>
      <w:divBdr>
        <w:top w:val="none" w:sz="0" w:space="0" w:color="auto"/>
        <w:left w:val="none" w:sz="0" w:space="0" w:color="auto"/>
        <w:bottom w:val="none" w:sz="0" w:space="0" w:color="auto"/>
        <w:right w:val="none" w:sz="0" w:space="0" w:color="auto"/>
      </w:divBdr>
    </w:div>
    <w:div w:id="563488702">
      <w:bodyDiv w:val="1"/>
      <w:marLeft w:val="0"/>
      <w:marRight w:val="0"/>
      <w:marTop w:val="0"/>
      <w:marBottom w:val="0"/>
      <w:divBdr>
        <w:top w:val="none" w:sz="0" w:space="0" w:color="auto"/>
        <w:left w:val="none" w:sz="0" w:space="0" w:color="auto"/>
        <w:bottom w:val="none" w:sz="0" w:space="0" w:color="auto"/>
        <w:right w:val="none" w:sz="0" w:space="0" w:color="auto"/>
      </w:divBdr>
    </w:div>
    <w:div w:id="581375694">
      <w:bodyDiv w:val="1"/>
      <w:marLeft w:val="0"/>
      <w:marRight w:val="0"/>
      <w:marTop w:val="0"/>
      <w:marBottom w:val="0"/>
      <w:divBdr>
        <w:top w:val="none" w:sz="0" w:space="0" w:color="auto"/>
        <w:left w:val="none" w:sz="0" w:space="0" w:color="auto"/>
        <w:bottom w:val="none" w:sz="0" w:space="0" w:color="auto"/>
        <w:right w:val="none" w:sz="0" w:space="0" w:color="auto"/>
      </w:divBdr>
    </w:div>
    <w:div w:id="661549141">
      <w:bodyDiv w:val="1"/>
      <w:marLeft w:val="0"/>
      <w:marRight w:val="0"/>
      <w:marTop w:val="0"/>
      <w:marBottom w:val="0"/>
      <w:divBdr>
        <w:top w:val="none" w:sz="0" w:space="0" w:color="auto"/>
        <w:left w:val="none" w:sz="0" w:space="0" w:color="auto"/>
        <w:bottom w:val="none" w:sz="0" w:space="0" w:color="auto"/>
        <w:right w:val="none" w:sz="0" w:space="0" w:color="auto"/>
      </w:divBdr>
    </w:div>
    <w:div w:id="698700200">
      <w:bodyDiv w:val="1"/>
      <w:marLeft w:val="0"/>
      <w:marRight w:val="0"/>
      <w:marTop w:val="0"/>
      <w:marBottom w:val="0"/>
      <w:divBdr>
        <w:top w:val="none" w:sz="0" w:space="0" w:color="auto"/>
        <w:left w:val="none" w:sz="0" w:space="0" w:color="auto"/>
        <w:bottom w:val="none" w:sz="0" w:space="0" w:color="auto"/>
        <w:right w:val="none" w:sz="0" w:space="0" w:color="auto"/>
      </w:divBdr>
    </w:div>
    <w:div w:id="751780307">
      <w:bodyDiv w:val="1"/>
      <w:marLeft w:val="0"/>
      <w:marRight w:val="0"/>
      <w:marTop w:val="0"/>
      <w:marBottom w:val="0"/>
      <w:divBdr>
        <w:top w:val="none" w:sz="0" w:space="0" w:color="auto"/>
        <w:left w:val="none" w:sz="0" w:space="0" w:color="auto"/>
        <w:bottom w:val="none" w:sz="0" w:space="0" w:color="auto"/>
        <w:right w:val="none" w:sz="0" w:space="0" w:color="auto"/>
      </w:divBdr>
    </w:div>
    <w:div w:id="814102396">
      <w:bodyDiv w:val="1"/>
      <w:marLeft w:val="0"/>
      <w:marRight w:val="0"/>
      <w:marTop w:val="0"/>
      <w:marBottom w:val="0"/>
      <w:divBdr>
        <w:top w:val="none" w:sz="0" w:space="0" w:color="auto"/>
        <w:left w:val="none" w:sz="0" w:space="0" w:color="auto"/>
        <w:bottom w:val="none" w:sz="0" w:space="0" w:color="auto"/>
        <w:right w:val="none" w:sz="0" w:space="0" w:color="auto"/>
      </w:divBdr>
    </w:div>
    <w:div w:id="817577921">
      <w:bodyDiv w:val="1"/>
      <w:marLeft w:val="0"/>
      <w:marRight w:val="0"/>
      <w:marTop w:val="0"/>
      <w:marBottom w:val="0"/>
      <w:divBdr>
        <w:top w:val="none" w:sz="0" w:space="0" w:color="auto"/>
        <w:left w:val="none" w:sz="0" w:space="0" w:color="auto"/>
        <w:bottom w:val="none" w:sz="0" w:space="0" w:color="auto"/>
        <w:right w:val="none" w:sz="0" w:space="0" w:color="auto"/>
      </w:divBdr>
    </w:div>
    <w:div w:id="899630183">
      <w:bodyDiv w:val="1"/>
      <w:marLeft w:val="0"/>
      <w:marRight w:val="0"/>
      <w:marTop w:val="0"/>
      <w:marBottom w:val="0"/>
      <w:divBdr>
        <w:top w:val="none" w:sz="0" w:space="0" w:color="auto"/>
        <w:left w:val="none" w:sz="0" w:space="0" w:color="auto"/>
        <w:bottom w:val="none" w:sz="0" w:space="0" w:color="auto"/>
        <w:right w:val="none" w:sz="0" w:space="0" w:color="auto"/>
      </w:divBdr>
    </w:div>
    <w:div w:id="934048111">
      <w:bodyDiv w:val="1"/>
      <w:marLeft w:val="0"/>
      <w:marRight w:val="0"/>
      <w:marTop w:val="0"/>
      <w:marBottom w:val="0"/>
      <w:divBdr>
        <w:top w:val="none" w:sz="0" w:space="0" w:color="auto"/>
        <w:left w:val="none" w:sz="0" w:space="0" w:color="auto"/>
        <w:bottom w:val="none" w:sz="0" w:space="0" w:color="auto"/>
        <w:right w:val="none" w:sz="0" w:space="0" w:color="auto"/>
      </w:divBdr>
    </w:div>
    <w:div w:id="986514316">
      <w:bodyDiv w:val="1"/>
      <w:marLeft w:val="0"/>
      <w:marRight w:val="0"/>
      <w:marTop w:val="0"/>
      <w:marBottom w:val="0"/>
      <w:divBdr>
        <w:top w:val="none" w:sz="0" w:space="0" w:color="auto"/>
        <w:left w:val="none" w:sz="0" w:space="0" w:color="auto"/>
        <w:bottom w:val="none" w:sz="0" w:space="0" w:color="auto"/>
        <w:right w:val="none" w:sz="0" w:space="0" w:color="auto"/>
      </w:divBdr>
      <w:divsChild>
        <w:div w:id="1291474825">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014185182">
      <w:bodyDiv w:val="1"/>
      <w:marLeft w:val="0"/>
      <w:marRight w:val="0"/>
      <w:marTop w:val="0"/>
      <w:marBottom w:val="0"/>
      <w:divBdr>
        <w:top w:val="none" w:sz="0" w:space="0" w:color="auto"/>
        <w:left w:val="none" w:sz="0" w:space="0" w:color="auto"/>
        <w:bottom w:val="none" w:sz="0" w:space="0" w:color="auto"/>
        <w:right w:val="none" w:sz="0" w:space="0" w:color="auto"/>
      </w:divBdr>
      <w:divsChild>
        <w:div w:id="983317434">
          <w:marLeft w:val="0"/>
          <w:marRight w:val="0"/>
          <w:marTop w:val="0"/>
          <w:marBottom w:val="0"/>
          <w:divBdr>
            <w:top w:val="none" w:sz="0" w:space="0" w:color="auto"/>
            <w:left w:val="none" w:sz="0" w:space="0" w:color="auto"/>
            <w:bottom w:val="none" w:sz="0" w:space="0" w:color="auto"/>
            <w:right w:val="none" w:sz="0" w:space="0" w:color="auto"/>
          </w:divBdr>
          <w:divsChild>
            <w:div w:id="15641000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48648783">
      <w:bodyDiv w:val="1"/>
      <w:marLeft w:val="0"/>
      <w:marRight w:val="0"/>
      <w:marTop w:val="0"/>
      <w:marBottom w:val="0"/>
      <w:divBdr>
        <w:top w:val="none" w:sz="0" w:space="0" w:color="auto"/>
        <w:left w:val="none" w:sz="0" w:space="0" w:color="auto"/>
        <w:bottom w:val="none" w:sz="0" w:space="0" w:color="auto"/>
        <w:right w:val="none" w:sz="0" w:space="0" w:color="auto"/>
      </w:divBdr>
    </w:div>
    <w:div w:id="1059128426">
      <w:bodyDiv w:val="1"/>
      <w:marLeft w:val="0"/>
      <w:marRight w:val="0"/>
      <w:marTop w:val="0"/>
      <w:marBottom w:val="0"/>
      <w:divBdr>
        <w:top w:val="none" w:sz="0" w:space="0" w:color="auto"/>
        <w:left w:val="none" w:sz="0" w:space="0" w:color="auto"/>
        <w:bottom w:val="none" w:sz="0" w:space="0" w:color="auto"/>
        <w:right w:val="none" w:sz="0" w:space="0" w:color="auto"/>
      </w:divBdr>
      <w:divsChild>
        <w:div w:id="35796775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122193979">
      <w:bodyDiv w:val="1"/>
      <w:marLeft w:val="0"/>
      <w:marRight w:val="0"/>
      <w:marTop w:val="0"/>
      <w:marBottom w:val="0"/>
      <w:divBdr>
        <w:top w:val="none" w:sz="0" w:space="0" w:color="auto"/>
        <w:left w:val="none" w:sz="0" w:space="0" w:color="auto"/>
        <w:bottom w:val="none" w:sz="0" w:space="0" w:color="auto"/>
        <w:right w:val="none" w:sz="0" w:space="0" w:color="auto"/>
      </w:divBdr>
    </w:div>
    <w:div w:id="1187869948">
      <w:bodyDiv w:val="1"/>
      <w:marLeft w:val="0"/>
      <w:marRight w:val="0"/>
      <w:marTop w:val="0"/>
      <w:marBottom w:val="0"/>
      <w:divBdr>
        <w:top w:val="none" w:sz="0" w:space="0" w:color="auto"/>
        <w:left w:val="none" w:sz="0" w:space="0" w:color="auto"/>
        <w:bottom w:val="none" w:sz="0" w:space="0" w:color="auto"/>
        <w:right w:val="none" w:sz="0" w:space="0" w:color="auto"/>
      </w:divBdr>
    </w:div>
    <w:div w:id="1200321148">
      <w:bodyDiv w:val="1"/>
      <w:marLeft w:val="0"/>
      <w:marRight w:val="0"/>
      <w:marTop w:val="0"/>
      <w:marBottom w:val="0"/>
      <w:divBdr>
        <w:top w:val="none" w:sz="0" w:space="0" w:color="auto"/>
        <w:left w:val="none" w:sz="0" w:space="0" w:color="auto"/>
        <w:bottom w:val="none" w:sz="0" w:space="0" w:color="auto"/>
        <w:right w:val="none" w:sz="0" w:space="0" w:color="auto"/>
      </w:divBdr>
    </w:div>
    <w:div w:id="1258439796">
      <w:bodyDiv w:val="1"/>
      <w:marLeft w:val="0"/>
      <w:marRight w:val="0"/>
      <w:marTop w:val="0"/>
      <w:marBottom w:val="0"/>
      <w:divBdr>
        <w:top w:val="none" w:sz="0" w:space="0" w:color="auto"/>
        <w:left w:val="none" w:sz="0" w:space="0" w:color="auto"/>
        <w:bottom w:val="none" w:sz="0" w:space="0" w:color="auto"/>
        <w:right w:val="none" w:sz="0" w:space="0" w:color="auto"/>
      </w:divBdr>
    </w:div>
    <w:div w:id="1275095829">
      <w:bodyDiv w:val="1"/>
      <w:marLeft w:val="0"/>
      <w:marRight w:val="0"/>
      <w:marTop w:val="0"/>
      <w:marBottom w:val="0"/>
      <w:divBdr>
        <w:top w:val="none" w:sz="0" w:space="0" w:color="auto"/>
        <w:left w:val="none" w:sz="0" w:space="0" w:color="auto"/>
        <w:bottom w:val="none" w:sz="0" w:space="0" w:color="auto"/>
        <w:right w:val="none" w:sz="0" w:space="0" w:color="auto"/>
      </w:divBdr>
    </w:div>
    <w:div w:id="1427463281">
      <w:bodyDiv w:val="1"/>
      <w:marLeft w:val="0"/>
      <w:marRight w:val="0"/>
      <w:marTop w:val="0"/>
      <w:marBottom w:val="0"/>
      <w:divBdr>
        <w:top w:val="none" w:sz="0" w:space="0" w:color="auto"/>
        <w:left w:val="none" w:sz="0" w:space="0" w:color="auto"/>
        <w:bottom w:val="none" w:sz="0" w:space="0" w:color="auto"/>
        <w:right w:val="none" w:sz="0" w:space="0" w:color="auto"/>
      </w:divBdr>
    </w:div>
    <w:div w:id="1506478951">
      <w:bodyDiv w:val="1"/>
      <w:marLeft w:val="0"/>
      <w:marRight w:val="0"/>
      <w:marTop w:val="0"/>
      <w:marBottom w:val="0"/>
      <w:divBdr>
        <w:top w:val="none" w:sz="0" w:space="0" w:color="auto"/>
        <w:left w:val="none" w:sz="0" w:space="0" w:color="auto"/>
        <w:bottom w:val="none" w:sz="0" w:space="0" w:color="auto"/>
        <w:right w:val="none" w:sz="0" w:space="0" w:color="auto"/>
      </w:divBdr>
    </w:div>
    <w:div w:id="1597977990">
      <w:bodyDiv w:val="1"/>
      <w:marLeft w:val="0"/>
      <w:marRight w:val="0"/>
      <w:marTop w:val="0"/>
      <w:marBottom w:val="0"/>
      <w:divBdr>
        <w:top w:val="none" w:sz="0" w:space="0" w:color="auto"/>
        <w:left w:val="none" w:sz="0" w:space="0" w:color="auto"/>
        <w:bottom w:val="none" w:sz="0" w:space="0" w:color="auto"/>
        <w:right w:val="none" w:sz="0" w:space="0" w:color="auto"/>
      </w:divBdr>
      <w:divsChild>
        <w:div w:id="533495149">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623027035">
      <w:bodyDiv w:val="1"/>
      <w:marLeft w:val="0"/>
      <w:marRight w:val="0"/>
      <w:marTop w:val="0"/>
      <w:marBottom w:val="0"/>
      <w:divBdr>
        <w:top w:val="none" w:sz="0" w:space="0" w:color="auto"/>
        <w:left w:val="none" w:sz="0" w:space="0" w:color="auto"/>
        <w:bottom w:val="none" w:sz="0" w:space="0" w:color="auto"/>
        <w:right w:val="none" w:sz="0" w:space="0" w:color="auto"/>
      </w:divBdr>
    </w:div>
    <w:div w:id="1936086092">
      <w:bodyDiv w:val="1"/>
      <w:marLeft w:val="0"/>
      <w:marRight w:val="0"/>
      <w:marTop w:val="0"/>
      <w:marBottom w:val="0"/>
      <w:divBdr>
        <w:top w:val="none" w:sz="0" w:space="0" w:color="auto"/>
        <w:left w:val="none" w:sz="0" w:space="0" w:color="auto"/>
        <w:bottom w:val="none" w:sz="0" w:space="0" w:color="auto"/>
        <w:right w:val="none" w:sz="0" w:space="0" w:color="auto"/>
      </w:divBdr>
    </w:div>
    <w:div w:id="2011130831">
      <w:bodyDiv w:val="1"/>
      <w:marLeft w:val="0"/>
      <w:marRight w:val="0"/>
      <w:marTop w:val="0"/>
      <w:marBottom w:val="0"/>
      <w:divBdr>
        <w:top w:val="none" w:sz="0" w:space="0" w:color="auto"/>
        <w:left w:val="none" w:sz="0" w:space="0" w:color="auto"/>
        <w:bottom w:val="none" w:sz="0" w:space="0" w:color="auto"/>
        <w:right w:val="none" w:sz="0" w:space="0" w:color="auto"/>
      </w:divBdr>
    </w:div>
    <w:div w:id="21345928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g"/><Relationship Id="rId13" Type="http://schemas.openxmlformats.org/officeDocument/2006/relationships/hyperlink" Target="http://www.iosrjournals.org/iosr-jhss/papers/Vol28-issue10/Ser-1/B2810011017.pdf"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emerald.com/insight/content/doi/10.1108/JEAS-09-2024-0379/full/html" TargetMode="External"/><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wjarr.org/article/ai-enhanced-inventory-and-demand-forecasting-using-ai-to-optimize-inventory-management-and-predict-customer-demand" TargetMode="External"/><Relationship Id="rId5" Type="http://schemas.openxmlformats.org/officeDocument/2006/relationships/webSettings" Target="webSettings.xml"/><Relationship Id="rId15" Type="http://schemas.openxmlformats.org/officeDocument/2006/relationships/footer" Target="footer1.xml"/><Relationship Id="rId10" Type="http://schemas.openxmlformats.org/officeDocument/2006/relationships/hyperlink" Target="http://www.gbej.org/articles/autonomous-purchase-ordering-and-inventory-turnover-evidence-from-ai-enabled-dtc-retailers" TargetMode="External"/><Relationship Id="rId4" Type="http://schemas.openxmlformats.org/officeDocument/2006/relationships/settings" Target="settings.xml"/><Relationship Id="rId9" Type="http://schemas.openxmlformats.org/officeDocument/2006/relationships/chart" Target="charts/chart1.xml"/><Relationship Id="rId14" Type="http://schemas.openxmlformats.org/officeDocument/2006/relationships/hyperlink" Target="https://doi.org/10.1016/j.emj.2017.11.002" TargetMode="External"/></Relationships>
</file>

<file path=word/charts/_rels/chart1.xml.rels><?xml version="1.0" encoding="UTF-8" standalone="yes"?>
<Relationships xmlns="http://schemas.openxmlformats.org/package/2006/relationships"><Relationship Id="rId3" Type="http://schemas.openxmlformats.org/officeDocument/2006/relationships/package" Target="../embeddings/Microsoft_Excel_Worksheet.xlsx"/><Relationship Id="rId2" Type="http://schemas.microsoft.com/office/2011/relationships/chartColorStyle" Target="colors1.xml"/><Relationship Id="rId1" Type="http://schemas.microsoft.com/office/2011/relationships/chartStyle" Target="style1.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GB"/>
              <a:t>General</a:t>
            </a:r>
            <a:r>
              <a:rPr lang="en-GB" baseline="0"/>
              <a:t> Electronic Financial Performance ratios 2020-2024</a:t>
            </a:r>
            <a:endParaRPr lang="en-GB"/>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areaChart>
        <c:grouping val="stacked"/>
        <c:varyColors val="0"/>
        <c:ser>
          <c:idx val="0"/>
          <c:order val="0"/>
          <c:tx>
            <c:strRef>
              <c:f>Sheet1!$A$3</c:f>
              <c:strCache>
                <c:ptCount val="1"/>
                <c:pt idx="0">
                  <c:v>GROSS PROFIT MARGIN</c:v>
                </c:pt>
              </c:strCache>
            </c:strRef>
          </c:tx>
          <c:spPr>
            <a:solidFill>
              <a:schemeClr val="accent1"/>
            </a:solidFill>
            <a:ln>
              <a:noFill/>
            </a:ln>
            <a:effectLst/>
          </c:spPr>
          <c:cat>
            <c:numRef>
              <c:f>Sheet1!$B$2:$F$2</c:f>
              <c:numCache>
                <c:formatCode>General</c:formatCode>
                <c:ptCount val="5"/>
                <c:pt idx="0">
                  <c:v>2024</c:v>
                </c:pt>
                <c:pt idx="1">
                  <c:v>2023</c:v>
                </c:pt>
                <c:pt idx="2">
                  <c:v>2022</c:v>
                </c:pt>
                <c:pt idx="3">
                  <c:v>2021</c:v>
                </c:pt>
                <c:pt idx="4">
                  <c:v>2020</c:v>
                </c:pt>
              </c:numCache>
            </c:numRef>
          </c:cat>
          <c:val>
            <c:numRef>
              <c:f>Sheet1!$B$3:$F$3</c:f>
              <c:numCache>
                <c:formatCode>0.00%</c:formatCode>
                <c:ptCount val="5"/>
                <c:pt idx="0">
                  <c:v>0.28899999999999998</c:v>
                </c:pt>
                <c:pt idx="1">
                  <c:v>0.23200000000000001</c:v>
                </c:pt>
                <c:pt idx="2">
                  <c:v>0.28000000000000003</c:v>
                </c:pt>
                <c:pt idx="3">
                  <c:v>0.28799999999999998</c:v>
                </c:pt>
                <c:pt idx="4">
                  <c:v>0.28699999999999998</c:v>
                </c:pt>
              </c:numCache>
            </c:numRef>
          </c:val>
          <c:extLst>
            <c:ext xmlns:c16="http://schemas.microsoft.com/office/drawing/2014/chart" uri="{C3380CC4-5D6E-409C-BE32-E72D297353CC}">
              <c16:uniqueId val="{00000000-E0EA-462E-90C7-52F28C710F02}"/>
            </c:ext>
          </c:extLst>
        </c:ser>
        <c:ser>
          <c:idx val="1"/>
          <c:order val="1"/>
          <c:tx>
            <c:strRef>
              <c:f>Sheet1!$A$4</c:f>
              <c:strCache>
                <c:ptCount val="1"/>
                <c:pt idx="0">
                  <c:v>NET PROFIT MARGIN</c:v>
                </c:pt>
              </c:strCache>
            </c:strRef>
          </c:tx>
          <c:spPr>
            <a:solidFill>
              <a:schemeClr val="accent2"/>
            </a:solidFill>
            <a:ln>
              <a:noFill/>
            </a:ln>
            <a:effectLst/>
          </c:spPr>
          <c:cat>
            <c:numRef>
              <c:f>Sheet1!$B$2:$F$2</c:f>
              <c:numCache>
                <c:formatCode>General</c:formatCode>
                <c:ptCount val="5"/>
                <c:pt idx="0">
                  <c:v>2024</c:v>
                </c:pt>
                <c:pt idx="1">
                  <c:v>2023</c:v>
                </c:pt>
                <c:pt idx="2">
                  <c:v>2022</c:v>
                </c:pt>
                <c:pt idx="3">
                  <c:v>2021</c:v>
                </c:pt>
                <c:pt idx="4">
                  <c:v>2020</c:v>
                </c:pt>
              </c:numCache>
            </c:numRef>
          </c:cat>
          <c:val>
            <c:numRef>
              <c:f>Sheet1!$B$4:$F$4</c:f>
              <c:numCache>
                <c:formatCode>0.00%</c:formatCode>
                <c:ptCount val="5"/>
                <c:pt idx="0">
                  <c:v>-6.0999999999999999E-2</c:v>
                </c:pt>
                <c:pt idx="1">
                  <c:v>-0.23400000000000001</c:v>
                </c:pt>
                <c:pt idx="2">
                  <c:v>1E-3</c:v>
                </c:pt>
                <c:pt idx="3">
                  <c:v>8.9999999999999993E-3</c:v>
                </c:pt>
                <c:pt idx="4">
                  <c:v>6.3E-2</c:v>
                </c:pt>
              </c:numCache>
            </c:numRef>
          </c:val>
          <c:extLst>
            <c:ext xmlns:c16="http://schemas.microsoft.com/office/drawing/2014/chart" uri="{C3380CC4-5D6E-409C-BE32-E72D297353CC}">
              <c16:uniqueId val="{00000001-E0EA-462E-90C7-52F28C710F02}"/>
            </c:ext>
          </c:extLst>
        </c:ser>
        <c:ser>
          <c:idx val="2"/>
          <c:order val="2"/>
          <c:tx>
            <c:strRef>
              <c:f>Sheet1!$A$5</c:f>
              <c:strCache>
                <c:ptCount val="1"/>
                <c:pt idx="0">
                  <c:v>OPERATING PROFIT MARGIN</c:v>
                </c:pt>
              </c:strCache>
            </c:strRef>
          </c:tx>
          <c:spPr>
            <a:solidFill>
              <a:schemeClr val="accent3"/>
            </a:solidFill>
            <a:ln>
              <a:noFill/>
            </a:ln>
            <a:effectLst/>
          </c:spPr>
          <c:cat>
            <c:numRef>
              <c:f>Sheet1!$B$2:$F$2</c:f>
              <c:numCache>
                <c:formatCode>General</c:formatCode>
                <c:ptCount val="5"/>
                <c:pt idx="0">
                  <c:v>2024</c:v>
                </c:pt>
                <c:pt idx="1">
                  <c:v>2023</c:v>
                </c:pt>
                <c:pt idx="2">
                  <c:v>2022</c:v>
                </c:pt>
                <c:pt idx="3">
                  <c:v>2021</c:v>
                </c:pt>
                <c:pt idx="4">
                  <c:v>2020</c:v>
                </c:pt>
              </c:numCache>
            </c:numRef>
          </c:cat>
          <c:val>
            <c:numRef>
              <c:f>Sheet1!$B$5:$F$5</c:f>
              <c:numCache>
                <c:formatCode>0.00%</c:formatCode>
                <c:ptCount val="5"/>
                <c:pt idx="0">
                  <c:v>-3.9E-2</c:v>
                </c:pt>
                <c:pt idx="1">
                  <c:v>-0.20300000000000001</c:v>
                </c:pt>
                <c:pt idx="2">
                  <c:v>2.7E-2</c:v>
                </c:pt>
                <c:pt idx="3">
                  <c:v>3.9E-2</c:v>
                </c:pt>
                <c:pt idx="4">
                  <c:v>6.0999999999999999E-2</c:v>
                </c:pt>
              </c:numCache>
            </c:numRef>
          </c:val>
          <c:extLst>
            <c:ext xmlns:c16="http://schemas.microsoft.com/office/drawing/2014/chart" uri="{C3380CC4-5D6E-409C-BE32-E72D297353CC}">
              <c16:uniqueId val="{00000002-E0EA-462E-90C7-52F28C710F02}"/>
            </c:ext>
          </c:extLst>
        </c:ser>
        <c:ser>
          <c:idx val="3"/>
          <c:order val="3"/>
          <c:tx>
            <c:strRef>
              <c:f>Sheet1!$A$6</c:f>
              <c:strCache>
                <c:ptCount val="1"/>
                <c:pt idx="0">
                  <c:v>RETURN ON ASSETS</c:v>
                </c:pt>
              </c:strCache>
            </c:strRef>
          </c:tx>
          <c:spPr>
            <a:solidFill>
              <a:schemeClr val="accent4"/>
            </a:solidFill>
            <a:ln>
              <a:noFill/>
            </a:ln>
            <a:effectLst/>
          </c:spPr>
          <c:cat>
            <c:numRef>
              <c:f>Sheet1!$B$2:$F$2</c:f>
              <c:numCache>
                <c:formatCode>General</c:formatCode>
                <c:ptCount val="5"/>
                <c:pt idx="0">
                  <c:v>2024</c:v>
                </c:pt>
                <c:pt idx="1">
                  <c:v>2023</c:v>
                </c:pt>
                <c:pt idx="2">
                  <c:v>2022</c:v>
                </c:pt>
                <c:pt idx="3">
                  <c:v>2021</c:v>
                </c:pt>
                <c:pt idx="4">
                  <c:v>2020</c:v>
                </c:pt>
              </c:numCache>
            </c:numRef>
          </c:cat>
          <c:val>
            <c:numRef>
              <c:f>Sheet1!$B$6:$F$6</c:f>
              <c:numCache>
                <c:formatCode>0.00%</c:formatCode>
                <c:ptCount val="5"/>
                <c:pt idx="0">
                  <c:v>-7.3999999999999996E-2</c:v>
                </c:pt>
                <c:pt idx="1">
                  <c:v>-0.27600000000000002</c:v>
                </c:pt>
                <c:pt idx="2">
                  <c:v>1E-3</c:v>
                </c:pt>
                <c:pt idx="3">
                  <c:v>0.01</c:v>
                </c:pt>
                <c:pt idx="4">
                  <c:v>7.5999999999999998E-2</c:v>
                </c:pt>
              </c:numCache>
            </c:numRef>
          </c:val>
          <c:extLst>
            <c:ext xmlns:c16="http://schemas.microsoft.com/office/drawing/2014/chart" uri="{C3380CC4-5D6E-409C-BE32-E72D297353CC}">
              <c16:uniqueId val="{00000003-E0EA-462E-90C7-52F28C710F02}"/>
            </c:ext>
          </c:extLst>
        </c:ser>
        <c:dLbls>
          <c:showLegendKey val="0"/>
          <c:showVal val="0"/>
          <c:showCatName val="0"/>
          <c:showSerName val="0"/>
          <c:showPercent val="0"/>
          <c:showBubbleSize val="0"/>
        </c:dLbls>
        <c:axId val="653413887"/>
        <c:axId val="650813551"/>
      </c:areaChart>
      <c:catAx>
        <c:axId val="653413887"/>
        <c:scaling>
          <c:orientation val="minMax"/>
        </c:scaling>
        <c:delete val="0"/>
        <c:axPos val="b"/>
        <c:numFmt formatCode="General" sourceLinked="1"/>
        <c:majorTickMark val="out"/>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0813551"/>
        <c:crosses val="autoZero"/>
        <c:auto val="1"/>
        <c:lblAlgn val="ctr"/>
        <c:lblOffset val="100"/>
        <c:noMultiLvlLbl val="0"/>
      </c:catAx>
      <c:valAx>
        <c:axId val="650813551"/>
        <c:scaling>
          <c:orientation val="minMax"/>
        </c:scaling>
        <c:delete val="0"/>
        <c:axPos val="l"/>
        <c:majorGridlines>
          <c:spPr>
            <a:ln w="9525" cap="flat" cmpd="sng" algn="ctr">
              <a:solidFill>
                <a:schemeClr val="tx1">
                  <a:lumMod val="15000"/>
                  <a:lumOff val="85000"/>
                </a:schemeClr>
              </a:solidFill>
              <a:round/>
            </a:ln>
            <a:effectLst/>
          </c:spPr>
        </c:majorGridlines>
        <c:numFmt formatCode="0.00%"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53413887"/>
        <c:crosses val="autoZero"/>
        <c:crossBetween val="midCat"/>
      </c:valAx>
      <c:spPr>
        <a:noFill/>
        <a:ln>
          <a:noFill/>
        </a:ln>
        <a:effectLst/>
      </c:spPr>
    </c:plotArea>
    <c:legend>
      <c:legendPos val="b"/>
      <c:overlay val="0"/>
      <c:spPr>
        <a:noFill/>
        <a:ln>
          <a:noFill/>
        </a:ln>
        <a:effectLst/>
      </c:spPr>
      <c:txPr>
        <a:bodyPr rot="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legend>
    <c:plotVisOnly val="1"/>
    <c:dispBlanksAs val="zero"/>
    <c:showDLblsOverMax val="0"/>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7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ln w="9525" cap="flat" cmpd="sng" algn="ctr">
        <a:solidFill>
          <a:schemeClr val="tx1">
            <a:lumMod val="15000"/>
            <a:lumOff val="85000"/>
          </a:schemeClr>
        </a:solidFill>
        <a:round/>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C760E1B-028F-4477-A4E9-615BEC218C7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5480</TotalTime>
  <Pages>25</Pages>
  <Words>6337</Words>
  <Characters>36123</Characters>
  <Application>Microsoft Office Word</Application>
  <DocSecurity>0</DocSecurity>
  <Lines>301</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42376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Reda Juciute (2213928)</dc:creator>
  <cp:keywords/>
  <dc:description/>
  <cp:lastModifiedBy>Reda</cp:lastModifiedBy>
  <cp:revision>34</cp:revision>
  <dcterms:created xsi:type="dcterms:W3CDTF">2025-10-06T19:08:00Z</dcterms:created>
  <dcterms:modified xsi:type="dcterms:W3CDTF">2025-11-23T21:49:00Z</dcterms:modified>
</cp:coreProperties>
</file>