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sz w:val="72"/>
          <w:szCs w:val="72"/>
        </w:rPr>
        <w:id w:val="10225376"/>
        <w:docPartObj>
          <w:docPartGallery w:val="Cover Pages"/>
          <w:docPartUnique/>
        </w:docPartObj>
      </w:sdtPr>
      <w:sdtEndPr>
        <w:rPr>
          <w:rFonts w:asciiTheme="minorHAnsi" w:eastAsiaTheme="minorEastAsia" w:hAnsiTheme="minorHAnsi" w:cstheme="minorBidi"/>
          <w:sz w:val="22"/>
          <w:szCs w:val="22"/>
        </w:rPr>
      </w:sdtEndPr>
      <w:sdtContent>
        <w:p w14:paraId="5F24D690" w14:textId="77777777" w:rsidR="00CA5720" w:rsidRDefault="00CA5720">
          <w:pPr>
            <w:pStyle w:val="NoSpacing"/>
            <w:rPr>
              <w:rFonts w:asciiTheme="majorHAnsi" w:eastAsiaTheme="majorEastAsia" w:hAnsiTheme="majorHAnsi" w:cstheme="majorBidi"/>
              <w:sz w:val="72"/>
              <w:szCs w:val="72"/>
            </w:rPr>
          </w:pPr>
        </w:p>
        <w:p w14:paraId="234849C0" w14:textId="77777777" w:rsidR="00CA5720" w:rsidRDefault="00CA5720">
          <w:pPr>
            <w:pStyle w:val="NoSpacing"/>
            <w:rPr>
              <w:rFonts w:asciiTheme="majorHAnsi" w:eastAsiaTheme="majorEastAsia" w:hAnsiTheme="majorHAnsi" w:cstheme="majorBidi"/>
              <w:sz w:val="72"/>
              <w:szCs w:val="72"/>
            </w:rPr>
          </w:pPr>
        </w:p>
        <w:p w14:paraId="274212C2" w14:textId="77777777" w:rsidR="008256B1" w:rsidRDefault="00000000">
          <w:pPr>
            <w:pStyle w:val="NoSpacing"/>
            <w:rPr>
              <w:rFonts w:asciiTheme="majorHAnsi" w:eastAsiaTheme="majorEastAsia" w:hAnsiTheme="majorHAnsi" w:cstheme="majorBidi"/>
              <w:sz w:val="72"/>
              <w:szCs w:val="72"/>
            </w:rPr>
          </w:pPr>
          <w:r>
            <w:rPr>
              <w:rFonts w:eastAsiaTheme="majorEastAsia" w:cstheme="majorBidi"/>
              <w:noProof/>
              <w:lang w:eastAsia="zh-TW"/>
            </w:rPr>
            <w:pict w14:anchorId="7F8CF912">
              <v:rect id="_x0000_s1026"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Pr>
              <w:rFonts w:eastAsiaTheme="majorEastAsia" w:cstheme="majorBidi"/>
              <w:noProof/>
              <w:lang w:eastAsia="zh-TW"/>
            </w:rPr>
            <w:pict w14:anchorId="5E3C3467">
              <v:rect id="_x0000_s1029" style="position:absolute;margin-left:0;margin-top:0;width:7.15pt;height:830.75pt;z-index:251663360;mso-height-percent:1050;mso-position-horizontal:center;mso-position-horizontal-relative:left-margin-area;mso-position-vertical:center;mso-position-vertical-relative:page;mso-height-percent:1050" o:allowincell="f" fillcolor="white [3212]" strokecolor="#31849b [2408]">
                <w10:wrap anchorx="margin" anchory="page"/>
              </v:rect>
            </w:pict>
          </w:r>
          <w:r>
            <w:rPr>
              <w:rFonts w:eastAsiaTheme="majorEastAsia" w:cstheme="majorBidi"/>
              <w:noProof/>
              <w:lang w:eastAsia="zh-TW"/>
            </w:rPr>
            <w:pict w14:anchorId="46B33FD7">
              <v:rect id="_x0000_s1028" style="position:absolute;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Pr>
              <w:rFonts w:eastAsiaTheme="majorEastAsia" w:cstheme="majorBidi"/>
              <w:noProof/>
              <w:lang w:eastAsia="zh-TW"/>
            </w:rPr>
            <w:pict w14:anchorId="65A4EE93">
              <v:rect id="_x0000_s1027" style="position:absolute;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sdt>
          <w:sdtPr>
            <w:rPr>
              <w:rFonts w:ascii="Arial" w:eastAsiaTheme="minorHAnsi" w:hAnsi="Arial" w:cs="Arial"/>
              <w:sz w:val="48"/>
              <w:szCs w:val="48"/>
            </w:rPr>
            <w:alias w:val="Title"/>
            <w:id w:val="14700071"/>
            <w:placeholder>
              <w:docPart w:val="DB3254726740433CB4EC472879136F6D"/>
            </w:placeholder>
            <w:dataBinding w:prefixMappings="xmlns:ns0='http://schemas.openxmlformats.org/package/2006/metadata/core-properties' xmlns:ns1='http://purl.org/dc/elements/1.1/'" w:xpath="/ns0:coreProperties[1]/ns1:title[1]" w:storeItemID="{6C3C8BC8-F283-45AE-878A-BAB7291924A1}"/>
            <w:text/>
          </w:sdtPr>
          <w:sdtContent>
            <w:p w14:paraId="2CD6654F" w14:textId="77777777" w:rsidR="008256B1" w:rsidRDefault="00CA5720" w:rsidP="00CA5720">
              <w:pPr>
                <w:pStyle w:val="NoSpacing"/>
                <w:rPr>
                  <w:rFonts w:asciiTheme="majorHAnsi" w:eastAsiaTheme="majorEastAsia" w:hAnsiTheme="majorHAnsi" w:cstheme="majorBidi"/>
                  <w:sz w:val="72"/>
                  <w:szCs w:val="72"/>
                </w:rPr>
              </w:pPr>
              <w:r w:rsidRPr="00CA5720">
                <w:rPr>
                  <w:rFonts w:ascii="Arial" w:eastAsiaTheme="minorHAnsi" w:hAnsi="Arial" w:cs="Arial"/>
                  <w:sz w:val="48"/>
                  <w:szCs w:val="48"/>
                </w:rPr>
                <w:t>Discuss how the evolution of HRM facilitates the strategic development</w:t>
              </w:r>
              <w:r>
                <w:rPr>
                  <w:rFonts w:ascii="Arial" w:eastAsiaTheme="minorHAnsi" w:hAnsi="Arial" w:cs="Arial"/>
                  <w:sz w:val="48"/>
                  <w:szCs w:val="48"/>
                </w:rPr>
                <w:t xml:space="preserve"> </w:t>
              </w:r>
              <w:r w:rsidRPr="00CA5720">
                <w:rPr>
                  <w:rFonts w:ascii="Arial" w:eastAsiaTheme="minorHAnsi" w:hAnsi="Arial" w:cs="Arial"/>
                  <w:sz w:val="48"/>
                  <w:szCs w:val="48"/>
                </w:rPr>
                <w:t>of an international hotel brand through workforce planning, recruitment and selection</w:t>
              </w:r>
            </w:p>
          </w:sdtContent>
        </w:sdt>
        <w:sdt>
          <w:sdtPr>
            <w:rPr>
              <w:rFonts w:asciiTheme="majorHAnsi" w:eastAsiaTheme="majorEastAsia" w:hAnsiTheme="majorHAnsi" w:cstheme="majorBidi"/>
              <w:sz w:val="36"/>
              <w:szCs w:val="36"/>
            </w:rPr>
            <w:alias w:val="Subtitle"/>
            <w:id w:val="14700077"/>
            <w:placeholder>
              <w:docPart w:val="1DE82113DA2F405FBB94267B3AB491DA"/>
            </w:placeholder>
            <w:dataBinding w:prefixMappings="xmlns:ns0='http://schemas.openxmlformats.org/package/2006/metadata/core-properties' xmlns:ns1='http://purl.org/dc/elements/1.1/'" w:xpath="/ns0:coreProperties[1]/ns1:subject[1]" w:storeItemID="{6C3C8BC8-F283-45AE-878A-BAB7291924A1}"/>
            <w:text/>
          </w:sdtPr>
          <w:sdtContent>
            <w:p w14:paraId="37F95075" w14:textId="77777777" w:rsidR="008256B1" w:rsidRDefault="00CA5720">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 xml:space="preserve">  </w:t>
              </w:r>
            </w:p>
          </w:sdtContent>
        </w:sdt>
        <w:p w14:paraId="72905A4A" w14:textId="77777777" w:rsidR="008256B1" w:rsidRDefault="008256B1">
          <w:pPr>
            <w:pStyle w:val="NoSpacing"/>
            <w:rPr>
              <w:rFonts w:asciiTheme="majorHAnsi" w:eastAsiaTheme="majorEastAsia" w:hAnsiTheme="majorHAnsi" w:cstheme="majorBidi"/>
              <w:sz w:val="36"/>
              <w:szCs w:val="36"/>
            </w:rPr>
          </w:pPr>
        </w:p>
        <w:p w14:paraId="26E4B528" w14:textId="77777777" w:rsidR="008256B1" w:rsidRDefault="008256B1">
          <w:pPr>
            <w:pStyle w:val="NoSpacing"/>
            <w:rPr>
              <w:rFonts w:asciiTheme="majorHAnsi" w:eastAsiaTheme="majorEastAsia" w:hAnsiTheme="majorHAnsi" w:cstheme="majorBidi"/>
              <w:sz w:val="36"/>
              <w:szCs w:val="36"/>
            </w:rPr>
          </w:pPr>
        </w:p>
        <w:sdt>
          <w:sdtPr>
            <w:alias w:val="Date"/>
            <w:id w:val="14700083"/>
            <w:placeholder>
              <w:docPart w:val="202899871933491B85B2860A78480107"/>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2F068524" w14:textId="77777777" w:rsidR="008256B1" w:rsidRDefault="008256B1">
              <w:pPr>
                <w:pStyle w:val="NoSpacing"/>
              </w:pPr>
              <w:r>
                <w:t xml:space="preserve">   </w:t>
              </w:r>
            </w:p>
          </w:sdtContent>
        </w:sdt>
        <w:sdt>
          <w:sdtPr>
            <w:alias w:val="Company"/>
            <w:id w:val="14700089"/>
            <w:placeholder>
              <w:docPart w:val="E5D760799CB046DC98908AB002740513"/>
            </w:placeholder>
            <w:dataBinding w:prefixMappings="xmlns:ns0='http://schemas.openxmlformats.org/officeDocument/2006/extended-properties'" w:xpath="/ns0:Properties[1]/ns0:Company[1]" w:storeItemID="{6668398D-A668-4E3E-A5EB-62B293D839F1}"/>
            <w:text/>
          </w:sdtPr>
          <w:sdtContent>
            <w:p w14:paraId="282E861A" w14:textId="77777777" w:rsidR="008256B1" w:rsidRDefault="008256B1">
              <w:pPr>
                <w:pStyle w:val="NoSpacing"/>
              </w:pPr>
              <w:r>
                <w:t xml:space="preserve">  </w:t>
              </w:r>
            </w:p>
          </w:sdtContent>
        </w:sdt>
        <w:p w14:paraId="1BDB6CFD" w14:textId="77777777" w:rsidR="0018776F" w:rsidRDefault="0018776F" w:rsidP="00CA5720">
          <w:pPr>
            <w:pStyle w:val="NoSpacing"/>
            <w:spacing w:line="360" w:lineRule="auto"/>
            <w:rPr>
              <w:rFonts w:ascii="Arial" w:hAnsi="Arial" w:cs="Arial"/>
              <w:b/>
              <w:sz w:val="24"/>
              <w:szCs w:val="24"/>
            </w:rPr>
          </w:pPr>
        </w:p>
        <w:p w14:paraId="4BF0DBB5" w14:textId="77777777" w:rsidR="0018776F" w:rsidRDefault="0018776F" w:rsidP="00CA5720">
          <w:pPr>
            <w:pStyle w:val="NoSpacing"/>
            <w:spacing w:line="360" w:lineRule="auto"/>
            <w:rPr>
              <w:rFonts w:ascii="Arial" w:hAnsi="Arial" w:cs="Arial"/>
              <w:b/>
              <w:sz w:val="24"/>
              <w:szCs w:val="24"/>
            </w:rPr>
          </w:pPr>
        </w:p>
        <w:p w14:paraId="722998A0" w14:textId="77777777" w:rsidR="0018776F" w:rsidRDefault="0018776F" w:rsidP="00CA5720">
          <w:pPr>
            <w:pStyle w:val="NoSpacing"/>
            <w:spacing w:line="360" w:lineRule="auto"/>
            <w:rPr>
              <w:rFonts w:ascii="Arial" w:hAnsi="Arial" w:cs="Arial"/>
              <w:b/>
              <w:sz w:val="24"/>
              <w:szCs w:val="24"/>
            </w:rPr>
          </w:pPr>
        </w:p>
        <w:p w14:paraId="40D12537" w14:textId="77777777" w:rsidR="0018776F" w:rsidRDefault="0018776F" w:rsidP="00CA5720">
          <w:pPr>
            <w:pStyle w:val="NoSpacing"/>
            <w:spacing w:line="360" w:lineRule="auto"/>
            <w:rPr>
              <w:rFonts w:ascii="Arial" w:hAnsi="Arial" w:cs="Arial"/>
              <w:b/>
              <w:sz w:val="24"/>
              <w:szCs w:val="24"/>
            </w:rPr>
          </w:pPr>
        </w:p>
        <w:p w14:paraId="328D88D2" w14:textId="77777777" w:rsidR="0018776F" w:rsidRDefault="0018776F" w:rsidP="00CA5720">
          <w:pPr>
            <w:pStyle w:val="NoSpacing"/>
            <w:spacing w:line="360" w:lineRule="auto"/>
            <w:rPr>
              <w:rFonts w:ascii="Arial" w:hAnsi="Arial" w:cs="Arial"/>
              <w:b/>
              <w:sz w:val="24"/>
              <w:szCs w:val="24"/>
            </w:rPr>
          </w:pPr>
        </w:p>
        <w:p w14:paraId="7AC6B1F5" w14:textId="77777777" w:rsidR="008256B1" w:rsidRPr="00F442BF" w:rsidRDefault="008256B1" w:rsidP="00CA5720">
          <w:pPr>
            <w:pStyle w:val="NoSpacing"/>
            <w:spacing w:line="360" w:lineRule="auto"/>
            <w:rPr>
              <w:rFonts w:ascii="Arial" w:hAnsi="Arial" w:cs="Arial"/>
              <w:sz w:val="24"/>
              <w:szCs w:val="24"/>
            </w:rPr>
          </w:pPr>
          <w:r w:rsidRPr="00F442BF">
            <w:rPr>
              <w:rFonts w:ascii="Arial" w:hAnsi="Arial" w:cs="Arial"/>
              <w:sz w:val="24"/>
              <w:szCs w:val="24"/>
            </w:rPr>
            <w:t>Personnel Resourcing and Development</w:t>
          </w:r>
        </w:p>
        <w:p w14:paraId="33A603C2" w14:textId="77777777" w:rsidR="008256B1" w:rsidRPr="00F442BF" w:rsidRDefault="008256B1" w:rsidP="00CA5720">
          <w:pPr>
            <w:pStyle w:val="NoSpacing"/>
            <w:spacing w:line="360" w:lineRule="auto"/>
            <w:rPr>
              <w:rFonts w:ascii="Arial" w:hAnsi="Arial" w:cs="Arial"/>
              <w:sz w:val="24"/>
              <w:szCs w:val="24"/>
            </w:rPr>
          </w:pPr>
          <w:r w:rsidRPr="00F442BF">
            <w:rPr>
              <w:rFonts w:ascii="Arial" w:hAnsi="Arial" w:cs="Arial"/>
              <w:sz w:val="24"/>
              <w:szCs w:val="24"/>
            </w:rPr>
            <w:t>BMIH5005</w:t>
          </w:r>
        </w:p>
        <w:p w14:paraId="02EAF7C8" w14:textId="77777777" w:rsidR="008256B1" w:rsidRPr="00F442BF" w:rsidRDefault="008256B1" w:rsidP="00CA5720">
          <w:pPr>
            <w:pStyle w:val="NoSpacing"/>
            <w:spacing w:line="360" w:lineRule="auto"/>
            <w:rPr>
              <w:rFonts w:ascii="Arial" w:hAnsi="Arial" w:cs="Arial"/>
              <w:sz w:val="24"/>
              <w:szCs w:val="24"/>
            </w:rPr>
          </w:pPr>
          <w:r w:rsidRPr="00F442BF">
            <w:rPr>
              <w:rFonts w:ascii="Arial" w:hAnsi="Arial" w:cs="Arial"/>
              <w:sz w:val="24"/>
              <w:szCs w:val="24"/>
            </w:rPr>
            <w:t>Lecturer: Scott James</w:t>
          </w:r>
        </w:p>
        <w:p w14:paraId="0B306004" w14:textId="77777777" w:rsidR="008256B1" w:rsidRPr="00F442BF" w:rsidRDefault="008256B1" w:rsidP="00CA5720">
          <w:pPr>
            <w:pStyle w:val="NoSpacing"/>
            <w:spacing w:line="360" w:lineRule="auto"/>
            <w:rPr>
              <w:rFonts w:ascii="Arial" w:hAnsi="Arial" w:cs="Arial"/>
              <w:sz w:val="24"/>
              <w:szCs w:val="24"/>
            </w:rPr>
          </w:pPr>
          <w:r w:rsidRPr="00F442BF">
            <w:rPr>
              <w:rFonts w:ascii="Arial" w:hAnsi="Arial" w:cs="Arial"/>
              <w:sz w:val="24"/>
              <w:szCs w:val="24"/>
            </w:rPr>
            <w:t xml:space="preserve">Student name: </w:t>
          </w:r>
          <w:proofErr w:type="spellStart"/>
          <w:r w:rsidRPr="00F442BF">
            <w:rPr>
              <w:rFonts w:ascii="Arial" w:hAnsi="Arial" w:cs="Arial"/>
              <w:sz w:val="24"/>
              <w:szCs w:val="24"/>
            </w:rPr>
            <w:t>Ionut</w:t>
          </w:r>
          <w:proofErr w:type="spellEnd"/>
          <w:r w:rsidRPr="00F442BF">
            <w:rPr>
              <w:rFonts w:ascii="Arial" w:hAnsi="Arial" w:cs="Arial"/>
              <w:sz w:val="24"/>
              <w:szCs w:val="24"/>
            </w:rPr>
            <w:t xml:space="preserve"> Gabriel Gheorghe</w:t>
          </w:r>
        </w:p>
        <w:p w14:paraId="59E0414F" w14:textId="77777777" w:rsidR="008256B1" w:rsidRDefault="008256B1" w:rsidP="00CA5720">
          <w:pPr>
            <w:pStyle w:val="NoSpacing"/>
            <w:spacing w:line="360" w:lineRule="auto"/>
            <w:rPr>
              <w:rFonts w:ascii="Arial" w:hAnsi="Arial" w:cs="Arial"/>
              <w:sz w:val="24"/>
              <w:szCs w:val="24"/>
            </w:rPr>
          </w:pPr>
          <w:r w:rsidRPr="00F442BF">
            <w:rPr>
              <w:rFonts w:ascii="Arial" w:hAnsi="Arial" w:cs="Arial"/>
              <w:sz w:val="24"/>
              <w:szCs w:val="24"/>
            </w:rPr>
            <w:t>Student ID: 2222508</w:t>
          </w:r>
        </w:p>
        <w:p w14:paraId="0B366BF4" w14:textId="3012D041" w:rsidR="004F775F" w:rsidRDefault="004F775F" w:rsidP="00CA5720">
          <w:pPr>
            <w:pStyle w:val="NoSpacing"/>
            <w:spacing w:line="360" w:lineRule="auto"/>
            <w:rPr>
              <w:rFonts w:ascii="Arial" w:hAnsi="Arial" w:cs="Arial"/>
              <w:sz w:val="24"/>
              <w:szCs w:val="24"/>
            </w:rPr>
          </w:pPr>
          <w:r>
            <w:rPr>
              <w:rFonts w:ascii="Arial" w:hAnsi="Arial" w:cs="Arial"/>
              <w:sz w:val="24"/>
              <w:szCs w:val="24"/>
            </w:rPr>
            <w:t>Word count</w:t>
          </w:r>
          <w:r w:rsidR="007B5BC9">
            <w:rPr>
              <w:rFonts w:ascii="Arial" w:hAnsi="Arial" w:cs="Arial"/>
              <w:sz w:val="24"/>
              <w:szCs w:val="24"/>
            </w:rPr>
            <w:t>:</w:t>
          </w:r>
          <w:r>
            <w:rPr>
              <w:rFonts w:ascii="Arial" w:hAnsi="Arial" w:cs="Arial"/>
              <w:sz w:val="24"/>
              <w:szCs w:val="24"/>
            </w:rPr>
            <w:t xml:space="preserve"> </w:t>
          </w:r>
          <w:r w:rsidR="007B5BC9">
            <w:rPr>
              <w:rFonts w:ascii="Arial" w:hAnsi="Arial" w:cs="Arial"/>
              <w:sz w:val="24"/>
              <w:szCs w:val="24"/>
            </w:rPr>
            <w:t>2083</w:t>
          </w:r>
        </w:p>
        <w:p w14:paraId="41D82849" w14:textId="77777777" w:rsidR="004F775F" w:rsidRPr="00F442BF" w:rsidRDefault="004F775F" w:rsidP="00CA5720">
          <w:pPr>
            <w:pStyle w:val="NoSpacing"/>
            <w:spacing w:line="360" w:lineRule="auto"/>
            <w:rPr>
              <w:rFonts w:ascii="Arial" w:hAnsi="Arial" w:cs="Arial"/>
              <w:sz w:val="24"/>
              <w:szCs w:val="24"/>
            </w:rPr>
          </w:pPr>
        </w:p>
        <w:p w14:paraId="1C8E5EA6" w14:textId="77777777" w:rsidR="00ED4FFE" w:rsidRPr="004F775F" w:rsidRDefault="008256B1" w:rsidP="004F775F">
          <w:pPr>
            <w:pStyle w:val="NoSpacing"/>
            <w:rPr>
              <w:rFonts w:ascii="Arial" w:hAnsi="Arial" w:cs="Arial"/>
              <w:b/>
              <w:sz w:val="28"/>
              <w:szCs w:val="28"/>
            </w:rPr>
          </w:pPr>
          <w:r>
            <w:br w:type="page"/>
          </w:r>
        </w:p>
      </w:sdtContent>
    </w:sdt>
    <w:p w14:paraId="3820F92E" w14:textId="0529A1D0"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lastRenderedPageBreak/>
        <w:t>In the dynamic realm of the hospitality industry, Human Resources Management (HRM) has evolved from a primarily administrative function to a core strategic element that significantly influences organizational success (Lancaster, 2019). As international hotel brands strive to gain competitive advantage in a globalized market, the strategic integration of HRM in workforce planning, recruitment, and selection becomes pivotal. This essay explores the transformation of HRM and its strategic impact on an international hotel brand, focusing on its role in aligning workforce capabilities with long-term business objectives. Lancaster (2019) emphasizes the criticality of driving performance through innovative learning strategies within HRM, highlighting the shift towards more development-focused practices that respond to the changing needs of the workforce and business alike. Furthermore, as Hollenbeck, Gerhart, and Wright (2018) articulate, strategic HRM practices not only enhance organizational capabilities but also bolster competitive positioning through effective talent management.</w:t>
      </w:r>
    </w:p>
    <w:p w14:paraId="0C328853" w14:textId="1712D4F7"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t>Human Resources Management (HRM) in the hospitality industry has undergone significant transformation over the past decades. Originally viewed as a primarily administrative function concerned with hiring, payroll, and compliance, HRM has evolved into a strategic pillar crucial to achieving business objectives and driving organizational change (Lancaster, 2019). This evolution is characterized by a shift from operational to strategic roles, where HR leaders are now pivotal in shaping business strategies and managing the workforce in a way that aligns with the organization's long-term goals.</w:t>
      </w:r>
    </w:p>
    <w:p w14:paraId="09A4A0D6" w14:textId="77777777"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t>The historical progression of HRM has seen it move from a back-office function to a front-line strategic role. Initially, the focus was on administrative tasks that did not contribute directly to strategic decision-making. Over time, with the advent of more complex business environments and increased competition, the role of HRM expanded to include strategic planning and employee development as core functions (Hollenbeck, Gerhart, &amp; Wright, 2018). This shift is reflective of broader organizational trends where human capital is increasingly seen as a primary source of competitive advantage.</w:t>
      </w:r>
    </w:p>
    <w:p w14:paraId="1D121A58" w14:textId="19B1010F"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t xml:space="preserve">In recent years, the introduction of digital technologies and the increasing emphasis on a global workforce have further transformed HR practices. The digitalization of HR </w:t>
      </w:r>
      <w:r w:rsidRPr="00ED4FFE">
        <w:rPr>
          <w:rFonts w:ascii="Arial" w:hAnsi="Arial" w:cs="Arial"/>
          <w:sz w:val="24"/>
          <w:szCs w:val="24"/>
        </w:rPr>
        <w:lastRenderedPageBreak/>
        <w:t>processes through Human Resource Information Systems (HRIS) has allowed for more efficient data management and decision-making processes, facilitating more effective workforce planning and performance management (</w:t>
      </w:r>
      <w:proofErr w:type="spellStart"/>
      <w:r w:rsidRPr="00ED4FFE">
        <w:rPr>
          <w:rFonts w:ascii="Arial" w:hAnsi="Arial" w:cs="Arial"/>
          <w:sz w:val="24"/>
          <w:szCs w:val="24"/>
        </w:rPr>
        <w:t>Aguinis</w:t>
      </w:r>
      <w:proofErr w:type="spellEnd"/>
      <w:r w:rsidRPr="00ED4FFE">
        <w:rPr>
          <w:rFonts w:ascii="Arial" w:hAnsi="Arial" w:cs="Arial"/>
          <w:sz w:val="24"/>
          <w:szCs w:val="24"/>
        </w:rPr>
        <w:t>, 2009). Additionally, the growing importance of corporate social responsibility (CSR) and employee well-being are now considered crucial elements within HR strategies, which align with broader business sustainability goals (Kenner, 2018).</w:t>
      </w:r>
    </w:p>
    <w:p w14:paraId="64462990" w14:textId="36825253"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t>The strategic role of HRM is also evident in its response to the challenges posed by globalization. International hotel brands, for instance, must navigate diverse cultural, legal, and economic landscapes. Effective HRM in this context involves not only standardizing certain practices but also localizing others to meet the specific needs of each market (Goh &amp; Lee, 2018). This approach ensures that the workforce is both globally cohesive and locally relevant, which is essential for international brands aiming to expand their global footprint.</w:t>
      </w:r>
    </w:p>
    <w:p w14:paraId="34ECE6AE" w14:textId="30172A3E"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t xml:space="preserve">One of the most significant aspects of modern HRM is the focus on learning and development as strategic tools. According to Lancaster (2019), driving performance through learning is crucial for maintaining a competitive edge in today’s rapidly changing business environments. Continuous learning and development opportunities are not only vital for employee </w:t>
      </w:r>
      <w:r w:rsidR="007B5BC9" w:rsidRPr="00ED4FFE">
        <w:rPr>
          <w:rFonts w:ascii="Arial" w:hAnsi="Arial" w:cs="Arial"/>
          <w:sz w:val="24"/>
          <w:szCs w:val="24"/>
        </w:rPr>
        <w:t>retention, but</w:t>
      </w:r>
      <w:r w:rsidRPr="00ED4FFE">
        <w:rPr>
          <w:rFonts w:ascii="Arial" w:hAnsi="Arial" w:cs="Arial"/>
          <w:sz w:val="24"/>
          <w:szCs w:val="24"/>
        </w:rPr>
        <w:t xml:space="preserve"> also for fostering innovation and agility within the organization (Russell &amp; Russell, 2010). For international hotel brands, where service excellence is a key differentiator, investing in employee development can lead to enhanced guest </w:t>
      </w:r>
      <w:r w:rsidR="007B5BC9" w:rsidRPr="00ED4FFE">
        <w:rPr>
          <w:rFonts w:ascii="Arial" w:hAnsi="Arial" w:cs="Arial"/>
          <w:sz w:val="24"/>
          <w:szCs w:val="24"/>
        </w:rPr>
        <w:t>experiences</w:t>
      </w:r>
      <w:r w:rsidRPr="00ED4FFE">
        <w:rPr>
          <w:rFonts w:ascii="Arial" w:hAnsi="Arial" w:cs="Arial"/>
          <w:sz w:val="24"/>
          <w:szCs w:val="24"/>
        </w:rPr>
        <w:t xml:space="preserve"> and, consequently, stronger brand loyalty.</w:t>
      </w:r>
    </w:p>
    <w:p w14:paraId="4D017577" w14:textId="6A995305"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t>Examining Hilton Worldwide provides an illustrative example of how an international hotel brand leverages evolved HRM practices to enhance its strategic development. Hilton has been recognized for its outstanding HR strategies that focus on inclusivity, learning, and career development, which have been integral to its global success (Hollenbeck, Gerhart, &amp; Wright, 2018). The company’s emphasis on "brain-friendly" learning environments and leadership development programs aligns with modern HRM practices that prioritize employee engagement and organizational adaptability (Kenner, 2018).</w:t>
      </w:r>
    </w:p>
    <w:p w14:paraId="560B875A" w14:textId="03BC51C3"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lastRenderedPageBreak/>
        <w:t xml:space="preserve">Strategic HR functions are fundamentally designed to align closely with the overarching business strategies of an organization. This alignment ensures that the human capital initiatives support and drive the intended organizational outcomes. For example, by understanding and planning for the future </w:t>
      </w:r>
      <w:r w:rsidR="00DD02CA" w:rsidRPr="00ED4FFE">
        <w:rPr>
          <w:rFonts w:ascii="Arial" w:hAnsi="Arial" w:cs="Arial"/>
          <w:sz w:val="24"/>
          <w:szCs w:val="24"/>
        </w:rPr>
        <w:t>labour</w:t>
      </w:r>
      <w:r w:rsidRPr="00ED4FFE">
        <w:rPr>
          <w:rFonts w:ascii="Arial" w:hAnsi="Arial" w:cs="Arial"/>
          <w:sz w:val="24"/>
          <w:szCs w:val="24"/>
        </w:rPr>
        <w:t xml:space="preserve"> needs in different markets, international hotel brands like Marriott have successfully managed their global expansion (Goh &amp; Lee, 2018). Strategic HR planning helps these brands forecast and meet their staffing requirements efficiently, which is crucial in maintaining service quality across diverse geographic locations.</w:t>
      </w:r>
    </w:p>
    <w:p w14:paraId="13545D31" w14:textId="77777777"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t xml:space="preserve">HRM contributes to a hotel brand’s competitive advantage by fostering a high-performance culture and developing a resilient and adaptable workforce. </w:t>
      </w:r>
      <w:proofErr w:type="spellStart"/>
      <w:r w:rsidRPr="00ED4FFE">
        <w:rPr>
          <w:rFonts w:ascii="Arial" w:hAnsi="Arial" w:cs="Arial"/>
          <w:sz w:val="24"/>
          <w:szCs w:val="24"/>
        </w:rPr>
        <w:t>Pulakos</w:t>
      </w:r>
      <w:proofErr w:type="spellEnd"/>
      <w:r w:rsidRPr="00ED4FFE">
        <w:rPr>
          <w:rFonts w:ascii="Arial" w:hAnsi="Arial" w:cs="Arial"/>
          <w:sz w:val="24"/>
          <w:szCs w:val="24"/>
        </w:rPr>
        <w:t xml:space="preserve"> et al. (2012) emphasize the importance of building a performance-oriented culture where continuous improvement and excellence are prioritized. The ability of HRM to develop and implement effective performance management systems is crucial for maintaining workforce productivity and motivation, which in turn supports the hotel's competitive positioning in the market (</w:t>
      </w:r>
      <w:proofErr w:type="spellStart"/>
      <w:r w:rsidRPr="00ED4FFE">
        <w:rPr>
          <w:rFonts w:ascii="Arial" w:hAnsi="Arial" w:cs="Arial"/>
          <w:sz w:val="24"/>
          <w:szCs w:val="24"/>
        </w:rPr>
        <w:t>Aguinis</w:t>
      </w:r>
      <w:proofErr w:type="spellEnd"/>
      <w:r w:rsidRPr="00ED4FFE">
        <w:rPr>
          <w:rFonts w:ascii="Arial" w:hAnsi="Arial" w:cs="Arial"/>
          <w:sz w:val="24"/>
          <w:szCs w:val="24"/>
        </w:rPr>
        <w:t>, 2009).</w:t>
      </w:r>
    </w:p>
    <w:p w14:paraId="2687DDF2" w14:textId="77777777"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t>Forec</w:t>
      </w:r>
      <w:r w:rsidR="00CC30E0">
        <w:rPr>
          <w:rFonts w:ascii="Arial" w:hAnsi="Arial" w:cs="Arial"/>
          <w:sz w:val="24"/>
          <w:szCs w:val="24"/>
        </w:rPr>
        <w:t>asting Labour Demand and Supply</w:t>
      </w:r>
      <w:r w:rsidRPr="00ED4FFE">
        <w:rPr>
          <w:rFonts w:ascii="Arial" w:hAnsi="Arial" w:cs="Arial"/>
          <w:sz w:val="24"/>
          <w:szCs w:val="24"/>
        </w:rPr>
        <w:t>: Accurate forecasting helps anticipate the quantity and quality of employees required to meet future business demands. This is particularly important for international hotel brands that must adapt to seasonal fluctuations and changing market conditions (Russell &amp; Russell, 2010).</w:t>
      </w:r>
    </w:p>
    <w:p w14:paraId="33A6FF84" w14:textId="0DABF127"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t xml:space="preserve">Goal </w:t>
      </w:r>
      <w:r w:rsidR="00CC30E0">
        <w:rPr>
          <w:rFonts w:ascii="Arial" w:hAnsi="Arial" w:cs="Arial"/>
          <w:sz w:val="24"/>
          <w:szCs w:val="24"/>
        </w:rPr>
        <w:t>Setting and Strategic Planning</w:t>
      </w:r>
      <w:r w:rsidRPr="00ED4FFE">
        <w:rPr>
          <w:rFonts w:ascii="Arial" w:hAnsi="Arial" w:cs="Arial"/>
          <w:sz w:val="24"/>
          <w:szCs w:val="24"/>
        </w:rPr>
        <w:t>: Setting clear HR goals that support business objectives is essential. These goals should be specific, measurable, achievable, relevant, and time-bound (SMART). Strategic planning then involves developing actionable steps to meet these goals, such as talent acquisition strategies and employee development programs (Hollenbeck, Gerhart, &amp; Wright, 2018).</w:t>
      </w:r>
    </w:p>
    <w:p w14:paraId="28A54325" w14:textId="77777777"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t>Program Implementation and E</w:t>
      </w:r>
      <w:r w:rsidR="00CC30E0">
        <w:rPr>
          <w:rFonts w:ascii="Arial" w:hAnsi="Arial" w:cs="Arial"/>
          <w:sz w:val="24"/>
          <w:szCs w:val="24"/>
        </w:rPr>
        <w:t>valuation</w:t>
      </w:r>
      <w:r w:rsidRPr="00ED4FFE">
        <w:rPr>
          <w:rFonts w:ascii="Arial" w:hAnsi="Arial" w:cs="Arial"/>
          <w:sz w:val="24"/>
          <w:szCs w:val="24"/>
        </w:rPr>
        <w:t>: Implementing HR strategies effectively requires careful planning and resource allocation. Ongoing evaluation is critical to ascertain the impact of these strategies on organizational performance and to make necessary adjustments. This iterative process ensures that HR initiatives remain aligned with business strategies and continue to contribute to organizational success (</w:t>
      </w:r>
      <w:proofErr w:type="spellStart"/>
      <w:r w:rsidRPr="00ED4FFE">
        <w:rPr>
          <w:rFonts w:ascii="Arial" w:hAnsi="Arial" w:cs="Arial"/>
          <w:sz w:val="24"/>
          <w:szCs w:val="24"/>
        </w:rPr>
        <w:t>Pulakos</w:t>
      </w:r>
      <w:proofErr w:type="spellEnd"/>
      <w:r w:rsidRPr="00ED4FFE">
        <w:rPr>
          <w:rFonts w:ascii="Arial" w:hAnsi="Arial" w:cs="Arial"/>
          <w:sz w:val="24"/>
          <w:szCs w:val="24"/>
        </w:rPr>
        <w:t xml:space="preserve"> et al., 2012).</w:t>
      </w:r>
    </w:p>
    <w:p w14:paraId="670DB443" w14:textId="77777777" w:rsidR="00ED4FFE" w:rsidRPr="00ED4FFE" w:rsidRDefault="00ED4FFE" w:rsidP="00ED4FFE">
      <w:pPr>
        <w:spacing w:line="360" w:lineRule="auto"/>
        <w:jc w:val="both"/>
        <w:rPr>
          <w:rFonts w:ascii="Arial" w:hAnsi="Arial" w:cs="Arial"/>
          <w:sz w:val="24"/>
          <w:szCs w:val="24"/>
        </w:rPr>
      </w:pPr>
    </w:p>
    <w:p w14:paraId="2DE8471B" w14:textId="184F25D5"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t>InterContinental Hotels Group exemplifies how strategic HR functions can facilitate an international hotel brand’s development. IHG’s focus on creating a learning and development culture aligns with Lancaster’s (2019) assertions on the significance of driving performance through learning. The company invests heavily in training programs that not only enhance employee skills but also ensure that their workforce is adaptable to the changing needs of the hospitality industry. This strategic approach not only enhances employee engagement but also improves customer satisfaction and loyalty, driving business growth (Kenner, 2018).</w:t>
      </w:r>
    </w:p>
    <w:p w14:paraId="42FCA34F" w14:textId="77777777"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t>Effective recruitment strategies are fundamental to attracting the right talent. International hotel brands must tailor their recruitment efforts to align with both global standards and local market needs. This dual approach ensures that the workforce is not only skilled but also culturally competent, which is crucial for service-oriented industries like hospitality (Hollenbeck, Gerhart, &amp; Wright, 2018). Digital platforms and social media have become indispensable tools in modern recruitment strategies, allowing brands to reach a broader audience and engage with potential candidates more effectively (Goh &amp; Lee, 2018). Moreover, strategic partnerships with hospitality schools and universities can also provide a steady pipeline of qualified candidates who are equipped with the latest industry knowledge and skills.</w:t>
      </w:r>
    </w:p>
    <w:p w14:paraId="7111F8FE" w14:textId="77777777"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t xml:space="preserve">The selection process in international hotel brands involves multiple stages, designed to assess candidates' skills, cultural fit, and potential for long-term contribution. </w:t>
      </w:r>
      <w:r w:rsidR="009947E5" w:rsidRPr="00ED4FFE">
        <w:rPr>
          <w:rFonts w:ascii="Arial" w:hAnsi="Arial" w:cs="Arial"/>
          <w:sz w:val="24"/>
          <w:szCs w:val="24"/>
        </w:rPr>
        <w:t>Behavioural</w:t>
      </w:r>
      <w:r w:rsidRPr="00ED4FFE">
        <w:rPr>
          <w:rFonts w:ascii="Arial" w:hAnsi="Arial" w:cs="Arial"/>
          <w:sz w:val="24"/>
          <w:szCs w:val="24"/>
        </w:rPr>
        <w:t xml:space="preserve"> interviews, assessment </w:t>
      </w:r>
      <w:r w:rsidR="009947E5" w:rsidRPr="00ED4FFE">
        <w:rPr>
          <w:rFonts w:ascii="Arial" w:hAnsi="Arial" w:cs="Arial"/>
          <w:sz w:val="24"/>
          <w:szCs w:val="24"/>
        </w:rPr>
        <w:t>centres</w:t>
      </w:r>
      <w:r w:rsidRPr="00ED4FFE">
        <w:rPr>
          <w:rFonts w:ascii="Arial" w:hAnsi="Arial" w:cs="Arial"/>
          <w:sz w:val="24"/>
          <w:szCs w:val="24"/>
        </w:rPr>
        <w:t>, and situational judgment tests are commonly employed methods that help gauge a candidate's practical skills and compatibility with the company's values and service standards (</w:t>
      </w:r>
      <w:proofErr w:type="spellStart"/>
      <w:r w:rsidRPr="00ED4FFE">
        <w:rPr>
          <w:rFonts w:ascii="Arial" w:hAnsi="Arial" w:cs="Arial"/>
          <w:sz w:val="24"/>
          <w:szCs w:val="24"/>
        </w:rPr>
        <w:t>Pulakos</w:t>
      </w:r>
      <w:proofErr w:type="spellEnd"/>
      <w:r w:rsidRPr="00ED4FFE">
        <w:rPr>
          <w:rFonts w:ascii="Arial" w:hAnsi="Arial" w:cs="Arial"/>
          <w:sz w:val="24"/>
          <w:szCs w:val="24"/>
        </w:rPr>
        <w:t xml:space="preserve"> et al., 2012). Additionally, many hotel brands are increasingly using personality and capability assessments to ensure that the candidates not only fit the role technically but are also likely to thrive in the company's unique cultural environment.</w:t>
      </w:r>
    </w:p>
    <w:p w14:paraId="598A2CAC" w14:textId="77777777" w:rsidR="00ED4FFE" w:rsidRPr="00ED4FFE" w:rsidRDefault="00ED4FFE" w:rsidP="00ED4FFE">
      <w:pPr>
        <w:spacing w:line="360" w:lineRule="auto"/>
        <w:jc w:val="both"/>
        <w:rPr>
          <w:rFonts w:ascii="Arial" w:hAnsi="Arial" w:cs="Arial"/>
          <w:sz w:val="24"/>
          <w:szCs w:val="24"/>
        </w:rPr>
      </w:pPr>
    </w:p>
    <w:p w14:paraId="57A07069" w14:textId="2F6B2CDA"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lastRenderedPageBreak/>
        <w:t>The integration of technology in recruitment and selection processes offers numerous advantages, such as enhancing the efficiency of these processes and improving the candidate experience. Applicant Tracking Systems (ATS) and HR Information Systems (HRIS) are now commonly used to manage applications and streamline the selection phases, ensuring a more organized and unbiased approach (</w:t>
      </w:r>
      <w:proofErr w:type="spellStart"/>
      <w:r w:rsidRPr="00ED4FFE">
        <w:rPr>
          <w:rFonts w:ascii="Arial" w:hAnsi="Arial" w:cs="Arial"/>
          <w:sz w:val="24"/>
          <w:szCs w:val="24"/>
        </w:rPr>
        <w:t>Aguinis</w:t>
      </w:r>
      <w:proofErr w:type="spellEnd"/>
      <w:r w:rsidRPr="00ED4FFE">
        <w:rPr>
          <w:rFonts w:ascii="Arial" w:hAnsi="Arial" w:cs="Arial"/>
          <w:sz w:val="24"/>
          <w:szCs w:val="24"/>
        </w:rPr>
        <w:t>, 2009). Furthermor</w:t>
      </w:r>
      <w:r w:rsidR="00D53BD8">
        <w:rPr>
          <w:rFonts w:ascii="Arial" w:hAnsi="Arial" w:cs="Arial"/>
          <w:sz w:val="24"/>
          <w:szCs w:val="24"/>
        </w:rPr>
        <w:t xml:space="preserve">e, virtual reality (VR) and game </w:t>
      </w:r>
      <w:r w:rsidR="00D53BD8" w:rsidRPr="00ED4FFE">
        <w:rPr>
          <w:rFonts w:ascii="Arial" w:hAnsi="Arial" w:cs="Arial"/>
          <w:sz w:val="24"/>
          <w:szCs w:val="24"/>
        </w:rPr>
        <w:t>fiction</w:t>
      </w:r>
      <w:r w:rsidRPr="00ED4FFE">
        <w:rPr>
          <w:rFonts w:ascii="Arial" w:hAnsi="Arial" w:cs="Arial"/>
          <w:sz w:val="24"/>
          <w:szCs w:val="24"/>
        </w:rPr>
        <w:t xml:space="preserve"> are innovative methods being tested and adopted for engaging and assessing candidates in more interactive and immersive ways (Kenner, 2018).</w:t>
      </w:r>
    </w:p>
    <w:p w14:paraId="41054B3B" w14:textId="77777777"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t>Marriott International exemplifies effective recruitment and selection processes within an international hotel brand. The company's strategic approach to HR includes a strong emphasis on diversity and inclusion, which is reflected in their recruitment strategies and the tools they use to attract a diverse pool of candidates (Ganguli et al., 2022). Marriott’s commitment to providing exceptional guest experiences starts with meticulous selection processes that ensure hires are not only highly skilled but also dedicated to upholding the brand's reputation for superior service (Russell &amp; Russell, 2010).</w:t>
      </w:r>
    </w:p>
    <w:p w14:paraId="11E88015" w14:textId="3DA4842F"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t>The implementation of HR programs in an international hotel brand involves detailed planning and coordination across various levels of the organization. It requires effective communication channels and leadership involvement to ensure that the programs are understood and embraced throughout the organization. For example, Hilton Worldwide implements its HR initiatives by involving leaders at all levels, ensuring that there is clarity and commitment towards the objectives. This approach helps in seamless integration of new practices and policies, from recruitment to employee development programs (Hollenbeck, Gerhart, &amp; Wright, 2018).</w:t>
      </w:r>
    </w:p>
    <w:p w14:paraId="1F8667B8" w14:textId="77777777"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t>Training and development programs, crucial for maintaining service standards and employee engagement, must be tailored to meet the needs of diverse employee groups. Using a combination of in-person training sessions, online courses, and interactive workshops can cater to different learning preferences and enhance the effectiveness of the training (Lancaster, 2019).</w:t>
      </w:r>
    </w:p>
    <w:p w14:paraId="0245D045" w14:textId="77777777" w:rsidR="00ED4FFE" w:rsidRPr="00ED4FFE" w:rsidRDefault="00ED4FFE" w:rsidP="00ED4FFE">
      <w:pPr>
        <w:spacing w:line="360" w:lineRule="auto"/>
        <w:jc w:val="both"/>
        <w:rPr>
          <w:rFonts w:ascii="Arial" w:hAnsi="Arial" w:cs="Arial"/>
          <w:sz w:val="24"/>
          <w:szCs w:val="24"/>
        </w:rPr>
      </w:pPr>
    </w:p>
    <w:p w14:paraId="603D251A" w14:textId="6B6FC282"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lastRenderedPageBreak/>
        <w:t>Evaluating the effectiveness of HR programs involves collecting data on key performance indicators (KPIs) such as employee turnover rates, employee satisfaction scores, and customer service ratings. Regular feedback mechanisms, such as surveys and focus groups, also provide insights into how well the programs are received and whether they meet employee needs. For instance, Marriott International regularly assesses its training programs by tracking advancements in employee competencies and improvements in guest satisfaction (Russell &amp; Russell, 2010).</w:t>
      </w:r>
    </w:p>
    <w:p w14:paraId="3DBFFC56" w14:textId="09956A4D"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t xml:space="preserve">Advanced analytics and HR metrics are increasingly being utilized to provide a more comprehensive evaluation. These tools can </w:t>
      </w:r>
      <w:proofErr w:type="spellStart"/>
      <w:r w:rsidRPr="00ED4FFE">
        <w:rPr>
          <w:rFonts w:ascii="Arial" w:hAnsi="Arial" w:cs="Arial"/>
          <w:sz w:val="24"/>
          <w:szCs w:val="24"/>
        </w:rPr>
        <w:t>analyze</w:t>
      </w:r>
      <w:proofErr w:type="spellEnd"/>
      <w:r w:rsidRPr="00ED4FFE">
        <w:rPr>
          <w:rFonts w:ascii="Arial" w:hAnsi="Arial" w:cs="Arial"/>
          <w:sz w:val="24"/>
          <w:szCs w:val="24"/>
        </w:rPr>
        <w:t xml:space="preserve"> large datasets to identify trends and patterns that influence HR strategies, enabling more informed decision-making (</w:t>
      </w:r>
      <w:proofErr w:type="spellStart"/>
      <w:r w:rsidRPr="00ED4FFE">
        <w:rPr>
          <w:rFonts w:ascii="Arial" w:hAnsi="Arial" w:cs="Arial"/>
          <w:sz w:val="24"/>
          <w:szCs w:val="24"/>
        </w:rPr>
        <w:t>Aguinis</w:t>
      </w:r>
      <w:proofErr w:type="spellEnd"/>
      <w:r w:rsidRPr="00ED4FFE">
        <w:rPr>
          <w:rFonts w:ascii="Arial" w:hAnsi="Arial" w:cs="Arial"/>
          <w:sz w:val="24"/>
          <w:szCs w:val="24"/>
        </w:rPr>
        <w:t xml:space="preserve">, 2009). Moreover, predictive analytics can forecast future trends in employee </w:t>
      </w:r>
      <w:r w:rsidR="007B5BC9" w:rsidRPr="00ED4FFE">
        <w:rPr>
          <w:rFonts w:ascii="Arial" w:hAnsi="Arial" w:cs="Arial"/>
          <w:sz w:val="24"/>
          <w:szCs w:val="24"/>
        </w:rPr>
        <w:t>behaviour</w:t>
      </w:r>
      <w:r w:rsidRPr="00ED4FFE">
        <w:rPr>
          <w:rFonts w:ascii="Arial" w:hAnsi="Arial" w:cs="Arial"/>
          <w:sz w:val="24"/>
          <w:szCs w:val="24"/>
        </w:rPr>
        <w:t xml:space="preserve"> and business needs, helping HR professionals to proactively adjust their strategies.</w:t>
      </w:r>
    </w:p>
    <w:p w14:paraId="014C274C" w14:textId="441BC8D1"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t>InterContinental Hotels Group (IHG) demonstrates effective program implementation and evaluation within its global operations. IHG has implemented a series of leadership development programs aimed at enhancing managerial skills and leadership capabilities across its properties. These programs are rigorously evaluated through performance assessments and leadership feedback, contributing to IHG's high retention rates and strong leadership pipeline (Goh &amp; Lee, 2018).</w:t>
      </w:r>
    </w:p>
    <w:p w14:paraId="5D7F6FC6" w14:textId="78F3C048" w:rsidR="002361CF" w:rsidRDefault="00ED4FFE" w:rsidP="00ED4FFE">
      <w:pPr>
        <w:spacing w:line="360" w:lineRule="auto"/>
        <w:jc w:val="both"/>
        <w:rPr>
          <w:rFonts w:ascii="Arial" w:hAnsi="Arial" w:cs="Arial"/>
          <w:sz w:val="24"/>
          <w:szCs w:val="24"/>
        </w:rPr>
      </w:pPr>
      <w:r w:rsidRPr="00ED4FFE">
        <w:rPr>
          <w:rFonts w:ascii="Arial" w:hAnsi="Arial" w:cs="Arial"/>
          <w:sz w:val="24"/>
          <w:szCs w:val="24"/>
        </w:rPr>
        <w:t>Strategic HRM enhances organizational agility, which is critical for hotels operating in dynamic and competitive environments. Agile HR practices allow hotels to quickly adapt to market changes, regulatory shifts, and evolving customer expectations. By fostering a culture that values flexibility, continuous learning, and innovation, HR can drive a hotel brand's ability to pivot and innovate in response to external pressures (Schuler and Jackson, 2014).</w:t>
      </w:r>
    </w:p>
    <w:p w14:paraId="1C949E9D" w14:textId="3A247980"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t xml:space="preserve">Employee engagement is another critical area where HR contributes to business growth. Engaged employees are more productive, provide better customer service, and are less likely to leave the organization, which is especially important in the hospitality industry known for high turnover rates (Harter, Schmidt, and Hayes, 2002). Strategic HRM practices, such as effective communication, recognition programs, and career </w:t>
      </w:r>
      <w:r w:rsidRPr="00ED4FFE">
        <w:rPr>
          <w:rFonts w:ascii="Arial" w:hAnsi="Arial" w:cs="Arial"/>
          <w:sz w:val="24"/>
          <w:szCs w:val="24"/>
        </w:rPr>
        <w:lastRenderedPageBreak/>
        <w:t>development opportunities, play a key role in enhancing employee engagement and, subsequently, customer satisfaction and loyalty (Kahn, 1990).</w:t>
      </w:r>
    </w:p>
    <w:p w14:paraId="66B0EB6D" w14:textId="2455FA58"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t xml:space="preserve">Diversity and inclusion (D&amp;I) are not just ethical imperatives but strategic HR priorities that contribute to a broader talent pool, innovative </w:t>
      </w:r>
      <w:r w:rsidR="00AD652A" w:rsidRPr="00ED4FFE">
        <w:rPr>
          <w:rFonts w:ascii="Arial" w:hAnsi="Arial" w:cs="Arial"/>
          <w:sz w:val="24"/>
          <w:szCs w:val="24"/>
        </w:rPr>
        <w:t>problem-solving</w:t>
      </w:r>
      <w:r w:rsidRPr="00ED4FFE">
        <w:rPr>
          <w:rFonts w:ascii="Arial" w:hAnsi="Arial" w:cs="Arial"/>
          <w:sz w:val="24"/>
          <w:szCs w:val="24"/>
        </w:rPr>
        <w:t xml:space="preserve"> and better customer relations. International hotel brands that embrace D&amp;I in their HR practices can appeal to a wider range of guests and tap into varied employee perspectives to enhance service delivery and creativity (Roberson, 2006). Programs that promote inclusivity and respect across all levels of the organization can significantly impact business success by creating an environment where all employees can thrive.</w:t>
      </w:r>
    </w:p>
    <w:p w14:paraId="6249349C" w14:textId="1171C974"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t>Strategic HRM ensures the development and retention of a competitive workforce. Through targeted recruitment strategies, comprehensive training programs, and strong performance management systems, HR helps build a workforce that can uphold high standards of service and operational excellence (Ulrich, 1997). The strategic planning and forecasting capabilities of HR also ensure that talent management aligns with the hotel’s expansion goals and market demands, securing a solid foundation for future growth.</w:t>
      </w:r>
    </w:p>
    <w:p w14:paraId="5CD44177" w14:textId="554A258E" w:rsidR="00ED4FFE" w:rsidRPr="00ED4FFE" w:rsidRDefault="00ED4FFE" w:rsidP="00ED4FFE">
      <w:pPr>
        <w:spacing w:line="360" w:lineRule="auto"/>
        <w:jc w:val="both"/>
        <w:rPr>
          <w:rFonts w:ascii="Arial" w:hAnsi="Arial" w:cs="Arial"/>
          <w:sz w:val="24"/>
          <w:szCs w:val="24"/>
        </w:rPr>
      </w:pPr>
      <w:r w:rsidRPr="00ED4FFE">
        <w:rPr>
          <w:rFonts w:ascii="Arial" w:hAnsi="Arial" w:cs="Arial"/>
          <w:sz w:val="24"/>
          <w:szCs w:val="24"/>
        </w:rPr>
        <w:t>Hyatt Hotels Corporation provides an excellent example of how strategic HR contributions can drive business growth. Hyatt’s focus on employee well-being and its investment in employee development programs have been central to its strategy to enhance guest experiences and operational efficiency. Their well-documented success in reducing turnover and improving employee satisfaction has directly translated into higher guest satisfaction rates and sustained business growth (Hyatt Corporate Reports, 2019).</w:t>
      </w:r>
    </w:p>
    <w:p w14:paraId="1A1AD178" w14:textId="58B47CF7" w:rsidR="005E0715" w:rsidRDefault="00ED4FFE" w:rsidP="00ED4FFE">
      <w:pPr>
        <w:spacing w:line="360" w:lineRule="auto"/>
        <w:jc w:val="both"/>
        <w:rPr>
          <w:rFonts w:ascii="Arial" w:hAnsi="Arial" w:cs="Arial"/>
          <w:sz w:val="24"/>
          <w:szCs w:val="24"/>
        </w:rPr>
      </w:pPr>
      <w:r w:rsidRPr="00ED4FFE">
        <w:rPr>
          <w:rFonts w:ascii="Arial" w:hAnsi="Arial" w:cs="Arial"/>
          <w:sz w:val="24"/>
          <w:szCs w:val="24"/>
        </w:rPr>
        <w:t xml:space="preserve">In conclusion, Human Resources Management (HRM) has evolved from an administrative function to a strategic cornerstone, essential for the growth of international hotel brands. This essay has highlighted HRM's critical role in workforce planning, recruitment, and selection, aligning these functions with organizational goals to maintain a competitive edge in the global hospitality industry. Strategic HRM not only enhances organizational agility and manages a diverse workforce but also fosters innovation and adaptability. Additionally, its focus on learning and development is pivotal </w:t>
      </w:r>
      <w:r w:rsidRPr="00ED4FFE">
        <w:rPr>
          <w:rFonts w:ascii="Arial" w:hAnsi="Arial" w:cs="Arial"/>
          <w:sz w:val="24"/>
          <w:szCs w:val="24"/>
        </w:rPr>
        <w:lastRenderedPageBreak/>
        <w:t>in driving employee engagement and guest satisfaction. As the industry continues to evolve, the strategic implementation of HRM is increasingly crucial in steering hotel brands like Hilton, Marriott, and Hyatt towards sustainable growth and operational excellence.</w:t>
      </w:r>
    </w:p>
    <w:p w14:paraId="11E2B88C" w14:textId="188F9E31" w:rsidR="00D840FC" w:rsidRDefault="005E0715" w:rsidP="00ED4FFE">
      <w:pPr>
        <w:spacing w:line="360" w:lineRule="auto"/>
        <w:jc w:val="both"/>
        <w:rPr>
          <w:rFonts w:ascii="Arial" w:hAnsi="Arial" w:cs="Arial"/>
          <w:sz w:val="24"/>
          <w:szCs w:val="24"/>
        </w:rPr>
      </w:pPr>
      <w:r>
        <w:rPr>
          <w:rFonts w:ascii="Arial" w:hAnsi="Arial" w:cs="Arial"/>
          <w:sz w:val="24"/>
          <w:szCs w:val="24"/>
        </w:rPr>
        <w:t>Word cou</w:t>
      </w:r>
      <w:r w:rsidR="007B5BC9">
        <w:rPr>
          <w:rFonts w:ascii="Arial" w:hAnsi="Arial" w:cs="Arial"/>
          <w:sz w:val="24"/>
          <w:szCs w:val="24"/>
        </w:rPr>
        <w:t>n</w:t>
      </w:r>
      <w:r>
        <w:rPr>
          <w:rFonts w:ascii="Arial" w:hAnsi="Arial" w:cs="Arial"/>
          <w:sz w:val="24"/>
          <w:szCs w:val="24"/>
        </w:rPr>
        <w:t>t:</w:t>
      </w:r>
      <w:r w:rsidR="001826AD">
        <w:rPr>
          <w:rFonts w:ascii="Arial" w:hAnsi="Arial" w:cs="Arial"/>
          <w:sz w:val="24"/>
          <w:szCs w:val="24"/>
        </w:rPr>
        <w:t xml:space="preserve"> 2083</w:t>
      </w:r>
    </w:p>
    <w:p w14:paraId="6B09D819" w14:textId="77777777" w:rsidR="007B5BC9" w:rsidRDefault="007B5BC9" w:rsidP="00ED4FFE">
      <w:pPr>
        <w:spacing w:line="360" w:lineRule="auto"/>
        <w:jc w:val="both"/>
        <w:rPr>
          <w:rFonts w:ascii="Arial" w:hAnsi="Arial" w:cs="Arial"/>
          <w:sz w:val="24"/>
          <w:szCs w:val="24"/>
        </w:rPr>
      </w:pPr>
    </w:p>
    <w:p w14:paraId="14FD3FB6" w14:textId="77777777" w:rsidR="007B5BC9" w:rsidRDefault="007B5BC9" w:rsidP="00ED4FFE">
      <w:pPr>
        <w:spacing w:line="360" w:lineRule="auto"/>
        <w:jc w:val="both"/>
        <w:rPr>
          <w:rFonts w:ascii="Arial" w:hAnsi="Arial" w:cs="Arial"/>
          <w:sz w:val="24"/>
          <w:szCs w:val="24"/>
        </w:rPr>
      </w:pPr>
    </w:p>
    <w:p w14:paraId="4AFDB2C6" w14:textId="77777777" w:rsidR="007B5BC9" w:rsidRDefault="007B5BC9" w:rsidP="00ED4FFE">
      <w:pPr>
        <w:spacing w:line="360" w:lineRule="auto"/>
        <w:jc w:val="both"/>
        <w:rPr>
          <w:rFonts w:ascii="Arial" w:hAnsi="Arial" w:cs="Arial"/>
          <w:sz w:val="24"/>
          <w:szCs w:val="24"/>
        </w:rPr>
      </w:pPr>
    </w:p>
    <w:p w14:paraId="5E3CFF41" w14:textId="77777777" w:rsidR="007B5BC9" w:rsidRDefault="007B5BC9" w:rsidP="00ED4FFE">
      <w:pPr>
        <w:spacing w:line="360" w:lineRule="auto"/>
        <w:jc w:val="both"/>
        <w:rPr>
          <w:rFonts w:ascii="Arial" w:hAnsi="Arial" w:cs="Arial"/>
          <w:sz w:val="24"/>
          <w:szCs w:val="24"/>
        </w:rPr>
      </w:pPr>
    </w:p>
    <w:p w14:paraId="18147594" w14:textId="77777777" w:rsidR="007B5BC9" w:rsidRDefault="007B5BC9" w:rsidP="00ED4FFE">
      <w:pPr>
        <w:spacing w:line="360" w:lineRule="auto"/>
        <w:jc w:val="both"/>
        <w:rPr>
          <w:rFonts w:ascii="Arial" w:hAnsi="Arial" w:cs="Arial"/>
          <w:sz w:val="24"/>
          <w:szCs w:val="24"/>
        </w:rPr>
      </w:pPr>
    </w:p>
    <w:p w14:paraId="7122DB7F" w14:textId="77777777" w:rsidR="007B5BC9" w:rsidRDefault="007B5BC9" w:rsidP="00ED4FFE">
      <w:pPr>
        <w:spacing w:line="360" w:lineRule="auto"/>
        <w:jc w:val="both"/>
        <w:rPr>
          <w:rFonts w:ascii="Arial" w:hAnsi="Arial" w:cs="Arial"/>
          <w:sz w:val="24"/>
          <w:szCs w:val="24"/>
        </w:rPr>
      </w:pPr>
    </w:p>
    <w:p w14:paraId="287BBE80" w14:textId="77777777" w:rsidR="007B5BC9" w:rsidRDefault="007B5BC9" w:rsidP="00ED4FFE">
      <w:pPr>
        <w:spacing w:line="360" w:lineRule="auto"/>
        <w:jc w:val="both"/>
        <w:rPr>
          <w:rFonts w:ascii="Arial" w:hAnsi="Arial" w:cs="Arial"/>
          <w:sz w:val="24"/>
          <w:szCs w:val="24"/>
        </w:rPr>
      </w:pPr>
    </w:p>
    <w:p w14:paraId="19E2B93E" w14:textId="77777777" w:rsidR="007B5BC9" w:rsidRDefault="007B5BC9" w:rsidP="00ED4FFE">
      <w:pPr>
        <w:spacing w:line="360" w:lineRule="auto"/>
        <w:jc w:val="both"/>
        <w:rPr>
          <w:rFonts w:ascii="Arial" w:hAnsi="Arial" w:cs="Arial"/>
          <w:sz w:val="24"/>
          <w:szCs w:val="24"/>
        </w:rPr>
      </w:pPr>
    </w:p>
    <w:p w14:paraId="7361ACA4" w14:textId="77777777" w:rsidR="007B5BC9" w:rsidRDefault="007B5BC9" w:rsidP="00ED4FFE">
      <w:pPr>
        <w:spacing w:line="360" w:lineRule="auto"/>
        <w:jc w:val="both"/>
        <w:rPr>
          <w:rFonts w:ascii="Arial" w:hAnsi="Arial" w:cs="Arial"/>
          <w:sz w:val="24"/>
          <w:szCs w:val="24"/>
        </w:rPr>
      </w:pPr>
    </w:p>
    <w:p w14:paraId="134C5D9C" w14:textId="77777777" w:rsidR="007B5BC9" w:rsidRDefault="007B5BC9" w:rsidP="00ED4FFE">
      <w:pPr>
        <w:spacing w:line="360" w:lineRule="auto"/>
        <w:jc w:val="both"/>
        <w:rPr>
          <w:rFonts w:ascii="Arial" w:hAnsi="Arial" w:cs="Arial"/>
          <w:sz w:val="24"/>
          <w:szCs w:val="24"/>
        </w:rPr>
      </w:pPr>
    </w:p>
    <w:p w14:paraId="3F674E16" w14:textId="77777777" w:rsidR="007B5BC9" w:rsidRDefault="007B5BC9" w:rsidP="00ED4FFE">
      <w:pPr>
        <w:spacing w:line="360" w:lineRule="auto"/>
        <w:jc w:val="both"/>
        <w:rPr>
          <w:rFonts w:ascii="Arial" w:hAnsi="Arial" w:cs="Arial"/>
          <w:sz w:val="24"/>
          <w:szCs w:val="24"/>
        </w:rPr>
      </w:pPr>
    </w:p>
    <w:p w14:paraId="12C4BCDE" w14:textId="77777777" w:rsidR="007B5BC9" w:rsidRDefault="007B5BC9" w:rsidP="00ED4FFE">
      <w:pPr>
        <w:spacing w:line="360" w:lineRule="auto"/>
        <w:jc w:val="both"/>
        <w:rPr>
          <w:rFonts w:ascii="Arial" w:hAnsi="Arial" w:cs="Arial"/>
          <w:sz w:val="24"/>
          <w:szCs w:val="24"/>
        </w:rPr>
      </w:pPr>
    </w:p>
    <w:p w14:paraId="0C935467" w14:textId="77777777" w:rsidR="007B5BC9" w:rsidRDefault="007B5BC9" w:rsidP="00ED4FFE">
      <w:pPr>
        <w:spacing w:line="360" w:lineRule="auto"/>
        <w:jc w:val="both"/>
        <w:rPr>
          <w:rFonts w:ascii="Arial" w:hAnsi="Arial" w:cs="Arial"/>
          <w:sz w:val="24"/>
          <w:szCs w:val="24"/>
        </w:rPr>
      </w:pPr>
    </w:p>
    <w:p w14:paraId="75660B5B" w14:textId="77777777" w:rsidR="007B5BC9" w:rsidRDefault="007B5BC9" w:rsidP="00ED4FFE">
      <w:pPr>
        <w:spacing w:line="360" w:lineRule="auto"/>
        <w:jc w:val="both"/>
        <w:rPr>
          <w:rFonts w:ascii="Arial" w:hAnsi="Arial" w:cs="Arial"/>
          <w:sz w:val="24"/>
          <w:szCs w:val="24"/>
        </w:rPr>
      </w:pPr>
    </w:p>
    <w:p w14:paraId="1F4240F4" w14:textId="77777777" w:rsidR="007B5BC9" w:rsidRDefault="007B5BC9" w:rsidP="00ED4FFE">
      <w:pPr>
        <w:spacing w:line="360" w:lineRule="auto"/>
        <w:jc w:val="both"/>
        <w:rPr>
          <w:rFonts w:ascii="Arial" w:hAnsi="Arial" w:cs="Arial"/>
          <w:sz w:val="24"/>
          <w:szCs w:val="24"/>
        </w:rPr>
      </w:pPr>
    </w:p>
    <w:p w14:paraId="016FD7C5" w14:textId="77777777" w:rsidR="007B5BC9" w:rsidRDefault="007B5BC9" w:rsidP="00ED4FFE">
      <w:pPr>
        <w:spacing w:line="360" w:lineRule="auto"/>
        <w:jc w:val="both"/>
        <w:rPr>
          <w:rFonts w:ascii="Arial" w:hAnsi="Arial" w:cs="Arial"/>
          <w:sz w:val="24"/>
          <w:szCs w:val="24"/>
        </w:rPr>
      </w:pPr>
    </w:p>
    <w:p w14:paraId="0AF7E47A" w14:textId="77777777" w:rsidR="007B5BC9" w:rsidRDefault="007B5BC9" w:rsidP="00ED4FFE">
      <w:pPr>
        <w:spacing w:line="360" w:lineRule="auto"/>
        <w:jc w:val="both"/>
        <w:rPr>
          <w:rFonts w:ascii="Arial" w:hAnsi="Arial" w:cs="Arial"/>
          <w:sz w:val="24"/>
          <w:szCs w:val="24"/>
        </w:rPr>
      </w:pPr>
    </w:p>
    <w:sdt>
      <w:sdtPr>
        <w:rPr>
          <w:rFonts w:asciiTheme="minorHAnsi" w:eastAsiaTheme="minorHAnsi" w:hAnsiTheme="minorHAnsi" w:cstheme="minorBidi"/>
          <w:b w:val="0"/>
          <w:bCs w:val="0"/>
          <w:color w:val="auto"/>
          <w:kern w:val="2"/>
          <w:sz w:val="22"/>
          <w:szCs w:val="22"/>
          <w:lang w:val="en-GB"/>
        </w:rPr>
        <w:id w:val="10225499"/>
        <w:docPartObj>
          <w:docPartGallery w:val="Table of Contents"/>
          <w:docPartUnique/>
        </w:docPartObj>
      </w:sdtPr>
      <w:sdtContent>
        <w:p w14:paraId="41CE7F11" w14:textId="6F760E70" w:rsidR="00D634FF" w:rsidRDefault="007B5BC9">
          <w:pPr>
            <w:pStyle w:val="TOCHeading"/>
          </w:pPr>
          <w:r>
            <w:t>References:</w:t>
          </w:r>
        </w:p>
        <w:p w14:paraId="19A56501" w14:textId="4A6B5484" w:rsidR="00D634FF" w:rsidRPr="00CE663D" w:rsidRDefault="00D634FF" w:rsidP="00D634FF">
          <w:pPr>
            <w:spacing w:line="360" w:lineRule="auto"/>
            <w:jc w:val="both"/>
            <w:rPr>
              <w:rFonts w:ascii="Arial" w:hAnsi="Arial" w:cs="Arial"/>
              <w:sz w:val="24"/>
              <w:szCs w:val="24"/>
            </w:rPr>
          </w:pPr>
          <w:r w:rsidRPr="00CE663D">
            <w:rPr>
              <w:rFonts w:ascii="Arial" w:hAnsi="Arial" w:cs="Arial"/>
              <w:sz w:val="24"/>
              <w:szCs w:val="24"/>
            </w:rPr>
            <w:t>Charan, R., Barton, D., &amp; Carey, D. (2015). Talent Wins: The New Playbook for Putting People First. Boston: Harvard Business Review Press.</w:t>
          </w:r>
        </w:p>
        <w:p w14:paraId="7920A79C" w14:textId="7F8D2740" w:rsidR="00D634FF" w:rsidRPr="00CE663D" w:rsidRDefault="00D634FF" w:rsidP="00D634FF">
          <w:pPr>
            <w:spacing w:line="360" w:lineRule="auto"/>
            <w:jc w:val="both"/>
            <w:rPr>
              <w:rFonts w:ascii="Arial" w:hAnsi="Arial" w:cs="Arial"/>
              <w:sz w:val="24"/>
              <w:szCs w:val="24"/>
            </w:rPr>
          </w:pPr>
          <w:r w:rsidRPr="00CE663D">
            <w:rPr>
              <w:rFonts w:ascii="Arial" w:hAnsi="Arial" w:cs="Arial"/>
              <w:sz w:val="24"/>
              <w:szCs w:val="24"/>
            </w:rPr>
            <w:t>Fitz-</w:t>
          </w:r>
          <w:proofErr w:type="spellStart"/>
          <w:r w:rsidRPr="00CE663D">
            <w:rPr>
              <w:rFonts w:ascii="Arial" w:hAnsi="Arial" w:cs="Arial"/>
              <w:sz w:val="24"/>
              <w:szCs w:val="24"/>
            </w:rPr>
            <w:t>enz</w:t>
          </w:r>
          <w:proofErr w:type="spellEnd"/>
          <w:r w:rsidRPr="00CE663D">
            <w:rPr>
              <w:rFonts w:ascii="Arial" w:hAnsi="Arial" w:cs="Arial"/>
              <w:sz w:val="24"/>
              <w:szCs w:val="24"/>
            </w:rPr>
            <w:t>, J. (2010). The New HR Analytics: Predicting the Economic Value of Your Company's Human Capital Investments. AMACOM.</w:t>
          </w:r>
        </w:p>
        <w:p w14:paraId="74CAFA1D" w14:textId="082339C1" w:rsidR="00D634FF" w:rsidRPr="00CE663D" w:rsidRDefault="00D634FF" w:rsidP="00D634FF">
          <w:pPr>
            <w:spacing w:line="360" w:lineRule="auto"/>
            <w:jc w:val="both"/>
            <w:rPr>
              <w:rFonts w:ascii="Arial" w:hAnsi="Arial" w:cs="Arial"/>
              <w:sz w:val="24"/>
              <w:szCs w:val="24"/>
            </w:rPr>
          </w:pPr>
          <w:r w:rsidRPr="00CE663D">
            <w:rPr>
              <w:rFonts w:ascii="Arial" w:hAnsi="Arial" w:cs="Arial"/>
              <w:sz w:val="24"/>
              <w:szCs w:val="24"/>
            </w:rPr>
            <w:t>Gratton, L. (2011). The Shift: The Future of Work is Already Here. London: HarperCollins.</w:t>
          </w:r>
        </w:p>
        <w:p w14:paraId="29EA20D9" w14:textId="63B093CE" w:rsidR="00D634FF" w:rsidRPr="00CE663D" w:rsidRDefault="00D634FF" w:rsidP="00D634FF">
          <w:pPr>
            <w:spacing w:line="360" w:lineRule="auto"/>
            <w:jc w:val="both"/>
            <w:rPr>
              <w:rFonts w:ascii="Arial" w:hAnsi="Arial" w:cs="Arial"/>
              <w:sz w:val="24"/>
              <w:szCs w:val="24"/>
            </w:rPr>
          </w:pPr>
          <w:r w:rsidRPr="00CE663D">
            <w:rPr>
              <w:rFonts w:ascii="Arial" w:hAnsi="Arial" w:cs="Arial"/>
              <w:sz w:val="24"/>
              <w:szCs w:val="24"/>
            </w:rPr>
            <w:t>Noe, R. A., Hollenbeck, J. R., Gerhart, B., &amp; Wright, P. M. (2017). Fundamentals of Human Resource Management. 7th edition. McGraw-Hill Education.</w:t>
          </w:r>
        </w:p>
        <w:p w14:paraId="15FAF77B" w14:textId="77777777" w:rsidR="00D634FF" w:rsidRPr="00CE663D" w:rsidRDefault="00D634FF" w:rsidP="00D634FF">
          <w:pPr>
            <w:spacing w:line="360" w:lineRule="auto"/>
            <w:jc w:val="both"/>
            <w:rPr>
              <w:rFonts w:ascii="Arial" w:hAnsi="Arial" w:cs="Arial"/>
              <w:sz w:val="24"/>
              <w:szCs w:val="24"/>
            </w:rPr>
          </w:pPr>
          <w:proofErr w:type="spellStart"/>
          <w:r w:rsidRPr="00CE663D">
            <w:rPr>
              <w:rFonts w:ascii="Arial" w:hAnsi="Arial" w:cs="Arial"/>
              <w:sz w:val="24"/>
              <w:szCs w:val="24"/>
            </w:rPr>
            <w:t>Aguinis</w:t>
          </w:r>
          <w:proofErr w:type="spellEnd"/>
          <w:r w:rsidRPr="00CE663D">
            <w:rPr>
              <w:rFonts w:ascii="Arial" w:hAnsi="Arial" w:cs="Arial"/>
              <w:sz w:val="24"/>
              <w:szCs w:val="24"/>
            </w:rPr>
            <w:t>, H. (2009). An Expanded View of Performance Management. In J. W. Smith &amp; M. London (Eds.), Performance Management (pp. 1-43). San Francisco: Jossey-Bass.</w:t>
          </w:r>
        </w:p>
        <w:p w14:paraId="57F4EA92" w14:textId="77777777" w:rsidR="00D634FF" w:rsidRPr="00CE663D" w:rsidRDefault="00D634FF" w:rsidP="00D634FF">
          <w:pPr>
            <w:spacing w:line="360" w:lineRule="auto"/>
            <w:jc w:val="both"/>
            <w:rPr>
              <w:rFonts w:ascii="Arial" w:hAnsi="Arial" w:cs="Arial"/>
              <w:sz w:val="24"/>
              <w:szCs w:val="24"/>
            </w:rPr>
          </w:pPr>
          <w:r w:rsidRPr="00CE663D">
            <w:rPr>
              <w:rFonts w:ascii="Arial" w:hAnsi="Arial" w:cs="Arial"/>
              <w:sz w:val="24"/>
              <w:szCs w:val="24"/>
            </w:rPr>
            <w:t>Baum, T. (2016). Human Resource Issues in International Tourism. Oxford: Butterworth-Heinemann.</w:t>
          </w:r>
        </w:p>
        <w:p w14:paraId="69D7C86A" w14:textId="77777777" w:rsidR="00D634FF" w:rsidRPr="00CE663D" w:rsidRDefault="00D634FF" w:rsidP="00D634FF">
          <w:pPr>
            <w:spacing w:line="360" w:lineRule="auto"/>
            <w:jc w:val="both"/>
            <w:rPr>
              <w:rFonts w:ascii="Arial" w:hAnsi="Arial" w:cs="Arial"/>
              <w:sz w:val="24"/>
              <w:szCs w:val="24"/>
            </w:rPr>
          </w:pPr>
          <w:r w:rsidRPr="00CE663D">
            <w:rPr>
              <w:rFonts w:ascii="Arial" w:hAnsi="Arial" w:cs="Arial"/>
              <w:sz w:val="24"/>
              <w:szCs w:val="24"/>
            </w:rPr>
            <w:t>Boudreau, J. W., &amp; Ramstad, P. M. (2007). Beyond HR: The new science of human capital. Boston: Harvard Business School Press.</w:t>
          </w:r>
        </w:p>
        <w:p w14:paraId="1630817F" w14:textId="77777777" w:rsidR="00D634FF" w:rsidRPr="00CE663D" w:rsidRDefault="00D634FF" w:rsidP="00D634FF">
          <w:pPr>
            <w:spacing w:line="360" w:lineRule="auto"/>
            <w:jc w:val="both"/>
            <w:rPr>
              <w:rFonts w:ascii="Arial" w:hAnsi="Arial" w:cs="Arial"/>
              <w:sz w:val="24"/>
              <w:szCs w:val="24"/>
            </w:rPr>
          </w:pPr>
          <w:r w:rsidRPr="00CE663D">
            <w:rPr>
              <w:rFonts w:ascii="Arial" w:hAnsi="Arial" w:cs="Arial"/>
              <w:sz w:val="24"/>
              <w:szCs w:val="24"/>
            </w:rPr>
            <w:t>Boxall, P., &amp; Purcell, J. (2016). Strategy and Human Resource Management. 4th edition. Palgrave Macmillan.</w:t>
          </w:r>
        </w:p>
        <w:p w14:paraId="5DE4A9B2" w14:textId="77777777" w:rsidR="00D634FF" w:rsidRPr="00CE663D" w:rsidRDefault="00D634FF" w:rsidP="00D634FF">
          <w:pPr>
            <w:spacing w:line="360" w:lineRule="auto"/>
            <w:jc w:val="both"/>
            <w:rPr>
              <w:rFonts w:ascii="Arial" w:hAnsi="Arial" w:cs="Arial"/>
              <w:sz w:val="24"/>
              <w:szCs w:val="24"/>
            </w:rPr>
          </w:pPr>
          <w:r w:rsidRPr="00CE663D">
            <w:rPr>
              <w:rFonts w:ascii="Arial" w:hAnsi="Arial" w:cs="Arial"/>
              <w:sz w:val="24"/>
              <w:szCs w:val="24"/>
            </w:rPr>
            <w:t>Brewster, C., Chung, C., &amp; Sparrow, P. (2016). Globalizing Human Resource Management. 2nd Edition. Routledge.</w:t>
          </w:r>
        </w:p>
        <w:p w14:paraId="284EF339" w14:textId="77777777" w:rsidR="00D634FF" w:rsidRPr="00CE663D" w:rsidRDefault="00D634FF" w:rsidP="00D634FF">
          <w:pPr>
            <w:spacing w:line="360" w:lineRule="auto"/>
            <w:jc w:val="both"/>
            <w:rPr>
              <w:rFonts w:ascii="Arial" w:hAnsi="Arial" w:cs="Arial"/>
              <w:sz w:val="24"/>
              <w:szCs w:val="24"/>
            </w:rPr>
          </w:pPr>
          <w:r w:rsidRPr="00CE663D">
            <w:rPr>
              <w:rFonts w:ascii="Arial" w:hAnsi="Arial" w:cs="Arial"/>
              <w:sz w:val="24"/>
              <w:szCs w:val="24"/>
            </w:rPr>
            <w:t>Collings, D. G., Wood, G. T., &amp; Caligiuri, P. M. (2015). The Routledge Companion to International Human Resource Management. Routledge.</w:t>
          </w:r>
        </w:p>
        <w:p w14:paraId="77D59836" w14:textId="46F0930F" w:rsidR="00D634FF" w:rsidRPr="00CE663D" w:rsidRDefault="00D634FF" w:rsidP="00D634FF">
          <w:pPr>
            <w:spacing w:line="360" w:lineRule="auto"/>
            <w:jc w:val="both"/>
            <w:rPr>
              <w:rFonts w:ascii="Arial" w:hAnsi="Arial" w:cs="Arial"/>
              <w:sz w:val="24"/>
              <w:szCs w:val="24"/>
            </w:rPr>
          </w:pPr>
          <w:r w:rsidRPr="00CE663D">
            <w:rPr>
              <w:rFonts w:ascii="Arial" w:hAnsi="Arial" w:cs="Arial"/>
              <w:sz w:val="24"/>
              <w:szCs w:val="24"/>
            </w:rPr>
            <w:t xml:space="preserve">Ganguli, R. et al. (2022). The Characteristics and Preferences of Gen Z: A Review of Multi-Geography Findings. IUP Journal of Organizational </w:t>
          </w:r>
          <w:r w:rsidR="00ED5DE7" w:rsidRPr="00CE663D">
            <w:rPr>
              <w:rFonts w:ascii="Arial" w:hAnsi="Arial" w:cs="Arial"/>
              <w:sz w:val="24"/>
              <w:szCs w:val="24"/>
            </w:rPr>
            <w:t>Behaviour</w:t>
          </w:r>
          <w:r w:rsidRPr="00CE663D">
            <w:rPr>
              <w:rFonts w:ascii="Arial" w:hAnsi="Arial" w:cs="Arial"/>
              <w:sz w:val="24"/>
              <w:szCs w:val="24"/>
            </w:rPr>
            <w:t xml:space="preserve">, Hyderabad, Vol. 21, </w:t>
          </w:r>
          <w:proofErr w:type="spellStart"/>
          <w:r w:rsidRPr="00CE663D">
            <w:rPr>
              <w:rFonts w:ascii="Arial" w:hAnsi="Arial" w:cs="Arial"/>
              <w:sz w:val="24"/>
              <w:szCs w:val="24"/>
            </w:rPr>
            <w:t>Iss</w:t>
          </w:r>
          <w:proofErr w:type="spellEnd"/>
          <w:r w:rsidRPr="00CE663D">
            <w:rPr>
              <w:rFonts w:ascii="Arial" w:hAnsi="Arial" w:cs="Arial"/>
              <w:sz w:val="24"/>
              <w:szCs w:val="24"/>
            </w:rPr>
            <w:t>. 2, (Apr 2022): 79- 98. Available from: ProQuest E</w:t>
          </w:r>
          <w:r w:rsidR="00ED5DE7">
            <w:rPr>
              <w:rFonts w:ascii="Arial" w:hAnsi="Arial" w:cs="Arial"/>
              <w:sz w:val="24"/>
              <w:szCs w:val="24"/>
            </w:rPr>
            <w:t>-</w:t>
          </w:r>
          <w:r w:rsidRPr="00CE663D">
            <w:rPr>
              <w:rFonts w:ascii="Arial" w:hAnsi="Arial" w:cs="Arial"/>
              <w:sz w:val="24"/>
              <w:szCs w:val="24"/>
            </w:rPr>
            <w:t>book Central.</w:t>
          </w:r>
        </w:p>
        <w:p w14:paraId="583D4CE5" w14:textId="77777777" w:rsidR="00D634FF" w:rsidRPr="00CE663D" w:rsidRDefault="00D634FF" w:rsidP="00D634FF">
          <w:pPr>
            <w:spacing w:line="360" w:lineRule="auto"/>
            <w:jc w:val="both"/>
            <w:rPr>
              <w:rFonts w:ascii="Arial" w:hAnsi="Arial" w:cs="Arial"/>
              <w:sz w:val="24"/>
              <w:szCs w:val="24"/>
            </w:rPr>
          </w:pPr>
          <w:r w:rsidRPr="00CE663D">
            <w:rPr>
              <w:rFonts w:ascii="Arial" w:hAnsi="Arial" w:cs="Arial"/>
              <w:sz w:val="24"/>
              <w:szCs w:val="24"/>
            </w:rPr>
            <w:t>Goh, E., &amp; Lee, C. (2018). A workforce to be reckoned with: The emerging pivotal Generation Z hospitality workforce. International Journal of Hospitality Management, 73, 20-28.</w:t>
          </w:r>
        </w:p>
        <w:p w14:paraId="42BBE201" w14:textId="77777777" w:rsidR="00D634FF" w:rsidRPr="00CE663D" w:rsidRDefault="00D634FF" w:rsidP="00D634FF">
          <w:pPr>
            <w:spacing w:line="360" w:lineRule="auto"/>
            <w:jc w:val="both"/>
            <w:rPr>
              <w:rFonts w:ascii="Arial" w:hAnsi="Arial" w:cs="Arial"/>
              <w:sz w:val="24"/>
              <w:szCs w:val="24"/>
            </w:rPr>
          </w:pPr>
          <w:r w:rsidRPr="00CE663D">
            <w:rPr>
              <w:rFonts w:ascii="Arial" w:hAnsi="Arial" w:cs="Arial"/>
              <w:sz w:val="24"/>
              <w:szCs w:val="24"/>
            </w:rPr>
            <w:lastRenderedPageBreak/>
            <w:t>Harter, J. K., Schmidt, F. L., &amp; Hayes, T. L. (2002). Business-unit-level relationship between employee satisfaction, employee engagement, and business outcomes: A meta-analysis. Journal of Applied Psychology, 87(2), 268-279.</w:t>
          </w:r>
        </w:p>
        <w:p w14:paraId="3CDA2105" w14:textId="77777777" w:rsidR="00D634FF" w:rsidRPr="00CE663D" w:rsidRDefault="00D634FF" w:rsidP="00D634FF">
          <w:pPr>
            <w:spacing w:line="360" w:lineRule="auto"/>
            <w:jc w:val="both"/>
            <w:rPr>
              <w:rFonts w:ascii="Arial" w:hAnsi="Arial" w:cs="Arial"/>
              <w:sz w:val="24"/>
              <w:szCs w:val="24"/>
            </w:rPr>
          </w:pPr>
          <w:r w:rsidRPr="00CE663D">
            <w:rPr>
              <w:rFonts w:ascii="Arial" w:hAnsi="Arial" w:cs="Arial"/>
              <w:sz w:val="24"/>
              <w:szCs w:val="24"/>
            </w:rPr>
            <w:t>Hollenbeck, J. R., Gerhart, B., &amp; Wright, P. M. (2018). Human Resource Management: Gaining a Competitive Advantage. 13th Edition. Boston: McGraw-Hill.</w:t>
          </w:r>
        </w:p>
        <w:p w14:paraId="1731A2CC" w14:textId="5A37E5D4" w:rsidR="00D634FF" w:rsidRPr="00CE663D" w:rsidRDefault="00D634FF" w:rsidP="00D634FF">
          <w:pPr>
            <w:spacing w:line="360" w:lineRule="auto"/>
            <w:jc w:val="both"/>
            <w:rPr>
              <w:rFonts w:ascii="Arial" w:hAnsi="Arial" w:cs="Arial"/>
              <w:sz w:val="24"/>
              <w:szCs w:val="24"/>
            </w:rPr>
          </w:pPr>
          <w:r w:rsidRPr="00CE663D">
            <w:rPr>
              <w:rFonts w:ascii="Arial" w:hAnsi="Arial" w:cs="Arial"/>
              <w:sz w:val="24"/>
              <w:szCs w:val="24"/>
            </w:rPr>
            <w:t>Hyatt Corporate</w:t>
          </w:r>
          <w:r w:rsidR="00ED5DE7">
            <w:rPr>
              <w:rFonts w:ascii="Arial" w:hAnsi="Arial" w:cs="Arial"/>
              <w:sz w:val="24"/>
              <w:szCs w:val="24"/>
            </w:rPr>
            <w:t xml:space="preserve"> </w:t>
          </w:r>
          <w:r w:rsidRPr="00CE663D">
            <w:rPr>
              <w:rFonts w:ascii="Arial" w:hAnsi="Arial" w:cs="Arial"/>
              <w:sz w:val="24"/>
              <w:szCs w:val="24"/>
            </w:rPr>
            <w:t xml:space="preserve">Reports. (2019). Hyatt Hotels Corporation Annual Report. </w:t>
          </w:r>
        </w:p>
        <w:p w14:paraId="663F27C0" w14:textId="77777777" w:rsidR="00D634FF" w:rsidRPr="00CE663D" w:rsidRDefault="00D634FF" w:rsidP="00D634FF">
          <w:pPr>
            <w:spacing w:line="360" w:lineRule="auto"/>
            <w:jc w:val="both"/>
            <w:rPr>
              <w:rFonts w:ascii="Arial" w:hAnsi="Arial" w:cs="Arial"/>
              <w:sz w:val="24"/>
              <w:szCs w:val="24"/>
            </w:rPr>
          </w:pPr>
          <w:r w:rsidRPr="00CE663D">
            <w:rPr>
              <w:rFonts w:ascii="Arial" w:hAnsi="Arial" w:cs="Arial"/>
              <w:sz w:val="24"/>
              <w:szCs w:val="24"/>
            </w:rPr>
            <w:t>Kahn, W. A. (1990). Psychological conditions of personal engagement and disengagement at work. Academy of Management Journal, 33(4), 692-724.</w:t>
          </w:r>
        </w:p>
        <w:p w14:paraId="1FE4E112" w14:textId="77777777" w:rsidR="00D634FF" w:rsidRPr="00CE663D" w:rsidRDefault="00D634FF" w:rsidP="00D634FF">
          <w:pPr>
            <w:spacing w:line="360" w:lineRule="auto"/>
            <w:jc w:val="both"/>
            <w:rPr>
              <w:rFonts w:ascii="Arial" w:hAnsi="Arial" w:cs="Arial"/>
              <w:sz w:val="24"/>
              <w:szCs w:val="24"/>
            </w:rPr>
          </w:pPr>
          <w:r w:rsidRPr="00CE663D">
            <w:rPr>
              <w:rFonts w:ascii="Arial" w:hAnsi="Arial" w:cs="Arial"/>
              <w:sz w:val="24"/>
              <w:szCs w:val="24"/>
            </w:rPr>
            <w:t xml:space="preserve">Kenner, M. (2018). Businesses must embrace brain-friendly learning, says </w:t>
          </w:r>
          <w:proofErr w:type="spellStart"/>
          <w:r w:rsidRPr="00CE663D">
            <w:rPr>
              <w:rFonts w:ascii="Arial" w:hAnsi="Arial" w:cs="Arial"/>
              <w:sz w:val="24"/>
              <w:szCs w:val="24"/>
            </w:rPr>
            <w:t>neuroleadership</w:t>
          </w:r>
          <w:proofErr w:type="spellEnd"/>
          <w:r w:rsidRPr="00CE663D">
            <w:rPr>
              <w:rFonts w:ascii="Arial" w:hAnsi="Arial" w:cs="Arial"/>
              <w:sz w:val="24"/>
              <w:szCs w:val="24"/>
            </w:rPr>
            <w:t xml:space="preserve"> expert. People Management (online), January 22.</w:t>
          </w:r>
        </w:p>
        <w:p w14:paraId="2A9B2DBB" w14:textId="77777777" w:rsidR="00D634FF" w:rsidRPr="00CE663D" w:rsidRDefault="00D634FF" w:rsidP="00D634FF">
          <w:pPr>
            <w:spacing w:line="360" w:lineRule="auto"/>
            <w:jc w:val="both"/>
            <w:rPr>
              <w:rFonts w:ascii="Arial" w:hAnsi="Arial" w:cs="Arial"/>
              <w:sz w:val="24"/>
              <w:szCs w:val="24"/>
            </w:rPr>
          </w:pPr>
          <w:r w:rsidRPr="00CE663D">
            <w:rPr>
              <w:rFonts w:ascii="Arial" w:hAnsi="Arial" w:cs="Arial"/>
              <w:sz w:val="24"/>
              <w:szCs w:val="24"/>
            </w:rPr>
            <w:t>Lancaster, A. (2019). Driving Performance Through Learning. London: Kogan Page.</w:t>
          </w:r>
        </w:p>
        <w:p w14:paraId="1E362FA2" w14:textId="77777777" w:rsidR="00D634FF" w:rsidRPr="00CE663D" w:rsidRDefault="00D634FF" w:rsidP="00D634FF">
          <w:pPr>
            <w:spacing w:line="360" w:lineRule="auto"/>
            <w:jc w:val="both"/>
            <w:rPr>
              <w:rFonts w:ascii="Arial" w:hAnsi="Arial" w:cs="Arial"/>
              <w:sz w:val="24"/>
              <w:szCs w:val="24"/>
            </w:rPr>
          </w:pPr>
          <w:proofErr w:type="spellStart"/>
          <w:r w:rsidRPr="00CE663D">
            <w:rPr>
              <w:rFonts w:ascii="Arial" w:hAnsi="Arial" w:cs="Arial"/>
              <w:sz w:val="24"/>
              <w:szCs w:val="24"/>
            </w:rPr>
            <w:t>Pulakos</w:t>
          </w:r>
          <w:proofErr w:type="spellEnd"/>
          <w:r w:rsidRPr="00CE663D">
            <w:rPr>
              <w:rFonts w:ascii="Arial" w:hAnsi="Arial" w:cs="Arial"/>
              <w:sz w:val="24"/>
              <w:szCs w:val="24"/>
            </w:rPr>
            <w:t xml:space="preserve">, E., Mueller-Hanson, R., O’Leary, R., &amp; </w:t>
          </w:r>
          <w:proofErr w:type="spellStart"/>
          <w:r w:rsidRPr="00CE663D">
            <w:rPr>
              <w:rFonts w:ascii="Arial" w:hAnsi="Arial" w:cs="Arial"/>
              <w:sz w:val="24"/>
              <w:szCs w:val="24"/>
            </w:rPr>
            <w:t>Meyrowitz</w:t>
          </w:r>
          <w:proofErr w:type="spellEnd"/>
          <w:r w:rsidRPr="00CE663D">
            <w:rPr>
              <w:rFonts w:ascii="Arial" w:hAnsi="Arial" w:cs="Arial"/>
              <w:sz w:val="24"/>
              <w:szCs w:val="24"/>
            </w:rPr>
            <w:t>, M. (2012). Building a High-Performance Culture: A Fresh Look at Performance Management. Alexandria, VA: SHRM Foundation.</w:t>
          </w:r>
        </w:p>
        <w:p w14:paraId="1FCE2562" w14:textId="77777777" w:rsidR="00D634FF" w:rsidRPr="00CE663D" w:rsidRDefault="00D634FF" w:rsidP="00D634FF">
          <w:pPr>
            <w:spacing w:line="360" w:lineRule="auto"/>
            <w:jc w:val="both"/>
            <w:rPr>
              <w:rFonts w:ascii="Arial" w:hAnsi="Arial" w:cs="Arial"/>
              <w:sz w:val="24"/>
              <w:szCs w:val="24"/>
            </w:rPr>
          </w:pPr>
          <w:r w:rsidRPr="00CE663D">
            <w:rPr>
              <w:rFonts w:ascii="Arial" w:hAnsi="Arial" w:cs="Arial"/>
              <w:sz w:val="24"/>
              <w:szCs w:val="24"/>
            </w:rPr>
            <w:t>Sparrow, P., Brewster, C., &amp; Chung, C. (2016). Global Human Resource Management Casebook. Routledge.</w:t>
          </w:r>
        </w:p>
        <w:p w14:paraId="427CD7AD" w14:textId="77777777" w:rsidR="00D634FF" w:rsidRDefault="00000000"/>
      </w:sdtContent>
    </w:sdt>
    <w:p w14:paraId="4A6ACEBB" w14:textId="77777777" w:rsidR="00D840FC" w:rsidRPr="00ED4FFE" w:rsidRDefault="00D840FC" w:rsidP="00ED4FFE">
      <w:pPr>
        <w:spacing w:line="360" w:lineRule="auto"/>
        <w:jc w:val="both"/>
        <w:rPr>
          <w:rFonts w:ascii="Arial" w:hAnsi="Arial" w:cs="Arial"/>
          <w:sz w:val="24"/>
          <w:szCs w:val="24"/>
        </w:rPr>
      </w:pPr>
    </w:p>
    <w:p w14:paraId="60DC53F0" w14:textId="77777777" w:rsidR="00393D92" w:rsidRDefault="00393D92"/>
    <w:sectPr w:rsidR="00393D92" w:rsidSect="008256B1">
      <w:pgSz w:w="12240" w:h="15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rawingGridHorizontalSpacing w:val="11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8256B1"/>
    <w:rsid w:val="001826AD"/>
    <w:rsid w:val="0018776F"/>
    <w:rsid w:val="002361CF"/>
    <w:rsid w:val="00393D92"/>
    <w:rsid w:val="004E632B"/>
    <w:rsid w:val="004F775F"/>
    <w:rsid w:val="005E0715"/>
    <w:rsid w:val="006148B6"/>
    <w:rsid w:val="00680869"/>
    <w:rsid w:val="006C1FD5"/>
    <w:rsid w:val="006D01A7"/>
    <w:rsid w:val="006E7B43"/>
    <w:rsid w:val="007B1A91"/>
    <w:rsid w:val="007B5BC9"/>
    <w:rsid w:val="008256B1"/>
    <w:rsid w:val="009771E4"/>
    <w:rsid w:val="009947E5"/>
    <w:rsid w:val="009D723A"/>
    <w:rsid w:val="00A97547"/>
    <w:rsid w:val="00AD652A"/>
    <w:rsid w:val="00B60A18"/>
    <w:rsid w:val="00CA5720"/>
    <w:rsid w:val="00CC30E0"/>
    <w:rsid w:val="00CE663D"/>
    <w:rsid w:val="00D53BD8"/>
    <w:rsid w:val="00D634FF"/>
    <w:rsid w:val="00D840FC"/>
    <w:rsid w:val="00DD02CA"/>
    <w:rsid w:val="00ED4FFE"/>
    <w:rsid w:val="00ED5DE7"/>
    <w:rsid w:val="00F262D4"/>
    <w:rsid w:val="00F442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A5C602D"/>
  <w15:docId w15:val="{0B2E49F0-F02E-4625-877B-A3B2B466B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4FF"/>
    <w:pPr>
      <w:spacing w:after="160" w:line="259" w:lineRule="auto"/>
    </w:pPr>
    <w:rPr>
      <w:kern w:val="2"/>
      <w:lang w:val="en-GB"/>
    </w:rPr>
  </w:style>
  <w:style w:type="paragraph" w:styleId="Heading1">
    <w:name w:val="heading 1"/>
    <w:basedOn w:val="Normal"/>
    <w:next w:val="Normal"/>
    <w:link w:val="Heading1Char"/>
    <w:uiPriority w:val="9"/>
    <w:qFormat/>
    <w:rsid w:val="00D634F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256B1"/>
    <w:pPr>
      <w:spacing w:after="0" w:line="240" w:lineRule="auto"/>
    </w:pPr>
    <w:rPr>
      <w:rFonts w:eastAsiaTheme="minorEastAsia"/>
    </w:rPr>
  </w:style>
  <w:style w:type="character" w:customStyle="1" w:styleId="NoSpacingChar">
    <w:name w:val="No Spacing Char"/>
    <w:basedOn w:val="DefaultParagraphFont"/>
    <w:link w:val="NoSpacing"/>
    <w:uiPriority w:val="1"/>
    <w:rsid w:val="008256B1"/>
    <w:rPr>
      <w:rFonts w:eastAsiaTheme="minorEastAsia"/>
    </w:rPr>
  </w:style>
  <w:style w:type="paragraph" w:styleId="BalloonText">
    <w:name w:val="Balloon Text"/>
    <w:basedOn w:val="Normal"/>
    <w:link w:val="BalloonTextChar"/>
    <w:uiPriority w:val="99"/>
    <w:semiHidden/>
    <w:unhideWhenUsed/>
    <w:rsid w:val="008256B1"/>
    <w:pPr>
      <w:spacing w:after="0" w:line="240" w:lineRule="auto"/>
    </w:pPr>
    <w:rPr>
      <w:rFonts w:ascii="Tahoma" w:hAnsi="Tahoma" w:cs="Tahoma"/>
      <w:kern w:val="0"/>
      <w:sz w:val="16"/>
      <w:szCs w:val="16"/>
      <w:lang w:val="en-US"/>
    </w:rPr>
  </w:style>
  <w:style w:type="character" w:customStyle="1" w:styleId="BalloonTextChar">
    <w:name w:val="Balloon Text Char"/>
    <w:basedOn w:val="DefaultParagraphFont"/>
    <w:link w:val="BalloonText"/>
    <w:uiPriority w:val="99"/>
    <w:semiHidden/>
    <w:rsid w:val="008256B1"/>
    <w:rPr>
      <w:rFonts w:ascii="Tahoma" w:hAnsi="Tahoma" w:cs="Tahoma"/>
      <w:sz w:val="16"/>
      <w:szCs w:val="16"/>
    </w:rPr>
  </w:style>
  <w:style w:type="character" w:customStyle="1" w:styleId="Heading1Char">
    <w:name w:val="Heading 1 Char"/>
    <w:basedOn w:val="DefaultParagraphFont"/>
    <w:link w:val="Heading1"/>
    <w:uiPriority w:val="9"/>
    <w:rsid w:val="00D634FF"/>
    <w:rPr>
      <w:rFonts w:asciiTheme="majorHAnsi" w:eastAsiaTheme="majorEastAsia" w:hAnsiTheme="majorHAnsi" w:cstheme="majorBidi"/>
      <w:b/>
      <w:bCs/>
      <w:color w:val="365F91" w:themeColor="accent1" w:themeShade="BF"/>
      <w:kern w:val="2"/>
      <w:sz w:val="28"/>
      <w:szCs w:val="28"/>
      <w:lang w:val="en-GB"/>
    </w:rPr>
  </w:style>
  <w:style w:type="paragraph" w:styleId="TOCHeading">
    <w:name w:val="TOC Heading"/>
    <w:basedOn w:val="Heading1"/>
    <w:next w:val="Normal"/>
    <w:uiPriority w:val="39"/>
    <w:semiHidden/>
    <w:unhideWhenUsed/>
    <w:qFormat/>
    <w:rsid w:val="00D634FF"/>
    <w:pPr>
      <w:spacing w:line="276" w:lineRule="auto"/>
      <w:outlineLvl w:val="9"/>
    </w:pPr>
    <w:rPr>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B3254726740433CB4EC472879136F6D"/>
        <w:category>
          <w:name w:val="General"/>
          <w:gallery w:val="placeholder"/>
        </w:category>
        <w:types>
          <w:type w:val="bbPlcHdr"/>
        </w:types>
        <w:behaviors>
          <w:behavior w:val="content"/>
        </w:behaviors>
        <w:guid w:val="{54F181CC-B787-4685-9101-0C9BB4A7DB06}"/>
      </w:docPartPr>
      <w:docPartBody>
        <w:p w:rsidR="00A2344B" w:rsidRDefault="00EA25CA" w:rsidP="00EA25CA">
          <w:pPr>
            <w:pStyle w:val="DB3254726740433CB4EC472879136F6D"/>
          </w:pPr>
          <w:r>
            <w:rPr>
              <w:rFonts w:asciiTheme="majorHAnsi" w:eastAsiaTheme="majorEastAsia" w:hAnsiTheme="majorHAnsi" w:cstheme="majorBidi"/>
              <w:sz w:val="72"/>
              <w:szCs w:val="72"/>
            </w:rPr>
            <w:t>[Type the document title]</w:t>
          </w:r>
        </w:p>
      </w:docPartBody>
    </w:docPart>
    <w:docPart>
      <w:docPartPr>
        <w:name w:val="1DE82113DA2F405FBB94267B3AB491DA"/>
        <w:category>
          <w:name w:val="General"/>
          <w:gallery w:val="placeholder"/>
        </w:category>
        <w:types>
          <w:type w:val="bbPlcHdr"/>
        </w:types>
        <w:behaviors>
          <w:behavior w:val="content"/>
        </w:behaviors>
        <w:guid w:val="{425CDAFD-54C0-4775-9FDE-60D9DA821EF5}"/>
      </w:docPartPr>
      <w:docPartBody>
        <w:p w:rsidR="00A2344B" w:rsidRDefault="00EA25CA" w:rsidP="00EA25CA">
          <w:pPr>
            <w:pStyle w:val="1DE82113DA2F405FBB94267B3AB491DA"/>
          </w:pPr>
          <w:r>
            <w:rPr>
              <w:rFonts w:asciiTheme="majorHAnsi" w:eastAsiaTheme="majorEastAsia" w:hAnsiTheme="majorHAnsi" w:cstheme="majorBidi"/>
              <w:sz w:val="36"/>
              <w:szCs w:val="36"/>
            </w:rPr>
            <w:t>[Type the document subtitle]</w:t>
          </w:r>
        </w:p>
      </w:docPartBody>
    </w:docPart>
    <w:docPart>
      <w:docPartPr>
        <w:name w:val="202899871933491B85B2860A78480107"/>
        <w:category>
          <w:name w:val="General"/>
          <w:gallery w:val="placeholder"/>
        </w:category>
        <w:types>
          <w:type w:val="bbPlcHdr"/>
        </w:types>
        <w:behaviors>
          <w:behavior w:val="content"/>
        </w:behaviors>
        <w:guid w:val="{D5F8EEBE-0521-4CE7-B003-74D7674B8D93}"/>
      </w:docPartPr>
      <w:docPartBody>
        <w:p w:rsidR="00A2344B" w:rsidRDefault="00EA25CA" w:rsidP="00EA25CA">
          <w:pPr>
            <w:pStyle w:val="202899871933491B85B2860A78480107"/>
          </w:pPr>
          <w:r>
            <w:t>[Pick the date]</w:t>
          </w:r>
        </w:p>
      </w:docPartBody>
    </w:docPart>
    <w:docPart>
      <w:docPartPr>
        <w:name w:val="E5D760799CB046DC98908AB002740513"/>
        <w:category>
          <w:name w:val="General"/>
          <w:gallery w:val="placeholder"/>
        </w:category>
        <w:types>
          <w:type w:val="bbPlcHdr"/>
        </w:types>
        <w:behaviors>
          <w:behavior w:val="content"/>
        </w:behaviors>
        <w:guid w:val="{A272C280-9895-42B5-B38F-EBE361F86845}"/>
      </w:docPartPr>
      <w:docPartBody>
        <w:p w:rsidR="00A2344B" w:rsidRDefault="00EA25CA" w:rsidP="00EA25CA">
          <w:pPr>
            <w:pStyle w:val="E5D760799CB046DC98908AB002740513"/>
          </w:pPr>
          <w: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A25CA"/>
    <w:rsid w:val="001C51D4"/>
    <w:rsid w:val="004E253B"/>
    <w:rsid w:val="00843DAE"/>
    <w:rsid w:val="00A2344B"/>
    <w:rsid w:val="00A60997"/>
    <w:rsid w:val="00EA25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B3254726740433CB4EC472879136F6D">
    <w:name w:val="DB3254726740433CB4EC472879136F6D"/>
    <w:rsid w:val="00EA25CA"/>
  </w:style>
  <w:style w:type="paragraph" w:customStyle="1" w:styleId="1DE82113DA2F405FBB94267B3AB491DA">
    <w:name w:val="1DE82113DA2F405FBB94267B3AB491DA"/>
    <w:rsid w:val="00EA25CA"/>
  </w:style>
  <w:style w:type="paragraph" w:customStyle="1" w:styleId="202899871933491B85B2860A78480107">
    <w:name w:val="202899871933491B85B2860A78480107"/>
    <w:rsid w:val="00EA25CA"/>
  </w:style>
  <w:style w:type="paragraph" w:customStyle="1" w:styleId="E5D760799CB046DC98908AB002740513">
    <w:name w:val="E5D760799CB046DC98908AB002740513"/>
    <w:rsid w:val="00EA25C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692B2F-4A45-4838-9669-DF9AD92F80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11</Pages>
  <Words>2898</Words>
  <Characters>16522</Characters>
  <Application>Microsoft Office Word</Application>
  <DocSecurity>0</DocSecurity>
  <Lines>137</Lines>
  <Paragraphs>38</Paragraphs>
  <ScaleCrop>false</ScaleCrop>
  <Company>  </Company>
  <LinksUpToDate>false</LinksUpToDate>
  <CharactersWithSpaces>19382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how the evolution of HRM facilitates the strategic development of an international hotel brand through workforce planning, recruitment and selection</dc:title>
  <dc:subject>  </dc:subject>
  <cp:keywords/>
  <dc:description/>
  <dcterms:created xsi:type="dcterms:W3CDTF">2024-05-13T18:39:00Z</dcterms:created>
  <dcterms:modified xsi:type="dcterms:W3CDTF">2024-05-13T20:48:00Z</dcterms:modified>
</cp:coreProperties>
</file>