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r w:rsidRPr="00C114F8">
        <w:rPr>
          <w:rFonts w:ascii="Times New Roman" w:eastAsia="Aptos" w:hAnsi="Times New Roman" w:cs="Times New Roman"/>
          <w:color w:val="000000" w:themeColor="text1"/>
        </w:rPr>
        <w:t xml:space="preserve">Title: </w:t>
      </w:r>
      <w:r w:rsidRPr="00C114F8">
        <w:rPr>
          <w:rFonts w:ascii="Times New Roman" w:eastAsia="Times New Roman" w:hAnsi="Times New Roman" w:cs="Times New Roman"/>
          <w:color w:val="000000"/>
          <w:kern w:val="0"/>
          <w:lang w:eastAsia="en-GB"/>
          <w14:ligatures w14:val="none"/>
        </w:rPr>
        <w:t>Critiquing arguments for teaching a standard variety of English: the case of Standard British English</w:t>
      </w:r>
    </w:p>
    <w:p w:rsidR="00404303" w:rsidRPr="00C114F8" w:rsidRDefault="00404303" w:rsidP="00C114F8">
      <w:pPr>
        <w:spacing w:before="240" w:after="240" w:line="360" w:lineRule="auto"/>
        <w:jc w:val="both"/>
        <w:rPr>
          <w:rFonts w:ascii="Times New Roman" w:eastAsia="Aptos" w:hAnsi="Times New Roman" w:cs="Times New Roman"/>
          <w:color w:val="000000" w:themeColor="text1"/>
        </w:rPr>
      </w:pPr>
      <w:r w:rsidRPr="00C114F8">
        <w:rPr>
          <w:rFonts w:ascii="Times New Roman" w:eastAsia="Aptos" w:hAnsi="Times New Roman" w:cs="Times New Roman"/>
          <w:color w:val="000000" w:themeColor="text1"/>
        </w:rPr>
        <w:t xml:space="preserve">Lecturer: </w:t>
      </w:r>
      <w:r w:rsidRPr="00C114F8">
        <w:rPr>
          <w:rFonts w:ascii="Times New Roman" w:hAnsi="Times New Roman" w:cs="Times New Roman"/>
          <w:color w:val="000000" w:themeColor="text1"/>
        </w:rPr>
        <w:t xml:space="preserve">Dr </w:t>
      </w:r>
      <w:r w:rsidR="00DE3965" w:rsidRPr="00C114F8">
        <w:rPr>
          <w:rFonts w:ascii="Times New Roman" w:hAnsi="Times New Roman" w:cs="Times New Roman"/>
          <w:color w:val="000000" w:themeColor="text1"/>
        </w:rPr>
        <w:t>Jessica Clapham</w:t>
      </w:r>
    </w:p>
    <w:p w:rsidR="00404303" w:rsidRPr="00C114F8" w:rsidRDefault="00404303" w:rsidP="00C114F8">
      <w:pPr>
        <w:spacing w:before="240" w:after="240" w:line="360" w:lineRule="auto"/>
        <w:jc w:val="both"/>
        <w:rPr>
          <w:rFonts w:ascii="Times New Roman" w:eastAsia="Aptos" w:hAnsi="Times New Roman" w:cs="Times New Roman"/>
          <w:color w:val="000000" w:themeColor="text1"/>
        </w:rPr>
      </w:pPr>
      <w:r w:rsidRPr="00C114F8">
        <w:rPr>
          <w:rFonts w:ascii="Times New Roman" w:eastAsia="Aptos" w:hAnsi="Times New Roman" w:cs="Times New Roman"/>
          <w:color w:val="000000" w:themeColor="text1"/>
        </w:rPr>
        <w:t xml:space="preserve">Student Name: Galen </w:t>
      </w:r>
      <w:proofErr w:type="spellStart"/>
      <w:r w:rsidRPr="00C114F8">
        <w:rPr>
          <w:rFonts w:ascii="Times New Roman" w:eastAsia="Aptos" w:hAnsi="Times New Roman" w:cs="Times New Roman"/>
          <w:color w:val="000000" w:themeColor="text1"/>
        </w:rPr>
        <w:t>Atanasov</w:t>
      </w:r>
      <w:proofErr w:type="spellEnd"/>
    </w:p>
    <w:p w:rsidR="00404303" w:rsidRPr="00C114F8" w:rsidRDefault="00404303" w:rsidP="00C114F8">
      <w:pPr>
        <w:spacing w:before="240" w:after="240" w:line="360" w:lineRule="auto"/>
        <w:jc w:val="both"/>
        <w:rPr>
          <w:rFonts w:ascii="Times New Roman" w:eastAsia="Aptos" w:hAnsi="Times New Roman" w:cs="Times New Roman"/>
          <w:color w:val="000000" w:themeColor="text1"/>
        </w:rPr>
      </w:pPr>
      <w:r w:rsidRPr="00C114F8">
        <w:rPr>
          <w:rFonts w:ascii="Times New Roman" w:eastAsia="Aptos" w:hAnsi="Times New Roman" w:cs="Times New Roman"/>
          <w:color w:val="000000" w:themeColor="text1"/>
        </w:rPr>
        <w:t>Student Number:</w:t>
      </w:r>
      <w:r w:rsidRPr="00C114F8">
        <w:rPr>
          <w:rFonts w:ascii="Times New Roman" w:eastAsia="Arial" w:hAnsi="Times New Roman" w:cs="Times New Roman"/>
          <w:color w:val="000000" w:themeColor="text1"/>
        </w:rPr>
        <w:t xml:space="preserve"> 2212026</w:t>
      </w:r>
    </w:p>
    <w:p w:rsidR="00404303" w:rsidRPr="00C114F8" w:rsidRDefault="00404303" w:rsidP="00C114F8">
      <w:pPr>
        <w:spacing w:before="240" w:after="240" w:line="360" w:lineRule="auto"/>
        <w:jc w:val="both"/>
        <w:rPr>
          <w:rFonts w:ascii="Times New Roman" w:eastAsia="Aptos" w:hAnsi="Times New Roman" w:cs="Times New Roman"/>
          <w:color w:val="000000" w:themeColor="text1"/>
        </w:rPr>
      </w:pPr>
      <w:r w:rsidRPr="00C114F8">
        <w:rPr>
          <w:rFonts w:ascii="Times New Roman" w:eastAsia="Aptos" w:hAnsi="Times New Roman" w:cs="Times New Roman"/>
          <w:color w:val="000000" w:themeColor="text1"/>
        </w:rPr>
        <w:t>Module: Key Issues in Linguistics 7004</w:t>
      </w: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404303" w:rsidRPr="00C114F8" w:rsidRDefault="00404303"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8E3E6F" w:rsidRDefault="008E3E6F"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p>
    <w:p w:rsidR="00DD1935" w:rsidRPr="00C114F8" w:rsidRDefault="00DD1935"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lastRenderedPageBreak/>
        <w:t>Critiquing arguments for teaching a standard variety of English: the case of Standard British English</w:t>
      </w:r>
    </w:p>
    <w:p w:rsidR="00DD1935" w:rsidRPr="00C114F8" w:rsidRDefault="00DD1935" w:rsidP="00C114F8">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Introduction</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The question of whether English language teaching (ELT) should prioritise a standard variety is no longer a purely pedagogical matter it is also ideological, sociolinguistic, and ethical. English today circulates through international business, higher education, tourism, online communities, and multilingual workplaces in ways that are not reliably anchored to a single “native-speaker” centre (Crystal, 2003). Yet many curricula, coursebooks, teacher education programmes, and high-stakes assessments continue to treat a standard variety</w:t>
      </w:r>
      <w:r w:rsidR="00D37B75"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often Standard British English (SBE) or Standard American English</w:t>
      </w:r>
      <w:r w:rsidR="00D37B75"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as the default target. This essay critiques key arguments commonly made for teaching one standard variety of English, evaluating their linguistic assumptions about sound, structure and meaning, as well as their relationship to language variation and change. It argues that while teaching a standard variety can be justified for reasons of access, intelligibility, and assessment practicality, the stronger claim</w:t>
      </w:r>
      <w:r w:rsidR="00D37B75"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that a standard variety should be taught as the model of “correct English”</w:t>
      </w:r>
      <w:r w:rsidR="00D37B75"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is linguistically reductive and socially exclusionary. A more defensible approach is to teach standard forms as a resource for particular contexts, while planning explicitly for English as a global, variable, and changing lingua franca.</w:t>
      </w:r>
    </w:p>
    <w:p w:rsidR="00DD1935" w:rsidRPr="00C114F8" w:rsidRDefault="00DD1935" w:rsidP="00C114F8">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What counts as “a standard variety”?</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A first problem is conceptual: “Standard English” is often misunderstood as a single “best” kind of English, or even as “proper pronunciation”. Linguistically, Standard English is best described as a socially selected and codified dialect associated with institutions such as education, government, and publishing (Trudgill, 2011). It is not the same thing as an accent, and it is not inherently more logical, expressive, or grammatical than non-standard varieties (Trudgill, 2011). Standardisation itself is historically produced through processes such as selection, codification, elaboration and acceptance</w:t>
      </w:r>
      <w:r w:rsidR="0046008C"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processes deeply connected to state power and social stratification, rather than linguistic superiority (Haugen, 1966; Bourdieu, 1991). In the UK context, SBE typically refers to Standard English grammar/lexis associated with British institutions, often paired</w:t>
      </w:r>
      <w:r w:rsidR="0046008C"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 xml:space="preserve">with prestige pronunciation models such as Received Pronunciation or “General British”, even though accent and </w:t>
      </w:r>
      <w:proofErr w:type="spellStart"/>
      <w:r w:rsidRPr="00C114F8">
        <w:rPr>
          <w:rFonts w:ascii="Times New Roman" w:eastAsia="Times New Roman" w:hAnsi="Times New Roman" w:cs="Times New Roman"/>
          <w:color w:val="000000"/>
          <w:kern w:val="0"/>
          <w:lang w:eastAsia="en-GB"/>
          <w14:ligatures w14:val="none"/>
        </w:rPr>
        <w:t>standardnes</w:t>
      </w:r>
      <w:proofErr w:type="spellEnd"/>
      <w:r w:rsidRPr="00C114F8">
        <w:rPr>
          <w:rFonts w:ascii="Times New Roman" w:eastAsia="Times New Roman" w:hAnsi="Times New Roman" w:cs="Times New Roman"/>
          <w:color w:val="000000"/>
          <w:kern w:val="0"/>
          <w:lang w:eastAsia="en-GB"/>
          <w14:ligatures w14:val="none"/>
        </w:rPr>
        <w:t xml:space="preserve"> are separate dimensions.</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lastRenderedPageBreak/>
        <w:t>This matters because many arguments for teaching SBE quietly merge:</w:t>
      </w:r>
      <w:r w:rsidR="0046008C"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codified grammar and orthography,</w:t>
      </w:r>
      <w:r w:rsidR="0046008C"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prestige accents, and a “native speaker” norm, treating them as one package. The critique that follows shows why that package deal is intellectually weak and pedagogically risky.</w:t>
      </w:r>
    </w:p>
    <w:p w:rsidR="00DD1935" w:rsidRPr="00C114F8" w:rsidRDefault="00DD1935" w:rsidP="00C114F8">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Arguments for teaching Standard British English</w:t>
      </w:r>
      <w:r w:rsidR="0046008C" w:rsidRPr="00C114F8">
        <w:rPr>
          <w:rFonts w:ascii="Times New Roman" w:eastAsia="Times New Roman" w:hAnsi="Times New Roman" w:cs="Times New Roman"/>
          <w:b/>
          <w:bCs/>
          <w:color w:val="000000"/>
          <w:kern w:val="0"/>
          <w:lang w:eastAsia="en-GB"/>
          <w14:ligatures w14:val="none"/>
        </w:rPr>
        <w:t xml:space="preserve"> </w:t>
      </w:r>
      <w:r w:rsidRPr="00C114F8">
        <w:rPr>
          <w:rFonts w:ascii="Times New Roman" w:eastAsia="Times New Roman" w:hAnsi="Times New Roman" w:cs="Times New Roman"/>
          <w:b/>
          <w:bCs/>
          <w:color w:val="000000"/>
          <w:kern w:val="0"/>
          <w:lang w:eastAsia="en-GB"/>
          <w14:ligatures w14:val="none"/>
        </w:rPr>
        <w:t>and their limits</w:t>
      </w:r>
    </w:p>
    <w:p w:rsidR="00DD1935" w:rsidRPr="00C114F8" w:rsidRDefault="00DD1935" w:rsidP="00C114F8">
      <w:pPr>
        <w:spacing w:before="100" w:beforeAutospacing="1" w:after="100" w:afterAutospacing="1" w:line="360" w:lineRule="auto"/>
        <w:jc w:val="both"/>
        <w:outlineLvl w:val="3"/>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1) A standard variety provides clarity and correctness</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A frequent claim is that learners need a single stable model so they can avoid errors and communicate clearly. This argument has practical appeal: teachers must correct work, grade performance, and provide feedback; a shared norm seems to reduce ambiguity. Moreover, in written English</w:t>
      </w:r>
      <w:r w:rsidR="000A6B7C"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where spelling, punctuation, and many conventions of academic style are standardised</w:t>
      </w:r>
      <w:r w:rsidR="000A6B7C"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some common norms are indispensable for participation in education and professional life (Trudgill, 2011).</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However, the leap from codified conventions to linguistic correctness is not justified. Standard language ideology often frames non-standard forms as deficient rather than different, even when those forms are systematic and meaningful within their communities (Milroy and Milroy, 2012). In other words, correctness often functions as a social judgement masked as a linguistic one. This is especially visible in accent prejudice: speakers can be fully intelligible yet still be judged negatively because their accent deviates from a prestige norm (Lippi-Green, 1994; Lippi-Green, 2012). If ELT treats SBE as the only proper model, it risks reproducing discriminatory hierarchies under the banner of clarity.</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A linguistically grounded alternative is to distinguish accuracy from appropriateness and from intelligibility. These are not the same, and conflating them encourages the policing of learners’ identities rather than the development of communicative competence.</w:t>
      </w:r>
    </w:p>
    <w:p w:rsidR="00DD1935" w:rsidRPr="00C114F8" w:rsidRDefault="00DD1935" w:rsidP="00C114F8">
      <w:pPr>
        <w:spacing w:before="100" w:beforeAutospacing="1" w:after="100" w:afterAutospacing="1" w:line="360" w:lineRule="auto"/>
        <w:jc w:val="both"/>
        <w:outlineLvl w:val="3"/>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2) Teaching SBE gives learners access to education and mobility</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 xml:space="preserve">This is arguably the strongest pro-standard argument: SBE is associated with gatekeeping systems and thus provides learners with valuable linguistic capital (Bourdieu, 1991). Quirk famously warned that decentring Standard English could deny learners access to wider international communication and social opportunity (Quirk, 1990). From this perspective, </w:t>
      </w:r>
      <w:r w:rsidRPr="00C114F8">
        <w:rPr>
          <w:rFonts w:ascii="Times New Roman" w:eastAsia="Times New Roman" w:hAnsi="Times New Roman" w:cs="Times New Roman"/>
          <w:color w:val="000000"/>
          <w:kern w:val="0"/>
          <w:lang w:eastAsia="en-GB"/>
          <w14:ligatures w14:val="none"/>
        </w:rPr>
        <w:lastRenderedPageBreak/>
        <w:t>teaching SBE is an equity move: it equips learners with the prestige-coded forms required to pass institutional filters.</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The critique is not that access is unimportant, but that access can be pursued without endorsing the ideology that the standard is the only legitimate target. The access</w:t>
      </w:r>
      <w:r w:rsidR="0061014F"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argument becomes problematic when it rationalises assimilation: learners are positioned as successful only when they approximate elite norms, including accent norms that are difficult</w:t>
      </w:r>
      <w:r w:rsidR="0061014F"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for adult learners to acquire and not necessary for being understood (</w:t>
      </w:r>
      <w:proofErr w:type="spellStart"/>
      <w:r w:rsidRPr="00C114F8">
        <w:rPr>
          <w:rFonts w:ascii="Times New Roman" w:eastAsia="Times New Roman" w:hAnsi="Times New Roman" w:cs="Times New Roman"/>
          <w:color w:val="000000"/>
          <w:kern w:val="0"/>
          <w:lang w:eastAsia="en-GB"/>
          <w14:ligatures w14:val="none"/>
        </w:rPr>
        <w:t>Derwing</w:t>
      </w:r>
      <w:proofErr w:type="spellEnd"/>
      <w:r w:rsidRPr="00C114F8">
        <w:rPr>
          <w:rFonts w:ascii="Times New Roman" w:eastAsia="Times New Roman" w:hAnsi="Times New Roman" w:cs="Times New Roman"/>
          <w:color w:val="000000"/>
          <w:kern w:val="0"/>
          <w:lang w:eastAsia="en-GB"/>
          <w14:ligatures w14:val="none"/>
        </w:rPr>
        <w:t xml:space="preserve"> and Munro, 1997). When institutions reward one accent more than another, that is a social bias, not a linguistic fact</w:t>
      </w:r>
      <w:r w:rsidR="0061014F" w:rsidRPr="00C114F8">
        <w:rPr>
          <w:rFonts w:ascii="Times New Roman" w:eastAsia="Times New Roman" w:hAnsi="Times New Roman" w:cs="Times New Roman"/>
          <w:color w:val="000000"/>
          <w:kern w:val="0"/>
          <w:lang w:eastAsia="en-GB"/>
          <w14:ligatures w14:val="none"/>
        </w:rPr>
        <w:t>.</w:t>
      </w:r>
      <w:r w:rsidRPr="00C114F8">
        <w:rPr>
          <w:rFonts w:ascii="Times New Roman" w:eastAsia="Times New Roman" w:hAnsi="Times New Roman" w:cs="Times New Roman"/>
          <w:color w:val="000000"/>
          <w:kern w:val="0"/>
          <w:lang w:eastAsia="en-GB"/>
          <w14:ligatures w14:val="none"/>
        </w:rPr>
        <w:t xml:space="preserve"> ELT can prepare learners for existing systems while still naming those systems as partial and contestable (Lippi-Green, 2012).</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In addition, English now often functions in multilingual settings where interactions occur primarily among non-native speakers. In such contexts access may mean the capacity to negotiate meaning across diverse accents, grammars, and pragmatic styles</w:t>
      </w:r>
      <w:r w:rsidR="0061014F"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not merely approximating SBE (</w:t>
      </w:r>
      <w:proofErr w:type="spellStart"/>
      <w:r w:rsidRPr="00C114F8">
        <w:rPr>
          <w:rFonts w:ascii="Times New Roman" w:eastAsia="Times New Roman" w:hAnsi="Times New Roman" w:cs="Times New Roman"/>
          <w:color w:val="000000"/>
          <w:kern w:val="0"/>
          <w:lang w:eastAsia="en-GB"/>
          <w14:ligatures w14:val="none"/>
        </w:rPr>
        <w:t>Seidlhofer</w:t>
      </w:r>
      <w:proofErr w:type="spellEnd"/>
      <w:r w:rsidRPr="00C114F8">
        <w:rPr>
          <w:rFonts w:ascii="Times New Roman" w:eastAsia="Times New Roman" w:hAnsi="Times New Roman" w:cs="Times New Roman"/>
          <w:color w:val="000000"/>
          <w:kern w:val="0"/>
          <w:lang w:eastAsia="en-GB"/>
          <w14:ligatures w14:val="none"/>
        </w:rPr>
        <w:t xml:space="preserve">, 2001; </w:t>
      </w:r>
      <w:proofErr w:type="spellStart"/>
      <w:r w:rsidRPr="00C114F8">
        <w:rPr>
          <w:rFonts w:ascii="Times New Roman" w:eastAsia="Times New Roman" w:hAnsi="Times New Roman" w:cs="Times New Roman"/>
          <w:color w:val="000000"/>
          <w:kern w:val="0"/>
          <w:lang w:eastAsia="en-GB"/>
          <w14:ligatures w14:val="none"/>
        </w:rPr>
        <w:t>Cogo</w:t>
      </w:r>
      <w:proofErr w:type="spellEnd"/>
      <w:r w:rsidRPr="00C114F8">
        <w:rPr>
          <w:rFonts w:ascii="Times New Roman" w:eastAsia="Times New Roman" w:hAnsi="Times New Roman" w:cs="Times New Roman"/>
          <w:color w:val="000000"/>
          <w:kern w:val="0"/>
          <w:lang w:eastAsia="en-GB"/>
          <w14:ligatures w14:val="none"/>
        </w:rPr>
        <w:t xml:space="preserve"> and Dewey, 2012). A strictly SBE-centric programme can underprepare learners for the communicative reality they will face.</w:t>
      </w:r>
    </w:p>
    <w:p w:rsidR="00DD1935" w:rsidRPr="00C114F8" w:rsidRDefault="00DD1935" w:rsidP="00C114F8">
      <w:pPr>
        <w:spacing w:before="100" w:beforeAutospacing="1" w:after="100" w:afterAutospacing="1" w:line="360" w:lineRule="auto"/>
        <w:jc w:val="both"/>
        <w:outlineLvl w:val="3"/>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3) A single standard supports intelligibility, especially in pronunciation</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Pronunciation teaching is where standard norms become most contentious. The common belief is the closer learners sound to a standard native model, the more intelligible they will be. But pronunciation research and ELF scholarship complicate this assumption. Intelligibility is not identical to “</w:t>
      </w:r>
      <w:proofErr w:type="spellStart"/>
      <w:r w:rsidRPr="00C114F8">
        <w:rPr>
          <w:rFonts w:ascii="Times New Roman" w:eastAsia="Times New Roman" w:hAnsi="Times New Roman" w:cs="Times New Roman"/>
          <w:color w:val="000000"/>
          <w:kern w:val="0"/>
          <w:lang w:eastAsia="en-GB"/>
          <w14:ligatures w14:val="none"/>
        </w:rPr>
        <w:t>accentedness</w:t>
      </w:r>
      <w:proofErr w:type="spellEnd"/>
      <w:r w:rsidRPr="00C114F8">
        <w:rPr>
          <w:rFonts w:ascii="Times New Roman" w:eastAsia="Times New Roman" w:hAnsi="Times New Roman" w:cs="Times New Roman"/>
          <w:color w:val="000000"/>
          <w:kern w:val="0"/>
          <w:lang w:eastAsia="en-GB"/>
          <w14:ligatures w14:val="none"/>
        </w:rPr>
        <w:t>”</w:t>
      </w:r>
      <w:r w:rsidR="0061014F" w:rsidRPr="00C114F8">
        <w:rPr>
          <w:rFonts w:ascii="Times New Roman" w:eastAsia="Times New Roman" w:hAnsi="Times New Roman" w:cs="Times New Roman"/>
          <w:color w:val="000000"/>
          <w:kern w:val="0"/>
          <w:lang w:eastAsia="en-GB"/>
          <w14:ligatures w14:val="none"/>
        </w:rPr>
        <w:t>,</w:t>
      </w:r>
      <w:r w:rsidRPr="00C114F8">
        <w:rPr>
          <w:rFonts w:ascii="Times New Roman" w:eastAsia="Times New Roman" w:hAnsi="Times New Roman" w:cs="Times New Roman"/>
          <w:color w:val="000000"/>
          <w:kern w:val="0"/>
          <w:lang w:eastAsia="en-GB"/>
          <w14:ligatures w14:val="none"/>
        </w:rPr>
        <w:t xml:space="preserve"> speakers can have a noticeable accent while still being easy to understand (</w:t>
      </w:r>
      <w:proofErr w:type="spellStart"/>
      <w:r w:rsidRPr="00C114F8">
        <w:rPr>
          <w:rFonts w:ascii="Times New Roman" w:eastAsia="Times New Roman" w:hAnsi="Times New Roman" w:cs="Times New Roman"/>
          <w:color w:val="000000"/>
          <w:kern w:val="0"/>
          <w:lang w:eastAsia="en-GB"/>
          <w14:ligatures w14:val="none"/>
        </w:rPr>
        <w:t>Derwing</w:t>
      </w:r>
      <w:proofErr w:type="spellEnd"/>
      <w:r w:rsidRPr="00C114F8">
        <w:rPr>
          <w:rFonts w:ascii="Times New Roman" w:eastAsia="Times New Roman" w:hAnsi="Times New Roman" w:cs="Times New Roman"/>
          <w:color w:val="000000"/>
          <w:kern w:val="0"/>
          <w:lang w:eastAsia="en-GB"/>
          <w14:ligatures w14:val="none"/>
        </w:rPr>
        <w:t xml:space="preserve"> and Munro, 1997). In ELF contexts, what matters is often mutual understanding across diverse speaker backgrounds, not convergence on a prestige native accent (Jenkins, 2000).</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 xml:space="preserve">Jenkins’ proposal of a Lingua Franca Core (LFC) illustrates a shift from sound like the standard to teach what helps comprehension (Jenkins, 2000). Whether one accepts her specific list in full, the underlying principle is relevant: intelligibility-based selection can be more defensible than prestige imitation. </w:t>
      </w:r>
      <w:proofErr w:type="spellStart"/>
      <w:r w:rsidRPr="00C114F8">
        <w:rPr>
          <w:rFonts w:ascii="Times New Roman" w:eastAsia="Times New Roman" w:hAnsi="Times New Roman" w:cs="Times New Roman"/>
          <w:color w:val="000000"/>
          <w:kern w:val="0"/>
          <w:lang w:eastAsia="en-GB"/>
          <w14:ligatures w14:val="none"/>
        </w:rPr>
        <w:t>Levis</w:t>
      </w:r>
      <w:proofErr w:type="spellEnd"/>
      <w:r w:rsidRPr="00C114F8">
        <w:rPr>
          <w:rFonts w:ascii="Times New Roman" w:eastAsia="Times New Roman" w:hAnsi="Times New Roman" w:cs="Times New Roman"/>
          <w:color w:val="000000"/>
          <w:kern w:val="0"/>
          <w:lang w:eastAsia="en-GB"/>
          <w14:ligatures w14:val="none"/>
        </w:rPr>
        <w:t xml:space="preserve"> similarly describes how pronunciation teaching has shifted paradigms, increasingly emphasising intelligibility and the social consequences of accent norms (</w:t>
      </w:r>
      <w:proofErr w:type="spellStart"/>
      <w:r w:rsidRPr="00C114F8">
        <w:rPr>
          <w:rFonts w:ascii="Times New Roman" w:eastAsia="Times New Roman" w:hAnsi="Times New Roman" w:cs="Times New Roman"/>
          <w:color w:val="000000"/>
          <w:kern w:val="0"/>
          <w:lang w:eastAsia="en-GB"/>
          <w14:ligatures w14:val="none"/>
        </w:rPr>
        <w:t>Levis</w:t>
      </w:r>
      <w:proofErr w:type="spellEnd"/>
      <w:r w:rsidRPr="00C114F8">
        <w:rPr>
          <w:rFonts w:ascii="Times New Roman" w:eastAsia="Times New Roman" w:hAnsi="Times New Roman" w:cs="Times New Roman"/>
          <w:color w:val="000000"/>
          <w:kern w:val="0"/>
          <w:lang w:eastAsia="en-GB"/>
          <w14:ligatures w14:val="none"/>
        </w:rPr>
        <w:t xml:space="preserve">, 2005). The critique here is not that pronunciation models are useless, but that </w:t>
      </w:r>
      <w:r w:rsidRPr="00C114F8">
        <w:rPr>
          <w:rFonts w:ascii="Times New Roman" w:eastAsia="Times New Roman" w:hAnsi="Times New Roman" w:cs="Times New Roman"/>
          <w:color w:val="000000"/>
          <w:kern w:val="0"/>
          <w:lang w:eastAsia="en-GB"/>
          <w14:ligatures w14:val="none"/>
        </w:rPr>
        <w:lastRenderedPageBreak/>
        <w:t>using SBE pronunciation as the universal target can misalign teaching priorities and intensify accent stigma.</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So, teaching SBE pronunciation as one available model is reasonable</w:t>
      </w:r>
      <w:r w:rsidR="007550E6"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presenting it as the natural endpoint is not. A more appropriate goal is intelligibility plus accommodation strategies</w:t>
      </w:r>
      <w:r w:rsidR="007550E6"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skills for managing variation in real interaction (</w:t>
      </w:r>
      <w:proofErr w:type="spellStart"/>
      <w:r w:rsidRPr="00C114F8">
        <w:rPr>
          <w:rFonts w:ascii="Times New Roman" w:eastAsia="Times New Roman" w:hAnsi="Times New Roman" w:cs="Times New Roman"/>
          <w:color w:val="000000"/>
          <w:kern w:val="0"/>
          <w:lang w:eastAsia="en-GB"/>
          <w14:ligatures w14:val="none"/>
        </w:rPr>
        <w:t>Seidlhofer</w:t>
      </w:r>
      <w:proofErr w:type="spellEnd"/>
      <w:r w:rsidRPr="00C114F8">
        <w:rPr>
          <w:rFonts w:ascii="Times New Roman" w:eastAsia="Times New Roman" w:hAnsi="Times New Roman" w:cs="Times New Roman"/>
          <w:color w:val="000000"/>
          <w:kern w:val="0"/>
          <w:lang w:eastAsia="en-GB"/>
          <w14:ligatures w14:val="none"/>
        </w:rPr>
        <w:t>, 2013; Jenkins, 2007).</w:t>
      </w:r>
    </w:p>
    <w:p w:rsidR="00DD1935" w:rsidRPr="00C114F8" w:rsidRDefault="00DD1935" w:rsidP="00C114F8">
      <w:pPr>
        <w:spacing w:before="100" w:beforeAutospacing="1" w:after="100" w:afterAutospacing="1" w:line="360" w:lineRule="auto"/>
        <w:jc w:val="both"/>
        <w:outlineLvl w:val="3"/>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4) Standardisation is necessary for assessment and materials</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 xml:space="preserve">Large-scale assessment systems need </w:t>
      </w:r>
      <w:r w:rsidR="00AD7D2B" w:rsidRPr="00C114F8">
        <w:rPr>
          <w:rFonts w:ascii="Times New Roman" w:eastAsia="Times New Roman" w:hAnsi="Times New Roman" w:cs="Times New Roman"/>
          <w:color w:val="000000"/>
          <w:kern w:val="0"/>
          <w:lang w:eastAsia="en-GB"/>
          <w14:ligatures w14:val="none"/>
        </w:rPr>
        <w:t>operationalizable</w:t>
      </w:r>
      <w:r w:rsidRPr="00C114F8">
        <w:rPr>
          <w:rFonts w:ascii="Times New Roman" w:eastAsia="Times New Roman" w:hAnsi="Times New Roman" w:cs="Times New Roman"/>
          <w:color w:val="000000"/>
          <w:kern w:val="0"/>
          <w:lang w:eastAsia="en-GB"/>
          <w14:ligatures w14:val="none"/>
        </w:rPr>
        <w:t xml:space="preserve"> criteria. Coursebooks also tend to require consistent norms of spelling, grammar, and lexis. This is a genuine logistical pressure, and it partly explains why native-speaker models persist even when teachers intellectually recognise global diversity (</w:t>
      </w:r>
      <w:proofErr w:type="spellStart"/>
      <w:r w:rsidRPr="00C114F8">
        <w:rPr>
          <w:rFonts w:ascii="Times New Roman" w:eastAsia="Times New Roman" w:hAnsi="Times New Roman" w:cs="Times New Roman"/>
          <w:color w:val="000000"/>
          <w:kern w:val="0"/>
          <w:lang w:eastAsia="en-GB"/>
          <w14:ligatures w14:val="none"/>
        </w:rPr>
        <w:t>Seidlhofer</w:t>
      </w:r>
      <w:proofErr w:type="spellEnd"/>
      <w:r w:rsidRPr="00C114F8">
        <w:rPr>
          <w:rFonts w:ascii="Times New Roman" w:eastAsia="Times New Roman" w:hAnsi="Times New Roman" w:cs="Times New Roman"/>
          <w:color w:val="000000"/>
          <w:kern w:val="0"/>
          <w:lang w:eastAsia="en-GB"/>
          <w14:ligatures w14:val="none"/>
        </w:rPr>
        <w:t>, 2001).</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Yet the assessment argument can become circular we teach SBE because exams test SBE</w:t>
      </w:r>
      <w:r w:rsidR="00CB7367" w:rsidRPr="00C114F8">
        <w:rPr>
          <w:rFonts w:ascii="Times New Roman" w:eastAsia="Times New Roman" w:hAnsi="Times New Roman" w:cs="Times New Roman"/>
          <w:color w:val="000000"/>
          <w:kern w:val="0"/>
          <w:lang w:eastAsia="en-GB"/>
          <w14:ligatures w14:val="none"/>
        </w:rPr>
        <w:t>,</w:t>
      </w:r>
      <w:r w:rsidRPr="00C114F8">
        <w:rPr>
          <w:rFonts w:ascii="Times New Roman" w:eastAsia="Times New Roman" w:hAnsi="Times New Roman" w:cs="Times New Roman"/>
          <w:color w:val="000000"/>
          <w:kern w:val="0"/>
          <w:lang w:eastAsia="en-GB"/>
          <w14:ligatures w14:val="none"/>
        </w:rPr>
        <w:t xml:space="preserve"> exams test SBE because we teach SBE. Moreover, this institutional anchoring is linked to the broader industry dynamics of ELT, including “native-speakerism”</w:t>
      </w:r>
      <w:r w:rsidR="00CB7367"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the belief that native speakers are the best linguistic models and teachers (Holliday, 2006). Native-speakerism intersects with hiring practices, materials marketing, and assumptions about Western culture as the default reference frame (Holliday, 2006). A standard variety can thus function as an economic brand as much as a pedagogical tool.</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 xml:space="preserve">If assessment must use standards, a critical stance would still ask: Which features are being standardised? Are we assessing communicative effectiveness, intercultural competence, and meaning negotiation, or mainly surface conformity to one variety? </w:t>
      </w:r>
      <w:proofErr w:type="spellStart"/>
      <w:r w:rsidRPr="00C114F8">
        <w:rPr>
          <w:rFonts w:ascii="Times New Roman" w:eastAsia="Times New Roman" w:hAnsi="Times New Roman" w:cs="Times New Roman"/>
          <w:color w:val="000000"/>
          <w:kern w:val="0"/>
          <w:lang w:eastAsia="en-GB"/>
          <w14:ligatures w14:val="none"/>
        </w:rPr>
        <w:t>Alptekin</w:t>
      </w:r>
      <w:proofErr w:type="spellEnd"/>
      <w:r w:rsidRPr="00C114F8">
        <w:rPr>
          <w:rFonts w:ascii="Times New Roman" w:eastAsia="Times New Roman" w:hAnsi="Times New Roman" w:cs="Times New Roman"/>
          <w:color w:val="000000"/>
          <w:kern w:val="0"/>
          <w:lang w:eastAsia="en-GB"/>
          <w14:ligatures w14:val="none"/>
        </w:rPr>
        <w:t xml:space="preserve"> argues that native-speaker-based communicative competence models can be unrealistic and constraining, advocating intercultural communicative competence more aligned with English as an international language (</w:t>
      </w:r>
      <w:proofErr w:type="spellStart"/>
      <w:r w:rsidRPr="00C114F8">
        <w:rPr>
          <w:rFonts w:ascii="Times New Roman" w:eastAsia="Times New Roman" w:hAnsi="Times New Roman" w:cs="Times New Roman"/>
          <w:color w:val="000000"/>
          <w:kern w:val="0"/>
          <w:lang w:eastAsia="en-GB"/>
          <w14:ligatures w14:val="none"/>
        </w:rPr>
        <w:t>Alptekin</w:t>
      </w:r>
      <w:proofErr w:type="spellEnd"/>
      <w:r w:rsidRPr="00C114F8">
        <w:rPr>
          <w:rFonts w:ascii="Times New Roman" w:eastAsia="Times New Roman" w:hAnsi="Times New Roman" w:cs="Times New Roman"/>
          <w:color w:val="000000"/>
          <w:kern w:val="0"/>
          <w:lang w:eastAsia="en-GB"/>
          <w14:ligatures w14:val="none"/>
        </w:rPr>
        <w:t>, 2002). This supports redesigning assessment rubrics to separate intelligibility and interactional competence from accent prestige and narrow idiomaticity.</w:t>
      </w:r>
    </w:p>
    <w:p w:rsidR="00DD1935" w:rsidRPr="00C114F8" w:rsidRDefault="00DD1935" w:rsidP="00C114F8">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Bringing language into the critique</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Sound phonology/phonetics.</w:t>
      </w:r>
      <w:r w:rsidRPr="00C114F8">
        <w:rPr>
          <w:rFonts w:ascii="Times New Roman" w:eastAsia="Times New Roman" w:hAnsi="Times New Roman" w:cs="Times New Roman"/>
          <w:color w:val="000000"/>
          <w:kern w:val="0"/>
          <w:lang w:eastAsia="en-GB"/>
          <w14:ligatures w14:val="none"/>
        </w:rPr>
        <w:t> SBE-centred teaching often prioritises features that index British prestige</w:t>
      </w:r>
      <w:r w:rsidR="00985D56"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 xml:space="preserve">Yet in many international interactions, the crucial “sound” problem is not sounding British but being understood. Evidence that intelligibility and </w:t>
      </w:r>
      <w:proofErr w:type="spellStart"/>
      <w:r w:rsidRPr="00C114F8">
        <w:rPr>
          <w:rFonts w:ascii="Times New Roman" w:eastAsia="Times New Roman" w:hAnsi="Times New Roman" w:cs="Times New Roman"/>
          <w:color w:val="000000"/>
          <w:kern w:val="0"/>
          <w:lang w:eastAsia="en-GB"/>
          <w14:ligatures w14:val="none"/>
        </w:rPr>
        <w:t>accentedness</w:t>
      </w:r>
      <w:proofErr w:type="spellEnd"/>
      <w:r w:rsidRPr="00C114F8">
        <w:rPr>
          <w:rFonts w:ascii="Times New Roman" w:eastAsia="Times New Roman" w:hAnsi="Times New Roman" w:cs="Times New Roman"/>
          <w:color w:val="000000"/>
          <w:kern w:val="0"/>
          <w:lang w:eastAsia="en-GB"/>
          <w14:ligatures w14:val="none"/>
        </w:rPr>
        <w:t xml:space="preserve"> diverge </w:t>
      </w:r>
      <w:r w:rsidRPr="00C114F8">
        <w:rPr>
          <w:rFonts w:ascii="Times New Roman" w:eastAsia="Times New Roman" w:hAnsi="Times New Roman" w:cs="Times New Roman"/>
          <w:color w:val="000000"/>
          <w:kern w:val="0"/>
          <w:lang w:eastAsia="en-GB"/>
          <w14:ligatures w14:val="none"/>
        </w:rPr>
        <w:lastRenderedPageBreak/>
        <w:t>(</w:t>
      </w:r>
      <w:proofErr w:type="spellStart"/>
      <w:r w:rsidRPr="00C114F8">
        <w:rPr>
          <w:rFonts w:ascii="Times New Roman" w:eastAsia="Times New Roman" w:hAnsi="Times New Roman" w:cs="Times New Roman"/>
          <w:color w:val="000000"/>
          <w:kern w:val="0"/>
          <w:lang w:eastAsia="en-GB"/>
          <w14:ligatures w14:val="none"/>
        </w:rPr>
        <w:t>Derwing</w:t>
      </w:r>
      <w:proofErr w:type="spellEnd"/>
      <w:r w:rsidRPr="00C114F8">
        <w:rPr>
          <w:rFonts w:ascii="Times New Roman" w:eastAsia="Times New Roman" w:hAnsi="Times New Roman" w:cs="Times New Roman"/>
          <w:color w:val="000000"/>
          <w:kern w:val="0"/>
          <w:lang w:eastAsia="en-GB"/>
          <w14:ligatures w14:val="none"/>
        </w:rPr>
        <w:t xml:space="preserve"> and Munro, 1997) suggests that pedagogy should target functional contrasts and listener-oriented clarity rather than prestige mimicry. Jenkins’ work explicitly reframes pronunciation goals around mutual intelligibility (Jenkins, 2000).</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Structure grammar and discourse.</w:t>
      </w:r>
      <w:r w:rsidRPr="00C114F8">
        <w:rPr>
          <w:rFonts w:ascii="Times New Roman" w:eastAsia="Times New Roman" w:hAnsi="Times New Roman" w:cs="Times New Roman"/>
          <w:color w:val="000000"/>
          <w:kern w:val="0"/>
          <w:lang w:eastAsia="en-GB"/>
          <w14:ligatures w14:val="none"/>
        </w:rPr>
        <w:t> Standard grammar is not a neutral “core”; it is a historically codified selection that carries institutional authority (Milroy and Milroy, 2012). In ELF usage, speakers may employ forms that diverge from standard grammatical expectations yet still achieve successful communication through shared pragmatic strategies and cooperative repair (</w:t>
      </w:r>
      <w:proofErr w:type="spellStart"/>
      <w:r w:rsidRPr="00C114F8">
        <w:rPr>
          <w:rFonts w:ascii="Times New Roman" w:eastAsia="Times New Roman" w:hAnsi="Times New Roman" w:cs="Times New Roman"/>
          <w:color w:val="000000"/>
          <w:kern w:val="0"/>
          <w:lang w:eastAsia="en-GB"/>
          <w14:ligatures w14:val="none"/>
        </w:rPr>
        <w:t>Cogo</w:t>
      </w:r>
      <w:proofErr w:type="spellEnd"/>
      <w:r w:rsidRPr="00C114F8">
        <w:rPr>
          <w:rFonts w:ascii="Times New Roman" w:eastAsia="Times New Roman" w:hAnsi="Times New Roman" w:cs="Times New Roman"/>
          <w:color w:val="000000"/>
          <w:kern w:val="0"/>
          <w:lang w:eastAsia="en-GB"/>
          <w14:ligatures w14:val="none"/>
        </w:rPr>
        <w:t xml:space="preserve"> and Dewey, 2012). This does not mean anything goes, but it challenges the notion that standard grammar is the only legitimate structural target.</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Meaning semantics and pragmatics.</w:t>
      </w:r>
      <w:r w:rsidRPr="00C114F8">
        <w:rPr>
          <w:rFonts w:ascii="Times New Roman" w:eastAsia="Times New Roman" w:hAnsi="Times New Roman" w:cs="Times New Roman"/>
          <w:color w:val="000000"/>
          <w:kern w:val="0"/>
          <w:lang w:eastAsia="en-GB"/>
          <w14:ligatures w14:val="none"/>
        </w:rPr>
        <w:t> Meaning is negotiated socially. In international settings, pragmatic competence often involves avoiding culture-bound idioms, checking understanding, and managing politeness across norms—skills not guaranteed by mastery of SBE forms (</w:t>
      </w:r>
      <w:proofErr w:type="spellStart"/>
      <w:r w:rsidRPr="00C114F8">
        <w:rPr>
          <w:rFonts w:ascii="Times New Roman" w:eastAsia="Times New Roman" w:hAnsi="Times New Roman" w:cs="Times New Roman"/>
          <w:color w:val="000000"/>
          <w:kern w:val="0"/>
          <w:lang w:eastAsia="en-GB"/>
          <w14:ligatures w14:val="none"/>
        </w:rPr>
        <w:t>Alptekin</w:t>
      </w:r>
      <w:proofErr w:type="spellEnd"/>
      <w:r w:rsidRPr="00C114F8">
        <w:rPr>
          <w:rFonts w:ascii="Times New Roman" w:eastAsia="Times New Roman" w:hAnsi="Times New Roman" w:cs="Times New Roman"/>
          <w:color w:val="000000"/>
          <w:kern w:val="0"/>
          <w:lang w:eastAsia="en-GB"/>
          <w14:ligatures w14:val="none"/>
        </w:rPr>
        <w:t>, 2002; McKay, 2002). Teaching that over-focuses on inner-circle cultural scripts may produce learners who are accurate but pragmatically inflexible.</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Change historical and sociolinguistic evolution.</w:t>
      </w:r>
      <w:r w:rsidRPr="00C114F8">
        <w:rPr>
          <w:rFonts w:ascii="Times New Roman" w:eastAsia="Times New Roman" w:hAnsi="Times New Roman" w:cs="Times New Roman"/>
          <w:color w:val="000000"/>
          <w:kern w:val="0"/>
          <w:lang w:eastAsia="en-GB"/>
          <w14:ligatures w14:val="none"/>
        </w:rPr>
        <w:t> English is demonstrably changing and diversifying, with new varieties stabilising in postcolonial and globalised contexts (Kachru, 1985; Schneider, 2007). Treating SBE as timeless “proper English” misrepresents language as static. Standardisation can lag behind real usage; insisting on SBE as the singular benchmark can therefore train learners for a fiction rather than a living language.</w:t>
      </w:r>
    </w:p>
    <w:p w:rsidR="00DD1935" w:rsidRPr="00C114F8" w:rsidRDefault="00DD1935" w:rsidP="00C114F8">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A position: teach SBE as a strategic repertoire, not as the single endpoint</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Given the critique, what should ELT do? This essay supports a “both/and” position:</w:t>
      </w:r>
    </w:p>
    <w:p w:rsidR="00DD1935" w:rsidRPr="00C114F8" w:rsidRDefault="00DD1935" w:rsidP="00C114F8">
      <w:pPr>
        <w:numPr>
          <w:ilvl w:val="0"/>
          <w:numId w:val="1"/>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Teach standard writing conventions explicitly for access</w:t>
      </w:r>
      <w:r w:rsidRPr="00C114F8">
        <w:rPr>
          <w:rFonts w:ascii="Times New Roman" w:eastAsia="Times New Roman" w:hAnsi="Times New Roman" w:cs="Times New Roman"/>
          <w:color w:val="000000"/>
          <w:kern w:val="0"/>
          <w:lang w:eastAsia="en-GB"/>
          <w14:ligatures w14:val="none"/>
        </w:rPr>
        <w:t> academic register, mainstream grammar for formal contexts, and institutional genres. This is justified by the reality of gatekeeping and the value of linguistic capital (Bourdieu, 1991; Trudgill, 2011).</w:t>
      </w:r>
    </w:p>
    <w:p w:rsidR="00DD1935" w:rsidRPr="00C114F8" w:rsidRDefault="00DD1935" w:rsidP="00C114F8">
      <w:pPr>
        <w:numPr>
          <w:ilvl w:val="0"/>
          <w:numId w:val="1"/>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Decentre prestige accent targets</w:t>
      </w:r>
      <w:r w:rsidRPr="00C114F8">
        <w:rPr>
          <w:rFonts w:ascii="Times New Roman" w:eastAsia="Times New Roman" w:hAnsi="Times New Roman" w:cs="Times New Roman"/>
          <w:color w:val="000000"/>
          <w:kern w:val="0"/>
          <w:lang w:eastAsia="en-GB"/>
          <w14:ligatures w14:val="none"/>
        </w:rPr>
        <w:t> by adopting intelligibility and comprehensibility as core outcomes, using a model accent as optional reference rather than as a moral standard (</w:t>
      </w:r>
      <w:proofErr w:type="spellStart"/>
      <w:r w:rsidRPr="00C114F8">
        <w:rPr>
          <w:rFonts w:ascii="Times New Roman" w:eastAsia="Times New Roman" w:hAnsi="Times New Roman" w:cs="Times New Roman"/>
          <w:color w:val="000000"/>
          <w:kern w:val="0"/>
          <w:lang w:eastAsia="en-GB"/>
          <w14:ligatures w14:val="none"/>
        </w:rPr>
        <w:t>Derwing</w:t>
      </w:r>
      <w:proofErr w:type="spellEnd"/>
      <w:r w:rsidRPr="00C114F8">
        <w:rPr>
          <w:rFonts w:ascii="Times New Roman" w:eastAsia="Times New Roman" w:hAnsi="Times New Roman" w:cs="Times New Roman"/>
          <w:color w:val="000000"/>
          <w:kern w:val="0"/>
          <w:lang w:eastAsia="en-GB"/>
          <w14:ligatures w14:val="none"/>
        </w:rPr>
        <w:t xml:space="preserve"> and Munro, 1997; Jenkins, 2000).</w:t>
      </w:r>
    </w:p>
    <w:p w:rsidR="00DD1935" w:rsidRPr="00C114F8" w:rsidRDefault="00DD1935" w:rsidP="00C114F8">
      <w:pPr>
        <w:numPr>
          <w:ilvl w:val="0"/>
          <w:numId w:val="1"/>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lastRenderedPageBreak/>
        <w:t xml:space="preserve">Include World </w:t>
      </w:r>
      <w:proofErr w:type="spellStart"/>
      <w:r w:rsidRPr="00C114F8">
        <w:rPr>
          <w:rFonts w:ascii="Times New Roman" w:eastAsia="Times New Roman" w:hAnsi="Times New Roman" w:cs="Times New Roman"/>
          <w:b/>
          <w:bCs/>
          <w:color w:val="000000"/>
          <w:kern w:val="0"/>
          <w:lang w:eastAsia="en-GB"/>
          <w14:ligatures w14:val="none"/>
        </w:rPr>
        <w:t>Englishes</w:t>
      </w:r>
      <w:proofErr w:type="spellEnd"/>
      <w:r w:rsidRPr="00C114F8">
        <w:rPr>
          <w:rFonts w:ascii="Times New Roman" w:eastAsia="Times New Roman" w:hAnsi="Times New Roman" w:cs="Times New Roman"/>
          <w:b/>
          <w:bCs/>
          <w:color w:val="000000"/>
          <w:kern w:val="0"/>
          <w:lang w:eastAsia="en-GB"/>
          <w14:ligatures w14:val="none"/>
        </w:rPr>
        <w:t>/ELF awareness</w:t>
      </w:r>
      <w:r w:rsidRPr="00C114F8">
        <w:rPr>
          <w:rFonts w:ascii="Times New Roman" w:eastAsia="Times New Roman" w:hAnsi="Times New Roman" w:cs="Times New Roman"/>
          <w:color w:val="000000"/>
          <w:kern w:val="0"/>
          <w:lang w:eastAsia="en-GB"/>
          <w14:ligatures w14:val="none"/>
        </w:rPr>
        <w:t> so learners recognise variation as normal and gain strategies for understanding diverse speakers (</w:t>
      </w:r>
      <w:proofErr w:type="spellStart"/>
      <w:r w:rsidRPr="00C114F8">
        <w:rPr>
          <w:rFonts w:ascii="Times New Roman" w:eastAsia="Times New Roman" w:hAnsi="Times New Roman" w:cs="Times New Roman"/>
          <w:color w:val="000000"/>
          <w:kern w:val="0"/>
          <w:lang w:eastAsia="en-GB"/>
          <w14:ligatures w14:val="none"/>
        </w:rPr>
        <w:t>Seidlhofer</w:t>
      </w:r>
      <w:proofErr w:type="spellEnd"/>
      <w:r w:rsidRPr="00C114F8">
        <w:rPr>
          <w:rFonts w:ascii="Times New Roman" w:eastAsia="Times New Roman" w:hAnsi="Times New Roman" w:cs="Times New Roman"/>
          <w:color w:val="000000"/>
          <w:kern w:val="0"/>
          <w:lang w:eastAsia="en-GB"/>
          <w14:ligatures w14:val="none"/>
        </w:rPr>
        <w:t xml:space="preserve">, 2001; Kirkpatrick, 2010; </w:t>
      </w:r>
      <w:proofErr w:type="spellStart"/>
      <w:r w:rsidRPr="00C114F8">
        <w:rPr>
          <w:rFonts w:ascii="Times New Roman" w:eastAsia="Times New Roman" w:hAnsi="Times New Roman" w:cs="Times New Roman"/>
          <w:color w:val="000000"/>
          <w:kern w:val="0"/>
          <w:lang w:eastAsia="en-GB"/>
          <w14:ligatures w14:val="none"/>
        </w:rPr>
        <w:t>Cogo</w:t>
      </w:r>
      <w:proofErr w:type="spellEnd"/>
      <w:r w:rsidRPr="00C114F8">
        <w:rPr>
          <w:rFonts w:ascii="Times New Roman" w:eastAsia="Times New Roman" w:hAnsi="Times New Roman" w:cs="Times New Roman"/>
          <w:color w:val="000000"/>
          <w:kern w:val="0"/>
          <w:lang w:eastAsia="en-GB"/>
          <w14:ligatures w14:val="none"/>
        </w:rPr>
        <w:t xml:space="preserve"> and Dewey, 2012).</w:t>
      </w:r>
    </w:p>
    <w:p w:rsidR="00DD1935" w:rsidRPr="00C114F8" w:rsidRDefault="00DD1935" w:rsidP="00C114F8">
      <w:pPr>
        <w:numPr>
          <w:ilvl w:val="0"/>
          <w:numId w:val="1"/>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Challenge native-speakerism in classroom discourse</w:t>
      </w:r>
      <w:r w:rsidRPr="00C114F8">
        <w:rPr>
          <w:rFonts w:ascii="Times New Roman" w:eastAsia="Times New Roman" w:hAnsi="Times New Roman" w:cs="Times New Roman"/>
          <w:color w:val="000000"/>
          <w:kern w:val="0"/>
          <w:lang w:eastAsia="en-GB"/>
          <w14:ligatures w14:val="none"/>
        </w:rPr>
        <w:t> by validating competent L2 users and multilingual identities, thereby reducing the hidden curriculum of deficit and imitation (Cook, 1999; Holliday, 2006; Rampton, 1990; Widdowson, 1994).</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Widdowson’s argument about the “ownership” of English is especially useful here: if English is used internationally, it cannot be treated as the property of a single native group, and learners should be viewed as legitimate users, not eternal approximators (Widdowson, 1994). Similarly, the translingual perspective frames multilinguals’ English use as adaptive practice rather than failure to match a monolithic norm (</w:t>
      </w:r>
      <w:proofErr w:type="spellStart"/>
      <w:r w:rsidRPr="00C114F8">
        <w:rPr>
          <w:rFonts w:ascii="Times New Roman" w:eastAsia="Times New Roman" w:hAnsi="Times New Roman" w:cs="Times New Roman"/>
          <w:color w:val="000000"/>
          <w:kern w:val="0"/>
          <w:lang w:eastAsia="en-GB"/>
          <w14:ligatures w14:val="none"/>
        </w:rPr>
        <w:t>Canagarajah</w:t>
      </w:r>
      <w:proofErr w:type="spellEnd"/>
      <w:r w:rsidRPr="00C114F8">
        <w:rPr>
          <w:rFonts w:ascii="Times New Roman" w:eastAsia="Times New Roman" w:hAnsi="Times New Roman" w:cs="Times New Roman"/>
          <w:color w:val="000000"/>
          <w:kern w:val="0"/>
          <w:lang w:eastAsia="en-GB"/>
          <w14:ligatures w14:val="none"/>
        </w:rPr>
        <w:t>, 2013). These positions do not deny the usefulness of standard forms; they deny the ideology that standard forms define legitimacy.</w:t>
      </w:r>
    </w:p>
    <w:p w:rsidR="00DD1935" w:rsidRPr="00C114F8" w:rsidRDefault="00DD1935" w:rsidP="00C114F8">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Research skills: possible research questions, methodology, and limitations (reflective)</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To align with the module learning outcomes, the critique should also show research thinking. If one’s professional interest involves English teaching in contemporary settings (for example, online or workplace-focused ELT), a coherent next step is to investigate how standard-language beliefs shape pedagogy and learner experience.</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Possible research questions</w:t>
      </w:r>
    </w:p>
    <w:p w:rsidR="00DD1935" w:rsidRPr="00C114F8" w:rsidRDefault="00DD1935" w:rsidP="00C114F8">
      <w:pPr>
        <w:numPr>
          <w:ilvl w:val="0"/>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How do teachers justify the choice of SBE (or another standard) in their classroom aims and feedback practices?</w:t>
      </w:r>
    </w:p>
    <w:p w:rsidR="00DD1935" w:rsidRPr="00C114F8" w:rsidRDefault="00DD1935" w:rsidP="00C114F8">
      <w:pPr>
        <w:numPr>
          <w:ilvl w:val="0"/>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What is the relationship between learners’ goals (exam success, workplace communication, identity) and their attitudes toward SBE pronunciation and grammar norms?</w:t>
      </w:r>
    </w:p>
    <w:p w:rsidR="00DD1935" w:rsidRPr="00C114F8" w:rsidRDefault="00DD1935" w:rsidP="00C114F8">
      <w:pPr>
        <w:numPr>
          <w:ilvl w:val="0"/>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In multilingual interaction tasks, which linguistic features (pronunciation, grammatical form, pragmatic strategies) most strongly predict successful intelligibility and task completion?</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Methodology justification</w:t>
      </w:r>
      <w:r w:rsidRPr="00C114F8">
        <w:rPr>
          <w:rFonts w:ascii="Times New Roman" w:eastAsia="Times New Roman" w:hAnsi="Times New Roman" w:cs="Times New Roman"/>
          <w:color w:val="000000"/>
          <w:kern w:val="0"/>
          <w:lang w:eastAsia="en-GB"/>
          <w14:ligatures w14:val="none"/>
        </w:rPr>
        <w:br/>
        <w:t xml:space="preserve">A mixed-methods design is defensible because the topic has both measurable outcomes (e.g., intelligibility scores, assessment results) and interpretive dimensions (beliefs, identity, </w:t>
      </w:r>
      <w:r w:rsidRPr="00C114F8">
        <w:rPr>
          <w:rFonts w:ascii="Times New Roman" w:eastAsia="Times New Roman" w:hAnsi="Times New Roman" w:cs="Times New Roman"/>
          <w:color w:val="000000"/>
          <w:kern w:val="0"/>
          <w:lang w:eastAsia="en-GB"/>
          <w14:ligatures w14:val="none"/>
        </w:rPr>
        <w:lastRenderedPageBreak/>
        <w:t>perceived discrimination). Quantitative components could include intelligibility measures transcription accuracy or rating scales for comprehensibility, while qualitative components could include interviews, stimulated recall, or discourse analysis of classroom feedback. This combination allows triangulation and a richer interpretation of how “</w:t>
      </w:r>
      <w:proofErr w:type="spellStart"/>
      <w:r w:rsidRPr="00C114F8">
        <w:rPr>
          <w:rFonts w:ascii="Times New Roman" w:eastAsia="Times New Roman" w:hAnsi="Times New Roman" w:cs="Times New Roman"/>
          <w:color w:val="000000"/>
          <w:kern w:val="0"/>
          <w:lang w:eastAsia="en-GB"/>
          <w14:ligatures w14:val="none"/>
        </w:rPr>
        <w:t>standardness</w:t>
      </w:r>
      <w:proofErr w:type="spellEnd"/>
      <w:r w:rsidRPr="00C114F8">
        <w:rPr>
          <w:rFonts w:ascii="Times New Roman" w:eastAsia="Times New Roman" w:hAnsi="Times New Roman" w:cs="Times New Roman"/>
          <w:color w:val="000000"/>
          <w:kern w:val="0"/>
          <w:lang w:eastAsia="en-GB"/>
          <w14:ligatures w14:val="none"/>
        </w:rPr>
        <w:t>” operates as both linguistic practice and ideology.</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Limitations and reflexivity</w:t>
      </w:r>
      <w:r w:rsidRPr="00C114F8">
        <w:rPr>
          <w:rFonts w:ascii="Times New Roman" w:eastAsia="Times New Roman" w:hAnsi="Times New Roman" w:cs="Times New Roman"/>
          <w:color w:val="000000"/>
          <w:kern w:val="0"/>
          <w:lang w:eastAsia="en-GB"/>
          <w14:ligatures w14:val="none"/>
        </w:rPr>
        <w:br/>
        <w:t>Research in this area faces several limitations:</w:t>
      </w:r>
    </w:p>
    <w:p w:rsidR="00DD1935" w:rsidRPr="00C114F8" w:rsidRDefault="00DD1935" w:rsidP="00C114F8">
      <w:pPr>
        <w:numPr>
          <w:ilvl w:val="0"/>
          <w:numId w:val="3"/>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“Intelligibility” depends on listeners; results can vary by accent familiarity and bias, meaning findings are not universally generalisable.</w:t>
      </w:r>
    </w:p>
    <w:p w:rsidR="00DD1935" w:rsidRPr="00C114F8" w:rsidRDefault="00DD1935" w:rsidP="00C114F8">
      <w:pPr>
        <w:numPr>
          <w:ilvl w:val="0"/>
          <w:numId w:val="3"/>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Teachers’ stated beliefs may differ from classroom behaviour; observation is needed but raises ethical and practical issues.</w:t>
      </w:r>
    </w:p>
    <w:p w:rsidR="00DD1935" w:rsidRPr="00C114F8" w:rsidRDefault="00DD1935" w:rsidP="00C114F8">
      <w:pPr>
        <w:numPr>
          <w:ilvl w:val="0"/>
          <w:numId w:val="3"/>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The researcher’s own language background and ideology can influence what is coded as “error” versus “variation”; reflexive reporting is essential particularly given the power-laden nature of standard language debates.</w:t>
      </w:r>
    </w:p>
    <w:p w:rsidR="00DD1935" w:rsidRPr="00C114F8" w:rsidRDefault="00DD1935"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Acknowledging these constraints strengthens the credibility of the critique and supports ethically aware inquiry.</w:t>
      </w:r>
    </w:p>
    <w:p w:rsidR="00DD1935" w:rsidRPr="00C114F8" w:rsidRDefault="00DD1935" w:rsidP="00C114F8">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t>Conclusion</w:t>
      </w:r>
    </w:p>
    <w:p w:rsidR="00C114F8" w:rsidRDefault="00DD1935" w:rsidP="00AA32E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Arguments for teaching a standard variety such as Standard British English are not baseless: standard norms can provide access to education, support certain forms of written clarity, and offer stable reference points for assessment and materials (Trudgill, 2011; Quirk, 1990). Yet treating SBE as the singular, superior model of English collapses key linguistic distinctions (standard vs accent), misrepresents language as static, and risks reinforcing social inequalities through standard language ideology and native-speakerism (Milroy and Milroy, 2012; Holliday, 2006; Lippi-Green, 2012). A more defensible position is to teach standard forms strategically</w:t>
      </w:r>
      <w:r w:rsidR="00CA0FC1"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especially for high-stakes literacy</w:t>
      </w:r>
      <w:r w:rsidR="00CA0FC1" w:rsidRPr="00C114F8">
        <w:rPr>
          <w:rFonts w:ascii="Times New Roman" w:eastAsia="Times New Roman" w:hAnsi="Times New Roman" w:cs="Times New Roman"/>
          <w:color w:val="000000"/>
          <w:kern w:val="0"/>
          <w:lang w:eastAsia="en-GB"/>
          <w14:ligatures w14:val="none"/>
        </w:rPr>
        <w:t xml:space="preserve"> </w:t>
      </w:r>
      <w:r w:rsidRPr="00C114F8">
        <w:rPr>
          <w:rFonts w:ascii="Times New Roman" w:eastAsia="Times New Roman" w:hAnsi="Times New Roman" w:cs="Times New Roman"/>
          <w:color w:val="000000"/>
          <w:kern w:val="0"/>
          <w:lang w:eastAsia="en-GB"/>
          <w14:ligatures w14:val="none"/>
        </w:rPr>
        <w:t xml:space="preserve">while decentring prestige accents, prioritising intelligibility, and preparing learners for the reality of English as a diverse international language (Jenkins, 2000; </w:t>
      </w:r>
      <w:proofErr w:type="spellStart"/>
      <w:r w:rsidRPr="00C114F8">
        <w:rPr>
          <w:rFonts w:ascii="Times New Roman" w:eastAsia="Times New Roman" w:hAnsi="Times New Roman" w:cs="Times New Roman"/>
          <w:color w:val="000000"/>
          <w:kern w:val="0"/>
          <w:lang w:eastAsia="en-GB"/>
          <w14:ligatures w14:val="none"/>
        </w:rPr>
        <w:t>Seidlhofer</w:t>
      </w:r>
      <w:proofErr w:type="spellEnd"/>
      <w:r w:rsidRPr="00C114F8">
        <w:rPr>
          <w:rFonts w:ascii="Times New Roman" w:eastAsia="Times New Roman" w:hAnsi="Times New Roman" w:cs="Times New Roman"/>
          <w:color w:val="000000"/>
          <w:kern w:val="0"/>
          <w:lang w:eastAsia="en-GB"/>
          <w14:ligatures w14:val="none"/>
        </w:rPr>
        <w:t>, 2001; McKay, 2002). In this way, ELT can balance practical access with linguistic realism and ethical responsibility.</w:t>
      </w:r>
    </w:p>
    <w:p w:rsidR="00304820" w:rsidRDefault="00304820" w:rsidP="00C114F8">
      <w:pPr>
        <w:spacing w:before="100" w:beforeAutospacing="1" w:after="100" w:afterAutospacing="1" w:line="360" w:lineRule="auto"/>
        <w:jc w:val="both"/>
        <w:outlineLvl w:val="1"/>
        <w:rPr>
          <w:rFonts w:ascii="Times New Roman" w:eastAsia="Times New Roman" w:hAnsi="Times New Roman" w:cs="Times New Roman"/>
          <w:color w:val="000000"/>
          <w:kern w:val="0"/>
          <w:lang w:eastAsia="en-GB"/>
          <w14:ligatures w14:val="none"/>
        </w:rPr>
      </w:pPr>
    </w:p>
    <w:p w:rsidR="00C114F8" w:rsidRPr="00C114F8" w:rsidRDefault="00C114F8" w:rsidP="00C114F8">
      <w:pPr>
        <w:spacing w:before="100" w:beforeAutospacing="1" w:after="100" w:afterAutospacing="1" w:line="360" w:lineRule="auto"/>
        <w:jc w:val="both"/>
        <w:outlineLvl w:val="1"/>
        <w:rPr>
          <w:rFonts w:ascii="Times New Roman" w:eastAsia="Times New Roman" w:hAnsi="Times New Roman" w:cs="Times New Roman"/>
          <w:b/>
          <w:bCs/>
          <w:color w:val="000000"/>
          <w:kern w:val="0"/>
          <w:lang w:eastAsia="en-GB"/>
          <w14:ligatures w14:val="none"/>
        </w:rPr>
      </w:pPr>
      <w:r w:rsidRPr="00C114F8">
        <w:rPr>
          <w:rFonts w:ascii="Times New Roman" w:eastAsia="Times New Roman" w:hAnsi="Times New Roman" w:cs="Times New Roman"/>
          <w:b/>
          <w:bCs/>
          <w:color w:val="000000"/>
          <w:kern w:val="0"/>
          <w:lang w:eastAsia="en-GB"/>
          <w14:ligatures w14:val="none"/>
        </w:rPr>
        <w:lastRenderedPageBreak/>
        <w:t xml:space="preserve">References </w:t>
      </w:r>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roofErr w:type="spellStart"/>
      <w:r w:rsidRPr="00C114F8">
        <w:rPr>
          <w:rFonts w:ascii="Times New Roman" w:eastAsia="Times New Roman" w:hAnsi="Times New Roman" w:cs="Times New Roman"/>
          <w:color w:val="000000"/>
          <w:kern w:val="0"/>
          <w:lang w:eastAsia="en-GB"/>
          <w14:ligatures w14:val="none"/>
        </w:rPr>
        <w:t>Alptekin</w:t>
      </w:r>
      <w:proofErr w:type="spellEnd"/>
      <w:r w:rsidRPr="00C114F8">
        <w:rPr>
          <w:rFonts w:ascii="Times New Roman" w:eastAsia="Times New Roman" w:hAnsi="Times New Roman" w:cs="Times New Roman"/>
          <w:color w:val="000000"/>
          <w:kern w:val="0"/>
          <w:lang w:eastAsia="en-GB"/>
          <w14:ligatures w14:val="none"/>
        </w:rPr>
        <w:t>, C. (2002) ‘Towards intercultural communicative competence in ELT’, </w:t>
      </w:r>
      <w:r w:rsidRPr="00C114F8">
        <w:rPr>
          <w:rFonts w:ascii="Times New Roman" w:eastAsia="Times New Roman" w:hAnsi="Times New Roman" w:cs="Times New Roman"/>
          <w:i/>
          <w:iCs/>
          <w:color w:val="000000"/>
          <w:kern w:val="0"/>
          <w:lang w:eastAsia="en-GB"/>
          <w14:ligatures w14:val="none"/>
        </w:rPr>
        <w:t>ELT Journal</w:t>
      </w:r>
      <w:r w:rsidRPr="00C114F8">
        <w:rPr>
          <w:rFonts w:ascii="Times New Roman" w:eastAsia="Times New Roman" w:hAnsi="Times New Roman" w:cs="Times New Roman"/>
          <w:color w:val="000000"/>
          <w:kern w:val="0"/>
          <w:lang w:eastAsia="en-GB"/>
          <w14:ligatures w14:val="none"/>
        </w:rPr>
        <w:t>, 56(1), pp. 57–64. Available at: </w:t>
      </w:r>
      <w:hyperlink r:id="rId5" w:history="1">
        <w:r w:rsidRPr="00C114F8">
          <w:rPr>
            <w:rFonts w:ascii="Times New Roman" w:eastAsia="Times New Roman" w:hAnsi="Times New Roman" w:cs="Times New Roman"/>
            <w:color w:val="0000FF"/>
            <w:kern w:val="0"/>
            <w:u w:val="single"/>
            <w:lang w:eastAsia="en-GB"/>
            <w14:ligatures w14:val="none"/>
          </w:rPr>
          <w:t>https://academic.oup.com/eltj/article-abstract/56/1/57/414608</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Bourdieu, P. (1991) </w:t>
      </w:r>
      <w:r w:rsidRPr="00C114F8">
        <w:rPr>
          <w:rFonts w:ascii="Times New Roman" w:eastAsia="Times New Roman" w:hAnsi="Times New Roman" w:cs="Times New Roman"/>
          <w:i/>
          <w:iCs/>
          <w:color w:val="000000"/>
          <w:kern w:val="0"/>
          <w:lang w:eastAsia="en-GB"/>
          <w14:ligatures w14:val="none"/>
        </w:rPr>
        <w:t>Language and Symbolic Power</w:t>
      </w:r>
      <w:r w:rsidRPr="00C114F8">
        <w:rPr>
          <w:rFonts w:ascii="Times New Roman" w:eastAsia="Times New Roman" w:hAnsi="Times New Roman" w:cs="Times New Roman"/>
          <w:color w:val="000000"/>
          <w:kern w:val="0"/>
          <w:lang w:eastAsia="en-GB"/>
          <w14:ligatures w14:val="none"/>
        </w:rPr>
        <w:t>. Cambridge: Polity Press. Available at: </w:t>
      </w:r>
      <w:hyperlink r:id="rId6" w:history="1">
        <w:r w:rsidRPr="00C114F8">
          <w:rPr>
            <w:rFonts w:ascii="Times New Roman" w:eastAsia="Times New Roman" w:hAnsi="Times New Roman" w:cs="Times New Roman"/>
            <w:color w:val="0000FF"/>
            <w:kern w:val="0"/>
            <w:u w:val="single"/>
            <w:lang w:eastAsia="en-GB"/>
            <w14:ligatures w14:val="none"/>
          </w:rPr>
          <w:t>https://monoskop.org/images/4/43/Bourdieu_Pierre_Language_and_Symbolic_Power_1991.pdf</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roofErr w:type="spellStart"/>
      <w:r w:rsidRPr="00C114F8">
        <w:rPr>
          <w:rFonts w:ascii="Times New Roman" w:eastAsia="Times New Roman" w:hAnsi="Times New Roman" w:cs="Times New Roman"/>
          <w:color w:val="000000"/>
          <w:kern w:val="0"/>
          <w:lang w:eastAsia="en-GB"/>
          <w14:ligatures w14:val="none"/>
        </w:rPr>
        <w:t>Canagarajah</w:t>
      </w:r>
      <w:proofErr w:type="spellEnd"/>
      <w:r w:rsidRPr="00C114F8">
        <w:rPr>
          <w:rFonts w:ascii="Times New Roman" w:eastAsia="Times New Roman" w:hAnsi="Times New Roman" w:cs="Times New Roman"/>
          <w:color w:val="000000"/>
          <w:kern w:val="0"/>
          <w:lang w:eastAsia="en-GB"/>
          <w14:ligatures w14:val="none"/>
        </w:rPr>
        <w:t>, S. (2013) </w:t>
      </w:r>
      <w:r w:rsidRPr="00C114F8">
        <w:rPr>
          <w:rFonts w:ascii="Times New Roman" w:eastAsia="Times New Roman" w:hAnsi="Times New Roman" w:cs="Times New Roman"/>
          <w:i/>
          <w:iCs/>
          <w:color w:val="000000"/>
          <w:kern w:val="0"/>
          <w:lang w:eastAsia="en-GB"/>
          <w14:ligatures w14:val="none"/>
        </w:rPr>
        <w:t xml:space="preserve">Translingual Practice: Global </w:t>
      </w:r>
      <w:proofErr w:type="spellStart"/>
      <w:r w:rsidRPr="00C114F8">
        <w:rPr>
          <w:rFonts w:ascii="Times New Roman" w:eastAsia="Times New Roman" w:hAnsi="Times New Roman" w:cs="Times New Roman"/>
          <w:i/>
          <w:iCs/>
          <w:color w:val="000000"/>
          <w:kern w:val="0"/>
          <w:lang w:eastAsia="en-GB"/>
          <w14:ligatures w14:val="none"/>
        </w:rPr>
        <w:t>Englishes</w:t>
      </w:r>
      <w:proofErr w:type="spellEnd"/>
      <w:r w:rsidRPr="00C114F8">
        <w:rPr>
          <w:rFonts w:ascii="Times New Roman" w:eastAsia="Times New Roman" w:hAnsi="Times New Roman" w:cs="Times New Roman"/>
          <w:i/>
          <w:iCs/>
          <w:color w:val="000000"/>
          <w:kern w:val="0"/>
          <w:lang w:eastAsia="en-GB"/>
          <w14:ligatures w14:val="none"/>
        </w:rPr>
        <w:t xml:space="preserve"> and Cosmopolitan Relations</w:t>
      </w:r>
      <w:r w:rsidRPr="00C114F8">
        <w:rPr>
          <w:rFonts w:ascii="Times New Roman" w:eastAsia="Times New Roman" w:hAnsi="Times New Roman" w:cs="Times New Roman"/>
          <w:color w:val="000000"/>
          <w:kern w:val="0"/>
          <w:lang w:eastAsia="en-GB"/>
          <w14:ligatures w14:val="none"/>
        </w:rPr>
        <w:t>. London: Routledge. Available at: </w:t>
      </w:r>
      <w:hyperlink r:id="rId7" w:history="1">
        <w:r w:rsidRPr="00C114F8">
          <w:rPr>
            <w:rFonts w:ascii="Times New Roman" w:eastAsia="Times New Roman" w:hAnsi="Times New Roman" w:cs="Times New Roman"/>
            <w:color w:val="0000FF"/>
            <w:kern w:val="0"/>
            <w:u w:val="single"/>
            <w:lang w:eastAsia="en-GB"/>
            <w14:ligatures w14:val="none"/>
          </w:rPr>
          <w:t>https://www.routledge.com/Translingual-Practice-Global-Englishes-and-Cosmopolitan-Relations/Canagarajah/p/book/9780415684002</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roofErr w:type="spellStart"/>
      <w:r w:rsidRPr="00C114F8">
        <w:rPr>
          <w:rFonts w:ascii="Times New Roman" w:eastAsia="Times New Roman" w:hAnsi="Times New Roman" w:cs="Times New Roman"/>
          <w:color w:val="000000"/>
          <w:kern w:val="0"/>
          <w:lang w:eastAsia="en-GB"/>
          <w14:ligatures w14:val="none"/>
        </w:rPr>
        <w:t>Cogo</w:t>
      </w:r>
      <w:proofErr w:type="spellEnd"/>
      <w:r w:rsidRPr="00C114F8">
        <w:rPr>
          <w:rFonts w:ascii="Times New Roman" w:eastAsia="Times New Roman" w:hAnsi="Times New Roman" w:cs="Times New Roman"/>
          <w:color w:val="000000"/>
          <w:kern w:val="0"/>
          <w:lang w:eastAsia="en-GB"/>
          <w14:ligatures w14:val="none"/>
        </w:rPr>
        <w:t>, A. and Dewey, M. (2012) </w:t>
      </w:r>
      <w:r w:rsidRPr="00C114F8">
        <w:rPr>
          <w:rFonts w:ascii="Times New Roman" w:eastAsia="Times New Roman" w:hAnsi="Times New Roman" w:cs="Times New Roman"/>
          <w:i/>
          <w:iCs/>
          <w:color w:val="000000"/>
          <w:kern w:val="0"/>
          <w:lang w:eastAsia="en-GB"/>
          <w14:ligatures w14:val="none"/>
        </w:rPr>
        <w:t>Analysing English as a Lingua Franca: A Corpus-driven Investigation</w:t>
      </w:r>
      <w:r w:rsidRPr="00C114F8">
        <w:rPr>
          <w:rFonts w:ascii="Times New Roman" w:eastAsia="Times New Roman" w:hAnsi="Times New Roman" w:cs="Times New Roman"/>
          <w:color w:val="000000"/>
          <w:kern w:val="0"/>
          <w:lang w:eastAsia="en-GB"/>
          <w14:ligatures w14:val="none"/>
        </w:rPr>
        <w:t>. London: Continuum. Available at: </w:t>
      </w:r>
      <w:hyperlink r:id="rId8" w:history="1">
        <w:r w:rsidRPr="00C114F8">
          <w:rPr>
            <w:rFonts w:ascii="Times New Roman" w:eastAsia="Times New Roman" w:hAnsi="Times New Roman" w:cs="Times New Roman"/>
            <w:color w:val="0000FF"/>
            <w:kern w:val="0"/>
            <w:u w:val="single"/>
            <w:lang w:eastAsia="en-GB"/>
            <w14:ligatures w14:val="none"/>
          </w:rPr>
          <w:t>https://www.bloomsbury.com/uk/analysing-english-as-a-lingua-franca-9781441109415/</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Cook, V. (1999) ‘Going beyond the native speaker in language teaching’, </w:t>
      </w:r>
      <w:r w:rsidRPr="00C114F8">
        <w:rPr>
          <w:rFonts w:ascii="Times New Roman" w:eastAsia="Times New Roman" w:hAnsi="Times New Roman" w:cs="Times New Roman"/>
          <w:i/>
          <w:iCs/>
          <w:color w:val="000000"/>
          <w:kern w:val="0"/>
          <w:lang w:eastAsia="en-GB"/>
          <w14:ligatures w14:val="none"/>
        </w:rPr>
        <w:t>TESOL Quarterly</w:t>
      </w:r>
      <w:r w:rsidRPr="00C114F8">
        <w:rPr>
          <w:rFonts w:ascii="Times New Roman" w:eastAsia="Times New Roman" w:hAnsi="Times New Roman" w:cs="Times New Roman"/>
          <w:color w:val="000000"/>
          <w:kern w:val="0"/>
          <w:lang w:eastAsia="en-GB"/>
          <w14:ligatures w14:val="none"/>
        </w:rPr>
        <w:t>, 33(2), pp. 185–209. Available at: </w:t>
      </w:r>
      <w:hyperlink r:id="rId9" w:history="1">
        <w:r w:rsidRPr="00C114F8">
          <w:rPr>
            <w:rFonts w:ascii="Times New Roman" w:eastAsia="Times New Roman" w:hAnsi="Times New Roman" w:cs="Times New Roman"/>
            <w:color w:val="0000FF"/>
            <w:kern w:val="0"/>
            <w:u w:val="single"/>
            <w:lang w:eastAsia="en-GB"/>
            <w14:ligatures w14:val="none"/>
          </w:rPr>
          <w:t>https://www.jstor.org/stable/3587717</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Crystal, D. (2003) </w:t>
      </w:r>
      <w:r w:rsidRPr="00C114F8">
        <w:rPr>
          <w:rFonts w:ascii="Times New Roman" w:eastAsia="Times New Roman" w:hAnsi="Times New Roman" w:cs="Times New Roman"/>
          <w:i/>
          <w:iCs/>
          <w:color w:val="000000"/>
          <w:kern w:val="0"/>
          <w:lang w:eastAsia="en-GB"/>
          <w14:ligatures w14:val="none"/>
        </w:rPr>
        <w:t>English as a Global Language</w:t>
      </w:r>
      <w:r w:rsidRPr="00C114F8">
        <w:rPr>
          <w:rFonts w:ascii="Times New Roman" w:eastAsia="Times New Roman" w:hAnsi="Times New Roman" w:cs="Times New Roman"/>
          <w:color w:val="000000"/>
          <w:kern w:val="0"/>
          <w:lang w:eastAsia="en-GB"/>
          <w14:ligatures w14:val="none"/>
        </w:rPr>
        <w:t xml:space="preserve"> (2nd </w:t>
      </w:r>
      <w:proofErr w:type="spellStart"/>
      <w:r w:rsidRPr="00C114F8">
        <w:rPr>
          <w:rFonts w:ascii="Times New Roman" w:eastAsia="Times New Roman" w:hAnsi="Times New Roman" w:cs="Times New Roman"/>
          <w:color w:val="000000"/>
          <w:kern w:val="0"/>
          <w:lang w:eastAsia="en-GB"/>
          <w14:ligatures w14:val="none"/>
        </w:rPr>
        <w:t>edn</w:t>
      </w:r>
      <w:proofErr w:type="spellEnd"/>
      <w:r w:rsidRPr="00C114F8">
        <w:rPr>
          <w:rFonts w:ascii="Times New Roman" w:eastAsia="Times New Roman" w:hAnsi="Times New Roman" w:cs="Times New Roman"/>
          <w:color w:val="000000"/>
          <w:kern w:val="0"/>
          <w:lang w:eastAsia="en-GB"/>
          <w14:ligatures w14:val="none"/>
        </w:rPr>
        <w:t>). Cambridge: Cambridge University Press. Available at: </w:t>
      </w:r>
      <w:hyperlink r:id="rId10" w:history="1">
        <w:r w:rsidRPr="00C114F8">
          <w:rPr>
            <w:rFonts w:ascii="Times New Roman" w:eastAsia="Times New Roman" w:hAnsi="Times New Roman" w:cs="Times New Roman"/>
            <w:color w:val="0000FF"/>
            <w:kern w:val="0"/>
            <w:u w:val="single"/>
            <w:lang w:eastAsia="en-GB"/>
            <w14:ligatures w14:val="none"/>
          </w:rPr>
          <w:t>https://culturaldiplomacy.org/academy/pdf/research/books/nation_branding/English_As_A_Global_Language_-_David_Crystal.pdf</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roofErr w:type="spellStart"/>
      <w:r w:rsidRPr="00C114F8">
        <w:rPr>
          <w:rFonts w:ascii="Times New Roman" w:eastAsia="Times New Roman" w:hAnsi="Times New Roman" w:cs="Times New Roman"/>
          <w:color w:val="000000"/>
          <w:kern w:val="0"/>
          <w:lang w:eastAsia="en-GB"/>
          <w14:ligatures w14:val="none"/>
        </w:rPr>
        <w:t>Derwing</w:t>
      </w:r>
      <w:proofErr w:type="spellEnd"/>
      <w:r w:rsidRPr="00C114F8">
        <w:rPr>
          <w:rFonts w:ascii="Times New Roman" w:eastAsia="Times New Roman" w:hAnsi="Times New Roman" w:cs="Times New Roman"/>
          <w:color w:val="000000"/>
          <w:kern w:val="0"/>
          <w:lang w:eastAsia="en-GB"/>
          <w14:ligatures w14:val="none"/>
        </w:rPr>
        <w:t>, T.M. and Munro, M.J. (1997) ‘Accent, intelligibility, and comprehensibility’, </w:t>
      </w:r>
      <w:r w:rsidRPr="00C114F8">
        <w:rPr>
          <w:rFonts w:ascii="Times New Roman" w:eastAsia="Times New Roman" w:hAnsi="Times New Roman" w:cs="Times New Roman"/>
          <w:i/>
          <w:iCs/>
          <w:color w:val="000000"/>
          <w:kern w:val="0"/>
          <w:lang w:eastAsia="en-GB"/>
          <w14:ligatures w14:val="none"/>
        </w:rPr>
        <w:t>Studies in Second Language Acquisition</w:t>
      </w:r>
      <w:r w:rsidRPr="00C114F8">
        <w:rPr>
          <w:rFonts w:ascii="Times New Roman" w:eastAsia="Times New Roman" w:hAnsi="Times New Roman" w:cs="Times New Roman"/>
          <w:color w:val="000000"/>
          <w:kern w:val="0"/>
          <w:lang w:eastAsia="en-GB"/>
          <w14:ligatures w14:val="none"/>
        </w:rPr>
        <w:t>, 19(1), pp. 1–16. Available at: </w:t>
      </w:r>
      <w:hyperlink r:id="rId11" w:history="1">
        <w:r w:rsidRPr="00C114F8">
          <w:rPr>
            <w:rFonts w:ascii="Times New Roman" w:eastAsia="Times New Roman" w:hAnsi="Times New Roman" w:cs="Times New Roman"/>
            <w:color w:val="0000FF"/>
            <w:kern w:val="0"/>
            <w:u w:val="single"/>
            <w:lang w:eastAsia="en-GB"/>
            <w14:ligatures w14:val="none"/>
          </w:rPr>
          <w:t>https://www.cambridge.org/core/journals/studies-in-second-language-acquisition/article/accent-intelligibility-and-comprehensibility/729C15F62F9EC9A51A33EAB5C2D05ED0</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Haugen, E. (1966) ‘Dialect, language, nation’, </w:t>
      </w:r>
      <w:r w:rsidRPr="00C114F8">
        <w:rPr>
          <w:rFonts w:ascii="Times New Roman" w:eastAsia="Times New Roman" w:hAnsi="Times New Roman" w:cs="Times New Roman"/>
          <w:i/>
          <w:iCs/>
          <w:color w:val="000000"/>
          <w:kern w:val="0"/>
          <w:lang w:eastAsia="en-GB"/>
          <w14:ligatures w14:val="none"/>
        </w:rPr>
        <w:t>American Anthropologist</w:t>
      </w:r>
      <w:r w:rsidRPr="00C114F8">
        <w:rPr>
          <w:rFonts w:ascii="Times New Roman" w:eastAsia="Times New Roman" w:hAnsi="Times New Roman" w:cs="Times New Roman"/>
          <w:color w:val="000000"/>
          <w:kern w:val="0"/>
          <w:lang w:eastAsia="en-GB"/>
          <w14:ligatures w14:val="none"/>
        </w:rPr>
        <w:t>, 68(4), pp. 922–935. Available at: </w:t>
      </w:r>
      <w:hyperlink r:id="rId12" w:history="1">
        <w:r w:rsidRPr="00C114F8">
          <w:rPr>
            <w:rFonts w:ascii="Times New Roman" w:eastAsia="Times New Roman" w:hAnsi="Times New Roman" w:cs="Times New Roman"/>
            <w:color w:val="0000FF"/>
            <w:kern w:val="0"/>
            <w:u w:val="single"/>
            <w:lang w:eastAsia="en-GB"/>
            <w14:ligatures w14:val="none"/>
          </w:rPr>
          <w:t>https://alogro.wordpress.com/wp-content/uploads/2010/05/haugen_l_d_n.pdf</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Holliday, A. (2006) ‘Native-speakerism’, </w:t>
      </w:r>
      <w:r w:rsidRPr="00C114F8">
        <w:rPr>
          <w:rFonts w:ascii="Times New Roman" w:eastAsia="Times New Roman" w:hAnsi="Times New Roman" w:cs="Times New Roman"/>
          <w:i/>
          <w:iCs/>
          <w:color w:val="000000"/>
          <w:kern w:val="0"/>
          <w:lang w:eastAsia="en-GB"/>
          <w14:ligatures w14:val="none"/>
        </w:rPr>
        <w:t>ELT Journal</w:t>
      </w:r>
      <w:r w:rsidRPr="00C114F8">
        <w:rPr>
          <w:rFonts w:ascii="Times New Roman" w:eastAsia="Times New Roman" w:hAnsi="Times New Roman" w:cs="Times New Roman"/>
          <w:color w:val="000000"/>
          <w:kern w:val="0"/>
          <w:lang w:eastAsia="en-GB"/>
          <w14:ligatures w14:val="none"/>
        </w:rPr>
        <w:t>, 60(4), pp. 385–387. Available at: </w:t>
      </w:r>
      <w:hyperlink r:id="rId13" w:history="1">
        <w:r w:rsidRPr="00C114F8">
          <w:rPr>
            <w:rFonts w:ascii="Times New Roman" w:eastAsia="Times New Roman" w:hAnsi="Times New Roman" w:cs="Times New Roman"/>
            <w:color w:val="0000FF"/>
            <w:kern w:val="0"/>
            <w:u w:val="single"/>
            <w:lang w:eastAsia="en-GB"/>
            <w14:ligatures w14:val="none"/>
          </w:rPr>
          <w:t>https://adrianholliday.com/wp-content/uploads/2016/07/holliday-06-nism.pdf</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lastRenderedPageBreak/>
        <w:t>Jenkins, J. (2000) </w:t>
      </w:r>
      <w:r w:rsidRPr="00C114F8">
        <w:rPr>
          <w:rFonts w:ascii="Times New Roman" w:eastAsia="Times New Roman" w:hAnsi="Times New Roman" w:cs="Times New Roman"/>
          <w:i/>
          <w:iCs/>
          <w:color w:val="000000"/>
          <w:kern w:val="0"/>
          <w:lang w:eastAsia="en-GB"/>
          <w14:ligatures w14:val="none"/>
        </w:rPr>
        <w:t>The Phonology of English as an International Language: New Models, New Norms, New Goals</w:t>
      </w:r>
      <w:r w:rsidRPr="00C114F8">
        <w:rPr>
          <w:rFonts w:ascii="Times New Roman" w:eastAsia="Times New Roman" w:hAnsi="Times New Roman" w:cs="Times New Roman"/>
          <w:color w:val="000000"/>
          <w:kern w:val="0"/>
          <w:lang w:eastAsia="en-GB"/>
          <w14:ligatures w14:val="none"/>
        </w:rPr>
        <w:t>. Oxford: Oxford University Press. Available at: </w:t>
      </w:r>
      <w:hyperlink r:id="rId14" w:history="1">
        <w:r w:rsidRPr="00C114F8">
          <w:rPr>
            <w:rFonts w:ascii="Times New Roman" w:eastAsia="Times New Roman" w:hAnsi="Times New Roman" w:cs="Times New Roman"/>
            <w:color w:val="0000FF"/>
            <w:kern w:val="0"/>
            <w:u w:val="single"/>
            <w:lang w:eastAsia="en-GB"/>
            <w14:ligatures w14:val="none"/>
          </w:rPr>
          <w:t>https://books.google.co.uk/books/about/The_Phonology_of_English_as_an_Internati.html?id=0TvHACfrUjEC</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Jenkins, J. (2007) </w:t>
      </w:r>
      <w:r w:rsidRPr="00C114F8">
        <w:rPr>
          <w:rFonts w:ascii="Times New Roman" w:eastAsia="Times New Roman" w:hAnsi="Times New Roman" w:cs="Times New Roman"/>
          <w:i/>
          <w:iCs/>
          <w:color w:val="000000"/>
          <w:kern w:val="0"/>
          <w:lang w:eastAsia="en-GB"/>
          <w14:ligatures w14:val="none"/>
        </w:rPr>
        <w:t>English as a Lingua Franca: Attitude and Identity</w:t>
      </w:r>
      <w:r w:rsidRPr="00C114F8">
        <w:rPr>
          <w:rFonts w:ascii="Times New Roman" w:eastAsia="Times New Roman" w:hAnsi="Times New Roman" w:cs="Times New Roman"/>
          <w:color w:val="000000"/>
          <w:kern w:val="0"/>
          <w:lang w:eastAsia="en-GB"/>
          <w14:ligatures w14:val="none"/>
        </w:rPr>
        <w:t>. Oxford: Oxford University Press. Available at: </w:t>
      </w:r>
      <w:hyperlink r:id="rId15" w:history="1">
        <w:r w:rsidRPr="00C114F8">
          <w:rPr>
            <w:rFonts w:ascii="Times New Roman" w:eastAsia="Times New Roman" w:hAnsi="Times New Roman" w:cs="Times New Roman"/>
            <w:color w:val="0000FF"/>
            <w:kern w:val="0"/>
            <w:u w:val="single"/>
            <w:lang w:eastAsia="en-GB"/>
            <w14:ligatures w14:val="none"/>
          </w:rPr>
          <w:t>https://eprints.soton.ac.uk/46169/</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Kachru, B.B. (1985) ‘Standards, codification and sociolinguistic realism: The English language in the outer circle’, in Quirk, R. and Widdowson, H.G. (eds.) </w:t>
      </w:r>
      <w:r w:rsidRPr="00C114F8">
        <w:rPr>
          <w:rFonts w:ascii="Times New Roman" w:eastAsia="Times New Roman" w:hAnsi="Times New Roman" w:cs="Times New Roman"/>
          <w:i/>
          <w:iCs/>
          <w:color w:val="000000"/>
          <w:kern w:val="0"/>
          <w:lang w:eastAsia="en-GB"/>
          <w14:ligatures w14:val="none"/>
        </w:rPr>
        <w:t>English in the World: Teaching and Learning the Language and Literatures</w:t>
      </w:r>
      <w:r w:rsidRPr="00C114F8">
        <w:rPr>
          <w:rFonts w:ascii="Times New Roman" w:eastAsia="Times New Roman" w:hAnsi="Times New Roman" w:cs="Times New Roman"/>
          <w:color w:val="000000"/>
          <w:kern w:val="0"/>
          <w:lang w:eastAsia="en-GB"/>
          <w14:ligatures w14:val="none"/>
        </w:rPr>
        <w:t>. Cambridge: Cambridge University Press, pp. 11–30. (Reference details listed in: </w:t>
      </w:r>
      <w:hyperlink r:id="rId16" w:history="1">
        <w:r w:rsidRPr="00C114F8">
          <w:rPr>
            <w:rFonts w:ascii="Times New Roman" w:eastAsia="Times New Roman" w:hAnsi="Times New Roman" w:cs="Times New Roman"/>
            <w:color w:val="0000FF"/>
            <w:kern w:val="0"/>
            <w:u w:val="single"/>
            <w:lang w:eastAsia="en-GB"/>
            <w14:ligatures w14:val="none"/>
          </w:rPr>
          <w:t>https://files.eric.ed.gov/fulltext/ED347805.pdf</w:t>
        </w:r>
      </w:hyperlink>
      <w:r w:rsidRPr="00C114F8">
        <w:rPr>
          <w:rFonts w:ascii="Times New Roman" w:eastAsia="Times New Roman" w:hAnsi="Times New Roman" w:cs="Times New Roman"/>
          <w:color w:val="000000"/>
          <w:kern w:val="0"/>
          <w:lang w:eastAsia="en-GB"/>
          <w14:ligatures w14:val="none"/>
        </w:rPr>
        <w:t>)</w:t>
      </w:r>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Kirkpatrick, A. (2010) (ed.) </w:t>
      </w:r>
      <w:r w:rsidRPr="00C114F8">
        <w:rPr>
          <w:rFonts w:ascii="Times New Roman" w:eastAsia="Times New Roman" w:hAnsi="Times New Roman" w:cs="Times New Roman"/>
          <w:i/>
          <w:iCs/>
          <w:color w:val="000000"/>
          <w:kern w:val="0"/>
          <w:lang w:eastAsia="en-GB"/>
          <w14:ligatures w14:val="none"/>
        </w:rPr>
        <w:t xml:space="preserve">The Routledge Handbook of World </w:t>
      </w:r>
      <w:proofErr w:type="spellStart"/>
      <w:r w:rsidRPr="00C114F8">
        <w:rPr>
          <w:rFonts w:ascii="Times New Roman" w:eastAsia="Times New Roman" w:hAnsi="Times New Roman" w:cs="Times New Roman"/>
          <w:i/>
          <w:iCs/>
          <w:color w:val="000000"/>
          <w:kern w:val="0"/>
          <w:lang w:eastAsia="en-GB"/>
          <w14:ligatures w14:val="none"/>
        </w:rPr>
        <w:t>Englishes</w:t>
      </w:r>
      <w:proofErr w:type="spellEnd"/>
      <w:r w:rsidRPr="00C114F8">
        <w:rPr>
          <w:rFonts w:ascii="Times New Roman" w:eastAsia="Times New Roman" w:hAnsi="Times New Roman" w:cs="Times New Roman"/>
          <w:color w:val="000000"/>
          <w:kern w:val="0"/>
          <w:lang w:eastAsia="en-GB"/>
          <w14:ligatures w14:val="none"/>
        </w:rPr>
        <w:t>. London: Routledge. Available at: </w:t>
      </w:r>
      <w:hyperlink r:id="rId17" w:history="1">
        <w:r w:rsidRPr="00C114F8">
          <w:rPr>
            <w:rFonts w:ascii="Times New Roman" w:eastAsia="Times New Roman" w:hAnsi="Times New Roman" w:cs="Times New Roman"/>
            <w:color w:val="0000FF"/>
            <w:kern w:val="0"/>
            <w:u w:val="single"/>
            <w:lang w:eastAsia="en-GB"/>
            <w14:ligatures w14:val="none"/>
          </w:rPr>
          <w:t>https://www.taylorfrancis.com/books/edit/10.4324/9780203849323/routledge-handbook-world-englishes-andy-kirkpatrick</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roofErr w:type="spellStart"/>
      <w:r w:rsidRPr="00C114F8">
        <w:rPr>
          <w:rFonts w:ascii="Times New Roman" w:eastAsia="Times New Roman" w:hAnsi="Times New Roman" w:cs="Times New Roman"/>
          <w:color w:val="000000"/>
          <w:kern w:val="0"/>
          <w:lang w:eastAsia="en-GB"/>
          <w14:ligatures w14:val="none"/>
        </w:rPr>
        <w:t>Levis</w:t>
      </w:r>
      <w:proofErr w:type="spellEnd"/>
      <w:r w:rsidRPr="00C114F8">
        <w:rPr>
          <w:rFonts w:ascii="Times New Roman" w:eastAsia="Times New Roman" w:hAnsi="Times New Roman" w:cs="Times New Roman"/>
          <w:color w:val="000000"/>
          <w:kern w:val="0"/>
          <w:lang w:eastAsia="en-GB"/>
          <w14:ligatures w14:val="none"/>
        </w:rPr>
        <w:t>, J.M. (2005) ‘Changing contexts and shifting paradigms in pronunciation teaching’, </w:t>
      </w:r>
      <w:r w:rsidRPr="00C114F8">
        <w:rPr>
          <w:rFonts w:ascii="Times New Roman" w:eastAsia="Times New Roman" w:hAnsi="Times New Roman" w:cs="Times New Roman"/>
          <w:i/>
          <w:iCs/>
          <w:color w:val="000000"/>
          <w:kern w:val="0"/>
          <w:lang w:eastAsia="en-GB"/>
          <w14:ligatures w14:val="none"/>
        </w:rPr>
        <w:t>TESOL Quarterly</w:t>
      </w:r>
      <w:r w:rsidRPr="00C114F8">
        <w:rPr>
          <w:rFonts w:ascii="Times New Roman" w:eastAsia="Times New Roman" w:hAnsi="Times New Roman" w:cs="Times New Roman"/>
          <w:color w:val="000000"/>
          <w:kern w:val="0"/>
          <w:lang w:eastAsia="en-GB"/>
          <w14:ligatures w14:val="none"/>
        </w:rPr>
        <w:t>, 39(3), pp. 369–377. Available at: </w:t>
      </w:r>
      <w:hyperlink r:id="rId18" w:history="1">
        <w:r w:rsidRPr="00C114F8">
          <w:rPr>
            <w:rFonts w:ascii="Times New Roman" w:eastAsia="Times New Roman" w:hAnsi="Times New Roman" w:cs="Times New Roman"/>
            <w:color w:val="0000FF"/>
            <w:kern w:val="0"/>
            <w:u w:val="single"/>
            <w:lang w:eastAsia="en-GB"/>
            <w14:ligatures w14:val="none"/>
          </w:rPr>
          <w:t>https://onlinelibrary.wiley.com/doi/pdf/10.2307/3588485</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Lippi-Green, R. (1994) ‘Accent, standard language ideology, and discriminatory pretext in the courts’, </w:t>
      </w:r>
      <w:r w:rsidRPr="00C114F8">
        <w:rPr>
          <w:rFonts w:ascii="Times New Roman" w:eastAsia="Times New Roman" w:hAnsi="Times New Roman" w:cs="Times New Roman"/>
          <w:i/>
          <w:iCs/>
          <w:color w:val="000000"/>
          <w:kern w:val="0"/>
          <w:lang w:eastAsia="en-GB"/>
          <w14:ligatures w14:val="none"/>
        </w:rPr>
        <w:t>Language in Society</w:t>
      </w:r>
      <w:r w:rsidRPr="00C114F8">
        <w:rPr>
          <w:rFonts w:ascii="Times New Roman" w:eastAsia="Times New Roman" w:hAnsi="Times New Roman" w:cs="Times New Roman"/>
          <w:color w:val="000000"/>
          <w:kern w:val="0"/>
          <w:lang w:eastAsia="en-GB"/>
          <w14:ligatures w14:val="none"/>
        </w:rPr>
        <w:t>, 23(2), pp. 163–198. Available at: </w:t>
      </w:r>
      <w:hyperlink r:id="rId19" w:history="1">
        <w:r w:rsidRPr="00C114F8">
          <w:rPr>
            <w:rFonts w:ascii="Times New Roman" w:eastAsia="Times New Roman" w:hAnsi="Times New Roman" w:cs="Times New Roman"/>
            <w:color w:val="0000FF"/>
            <w:kern w:val="0"/>
            <w:u w:val="single"/>
            <w:lang w:eastAsia="en-GB"/>
            <w14:ligatures w14:val="none"/>
          </w:rPr>
          <w:t>https://rosinalippi.com/weblog/wp-content/uploads/2012/11/Lippi-Green1994Accent-standard-language-ideology-and-discriminatory-pretext-in-the-courts.pdf</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Lippi-Green, R. (2012) </w:t>
      </w:r>
      <w:r w:rsidRPr="00C114F8">
        <w:rPr>
          <w:rFonts w:ascii="Times New Roman" w:eastAsia="Times New Roman" w:hAnsi="Times New Roman" w:cs="Times New Roman"/>
          <w:i/>
          <w:iCs/>
          <w:color w:val="000000"/>
          <w:kern w:val="0"/>
          <w:lang w:eastAsia="en-GB"/>
          <w14:ligatures w14:val="none"/>
        </w:rPr>
        <w:t>English with an Accent: Language, Ideology and Discrimination in the United States</w:t>
      </w:r>
      <w:r w:rsidRPr="00C114F8">
        <w:rPr>
          <w:rFonts w:ascii="Times New Roman" w:eastAsia="Times New Roman" w:hAnsi="Times New Roman" w:cs="Times New Roman"/>
          <w:color w:val="000000"/>
          <w:kern w:val="0"/>
          <w:lang w:eastAsia="en-GB"/>
          <w14:ligatures w14:val="none"/>
        </w:rPr>
        <w:t xml:space="preserve"> (2nd </w:t>
      </w:r>
      <w:proofErr w:type="spellStart"/>
      <w:r w:rsidRPr="00C114F8">
        <w:rPr>
          <w:rFonts w:ascii="Times New Roman" w:eastAsia="Times New Roman" w:hAnsi="Times New Roman" w:cs="Times New Roman"/>
          <w:color w:val="000000"/>
          <w:kern w:val="0"/>
          <w:lang w:eastAsia="en-GB"/>
          <w14:ligatures w14:val="none"/>
        </w:rPr>
        <w:t>edn</w:t>
      </w:r>
      <w:proofErr w:type="spellEnd"/>
      <w:r w:rsidRPr="00C114F8">
        <w:rPr>
          <w:rFonts w:ascii="Times New Roman" w:eastAsia="Times New Roman" w:hAnsi="Times New Roman" w:cs="Times New Roman"/>
          <w:color w:val="000000"/>
          <w:kern w:val="0"/>
          <w:lang w:eastAsia="en-GB"/>
          <w14:ligatures w14:val="none"/>
        </w:rPr>
        <w:t>). London: Routledge. Available at: </w:t>
      </w:r>
      <w:hyperlink r:id="rId20" w:history="1">
        <w:r w:rsidRPr="00C114F8">
          <w:rPr>
            <w:rFonts w:ascii="Times New Roman" w:eastAsia="Times New Roman" w:hAnsi="Times New Roman" w:cs="Times New Roman"/>
            <w:color w:val="0000FF"/>
            <w:kern w:val="0"/>
            <w:u w:val="single"/>
            <w:lang w:eastAsia="en-GB"/>
            <w14:ligatures w14:val="none"/>
          </w:rPr>
          <w:t>https://www.taylorfrancis.com/books/mono/10.4324/9780203348802/english-accent-rosina-lippi-green</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McKay, S.L. (2002) </w:t>
      </w:r>
      <w:r w:rsidRPr="00C114F8">
        <w:rPr>
          <w:rFonts w:ascii="Times New Roman" w:eastAsia="Times New Roman" w:hAnsi="Times New Roman" w:cs="Times New Roman"/>
          <w:i/>
          <w:iCs/>
          <w:color w:val="000000"/>
          <w:kern w:val="0"/>
          <w:lang w:eastAsia="en-GB"/>
          <w14:ligatures w14:val="none"/>
        </w:rPr>
        <w:t>Teaching English as an International Language: An Introduction to the Role of English as an International Language and Its Implications for Language Teaching</w:t>
      </w:r>
      <w:r w:rsidRPr="00C114F8">
        <w:rPr>
          <w:rFonts w:ascii="Times New Roman" w:eastAsia="Times New Roman" w:hAnsi="Times New Roman" w:cs="Times New Roman"/>
          <w:color w:val="000000"/>
          <w:kern w:val="0"/>
          <w:lang w:eastAsia="en-GB"/>
          <w14:ligatures w14:val="none"/>
        </w:rPr>
        <w:t>. Oxford: Oxford University Press. Available at: </w:t>
      </w:r>
      <w:hyperlink r:id="rId21" w:history="1">
        <w:r w:rsidRPr="00C114F8">
          <w:rPr>
            <w:rFonts w:ascii="Times New Roman" w:eastAsia="Times New Roman" w:hAnsi="Times New Roman" w:cs="Times New Roman"/>
            <w:color w:val="0000FF"/>
            <w:kern w:val="0"/>
            <w:u w:val="single"/>
            <w:lang w:eastAsia="en-GB"/>
            <w14:ligatures w14:val="none"/>
          </w:rPr>
          <w:t>https://archive.org/details/teachingenglisha0000mcka</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lastRenderedPageBreak/>
        <w:t>Milroy, J. and Milroy, L. (2012) </w:t>
      </w:r>
      <w:r w:rsidRPr="00C114F8">
        <w:rPr>
          <w:rFonts w:ascii="Times New Roman" w:eastAsia="Times New Roman" w:hAnsi="Times New Roman" w:cs="Times New Roman"/>
          <w:i/>
          <w:iCs/>
          <w:color w:val="000000"/>
          <w:kern w:val="0"/>
          <w:lang w:eastAsia="en-GB"/>
          <w14:ligatures w14:val="none"/>
        </w:rPr>
        <w:t>Authority in Language: Investigating Standard English</w:t>
      </w:r>
      <w:r w:rsidRPr="00C114F8">
        <w:rPr>
          <w:rFonts w:ascii="Times New Roman" w:eastAsia="Times New Roman" w:hAnsi="Times New Roman" w:cs="Times New Roman"/>
          <w:color w:val="000000"/>
          <w:kern w:val="0"/>
          <w:lang w:eastAsia="en-GB"/>
          <w14:ligatures w14:val="none"/>
        </w:rPr>
        <w:t xml:space="preserve"> (4th </w:t>
      </w:r>
      <w:proofErr w:type="spellStart"/>
      <w:r w:rsidRPr="00C114F8">
        <w:rPr>
          <w:rFonts w:ascii="Times New Roman" w:eastAsia="Times New Roman" w:hAnsi="Times New Roman" w:cs="Times New Roman"/>
          <w:color w:val="000000"/>
          <w:kern w:val="0"/>
          <w:lang w:eastAsia="en-GB"/>
          <w14:ligatures w14:val="none"/>
        </w:rPr>
        <w:t>edn</w:t>
      </w:r>
      <w:proofErr w:type="spellEnd"/>
      <w:r w:rsidRPr="00C114F8">
        <w:rPr>
          <w:rFonts w:ascii="Times New Roman" w:eastAsia="Times New Roman" w:hAnsi="Times New Roman" w:cs="Times New Roman"/>
          <w:color w:val="000000"/>
          <w:kern w:val="0"/>
          <w:lang w:eastAsia="en-GB"/>
          <w14:ligatures w14:val="none"/>
        </w:rPr>
        <w:t>). London: Routledge. Available at: </w:t>
      </w:r>
      <w:hyperlink r:id="rId22" w:history="1">
        <w:r w:rsidRPr="00C114F8">
          <w:rPr>
            <w:rFonts w:ascii="Times New Roman" w:eastAsia="Times New Roman" w:hAnsi="Times New Roman" w:cs="Times New Roman"/>
            <w:color w:val="0000FF"/>
            <w:kern w:val="0"/>
            <w:u w:val="single"/>
            <w:lang w:eastAsia="en-GB"/>
            <w14:ligatures w14:val="none"/>
          </w:rPr>
          <w:t>https://www.taylorfrancis.com/books/mono/10.4324/9780203124666/authority-language-james-milroy-lesley-milroy</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Quirk, R. (1990) ‘Language varieties and standard language’, </w:t>
      </w:r>
      <w:r w:rsidRPr="00C114F8">
        <w:rPr>
          <w:rFonts w:ascii="Times New Roman" w:eastAsia="Times New Roman" w:hAnsi="Times New Roman" w:cs="Times New Roman"/>
          <w:i/>
          <w:iCs/>
          <w:color w:val="000000"/>
          <w:kern w:val="0"/>
          <w:lang w:eastAsia="en-GB"/>
          <w14:ligatures w14:val="none"/>
        </w:rPr>
        <w:t>English Today</w:t>
      </w:r>
      <w:r w:rsidRPr="00C114F8">
        <w:rPr>
          <w:rFonts w:ascii="Times New Roman" w:eastAsia="Times New Roman" w:hAnsi="Times New Roman" w:cs="Times New Roman"/>
          <w:color w:val="000000"/>
          <w:kern w:val="0"/>
          <w:lang w:eastAsia="en-GB"/>
          <w14:ligatures w14:val="none"/>
        </w:rPr>
        <w:t>, 6(1), pp. 3–10. Available at: </w:t>
      </w:r>
      <w:hyperlink r:id="rId23" w:history="1">
        <w:r w:rsidRPr="00C114F8">
          <w:rPr>
            <w:rFonts w:ascii="Times New Roman" w:eastAsia="Times New Roman" w:hAnsi="Times New Roman" w:cs="Times New Roman"/>
            <w:color w:val="0000FF"/>
            <w:kern w:val="0"/>
            <w:u w:val="single"/>
            <w:lang w:eastAsia="en-GB"/>
            <w14:ligatures w14:val="none"/>
          </w:rPr>
          <w:t>https://pdcrodas.webs.ull.es/variedades/QuirkLanguageVarietiesAndStandardLanguage.pdf</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Rampton, M.B.H. (1990) ‘Displacing the “native speaker”: Expertise, affiliation, and inheritance’, </w:t>
      </w:r>
      <w:r w:rsidRPr="00C114F8">
        <w:rPr>
          <w:rFonts w:ascii="Times New Roman" w:eastAsia="Times New Roman" w:hAnsi="Times New Roman" w:cs="Times New Roman"/>
          <w:i/>
          <w:iCs/>
          <w:color w:val="000000"/>
          <w:kern w:val="0"/>
          <w:lang w:eastAsia="en-GB"/>
          <w14:ligatures w14:val="none"/>
        </w:rPr>
        <w:t>ELT Journal</w:t>
      </w:r>
      <w:r w:rsidRPr="00C114F8">
        <w:rPr>
          <w:rFonts w:ascii="Times New Roman" w:eastAsia="Times New Roman" w:hAnsi="Times New Roman" w:cs="Times New Roman"/>
          <w:color w:val="000000"/>
          <w:kern w:val="0"/>
          <w:lang w:eastAsia="en-GB"/>
          <w14:ligatures w14:val="none"/>
        </w:rPr>
        <w:t>, 44(2), pp. 97–101. Available at: </w:t>
      </w:r>
      <w:hyperlink r:id="rId24" w:history="1">
        <w:r w:rsidRPr="00C114F8">
          <w:rPr>
            <w:rFonts w:ascii="Times New Roman" w:eastAsia="Times New Roman" w:hAnsi="Times New Roman" w:cs="Times New Roman"/>
            <w:color w:val="0000FF"/>
            <w:kern w:val="0"/>
            <w:u w:val="single"/>
            <w:lang w:eastAsia="en-GB"/>
            <w14:ligatures w14:val="none"/>
          </w:rPr>
          <w:t>https://academic.oup.com/eltj/article/</w:t>
        </w:r>
        <w:r w:rsidRPr="00C114F8">
          <w:rPr>
            <w:rFonts w:ascii="Times New Roman" w:eastAsia="Times New Roman" w:hAnsi="Times New Roman" w:cs="Times New Roman"/>
            <w:color w:val="0000FF"/>
            <w:kern w:val="0"/>
            <w:u w:val="single"/>
            <w:lang w:eastAsia="en-GB"/>
            <w14:ligatures w14:val="none"/>
          </w:rPr>
          <w:t>4</w:t>
        </w:r>
        <w:r w:rsidRPr="00C114F8">
          <w:rPr>
            <w:rFonts w:ascii="Times New Roman" w:eastAsia="Times New Roman" w:hAnsi="Times New Roman" w:cs="Times New Roman"/>
            <w:color w:val="0000FF"/>
            <w:kern w:val="0"/>
            <w:u w:val="single"/>
            <w:lang w:eastAsia="en-GB"/>
            <w14:ligatures w14:val="none"/>
          </w:rPr>
          <w:t>4/2/97/3113710</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roofErr w:type="spellStart"/>
      <w:r w:rsidRPr="00C114F8">
        <w:rPr>
          <w:rFonts w:ascii="Times New Roman" w:eastAsia="Times New Roman" w:hAnsi="Times New Roman" w:cs="Times New Roman"/>
          <w:color w:val="000000"/>
          <w:kern w:val="0"/>
          <w:lang w:eastAsia="en-GB"/>
          <w14:ligatures w14:val="none"/>
        </w:rPr>
        <w:t>Seidlhofer</w:t>
      </w:r>
      <w:proofErr w:type="spellEnd"/>
      <w:r w:rsidRPr="00C114F8">
        <w:rPr>
          <w:rFonts w:ascii="Times New Roman" w:eastAsia="Times New Roman" w:hAnsi="Times New Roman" w:cs="Times New Roman"/>
          <w:color w:val="000000"/>
          <w:kern w:val="0"/>
          <w:lang w:eastAsia="en-GB"/>
          <w14:ligatures w14:val="none"/>
        </w:rPr>
        <w:t>, B. (2001) ‘Closing a conceptual gap: The case for a description of English as a lingua franca’, </w:t>
      </w:r>
      <w:r w:rsidRPr="00C114F8">
        <w:rPr>
          <w:rFonts w:ascii="Times New Roman" w:eastAsia="Times New Roman" w:hAnsi="Times New Roman" w:cs="Times New Roman"/>
          <w:i/>
          <w:iCs/>
          <w:color w:val="000000"/>
          <w:kern w:val="0"/>
          <w:lang w:eastAsia="en-GB"/>
          <w14:ligatures w14:val="none"/>
        </w:rPr>
        <w:t>International Journal of Applied Linguistics</w:t>
      </w:r>
      <w:r w:rsidRPr="00C114F8">
        <w:rPr>
          <w:rFonts w:ascii="Times New Roman" w:eastAsia="Times New Roman" w:hAnsi="Times New Roman" w:cs="Times New Roman"/>
          <w:color w:val="000000"/>
          <w:kern w:val="0"/>
          <w:lang w:eastAsia="en-GB"/>
          <w14:ligatures w14:val="none"/>
        </w:rPr>
        <w:t>, 11(2), pp. 133–158. Available at: </w:t>
      </w:r>
      <w:hyperlink r:id="rId25" w:history="1">
        <w:r w:rsidRPr="00C114F8">
          <w:rPr>
            <w:rFonts w:ascii="Times New Roman" w:eastAsia="Times New Roman" w:hAnsi="Times New Roman" w:cs="Times New Roman"/>
            <w:color w:val="0000FF"/>
            <w:kern w:val="0"/>
            <w:u w:val="single"/>
            <w:lang w:eastAsia="en-GB"/>
            <w14:ligatures w14:val="none"/>
          </w:rPr>
          <w:t>https://onlinelibrary.wiley.com/doi/</w:t>
        </w:r>
        <w:r w:rsidRPr="00C114F8">
          <w:rPr>
            <w:rFonts w:ascii="Times New Roman" w:eastAsia="Times New Roman" w:hAnsi="Times New Roman" w:cs="Times New Roman"/>
            <w:color w:val="0000FF"/>
            <w:kern w:val="0"/>
            <w:u w:val="single"/>
            <w:lang w:eastAsia="en-GB"/>
            <w14:ligatures w14:val="none"/>
          </w:rPr>
          <w:t>a</w:t>
        </w:r>
        <w:r w:rsidRPr="00C114F8">
          <w:rPr>
            <w:rFonts w:ascii="Times New Roman" w:eastAsia="Times New Roman" w:hAnsi="Times New Roman" w:cs="Times New Roman"/>
            <w:color w:val="0000FF"/>
            <w:kern w:val="0"/>
            <w:u w:val="single"/>
            <w:lang w:eastAsia="en-GB"/>
            <w14:ligatures w14:val="none"/>
          </w:rPr>
          <w:t>bs/10.1111/1473-4192.00011</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Trudgill, P. (2011) ‘Standard English: What it isn’t’ (revised version of 1999 chapter), LAGB Education. Available at: </w:t>
      </w:r>
      <w:hyperlink r:id="rId26" w:history="1">
        <w:r w:rsidRPr="00C114F8">
          <w:rPr>
            <w:rFonts w:ascii="Times New Roman" w:eastAsia="Times New Roman" w:hAnsi="Times New Roman" w:cs="Times New Roman"/>
            <w:color w:val="0000FF"/>
            <w:kern w:val="0"/>
            <w:u w:val="single"/>
            <w:lang w:eastAsia="en-GB"/>
            <w14:ligatures w14:val="none"/>
          </w:rPr>
          <w:t>https://lagb-education.org/wp-content/uploads/2016/01/SEtrudgill20</w:t>
        </w:r>
        <w:r w:rsidRPr="00C114F8">
          <w:rPr>
            <w:rFonts w:ascii="Times New Roman" w:eastAsia="Times New Roman" w:hAnsi="Times New Roman" w:cs="Times New Roman"/>
            <w:color w:val="0000FF"/>
            <w:kern w:val="0"/>
            <w:u w:val="single"/>
            <w:lang w:eastAsia="en-GB"/>
            <w14:ligatures w14:val="none"/>
          </w:rPr>
          <w:t>1</w:t>
        </w:r>
        <w:r w:rsidRPr="00C114F8">
          <w:rPr>
            <w:rFonts w:ascii="Times New Roman" w:eastAsia="Times New Roman" w:hAnsi="Times New Roman" w:cs="Times New Roman"/>
            <w:color w:val="0000FF"/>
            <w:kern w:val="0"/>
            <w:u w:val="single"/>
            <w:lang w:eastAsia="en-GB"/>
            <w14:ligatures w14:val="none"/>
          </w:rPr>
          <w:t>1.pdf</w:t>
        </w:r>
      </w:hyperlink>
    </w:p>
    <w:p w:rsidR="00C114F8" w:rsidRPr="00C114F8" w:rsidRDefault="00C114F8" w:rsidP="00C114F8">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C114F8">
        <w:rPr>
          <w:rFonts w:ascii="Times New Roman" w:eastAsia="Times New Roman" w:hAnsi="Times New Roman" w:cs="Times New Roman"/>
          <w:color w:val="000000"/>
          <w:kern w:val="0"/>
          <w:lang w:eastAsia="en-GB"/>
          <w14:ligatures w14:val="none"/>
        </w:rPr>
        <w:t>Widdowson, H.G. (1994) ‘The ownership of English’, </w:t>
      </w:r>
      <w:r w:rsidRPr="00C114F8">
        <w:rPr>
          <w:rFonts w:ascii="Times New Roman" w:eastAsia="Times New Roman" w:hAnsi="Times New Roman" w:cs="Times New Roman"/>
          <w:i/>
          <w:iCs/>
          <w:color w:val="000000"/>
          <w:kern w:val="0"/>
          <w:lang w:eastAsia="en-GB"/>
          <w14:ligatures w14:val="none"/>
        </w:rPr>
        <w:t>TESOL Quarterly</w:t>
      </w:r>
      <w:r w:rsidRPr="00C114F8">
        <w:rPr>
          <w:rFonts w:ascii="Times New Roman" w:eastAsia="Times New Roman" w:hAnsi="Times New Roman" w:cs="Times New Roman"/>
          <w:color w:val="000000"/>
          <w:kern w:val="0"/>
          <w:lang w:eastAsia="en-GB"/>
          <w14:ligatures w14:val="none"/>
        </w:rPr>
        <w:t>, 28(2), pp. 377–389. Available at: </w:t>
      </w:r>
      <w:hyperlink r:id="rId27" w:history="1">
        <w:r w:rsidRPr="00C114F8">
          <w:rPr>
            <w:rFonts w:ascii="Times New Roman" w:eastAsia="Times New Roman" w:hAnsi="Times New Roman" w:cs="Times New Roman"/>
            <w:color w:val="0000FF"/>
            <w:kern w:val="0"/>
            <w:u w:val="single"/>
            <w:lang w:eastAsia="en-GB"/>
            <w14:ligatures w14:val="none"/>
          </w:rPr>
          <w:t>https://onlinelibrary.wiley.com/doi/10.2307</w:t>
        </w:r>
        <w:r w:rsidRPr="00C114F8">
          <w:rPr>
            <w:rFonts w:ascii="Times New Roman" w:eastAsia="Times New Roman" w:hAnsi="Times New Roman" w:cs="Times New Roman"/>
            <w:color w:val="0000FF"/>
            <w:kern w:val="0"/>
            <w:u w:val="single"/>
            <w:lang w:eastAsia="en-GB"/>
            <w14:ligatures w14:val="none"/>
          </w:rPr>
          <w:t>/</w:t>
        </w:r>
        <w:r w:rsidRPr="00C114F8">
          <w:rPr>
            <w:rFonts w:ascii="Times New Roman" w:eastAsia="Times New Roman" w:hAnsi="Times New Roman" w:cs="Times New Roman"/>
            <w:color w:val="0000FF"/>
            <w:kern w:val="0"/>
            <w:u w:val="single"/>
            <w:lang w:eastAsia="en-GB"/>
            <w14:ligatures w14:val="none"/>
          </w:rPr>
          <w:t>3587438</w:t>
        </w:r>
      </w:hyperlink>
    </w:p>
    <w:p w:rsidR="00C114F8" w:rsidRPr="00C114F8" w:rsidRDefault="00C114F8" w:rsidP="00C114F8">
      <w:pPr>
        <w:spacing w:line="360" w:lineRule="auto"/>
        <w:jc w:val="both"/>
        <w:rPr>
          <w:rFonts w:ascii="Times New Roman" w:hAnsi="Times New Roman" w:cs="Times New Roman"/>
        </w:rPr>
      </w:pPr>
    </w:p>
    <w:sectPr w:rsidR="00C114F8" w:rsidRPr="00C114F8" w:rsidSect="00B7271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45894"/>
    <w:multiLevelType w:val="multilevel"/>
    <w:tmpl w:val="DF14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8434F3"/>
    <w:multiLevelType w:val="multilevel"/>
    <w:tmpl w:val="0960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21E1C"/>
    <w:multiLevelType w:val="multilevel"/>
    <w:tmpl w:val="B5A6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EC7C53"/>
    <w:multiLevelType w:val="multilevel"/>
    <w:tmpl w:val="B5F04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2E4DD0"/>
    <w:multiLevelType w:val="multilevel"/>
    <w:tmpl w:val="CC8CD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2269FB"/>
    <w:multiLevelType w:val="multilevel"/>
    <w:tmpl w:val="43B8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1365614">
    <w:abstractNumId w:val="3"/>
  </w:num>
  <w:num w:numId="2" w16cid:durableId="833376505">
    <w:abstractNumId w:val="2"/>
  </w:num>
  <w:num w:numId="3" w16cid:durableId="1931162016">
    <w:abstractNumId w:val="1"/>
  </w:num>
  <w:num w:numId="4" w16cid:durableId="627780677">
    <w:abstractNumId w:val="4"/>
  </w:num>
  <w:num w:numId="5" w16cid:durableId="172383648">
    <w:abstractNumId w:val="0"/>
  </w:num>
  <w:num w:numId="6" w16cid:durableId="13908354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935"/>
    <w:rsid w:val="00053F1B"/>
    <w:rsid w:val="000A6B7C"/>
    <w:rsid w:val="000C6754"/>
    <w:rsid w:val="00295617"/>
    <w:rsid w:val="002C1815"/>
    <w:rsid w:val="00304820"/>
    <w:rsid w:val="003A7AAD"/>
    <w:rsid w:val="00404303"/>
    <w:rsid w:val="0046008C"/>
    <w:rsid w:val="004746EC"/>
    <w:rsid w:val="00553000"/>
    <w:rsid w:val="005B6014"/>
    <w:rsid w:val="005D7F17"/>
    <w:rsid w:val="0061014F"/>
    <w:rsid w:val="007550E6"/>
    <w:rsid w:val="007B5D36"/>
    <w:rsid w:val="007C1BA2"/>
    <w:rsid w:val="008C054F"/>
    <w:rsid w:val="008E3E6F"/>
    <w:rsid w:val="00932997"/>
    <w:rsid w:val="009578AD"/>
    <w:rsid w:val="00985D56"/>
    <w:rsid w:val="00987275"/>
    <w:rsid w:val="009C7A01"/>
    <w:rsid w:val="00AA32EA"/>
    <w:rsid w:val="00AD7D2B"/>
    <w:rsid w:val="00B7271A"/>
    <w:rsid w:val="00BF3F48"/>
    <w:rsid w:val="00C114F8"/>
    <w:rsid w:val="00CA0FC1"/>
    <w:rsid w:val="00CB7367"/>
    <w:rsid w:val="00CE353D"/>
    <w:rsid w:val="00D37B75"/>
    <w:rsid w:val="00DD1935"/>
    <w:rsid w:val="00DE3965"/>
    <w:rsid w:val="00E8563A"/>
    <w:rsid w:val="00F12C63"/>
    <w:rsid w:val="00FA7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3F280"/>
  <w15:chartTrackingRefBased/>
  <w15:docId w15:val="{BAAA1CE5-8ECD-7D4A-830B-808D98E82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430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D1935"/>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DD1935"/>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DD1935"/>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1935"/>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DD1935"/>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DD1935"/>
    <w:rPr>
      <w:rFonts w:ascii="Times New Roman" w:eastAsia="Times New Roman" w:hAnsi="Times New Roman" w:cs="Times New Roman"/>
      <w:b/>
      <w:bCs/>
      <w:kern w:val="0"/>
      <w:lang w:eastAsia="en-GB"/>
      <w14:ligatures w14:val="none"/>
    </w:rPr>
  </w:style>
  <w:style w:type="paragraph" w:styleId="NormalWeb">
    <w:name w:val="Normal (Web)"/>
    <w:basedOn w:val="Normal"/>
    <w:uiPriority w:val="99"/>
    <w:semiHidden/>
    <w:unhideWhenUsed/>
    <w:rsid w:val="00DD193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D1935"/>
  </w:style>
  <w:style w:type="character" w:styleId="Emphasis">
    <w:name w:val="Emphasis"/>
    <w:basedOn w:val="DefaultParagraphFont"/>
    <w:uiPriority w:val="20"/>
    <w:qFormat/>
    <w:rsid w:val="00DD1935"/>
    <w:rPr>
      <w:i/>
      <w:iCs/>
    </w:rPr>
  </w:style>
  <w:style w:type="character" w:styleId="Strong">
    <w:name w:val="Strong"/>
    <w:basedOn w:val="DefaultParagraphFont"/>
    <w:uiPriority w:val="22"/>
    <w:qFormat/>
    <w:rsid w:val="00DD1935"/>
    <w:rPr>
      <w:b/>
      <w:bCs/>
    </w:rPr>
  </w:style>
  <w:style w:type="character" w:customStyle="1" w:styleId="Heading1Char">
    <w:name w:val="Heading 1 Char"/>
    <w:basedOn w:val="DefaultParagraphFont"/>
    <w:link w:val="Heading1"/>
    <w:uiPriority w:val="9"/>
    <w:rsid w:val="0040430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C114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930583">
      <w:bodyDiv w:val="1"/>
      <w:marLeft w:val="0"/>
      <w:marRight w:val="0"/>
      <w:marTop w:val="0"/>
      <w:marBottom w:val="0"/>
      <w:divBdr>
        <w:top w:val="none" w:sz="0" w:space="0" w:color="auto"/>
        <w:left w:val="none" w:sz="0" w:space="0" w:color="auto"/>
        <w:bottom w:val="none" w:sz="0" w:space="0" w:color="auto"/>
        <w:right w:val="none" w:sz="0" w:space="0" w:color="auto"/>
      </w:divBdr>
    </w:div>
    <w:div w:id="208105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sbury.com/uk/analysing-english-as-a-lingua-franca-9781441109415/" TargetMode="External"/><Relationship Id="rId13" Type="http://schemas.openxmlformats.org/officeDocument/2006/relationships/hyperlink" Target="https://adrianholliday.com/wp-content/uploads/2016/07/holliday-06-nism.pdf" TargetMode="External"/><Relationship Id="rId18" Type="http://schemas.openxmlformats.org/officeDocument/2006/relationships/hyperlink" Target="https://onlinelibrary.wiley.com/doi/pdf/10.2307/3588485" TargetMode="External"/><Relationship Id="rId26" Type="http://schemas.openxmlformats.org/officeDocument/2006/relationships/hyperlink" Target="https://lagb-education.org/wp-content/uploads/2016/01/SEtrudgill2011.pdf" TargetMode="External"/><Relationship Id="rId3" Type="http://schemas.openxmlformats.org/officeDocument/2006/relationships/settings" Target="settings.xml"/><Relationship Id="rId21" Type="http://schemas.openxmlformats.org/officeDocument/2006/relationships/hyperlink" Target="https://archive.org/details/teachingenglisha0000mcka" TargetMode="External"/><Relationship Id="rId7" Type="http://schemas.openxmlformats.org/officeDocument/2006/relationships/hyperlink" Target="https://www.routledge.com/Translingual-Practice-Global-Englishes-and-Cosmopolitan-Relations/Canagarajah/p/book/9780415684002" TargetMode="External"/><Relationship Id="rId12" Type="http://schemas.openxmlformats.org/officeDocument/2006/relationships/hyperlink" Target="https://alogro.wordpress.com/wp-content/uploads/2010/05/haugen_l_d_n.pdf" TargetMode="External"/><Relationship Id="rId17" Type="http://schemas.openxmlformats.org/officeDocument/2006/relationships/hyperlink" Target="https://www.taylorfrancis.com/books/edit/10.4324/9780203849323/routledge-handbook-world-englishes-andy-kirkpatrick" TargetMode="External"/><Relationship Id="rId25" Type="http://schemas.openxmlformats.org/officeDocument/2006/relationships/hyperlink" Target="https://onlinelibrary.wiley.com/doi/abs/10.1111/1473-4192.00011" TargetMode="External"/><Relationship Id="rId2" Type="http://schemas.openxmlformats.org/officeDocument/2006/relationships/styles" Target="styles.xml"/><Relationship Id="rId16" Type="http://schemas.openxmlformats.org/officeDocument/2006/relationships/hyperlink" Target="https://files.eric.ed.gov/fulltext/ED347805.pdf" TargetMode="External"/><Relationship Id="rId20" Type="http://schemas.openxmlformats.org/officeDocument/2006/relationships/hyperlink" Target="https://www.taylorfrancis.com/books/mono/10.4324/9780203348802/english-accent-rosina-lippi-gree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onoskop.org/images/4/43/Bourdieu_Pierre_Language_and_Symbolic_Power_1991.pdf" TargetMode="External"/><Relationship Id="rId11" Type="http://schemas.openxmlformats.org/officeDocument/2006/relationships/hyperlink" Target="https://www.cambridge.org/core/journals/studies-in-second-language-acquisition/article/accent-intelligibility-and-comprehensibility/729C15F62F9EC9A51A33EAB5C2D05ED0" TargetMode="External"/><Relationship Id="rId24" Type="http://schemas.openxmlformats.org/officeDocument/2006/relationships/hyperlink" Target="https://academic.oup.com/eltj/article/44/2/97/3113710" TargetMode="External"/><Relationship Id="rId5" Type="http://schemas.openxmlformats.org/officeDocument/2006/relationships/hyperlink" Target="https://academic.oup.com/eltj/article-abstract/56/1/57/414608" TargetMode="External"/><Relationship Id="rId15" Type="http://schemas.openxmlformats.org/officeDocument/2006/relationships/hyperlink" Target="https://eprints.soton.ac.uk/46169/" TargetMode="External"/><Relationship Id="rId23" Type="http://schemas.openxmlformats.org/officeDocument/2006/relationships/hyperlink" Target="https://pdcrodas.webs.ull.es/variedades/QuirkLanguageVarietiesAndStandardLanguage.pdf" TargetMode="External"/><Relationship Id="rId28" Type="http://schemas.openxmlformats.org/officeDocument/2006/relationships/fontTable" Target="fontTable.xml"/><Relationship Id="rId10" Type="http://schemas.openxmlformats.org/officeDocument/2006/relationships/hyperlink" Target="https://culturaldiplomacy.org/academy/pdf/research/books/nation_branding/English_As_A_Global_Language_-_David_Crystal.pdf" TargetMode="External"/><Relationship Id="rId19" Type="http://schemas.openxmlformats.org/officeDocument/2006/relationships/hyperlink" Target="https://rosinalippi.com/weblog/wp-content/uploads/2012/11/Lippi-Green1994Accent-standard-language-ideology-and-discriminatory-pretext-in-the-courts.pdf" TargetMode="External"/><Relationship Id="rId4" Type="http://schemas.openxmlformats.org/officeDocument/2006/relationships/webSettings" Target="webSettings.xml"/><Relationship Id="rId9" Type="http://schemas.openxmlformats.org/officeDocument/2006/relationships/hyperlink" Target="https://www.jstor.org/stable/3587717" TargetMode="External"/><Relationship Id="rId14" Type="http://schemas.openxmlformats.org/officeDocument/2006/relationships/hyperlink" Target="https://books.google.co.uk/books/about/The_Phonology_of_English_as_an_Internati.html?id=0TvHACfrUjEC" TargetMode="External"/><Relationship Id="rId22" Type="http://schemas.openxmlformats.org/officeDocument/2006/relationships/hyperlink" Target="https://www.taylorfrancis.com/books/mono/10.4324/9780203124666/authority-language-james-milroy-lesley-milroy" TargetMode="External"/><Relationship Id="rId27" Type="http://schemas.openxmlformats.org/officeDocument/2006/relationships/hyperlink" Target="https://onlinelibrary.wiley.com/doi/10.2307/3587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11</Pages>
  <Words>3525</Words>
  <Characters>20096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54</cp:revision>
  <dcterms:created xsi:type="dcterms:W3CDTF">2025-12-03T10:08:00Z</dcterms:created>
  <dcterms:modified xsi:type="dcterms:W3CDTF">2025-12-04T13:19:00Z</dcterms:modified>
</cp:coreProperties>
</file>