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067D6" w14:textId="77777777" w:rsidR="0001105B" w:rsidRDefault="0001105B">
      <w:pPr>
        <w:spacing w:before="480"/>
        <w:jc w:val="center"/>
        <w:rPr>
          <w:b/>
          <w:bCs/>
          <w:sz w:val="32"/>
          <w:szCs w:val="32"/>
        </w:rPr>
      </w:pPr>
    </w:p>
    <w:p w14:paraId="62EC686A" w14:textId="77777777" w:rsidR="0001105B" w:rsidRDefault="0001105B">
      <w:pPr>
        <w:spacing w:before="480"/>
        <w:jc w:val="center"/>
        <w:rPr>
          <w:b/>
          <w:bCs/>
          <w:sz w:val="32"/>
          <w:szCs w:val="32"/>
        </w:rPr>
      </w:pPr>
    </w:p>
    <w:p w14:paraId="226E8519" w14:textId="77777777" w:rsidR="0001105B" w:rsidRDefault="0001105B">
      <w:pPr>
        <w:spacing w:before="480"/>
        <w:jc w:val="center"/>
        <w:rPr>
          <w:b/>
          <w:bCs/>
          <w:sz w:val="32"/>
          <w:szCs w:val="32"/>
        </w:rPr>
      </w:pPr>
    </w:p>
    <w:p w14:paraId="04F4DAB7" w14:textId="77777777" w:rsidR="0001105B" w:rsidRDefault="00000000">
      <w:pPr>
        <w:spacing w:before="480"/>
        <w:jc w:val="center"/>
        <w:rPr>
          <w:b/>
          <w:bCs/>
          <w:sz w:val="32"/>
          <w:szCs w:val="32"/>
        </w:rPr>
      </w:pPr>
      <w:r>
        <w:rPr>
          <w:b/>
          <w:bCs/>
          <w:sz w:val="32"/>
          <w:szCs w:val="32"/>
        </w:rPr>
        <w:t xml:space="preserve">An Integrated Security, Governance and Compliance Framework for </w:t>
      </w:r>
      <w:proofErr w:type="spellStart"/>
      <w:r>
        <w:rPr>
          <w:b/>
          <w:bCs/>
          <w:sz w:val="32"/>
          <w:szCs w:val="32"/>
        </w:rPr>
        <w:t>AeroLink</w:t>
      </w:r>
      <w:proofErr w:type="spellEnd"/>
      <w:r>
        <w:rPr>
          <w:b/>
          <w:bCs/>
          <w:sz w:val="32"/>
          <w:szCs w:val="32"/>
        </w:rPr>
        <w:t xml:space="preserve"> Logistics</w:t>
      </w:r>
    </w:p>
    <w:p w14:paraId="40774EA9" w14:textId="77777777" w:rsidR="0001105B" w:rsidRDefault="00000000">
      <w:pPr>
        <w:jc w:val="center"/>
        <w:rPr>
          <w:sz w:val="28"/>
          <w:szCs w:val="28"/>
        </w:rPr>
      </w:pPr>
      <w:r>
        <w:rPr>
          <w:b/>
          <w:bCs/>
          <w:sz w:val="28"/>
          <w:szCs w:val="28"/>
        </w:rPr>
        <w:t>Programme:</w:t>
      </w:r>
      <w:r>
        <w:rPr>
          <w:sz w:val="28"/>
          <w:szCs w:val="28"/>
        </w:rPr>
        <w:t xml:space="preserve"> MSc Data and Artificial Intelligence </w:t>
      </w:r>
    </w:p>
    <w:p w14:paraId="3C117B5E" w14:textId="77777777" w:rsidR="0001105B" w:rsidRDefault="00000000">
      <w:pPr>
        <w:jc w:val="center"/>
        <w:rPr>
          <w:sz w:val="28"/>
          <w:szCs w:val="28"/>
        </w:rPr>
      </w:pPr>
      <w:r>
        <w:rPr>
          <w:b/>
          <w:bCs/>
          <w:sz w:val="28"/>
          <w:szCs w:val="28"/>
        </w:rPr>
        <w:t>Module:</w:t>
      </w:r>
      <w:r>
        <w:rPr>
          <w:sz w:val="28"/>
          <w:szCs w:val="28"/>
        </w:rPr>
        <w:t xml:space="preserve"> Data Security, Governance and Compliance </w:t>
      </w:r>
    </w:p>
    <w:p w14:paraId="05B6940D" w14:textId="77777777" w:rsidR="0001105B" w:rsidRDefault="00000000">
      <w:pPr>
        <w:jc w:val="center"/>
        <w:rPr>
          <w:sz w:val="28"/>
          <w:szCs w:val="28"/>
        </w:rPr>
      </w:pPr>
      <w:r>
        <w:rPr>
          <w:b/>
          <w:bCs/>
          <w:sz w:val="28"/>
          <w:szCs w:val="28"/>
        </w:rPr>
        <w:t>Module code:</w:t>
      </w:r>
      <w:r>
        <w:rPr>
          <w:sz w:val="28"/>
          <w:szCs w:val="28"/>
        </w:rPr>
        <w:t xml:space="preserve"> ACCA7028 </w:t>
      </w:r>
    </w:p>
    <w:p w14:paraId="485A7477" w14:textId="77777777" w:rsidR="0001105B" w:rsidRDefault="00000000">
      <w:pPr>
        <w:jc w:val="center"/>
        <w:rPr>
          <w:sz w:val="28"/>
          <w:szCs w:val="28"/>
        </w:rPr>
      </w:pPr>
      <w:r>
        <w:rPr>
          <w:b/>
          <w:bCs/>
          <w:sz w:val="28"/>
          <w:szCs w:val="28"/>
        </w:rPr>
        <w:t>Assignment title:</w:t>
      </w:r>
      <w:r>
        <w:rPr>
          <w:sz w:val="28"/>
          <w:szCs w:val="28"/>
        </w:rPr>
        <w:t xml:space="preserve"> Apply the Principles and Practices of Data Security, Governance and Compliance Based on a Given Scenario </w:t>
      </w:r>
    </w:p>
    <w:p w14:paraId="5132C67B" w14:textId="13493672" w:rsidR="0001105B" w:rsidRDefault="00000000">
      <w:pPr>
        <w:jc w:val="center"/>
        <w:rPr>
          <w:sz w:val="28"/>
          <w:szCs w:val="28"/>
        </w:rPr>
      </w:pPr>
      <w:r>
        <w:rPr>
          <w:b/>
          <w:bCs/>
          <w:sz w:val="28"/>
          <w:szCs w:val="28"/>
        </w:rPr>
        <w:t>Student name:</w:t>
      </w:r>
      <w:r>
        <w:rPr>
          <w:sz w:val="28"/>
          <w:szCs w:val="28"/>
        </w:rPr>
        <w:t xml:space="preserve"> </w:t>
      </w:r>
      <w:r w:rsidR="00F57B3A">
        <w:rPr>
          <w:sz w:val="28"/>
          <w:szCs w:val="28"/>
        </w:rPr>
        <w:t xml:space="preserve">Mahmmad </w:t>
      </w:r>
      <w:proofErr w:type="spellStart"/>
      <w:r w:rsidR="00F57B3A">
        <w:rPr>
          <w:sz w:val="28"/>
          <w:szCs w:val="28"/>
        </w:rPr>
        <w:t>alfaj</w:t>
      </w:r>
      <w:proofErr w:type="spellEnd"/>
      <w:r w:rsidR="00F57B3A">
        <w:rPr>
          <w:sz w:val="28"/>
          <w:szCs w:val="28"/>
        </w:rPr>
        <w:t xml:space="preserve"> Munirmiya </w:t>
      </w:r>
      <w:proofErr w:type="spellStart"/>
      <w:r w:rsidR="00F57B3A">
        <w:rPr>
          <w:sz w:val="28"/>
          <w:szCs w:val="28"/>
        </w:rPr>
        <w:t>malek</w:t>
      </w:r>
      <w:proofErr w:type="spellEnd"/>
    </w:p>
    <w:p w14:paraId="23F540F1" w14:textId="7E6608D3" w:rsidR="0001105B" w:rsidRDefault="00000000">
      <w:pPr>
        <w:jc w:val="center"/>
        <w:rPr>
          <w:sz w:val="28"/>
          <w:szCs w:val="28"/>
        </w:rPr>
      </w:pPr>
      <w:r>
        <w:rPr>
          <w:b/>
          <w:bCs/>
          <w:sz w:val="28"/>
          <w:szCs w:val="28"/>
        </w:rPr>
        <w:t>Student ID:</w:t>
      </w:r>
      <w:r>
        <w:rPr>
          <w:sz w:val="28"/>
          <w:szCs w:val="28"/>
        </w:rPr>
        <w:t xml:space="preserve"> </w:t>
      </w:r>
      <w:r w:rsidR="00F57B3A">
        <w:rPr>
          <w:sz w:val="28"/>
          <w:szCs w:val="28"/>
        </w:rPr>
        <w:t>2520650</w:t>
      </w:r>
    </w:p>
    <w:p w14:paraId="12C91261" w14:textId="77777777" w:rsidR="0001105B" w:rsidRDefault="0001105B"/>
    <w:p w14:paraId="46D2C8E3" w14:textId="77777777" w:rsidR="0001105B" w:rsidRDefault="00000000">
      <w:pPr>
        <w:pStyle w:val="Heading2"/>
        <w:keepNext w:val="0"/>
        <w:keepLines w:val="0"/>
        <w:rPr>
          <w:sz w:val="34"/>
          <w:szCs w:val="34"/>
        </w:rPr>
      </w:pPr>
      <w:bookmarkStart w:id="0" w:name="_445sfxx57ya5" w:colFirst="0" w:colLast="0"/>
      <w:bookmarkEnd w:id="0"/>
      <w:r>
        <w:br w:type="page"/>
      </w:r>
    </w:p>
    <w:p w14:paraId="5BC0C6E3" w14:textId="77777777" w:rsidR="00F57B3A" w:rsidRDefault="00F57B3A">
      <w:pPr>
        <w:pStyle w:val="Heading1"/>
        <w:jc w:val="center"/>
      </w:pPr>
      <w:bookmarkStart w:id="1" w:name="_xzu08z18ifjj" w:colFirst="0" w:colLast="0"/>
      <w:bookmarkEnd w:id="1"/>
    </w:p>
    <w:p w14:paraId="783A61C9" w14:textId="77777777" w:rsidR="00F57B3A" w:rsidRDefault="00F57B3A" w:rsidP="00F57B3A">
      <w:pPr>
        <w:spacing w:after="80"/>
        <w:jc w:val="center"/>
        <w:rPr>
          <w:b/>
          <w:bCs/>
          <w:sz w:val="28"/>
          <w:szCs w:val="28"/>
        </w:rPr>
      </w:pPr>
      <w:r>
        <w:rPr>
          <w:b/>
          <w:bCs/>
          <w:sz w:val="28"/>
          <w:szCs w:val="28"/>
        </w:rPr>
        <w:t>TABLE OF CONTENT</w:t>
      </w:r>
    </w:p>
    <w:sdt>
      <w:sdtPr>
        <w:id w:val="744145342"/>
        <w:docPartObj>
          <w:docPartGallery w:val="Table of Contents"/>
          <w:docPartUnique/>
        </w:docPartObj>
      </w:sdtPr>
      <w:sdtContent>
        <w:p w14:paraId="72C6534D" w14:textId="77777777" w:rsidR="00F57B3A" w:rsidRDefault="00F57B3A" w:rsidP="00F57B3A">
          <w:pPr>
            <w:widowControl w:val="0"/>
            <w:tabs>
              <w:tab w:val="right" w:leader="dot" w:pos="9025"/>
            </w:tabs>
            <w:spacing w:before="60" w:after="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96mso9pw0pqp">
            <w:r>
              <w:rPr>
                <w:b/>
                <w:bCs/>
                <w:color w:val="000000"/>
              </w:rPr>
              <w:t>1. Introduction</w:t>
            </w:r>
            <w:r>
              <w:rPr>
                <w:b/>
                <w:bCs/>
                <w:color w:val="000000"/>
              </w:rPr>
              <w:tab/>
            </w:r>
          </w:hyperlink>
          <w:r>
            <w:fldChar w:fldCharType="begin"/>
          </w:r>
          <w:r>
            <w:instrText xml:space="preserve"> PAGEREF _96mso9pw0pqp \h </w:instrText>
          </w:r>
          <w:r>
            <w:fldChar w:fldCharType="separate"/>
          </w:r>
          <w:r>
            <w:rPr>
              <w:b/>
              <w:bCs/>
              <w:color w:val="000000"/>
            </w:rPr>
            <w:t>4</w:t>
          </w:r>
          <w:r>
            <w:fldChar w:fldCharType="end"/>
          </w:r>
        </w:p>
        <w:p w14:paraId="3D76B7C5" w14:textId="77777777" w:rsidR="00F57B3A" w:rsidRDefault="00F57B3A" w:rsidP="00F57B3A">
          <w:pPr>
            <w:widowControl w:val="0"/>
            <w:tabs>
              <w:tab w:val="right" w:leader="dot" w:pos="9025"/>
            </w:tabs>
            <w:spacing w:before="60" w:after="0" w:line="240" w:lineRule="auto"/>
            <w:jc w:val="left"/>
            <w:rPr>
              <w:b/>
              <w:bCs/>
              <w:color w:val="000000"/>
            </w:rPr>
          </w:pPr>
          <w:hyperlink w:anchor="_2nkevodwm9a3">
            <w:r>
              <w:rPr>
                <w:b/>
                <w:bCs/>
                <w:color w:val="000000"/>
              </w:rPr>
              <w:t>2. Assumptions</w:t>
            </w:r>
            <w:r>
              <w:rPr>
                <w:b/>
                <w:bCs/>
                <w:color w:val="000000"/>
              </w:rPr>
              <w:tab/>
            </w:r>
          </w:hyperlink>
          <w:r>
            <w:fldChar w:fldCharType="begin"/>
          </w:r>
          <w:r>
            <w:instrText xml:space="preserve"> PAGEREF _2nkevodwm9a3 \h </w:instrText>
          </w:r>
          <w:r>
            <w:fldChar w:fldCharType="separate"/>
          </w:r>
          <w:r>
            <w:rPr>
              <w:b/>
              <w:bCs/>
              <w:color w:val="000000"/>
            </w:rPr>
            <w:t>4</w:t>
          </w:r>
          <w:r>
            <w:fldChar w:fldCharType="end"/>
          </w:r>
        </w:p>
        <w:p w14:paraId="0E74D1B8" w14:textId="77777777" w:rsidR="00F57B3A" w:rsidRDefault="00F57B3A" w:rsidP="00F57B3A">
          <w:pPr>
            <w:widowControl w:val="0"/>
            <w:tabs>
              <w:tab w:val="right" w:leader="dot" w:pos="9025"/>
            </w:tabs>
            <w:spacing w:before="60" w:after="0" w:line="240" w:lineRule="auto"/>
            <w:jc w:val="left"/>
            <w:rPr>
              <w:b/>
              <w:bCs/>
              <w:color w:val="000000"/>
            </w:rPr>
          </w:pPr>
          <w:hyperlink w:anchor="_savovomqgq1g">
            <w:r>
              <w:rPr>
                <w:b/>
                <w:bCs/>
                <w:color w:val="000000"/>
              </w:rPr>
              <w:t>3. Critical Review and Comparison of Frameworks</w:t>
            </w:r>
            <w:r>
              <w:rPr>
                <w:b/>
                <w:bCs/>
                <w:color w:val="000000"/>
              </w:rPr>
              <w:tab/>
            </w:r>
          </w:hyperlink>
          <w:r>
            <w:fldChar w:fldCharType="begin"/>
          </w:r>
          <w:r>
            <w:instrText xml:space="preserve"> PAGEREF _savovomqgq1g \h </w:instrText>
          </w:r>
          <w:r>
            <w:fldChar w:fldCharType="separate"/>
          </w:r>
          <w:r>
            <w:rPr>
              <w:b/>
              <w:bCs/>
              <w:color w:val="000000"/>
            </w:rPr>
            <w:t>5</w:t>
          </w:r>
          <w:r>
            <w:fldChar w:fldCharType="end"/>
          </w:r>
        </w:p>
        <w:p w14:paraId="329E2875" w14:textId="77777777" w:rsidR="00F57B3A" w:rsidRDefault="00F57B3A" w:rsidP="00F57B3A">
          <w:pPr>
            <w:widowControl w:val="0"/>
            <w:tabs>
              <w:tab w:val="right" w:leader="dot" w:pos="9025"/>
            </w:tabs>
            <w:spacing w:before="60" w:after="0" w:line="240" w:lineRule="auto"/>
            <w:ind w:left="360"/>
            <w:jc w:val="left"/>
            <w:rPr>
              <w:color w:val="000000"/>
            </w:rPr>
          </w:pPr>
          <w:hyperlink w:anchor="_kvf5mik6ncj2">
            <w:r>
              <w:rPr>
                <w:color w:val="000000"/>
              </w:rPr>
              <w:t>3.1 COBIT 2019</w:t>
            </w:r>
            <w:r>
              <w:rPr>
                <w:color w:val="000000"/>
              </w:rPr>
              <w:tab/>
            </w:r>
          </w:hyperlink>
          <w:r>
            <w:fldChar w:fldCharType="begin"/>
          </w:r>
          <w:r>
            <w:instrText xml:space="preserve"> PAGEREF _kvf5mik6ncj2 \h </w:instrText>
          </w:r>
          <w:r>
            <w:fldChar w:fldCharType="separate"/>
          </w:r>
          <w:r>
            <w:rPr>
              <w:color w:val="000000"/>
            </w:rPr>
            <w:t>5</w:t>
          </w:r>
          <w:r>
            <w:fldChar w:fldCharType="end"/>
          </w:r>
        </w:p>
        <w:p w14:paraId="7882D536" w14:textId="77777777" w:rsidR="00F57B3A" w:rsidRDefault="00F57B3A" w:rsidP="00F57B3A">
          <w:pPr>
            <w:widowControl w:val="0"/>
            <w:tabs>
              <w:tab w:val="right" w:leader="dot" w:pos="9025"/>
            </w:tabs>
            <w:spacing w:before="60" w:after="0" w:line="240" w:lineRule="auto"/>
            <w:ind w:left="360"/>
            <w:jc w:val="left"/>
            <w:rPr>
              <w:color w:val="000000"/>
            </w:rPr>
          </w:pPr>
          <w:hyperlink w:anchor="_bn6vbhk13a4i">
            <w:r>
              <w:rPr>
                <w:color w:val="000000"/>
              </w:rPr>
              <w:t>3.2 ISO/IEC 27001 and ISO/IEC 27002</w:t>
            </w:r>
            <w:r>
              <w:rPr>
                <w:color w:val="000000"/>
              </w:rPr>
              <w:tab/>
            </w:r>
          </w:hyperlink>
          <w:r>
            <w:fldChar w:fldCharType="begin"/>
          </w:r>
          <w:r>
            <w:instrText xml:space="preserve"> PAGEREF _bn6vbhk13a4i \h </w:instrText>
          </w:r>
          <w:r>
            <w:fldChar w:fldCharType="separate"/>
          </w:r>
          <w:r>
            <w:rPr>
              <w:color w:val="000000"/>
            </w:rPr>
            <w:t>5</w:t>
          </w:r>
          <w:r>
            <w:fldChar w:fldCharType="end"/>
          </w:r>
        </w:p>
        <w:p w14:paraId="4E3A681C" w14:textId="77777777" w:rsidR="00F57B3A" w:rsidRDefault="00F57B3A" w:rsidP="00F57B3A">
          <w:pPr>
            <w:widowControl w:val="0"/>
            <w:tabs>
              <w:tab w:val="right" w:leader="dot" w:pos="9025"/>
            </w:tabs>
            <w:spacing w:before="60" w:after="0" w:line="240" w:lineRule="auto"/>
            <w:ind w:left="360"/>
            <w:jc w:val="left"/>
            <w:rPr>
              <w:color w:val="000000"/>
            </w:rPr>
          </w:pPr>
          <w:hyperlink w:anchor="_npqihktq4s97">
            <w:r>
              <w:rPr>
                <w:color w:val="000000"/>
              </w:rPr>
              <w:t>3.3 NIST Cybersecurity Framework 2.0</w:t>
            </w:r>
            <w:r>
              <w:rPr>
                <w:color w:val="000000"/>
              </w:rPr>
              <w:tab/>
            </w:r>
          </w:hyperlink>
          <w:r>
            <w:fldChar w:fldCharType="begin"/>
          </w:r>
          <w:r>
            <w:instrText xml:space="preserve"> PAGEREF _npqihktq4s97 \h </w:instrText>
          </w:r>
          <w:r>
            <w:fldChar w:fldCharType="separate"/>
          </w:r>
          <w:r>
            <w:rPr>
              <w:color w:val="000000"/>
            </w:rPr>
            <w:t>6</w:t>
          </w:r>
          <w:r>
            <w:fldChar w:fldCharType="end"/>
          </w:r>
        </w:p>
        <w:p w14:paraId="31B8DECD" w14:textId="77777777" w:rsidR="00F57B3A" w:rsidRDefault="00F57B3A" w:rsidP="00F57B3A">
          <w:pPr>
            <w:widowControl w:val="0"/>
            <w:tabs>
              <w:tab w:val="right" w:leader="dot" w:pos="9025"/>
            </w:tabs>
            <w:spacing w:before="60" w:after="0" w:line="240" w:lineRule="auto"/>
            <w:ind w:left="360"/>
            <w:jc w:val="left"/>
            <w:rPr>
              <w:color w:val="000000"/>
            </w:rPr>
          </w:pPr>
          <w:hyperlink w:anchor="_ms6bviu1of0c">
            <w:r>
              <w:rPr>
                <w:color w:val="000000"/>
              </w:rPr>
              <w:t>3.4 Zero Trust, ITIL, ISO 22301 and ISO/IEC 42001</w:t>
            </w:r>
            <w:r>
              <w:rPr>
                <w:color w:val="000000"/>
              </w:rPr>
              <w:tab/>
            </w:r>
          </w:hyperlink>
          <w:r>
            <w:fldChar w:fldCharType="begin"/>
          </w:r>
          <w:r>
            <w:instrText xml:space="preserve"> PAGEREF _ms6bviu1of0c \h </w:instrText>
          </w:r>
          <w:r>
            <w:fldChar w:fldCharType="separate"/>
          </w:r>
          <w:r>
            <w:rPr>
              <w:color w:val="000000"/>
            </w:rPr>
            <w:t>6</w:t>
          </w:r>
          <w:r>
            <w:fldChar w:fldCharType="end"/>
          </w:r>
        </w:p>
        <w:p w14:paraId="1C483624" w14:textId="77777777" w:rsidR="00F57B3A" w:rsidRDefault="00F57B3A" w:rsidP="00F57B3A">
          <w:pPr>
            <w:widowControl w:val="0"/>
            <w:tabs>
              <w:tab w:val="right" w:leader="dot" w:pos="9025"/>
            </w:tabs>
            <w:spacing w:before="60" w:after="0" w:line="240" w:lineRule="auto"/>
            <w:jc w:val="left"/>
            <w:rPr>
              <w:b/>
              <w:bCs/>
              <w:color w:val="000000"/>
            </w:rPr>
          </w:pPr>
          <w:hyperlink w:anchor="_8fjzk0fyzxt9">
            <w:r>
              <w:rPr>
                <w:b/>
                <w:bCs/>
                <w:color w:val="000000"/>
              </w:rPr>
              <w:t>4. Proposed AeroLink Security, Governance and Compliance Model</w:t>
            </w:r>
            <w:r>
              <w:rPr>
                <w:b/>
                <w:bCs/>
                <w:color w:val="000000"/>
              </w:rPr>
              <w:tab/>
            </w:r>
          </w:hyperlink>
          <w:r>
            <w:fldChar w:fldCharType="begin"/>
          </w:r>
          <w:r>
            <w:instrText xml:space="preserve"> PAGEREF _8fjzk0fyzxt9 \h </w:instrText>
          </w:r>
          <w:r>
            <w:fldChar w:fldCharType="separate"/>
          </w:r>
          <w:r>
            <w:rPr>
              <w:b/>
              <w:bCs/>
              <w:color w:val="000000"/>
            </w:rPr>
            <w:t>8</w:t>
          </w:r>
          <w:r>
            <w:fldChar w:fldCharType="end"/>
          </w:r>
        </w:p>
        <w:p w14:paraId="1951CA7D" w14:textId="77777777" w:rsidR="00F57B3A" w:rsidRDefault="00F57B3A" w:rsidP="00F57B3A">
          <w:pPr>
            <w:widowControl w:val="0"/>
            <w:tabs>
              <w:tab w:val="right" w:leader="dot" w:pos="9025"/>
            </w:tabs>
            <w:spacing w:before="60" w:after="0" w:line="240" w:lineRule="auto"/>
            <w:ind w:left="360"/>
            <w:jc w:val="left"/>
            <w:rPr>
              <w:color w:val="000000"/>
            </w:rPr>
          </w:pPr>
          <w:hyperlink w:anchor="_jou189u8hy77">
            <w:r>
              <w:rPr>
                <w:color w:val="000000"/>
              </w:rPr>
              <w:t>4.1 Governance and responsibilities</w:t>
            </w:r>
            <w:r>
              <w:rPr>
                <w:color w:val="000000"/>
              </w:rPr>
              <w:tab/>
            </w:r>
          </w:hyperlink>
          <w:r>
            <w:fldChar w:fldCharType="begin"/>
          </w:r>
          <w:r>
            <w:instrText xml:space="preserve"> PAGEREF _jou189u8hy77 \h </w:instrText>
          </w:r>
          <w:r>
            <w:fldChar w:fldCharType="separate"/>
          </w:r>
          <w:r>
            <w:rPr>
              <w:color w:val="000000"/>
            </w:rPr>
            <w:t>8</w:t>
          </w:r>
          <w:r>
            <w:fldChar w:fldCharType="end"/>
          </w:r>
        </w:p>
        <w:p w14:paraId="71D1D4DB" w14:textId="77777777" w:rsidR="00F57B3A" w:rsidRDefault="00F57B3A" w:rsidP="00F57B3A">
          <w:pPr>
            <w:widowControl w:val="0"/>
            <w:tabs>
              <w:tab w:val="right" w:leader="dot" w:pos="9025"/>
            </w:tabs>
            <w:spacing w:before="60" w:after="0" w:line="240" w:lineRule="auto"/>
            <w:ind w:left="360"/>
            <w:jc w:val="left"/>
            <w:rPr>
              <w:color w:val="000000"/>
            </w:rPr>
          </w:pPr>
          <w:hyperlink w:anchor="_a6yhazhb89m">
            <w:r>
              <w:rPr>
                <w:color w:val="000000"/>
              </w:rPr>
              <w:t>4.2 Security policies and risk management</w:t>
            </w:r>
            <w:r>
              <w:rPr>
                <w:color w:val="000000"/>
              </w:rPr>
              <w:tab/>
            </w:r>
          </w:hyperlink>
          <w:r>
            <w:fldChar w:fldCharType="begin"/>
          </w:r>
          <w:r>
            <w:instrText xml:space="preserve"> PAGEREF _a6yhazhb89m \h </w:instrText>
          </w:r>
          <w:r>
            <w:fldChar w:fldCharType="separate"/>
          </w:r>
          <w:r>
            <w:rPr>
              <w:color w:val="000000"/>
            </w:rPr>
            <w:t>8</w:t>
          </w:r>
          <w:r>
            <w:fldChar w:fldCharType="end"/>
          </w:r>
        </w:p>
        <w:p w14:paraId="19DFBF49" w14:textId="77777777" w:rsidR="00F57B3A" w:rsidRDefault="00F57B3A" w:rsidP="00F57B3A">
          <w:pPr>
            <w:widowControl w:val="0"/>
            <w:tabs>
              <w:tab w:val="right" w:leader="dot" w:pos="9025"/>
            </w:tabs>
            <w:spacing w:before="60" w:after="0" w:line="240" w:lineRule="auto"/>
            <w:ind w:left="360"/>
            <w:jc w:val="left"/>
            <w:rPr>
              <w:color w:val="000000"/>
            </w:rPr>
          </w:pPr>
          <w:hyperlink w:anchor="_8w0bwmh76t6y">
            <w:r>
              <w:rPr>
                <w:color w:val="000000"/>
              </w:rPr>
              <w:t>4.3 Zero Trust, identity and access controls</w:t>
            </w:r>
            <w:r>
              <w:rPr>
                <w:color w:val="000000"/>
              </w:rPr>
              <w:tab/>
            </w:r>
          </w:hyperlink>
          <w:r>
            <w:fldChar w:fldCharType="begin"/>
          </w:r>
          <w:r>
            <w:instrText xml:space="preserve"> PAGEREF _8w0bwmh76t6y \h </w:instrText>
          </w:r>
          <w:r>
            <w:fldChar w:fldCharType="separate"/>
          </w:r>
          <w:r>
            <w:rPr>
              <w:color w:val="000000"/>
            </w:rPr>
            <w:t>9</w:t>
          </w:r>
          <w:r>
            <w:fldChar w:fldCharType="end"/>
          </w:r>
        </w:p>
        <w:p w14:paraId="37BA1263" w14:textId="77777777" w:rsidR="00F57B3A" w:rsidRDefault="00F57B3A" w:rsidP="00F57B3A">
          <w:pPr>
            <w:widowControl w:val="0"/>
            <w:tabs>
              <w:tab w:val="right" w:leader="dot" w:pos="9025"/>
            </w:tabs>
            <w:spacing w:before="60" w:after="0" w:line="240" w:lineRule="auto"/>
            <w:ind w:left="360"/>
            <w:jc w:val="left"/>
            <w:rPr>
              <w:color w:val="000000"/>
            </w:rPr>
          </w:pPr>
          <w:hyperlink w:anchor="_u8pgyap3ixe2">
            <w:r>
              <w:rPr>
                <w:color w:val="000000"/>
              </w:rPr>
              <w:t>4.4 Data protection, encryption and ethical governance</w:t>
            </w:r>
            <w:r>
              <w:rPr>
                <w:color w:val="000000"/>
              </w:rPr>
              <w:tab/>
            </w:r>
          </w:hyperlink>
          <w:r>
            <w:fldChar w:fldCharType="begin"/>
          </w:r>
          <w:r>
            <w:instrText xml:space="preserve"> PAGEREF _u8pgyap3ixe2 \h </w:instrText>
          </w:r>
          <w:r>
            <w:fldChar w:fldCharType="separate"/>
          </w:r>
          <w:r>
            <w:rPr>
              <w:color w:val="000000"/>
            </w:rPr>
            <w:t>9</w:t>
          </w:r>
          <w:r>
            <w:fldChar w:fldCharType="end"/>
          </w:r>
        </w:p>
        <w:p w14:paraId="786022A6" w14:textId="77777777" w:rsidR="00F57B3A" w:rsidRDefault="00F57B3A" w:rsidP="00F57B3A">
          <w:pPr>
            <w:widowControl w:val="0"/>
            <w:tabs>
              <w:tab w:val="right" w:leader="dot" w:pos="9025"/>
            </w:tabs>
            <w:spacing w:before="60" w:after="0" w:line="240" w:lineRule="auto"/>
            <w:ind w:left="360"/>
            <w:jc w:val="left"/>
            <w:rPr>
              <w:color w:val="000000"/>
            </w:rPr>
          </w:pPr>
          <w:hyperlink w:anchor="_grk1fmpmzs6l">
            <w:r>
              <w:rPr>
                <w:color w:val="000000"/>
              </w:rPr>
              <w:t>4.5 Vendor and SLA management</w:t>
            </w:r>
            <w:r>
              <w:rPr>
                <w:color w:val="000000"/>
              </w:rPr>
              <w:tab/>
            </w:r>
          </w:hyperlink>
          <w:r>
            <w:fldChar w:fldCharType="begin"/>
          </w:r>
          <w:r>
            <w:instrText xml:space="preserve"> PAGEREF _grk1fmpmzs6l \h </w:instrText>
          </w:r>
          <w:r>
            <w:fldChar w:fldCharType="separate"/>
          </w:r>
          <w:r>
            <w:rPr>
              <w:color w:val="000000"/>
            </w:rPr>
            <w:t>10</w:t>
          </w:r>
          <w:r>
            <w:fldChar w:fldCharType="end"/>
          </w:r>
        </w:p>
        <w:p w14:paraId="1B1E2D79" w14:textId="77777777" w:rsidR="00F57B3A" w:rsidRDefault="00F57B3A" w:rsidP="00F57B3A">
          <w:pPr>
            <w:widowControl w:val="0"/>
            <w:tabs>
              <w:tab w:val="right" w:leader="dot" w:pos="9025"/>
            </w:tabs>
            <w:spacing w:before="60" w:after="0" w:line="240" w:lineRule="auto"/>
            <w:ind w:left="360"/>
            <w:jc w:val="left"/>
            <w:rPr>
              <w:color w:val="000000"/>
            </w:rPr>
          </w:pPr>
          <w:hyperlink w:anchor="_bir5r0sfmmg0">
            <w:r>
              <w:rPr>
                <w:color w:val="000000"/>
              </w:rPr>
              <w:t>4.6 Incident response and security monitoring</w:t>
            </w:r>
            <w:r>
              <w:rPr>
                <w:color w:val="000000"/>
              </w:rPr>
              <w:tab/>
            </w:r>
          </w:hyperlink>
          <w:r>
            <w:fldChar w:fldCharType="begin"/>
          </w:r>
          <w:r>
            <w:instrText xml:space="preserve"> PAGEREF _bir5r0sfmmg0 \h </w:instrText>
          </w:r>
          <w:r>
            <w:fldChar w:fldCharType="separate"/>
          </w:r>
          <w:r>
            <w:rPr>
              <w:color w:val="000000"/>
            </w:rPr>
            <w:t>10</w:t>
          </w:r>
          <w:r>
            <w:fldChar w:fldCharType="end"/>
          </w:r>
        </w:p>
        <w:p w14:paraId="6FC33579" w14:textId="77777777" w:rsidR="00F57B3A" w:rsidRDefault="00F57B3A" w:rsidP="00F57B3A">
          <w:pPr>
            <w:widowControl w:val="0"/>
            <w:tabs>
              <w:tab w:val="right" w:leader="dot" w:pos="9025"/>
            </w:tabs>
            <w:spacing w:before="60" w:after="0" w:line="240" w:lineRule="auto"/>
            <w:ind w:left="360"/>
            <w:jc w:val="left"/>
            <w:rPr>
              <w:color w:val="000000"/>
            </w:rPr>
          </w:pPr>
          <w:hyperlink w:anchor="_cuoe7i9vsgm3">
            <w:r>
              <w:rPr>
                <w:color w:val="000000"/>
              </w:rPr>
              <w:t>4.7 Business continuity and disaster recovery</w:t>
            </w:r>
            <w:r>
              <w:rPr>
                <w:color w:val="000000"/>
              </w:rPr>
              <w:tab/>
            </w:r>
          </w:hyperlink>
          <w:r>
            <w:fldChar w:fldCharType="begin"/>
          </w:r>
          <w:r>
            <w:instrText xml:space="preserve"> PAGEREF _cuoe7i9vsgm3 \h </w:instrText>
          </w:r>
          <w:r>
            <w:fldChar w:fldCharType="separate"/>
          </w:r>
          <w:r>
            <w:rPr>
              <w:color w:val="000000"/>
            </w:rPr>
            <w:t>11</w:t>
          </w:r>
          <w:r>
            <w:fldChar w:fldCharType="end"/>
          </w:r>
        </w:p>
        <w:p w14:paraId="2EE75DD7" w14:textId="77777777" w:rsidR="00F57B3A" w:rsidRDefault="00F57B3A" w:rsidP="00F57B3A">
          <w:pPr>
            <w:widowControl w:val="0"/>
            <w:tabs>
              <w:tab w:val="right" w:leader="dot" w:pos="9025"/>
            </w:tabs>
            <w:spacing w:before="60" w:after="0" w:line="240" w:lineRule="auto"/>
            <w:ind w:left="360"/>
            <w:jc w:val="left"/>
            <w:rPr>
              <w:color w:val="000000"/>
            </w:rPr>
          </w:pPr>
          <w:hyperlink w:anchor="_m0fmx06zzej5">
            <w:r>
              <w:rPr>
                <w:color w:val="000000"/>
              </w:rPr>
              <w:t>4.8 AI governance and compliance</w:t>
            </w:r>
            <w:r>
              <w:rPr>
                <w:color w:val="000000"/>
              </w:rPr>
              <w:tab/>
            </w:r>
          </w:hyperlink>
          <w:r>
            <w:fldChar w:fldCharType="begin"/>
          </w:r>
          <w:r>
            <w:instrText xml:space="preserve"> PAGEREF _m0fmx06zzej5 \h </w:instrText>
          </w:r>
          <w:r>
            <w:fldChar w:fldCharType="separate"/>
          </w:r>
          <w:r>
            <w:rPr>
              <w:color w:val="000000"/>
            </w:rPr>
            <w:t>11</w:t>
          </w:r>
          <w:r>
            <w:fldChar w:fldCharType="end"/>
          </w:r>
        </w:p>
        <w:p w14:paraId="7D07D6BF" w14:textId="77777777" w:rsidR="00F57B3A" w:rsidRDefault="00F57B3A" w:rsidP="00F57B3A">
          <w:pPr>
            <w:widowControl w:val="0"/>
            <w:tabs>
              <w:tab w:val="right" w:leader="dot" w:pos="9025"/>
            </w:tabs>
            <w:spacing w:before="60" w:after="0" w:line="240" w:lineRule="auto"/>
            <w:jc w:val="left"/>
            <w:rPr>
              <w:b/>
              <w:bCs/>
              <w:color w:val="000000"/>
            </w:rPr>
          </w:pPr>
          <w:hyperlink w:anchor="_t4tttxiymnfe">
            <w:r>
              <w:rPr>
                <w:b/>
                <w:bCs/>
                <w:color w:val="000000"/>
              </w:rPr>
              <w:t>5. Implementation Roadmap and Performance Measurement</w:t>
            </w:r>
            <w:r>
              <w:rPr>
                <w:b/>
                <w:bCs/>
                <w:color w:val="000000"/>
              </w:rPr>
              <w:tab/>
            </w:r>
          </w:hyperlink>
          <w:r>
            <w:fldChar w:fldCharType="begin"/>
          </w:r>
          <w:r>
            <w:instrText xml:space="preserve"> PAGEREF _t4tttxiymnfe \h </w:instrText>
          </w:r>
          <w:r>
            <w:fldChar w:fldCharType="separate"/>
          </w:r>
          <w:r>
            <w:rPr>
              <w:b/>
              <w:bCs/>
              <w:color w:val="000000"/>
            </w:rPr>
            <w:t>11</w:t>
          </w:r>
          <w:r>
            <w:fldChar w:fldCharType="end"/>
          </w:r>
        </w:p>
        <w:p w14:paraId="30C64ED4" w14:textId="77777777" w:rsidR="00F57B3A" w:rsidRDefault="00F57B3A" w:rsidP="00F57B3A">
          <w:pPr>
            <w:widowControl w:val="0"/>
            <w:tabs>
              <w:tab w:val="right" w:leader="dot" w:pos="9025"/>
            </w:tabs>
            <w:spacing w:before="60" w:after="0" w:line="240" w:lineRule="auto"/>
            <w:jc w:val="left"/>
            <w:rPr>
              <w:b/>
              <w:bCs/>
              <w:color w:val="000000"/>
            </w:rPr>
          </w:pPr>
          <w:hyperlink w:anchor="_o7ky7xtjk81d">
            <w:r>
              <w:rPr>
                <w:b/>
                <w:bCs/>
                <w:color w:val="000000"/>
              </w:rPr>
              <w:t>6. Critical Analysis of Continuous Regulatory and Standards Updating</w:t>
            </w:r>
            <w:r>
              <w:rPr>
                <w:b/>
                <w:bCs/>
                <w:color w:val="000000"/>
              </w:rPr>
              <w:tab/>
            </w:r>
          </w:hyperlink>
          <w:r>
            <w:fldChar w:fldCharType="begin"/>
          </w:r>
          <w:r>
            <w:instrText xml:space="preserve"> PAGEREF _o7ky7xtjk81d \h </w:instrText>
          </w:r>
          <w:r>
            <w:fldChar w:fldCharType="separate"/>
          </w:r>
          <w:r>
            <w:rPr>
              <w:b/>
              <w:bCs/>
              <w:color w:val="000000"/>
            </w:rPr>
            <w:t>13</w:t>
          </w:r>
          <w:r>
            <w:fldChar w:fldCharType="end"/>
          </w:r>
        </w:p>
        <w:p w14:paraId="42CAF528" w14:textId="77777777" w:rsidR="00F57B3A" w:rsidRDefault="00F57B3A" w:rsidP="00F57B3A">
          <w:pPr>
            <w:widowControl w:val="0"/>
            <w:tabs>
              <w:tab w:val="right" w:leader="dot" w:pos="9025"/>
            </w:tabs>
            <w:spacing w:before="60" w:after="0" w:line="240" w:lineRule="auto"/>
            <w:jc w:val="left"/>
            <w:rPr>
              <w:b/>
              <w:bCs/>
              <w:color w:val="000000"/>
            </w:rPr>
          </w:pPr>
          <w:hyperlink w:anchor="_t2nok5myskw1">
            <w:r>
              <w:rPr>
                <w:b/>
                <w:bCs/>
                <w:color w:val="000000"/>
              </w:rPr>
              <w:t>7. Conclusion</w:t>
            </w:r>
            <w:r>
              <w:rPr>
                <w:b/>
                <w:bCs/>
                <w:color w:val="000000"/>
              </w:rPr>
              <w:tab/>
            </w:r>
          </w:hyperlink>
          <w:r>
            <w:fldChar w:fldCharType="begin"/>
          </w:r>
          <w:r>
            <w:instrText xml:space="preserve"> PAGEREF _t2nok5myskw1 \h </w:instrText>
          </w:r>
          <w:r>
            <w:fldChar w:fldCharType="separate"/>
          </w:r>
          <w:r>
            <w:rPr>
              <w:b/>
              <w:bCs/>
              <w:color w:val="000000"/>
            </w:rPr>
            <w:t>14</w:t>
          </w:r>
          <w:r>
            <w:fldChar w:fldCharType="end"/>
          </w:r>
        </w:p>
        <w:p w14:paraId="7F2BC6B6" w14:textId="77777777" w:rsidR="00F57B3A" w:rsidRDefault="00F57B3A" w:rsidP="00F57B3A">
          <w:pPr>
            <w:widowControl w:val="0"/>
            <w:tabs>
              <w:tab w:val="right" w:leader="dot" w:pos="9025"/>
            </w:tabs>
            <w:spacing w:before="60" w:after="0" w:line="240" w:lineRule="auto"/>
            <w:jc w:val="left"/>
            <w:rPr>
              <w:b/>
              <w:bCs/>
              <w:color w:val="000000"/>
            </w:rPr>
          </w:pPr>
          <w:hyperlink w:anchor="_chb6s6jaws8k">
            <w:r>
              <w:rPr>
                <w:b/>
                <w:bCs/>
                <w:color w:val="000000"/>
              </w:rPr>
              <w:t>References</w:t>
            </w:r>
            <w:r>
              <w:rPr>
                <w:b/>
                <w:bCs/>
                <w:color w:val="000000"/>
              </w:rPr>
              <w:tab/>
            </w:r>
          </w:hyperlink>
          <w:r>
            <w:fldChar w:fldCharType="begin"/>
          </w:r>
          <w:r>
            <w:instrText xml:space="preserve"> PAGEREF _chb6s6jaws8k \h </w:instrText>
          </w:r>
          <w:r>
            <w:fldChar w:fldCharType="separate"/>
          </w:r>
          <w:r>
            <w:rPr>
              <w:b/>
              <w:bCs/>
              <w:color w:val="000000"/>
            </w:rPr>
            <w:t>15</w:t>
          </w:r>
          <w:r>
            <w:fldChar w:fldCharType="end"/>
          </w:r>
          <w:r>
            <w:fldChar w:fldCharType="end"/>
          </w:r>
        </w:p>
      </w:sdtContent>
    </w:sdt>
    <w:p w14:paraId="09B03A93" w14:textId="77777777" w:rsidR="00F57B3A" w:rsidRDefault="00F57B3A">
      <w:pPr>
        <w:pStyle w:val="Heading1"/>
        <w:jc w:val="center"/>
      </w:pPr>
    </w:p>
    <w:p w14:paraId="1DC800AF" w14:textId="77777777" w:rsidR="00F57B3A" w:rsidRDefault="00F57B3A">
      <w:pPr>
        <w:pStyle w:val="Heading1"/>
        <w:jc w:val="center"/>
      </w:pPr>
    </w:p>
    <w:p w14:paraId="4C2BFD94" w14:textId="77777777" w:rsidR="00F57B3A" w:rsidRDefault="00F57B3A">
      <w:pPr>
        <w:pStyle w:val="Heading1"/>
        <w:jc w:val="center"/>
      </w:pPr>
    </w:p>
    <w:p w14:paraId="387616BC" w14:textId="77777777" w:rsidR="00F57B3A" w:rsidRDefault="00F57B3A">
      <w:pPr>
        <w:pStyle w:val="Heading1"/>
        <w:jc w:val="center"/>
      </w:pPr>
    </w:p>
    <w:p w14:paraId="0369CAFA" w14:textId="77777777" w:rsidR="00F57B3A" w:rsidRDefault="00F57B3A" w:rsidP="00F57B3A">
      <w:pPr>
        <w:pStyle w:val="Heading1"/>
      </w:pPr>
    </w:p>
    <w:p w14:paraId="56CAED44" w14:textId="77777777" w:rsidR="00F57B3A" w:rsidRDefault="00F57B3A" w:rsidP="00F57B3A"/>
    <w:p w14:paraId="2988434E" w14:textId="77777777" w:rsidR="00F57B3A" w:rsidRDefault="00F57B3A" w:rsidP="00F57B3A"/>
    <w:p w14:paraId="47132DDE" w14:textId="77777777" w:rsidR="00F57B3A" w:rsidRPr="00F57B3A" w:rsidRDefault="00F57B3A" w:rsidP="00F57B3A"/>
    <w:p w14:paraId="1F718867" w14:textId="18DD78A3" w:rsidR="0001105B" w:rsidRDefault="00000000">
      <w:pPr>
        <w:pStyle w:val="Heading1"/>
        <w:jc w:val="center"/>
      </w:pPr>
      <w:r>
        <w:lastRenderedPageBreak/>
        <w:t>Abstract</w:t>
      </w:r>
    </w:p>
    <w:p w14:paraId="618AAC63" w14:textId="77777777" w:rsidR="0001105B" w:rsidRDefault="00000000">
      <w:proofErr w:type="spellStart"/>
      <w:r>
        <w:t>AeroLink</w:t>
      </w:r>
      <w:proofErr w:type="spellEnd"/>
      <w:r>
        <w:t xml:space="preserve"> Logistics (ALL) is a multinational logistics organisation whose activities rely on cloud technologies, Internet of Things (IoT) trackers and analytics using artificial intelligence (AI). Massive outsourcing, lack of control over remote access, past breaches of personally identifiable information (PII), ineffective accountability in hiring of vendors, and inadequate and underdeveloped governance intensify its vulnerability. COBIT 2019, ISO/IEC 27001 and 27002, the NIST Cybersecurity Framework (CSF) 2.0, NIST Zero Trust Architecture, ITIL-based incident management, ISO 22301 and ISO/IEC 42001 are critical areas examined in this report. It also suggests a combined model whereby the governance and accountability </w:t>
      </w:r>
      <w:proofErr w:type="gramStart"/>
      <w:r>
        <w:t>is</w:t>
      </w:r>
      <w:proofErr w:type="gramEnd"/>
      <w:r>
        <w:t xml:space="preserve"> established by COBIT, the management system is organized by ISO/IEC 27001, the security outcomes are organized by NIST CSF, the distributed access is secured by Zero Trust, the operational response supported by ITIL and the business continuity and AI by specialist ISO standards. Characteristics of the design focus on centralised risk management, data protection, IoT protection, vendor assurance, incident preparedness and continuous improvement that is measurable. It also believes that regulations and standards should be re-examined constantly since threats, technologies as well as world compliance requirements change swiftly.</w:t>
      </w:r>
    </w:p>
    <w:p w14:paraId="20042B0F" w14:textId="77777777" w:rsidR="0001105B" w:rsidRDefault="00000000">
      <w:pPr>
        <w:spacing w:after="80"/>
      </w:pPr>
      <w:r>
        <w:br w:type="page"/>
      </w:r>
    </w:p>
    <w:p w14:paraId="5E2E35FA" w14:textId="77777777" w:rsidR="00F57B3A" w:rsidRDefault="00F57B3A" w:rsidP="00F57B3A">
      <w:pPr>
        <w:spacing w:after="80"/>
      </w:pPr>
      <w:bookmarkStart w:id="2" w:name="_96mso9pw0pqp" w:colFirst="0" w:colLast="0"/>
      <w:bookmarkEnd w:id="2"/>
    </w:p>
    <w:p w14:paraId="4A149E33" w14:textId="45D381FA" w:rsidR="0001105B" w:rsidRPr="00F57B3A" w:rsidRDefault="00000000" w:rsidP="00F57B3A">
      <w:pPr>
        <w:spacing w:after="80"/>
        <w:rPr>
          <w:b/>
          <w:bCs/>
        </w:rPr>
      </w:pPr>
      <w:r w:rsidRPr="00F57B3A">
        <w:rPr>
          <w:b/>
          <w:bCs/>
        </w:rPr>
        <w:t>1. Introduction</w:t>
      </w:r>
    </w:p>
    <w:p w14:paraId="1405E438" w14:textId="77777777" w:rsidR="0001105B" w:rsidRDefault="00000000">
      <w:r>
        <w:t xml:space="preserve">The </w:t>
      </w:r>
      <w:proofErr w:type="spellStart"/>
      <w:r>
        <w:t>AeroLink</w:t>
      </w:r>
      <w:proofErr w:type="spellEnd"/>
      <w:r>
        <w:t xml:space="preserve"> Logistics uses cloud-based platforms, IoT sensors and AI analytics to provide real-time follow-up, as well as warehousing and distribution services. It has an outsourced infrastructural percentage of about 88 with an Infrastructure-as-a-Service and Software-as-a-Service strategies and unmanaged-devices access to internal systems by its workers, suppliers and partners in logistic arrangements. Past incidents of unauthorised access to shipment information, as well as customer PII indicate that the current control environment, is insufficient. Lack of a single security structure, systemic risk management procedure, formal audit of compliance and proper responsibility assignment is another indicator that weaknesses of ALL are both organisational and technical.</w:t>
      </w:r>
    </w:p>
    <w:p w14:paraId="4110FC14" w14:textId="77777777" w:rsidR="0001105B" w:rsidRDefault="00000000">
      <w:r>
        <w:t xml:space="preserve">Governance, risk and compliance </w:t>
      </w:r>
      <w:proofErr w:type="gramStart"/>
      <w:r>
        <w:t>needs</w:t>
      </w:r>
      <w:proofErr w:type="gramEnd"/>
      <w:r>
        <w:t xml:space="preserve"> to be viewed as a management discipline as opposed to being technical, legal and audit activities (Edwards and Weaver, 2024). In this report, it is assumed that the analysis relies on some assumptions, which are first presented, followed by the critical comparison of the relevant security and governance frameworks. It further suggests a comprehensive strategy that touches on the governance, policies, risk, access control, data protection, IoT and AI security, vendor management, incident response, business continuity and compliance. Lastly, it determines priorities of implementation and necessity to keep the regulations and standards constantly updated.</w:t>
      </w:r>
    </w:p>
    <w:p w14:paraId="43A36CE6" w14:textId="77777777" w:rsidR="0001105B" w:rsidRDefault="00000000">
      <w:pPr>
        <w:pStyle w:val="Heading1"/>
        <w:keepNext w:val="0"/>
        <w:keepLines w:val="0"/>
      </w:pPr>
      <w:bookmarkStart w:id="3" w:name="_2nkevodwm9a3" w:colFirst="0" w:colLast="0"/>
      <w:bookmarkEnd w:id="3"/>
      <w:r>
        <w:t>2. Assumptions</w:t>
      </w:r>
    </w:p>
    <w:p w14:paraId="6F958107" w14:textId="77777777" w:rsidR="0001105B" w:rsidRDefault="00000000">
      <w:r>
        <w:t>The situation lacks complete information concerning the size of ALL, its budget, location or architecture in place. The recommendations thus become feasible and clear with the help of the following assumptions.</w:t>
      </w:r>
    </w:p>
    <w:p w14:paraId="5583E2B3" w14:textId="77777777" w:rsidR="0001105B" w:rsidRDefault="00000000">
      <w:pPr>
        <w:jc w:val="center"/>
        <w:rPr>
          <w:b/>
          <w:bCs/>
        </w:rPr>
      </w:pPr>
      <w:r>
        <w:rPr>
          <w:b/>
          <w:bCs/>
        </w:rPr>
        <w:t>Table 1: Assumptions used in the analysis</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67"/>
        <w:gridCol w:w="6958"/>
      </w:tblGrid>
      <w:tr w:rsidR="0001105B" w14:paraId="650BFB29" w14:textId="77777777">
        <w:trPr>
          <w:trHeight w:val="50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CE24A" w14:textId="77777777" w:rsidR="0001105B" w:rsidRDefault="00000000">
            <w:pPr>
              <w:spacing w:before="200" w:after="200"/>
              <w:jc w:val="center"/>
            </w:pPr>
            <w:r>
              <w:rPr>
                <w:b/>
                <w:bCs/>
              </w:rPr>
              <w:t>Area</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214FE" w14:textId="77777777" w:rsidR="0001105B" w:rsidRDefault="00000000">
            <w:pPr>
              <w:spacing w:before="200" w:after="200"/>
              <w:jc w:val="center"/>
            </w:pPr>
            <w:r>
              <w:rPr>
                <w:b/>
                <w:bCs/>
              </w:rPr>
              <w:t>Assumption</w:t>
            </w:r>
          </w:p>
        </w:tc>
      </w:tr>
      <w:tr w:rsidR="0001105B" w14:paraId="705A8C7F" w14:textId="77777777">
        <w:trPr>
          <w:trHeight w:val="77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F3827" w14:textId="77777777" w:rsidR="0001105B" w:rsidRDefault="00000000">
            <w:pPr>
              <w:spacing w:before="200" w:after="200"/>
            </w:pPr>
            <w:r>
              <w:lastRenderedPageBreak/>
              <w:t>Organisational scale</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9F075" w14:textId="77777777" w:rsidR="0001105B" w:rsidRDefault="00000000">
            <w:pPr>
              <w:spacing w:before="200" w:after="200"/>
            </w:pPr>
            <w:r>
              <w:t>ALL is a large multinational enterprise operating continuously across several jurisdictions.</w:t>
            </w:r>
          </w:p>
        </w:tc>
      </w:tr>
      <w:tr w:rsidR="0001105B" w14:paraId="078E6782" w14:textId="77777777">
        <w:trPr>
          <w:trHeight w:val="77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CCD5BA" w14:textId="77777777" w:rsidR="0001105B" w:rsidRDefault="00000000">
            <w:pPr>
              <w:spacing w:before="200" w:after="200"/>
            </w:pPr>
            <w:r>
              <w:t>Regulatory scope</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0287F" w14:textId="77777777" w:rsidR="0001105B" w:rsidRDefault="00000000">
            <w:pPr>
              <w:spacing w:before="200" w:after="200"/>
            </w:pPr>
            <w:r>
              <w:t>ALL processes EU and UK customer, employee and partner data and may fall within GDPR, NIS2 and AI-related obligations.</w:t>
            </w:r>
          </w:p>
        </w:tc>
      </w:tr>
      <w:tr w:rsidR="0001105B" w14:paraId="62F846CA" w14:textId="77777777">
        <w:trPr>
          <w:trHeight w:val="77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591C2" w14:textId="77777777" w:rsidR="0001105B" w:rsidRDefault="00000000">
            <w:pPr>
              <w:spacing w:before="200" w:after="200"/>
            </w:pPr>
            <w:r>
              <w:t>Technology</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5ADC6" w14:textId="77777777" w:rsidR="0001105B" w:rsidRDefault="00000000">
            <w:pPr>
              <w:spacing w:before="200" w:after="200"/>
            </w:pPr>
            <w:r>
              <w:t>ALL uses multiple IaaS and SaaS providers, thousands of IoT sensors and several legacy applications.</w:t>
            </w:r>
          </w:p>
        </w:tc>
      </w:tr>
      <w:tr w:rsidR="0001105B" w14:paraId="080BBC91" w14:textId="77777777">
        <w:trPr>
          <w:trHeight w:val="50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0A69F" w14:textId="77777777" w:rsidR="0001105B" w:rsidRDefault="00000000">
            <w:pPr>
              <w:spacing w:before="200" w:after="200"/>
            </w:pPr>
            <w:r>
              <w:t>Security maturity</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C5098A" w14:textId="77777777" w:rsidR="0001105B" w:rsidRDefault="00000000">
            <w:pPr>
              <w:spacing w:before="200" w:after="200"/>
            </w:pPr>
            <w:r>
              <w:t>Current security and compliance maturity is low to moderate.</w:t>
            </w:r>
          </w:p>
        </w:tc>
      </w:tr>
      <w:tr w:rsidR="0001105B" w14:paraId="017D2810" w14:textId="77777777">
        <w:trPr>
          <w:trHeight w:val="77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4DBA74" w14:textId="77777777" w:rsidR="0001105B" w:rsidRDefault="00000000">
            <w:pPr>
              <w:spacing w:before="200" w:after="200"/>
            </w:pPr>
            <w:r>
              <w:t>Budget and sponsorship</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6BB52" w14:textId="77777777" w:rsidR="0001105B" w:rsidRDefault="00000000">
            <w:pPr>
              <w:spacing w:before="200" w:after="200"/>
            </w:pPr>
            <w:r>
              <w:t>A phased security-improvement budget and board-level sponsorship are available.</w:t>
            </w:r>
          </w:p>
        </w:tc>
      </w:tr>
      <w:tr w:rsidR="0001105B" w14:paraId="2A210634" w14:textId="77777777">
        <w:trPr>
          <w:trHeight w:val="770"/>
        </w:trPr>
        <w:tc>
          <w:tcPr>
            <w:tcW w:w="2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6972C" w14:textId="77777777" w:rsidR="0001105B" w:rsidRDefault="00000000">
            <w:pPr>
              <w:spacing w:before="200" w:after="200"/>
            </w:pPr>
            <w:r>
              <w:t>Vendor cooperation</w:t>
            </w:r>
          </w:p>
        </w:tc>
        <w:tc>
          <w:tcPr>
            <w:tcW w:w="69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25705" w14:textId="77777777" w:rsidR="0001105B" w:rsidRDefault="00000000">
            <w:pPr>
              <w:spacing w:before="200" w:after="200"/>
            </w:pPr>
            <w:r>
              <w:t>Critical vendors can provide assurance evidence, contractual commitments and security telemetry.</w:t>
            </w:r>
          </w:p>
        </w:tc>
      </w:tr>
    </w:tbl>
    <w:p w14:paraId="4FF7B2E2" w14:textId="77777777" w:rsidR="0001105B" w:rsidRDefault="00000000">
      <w:r>
        <w:t>These assumptions assist in a gradual improvement programme and not sweeping away all technologies and suppliers.</w:t>
      </w:r>
    </w:p>
    <w:p w14:paraId="6C967891" w14:textId="77777777" w:rsidR="0001105B" w:rsidRDefault="00000000">
      <w:pPr>
        <w:pStyle w:val="Heading1"/>
        <w:keepNext w:val="0"/>
        <w:keepLines w:val="0"/>
      </w:pPr>
      <w:bookmarkStart w:id="4" w:name="_savovomqgq1g" w:colFirst="0" w:colLast="0"/>
      <w:bookmarkEnd w:id="4"/>
      <w:r>
        <w:t>3. Critical Review and Comparison of Frameworks</w:t>
      </w:r>
    </w:p>
    <w:p w14:paraId="639C452A" w14:textId="77777777" w:rsidR="0001105B" w:rsidRDefault="00000000">
      <w:pPr>
        <w:pStyle w:val="Heading2"/>
        <w:keepNext w:val="0"/>
        <w:keepLines w:val="0"/>
      </w:pPr>
      <w:bookmarkStart w:id="5" w:name="_kvf5mik6ncj2" w:colFirst="0" w:colLast="0"/>
      <w:bookmarkEnd w:id="5"/>
      <w:r>
        <w:t>3.1 COBIT 2019</w:t>
      </w:r>
    </w:p>
    <w:p w14:paraId="7D164B13" w14:textId="77777777" w:rsidR="0001105B" w:rsidRDefault="00000000">
      <w:r>
        <w:t xml:space="preserve">COBIT 2019 is most applicable at the enterprise-governance level as it isolates governance and management and relates the technology-decision to the value of stakeholders, risk and resource optimisation (ISACA, 2018). Board oversight, decision rights, accountability and performance reporting can be determined by COBIT in the case of ALL. This goes directly to the fact that there </w:t>
      </w:r>
      <w:proofErr w:type="gramStart"/>
      <w:r>
        <w:t>is</w:t>
      </w:r>
      <w:proofErr w:type="gramEnd"/>
      <w:r>
        <w:t xml:space="preserve"> no coordination and ownership that remains uncertain. Cloud-governance studies indicate that proper governance must be in the form of coordinated institutional functions, guarantee and mutual accountability and not technical solitude (Choi, Seo and Kwon, 2024). </w:t>
      </w:r>
      <w:r>
        <w:lastRenderedPageBreak/>
        <w:t>COBIT however is general and can be bureaucratic in case all the objectives are equally implemented. It must thus be suit-fitted to the most important risks of ALL.</w:t>
      </w:r>
    </w:p>
    <w:p w14:paraId="5B4B0A8B" w14:textId="77777777" w:rsidR="0001105B" w:rsidRDefault="00000000">
      <w:pPr>
        <w:pStyle w:val="Heading2"/>
        <w:keepNext w:val="0"/>
        <w:keepLines w:val="0"/>
      </w:pPr>
      <w:bookmarkStart w:id="6" w:name="_bn6vbhk13a4i" w:colFirst="0" w:colLast="0"/>
      <w:bookmarkEnd w:id="6"/>
      <w:r>
        <w:t>3.2 ISO/IEC 27001 and ISO/IEC 27002</w:t>
      </w:r>
    </w:p>
    <w:p w14:paraId="68E04D09" w14:textId="77777777" w:rsidR="0001105B" w:rsidRDefault="00000000">
      <w:r>
        <w:t xml:space="preserve">An Information Security Management System is based on ISO/IEC 27001:2022, which consists of leadership, risk treatment, documented controls, performance evaluation and continual improvement (International Organization for Standardization, 2022a). The ISO/IEC 27002:2022 provides a more organised, people, physical and technology control provisions (International Organization for Standardization, 2022b). To ALL, these standards would establish a uniform policy framework, formalised risk ownership and audit trail. They are limited by the fact that certification may foster a documentation-based compliance. Studies of ISO/IEC 27001 point to the fact that it is the </w:t>
      </w:r>
      <w:proofErr w:type="spellStart"/>
      <w:r>
        <w:t>fulfillment</w:t>
      </w:r>
      <w:proofErr w:type="spellEnd"/>
      <w:r>
        <w:t xml:space="preserve"> of the actual stakeholder security expectations and not just formal conformance that contributes to legitimacy (Kamil, Lund and Islam, 2023). The use of automated audit tools may enhance evidence gathering, and residual risk and control effectiveness needs human judgement (Islam et al., 2026).</w:t>
      </w:r>
    </w:p>
    <w:p w14:paraId="7FF84A9A" w14:textId="77777777" w:rsidR="0001105B" w:rsidRDefault="00000000">
      <w:pPr>
        <w:pStyle w:val="Heading2"/>
        <w:keepNext w:val="0"/>
        <w:keepLines w:val="0"/>
      </w:pPr>
      <w:bookmarkStart w:id="7" w:name="_npqihktq4s97" w:colFirst="0" w:colLast="0"/>
      <w:bookmarkEnd w:id="7"/>
      <w:r>
        <w:t>3.3 NIST Cybersecurity Framework 2.0</w:t>
      </w:r>
    </w:p>
    <w:p w14:paraId="7352EB35" w14:textId="77777777" w:rsidR="0001105B" w:rsidRDefault="00000000">
      <w:r>
        <w:t xml:space="preserve">The NIST CSF 2.0 groups cybersecurity results into Govern, Identify, Protect, Detect, Respond and Recover (National Institute of Standards and Technology, 2024). Its role of Govern is particularly applicable to the high level of fragmented accountability at ALL. Current-state and target-state profiles may aid in setting priorities on improvement and informing top management of maturity status. However, NIST CSF is not a certifiable management </w:t>
      </w:r>
      <w:proofErr w:type="gramStart"/>
      <w:r>
        <w:t>system</w:t>
      </w:r>
      <w:proofErr w:type="gramEnd"/>
      <w:r>
        <w:t xml:space="preserve"> nor does it recommend one method of implementation. Studies endorse the integration of frameworks as none of the models incorporate all three facets governance, human factor and their contribution to technical security and resilience (Figueroa et al., 2025).</w:t>
      </w:r>
    </w:p>
    <w:p w14:paraId="4F16346F" w14:textId="77777777" w:rsidR="0001105B" w:rsidRDefault="00000000">
      <w:pPr>
        <w:pStyle w:val="Heading2"/>
        <w:keepNext w:val="0"/>
        <w:keepLines w:val="0"/>
      </w:pPr>
      <w:bookmarkStart w:id="8" w:name="_ms6bviu1of0c" w:colFirst="0" w:colLast="0"/>
      <w:bookmarkEnd w:id="8"/>
      <w:r>
        <w:t>3.4 Zero Trust, ITIL, ISO 22301 and ISO/IEC 42001</w:t>
      </w:r>
    </w:p>
    <w:p w14:paraId="21E65A9F" w14:textId="77777777" w:rsidR="0001105B" w:rsidRDefault="00000000">
      <w:r>
        <w:t xml:space="preserve">NIST Zero Trust Architecture eliminates implicit trust on the network location, and explicit but ongoing access determinations (National Institute of Standards and Technology, 2020). It is appropriate for ALL’s remote users, suppliers and unmanaged devices. Zero Trust studies highlight identity, least privilege, and the position of devices, micro-segmentation and continuous verification in IoT landscape (Azad et al., 2024). Nonetheless, in legacy systems and resource-constrained devices, it can be excessively expensive and arduous to implement it. </w:t>
      </w:r>
      <w:r>
        <w:lastRenderedPageBreak/>
        <w:t>IoT monitoring can be enhanced with the AI-based detection, but the issues of interoperability and computational power are still present (Laghari et al., 2025). ITIL-based practices are an addition to security frameworks in terms of incident, problem, change, supplier and service-level management. ITIL in clouds can bridge the gap between detection and service restoration, and root-cause analysis (Dhanabal, 2025). The systematic method of business continuity and recovery testing is offered by ISO 22301 (International Organization for Standardization, 2019) and the responsible AI governance, risk management and continual improvement are supported by ISO/IEC 42001 (International Organization for Standardization, 2023).</w:t>
      </w:r>
    </w:p>
    <w:p w14:paraId="1D2F4681" w14:textId="77777777" w:rsidR="0001105B" w:rsidRDefault="00000000">
      <w:pPr>
        <w:jc w:val="center"/>
        <w:rPr>
          <w:b/>
          <w:bCs/>
        </w:rPr>
      </w:pPr>
      <w:r>
        <w:rPr>
          <w:b/>
          <w:bCs/>
        </w:rPr>
        <w:t>Table 2: Comparative evaluation of selected frameworks</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2"/>
        <w:gridCol w:w="2558"/>
        <w:gridCol w:w="2331"/>
        <w:gridCol w:w="2374"/>
      </w:tblGrid>
      <w:tr w:rsidR="0001105B" w14:paraId="034700EC" w14:textId="77777777">
        <w:trPr>
          <w:trHeight w:val="50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B073F1" w14:textId="77777777" w:rsidR="0001105B" w:rsidRDefault="00000000">
            <w:pPr>
              <w:spacing w:before="200" w:after="200"/>
              <w:jc w:val="center"/>
            </w:pPr>
            <w:r>
              <w:rPr>
                <w:b/>
                <w:bCs/>
              </w:rPr>
              <w:t>Framework</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CBD6A" w14:textId="77777777" w:rsidR="0001105B" w:rsidRDefault="00000000">
            <w:pPr>
              <w:spacing w:before="200" w:after="200"/>
              <w:jc w:val="center"/>
            </w:pPr>
            <w:r>
              <w:rPr>
                <w:b/>
                <w:bCs/>
              </w:rPr>
              <w:t>Main strength</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B75AF" w14:textId="77777777" w:rsidR="0001105B" w:rsidRDefault="00000000">
            <w:pPr>
              <w:spacing w:before="200" w:after="200"/>
              <w:jc w:val="center"/>
            </w:pPr>
            <w:r>
              <w:rPr>
                <w:b/>
                <w:bCs/>
              </w:rPr>
              <w:t>Main limitation</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E7CD1" w14:textId="77777777" w:rsidR="0001105B" w:rsidRDefault="00000000">
            <w:pPr>
              <w:spacing w:before="200" w:after="200"/>
              <w:jc w:val="center"/>
            </w:pPr>
            <w:r>
              <w:rPr>
                <w:b/>
                <w:bCs/>
              </w:rPr>
              <w:t>Role for ALL</w:t>
            </w:r>
          </w:p>
        </w:tc>
      </w:tr>
      <w:tr w:rsidR="0001105B" w14:paraId="18803261" w14:textId="77777777">
        <w:trPr>
          <w:trHeight w:val="104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B0A8A" w14:textId="77777777" w:rsidR="0001105B" w:rsidRDefault="00000000">
            <w:pPr>
              <w:spacing w:before="200" w:after="200"/>
            </w:pPr>
            <w:r>
              <w:t>COBIT 2019</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041CE" w14:textId="77777777" w:rsidR="0001105B" w:rsidRDefault="00000000">
            <w:pPr>
              <w:spacing w:before="200" w:after="200"/>
            </w:pPr>
            <w:r>
              <w:t>Governance, accountability and strategic alignment</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93502" w14:textId="77777777" w:rsidR="0001105B" w:rsidRDefault="00000000">
            <w:pPr>
              <w:spacing w:before="200" w:after="200"/>
            </w:pPr>
            <w:r>
              <w:t>Broad and potentially bureaucratic</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F357E8" w14:textId="77777777" w:rsidR="0001105B" w:rsidRDefault="00000000">
            <w:pPr>
              <w:spacing w:before="200" w:after="200"/>
            </w:pPr>
            <w:r>
              <w:t>Board oversight and decision rights</w:t>
            </w:r>
          </w:p>
        </w:tc>
      </w:tr>
      <w:tr w:rsidR="0001105B" w14:paraId="7422151F" w14:textId="77777777">
        <w:trPr>
          <w:trHeight w:val="104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97794" w14:textId="77777777" w:rsidR="0001105B" w:rsidRDefault="00000000">
            <w:pPr>
              <w:spacing w:before="200" w:after="200"/>
            </w:pPr>
            <w:r>
              <w:t>ISO/IEC 27001 and 27002</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D0F0E" w14:textId="77777777" w:rsidR="0001105B" w:rsidRDefault="00000000">
            <w:pPr>
              <w:spacing w:before="200" w:after="200"/>
            </w:pPr>
            <w:r>
              <w:t>Formal ISMS and detailed controls</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75EF5" w14:textId="77777777" w:rsidR="0001105B" w:rsidRDefault="00000000">
            <w:pPr>
              <w:spacing w:before="200" w:after="200"/>
            </w:pPr>
            <w:r>
              <w:t>Risk of documentation-led compliance</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2B2CB" w14:textId="77777777" w:rsidR="0001105B" w:rsidRDefault="00000000">
            <w:pPr>
              <w:spacing w:before="200" w:after="200"/>
            </w:pPr>
            <w:r>
              <w:t>Core management system and control baseline</w:t>
            </w:r>
          </w:p>
        </w:tc>
      </w:tr>
      <w:tr w:rsidR="0001105B" w14:paraId="6E1A2B33" w14:textId="77777777">
        <w:trPr>
          <w:trHeight w:val="104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13E5F" w14:textId="77777777" w:rsidR="0001105B" w:rsidRDefault="00000000">
            <w:pPr>
              <w:spacing w:before="200" w:after="200"/>
            </w:pPr>
            <w:r>
              <w:t>NIST CSF 2.0</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2A2F3" w14:textId="77777777" w:rsidR="0001105B" w:rsidRDefault="00000000">
            <w:pPr>
              <w:spacing w:before="200" w:after="200"/>
            </w:pPr>
            <w:r>
              <w:t>Flexible cybersecurity outcome structure</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1EEFD" w14:textId="77777777" w:rsidR="0001105B" w:rsidRDefault="00000000">
            <w:pPr>
              <w:spacing w:before="200" w:after="200"/>
            </w:pPr>
            <w:r>
              <w:t>Not certifiable</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A27EA" w14:textId="77777777" w:rsidR="0001105B" w:rsidRDefault="00000000">
            <w:pPr>
              <w:spacing w:before="200" w:after="200"/>
            </w:pPr>
            <w:r>
              <w:t>Capability assessment and operational reporting</w:t>
            </w:r>
          </w:p>
        </w:tc>
      </w:tr>
      <w:tr w:rsidR="0001105B" w14:paraId="7176C153" w14:textId="77777777">
        <w:trPr>
          <w:trHeight w:val="104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832A5" w14:textId="77777777" w:rsidR="0001105B" w:rsidRDefault="00000000">
            <w:pPr>
              <w:spacing w:before="200" w:after="200"/>
            </w:pPr>
            <w:r>
              <w:t>NIST Zero Trust</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BCC2A" w14:textId="77777777" w:rsidR="0001105B" w:rsidRDefault="00000000">
            <w:pPr>
              <w:spacing w:before="200" w:after="200"/>
            </w:pPr>
            <w:r>
              <w:t>Strong distributed-access model</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45A93" w14:textId="77777777" w:rsidR="0001105B" w:rsidRDefault="00000000">
            <w:pPr>
              <w:spacing w:before="200" w:after="200"/>
            </w:pPr>
            <w:r>
              <w:t>Legacy and implementation complexity</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381C8" w14:textId="77777777" w:rsidR="0001105B" w:rsidRDefault="00000000">
            <w:pPr>
              <w:spacing w:before="200" w:after="200"/>
            </w:pPr>
            <w:r>
              <w:t>Remote, vendor and IoT access</w:t>
            </w:r>
          </w:p>
        </w:tc>
      </w:tr>
      <w:tr w:rsidR="0001105B" w14:paraId="55CB2F26" w14:textId="77777777">
        <w:trPr>
          <w:trHeight w:val="77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38E07" w14:textId="77777777" w:rsidR="0001105B" w:rsidRDefault="00000000">
            <w:pPr>
              <w:spacing w:before="200" w:after="200"/>
            </w:pPr>
            <w:r>
              <w:lastRenderedPageBreak/>
              <w:t>ITIL</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C8C90" w14:textId="77777777" w:rsidR="0001105B" w:rsidRDefault="00000000">
            <w:pPr>
              <w:spacing w:before="200" w:after="200"/>
            </w:pPr>
            <w:r>
              <w:t>Operational incident and service management</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97169" w14:textId="77777777" w:rsidR="0001105B" w:rsidRDefault="00000000">
            <w:pPr>
              <w:spacing w:before="200" w:after="200"/>
            </w:pPr>
            <w:r>
              <w:t>Not a complete security framework</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0C826" w14:textId="77777777" w:rsidR="0001105B" w:rsidRDefault="00000000">
            <w:pPr>
              <w:spacing w:before="200" w:after="200"/>
            </w:pPr>
            <w:r>
              <w:t>Response, restoration and supplier processes</w:t>
            </w:r>
          </w:p>
        </w:tc>
      </w:tr>
      <w:tr w:rsidR="0001105B" w14:paraId="79DCAC42" w14:textId="77777777">
        <w:trPr>
          <w:trHeight w:val="77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C9A5F" w14:textId="77777777" w:rsidR="0001105B" w:rsidRDefault="00000000">
            <w:pPr>
              <w:spacing w:before="200" w:after="200"/>
            </w:pPr>
            <w:r>
              <w:t>ISO 22301</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B18FD" w14:textId="77777777" w:rsidR="0001105B" w:rsidRDefault="00000000">
            <w:pPr>
              <w:spacing w:before="200" w:after="200"/>
            </w:pPr>
            <w:r>
              <w:t>Continuity and resilience</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A59BB" w14:textId="77777777" w:rsidR="0001105B" w:rsidRDefault="00000000">
            <w:pPr>
              <w:spacing w:before="200" w:after="200"/>
            </w:pPr>
            <w:r>
              <w:t>Requires regular testing and investment</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714123" w14:textId="77777777" w:rsidR="0001105B" w:rsidRDefault="00000000">
            <w:pPr>
              <w:spacing w:before="200" w:after="200"/>
            </w:pPr>
            <w:r>
              <w:t>Business continuity and disaster recovery</w:t>
            </w:r>
          </w:p>
        </w:tc>
      </w:tr>
      <w:tr w:rsidR="0001105B" w14:paraId="2D988979" w14:textId="77777777">
        <w:trPr>
          <w:trHeight w:val="770"/>
        </w:trPr>
        <w:tc>
          <w:tcPr>
            <w:tcW w:w="1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96A4C" w14:textId="77777777" w:rsidR="0001105B" w:rsidRDefault="00000000">
            <w:pPr>
              <w:spacing w:before="200" w:after="200"/>
            </w:pPr>
            <w:r>
              <w:t>ISO/IEC 42001</w:t>
            </w:r>
          </w:p>
        </w:tc>
        <w:tc>
          <w:tcPr>
            <w:tcW w:w="25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FA513" w14:textId="77777777" w:rsidR="0001105B" w:rsidRDefault="00000000">
            <w:pPr>
              <w:spacing w:before="200" w:after="200"/>
            </w:pPr>
            <w:r>
              <w:t>AI governance and accountability</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C9DF9" w14:textId="77777777" w:rsidR="0001105B" w:rsidRDefault="00000000">
            <w:pPr>
              <w:spacing w:before="200" w:after="200"/>
            </w:pPr>
            <w:r>
              <w:t>Newer and less mature in adoption</w:t>
            </w:r>
          </w:p>
        </w:tc>
        <w:tc>
          <w:tcPr>
            <w:tcW w:w="23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52BA7" w14:textId="77777777" w:rsidR="0001105B" w:rsidRDefault="00000000">
            <w:pPr>
              <w:spacing w:before="200" w:after="200"/>
            </w:pPr>
            <w:r>
              <w:t>AI analytics oversight</w:t>
            </w:r>
          </w:p>
        </w:tc>
      </w:tr>
    </w:tbl>
    <w:p w14:paraId="4FDEBEB3" w14:textId="77777777" w:rsidR="0001105B" w:rsidRDefault="00000000">
      <w:r>
        <w:t>A collective framework ecosystem is thus the system of choice as opposed to a single standard. COBIT ought to create governance, ISO/IEC 27001 ought to administer security programme, NIST CSF ought to organize functioning results, Zero Trust ought to control accessibility, ITIL ought to supervise the service processes, and ISO 22301 and ISO/IEC 42001 ought to consider continuity and AI.</w:t>
      </w:r>
    </w:p>
    <w:p w14:paraId="2F46A767" w14:textId="77777777" w:rsidR="0001105B" w:rsidRDefault="00000000">
      <w:pPr>
        <w:pStyle w:val="Heading1"/>
        <w:keepNext w:val="0"/>
        <w:keepLines w:val="0"/>
      </w:pPr>
      <w:bookmarkStart w:id="9" w:name="_8fjzk0fyzxt9" w:colFirst="0" w:colLast="0"/>
      <w:bookmarkEnd w:id="9"/>
      <w:r>
        <w:t xml:space="preserve">4. Proposed </w:t>
      </w:r>
      <w:proofErr w:type="spellStart"/>
      <w:r>
        <w:t>AeroLink</w:t>
      </w:r>
      <w:proofErr w:type="spellEnd"/>
      <w:r>
        <w:t xml:space="preserve"> Security, Governance and Compliance Model</w:t>
      </w:r>
    </w:p>
    <w:p w14:paraId="4490F41B" w14:textId="77777777" w:rsidR="0001105B" w:rsidRDefault="00000000">
      <w:pPr>
        <w:pStyle w:val="Heading2"/>
        <w:keepNext w:val="0"/>
        <w:keepLines w:val="0"/>
      </w:pPr>
      <w:bookmarkStart w:id="10" w:name="_jou189u8hy77" w:colFirst="0" w:colLast="0"/>
      <w:bookmarkEnd w:id="10"/>
      <w:r>
        <w:t>4.1 Governance and responsibilities</w:t>
      </w:r>
    </w:p>
    <w:p w14:paraId="07F199E9" w14:textId="77777777" w:rsidR="0001105B" w:rsidRDefault="00000000">
      <w:r>
        <w:t xml:space="preserve">Security risk appetite and strategic priorities and accountability must be approved by the board. The ISMS should be managed by a Chief Information Security </w:t>
      </w:r>
      <w:proofErr w:type="gramStart"/>
      <w:r>
        <w:t>Officer</w:t>
      </w:r>
      <w:proofErr w:type="gramEnd"/>
      <w:r>
        <w:t xml:space="preserve"> and a Security, Privacy and Resilience Committee should consist of IT, operations, legal, procurement, data protection, business continuity and AI owners. There should be a RACI model with the board held responsible for oversight and the CISO charged with the responsibility of security delivery, business owners charged to accountable to service and data risks, procurement charged to control vendors, and internal audit charged to provide independent assurance. This goes straight to the lack of coordination and responsibility in security that ALL had.</w:t>
      </w:r>
    </w:p>
    <w:p w14:paraId="5AAA3AE9" w14:textId="77777777" w:rsidR="0001105B" w:rsidRDefault="00000000">
      <w:pPr>
        <w:pStyle w:val="Heading2"/>
        <w:keepNext w:val="0"/>
        <w:keepLines w:val="0"/>
      </w:pPr>
      <w:bookmarkStart w:id="11" w:name="_a6yhazhb89m" w:colFirst="0" w:colLast="0"/>
      <w:bookmarkEnd w:id="11"/>
      <w:r>
        <w:t>4.2 Security policies and risk management</w:t>
      </w:r>
    </w:p>
    <w:p w14:paraId="4FA2F07C" w14:textId="77777777" w:rsidR="0001105B" w:rsidRDefault="00000000">
      <w:r>
        <w:t xml:space="preserve">ALL needs to have policies that all entail access control, cryptography, remote working, IoT, vulnerability management, incident response, vendor security, data retention, business continuity and AI. Every policy ought to be owned, reviewed and contain an exception process </w:t>
      </w:r>
      <w:r>
        <w:lastRenderedPageBreak/>
        <w:t xml:space="preserve">and quantifiable controls. An enterprise risk register must be centrally maintained as an asset listing, a listing of threats, a listing of vulnerabilities, an inherent risk list, a listing of existing controls, a list of treatment actions, a list of owners, a deadline list and remaining risk list. Prior Arbitrage situations involve breached cloud services, ransomware, API IoT drugging, SaaS downtime, insecure application program interfaces, misuse of insiders, vendor breaches, illegal data transfer and AI data poisoning. Traditional approaches to risks might not be reliable enough to define AI-specific risks like model evasion, poisoning, opacities and lifecycle dependencies (Agathangelos-Ioannou and </w:t>
      </w:r>
      <w:proofErr w:type="spellStart"/>
      <w:r>
        <w:t>Tsohou</w:t>
      </w:r>
      <w:proofErr w:type="spellEnd"/>
      <w:r>
        <w:t>, 2026). Enterprise register should then have the AI risks registered separately but ultimately connected to the enterprise register.</w:t>
      </w:r>
    </w:p>
    <w:p w14:paraId="38F097D8" w14:textId="77777777" w:rsidR="0001105B" w:rsidRDefault="00000000">
      <w:pPr>
        <w:pStyle w:val="Heading2"/>
        <w:keepNext w:val="0"/>
        <w:keepLines w:val="0"/>
      </w:pPr>
      <w:bookmarkStart w:id="12" w:name="_8w0bwmh76t6y" w:colFirst="0" w:colLast="0"/>
      <w:bookmarkEnd w:id="12"/>
      <w:r>
        <w:t>4.3 Zero Trust, identity and access controls</w:t>
      </w:r>
    </w:p>
    <w:p w14:paraId="00FE084C" w14:textId="77777777" w:rsidR="0001105B" w:rsidRDefault="00000000">
      <w:r>
        <w:t xml:space="preserve">ALL must implement identity-based security by using single sign-on, phishing-resistant multifactor authentication, privileged-access management, conditional access and quarterly access recertification. To make decisions based on identity, device health, location, behaviour and data sensitivity should be </w:t>
      </w:r>
      <w:proofErr w:type="gramStart"/>
      <w:r>
        <w:t>taken into account</w:t>
      </w:r>
      <w:proofErr w:type="gramEnd"/>
      <w:r>
        <w:t xml:space="preserve"> in access decisions. The unmanaged devices would then be required to utilize browser isolation or virtual desktops and must not keep restricted data on them (Azad et al., 2024). The IoT devices are supposed to possess distinct identities, signed software, a secured configuration, worldly </w:t>
      </w:r>
      <w:proofErr w:type="gramStart"/>
      <w:r>
        <w:t>counterparts</w:t>
      </w:r>
      <w:proofErr w:type="gramEnd"/>
      <w:r>
        <w:t xml:space="preserve"> authentication governed by certificates, limited communication and network segmentation with a corporate network. Continuous telemetry should feed a security information and event management platform. These controls are the operationalisation of the Zero Trust and understanding of the limitations of IoT systems (Laghari et al., 2025).</w:t>
      </w:r>
    </w:p>
    <w:p w14:paraId="2C910262" w14:textId="77777777" w:rsidR="0001105B" w:rsidRDefault="00000000">
      <w:pPr>
        <w:pStyle w:val="Heading2"/>
        <w:keepNext w:val="0"/>
        <w:keepLines w:val="0"/>
      </w:pPr>
      <w:bookmarkStart w:id="13" w:name="_u8pgyap3ixe2" w:colFirst="0" w:colLast="0"/>
      <w:bookmarkEnd w:id="13"/>
      <w:r>
        <w:t>4.4 Data protection, encryption and ethical governance</w:t>
      </w:r>
    </w:p>
    <w:p w14:paraId="52153AF9" w14:textId="77777777" w:rsidR="0001105B" w:rsidRDefault="00000000">
      <w:r>
        <w:t xml:space="preserve">ALL is expected to categorize data into three groups, such as; public, internal, confidential or restricted data. Authentication secrets and commercially sensitive shipment information, customer PII should be limited. The encryption must be provided both in transit and rest, with key management being centrally managed, not being integrated with cloud data, but being regularly rotated. Should be instilled in processes: pseudonymisation, data minimisation, content retention and secure deletions. ALL will be required to demonstrate the suitability of its processing, restrictions on purpose, truthfulness, security and responsibility under the GDPR (European Parliament and Council of the European Union, 2016). The high-risk tracking, monitoring and AI uses should be required to create data protection impact assessments. Ethical </w:t>
      </w:r>
      <w:r>
        <w:lastRenderedPageBreak/>
        <w:t>governance must not just be limited to minimum legal compliance, but must also reflect on the proportionality of surveillance, bias, dignity of employees, transparency and responsible use of data (Balboni and Francis, 2025).</w:t>
      </w:r>
    </w:p>
    <w:p w14:paraId="138451D7" w14:textId="77777777" w:rsidR="0001105B" w:rsidRDefault="00000000">
      <w:pPr>
        <w:pStyle w:val="Heading2"/>
        <w:keepNext w:val="0"/>
        <w:keepLines w:val="0"/>
      </w:pPr>
      <w:bookmarkStart w:id="14" w:name="_grk1fmpmzs6l" w:colFirst="0" w:colLast="0"/>
      <w:bookmarkEnd w:id="14"/>
      <w:r>
        <w:t>4.5 Vendor and SLA management</w:t>
      </w:r>
    </w:p>
    <w:p w14:paraId="56446C23" w14:textId="77777777" w:rsidR="0001105B" w:rsidRDefault="00000000">
      <w:r>
        <w:t xml:space="preserve">The governance of vendors is important since by outsourcing the responsibility, not the activity is transferred. Some of the factors which the vendors should be categorized on include the criticality of service, the sensitivity of the data, the substitutability and concentration risk. Due diligence ought to examine security architecture, certifications, incident history, </w:t>
      </w:r>
      <w:proofErr w:type="spellStart"/>
      <w:r>
        <w:t>subprocessors</w:t>
      </w:r>
      <w:proofErr w:type="spellEnd"/>
      <w:r>
        <w:t>, locations of data, recovery capability and financial stability.</w:t>
      </w:r>
    </w:p>
    <w:p w14:paraId="19F55C0D" w14:textId="77777777" w:rsidR="0001105B" w:rsidRDefault="00000000">
      <w:r>
        <w:t>Contracts and service-level agreements should specify:</w:t>
      </w:r>
    </w:p>
    <w:p w14:paraId="74D91053" w14:textId="77777777" w:rsidR="0001105B" w:rsidRDefault="00000000">
      <w:pPr>
        <w:numPr>
          <w:ilvl w:val="0"/>
          <w:numId w:val="1"/>
        </w:numPr>
      </w:pPr>
      <w:r>
        <w:t>encryption and key-management requirements;</w:t>
      </w:r>
    </w:p>
    <w:p w14:paraId="4654236F" w14:textId="77777777" w:rsidR="0001105B" w:rsidRDefault="00000000">
      <w:pPr>
        <w:numPr>
          <w:ilvl w:val="0"/>
          <w:numId w:val="1"/>
        </w:numPr>
      </w:pPr>
      <w:r>
        <w:t>logging and monitoring responsibilities;</w:t>
      </w:r>
    </w:p>
    <w:p w14:paraId="24E026BA" w14:textId="77777777" w:rsidR="0001105B" w:rsidRDefault="00000000">
      <w:pPr>
        <w:numPr>
          <w:ilvl w:val="0"/>
          <w:numId w:val="1"/>
        </w:numPr>
      </w:pPr>
      <w:r>
        <w:t>vulnerability and patch-management deadlines;</w:t>
      </w:r>
    </w:p>
    <w:p w14:paraId="463A7966" w14:textId="77777777" w:rsidR="0001105B" w:rsidRDefault="00000000">
      <w:pPr>
        <w:numPr>
          <w:ilvl w:val="0"/>
          <w:numId w:val="1"/>
        </w:numPr>
      </w:pPr>
      <w:r>
        <w:t>breach-notification times;</w:t>
      </w:r>
    </w:p>
    <w:p w14:paraId="4C501100" w14:textId="77777777" w:rsidR="0001105B" w:rsidRDefault="00000000">
      <w:pPr>
        <w:numPr>
          <w:ilvl w:val="0"/>
          <w:numId w:val="1"/>
        </w:numPr>
      </w:pPr>
      <w:r>
        <w:t>audit and evidence-access rights;</w:t>
      </w:r>
    </w:p>
    <w:p w14:paraId="36A909C3" w14:textId="77777777" w:rsidR="0001105B" w:rsidRDefault="00000000">
      <w:pPr>
        <w:numPr>
          <w:ilvl w:val="0"/>
          <w:numId w:val="1"/>
        </w:numPr>
      </w:pPr>
      <w:r>
        <w:t>recovery time and recovery point objectives;</w:t>
      </w:r>
    </w:p>
    <w:p w14:paraId="0DE852BD" w14:textId="77777777" w:rsidR="0001105B" w:rsidRDefault="00000000">
      <w:pPr>
        <w:numPr>
          <w:ilvl w:val="0"/>
          <w:numId w:val="1"/>
        </w:numPr>
      </w:pPr>
      <w:r>
        <w:t>secure deletion and data-return requirements;</w:t>
      </w:r>
    </w:p>
    <w:p w14:paraId="24BAC86C" w14:textId="77777777" w:rsidR="0001105B" w:rsidRDefault="00000000">
      <w:pPr>
        <w:numPr>
          <w:ilvl w:val="0"/>
          <w:numId w:val="1"/>
        </w:numPr>
      </w:pPr>
      <w:r>
        <w:t>exit and transition support.</w:t>
      </w:r>
    </w:p>
    <w:p w14:paraId="2CA78DB5" w14:textId="77777777" w:rsidR="0001105B" w:rsidRDefault="00000000">
      <w:r>
        <w:t>Systemic risk can occur when numerous services rely on a limited number of providers by concentrating them in the cloud (Kun, 2024). Collaborative sensing, preparation, response and reconfiguration across organisational boundaries is also crucial to the resilience of the supply-chain (Herburger, Wieland and Hochstrasser, 2024).</w:t>
      </w:r>
    </w:p>
    <w:p w14:paraId="32F4349E" w14:textId="77777777" w:rsidR="0001105B" w:rsidRDefault="00000000">
      <w:pPr>
        <w:pStyle w:val="Heading2"/>
        <w:keepNext w:val="0"/>
        <w:keepLines w:val="0"/>
      </w:pPr>
      <w:bookmarkStart w:id="15" w:name="_bir5r0sfmmg0" w:colFirst="0" w:colLast="0"/>
      <w:bookmarkEnd w:id="15"/>
      <w:r>
        <w:t>4.6 Incident response and security monitoring</w:t>
      </w:r>
    </w:p>
    <w:p w14:paraId="5D935F66" w14:textId="77777777" w:rsidR="0001105B" w:rsidRDefault="00000000">
      <w:r>
        <w:t xml:space="preserve">An identity, cloud, endpoint, application and IoT logs monitoring central security operations capability should be in place. The incident-response plan must establish that there are severity </w:t>
      </w:r>
      <w:r>
        <w:lastRenderedPageBreak/>
        <w:t>levels, the command authority, legal escalation, containment, forensic evidence, communications and recovery. Information technology (ITIL processes) is required to link security-event triage and incidents restoration, problem management and controlled change (Dhanabal, 2025). Among exercises, there should be ransomware, cloud-region failure, tracking devices and vendor PII breach compromises. Lessons acquired should then be put down as due corrective measures. This transforms incident management into a responsive technical activity, into an organisational learning process.</w:t>
      </w:r>
    </w:p>
    <w:p w14:paraId="79BFA943" w14:textId="77777777" w:rsidR="0001105B" w:rsidRDefault="00000000">
      <w:pPr>
        <w:pStyle w:val="Heading2"/>
        <w:keepNext w:val="0"/>
        <w:keepLines w:val="0"/>
      </w:pPr>
      <w:bookmarkStart w:id="16" w:name="_cuoe7i9vsgm3" w:colFirst="0" w:colLast="0"/>
      <w:bookmarkEnd w:id="16"/>
      <w:r>
        <w:t>4.7 Business continuity and disaster recovery</w:t>
      </w:r>
    </w:p>
    <w:p w14:paraId="48CD6E0B" w14:textId="77777777" w:rsidR="0001105B" w:rsidRDefault="00000000">
      <w:r>
        <w:t xml:space="preserve">ALL ought to do a business-impact analysis </w:t>
      </w:r>
      <w:proofErr w:type="gramStart"/>
      <w:r>
        <w:t>in order to</w:t>
      </w:r>
      <w:proofErr w:type="gramEnd"/>
      <w:r>
        <w:t xml:space="preserve"> find out critical services, dependencies and acceptable down time. Business owners ought to approve recovery time and recovery point objectives. The immutable backups, geographically separate recoverability, alternative communications, manual processes of shipment processing, alternatives of the suppliers and failover testing should also be part of the controls. Continuity governance, exercises as well as continuous improvement should be led by ISO 22301 (International Organization for Standardization, 2019). Furthermore, since cyber incidents impact the informational, financial and physical flows, it is essential that the resilience is coordinated with critical suppliers as well (Herburger, Wieland and Hochstrasser, 2024).</w:t>
      </w:r>
    </w:p>
    <w:p w14:paraId="0C037BD5" w14:textId="77777777" w:rsidR="0001105B" w:rsidRDefault="00000000">
      <w:pPr>
        <w:pStyle w:val="Heading2"/>
        <w:keepNext w:val="0"/>
        <w:keepLines w:val="0"/>
      </w:pPr>
      <w:bookmarkStart w:id="17" w:name="_m0fmx06zzej5" w:colFirst="0" w:colLast="0"/>
      <w:bookmarkEnd w:id="17"/>
      <w:r>
        <w:t>4.8 AI governance and compliance</w:t>
      </w:r>
    </w:p>
    <w:p w14:paraId="7CB25A11" w14:textId="77777777" w:rsidR="0001105B" w:rsidRDefault="00000000">
      <w:r>
        <w:t>The management of AI analytics is to be approached by an inventory of models, owners, valid uses, data provenance, validation, human supervision, drift checking and safe retirement. The ISMS should not be used in isolation of ISO/IEC 42001 but should be combined with it (International Organization for Standardization, 2023). The EU Artificial Intelligence Act establishes a risk-based regime, which does not substitute but supplements data-protection law (European Parliament and Council of the European Union, 2024; Hohmann and Kollár, 2025). This can also guide the applicability of the NIS2 Directive based on the services of ALL, size and national implementation. The proposed model is supported by its focus on the responsibility of management, incident reporting, risk measures and supply-chain security (European Parliament and Council of the European Union, 2022).</w:t>
      </w:r>
    </w:p>
    <w:p w14:paraId="61362726" w14:textId="77777777" w:rsidR="0001105B" w:rsidRDefault="00000000">
      <w:pPr>
        <w:pStyle w:val="Heading1"/>
        <w:keepNext w:val="0"/>
        <w:keepLines w:val="0"/>
      </w:pPr>
      <w:bookmarkStart w:id="18" w:name="_t4tttxiymnfe" w:colFirst="0" w:colLast="0"/>
      <w:bookmarkEnd w:id="18"/>
      <w:r>
        <w:t>5. Implementation Roadmap and Performance Measurement</w:t>
      </w:r>
    </w:p>
    <w:p w14:paraId="7588C913" w14:textId="77777777" w:rsidR="0001105B" w:rsidRDefault="00000000">
      <w:r>
        <w:lastRenderedPageBreak/>
        <w:t xml:space="preserve">It should be done in three stages. During the initial six months, ALL is expected to identify owners, scope the ISMS, </w:t>
      </w:r>
      <w:proofErr w:type="spellStart"/>
      <w:r>
        <w:t>catalog</w:t>
      </w:r>
      <w:proofErr w:type="spellEnd"/>
      <w:r>
        <w:t xml:space="preserve"> the assets and suppliers and close high-risk points in the identity, as well as set up incident response procedures and complete a GDPR baseline audit. It is expected to have privileged-access control, IoT control, centralized logging, vendor-contract remediation, business-impact analysis and recovery, between the sixth and the eighth months and the recovery testing in the 18th month. Its maturity in time should be between months eighteen to thirty, marking up continual confirmation, AI regulations and pondering ISO/IEC 27001 certification.</w:t>
      </w:r>
    </w:p>
    <w:p w14:paraId="1B96C9CD" w14:textId="77777777" w:rsidR="0001105B" w:rsidRDefault="00000000">
      <w:pPr>
        <w:jc w:val="center"/>
        <w:rPr>
          <w:b/>
          <w:bCs/>
        </w:rPr>
      </w:pPr>
      <w:r>
        <w:rPr>
          <w:b/>
          <w:bCs/>
        </w:rPr>
        <w:t>Table 3: Phased implementation roadmap</w:t>
      </w:r>
    </w:p>
    <w:tbl>
      <w:tblPr>
        <w:tblStyle w:val="a1"/>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03"/>
        <w:gridCol w:w="4901"/>
        <w:gridCol w:w="2921"/>
      </w:tblGrid>
      <w:tr w:rsidR="0001105B" w14:paraId="2E7899BF" w14:textId="77777777">
        <w:trPr>
          <w:trHeight w:val="500"/>
        </w:trPr>
        <w:tc>
          <w:tcPr>
            <w:tcW w:w="12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88688" w14:textId="77777777" w:rsidR="0001105B" w:rsidRDefault="00000000">
            <w:pPr>
              <w:spacing w:before="200" w:after="200"/>
              <w:jc w:val="center"/>
            </w:pPr>
            <w:r>
              <w:rPr>
                <w:b/>
                <w:bCs/>
              </w:rPr>
              <w:t>Phase</w:t>
            </w:r>
          </w:p>
        </w:tc>
        <w:tc>
          <w:tcPr>
            <w:tcW w:w="4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DC6B4" w14:textId="77777777" w:rsidR="0001105B" w:rsidRDefault="00000000">
            <w:pPr>
              <w:spacing w:before="200" w:after="200"/>
              <w:jc w:val="center"/>
            </w:pPr>
            <w:r>
              <w:rPr>
                <w:b/>
                <w:bCs/>
              </w:rPr>
              <w:t>Priority actions</w:t>
            </w:r>
          </w:p>
        </w:tc>
        <w:tc>
          <w:tcPr>
            <w:tcW w:w="29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CC32F" w14:textId="77777777" w:rsidR="0001105B" w:rsidRDefault="00000000">
            <w:pPr>
              <w:spacing w:before="200" w:after="200"/>
              <w:jc w:val="center"/>
            </w:pPr>
            <w:r>
              <w:rPr>
                <w:b/>
                <w:bCs/>
              </w:rPr>
              <w:t>Main outputs</w:t>
            </w:r>
          </w:p>
        </w:tc>
      </w:tr>
      <w:tr w:rsidR="0001105B" w14:paraId="38413E7A" w14:textId="77777777">
        <w:trPr>
          <w:trHeight w:val="770"/>
        </w:trPr>
        <w:tc>
          <w:tcPr>
            <w:tcW w:w="12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F0CA7" w14:textId="77777777" w:rsidR="0001105B" w:rsidRDefault="00000000">
            <w:pPr>
              <w:spacing w:before="200" w:after="200"/>
            </w:pPr>
            <w:r>
              <w:t>0–6 months</w:t>
            </w:r>
          </w:p>
        </w:tc>
        <w:tc>
          <w:tcPr>
            <w:tcW w:w="4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53B75" w14:textId="77777777" w:rsidR="0001105B" w:rsidRDefault="00000000">
            <w:pPr>
              <w:spacing w:before="200" w:after="200"/>
            </w:pPr>
            <w:r>
              <w:t>Governance appointments, asset and vendor inventory, MFA, risk register and incident plan</w:t>
            </w:r>
          </w:p>
        </w:tc>
        <w:tc>
          <w:tcPr>
            <w:tcW w:w="29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46DAB6" w14:textId="77777777" w:rsidR="0001105B" w:rsidRDefault="00000000">
            <w:pPr>
              <w:spacing w:before="200" w:after="200"/>
            </w:pPr>
            <w:r>
              <w:t>Clear ownership and immediate risk reduction</w:t>
            </w:r>
          </w:p>
        </w:tc>
      </w:tr>
      <w:tr w:rsidR="0001105B" w14:paraId="4B670EC7" w14:textId="77777777">
        <w:trPr>
          <w:trHeight w:val="770"/>
        </w:trPr>
        <w:tc>
          <w:tcPr>
            <w:tcW w:w="12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6974D" w14:textId="77777777" w:rsidR="0001105B" w:rsidRDefault="00000000">
            <w:pPr>
              <w:spacing w:before="200" w:after="200"/>
            </w:pPr>
            <w:r>
              <w:t>6–18 months</w:t>
            </w:r>
          </w:p>
        </w:tc>
        <w:tc>
          <w:tcPr>
            <w:tcW w:w="4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73BAB" w14:textId="77777777" w:rsidR="0001105B" w:rsidRDefault="00000000">
            <w:pPr>
              <w:spacing w:before="200" w:after="200"/>
            </w:pPr>
            <w:r>
              <w:t>PAM, IoT segmentation, SIEM, SLA remediation and continuity testing</w:t>
            </w:r>
          </w:p>
        </w:tc>
        <w:tc>
          <w:tcPr>
            <w:tcW w:w="29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E8C8AB" w14:textId="77777777" w:rsidR="0001105B" w:rsidRDefault="00000000">
            <w:pPr>
              <w:spacing w:before="200" w:after="200"/>
            </w:pPr>
            <w:r>
              <w:t>Stronger operational control and resilience</w:t>
            </w:r>
          </w:p>
        </w:tc>
      </w:tr>
      <w:tr w:rsidR="0001105B" w14:paraId="5719A412" w14:textId="77777777">
        <w:trPr>
          <w:trHeight w:val="770"/>
        </w:trPr>
        <w:tc>
          <w:tcPr>
            <w:tcW w:w="12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ECD25" w14:textId="77777777" w:rsidR="0001105B" w:rsidRDefault="00000000">
            <w:pPr>
              <w:spacing w:before="200" w:after="200"/>
            </w:pPr>
            <w:r>
              <w:t>18–30 months</w:t>
            </w:r>
          </w:p>
        </w:tc>
        <w:tc>
          <w:tcPr>
            <w:tcW w:w="4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0F104" w14:textId="77777777" w:rsidR="0001105B" w:rsidRDefault="00000000">
            <w:pPr>
              <w:spacing w:before="200" w:after="200"/>
            </w:pPr>
            <w:r>
              <w:t>Continuous assurance, AI governance and certification readiness</w:t>
            </w:r>
          </w:p>
        </w:tc>
        <w:tc>
          <w:tcPr>
            <w:tcW w:w="29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AE180" w14:textId="77777777" w:rsidR="0001105B" w:rsidRDefault="00000000">
            <w:pPr>
              <w:spacing w:before="200" w:after="200"/>
            </w:pPr>
            <w:r>
              <w:t>Sustainable compliance and measurable maturity</w:t>
            </w:r>
          </w:p>
        </w:tc>
      </w:tr>
    </w:tbl>
    <w:p w14:paraId="0DB825B4" w14:textId="77777777" w:rsidR="0001105B" w:rsidRDefault="00000000">
      <w:r>
        <w:t>Key indicators should include:</w:t>
      </w:r>
    </w:p>
    <w:p w14:paraId="6C8B11BA" w14:textId="77777777" w:rsidR="0001105B" w:rsidRDefault="00000000">
      <w:pPr>
        <w:numPr>
          <w:ilvl w:val="0"/>
          <w:numId w:val="2"/>
        </w:numPr>
      </w:pPr>
      <w:r>
        <w:t>multifactor-authentication coverage;</w:t>
      </w:r>
    </w:p>
    <w:p w14:paraId="2E33F446" w14:textId="77777777" w:rsidR="0001105B" w:rsidRDefault="00000000">
      <w:pPr>
        <w:numPr>
          <w:ilvl w:val="0"/>
          <w:numId w:val="2"/>
        </w:numPr>
      </w:pPr>
      <w:r>
        <w:t>privileged-account review completion;</w:t>
      </w:r>
    </w:p>
    <w:p w14:paraId="1A2EE3E5" w14:textId="77777777" w:rsidR="0001105B" w:rsidRDefault="00000000">
      <w:pPr>
        <w:numPr>
          <w:ilvl w:val="0"/>
          <w:numId w:val="2"/>
        </w:numPr>
      </w:pPr>
      <w:r>
        <w:t>critical-vulnerability remediation time;</w:t>
      </w:r>
    </w:p>
    <w:p w14:paraId="13E98017" w14:textId="77777777" w:rsidR="0001105B" w:rsidRDefault="00000000">
      <w:pPr>
        <w:numPr>
          <w:ilvl w:val="0"/>
          <w:numId w:val="2"/>
        </w:numPr>
      </w:pPr>
      <w:r>
        <w:t>percentage of critical vendors assessed;</w:t>
      </w:r>
    </w:p>
    <w:p w14:paraId="7FE3B929" w14:textId="77777777" w:rsidR="0001105B" w:rsidRDefault="00000000">
      <w:pPr>
        <w:numPr>
          <w:ilvl w:val="0"/>
          <w:numId w:val="2"/>
        </w:numPr>
      </w:pPr>
      <w:r>
        <w:t>mean time to detect and contain incidents;</w:t>
      </w:r>
    </w:p>
    <w:p w14:paraId="5E434CAF" w14:textId="77777777" w:rsidR="0001105B" w:rsidRDefault="00000000">
      <w:pPr>
        <w:numPr>
          <w:ilvl w:val="0"/>
          <w:numId w:val="2"/>
        </w:numPr>
      </w:pPr>
      <w:r>
        <w:lastRenderedPageBreak/>
        <w:t>recovery-test success;</w:t>
      </w:r>
    </w:p>
    <w:p w14:paraId="56E1B9E7" w14:textId="77777777" w:rsidR="0001105B" w:rsidRDefault="00000000">
      <w:pPr>
        <w:numPr>
          <w:ilvl w:val="0"/>
          <w:numId w:val="2"/>
        </w:numPr>
      </w:pPr>
      <w:r>
        <w:t>overdue risk treatments;</w:t>
      </w:r>
    </w:p>
    <w:p w14:paraId="2CA5B513" w14:textId="77777777" w:rsidR="0001105B" w:rsidRDefault="00000000">
      <w:pPr>
        <w:numPr>
          <w:ilvl w:val="0"/>
          <w:numId w:val="2"/>
        </w:numPr>
      </w:pPr>
      <w:r>
        <w:t>policy exceptions and audit findings.</w:t>
      </w:r>
    </w:p>
    <w:p w14:paraId="6C2071CA" w14:textId="77777777" w:rsidR="0001105B" w:rsidRDefault="00000000">
      <w:r>
        <w:t xml:space="preserve">Timeliness can be enhanced with automated </w:t>
      </w:r>
      <w:proofErr w:type="gramStart"/>
      <w:r>
        <w:t>evidence</w:t>
      </w:r>
      <w:proofErr w:type="gramEnd"/>
      <w:r>
        <w:t xml:space="preserve"> but the dashboards </w:t>
      </w:r>
      <w:proofErr w:type="gramStart"/>
      <w:r>
        <w:t>have to</w:t>
      </w:r>
      <w:proofErr w:type="gramEnd"/>
      <w:r>
        <w:t xml:space="preserve"> stop qualitative analysis of the control effectiveness (Islam et al., 2026).</w:t>
      </w:r>
    </w:p>
    <w:p w14:paraId="33BA550F" w14:textId="77777777" w:rsidR="0001105B" w:rsidRDefault="00000000">
      <w:pPr>
        <w:pStyle w:val="Heading1"/>
        <w:keepNext w:val="0"/>
        <w:keepLines w:val="0"/>
      </w:pPr>
      <w:bookmarkStart w:id="19" w:name="_o7ky7xtjk81d" w:colFirst="0" w:colLast="0"/>
      <w:bookmarkEnd w:id="19"/>
      <w:r>
        <w:t>6. Critical Analysis of Continuous Regulatory and Standards Updating</w:t>
      </w:r>
    </w:p>
    <w:p w14:paraId="0E5DF1E6" w14:textId="77777777" w:rsidR="0001105B" w:rsidRDefault="00000000">
      <w:r>
        <w:t xml:space="preserve">The constant updating is needed since cloud services, AI models, IoT devices, and attackers and legal interpretations evolve post-approval of the controls. Currently, AI risk studies have already uncovered gaps in the traditional practice of measuring risks, such as newer threats that are absent (Agathangelos-Ioannou and </w:t>
      </w:r>
      <w:proofErr w:type="spellStart"/>
      <w:r>
        <w:t>Tsohou</w:t>
      </w:r>
      <w:proofErr w:type="spellEnd"/>
      <w:r>
        <w:t>, 2026). Standards should thus be modified to be relevant to the new technologies and evolving attack techniques. The works of ALL also present various legal regimes due to global operations. The EU AI act, GDPR and NIS2 are intended to achieve different things, scope and responsibility. Even internal policies staying the same, a static compliance programme could thus become obsolete. ALL is supposed to keep a regulatory-watch process, annual review of frameworks, review control quarterly threatened and reviewing events after significant incidents, acquisitions or changes in technology. Nevertheless, constant updating poses risks, as well. Too much change would add the cost and would result in compliance fatigue and overburden smaller vendors. Diverse rules can lead to different interpretations, whereas excessively attending to documentation can lead to false security. The cybersecurity regulation itself may pose an undetectable danger, as organisations start to focus more on formal compliance rather than effective resilience (</w:t>
      </w:r>
      <w:proofErr w:type="spellStart"/>
      <w:r>
        <w:t>Kianpour</w:t>
      </w:r>
      <w:proofErr w:type="spellEnd"/>
      <w:r>
        <w:t xml:space="preserve"> and Raza, 2024). Constant uncontrolled change </w:t>
      </w:r>
      <w:proofErr w:type="gramStart"/>
      <w:r>
        <w:t>is</w:t>
      </w:r>
      <w:proofErr w:type="gramEnd"/>
      <w:r>
        <w:t xml:space="preserve"> however, not the right course, but risk-based updating, that is disciplined. They should make changes based on the order of priority of the business performance based on the threat intelligence, business impact, legal applicability, audit evidence and control performance. ALL must uphold a control-Mapping register of linking both the legal requirements, ISO controls, NIST outcomes, policies, evidence, and responsible owners. These would minimize unnecessary audits and spot loopholes that may be missed by only one certification. Constant updating is meant to assist in making improved risk decisions, rather than merely generate additional policies.</w:t>
      </w:r>
    </w:p>
    <w:p w14:paraId="4515C90A" w14:textId="77777777" w:rsidR="0001105B" w:rsidRDefault="00000000">
      <w:pPr>
        <w:pStyle w:val="Heading1"/>
      </w:pPr>
      <w:bookmarkStart w:id="20" w:name="_t2nok5myskw1" w:colFirst="0" w:colLast="0"/>
      <w:bookmarkEnd w:id="20"/>
      <w:r>
        <w:lastRenderedPageBreak/>
        <w:t>7. Conclusion</w:t>
      </w:r>
    </w:p>
    <w:p w14:paraId="6FCE5F38" w14:textId="77777777" w:rsidR="0001105B" w:rsidRDefault="00000000">
      <w:r>
        <w:t xml:space="preserve">The failures and lack of compliance in </w:t>
      </w:r>
      <w:proofErr w:type="spellStart"/>
      <w:r>
        <w:t>AeroLink</w:t>
      </w:r>
      <w:proofErr w:type="spellEnd"/>
      <w:r>
        <w:t xml:space="preserve"> can be attributed to the ineffective governance system, too much implicit trust, dependence on vendors and underdeveloped assurance. None of the frameworks can respond to these issues. COBIT 2019 ought to set strategic direction and responsibility; ISO/IEC 27001 and 27002 </w:t>
      </w:r>
      <w:proofErr w:type="gramStart"/>
      <w:r>
        <w:t>ought</w:t>
      </w:r>
      <w:proofErr w:type="gramEnd"/>
      <w:r>
        <w:t xml:space="preserve"> to provide the administration system and the control foundation; NIST CSF ought to organize cybersecurity result; Zero Trust ought to secure spread access; ITIL ought to assist with incident and service management; ISO 22301 ought to govern continuity; and ISO/IEC 42001 ought to govern AI. The proposed integrated model is the combination of board oversight, central risk management, identity-centred protection, data governance and vendor accountability, incident preparedness and measurable improvement. Its success hinges not on certification-gathering, but on ownership, testing and learning control, response to incidents and change of requirements with emerging threats, emerging technologies and global requirements.</w:t>
      </w:r>
      <w:r>
        <w:br w:type="page"/>
      </w:r>
    </w:p>
    <w:p w14:paraId="5B27D856" w14:textId="77777777" w:rsidR="0001105B" w:rsidRDefault="00000000">
      <w:pPr>
        <w:pStyle w:val="Heading1"/>
      </w:pPr>
      <w:bookmarkStart w:id="21" w:name="_chb6s6jaws8k" w:colFirst="0" w:colLast="0"/>
      <w:bookmarkEnd w:id="21"/>
      <w:r>
        <w:lastRenderedPageBreak/>
        <w:t>References</w:t>
      </w:r>
    </w:p>
    <w:p w14:paraId="6906D44A" w14:textId="77777777" w:rsidR="00504223" w:rsidRDefault="00504223">
      <w:pPr>
        <w:spacing w:before="200" w:after="200"/>
      </w:pPr>
      <w:r>
        <w:t xml:space="preserve">Agathangelos-Ioannou, G. and </w:t>
      </w:r>
      <w:proofErr w:type="spellStart"/>
      <w:r>
        <w:t>Tsohou</w:t>
      </w:r>
      <w:proofErr w:type="spellEnd"/>
      <w:r>
        <w:t xml:space="preserve">, A., 2026. Methodologies for information security risk assessment: shortcomings for analysing artificial intelligence systems: G. Agathangelos-Ioannou, A. </w:t>
      </w:r>
      <w:proofErr w:type="spellStart"/>
      <w:r>
        <w:t>Tsohou</w:t>
      </w:r>
      <w:proofErr w:type="spellEnd"/>
      <w:r>
        <w:t xml:space="preserve">. </w:t>
      </w:r>
      <w:r>
        <w:rPr>
          <w:i/>
          <w:iCs/>
        </w:rPr>
        <w:t>International Journal of Information Security</w:t>
      </w:r>
      <w:r>
        <w:t xml:space="preserve">, </w:t>
      </w:r>
      <w:r>
        <w:rPr>
          <w:i/>
          <w:iCs/>
        </w:rPr>
        <w:t>25</w:t>
      </w:r>
      <w:r>
        <w:t>(3), p.98.</w:t>
      </w:r>
      <w:hyperlink r:id="rId5">
        <w:r>
          <w:rPr>
            <w:u w:val="single"/>
          </w:rPr>
          <w:t>https://link.springer.com/content/pdf/10.1007/s10207-026-01271-9.pdf</w:t>
        </w:r>
      </w:hyperlink>
      <w:r>
        <w:t xml:space="preserve"> </w:t>
      </w:r>
    </w:p>
    <w:p w14:paraId="460AFD6A" w14:textId="77777777" w:rsidR="00504223" w:rsidRDefault="00504223">
      <w:pPr>
        <w:spacing w:before="200" w:after="200"/>
      </w:pPr>
      <w:r>
        <w:t xml:space="preserve">Azad, M.A., Abdullah, S., Arshad, J., Lallie, H. and Ahmed, Y.H., 2024. Verify and trust: A multidimensional survey of zero-trust security in the age of IoT. </w:t>
      </w:r>
      <w:r>
        <w:rPr>
          <w:i/>
          <w:iCs/>
        </w:rPr>
        <w:t>Internet of Things</w:t>
      </w:r>
      <w:r>
        <w:t xml:space="preserve">, </w:t>
      </w:r>
      <w:r>
        <w:rPr>
          <w:i/>
          <w:iCs/>
        </w:rPr>
        <w:t>27</w:t>
      </w:r>
      <w:r>
        <w:t>, p.101227.</w:t>
      </w:r>
      <w:hyperlink r:id="rId6">
        <w:r>
          <w:rPr>
            <w:u w:val="single"/>
          </w:rPr>
          <w:t>https://www.sciencedirect.com/science/article/pii/S2542660524001689</w:t>
        </w:r>
      </w:hyperlink>
      <w:r>
        <w:t xml:space="preserve"> </w:t>
      </w:r>
    </w:p>
    <w:p w14:paraId="2EA89FE1" w14:textId="77777777" w:rsidR="00504223" w:rsidRDefault="00504223">
      <w:pPr>
        <w:spacing w:before="200" w:after="200"/>
      </w:pPr>
      <w:r>
        <w:t xml:space="preserve">Balboni, P. and Francis, K.E., 2025. Data ethics and digital sustainability: Bridging legal data protection compliance and ESG for a responsible data-driven future. </w:t>
      </w:r>
      <w:r>
        <w:rPr>
          <w:i/>
          <w:iCs/>
        </w:rPr>
        <w:t>Journal of Responsible Technology</w:t>
      </w:r>
      <w:r>
        <w:t xml:space="preserve">, </w:t>
      </w:r>
      <w:r>
        <w:rPr>
          <w:i/>
          <w:iCs/>
        </w:rPr>
        <w:t>22</w:t>
      </w:r>
      <w:r>
        <w:t>, p.100099.</w:t>
      </w:r>
      <w:hyperlink r:id="rId7">
        <w:r>
          <w:rPr>
            <w:u w:val="single"/>
          </w:rPr>
          <w:t>https://www.sciencedirect.com/science/article/pii/S2666659624000258</w:t>
        </w:r>
      </w:hyperlink>
      <w:r>
        <w:t xml:space="preserve"> </w:t>
      </w:r>
    </w:p>
    <w:p w14:paraId="160A4273" w14:textId="77777777" w:rsidR="00504223" w:rsidRDefault="00504223">
      <w:pPr>
        <w:spacing w:before="200" w:after="200"/>
      </w:pPr>
      <w:r>
        <w:t xml:space="preserve">Choi, G.Y., Seo, J. and Kwon, H.Y., 2024, June. A comparative study of national cloud security strategy and governance. In </w:t>
      </w:r>
      <w:r>
        <w:rPr>
          <w:i/>
          <w:iCs/>
        </w:rPr>
        <w:t>Proceedings of the 25th Annual International Conference on Digital Government Research</w:t>
      </w:r>
      <w:r>
        <w:t xml:space="preserve"> (pp. 241-250).</w:t>
      </w:r>
      <w:hyperlink r:id="rId8">
        <w:r>
          <w:rPr>
            <w:u w:val="single"/>
          </w:rPr>
          <w:t>https://dl.acm.org/</w:t>
        </w:r>
        <w:proofErr w:type="spellStart"/>
        <w:r>
          <w:rPr>
            <w:u w:val="single"/>
          </w:rPr>
          <w:t>doi</w:t>
        </w:r>
        <w:proofErr w:type="spellEnd"/>
        <w:r>
          <w:rPr>
            <w:u w:val="single"/>
          </w:rPr>
          <w:t>/pdf/10.1145/3657054.3657085</w:t>
        </w:r>
      </w:hyperlink>
      <w:r>
        <w:t xml:space="preserve"> </w:t>
      </w:r>
    </w:p>
    <w:p w14:paraId="22A3E2BD" w14:textId="77777777" w:rsidR="00504223" w:rsidRDefault="00504223">
      <w:pPr>
        <w:spacing w:before="200" w:after="200"/>
      </w:pPr>
      <w:r>
        <w:t xml:space="preserve">Dhanabal, P., 2025. Demystifying ITIL-based incident management in cloud environments. </w:t>
      </w:r>
      <w:r>
        <w:rPr>
          <w:i/>
          <w:iCs/>
        </w:rPr>
        <w:t>Journal of Computer Science and Technology Studies</w:t>
      </w:r>
      <w:r>
        <w:t xml:space="preserve">, </w:t>
      </w:r>
      <w:r>
        <w:rPr>
          <w:i/>
          <w:iCs/>
        </w:rPr>
        <w:t>7</w:t>
      </w:r>
      <w:r>
        <w:t>(8), pp.892-903.</w:t>
      </w:r>
      <w:hyperlink r:id="rId9">
        <w:r>
          <w:rPr>
            <w:u w:val="single"/>
          </w:rPr>
          <w:t>https://al-kindipublishers.org/index.php/jcsts/article/download/10652/9400</w:t>
        </w:r>
      </w:hyperlink>
      <w:r>
        <w:t xml:space="preserve"> </w:t>
      </w:r>
    </w:p>
    <w:p w14:paraId="043E1F8A" w14:textId="77777777" w:rsidR="00504223" w:rsidRDefault="00504223">
      <w:pPr>
        <w:spacing w:before="200" w:after="200"/>
      </w:pPr>
      <w:r>
        <w:t xml:space="preserve">Edwards, J. and Weaver, G., 2024. </w:t>
      </w:r>
      <w:r>
        <w:rPr>
          <w:i/>
          <w:iCs/>
        </w:rPr>
        <w:t>The cybersecurity guide to governance, risk, and compliance</w:t>
      </w:r>
      <w:r>
        <w:t>. John Wiley &amp; Sons.</w:t>
      </w:r>
      <w:hyperlink r:id="rId10">
        <w:r>
          <w:rPr>
            <w:u w:val="single"/>
          </w:rPr>
          <w:t>https://books.google.com/books?hl=en&amp;lr=&amp;id=Y2b8EAAAQBAJ&amp;oi=fnd&amp;pg=PP1&amp;dq=Edwards,+J.+and+Weaver,+G.+(2024)+The+Cybersecurity+Guide+to+Governance,+Risk,+and+Compliance.+Hoboken,+NJ:+John+Wiley+%26+Sons.&amp;ots=DXUv3EQ_aj&amp;sig=mPCVl2eJLjw_i8MTtNnw1f4bmEE</w:t>
        </w:r>
      </w:hyperlink>
      <w:r>
        <w:t xml:space="preserve"> </w:t>
      </w:r>
    </w:p>
    <w:p w14:paraId="5E4CB16B" w14:textId="77777777" w:rsidR="00504223" w:rsidRDefault="00504223">
      <w:pPr>
        <w:spacing w:before="200" w:after="200"/>
      </w:pPr>
      <w:r>
        <w:t xml:space="preserve">European Parliament and Council of the European Union (2016) ‘Regulation (EU) 2016/679 of 27 April 2016 on the protection of natural persons with regard to the processing of personal data and on the free movement of such data, and repealing Directive 95/46/EC (General Data Protection Regulation)’, </w:t>
      </w:r>
      <w:r>
        <w:rPr>
          <w:i/>
          <w:iCs/>
        </w:rPr>
        <w:t>Official Journal of the European Union</w:t>
      </w:r>
      <w:r>
        <w:t>, L119, 4 May, pp. 1–88. Available at:</w:t>
      </w:r>
      <w:hyperlink r:id="rId11">
        <w:r>
          <w:t xml:space="preserve"> </w:t>
        </w:r>
      </w:hyperlink>
      <w:hyperlink r:id="rId12">
        <w:r>
          <w:rPr>
            <w:u w:val="single"/>
          </w:rPr>
          <w:t>https://eur-lex.europa.eu/eli/reg/2016/679/oj/eng</w:t>
        </w:r>
      </w:hyperlink>
      <w:r>
        <w:t xml:space="preserve"> (Accessed: 7 July 2026).</w:t>
      </w:r>
    </w:p>
    <w:p w14:paraId="3F3F503B" w14:textId="77777777" w:rsidR="00504223" w:rsidRDefault="00504223">
      <w:pPr>
        <w:spacing w:before="200" w:after="200"/>
      </w:pPr>
      <w:r>
        <w:lastRenderedPageBreak/>
        <w:t xml:space="preserve">European Parliament and Council of the European Union (2022) ‘Directive (EU) 2022/2555 of 14 December 2022 on measures for a high common level of cybersecurity across the Union, amending Regulation (EU) No 910/2014 and Directive (EU) 2018/1972, and repealing Directive (EU) 2016/1148 (NIS 2 Directive)’, </w:t>
      </w:r>
      <w:r>
        <w:rPr>
          <w:i/>
          <w:iCs/>
        </w:rPr>
        <w:t>Official Journal of the European Union</w:t>
      </w:r>
      <w:r>
        <w:t>, L333, 27 December, pp. 80–152. Available at:</w:t>
      </w:r>
      <w:hyperlink r:id="rId13">
        <w:r>
          <w:t xml:space="preserve"> </w:t>
        </w:r>
      </w:hyperlink>
      <w:hyperlink r:id="rId14">
        <w:r>
          <w:rPr>
            <w:u w:val="single"/>
          </w:rPr>
          <w:t>https://eur-lex.europa.eu/eli/dir/2022/2555/oj/eng</w:t>
        </w:r>
      </w:hyperlink>
      <w:r>
        <w:t xml:space="preserve"> (Accessed: 7 July 2026).</w:t>
      </w:r>
    </w:p>
    <w:p w14:paraId="7AF5B2A9" w14:textId="77777777" w:rsidR="00504223" w:rsidRDefault="00504223">
      <w:pPr>
        <w:spacing w:before="200" w:after="200"/>
      </w:pPr>
      <w:r>
        <w:t xml:space="preserve">European Parliament and Council of the European Union (2024) ‘Regulation (EU) 2024/1689 of 13 June 2024 laying down harmonised rules on artificial intelligence and amending Regulations (EC) No 300/2008, (EU) No 167/2013, (EU) No 168/2013, (EU) 2018/858, (EU) 2018/1139 and (EU) 2019/2144 and Directives 2014/90/EU, (EU) 2016/797 and (EU) 2020/1828 (Artificial Intelligence Act)’, </w:t>
      </w:r>
      <w:r>
        <w:rPr>
          <w:i/>
          <w:iCs/>
        </w:rPr>
        <w:t>Official Journal of the European Union</w:t>
      </w:r>
      <w:r>
        <w:t>, L, 2024/1689, 12 July. Available at:</w:t>
      </w:r>
      <w:hyperlink r:id="rId15">
        <w:r>
          <w:t xml:space="preserve"> </w:t>
        </w:r>
      </w:hyperlink>
      <w:hyperlink r:id="rId16">
        <w:r>
          <w:rPr>
            <w:u w:val="single"/>
          </w:rPr>
          <w:t>https://eur-lex.europa.eu/eli/reg/2024/1689/oj/eng</w:t>
        </w:r>
      </w:hyperlink>
      <w:r>
        <w:t xml:space="preserve"> (Accessed: 7 July 2026).</w:t>
      </w:r>
    </w:p>
    <w:p w14:paraId="3ED3E552" w14:textId="77777777" w:rsidR="00504223" w:rsidRDefault="00504223">
      <w:pPr>
        <w:spacing w:before="200" w:after="200"/>
      </w:pPr>
      <w:r>
        <w:t xml:space="preserve">Figueroa, V., Sánchez Crespo, L.E., Santos-Olmo, A., Rosado, D.G. and Fernández-Medina, E., 2025. Building a holistic cybersecurity framework for e-Government based on a systematic analysis of proposals: V. Figueroa et al. </w:t>
      </w:r>
      <w:r>
        <w:rPr>
          <w:i/>
          <w:iCs/>
        </w:rPr>
        <w:t>International Journal of Information Security</w:t>
      </w:r>
      <w:r>
        <w:t xml:space="preserve">, </w:t>
      </w:r>
      <w:r>
        <w:rPr>
          <w:i/>
          <w:iCs/>
        </w:rPr>
        <w:t>24</w:t>
      </w:r>
      <w:r>
        <w:t>(3), p.121.</w:t>
      </w:r>
      <w:hyperlink r:id="rId17">
        <w:r>
          <w:rPr>
            <w:u w:val="single"/>
          </w:rPr>
          <w:t>https://link.springer.com/content/pdf/10.1007/s10207-025-01024-0.pdf</w:t>
        </w:r>
      </w:hyperlink>
      <w:r>
        <w:t xml:space="preserve"> </w:t>
      </w:r>
    </w:p>
    <w:p w14:paraId="6211523B" w14:textId="77777777" w:rsidR="00504223" w:rsidRDefault="00504223">
      <w:pPr>
        <w:spacing w:before="200" w:after="200"/>
      </w:pPr>
      <w:r>
        <w:t xml:space="preserve">Herburger, M., Wieland, A. and Hochstrasser, C., 2024. Building supply chain resilience to cyber risks: a dynamic capabilities perspective. </w:t>
      </w:r>
      <w:r>
        <w:rPr>
          <w:i/>
          <w:iCs/>
        </w:rPr>
        <w:t>Supply Chain Management: An International Journal</w:t>
      </w:r>
      <w:r>
        <w:t xml:space="preserve">, </w:t>
      </w:r>
      <w:r>
        <w:rPr>
          <w:i/>
          <w:iCs/>
        </w:rPr>
        <w:t>29</w:t>
      </w:r>
      <w:r>
        <w:t>(7), pp.28-50.</w:t>
      </w:r>
      <w:hyperlink r:id="rId18">
        <w:r>
          <w:rPr>
            <w:u w:val="single"/>
          </w:rPr>
          <w:t>https://www.emerald.com/scm/article-pdf/29/7/28/9582939/scm-01-2023-0016.pdf</w:t>
        </w:r>
      </w:hyperlink>
      <w:r>
        <w:t xml:space="preserve"> </w:t>
      </w:r>
    </w:p>
    <w:p w14:paraId="4D8C7A4C" w14:textId="77777777" w:rsidR="00504223" w:rsidRDefault="00504223">
      <w:pPr>
        <w:spacing w:before="200" w:after="200"/>
      </w:pPr>
      <w:r>
        <w:t xml:space="preserve">Hohmann, B. and Kollár, G., 2025. Reflections on the data protection compliance of AI systems under the EU AI Act. </w:t>
      </w:r>
      <w:r>
        <w:rPr>
          <w:i/>
          <w:iCs/>
        </w:rPr>
        <w:t>Cogent Social Sciences</w:t>
      </w:r>
      <w:r>
        <w:t xml:space="preserve">, </w:t>
      </w:r>
      <w:r>
        <w:rPr>
          <w:i/>
          <w:iCs/>
        </w:rPr>
        <w:t>11</w:t>
      </w:r>
      <w:r>
        <w:t>(1), p.2560654.</w:t>
      </w:r>
      <w:hyperlink r:id="rId19">
        <w:r>
          <w:rPr>
            <w:u w:val="single"/>
          </w:rPr>
          <w:t>https://www.tandfonline.com/doi/pdf/10.1080/23311886.2025.2560654</w:t>
        </w:r>
      </w:hyperlink>
      <w:r>
        <w:t xml:space="preserve"> </w:t>
      </w:r>
    </w:p>
    <w:p w14:paraId="213C9FC9" w14:textId="77777777" w:rsidR="00504223" w:rsidRDefault="00504223">
      <w:pPr>
        <w:spacing w:before="200" w:after="200"/>
      </w:pPr>
      <w:r>
        <w:t xml:space="preserve">International Organization for Standardization (2019) </w:t>
      </w:r>
      <w:r>
        <w:rPr>
          <w:i/>
          <w:iCs/>
        </w:rPr>
        <w:t>ISO 22301:2019 Security and resilience — Business continuity management systems — Requirements</w:t>
      </w:r>
      <w:r>
        <w:t>. Geneva: International Organization for Standardization. Available at:</w:t>
      </w:r>
      <w:hyperlink r:id="rId20">
        <w:r>
          <w:t xml:space="preserve"> </w:t>
        </w:r>
      </w:hyperlink>
      <w:hyperlink r:id="rId21">
        <w:r>
          <w:rPr>
            <w:u w:val="single"/>
          </w:rPr>
          <w:t>https://www.iso.org/standard/75106.html</w:t>
        </w:r>
      </w:hyperlink>
      <w:r>
        <w:t xml:space="preserve"> (Accessed: 7 July 2026).</w:t>
      </w:r>
    </w:p>
    <w:p w14:paraId="2DCAA442" w14:textId="77777777" w:rsidR="00504223" w:rsidRDefault="00504223">
      <w:pPr>
        <w:spacing w:before="200" w:after="200"/>
      </w:pPr>
      <w:r>
        <w:t xml:space="preserve">International Organization for Standardization (2022a) </w:t>
      </w:r>
      <w:r>
        <w:rPr>
          <w:i/>
          <w:iCs/>
        </w:rPr>
        <w:t xml:space="preserve">ISO/IEC 27001:2022 Information security, cybersecurity and privacy protection — Information security management systems — </w:t>
      </w:r>
      <w:r>
        <w:rPr>
          <w:i/>
          <w:iCs/>
        </w:rPr>
        <w:lastRenderedPageBreak/>
        <w:t>Requirements</w:t>
      </w:r>
      <w:r>
        <w:t>. Geneva: International Organization for Standardization. Available at:</w:t>
      </w:r>
      <w:hyperlink r:id="rId22">
        <w:r>
          <w:t xml:space="preserve"> </w:t>
        </w:r>
      </w:hyperlink>
      <w:hyperlink r:id="rId23">
        <w:r>
          <w:rPr>
            <w:u w:val="single"/>
          </w:rPr>
          <w:t>https://www.iso.org/standard/27001</w:t>
        </w:r>
      </w:hyperlink>
      <w:r>
        <w:t xml:space="preserve"> (Accessed: 7 July 2026).</w:t>
      </w:r>
    </w:p>
    <w:p w14:paraId="520C4155" w14:textId="77777777" w:rsidR="00504223" w:rsidRDefault="00504223">
      <w:pPr>
        <w:spacing w:before="200" w:after="200"/>
      </w:pPr>
      <w:r>
        <w:t xml:space="preserve">International Organization for Standardization (2022b) </w:t>
      </w:r>
      <w:r>
        <w:rPr>
          <w:i/>
          <w:iCs/>
        </w:rPr>
        <w:t>ISO/IEC 27002:2022 Information security, cybersecurity and privacy protection — Information security controls</w:t>
      </w:r>
      <w:r>
        <w:t>. Geneva: International Organization for Standardization. Available at:</w:t>
      </w:r>
      <w:hyperlink r:id="rId24">
        <w:r>
          <w:t xml:space="preserve"> </w:t>
        </w:r>
      </w:hyperlink>
      <w:hyperlink r:id="rId25">
        <w:r>
          <w:rPr>
            <w:u w:val="single"/>
          </w:rPr>
          <w:t>https://www.iso.org/standard/75652.html</w:t>
        </w:r>
      </w:hyperlink>
      <w:r>
        <w:t xml:space="preserve"> (Accessed: 7 July 2026).</w:t>
      </w:r>
    </w:p>
    <w:p w14:paraId="3B332D0D" w14:textId="77777777" w:rsidR="00504223" w:rsidRDefault="00504223">
      <w:pPr>
        <w:spacing w:before="200" w:after="200"/>
      </w:pPr>
      <w:r>
        <w:t xml:space="preserve">International Organization for Standardization (2023) </w:t>
      </w:r>
      <w:r>
        <w:rPr>
          <w:i/>
          <w:iCs/>
        </w:rPr>
        <w:t>ISO/IEC 42001:2023 Information technology — Artificial intelligence — Management system</w:t>
      </w:r>
      <w:r>
        <w:t>. Geneva: International Organization for Standardization. Available at:</w:t>
      </w:r>
      <w:hyperlink r:id="rId26">
        <w:r>
          <w:t xml:space="preserve"> </w:t>
        </w:r>
      </w:hyperlink>
      <w:hyperlink r:id="rId27">
        <w:r>
          <w:rPr>
            <w:u w:val="single"/>
          </w:rPr>
          <w:t>https://www.iso.org/standard/42001</w:t>
        </w:r>
      </w:hyperlink>
      <w:r>
        <w:t xml:space="preserve"> (Accessed: 7 July 2026).</w:t>
      </w:r>
    </w:p>
    <w:p w14:paraId="35541707" w14:textId="77777777" w:rsidR="00504223" w:rsidRDefault="00504223">
      <w:pPr>
        <w:spacing w:before="200" w:after="200"/>
      </w:pPr>
      <w:r>
        <w:t xml:space="preserve">ISACA (2018) </w:t>
      </w:r>
      <w:r>
        <w:rPr>
          <w:i/>
          <w:iCs/>
        </w:rPr>
        <w:t>COBIT 2019 framework: Governance and management objectives</w:t>
      </w:r>
      <w:r>
        <w:t>. Schaumburg, IL: ISACA. Available at:</w:t>
      </w:r>
      <w:hyperlink r:id="rId28">
        <w:r>
          <w:t xml:space="preserve"> </w:t>
        </w:r>
      </w:hyperlink>
      <w:hyperlink r:id="rId29">
        <w:r>
          <w:rPr>
            <w:u w:val="single"/>
          </w:rPr>
          <w:t>https://www.isaca.org/resources/cobit</w:t>
        </w:r>
      </w:hyperlink>
      <w:r>
        <w:t xml:space="preserve"> (Accessed: 7 July 2026).</w:t>
      </w:r>
    </w:p>
    <w:p w14:paraId="76043012" w14:textId="77777777" w:rsidR="00504223" w:rsidRDefault="00504223">
      <w:pPr>
        <w:spacing w:before="200" w:after="200"/>
      </w:pPr>
      <w:r>
        <w:t xml:space="preserve">Islam, S., Haider, A., Ahmad, F.B., Kiani, A.A., Hafeez, Y., Habib, M., Rehman, E. and Mazhar, T., 2026. Automating cybersecurity audits: </w:t>
      </w:r>
      <w:proofErr w:type="spellStart"/>
      <w:r>
        <w:t>analyzing</w:t>
      </w:r>
      <w:proofErr w:type="spellEnd"/>
      <w:r>
        <w:t xml:space="preserve"> the impact of the ISO27K1 Toolkit on SME compliance and risk management. </w:t>
      </w:r>
      <w:r>
        <w:rPr>
          <w:i/>
          <w:iCs/>
        </w:rPr>
        <w:t>International Journal of Information Security</w:t>
      </w:r>
      <w:r>
        <w:t xml:space="preserve">, </w:t>
      </w:r>
      <w:r>
        <w:rPr>
          <w:i/>
          <w:iCs/>
        </w:rPr>
        <w:t>25</w:t>
      </w:r>
      <w:r>
        <w:t>(3), p.80.</w:t>
      </w:r>
      <w:hyperlink r:id="rId30">
        <w:r>
          <w:rPr>
            <w:u w:val="single"/>
          </w:rPr>
          <w:t>https://link.springer.com/content/pdf/10.1007/s10207-026-01252-y.pdf</w:t>
        </w:r>
      </w:hyperlink>
      <w:r>
        <w:t xml:space="preserve"> </w:t>
      </w:r>
    </w:p>
    <w:p w14:paraId="19B51C26" w14:textId="77777777" w:rsidR="00504223" w:rsidRDefault="00504223">
      <w:pPr>
        <w:spacing w:before="200" w:after="200"/>
      </w:pPr>
      <w:r>
        <w:t xml:space="preserve">Kamil, Y., Lund, S. and Islam, M.S., 2023. Information security objectives and the output legitimacy of ISO/IEC 27001: stakeholders’ perspective on expectations in private organizations in Sweden. </w:t>
      </w:r>
      <w:r>
        <w:rPr>
          <w:i/>
          <w:iCs/>
        </w:rPr>
        <w:t>Information Systems and e-Business Management</w:t>
      </w:r>
      <w:r>
        <w:t xml:space="preserve">, </w:t>
      </w:r>
      <w:r>
        <w:rPr>
          <w:i/>
          <w:iCs/>
        </w:rPr>
        <w:t>21</w:t>
      </w:r>
      <w:r>
        <w:t>(3), pp.699-722.</w:t>
      </w:r>
      <w:hyperlink r:id="rId31">
        <w:r>
          <w:rPr>
            <w:u w:val="single"/>
          </w:rPr>
          <w:t>https://link.springer.com/content/pdf/10.1007/s10257-023-00646-y.pdf</w:t>
        </w:r>
      </w:hyperlink>
      <w:r>
        <w:t xml:space="preserve"> </w:t>
      </w:r>
    </w:p>
    <w:p w14:paraId="5405B026" w14:textId="77777777" w:rsidR="00504223" w:rsidRDefault="00504223">
      <w:pPr>
        <w:spacing w:before="200" w:after="200"/>
      </w:pPr>
      <w:proofErr w:type="spellStart"/>
      <w:r>
        <w:t>Kianpour</w:t>
      </w:r>
      <w:proofErr w:type="spellEnd"/>
      <w:r>
        <w:t xml:space="preserve">, M. and Raza, S., 2024. More than malware: unmasking the hidden risk of cybersecurity regulations. </w:t>
      </w:r>
      <w:r>
        <w:rPr>
          <w:i/>
          <w:iCs/>
        </w:rPr>
        <w:t>International Cybersecurity Law Review</w:t>
      </w:r>
      <w:r>
        <w:t xml:space="preserve">, </w:t>
      </w:r>
      <w:r>
        <w:rPr>
          <w:i/>
          <w:iCs/>
        </w:rPr>
        <w:t>5</w:t>
      </w:r>
      <w:r>
        <w:t>(1), pp.169-212.</w:t>
      </w:r>
      <w:hyperlink r:id="rId32">
        <w:r>
          <w:rPr>
            <w:u w:val="single"/>
          </w:rPr>
          <w:t>https://link.springer.com/content/pdf/10.1365/s43439-024-00111-7.pdf</w:t>
        </w:r>
      </w:hyperlink>
      <w:r>
        <w:t xml:space="preserve"> </w:t>
      </w:r>
    </w:p>
    <w:p w14:paraId="7943938B" w14:textId="77777777" w:rsidR="00504223" w:rsidRDefault="00504223">
      <w:pPr>
        <w:spacing w:before="200" w:after="200"/>
      </w:pPr>
      <w:r>
        <w:t xml:space="preserve">Kun, E., 2024. Challenges in regulating cloud service providers in EU financial regulation: From operational to systemic </w:t>
      </w:r>
      <w:proofErr w:type="gramStart"/>
      <w:r>
        <w:t>risks, and</w:t>
      </w:r>
      <w:proofErr w:type="gramEnd"/>
      <w:r>
        <w:t xml:space="preserve"> examining challenges of the new oversight regime for critical cloud service providers under the Digital Operational Resilience Act. </w:t>
      </w:r>
      <w:r>
        <w:rPr>
          <w:i/>
          <w:iCs/>
        </w:rPr>
        <w:t>Computer Law &amp; Security Review</w:t>
      </w:r>
      <w:r>
        <w:t xml:space="preserve">, </w:t>
      </w:r>
      <w:r>
        <w:rPr>
          <w:i/>
          <w:iCs/>
        </w:rPr>
        <w:t>52</w:t>
      </w:r>
      <w:r>
        <w:t>, p.105931.</w:t>
      </w:r>
      <w:hyperlink r:id="rId33">
        <w:r>
          <w:rPr>
            <w:u w:val="single"/>
          </w:rPr>
          <w:t>https://www.sciencedirect.com/science/article/pii/S0267364923001413</w:t>
        </w:r>
      </w:hyperlink>
      <w:r>
        <w:t xml:space="preserve"> </w:t>
      </w:r>
    </w:p>
    <w:p w14:paraId="3080315C" w14:textId="77777777" w:rsidR="00504223" w:rsidRDefault="00504223">
      <w:pPr>
        <w:spacing w:before="200" w:after="200"/>
      </w:pPr>
      <w:r>
        <w:lastRenderedPageBreak/>
        <w:t xml:space="preserve">Laghari, A.A., Khan, A.A., </w:t>
      </w:r>
      <w:proofErr w:type="spellStart"/>
      <w:r>
        <w:t>Ksibi</w:t>
      </w:r>
      <w:proofErr w:type="spellEnd"/>
      <w:r>
        <w:t xml:space="preserve">, A., </w:t>
      </w:r>
      <w:proofErr w:type="spellStart"/>
      <w:r>
        <w:t>Hajjej</w:t>
      </w:r>
      <w:proofErr w:type="spellEnd"/>
      <w:r>
        <w:t xml:space="preserve">, F., </w:t>
      </w:r>
      <w:proofErr w:type="spellStart"/>
      <w:r>
        <w:t>Kryvinska</w:t>
      </w:r>
      <w:proofErr w:type="spellEnd"/>
      <w:r>
        <w:t xml:space="preserve">, N., </w:t>
      </w:r>
      <w:proofErr w:type="spellStart"/>
      <w:r>
        <w:t>Almadhor</w:t>
      </w:r>
      <w:proofErr w:type="spellEnd"/>
      <w:r>
        <w:t xml:space="preserve">, A., Mohamed, M.A. and Alsubai, S., 2025. A novel and secure artificial intelligence enabled zero trust intrusion detection in industrial internet of things architecture. </w:t>
      </w:r>
      <w:r>
        <w:rPr>
          <w:i/>
          <w:iCs/>
        </w:rPr>
        <w:t>Scientific Reports</w:t>
      </w:r>
      <w:r>
        <w:t xml:space="preserve">, </w:t>
      </w:r>
      <w:r>
        <w:rPr>
          <w:i/>
          <w:iCs/>
        </w:rPr>
        <w:t>15</w:t>
      </w:r>
      <w:r>
        <w:t>(1), p.26843.</w:t>
      </w:r>
      <w:hyperlink r:id="rId34">
        <w:r>
          <w:rPr>
            <w:u w:val="single"/>
          </w:rPr>
          <w:t>https://www.nature.com/articles/s41598-025-11738-9.pdf</w:t>
        </w:r>
      </w:hyperlink>
      <w:r>
        <w:t xml:space="preserve"> </w:t>
      </w:r>
    </w:p>
    <w:p w14:paraId="40F2659F" w14:textId="77777777" w:rsidR="00504223" w:rsidRDefault="00504223">
      <w:pPr>
        <w:spacing w:before="200" w:after="200"/>
      </w:pPr>
      <w:r>
        <w:t xml:space="preserve">National Institute of Standards and Technology (2020) </w:t>
      </w:r>
      <w:r>
        <w:rPr>
          <w:i/>
          <w:iCs/>
        </w:rPr>
        <w:t>Zero trust architecture</w:t>
      </w:r>
      <w:r>
        <w:t>. NIST Special Publication 800-207. Gaithersburg, MD: National Institute of Standards and Technology. Available at:</w:t>
      </w:r>
      <w:hyperlink r:id="rId35">
        <w:r>
          <w:t xml:space="preserve"> </w:t>
        </w:r>
      </w:hyperlink>
      <w:hyperlink r:id="rId36">
        <w:r>
          <w:rPr>
            <w:u w:val="single"/>
          </w:rPr>
          <w:t>https://doi.org/10.6028/NIST.SP.800-207</w:t>
        </w:r>
      </w:hyperlink>
      <w:r>
        <w:t>.</w:t>
      </w:r>
    </w:p>
    <w:p w14:paraId="2E315E61" w14:textId="77777777" w:rsidR="00504223" w:rsidRDefault="00504223">
      <w:pPr>
        <w:spacing w:before="200" w:after="200"/>
      </w:pPr>
      <w:r>
        <w:t xml:space="preserve">National Institute of Standards and Technology (2024) </w:t>
      </w:r>
      <w:r>
        <w:rPr>
          <w:i/>
          <w:iCs/>
        </w:rPr>
        <w:t>The NIST Cybersecurity Framework (CSF) 2.0</w:t>
      </w:r>
      <w:r>
        <w:t>. NIST Cybersecurity White Paper 29. Gaithersburg, MD: National Institute of Standards and Technology. Available at:</w:t>
      </w:r>
      <w:hyperlink r:id="rId37">
        <w:r>
          <w:t xml:space="preserve"> </w:t>
        </w:r>
      </w:hyperlink>
      <w:hyperlink r:id="rId38">
        <w:r>
          <w:rPr>
            <w:u w:val="single"/>
          </w:rPr>
          <w:t>https://doi.org/10.6028/NIST.CSWP.29</w:t>
        </w:r>
      </w:hyperlink>
      <w:r>
        <w:t>.</w:t>
      </w:r>
    </w:p>
    <w:p w14:paraId="20CC139E" w14:textId="77777777" w:rsidR="0001105B" w:rsidRDefault="0001105B">
      <w:pPr>
        <w:spacing w:before="200" w:after="200"/>
      </w:pPr>
    </w:p>
    <w:sectPr w:rsidR="0001105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1" w:fontKey="{8CCA467E-FBC7-4AFC-90D9-063102869ED9}"/>
  </w:font>
  <w:font w:name="Cambria">
    <w:panose1 w:val="02040503050406030204"/>
    <w:charset w:val="00"/>
    <w:family w:val="roman"/>
    <w:pitch w:val="variable"/>
    <w:sig w:usb0="E00006FF" w:usb1="420024FF" w:usb2="02000000" w:usb3="00000000" w:csb0="0000019F" w:csb1="00000000"/>
    <w:embedRegular r:id="rId2" w:fontKey="{956FE4D4-2BCA-418F-8ABC-E1BC6064673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9367F"/>
    <w:multiLevelType w:val="multilevel"/>
    <w:tmpl w:val="D18C6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7AC5C3D"/>
    <w:multiLevelType w:val="multilevel"/>
    <w:tmpl w:val="A75AB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3049904">
    <w:abstractNumId w:val="1"/>
  </w:num>
  <w:num w:numId="2" w16cid:durableId="1989935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05B"/>
    <w:rsid w:val="0001105B"/>
    <w:rsid w:val="00046DD5"/>
    <w:rsid w:val="00504223"/>
    <w:rsid w:val="00EC1223"/>
    <w:rsid w:val="00F57B3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2C440"/>
  <w15:docId w15:val="{61C06BD8-EB89-4650-9EA6-B8A15E0B4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highlight w:val="white"/>
        <w:lang w:val="en-GB" w:eastAsia="zh-C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8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eur-lex.europa.eu/eli/dir/2022/2555/oj/eng?utm_source=chatgpt.com" TargetMode="External"/><Relationship Id="rId18" Type="http://schemas.openxmlformats.org/officeDocument/2006/relationships/hyperlink" Target="https://www.emerald.com/scm/article-pdf/29/7/28/9582939/scm-01-2023-0016.pdf" TargetMode="External"/><Relationship Id="rId26" Type="http://schemas.openxmlformats.org/officeDocument/2006/relationships/hyperlink" Target="https://www.iso.org/standard/42001?utm_source=chatgpt.com" TargetMode="External"/><Relationship Id="rId39" Type="http://schemas.openxmlformats.org/officeDocument/2006/relationships/fontTable" Target="fontTable.xml"/><Relationship Id="rId21" Type="http://schemas.openxmlformats.org/officeDocument/2006/relationships/hyperlink" Target="https://www.iso.org/standard/75106.html?utm_source=chatgpt.com" TargetMode="External"/><Relationship Id="rId34" Type="http://schemas.openxmlformats.org/officeDocument/2006/relationships/hyperlink" Target="https://www.nature.com/articles/s41598-025-11738-9.pdf" TargetMode="External"/><Relationship Id="rId7" Type="http://schemas.openxmlformats.org/officeDocument/2006/relationships/hyperlink" Target="https://www.sciencedirect.com/science/article/pii/S2666659624000258" TargetMode="External"/><Relationship Id="rId12" Type="http://schemas.openxmlformats.org/officeDocument/2006/relationships/hyperlink" Target="https://eur-lex.europa.eu/eli/reg/2016/679/oj/eng?utm_source=chatgpt.com" TargetMode="External"/><Relationship Id="rId17" Type="http://schemas.openxmlformats.org/officeDocument/2006/relationships/hyperlink" Target="https://link.springer.com/content/pdf/10.1007/s10207-025-01024-0.pdf" TargetMode="External"/><Relationship Id="rId25" Type="http://schemas.openxmlformats.org/officeDocument/2006/relationships/hyperlink" Target="https://www.iso.org/standard/75652.html?utm_source=chatgpt.com" TargetMode="External"/><Relationship Id="rId33" Type="http://schemas.openxmlformats.org/officeDocument/2006/relationships/hyperlink" Target="https://www.sciencedirect.com/science/article/pii/S0267364923001413" TargetMode="External"/><Relationship Id="rId38" Type="http://schemas.openxmlformats.org/officeDocument/2006/relationships/hyperlink" Target="https://doi.org/10.6028/NIST.CSWP.29" TargetMode="External"/><Relationship Id="rId2" Type="http://schemas.openxmlformats.org/officeDocument/2006/relationships/styles" Target="styles.xml"/><Relationship Id="rId16" Type="http://schemas.openxmlformats.org/officeDocument/2006/relationships/hyperlink" Target="https://eur-lex.europa.eu/eli/reg/2024/1689/oj/eng?utm_source=chatgpt.com" TargetMode="External"/><Relationship Id="rId20" Type="http://schemas.openxmlformats.org/officeDocument/2006/relationships/hyperlink" Target="https://www.iso.org/standard/75106.html?utm_source=chatgpt.com" TargetMode="External"/><Relationship Id="rId29" Type="http://schemas.openxmlformats.org/officeDocument/2006/relationships/hyperlink" Target="https://www.isaca.org/resources/cobit?utm_source=chatgpt.com" TargetMode="External"/><Relationship Id="rId1" Type="http://schemas.openxmlformats.org/officeDocument/2006/relationships/numbering" Target="numbering.xml"/><Relationship Id="rId6" Type="http://schemas.openxmlformats.org/officeDocument/2006/relationships/hyperlink" Target="https://www.sciencedirect.com/science/article/pii/S2542660524001689" TargetMode="External"/><Relationship Id="rId11" Type="http://schemas.openxmlformats.org/officeDocument/2006/relationships/hyperlink" Target="https://eur-lex.europa.eu/eli/reg/2016/679/oj/eng?utm_source=chatgpt.com" TargetMode="External"/><Relationship Id="rId24" Type="http://schemas.openxmlformats.org/officeDocument/2006/relationships/hyperlink" Target="https://www.iso.org/standard/75652.html?utm_source=chatgpt.com" TargetMode="External"/><Relationship Id="rId32" Type="http://schemas.openxmlformats.org/officeDocument/2006/relationships/hyperlink" Target="https://link.springer.com/content/pdf/10.1365/s43439-024-00111-7.pdf" TargetMode="External"/><Relationship Id="rId37" Type="http://schemas.openxmlformats.org/officeDocument/2006/relationships/hyperlink" Target="https://doi.org/10.6028/NIST.CSWP.29" TargetMode="External"/><Relationship Id="rId40" Type="http://schemas.openxmlformats.org/officeDocument/2006/relationships/theme" Target="theme/theme1.xml"/><Relationship Id="rId5" Type="http://schemas.openxmlformats.org/officeDocument/2006/relationships/hyperlink" Target="https://link.springer.com/content/pdf/10.1007/s10207-026-01271-9.pdf" TargetMode="External"/><Relationship Id="rId15" Type="http://schemas.openxmlformats.org/officeDocument/2006/relationships/hyperlink" Target="https://eur-lex.europa.eu/eli/reg/2024/1689/oj/eng?utm_source=chatgpt.com" TargetMode="External"/><Relationship Id="rId23" Type="http://schemas.openxmlformats.org/officeDocument/2006/relationships/hyperlink" Target="https://www.iso.org/standard/27001?utm_source=chatgpt.com" TargetMode="External"/><Relationship Id="rId28" Type="http://schemas.openxmlformats.org/officeDocument/2006/relationships/hyperlink" Target="https://www.isaca.org/resources/cobit?utm_source=chatgpt.com" TargetMode="External"/><Relationship Id="rId36" Type="http://schemas.openxmlformats.org/officeDocument/2006/relationships/hyperlink" Target="https://doi.org/10.6028/NIST.SP.800-207" TargetMode="External"/><Relationship Id="rId10" Type="http://schemas.openxmlformats.org/officeDocument/2006/relationships/hyperlink" Target="https://books.google.com/books?hl=en&amp;lr=&amp;id=Y2b8EAAAQBAJ&amp;oi=fnd&amp;pg=PP1&amp;dq=Edwards,+J.+and+Weaver,+G.+(2024)+The+Cybersecurity+Guide+to+Governance,+Risk,+and+Compliance.+Hoboken,+NJ:+John+Wiley+%26+Sons.&amp;ots=DXUv3EQ_aj&amp;sig=mPCVl2eJLjw_i8MTtNnw1f4bmEE" TargetMode="External"/><Relationship Id="rId19" Type="http://schemas.openxmlformats.org/officeDocument/2006/relationships/hyperlink" Target="https://www.tandfonline.com/doi/pdf/10.1080/23311886.2025.2560654" TargetMode="External"/><Relationship Id="rId31" Type="http://schemas.openxmlformats.org/officeDocument/2006/relationships/hyperlink" Target="https://link.springer.com/content/pdf/10.1007/s10257-023-00646-y.pdf" TargetMode="External"/><Relationship Id="rId4" Type="http://schemas.openxmlformats.org/officeDocument/2006/relationships/webSettings" Target="webSettings.xml"/><Relationship Id="rId9" Type="http://schemas.openxmlformats.org/officeDocument/2006/relationships/hyperlink" Target="https://al-kindipublishers.org/index.php/jcsts/article/download/10652/9400" TargetMode="External"/><Relationship Id="rId14" Type="http://schemas.openxmlformats.org/officeDocument/2006/relationships/hyperlink" Target="https://eur-lex.europa.eu/eli/dir/2022/2555/oj/eng?utm_source=chatgpt.com" TargetMode="External"/><Relationship Id="rId22" Type="http://schemas.openxmlformats.org/officeDocument/2006/relationships/hyperlink" Target="https://www.iso.org/standard/27001?utm_source=chatgpt.com" TargetMode="External"/><Relationship Id="rId27" Type="http://schemas.openxmlformats.org/officeDocument/2006/relationships/hyperlink" Target="https://www.iso.org/standard/42001?utm_source=chatgpt.com" TargetMode="External"/><Relationship Id="rId30" Type="http://schemas.openxmlformats.org/officeDocument/2006/relationships/hyperlink" Target="https://link.springer.com/content/pdf/10.1007/s10207-026-01252-y.pdf" TargetMode="External"/><Relationship Id="rId35" Type="http://schemas.openxmlformats.org/officeDocument/2006/relationships/hyperlink" Target="https://doi.org/10.6028/NIST.SP.800-207" TargetMode="External"/><Relationship Id="rId8" Type="http://schemas.openxmlformats.org/officeDocument/2006/relationships/hyperlink" Target="https://dl.acm.org/doi/pdf/10.1145/3657054.3657085" TargetMode="Externa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18</Pages>
  <Words>5239</Words>
  <Characters>29866</Characters>
  <Application>Microsoft Office Word</Application>
  <DocSecurity>0</DocSecurity>
  <Lines>248</Lines>
  <Paragraphs>70</Paragraphs>
  <ScaleCrop>false</ScaleCrop>
  <Company/>
  <LinksUpToDate>false</LinksUpToDate>
  <CharactersWithSpaces>35035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Mahmmad Alfaj Munirmiya Malek (2520650)</cp:lastModifiedBy>
  <cp:revision>3</cp:revision>
  <dcterms:created xsi:type="dcterms:W3CDTF">2026-07-07T11:33:00Z</dcterms:created>
  <dcterms:modified xsi:type="dcterms:W3CDTF">2026-07-07T13:17:00Z</dcterms:modified>
</cp:coreProperties>
</file>