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830561359"/>
        <w:docPartObj>
          <w:docPartGallery w:val="Cover Pages"/>
          <w:docPartUnique/>
        </w:docPartObj>
      </w:sdtPr>
      <w:sdtContent>
        <w:p w14:paraId="0F5F0711" w14:textId="7C456C8C" w:rsidR="00E8410C" w:rsidRDefault="00E8410C">
          <w:pPr>
            <w:pStyle w:val="NoSpacing"/>
          </w:pPr>
          <w:r>
            <w:rPr>
              <w:noProof/>
            </w:rPr>
            <mc:AlternateContent>
              <mc:Choice Requires="wpg">
                <w:drawing>
                  <wp:anchor distT="0" distB="0" distL="114300" distR="114300" simplePos="0" relativeHeight="251659264" behindDoc="1" locked="0" layoutInCell="1" allowOverlap="1" wp14:anchorId="4B9ECE8C" wp14:editId="3F5677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1T00:00:00Z">
                                      <w:dateFormat w:val="M/d/yyyy"/>
                                      <w:lid w:val="en-US"/>
                                      <w:storeMappedDataAs w:val="dateTime"/>
                                      <w:calendar w:val="gregorian"/>
                                    </w:date>
                                  </w:sdtPr>
                                  <w:sdtContent>
                                    <w:p w14:paraId="17D5214C" w14:textId="4A2751D4" w:rsidR="00E8410C" w:rsidRDefault="00E8410C">
                                      <w:pPr>
                                        <w:pStyle w:val="NoSpacing"/>
                                        <w:jc w:val="right"/>
                                        <w:rPr>
                                          <w:color w:val="FFFFFF" w:themeColor="background1"/>
                                          <w:sz w:val="28"/>
                                          <w:szCs w:val="28"/>
                                        </w:rPr>
                                      </w:pPr>
                                      <w:r>
                                        <w:rPr>
                                          <w:color w:val="FFFFFF" w:themeColor="background1"/>
                                          <w:sz w:val="28"/>
                                          <w:szCs w:val="28"/>
                                        </w:rPr>
                                        <w:t>6/11/2026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9ECE8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1T00:00:00Z">
                                <w:dateFormat w:val="M/d/yyyy"/>
                                <w:lid w:val="en-US"/>
                                <w:storeMappedDataAs w:val="dateTime"/>
                                <w:calendar w:val="gregorian"/>
                              </w:date>
                            </w:sdtPr>
                            <w:sdtContent>
                              <w:p w14:paraId="17D5214C" w14:textId="4A2751D4" w:rsidR="00E8410C" w:rsidRDefault="00E8410C">
                                <w:pPr>
                                  <w:pStyle w:val="NoSpacing"/>
                                  <w:jc w:val="right"/>
                                  <w:rPr>
                                    <w:color w:val="FFFFFF" w:themeColor="background1"/>
                                    <w:sz w:val="28"/>
                                    <w:szCs w:val="28"/>
                                  </w:rPr>
                                </w:pPr>
                                <w:r>
                                  <w:rPr>
                                    <w:color w:val="FFFFFF" w:themeColor="background1"/>
                                    <w:sz w:val="28"/>
                                    <w:szCs w:val="28"/>
                                  </w:rPr>
                                  <w:t>6/11/2026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03D3CF" w14:textId="2A8149D5" w:rsidR="00691BEB" w:rsidRDefault="00B12F0E" w:rsidP="00691BEB">
          <w:r>
            <w:rPr>
              <w:noProof/>
            </w:rPr>
            <mc:AlternateContent>
              <mc:Choice Requires="wps">
                <w:drawing>
                  <wp:anchor distT="0" distB="0" distL="114300" distR="114300" simplePos="0" relativeHeight="251660288" behindDoc="0" locked="0" layoutInCell="1" allowOverlap="1" wp14:anchorId="698CB139" wp14:editId="1D235730">
                    <wp:simplePos x="0" y="0"/>
                    <wp:positionH relativeFrom="page">
                      <wp:posOffset>2800350</wp:posOffset>
                    </wp:positionH>
                    <wp:positionV relativeFrom="page">
                      <wp:posOffset>1619250</wp:posOffset>
                    </wp:positionV>
                    <wp:extent cx="4514850" cy="17145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514850" cy="171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B19BF" w14:textId="6FD4806F" w:rsidR="00E8410C" w:rsidRPr="0070571E" w:rsidRDefault="00000000" w:rsidP="00B12F0E">
                                <w:pPr>
                                  <w:pStyle w:val="NoSpacing"/>
                                  <w:jc w:val="center"/>
                                  <w:rPr>
                                    <w:rFonts w:ascii="Arial" w:eastAsiaTheme="majorEastAsia" w:hAnsi="Arial" w:cs="Arial"/>
                                    <w:color w:val="262626" w:themeColor="text1" w:themeTint="D9"/>
                                    <w:sz w:val="72"/>
                                    <w:u w:val="single"/>
                                  </w:rPr>
                                </w:pPr>
                                <w:sdt>
                                  <w:sdtPr>
                                    <w:rPr>
                                      <w:rFonts w:ascii="Arial" w:eastAsiaTheme="majorEastAsia" w:hAnsi="Arial" w:cs="Arial"/>
                                      <w:color w:val="262626" w:themeColor="text1" w:themeTint="D9"/>
                                      <w:kern w:val="2"/>
                                      <w:sz w:val="72"/>
                                      <w:szCs w:val="72"/>
                                      <w:u w:val="single"/>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410C" w:rsidRPr="0070571E">
                                      <w:rPr>
                                        <w:rFonts w:ascii="Arial" w:eastAsiaTheme="majorEastAsia" w:hAnsi="Arial" w:cs="Arial"/>
                                        <w:color w:val="262626" w:themeColor="text1" w:themeTint="D9"/>
                                        <w:kern w:val="2"/>
                                        <w:sz w:val="72"/>
                                        <w:szCs w:val="72"/>
                                        <w:u w:val="single"/>
                                        <w:lang w:val="en-GB"/>
                                        <w14:ligatures w14:val="standardContextual"/>
                                      </w:rPr>
                                      <w:t>BMHP5016</w:t>
                                    </w:r>
                                    <w:r w:rsidR="00B12F0E">
                                      <w:rPr>
                                        <w:rFonts w:ascii="Arial" w:eastAsiaTheme="majorEastAsia" w:hAnsi="Arial" w:cs="Arial"/>
                                        <w:color w:val="262626" w:themeColor="text1" w:themeTint="D9"/>
                                        <w:kern w:val="2"/>
                                        <w:sz w:val="72"/>
                                        <w:szCs w:val="72"/>
                                        <w:u w:val="single"/>
                                        <w:lang w:val="en-GB"/>
                                        <w14:ligatures w14:val="standardContextual"/>
                                      </w:rPr>
                                      <w:t xml:space="preserve">- </w:t>
                                    </w:r>
                                    <w:r w:rsidR="00E8410C" w:rsidRPr="0070571E">
                                      <w:rPr>
                                        <w:rFonts w:ascii="Arial" w:eastAsiaTheme="majorEastAsia" w:hAnsi="Arial" w:cs="Arial"/>
                                        <w:color w:val="262626" w:themeColor="text1" w:themeTint="D9"/>
                                        <w:kern w:val="2"/>
                                        <w:sz w:val="72"/>
                                        <w:szCs w:val="72"/>
                                        <w:u w:val="single"/>
                                        <w:lang w:val="en-GB"/>
                                        <w14:ligatures w14:val="standardContextual"/>
                                      </w:rPr>
                                      <w:t>Principles of Health and Social Care</w:t>
                                    </w:r>
                                  </w:sdtContent>
                                </w:sdt>
                              </w:p>
                              <w:p w14:paraId="4C77634B" w14:textId="026BEE1C" w:rsidR="00E8410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841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8CB139" id="_x0000_t202" coordsize="21600,21600" o:spt="202" path="m,l,21600r21600,l21600,xe">
                    <v:stroke joinstyle="miter"/>
                    <v:path gradientshapeok="t" o:connecttype="rect"/>
                  </v:shapetype>
                  <v:shape id="Text Box 30" o:spid="_x0000_s1055" type="#_x0000_t202" style="position:absolute;margin-left:220.5pt;margin-top:127.5pt;width:355.5pt;height:1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" filled="f" stroked="f" strokeweight=".5pt">
                    <v:textbox inset="0,0,0,0">
                      <w:txbxContent>
                        <w:p w14:paraId="0CDB19BF" w14:textId="6FD4806F" w:rsidR="00E8410C" w:rsidRPr="0070571E" w:rsidRDefault="00000000" w:rsidP="00B12F0E">
                          <w:pPr>
                            <w:pStyle w:val="NoSpacing"/>
                            <w:jc w:val="center"/>
                            <w:rPr>
                              <w:rFonts w:ascii="Arial" w:eastAsiaTheme="majorEastAsia" w:hAnsi="Arial" w:cs="Arial"/>
                              <w:color w:val="262626" w:themeColor="text1" w:themeTint="D9"/>
                              <w:sz w:val="72"/>
                              <w:u w:val="single"/>
                            </w:rPr>
                          </w:pPr>
                          <w:sdt>
                            <w:sdtPr>
                              <w:rPr>
                                <w:rFonts w:ascii="Arial" w:eastAsiaTheme="majorEastAsia" w:hAnsi="Arial" w:cs="Arial"/>
                                <w:color w:val="262626" w:themeColor="text1" w:themeTint="D9"/>
                                <w:kern w:val="2"/>
                                <w:sz w:val="72"/>
                                <w:szCs w:val="72"/>
                                <w:u w:val="single"/>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410C" w:rsidRPr="0070571E">
                                <w:rPr>
                                  <w:rFonts w:ascii="Arial" w:eastAsiaTheme="majorEastAsia" w:hAnsi="Arial" w:cs="Arial"/>
                                  <w:color w:val="262626" w:themeColor="text1" w:themeTint="D9"/>
                                  <w:kern w:val="2"/>
                                  <w:sz w:val="72"/>
                                  <w:szCs w:val="72"/>
                                  <w:u w:val="single"/>
                                  <w:lang w:val="en-GB"/>
                                  <w14:ligatures w14:val="standardContextual"/>
                                </w:rPr>
                                <w:t>BMHP5016</w:t>
                              </w:r>
                              <w:r w:rsidR="00B12F0E">
                                <w:rPr>
                                  <w:rFonts w:ascii="Arial" w:eastAsiaTheme="majorEastAsia" w:hAnsi="Arial" w:cs="Arial"/>
                                  <w:color w:val="262626" w:themeColor="text1" w:themeTint="D9"/>
                                  <w:kern w:val="2"/>
                                  <w:sz w:val="72"/>
                                  <w:szCs w:val="72"/>
                                  <w:u w:val="single"/>
                                  <w:lang w:val="en-GB"/>
                                  <w14:ligatures w14:val="standardContextual"/>
                                </w:rPr>
                                <w:t xml:space="preserve">- </w:t>
                              </w:r>
                              <w:r w:rsidR="00E8410C" w:rsidRPr="0070571E">
                                <w:rPr>
                                  <w:rFonts w:ascii="Arial" w:eastAsiaTheme="majorEastAsia" w:hAnsi="Arial" w:cs="Arial"/>
                                  <w:color w:val="262626" w:themeColor="text1" w:themeTint="D9"/>
                                  <w:kern w:val="2"/>
                                  <w:sz w:val="72"/>
                                  <w:szCs w:val="72"/>
                                  <w:u w:val="single"/>
                                  <w:lang w:val="en-GB"/>
                                  <w14:ligatures w14:val="standardContextual"/>
                                </w:rPr>
                                <w:t>Principles of Health and Social Care</w:t>
                              </w:r>
                            </w:sdtContent>
                          </w:sdt>
                        </w:p>
                        <w:p w14:paraId="4C77634B" w14:textId="026BEE1C" w:rsidR="00E8410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8410C">
                                <w:rPr>
                                  <w:color w:val="404040" w:themeColor="text1" w:themeTint="BF"/>
                                  <w:sz w:val="36"/>
                                  <w:szCs w:val="36"/>
                                </w:rPr>
                                <w:t xml:space="preserve">     </w:t>
                              </w:r>
                            </w:sdtContent>
                          </w:sdt>
                        </w:p>
                      </w:txbxContent>
                    </v:textbox>
                    <w10:wrap anchorx="page" anchory="page"/>
                  </v:shape>
                </w:pict>
              </mc:Fallback>
            </mc:AlternateContent>
          </w:r>
          <w:r w:rsidR="0070571E">
            <w:rPr>
              <w:noProof/>
            </w:rPr>
            <mc:AlternateContent>
              <mc:Choice Requires="wps">
                <w:drawing>
                  <wp:anchor distT="45720" distB="45720" distL="114300" distR="114300" simplePos="0" relativeHeight="251663360" behindDoc="0" locked="0" layoutInCell="1" allowOverlap="1" wp14:anchorId="69E1951B" wp14:editId="0E694CD1">
                    <wp:simplePos x="0" y="0"/>
                    <wp:positionH relativeFrom="margin">
                      <wp:align>right</wp:align>
                    </wp:positionH>
                    <wp:positionV relativeFrom="paragraph">
                      <wp:posOffset>3518535</wp:posOffset>
                    </wp:positionV>
                    <wp:extent cx="4070350" cy="8001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0350" cy="800100"/>
                            </a:xfrm>
                            <a:prstGeom prst="rect">
                              <a:avLst/>
                            </a:prstGeom>
                            <a:solidFill>
                              <a:srgbClr val="FFFFFF"/>
                            </a:solidFill>
                            <a:ln w="9525">
                              <a:solidFill>
                                <a:srgbClr val="000000"/>
                              </a:solidFill>
                              <a:miter lim="800000"/>
                              <a:headEnd/>
                              <a:tailEnd/>
                            </a:ln>
                          </wps:spPr>
                          <wps:txbx>
                            <w:txbxContent>
                              <w:p w14:paraId="745288D2" w14:textId="3C10EC56" w:rsidR="0070571E" w:rsidRPr="0070571E" w:rsidRDefault="0070571E">
                                <w:pPr>
                                  <w:rPr>
                                    <w:rFonts w:ascii="Arial" w:hAnsi="Arial" w:cs="Arial"/>
                                    <w:sz w:val="40"/>
                                    <w:szCs w:val="40"/>
                                  </w:rPr>
                                </w:pPr>
                                <w:r w:rsidRPr="0070571E">
                                  <w:rPr>
                                    <w:b/>
                                    <w:bCs/>
                                    <w:sz w:val="40"/>
                                    <w:szCs w:val="40"/>
                                  </w:rPr>
                                  <w:t xml:space="preserve">       </w:t>
                                </w:r>
                                <w:r w:rsidRPr="0070571E">
                                  <w:rPr>
                                    <w:rFonts w:ascii="Arial" w:hAnsi="Arial" w:cs="Arial"/>
                                    <w:b/>
                                    <w:bCs/>
                                    <w:sz w:val="40"/>
                                    <w:szCs w:val="40"/>
                                  </w:rPr>
                                  <w:t>Component 1 – Written Assignment (Reflective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E1951B" id="Text Box 2" o:spid="_x0000_s1056" type="#_x0000_t202" style="position:absolute;margin-left:269.3pt;margin-top:277.05pt;width:320.5pt;height:63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">
                    <v:textbox>
                      <w:txbxContent>
                        <w:p w14:paraId="745288D2" w14:textId="3C10EC56" w:rsidR="0070571E" w:rsidRPr="0070571E" w:rsidRDefault="0070571E">
                          <w:pPr>
                            <w:rPr>
                              <w:rFonts w:ascii="Arial" w:hAnsi="Arial" w:cs="Arial"/>
                              <w:sz w:val="40"/>
                              <w:szCs w:val="40"/>
                            </w:rPr>
                          </w:pPr>
                          <w:r w:rsidRPr="0070571E">
                            <w:rPr>
                              <w:b/>
                              <w:bCs/>
                              <w:sz w:val="40"/>
                              <w:szCs w:val="40"/>
                            </w:rPr>
                            <w:t xml:space="preserve">       </w:t>
                          </w:r>
                          <w:r w:rsidRPr="0070571E">
                            <w:rPr>
                              <w:rFonts w:ascii="Arial" w:hAnsi="Arial" w:cs="Arial"/>
                              <w:b/>
                              <w:bCs/>
                              <w:sz w:val="40"/>
                              <w:szCs w:val="40"/>
                            </w:rPr>
                            <w:t>Component 1 – Written Assignment (Reflective Report)</w:t>
                          </w:r>
                        </w:p>
                      </w:txbxContent>
                    </v:textbox>
                    <w10:wrap type="square" anchorx="margin"/>
                  </v:shape>
                </w:pict>
              </mc:Fallback>
            </mc:AlternateContent>
          </w:r>
          <w:r w:rsidR="0070571E">
            <w:rPr>
              <w:noProof/>
            </w:rPr>
            <mc:AlternateContent>
              <mc:Choice Requires="wps">
                <w:drawing>
                  <wp:anchor distT="0" distB="0" distL="114300" distR="114300" simplePos="0" relativeHeight="251661312" behindDoc="0" locked="0" layoutInCell="1" allowOverlap="1" wp14:anchorId="4D05774F" wp14:editId="4FD78802">
                    <wp:simplePos x="0" y="0"/>
                    <wp:positionH relativeFrom="page">
                      <wp:posOffset>2686685</wp:posOffset>
                    </wp:positionH>
                    <wp:positionV relativeFrom="margin">
                      <wp:align>bottom</wp:align>
                    </wp:positionV>
                    <wp:extent cx="4502150" cy="365760"/>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45021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94C325" w14:textId="60E60FB0" w:rsidR="00E8410C" w:rsidRPr="0070571E" w:rsidRDefault="00000000">
                                <w:pPr>
                                  <w:pStyle w:val="NoSpacing"/>
                                  <w:rPr>
                                    <w:rFonts w:ascii="Arial" w:hAnsi="Arial" w:cs="Arial"/>
                                    <w:color w:val="4472C4" w:themeColor="accent1"/>
                                    <w:sz w:val="52"/>
                                    <w:szCs w:val="52"/>
                                  </w:rPr>
                                </w:pPr>
                                <w:sdt>
                                  <w:sdtPr>
                                    <w:rPr>
                                      <w:rFonts w:ascii="Arial" w:hAnsi="Arial" w:cs="Arial"/>
                                      <w:color w:val="4472C4"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10C" w:rsidRPr="0070571E">
                                      <w:rPr>
                                        <w:rFonts w:ascii="Arial" w:hAnsi="Arial" w:cs="Arial"/>
                                        <w:color w:val="4472C4" w:themeColor="accent1"/>
                                        <w:sz w:val="52"/>
                                        <w:szCs w:val="52"/>
                                      </w:rPr>
                                      <w:t>Haleemah Akhtar (2432717)</w:t>
                                    </w:r>
                                  </w:sdtContent>
                                </w:sdt>
                              </w:p>
                              <w:p w14:paraId="610F2E58" w14:textId="5563B932" w:rsidR="00E8410C" w:rsidRPr="0070571E" w:rsidRDefault="00000000">
                                <w:pPr>
                                  <w:pStyle w:val="NoSpacing"/>
                                  <w:rPr>
                                    <w:rFonts w:ascii="Arial" w:hAnsi="Arial" w:cs="Arial"/>
                                    <w:color w:val="595959" w:themeColor="text1" w:themeTint="A6"/>
                                    <w:sz w:val="52"/>
                                    <w:szCs w:val="52"/>
                                  </w:rPr>
                                </w:pPr>
                                <w:sdt>
                                  <w:sdtPr>
                                    <w:rPr>
                                      <w:rFonts w:ascii="Arial" w:hAnsi="Arial" w:cs="Arial"/>
                                      <w:caps/>
                                      <w:color w:val="595959" w:themeColor="text1" w:themeTint="A6"/>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71E" w:rsidRPr="0070571E">
                                      <w:rPr>
                                        <w:rFonts w:ascii="Arial" w:hAnsi="Arial" w:cs="Arial"/>
                                        <w:caps/>
                                        <w:color w:val="595959" w:themeColor="text1" w:themeTint="A6"/>
                                        <w:sz w:val="52"/>
                                        <w:szCs w:val="52"/>
                                      </w:rPr>
                                      <w:t xml:space="preserve">     </w:t>
                                    </w:r>
                                  </w:sdtContent>
                                </w:sdt>
                                <w:r w:rsidR="00B12F0E">
                                  <w:rPr>
                                    <w:rFonts w:ascii="Arial" w:hAnsi="Arial" w:cs="Arial"/>
                                    <w:caps/>
                                    <w:color w:val="595959" w:themeColor="text1" w:themeTint="A6"/>
                                    <w:sz w:val="52"/>
                                    <w:szCs w:val="52"/>
                                  </w:rPr>
                                  <w:t>Word Count:2106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D05774F" id="Text Box 28" o:spid="_x0000_s1057" type="#_x0000_t202" style="position:absolute;margin-left:211.55pt;margin-top:0;width:354.5pt;height:28.8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" filled="f" stroked="f" strokeweight=".5pt">
                    <v:textbox style="mso-fit-shape-to-text:t" inset="0,0,0,0">
                      <w:txbxContent>
                        <w:p w14:paraId="3794C325" w14:textId="60E60FB0" w:rsidR="00E8410C" w:rsidRPr="0070571E" w:rsidRDefault="00000000">
                          <w:pPr>
                            <w:pStyle w:val="NoSpacing"/>
                            <w:rPr>
                              <w:rFonts w:ascii="Arial" w:hAnsi="Arial" w:cs="Arial"/>
                              <w:color w:val="4472C4" w:themeColor="accent1"/>
                              <w:sz w:val="52"/>
                              <w:szCs w:val="52"/>
                            </w:rPr>
                          </w:pPr>
                          <w:sdt>
                            <w:sdtPr>
                              <w:rPr>
                                <w:rFonts w:ascii="Arial" w:hAnsi="Arial" w:cs="Arial"/>
                                <w:color w:val="4472C4"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10C" w:rsidRPr="0070571E">
                                <w:rPr>
                                  <w:rFonts w:ascii="Arial" w:hAnsi="Arial" w:cs="Arial"/>
                                  <w:color w:val="4472C4" w:themeColor="accent1"/>
                                  <w:sz w:val="52"/>
                                  <w:szCs w:val="52"/>
                                </w:rPr>
                                <w:t>Haleemah Akhtar (2432717)</w:t>
                              </w:r>
                            </w:sdtContent>
                          </w:sdt>
                        </w:p>
                        <w:p w14:paraId="610F2E58" w14:textId="5563B932" w:rsidR="00E8410C" w:rsidRPr="0070571E" w:rsidRDefault="00000000">
                          <w:pPr>
                            <w:pStyle w:val="NoSpacing"/>
                            <w:rPr>
                              <w:rFonts w:ascii="Arial" w:hAnsi="Arial" w:cs="Arial"/>
                              <w:color w:val="595959" w:themeColor="text1" w:themeTint="A6"/>
                              <w:sz w:val="52"/>
                              <w:szCs w:val="52"/>
                            </w:rPr>
                          </w:pPr>
                          <w:sdt>
                            <w:sdtPr>
                              <w:rPr>
                                <w:rFonts w:ascii="Arial" w:hAnsi="Arial" w:cs="Arial"/>
                                <w:caps/>
                                <w:color w:val="595959" w:themeColor="text1" w:themeTint="A6"/>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71E" w:rsidRPr="0070571E">
                                <w:rPr>
                                  <w:rFonts w:ascii="Arial" w:hAnsi="Arial" w:cs="Arial"/>
                                  <w:caps/>
                                  <w:color w:val="595959" w:themeColor="text1" w:themeTint="A6"/>
                                  <w:sz w:val="52"/>
                                  <w:szCs w:val="52"/>
                                </w:rPr>
                                <w:t xml:space="preserve">     </w:t>
                              </w:r>
                            </w:sdtContent>
                          </w:sdt>
                          <w:r w:rsidR="00B12F0E">
                            <w:rPr>
                              <w:rFonts w:ascii="Arial" w:hAnsi="Arial" w:cs="Arial"/>
                              <w:caps/>
                              <w:color w:val="595959" w:themeColor="text1" w:themeTint="A6"/>
                              <w:sz w:val="52"/>
                              <w:szCs w:val="52"/>
                            </w:rPr>
                            <w:t>Word Count:2106</w:t>
                          </w:r>
                        </w:p>
                      </w:txbxContent>
                    </v:textbox>
                    <w10:wrap anchorx="page" anchory="margin"/>
                  </v:shape>
                </w:pict>
              </mc:Fallback>
            </mc:AlternateContent>
          </w:r>
          <w:r w:rsidR="00E8410C">
            <w:br w:type="page"/>
          </w:r>
        </w:p>
        <w:p w14:paraId="41E975B9" w14:textId="77777777" w:rsidR="00691BEB" w:rsidRDefault="00000000" w:rsidP="00691BEB"/>
      </w:sdtContent>
    </w:sdt>
    <w:p w14:paraId="24B505FC" w14:textId="79580CA1" w:rsidR="00691BEB" w:rsidRPr="00B12F0E" w:rsidRDefault="00691BEB" w:rsidP="00B12F0E">
      <w:pPr>
        <w:spacing w:line="360" w:lineRule="auto"/>
        <w:rPr>
          <w:rFonts w:ascii="Arial" w:hAnsi="Arial" w:cs="Arial"/>
          <w:sz w:val="22"/>
          <w:szCs w:val="22"/>
        </w:rPr>
      </w:pPr>
      <w:r w:rsidRPr="00B12F0E">
        <w:rPr>
          <w:rFonts w:ascii="Arial" w:hAnsi="Arial" w:cs="Arial"/>
          <w:b/>
          <w:bCs/>
          <w:sz w:val="22"/>
          <w:szCs w:val="22"/>
          <w:u w:val="single"/>
        </w:rPr>
        <w:t>Introduction</w:t>
      </w:r>
    </w:p>
    <w:p w14:paraId="74D9BBC1" w14:textId="0C4CBB1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The principles of health and social care underpin the delivery of safe, effective and high-quality services across the United Kingdom. Person-centred care, partnership working and ethical practice are central to ensuring care is tailored to individual needs while promoting dignity, autonomy and positive outcomes (Health and Care</w:t>
      </w:r>
      <w:r w:rsidR="007E2FD5">
        <w:rPr>
          <w:rFonts w:ascii="Arial" w:hAnsi="Arial" w:cs="Arial"/>
          <w:sz w:val="22"/>
          <w:szCs w:val="22"/>
        </w:rPr>
        <w:t xml:space="preserve"> Act</w:t>
      </w:r>
      <w:r w:rsidRPr="00B12F0E">
        <w:rPr>
          <w:rFonts w:ascii="Arial" w:hAnsi="Arial" w:cs="Arial"/>
          <w:sz w:val="22"/>
          <w:szCs w:val="22"/>
        </w:rPr>
        <w:t>, 2022). As health and social care needs become increasingly complex, professionals must work collaboratively and make ethical decisions that support both individual wellbeing and safe practice.</w:t>
      </w:r>
    </w:p>
    <w:p w14:paraId="4AADEF9E" w14:textId="4EDC0CD7" w:rsidR="00B52FAC" w:rsidRPr="00B12F0E" w:rsidRDefault="00B45861" w:rsidP="00B12F0E">
      <w:pPr>
        <w:spacing w:line="360" w:lineRule="auto"/>
        <w:rPr>
          <w:rFonts w:ascii="Arial" w:hAnsi="Arial" w:cs="Arial"/>
          <w:sz w:val="22"/>
          <w:szCs w:val="22"/>
        </w:rPr>
      </w:pPr>
      <w:r w:rsidRPr="00B12F0E">
        <w:rPr>
          <w:rFonts w:ascii="Arial" w:hAnsi="Arial" w:cs="Arial"/>
          <w:sz w:val="22"/>
          <w:szCs w:val="22"/>
        </w:rPr>
        <w:t>This report critically examines the importance of person-centred care, partnership working and ethics within UK health and social care. It evaluates how these principles contribute to quality care, explores challenges associated with their implementation, and applies them to Joan's case study to demonstrate their impact in practice. The report also reflects on how these principles can influence future professional practice and development within health and social care.</w:t>
      </w:r>
    </w:p>
    <w:p w14:paraId="7FBD42D0" w14:textId="77777777" w:rsidR="00B45861" w:rsidRPr="00B12F0E" w:rsidRDefault="00B45861" w:rsidP="00B12F0E">
      <w:pPr>
        <w:spacing w:line="360" w:lineRule="auto"/>
        <w:rPr>
          <w:rFonts w:ascii="Arial" w:hAnsi="Arial" w:cs="Arial"/>
          <w:sz w:val="22"/>
          <w:szCs w:val="22"/>
        </w:rPr>
      </w:pPr>
    </w:p>
    <w:p w14:paraId="5DBD0A54" w14:textId="301D2CDE" w:rsidR="00691BEB" w:rsidRPr="00B12F0E" w:rsidRDefault="00691BEB" w:rsidP="00B12F0E">
      <w:pPr>
        <w:spacing w:line="360" w:lineRule="auto"/>
        <w:rPr>
          <w:rFonts w:ascii="Arial" w:hAnsi="Arial" w:cs="Arial"/>
          <w:b/>
          <w:bCs/>
          <w:sz w:val="22"/>
          <w:szCs w:val="22"/>
          <w:u w:val="single"/>
        </w:rPr>
      </w:pPr>
      <w:r w:rsidRPr="00B12F0E">
        <w:rPr>
          <w:rFonts w:ascii="Arial" w:hAnsi="Arial" w:cs="Arial"/>
          <w:b/>
          <w:bCs/>
          <w:sz w:val="22"/>
          <w:szCs w:val="22"/>
          <w:u w:val="single"/>
        </w:rPr>
        <w:t>Task 1: Reflection on the Importance of Principles of Health and Social Care</w:t>
      </w:r>
    </w:p>
    <w:p w14:paraId="2D6D2B46"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Person-Centred Care</w:t>
      </w:r>
    </w:p>
    <w:p w14:paraId="411E4E45"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Person-centred care is a key principle of health and social care that places individuals at the centre of decisions about their care and support. NHS England (2024) states that personalised care should give people greater choice and control over their health and wellbeing, which reflects the wellbeing principles of the Care Act 2014, including dignity, independence and individual choice.</w:t>
      </w:r>
    </w:p>
    <w:p w14:paraId="42AD7932"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The importance of person-centred care can be linked to Maslow's (1943) Hierarchy of Needs, which highlights that wellbeing extends beyond physical health to include emotional, social and psychological needs. As a result, professionals are encouraged to adopt a holistic approach rather than focusing solely on a person's condition.</w:t>
      </w:r>
    </w:p>
    <w:p w14:paraId="6685F5B8"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 xml:space="preserve">Research suggests that person-centred care can improve engagement, satisfaction and self-management of long-term conditions (Santana et al., 2018). Skills for Care (2024) also emphasises that involving individuals in decisions can promote independence and better outcomes. However, despite these benefits, delivering truly person-centred care can be difficult in practice. Staff shortages, increasing demand and limited resources may restrict opportunities for meaningful engagement, while individual preferences may not always align with available services or clinical recommendations. Therefore, achieving person-centred </w:t>
      </w:r>
      <w:r w:rsidRPr="00B12F0E">
        <w:rPr>
          <w:rFonts w:ascii="Arial" w:hAnsi="Arial" w:cs="Arial"/>
          <w:sz w:val="22"/>
          <w:szCs w:val="22"/>
        </w:rPr>
        <w:lastRenderedPageBreak/>
        <w:t>care requires professionals to balance organisational pressures with the needs and wishes of the individual (SCIE, 2023).</w:t>
      </w:r>
    </w:p>
    <w:p w14:paraId="5834DDE5" w14:textId="6E2A442A"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Partnership Working</w:t>
      </w:r>
    </w:p>
    <w:p w14:paraId="56EEE60A"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Partnership working involves professionals, organisations, families and service users working together to achieve shared goals and improve outcomes. It has become increasingly important due to the complex nature of modern health and social care, where individuals often require support from multiple services. The Health and Care Act 2022 reinforced the importance of integrated care systems to improve coordination between organisations.</w:t>
      </w:r>
    </w:p>
    <w:p w14:paraId="25FBEDC5"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A key benefit of partnership working is that it allows professionals to combine their knowledge and expertise, creating a more holistic understanding of an individual's needs. Reeves et al. (2017) suggest that interprofessional collaboration can improve communication, reduce duplication of services and support continuity of care, particularly for individuals with long-term conditions.</w:t>
      </w:r>
    </w:p>
    <w:p w14:paraId="1C9092ED" w14:textId="7B8DE43E"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 xml:space="preserve">However, effective partnership working is not always achieved in practice. Differences in professional priorities, organisational cultures and communication systems can create barriers to collaboration. In addition, unclear roles and poor information-sharing may affect the quality of care provided (Reeves et al., 2017). Although the Health and Care Act 2022 </w:t>
      </w:r>
      <w:proofErr w:type="gramStart"/>
      <w:r w:rsidRPr="00B12F0E">
        <w:rPr>
          <w:rFonts w:ascii="Arial" w:hAnsi="Arial" w:cs="Arial"/>
          <w:sz w:val="22"/>
          <w:szCs w:val="22"/>
        </w:rPr>
        <w:t>promotes</w:t>
      </w:r>
      <w:proofErr w:type="gramEnd"/>
      <w:r w:rsidRPr="00B12F0E">
        <w:rPr>
          <w:rFonts w:ascii="Arial" w:hAnsi="Arial" w:cs="Arial"/>
          <w:sz w:val="22"/>
          <w:szCs w:val="22"/>
        </w:rPr>
        <w:t xml:space="preserve"> integrated working, legislation alone cannot guarantee successful collaboration. Therefore, effective partnership working depends on professionals developing trust, communication and mutual respect to achieve the best outcomes for service users.</w:t>
      </w:r>
    </w:p>
    <w:p w14:paraId="6C8725E9"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Ethics in Health and Social Care</w:t>
      </w:r>
    </w:p>
    <w:p w14:paraId="27696709"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Ethics plays an important role in guiding decision-making and professional conduct within health and social care. Ethical practice is commonly based on the principles of autonomy, beneficence, non-maleficence and justice (Beauchamp and Childress, 2019), which help professionals balance individual rights with the responsibility to provide safe and effective care.</w:t>
      </w:r>
    </w:p>
    <w:p w14:paraId="11A29C04"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Respect for autonomy is particularly important as it recognises an individual's right to make informed decisions about their own care. However, ethical dilemmas can arise when a person's choices conflict with professional concerns regarding safety or wellbeing. In these situations, professionals must balance respect for autonomy with their duty of care and consider both ethical and legal responsibilities.</w:t>
      </w:r>
    </w:p>
    <w:p w14:paraId="2647ED77"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 xml:space="preserve">Ethical practice also promotes trust, fairness and equality, which are essential for effective therapeutic relationships. However, decision-making is often complex, particularly when </w:t>
      </w:r>
      <w:r w:rsidRPr="00B12F0E">
        <w:rPr>
          <w:rFonts w:ascii="Arial" w:hAnsi="Arial" w:cs="Arial"/>
          <w:sz w:val="22"/>
          <w:szCs w:val="22"/>
        </w:rPr>
        <w:lastRenderedPageBreak/>
        <w:t>service users, families and professionals hold different views about what is in a person's best interests. Therefore, professionals must use legislation, professional standards and reflective practice to support their judgement. This demonstrates that ethics extends beyond following rules and requires ongoing critical reflection within complex care settings.</w:t>
      </w:r>
    </w:p>
    <w:p w14:paraId="22C3230A"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Overall, person-centred care, partnership working and ethics are interconnected principles that support effective health and social care practice. Although they can improve care quality and outcomes, professionals must continually balance practical, organisational and ethical challenges when applying them in practice.</w:t>
      </w:r>
    </w:p>
    <w:p w14:paraId="06292B35" w14:textId="77777777" w:rsidR="00B45861" w:rsidRPr="00B12F0E" w:rsidRDefault="00B45861" w:rsidP="00B12F0E">
      <w:pPr>
        <w:spacing w:line="360" w:lineRule="auto"/>
        <w:rPr>
          <w:rFonts w:ascii="Arial" w:hAnsi="Arial" w:cs="Arial"/>
          <w:sz w:val="22"/>
          <w:szCs w:val="22"/>
        </w:rPr>
      </w:pPr>
    </w:p>
    <w:p w14:paraId="3328076A" w14:textId="3323F98B" w:rsidR="006E5701" w:rsidRPr="00B12F0E" w:rsidRDefault="006E5701" w:rsidP="00B12F0E">
      <w:pPr>
        <w:spacing w:line="360" w:lineRule="auto"/>
        <w:rPr>
          <w:rFonts w:ascii="Arial" w:hAnsi="Arial" w:cs="Arial"/>
          <w:sz w:val="22"/>
          <w:szCs w:val="22"/>
        </w:rPr>
      </w:pPr>
      <w:r w:rsidRPr="00B12F0E">
        <w:rPr>
          <w:rFonts w:ascii="Arial" w:hAnsi="Arial" w:cs="Arial"/>
          <w:b/>
          <w:bCs/>
          <w:sz w:val="22"/>
          <w:szCs w:val="22"/>
          <w:u w:val="single"/>
        </w:rPr>
        <w:t>Task 2: Practical Example of Principles in Practice</w:t>
      </w:r>
    </w:p>
    <w:p w14:paraId="2BCF9FA9"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Joan's case study demonstrates how person-centred care, partnership working and ethical practice can improve outcomes for individuals with long-term conditions. Despite understanding the benefits of pulmonary rehabilitation for her COPD, Joan frequently missed appointments and experienced repeated emergency admissions. While this could initially be viewed as disengagement, further assessment identified underlying barriers affecting her ability to manage her condition, highlighting the importance of understanding the individual rather than assuming non-compliance. NICE (2024) identifies pulmonary rehabilitation as an important aspect of COPD management, emphasising the significance of the support offered to Joan.</w:t>
      </w:r>
    </w:p>
    <w:p w14:paraId="572CEC7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Person-centred care was demonstrated when professionals explored Joan's wider circumstances rather than focusing solely on her COPD. NHS England (2024) states that personalised care should focus on what matters most to the individual, and this approach revealed that her unmanaged Crohn's disease was affecting her confidence to leave the house. This supports Maslow's (1943) theory that unmet needs in one area of life can affect wellbeing in another. Had professionals focused only on Joan's respiratory condition, the underlying cause of her poor engagement may have remained unresolved. The success of the intervention therefore resulted from recognising Joan's wider needs rather than simply treating her symptoms.</w:t>
      </w:r>
    </w:p>
    <w:p w14:paraId="717945EF"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 xml:space="preserve">Partnership working was also central to improving outcomes. Collaboration between Joan, the therapy team and her GP enabled professionals to identify barriers and develop a coordinated care plan. Reeves et al. (2017) suggest that interprofessional collaboration improves communication and supports more effective care. In Joan's case, the therapy team identified the problem while the GP addressed her Crohn's disease management. However, it could be argued that earlier identification of these issues may have prevented some of </w:t>
      </w:r>
      <w:r w:rsidRPr="00B12F0E">
        <w:rPr>
          <w:rFonts w:ascii="Arial" w:hAnsi="Arial" w:cs="Arial"/>
          <w:sz w:val="22"/>
          <w:szCs w:val="22"/>
        </w:rPr>
        <w:lastRenderedPageBreak/>
        <w:t>Joan's hospital admissions, highlighting the risks associated with fragmented care. Nevertheless, the case demonstrates the value of integrated working promoted by the Health and Care Act 2022.</w:t>
      </w:r>
    </w:p>
    <w:p w14:paraId="547CC973" w14:textId="0B570794"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Ethical practice was evident through the respect shown for Joan's autonomy. Rather than labelling her as non-compliant, professionals sought to understand her perspective and involve her in decision-making.</w:t>
      </w:r>
      <w:r w:rsidR="00B12F0E" w:rsidRPr="00B12F0E">
        <w:rPr>
          <w:rFonts w:ascii="Arial" w:hAnsi="Arial" w:cs="Arial"/>
          <w:sz w:val="22"/>
          <w:szCs w:val="22"/>
        </w:rPr>
        <w:t xml:space="preserve"> This reflects the principles of shared decision-making, which Barry and Edgman-Levitan (2012) identify as central to person-centred healthcare.</w:t>
      </w:r>
      <w:r w:rsidRPr="00B12F0E">
        <w:rPr>
          <w:rFonts w:ascii="Arial" w:hAnsi="Arial" w:cs="Arial"/>
          <w:sz w:val="22"/>
          <w:szCs w:val="22"/>
        </w:rPr>
        <w:t xml:space="preserve"> This reflected the principles of autonomy and beneficence by supporting Joan to make informed choices while promoting her wellbeing (Beauchamp and Childress, 2019). Although tension can arise between encouraging treatment adherence and respecting individual choice, professionals balanced these responsibilities through support and shared decision-making rather than imposing decisions.</w:t>
      </w:r>
    </w:p>
    <w:p w14:paraId="524922B5"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The effectiveness of these approaches is reflected in the outcomes achieved. Joan's PAM score increased by more than 40%, her attendance at appointments improved and emergency admissions reduced. While these changes may appear modest, they significantly improved her independence and quality of life. The case highlights how person-centred care, partnership working and ethical practice can work together to improve outcomes by addressing the wider factors influencing an individual's health and engagement with services.</w:t>
      </w:r>
    </w:p>
    <w:p w14:paraId="1FA31BCB" w14:textId="77777777" w:rsidR="006E5701" w:rsidRPr="00B12F0E" w:rsidRDefault="006E5701" w:rsidP="00B12F0E">
      <w:pPr>
        <w:spacing w:line="360" w:lineRule="auto"/>
        <w:rPr>
          <w:rFonts w:ascii="Arial" w:hAnsi="Arial" w:cs="Arial"/>
          <w:sz w:val="22"/>
          <w:szCs w:val="22"/>
        </w:rPr>
      </w:pPr>
    </w:p>
    <w:p w14:paraId="75370C94"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Task 3: Self-Reflection as a Health and Social Care Professional</w:t>
      </w:r>
    </w:p>
    <w:p w14:paraId="50DFD807"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Reflecting on person-centred care, partnership working and ethical practice has strengthened my understanding of their importance within health and social care. Using Gibbs' (1988) Reflective Cycle, I have considered how these principles may influence my future practice and identified areas where I can continue to develop professionally. Studying Joan's case highlighted that effective care extends beyond treating a condition and requires professionals to understand the wider factors influencing a person's health and wellbeing.</w:t>
      </w:r>
    </w:p>
    <w:p w14:paraId="366F54B8"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One of the main lessons I have learned is the importance of person-centred care. Joan's case demonstrated how assumptions about service-user behaviour can lead professionals to overlook underlying issues affecting engagement. Her difficulties were initially linked to COPD, yet the main barrier was her unmanaged Crohn's disease. This reinforced the importance of understanding an individual's circumstances, preferences and experiences before making decisions about their care.</w:t>
      </w:r>
    </w:p>
    <w:p w14:paraId="6811D7F4"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lastRenderedPageBreak/>
        <w:t>My previous employment within adult social care helped me understand person-centred care in practice rather than simply as a theoretical concept. I supported older adults with personal care, medication, meal preparation and promoting independence within their own homes. Although many individuals required similar support, I learned that each person had different preferences and routines. Some wanted to remain as independent as possible, while others required more direct assistance. This experience showed me that effective care should be adapted to the individual rather than delivered in a standardised way.</w:t>
      </w:r>
    </w:p>
    <w:p w14:paraId="0F96A5ED"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I believe one of my strengths is my ability to communicate respectfully and build positive relationships with service users. Individuals were often more willing to engage with support when they felt listened to and involved in decisions affecting their daily lives. This reflects the principles of personalised care promoted by NHS England (2024). However, I have also learned that communication alone is not enough. Effective person-centred practice requires professionals to actively involve individuals in care planning, even when their views differ from professional recommendations.</w:t>
      </w:r>
    </w:p>
    <w:p w14:paraId="2168395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Partnership working has also influenced my understanding of effective practice. Joan's case demonstrated how collaboration between professionals can improve outcomes by addressing complex needs from different perspectives. Similarly, in my previous role I regularly communicated with family members, senior carers and healthcare professionals to ensure continuity of care. These experiences highlighted the importance of teamwork, accurate record-keeping and effective communication. However, they also showed how misunderstandings or delays in communication can affect service delivery. Reeves et al. (2017) suggest that successful interprofessional collaboration depends on mutual respect and understanding of professional roles, which is an area I intend to continue developing throughout my career.</w:t>
      </w:r>
    </w:p>
    <w:p w14:paraId="366D441B"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Ethical practice is another area that has significantly influenced my professional development. Before studying this module, I viewed ethics mainly as following rules and maintaining confidentiality. However, I now recognise that ethical practice often involves balancing competing responsibilities and making decisions in situations where there may not be a clear solution. The principles of autonomy, beneficence, non-maleficence and justice provide an important framework for decision-making (Beauchamp and Childress, 2019), but applying these principles in practice can be challenging.</w:t>
      </w:r>
    </w:p>
    <w:p w14:paraId="18DA96CE"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 xml:space="preserve">This became apparent during my work in adult social care when some service users refused medication or support. While my initial concern focused on the risks to their wellbeing, these situations highlighted the importance of respecting autonomy where individuals have the capacity to make informed decisions. Reflecting on these experiences helped me </w:t>
      </w:r>
      <w:r w:rsidRPr="00B12F0E">
        <w:rPr>
          <w:rFonts w:ascii="Arial" w:hAnsi="Arial" w:cs="Arial"/>
          <w:sz w:val="22"/>
          <w:szCs w:val="22"/>
        </w:rPr>
        <w:lastRenderedPageBreak/>
        <w:t>understand that ethical practice is not always about achieving the outcome professionals believe is best, but ensuring individuals are supported to make informed choices while managing risks appropriately.</w:t>
      </w:r>
    </w:p>
    <w:p w14:paraId="14D80BE5"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One area I would like to improve is my confidence when responding to ethical dilemmas and challenging situations. While legislation and organisational policies provide guidance, professionals must still exercise judgement and justify their decisions. To support my future development, I intend to undertake CPD activities relating to safeguarding, ethical decision-making and multidisciplinary working. I also plan to remain informed about legislation such as the Care Act 2014 and Health and Care Act 2022 and continue using reflective practice to evaluate and improve my professional decision-making.</w:t>
      </w:r>
    </w:p>
    <w:p w14:paraId="3F4D065D"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Overall, this reflection has highlighted both strengths and areas for development. My strengths include communication, empathy and a willingness to work collaboratively with others. However, I recognise the need to further develop my knowledge of legislation, ethical decision-making and multidisciplinary practice. By continuing my professional development and reflecting on practice experiences, I hope to provide high-quality, person-centred care while working effectively with others and maintaining ethical standards throughout my career.</w:t>
      </w:r>
    </w:p>
    <w:p w14:paraId="5CFA6D66" w14:textId="77777777" w:rsidR="000B1A25" w:rsidRPr="00B12F0E" w:rsidRDefault="000B1A25" w:rsidP="00B12F0E">
      <w:pPr>
        <w:spacing w:line="360" w:lineRule="auto"/>
        <w:rPr>
          <w:rFonts w:ascii="Arial" w:hAnsi="Arial" w:cs="Arial"/>
          <w:sz w:val="22"/>
          <w:szCs w:val="22"/>
        </w:rPr>
      </w:pPr>
    </w:p>
    <w:p w14:paraId="3545D90C" w14:textId="77777777" w:rsidR="00B80973" w:rsidRPr="00B12F0E" w:rsidRDefault="00B80973" w:rsidP="00B12F0E">
      <w:pPr>
        <w:spacing w:line="360" w:lineRule="auto"/>
        <w:rPr>
          <w:rFonts w:ascii="Arial" w:hAnsi="Arial" w:cs="Arial"/>
          <w:b/>
          <w:bCs/>
          <w:sz w:val="22"/>
          <w:szCs w:val="22"/>
          <w:u w:val="single"/>
        </w:rPr>
      </w:pPr>
      <w:r w:rsidRPr="00B12F0E">
        <w:rPr>
          <w:rFonts w:ascii="Arial" w:hAnsi="Arial" w:cs="Arial"/>
          <w:b/>
          <w:bCs/>
          <w:sz w:val="22"/>
          <w:szCs w:val="22"/>
          <w:u w:val="single"/>
        </w:rPr>
        <w:t>Conclusion</w:t>
      </w:r>
    </w:p>
    <w:p w14:paraId="7DAB5F7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In conclusion, person-centred care, partnership working and ethical practice are essential principles that support effective health and social care. This report has shown how person-centred approaches can improve engagement and wellbeing, while partnership working enables professionals to coordinate support and achieve better outcomes. Ethical practice remains equally important in guiding decision-making and maintaining dignity, trust and respect.</w:t>
      </w:r>
    </w:p>
    <w:p w14:paraId="1EBB784E" w14:textId="4D705641" w:rsidR="00B80973" w:rsidRPr="00B12F0E" w:rsidRDefault="000B1A25" w:rsidP="00B12F0E">
      <w:pPr>
        <w:spacing w:line="360" w:lineRule="auto"/>
        <w:rPr>
          <w:rFonts w:ascii="Arial" w:hAnsi="Arial" w:cs="Arial"/>
          <w:sz w:val="22"/>
          <w:szCs w:val="22"/>
        </w:rPr>
      </w:pPr>
      <w:r w:rsidRPr="00B12F0E">
        <w:rPr>
          <w:rFonts w:ascii="Arial" w:hAnsi="Arial" w:cs="Arial"/>
          <w:sz w:val="22"/>
          <w:szCs w:val="22"/>
        </w:rPr>
        <w:t>The evaluation of Joan's case demonstrated how these principles can work together to improve both health outcomes and self-management. Reflecting on my own experience within adult social care has reinforced the importance of applying these principles consistently in practice. As I continue to develop professionally, I will build on my knowledge, skills and experience to provide safe, ethical and person-centred care throughout my future career.</w:t>
      </w:r>
    </w:p>
    <w:p w14:paraId="664BCA85" w14:textId="77777777" w:rsidR="00C31D22" w:rsidRPr="00B12F0E" w:rsidRDefault="00C31D22" w:rsidP="00B12F0E">
      <w:pPr>
        <w:spacing w:line="360" w:lineRule="auto"/>
        <w:rPr>
          <w:rFonts w:ascii="Arial" w:hAnsi="Arial" w:cs="Arial"/>
          <w:sz w:val="22"/>
          <w:szCs w:val="22"/>
        </w:rPr>
      </w:pPr>
    </w:p>
    <w:p w14:paraId="531206E1" w14:textId="77777777" w:rsidR="00C31D22" w:rsidRPr="00B12F0E" w:rsidRDefault="00C31D22" w:rsidP="00B12F0E">
      <w:pPr>
        <w:spacing w:line="360" w:lineRule="auto"/>
        <w:rPr>
          <w:rFonts w:ascii="Arial" w:hAnsi="Arial" w:cs="Arial"/>
          <w:sz w:val="22"/>
          <w:szCs w:val="22"/>
        </w:rPr>
      </w:pPr>
    </w:p>
    <w:p w14:paraId="6A1BD912" w14:textId="77777777" w:rsidR="00B12F0E" w:rsidRDefault="00B12F0E" w:rsidP="00B12F0E">
      <w:pPr>
        <w:spacing w:line="360" w:lineRule="auto"/>
        <w:rPr>
          <w:rFonts w:ascii="Arial" w:hAnsi="Arial" w:cs="Arial"/>
          <w:sz w:val="22"/>
          <w:szCs w:val="22"/>
        </w:rPr>
      </w:pPr>
    </w:p>
    <w:p w14:paraId="688A4A2F" w14:textId="7BA7A96E" w:rsidR="00C31D22" w:rsidRPr="00B12F0E" w:rsidRDefault="00C31D22" w:rsidP="00B12F0E">
      <w:pPr>
        <w:spacing w:line="360" w:lineRule="auto"/>
        <w:rPr>
          <w:rFonts w:ascii="Arial" w:hAnsi="Arial" w:cs="Arial"/>
          <w:b/>
          <w:bCs/>
          <w:sz w:val="22"/>
          <w:szCs w:val="22"/>
          <w:u w:val="single"/>
        </w:rPr>
      </w:pPr>
      <w:r w:rsidRPr="00B12F0E">
        <w:rPr>
          <w:rFonts w:ascii="Arial" w:hAnsi="Arial" w:cs="Arial"/>
          <w:b/>
          <w:bCs/>
          <w:sz w:val="22"/>
          <w:szCs w:val="22"/>
          <w:u w:val="single"/>
        </w:rPr>
        <w:lastRenderedPageBreak/>
        <w:t>Reference</w:t>
      </w:r>
      <w:r w:rsidR="000B1A25" w:rsidRPr="00B12F0E">
        <w:rPr>
          <w:rFonts w:ascii="Arial" w:hAnsi="Arial" w:cs="Arial"/>
          <w:b/>
          <w:bCs/>
          <w:sz w:val="22"/>
          <w:szCs w:val="22"/>
          <w:u w:val="single"/>
        </w:rPr>
        <w:t xml:space="preserve"> List:</w:t>
      </w:r>
    </w:p>
    <w:p w14:paraId="1C4CD5A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Barry, M.J. and Edgman-Levitan, S. (2012) ‘Shared decision making — the pinnacle of patient-</w:t>
      </w:r>
      <w:proofErr w:type="spellStart"/>
      <w:r w:rsidRPr="00B12F0E">
        <w:rPr>
          <w:rFonts w:ascii="Arial" w:hAnsi="Arial" w:cs="Arial"/>
          <w:sz w:val="22"/>
          <w:szCs w:val="22"/>
        </w:rPr>
        <w:t>centered</w:t>
      </w:r>
      <w:proofErr w:type="spellEnd"/>
      <w:r w:rsidRPr="00B12F0E">
        <w:rPr>
          <w:rFonts w:ascii="Arial" w:hAnsi="Arial" w:cs="Arial"/>
          <w:sz w:val="22"/>
          <w:szCs w:val="22"/>
        </w:rPr>
        <w:t xml:space="preserve"> care’, </w:t>
      </w:r>
      <w:r w:rsidRPr="00B12F0E">
        <w:rPr>
          <w:rFonts w:ascii="Arial" w:hAnsi="Arial" w:cs="Arial"/>
          <w:i/>
          <w:iCs/>
          <w:sz w:val="22"/>
          <w:szCs w:val="22"/>
        </w:rPr>
        <w:t>New England Journal of Medicine</w:t>
      </w:r>
      <w:r w:rsidRPr="00B12F0E">
        <w:rPr>
          <w:rFonts w:ascii="Arial" w:hAnsi="Arial" w:cs="Arial"/>
          <w:sz w:val="22"/>
          <w:szCs w:val="22"/>
        </w:rPr>
        <w:t xml:space="preserve">, 366(9), pp. 780–781. Available at: </w:t>
      </w:r>
      <w:hyperlink r:id="rId7" w:history="1">
        <w:r w:rsidRPr="00B12F0E">
          <w:rPr>
            <w:rStyle w:val="Hyperlink"/>
            <w:rFonts w:ascii="Arial" w:hAnsi="Arial" w:cs="Arial"/>
            <w:sz w:val="22"/>
            <w:szCs w:val="22"/>
          </w:rPr>
          <w:t>https://www.nejm.org/doi/full/10.1056/NEJMp1109283</w:t>
        </w:r>
      </w:hyperlink>
      <w:r w:rsidRPr="00B12F0E">
        <w:rPr>
          <w:rFonts w:ascii="Arial" w:hAnsi="Arial" w:cs="Arial"/>
          <w:sz w:val="22"/>
          <w:szCs w:val="22"/>
        </w:rPr>
        <w:t xml:space="preserve"> (Accessed: 12 June 2026).</w:t>
      </w:r>
    </w:p>
    <w:p w14:paraId="4AAE173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Beauchamp, T.L. and Childress, J.F. (2019) </w:t>
      </w:r>
      <w:r w:rsidRPr="00B12F0E">
        <w:rPr>
          <w:rFonts w:ascii="Arial" w:hAnsi="Arial" w:cs="Arial"/>
          <w:i/>
          <w:iCs/>
          <w:sz w:val="22"/>
          <w:szCs w:val="22"/>
        </w:rPr>
        <w:t>Principles of Biomedical Ethics</w:t>
      </w:r>
      <w:r w:rsidRPr="00B12F0E">
        <w:rPr>
          <w:rFonts w:ascii="Arial" w:hAnsi="Arial" w:cs="Arial"/>
          <w:sz w:val="22"/>
          <w:szCs w:val="22"/>
        </w:rPr>
        <w:t xml:space="preserve">. 8th </w:t>
      </w:r>
      <w:proofErr w:type="spellStart"/>
      <w:r w:rsidRPr="00B12F0E">
        <w:rPr>
          <w:rFonts w:ascii="Arial" w:hAnsi="Arial" w:cs="Arial"/>
          <w:sz w:val="22"/>
          <w:szCs w:val="22"/>
        </w:rPr>
        <w:t>edn</w:t>
      </w:r>
      <w:proofErr w:type="spellEnd"/>
      <w:r w:rsidRPr="00B12F0E">
        <w:rPr>
          <w:rFonts w:ascii="Arial" w:hAnsi="Arial" w:cs="Arial"/>
          <w:sz w:val="22"/>
          <w:szCs w:val="22"/>
        </w:rPr>
        <w:t>. New York: Oxford University Press.</w:t>
      </w:r>
    </w:p>
    <w:p w14:paraId="13BCF910"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Department of Health and Social Care (2022) </w:t>
      </w:r>
      <w:r w:rsidRPr="00B12F0E">
        <w:rPr>
          <w:rFonts w:ascii="Arial" w:hAnsi="Arial" w:cs="Arial"/>
          <w:i/>
          <w:iCs/>
          <w:sz w:val="22"/>
          <w:szCs w:val="22"/>
        </w:rPr>
        <w:t>Health and Care Act 2022</w:t>
      </w:r>
      <w:r w:rsidRPr="00B12F0E">
        <w:rPr>
          <w:rFonts w:ascii="Arial" w:hAnsi="Arial" w:cs="Arial"/>
          <w:sz w:val="22"/>
          <w:szCs w:val="22"/>
        </w:rPr>
        <w:t xml:space="preserve">. Available at: </w:t>
      </w:r>
      <w:hyperlink r:id="rId8" w:history="1">
        <w:r w:rsidRPr="00B12F0E">
          <w:rPr>
            <w:rStyle w:val="Hyperlink"/>
            <w:rFonts w:ascii="Arial" w:hAnsi="Arial" w:cs="Arial"/>
            <w:sz w:val="22"/>
            <w:szCs w:val="22"/>
          </w:rPr>
          <w:t>https://www.legislation.gov.uk/ukpga/2022/31/contents</w:t>
        </w:r>
      </w:hyperlink>
      <w:r w:rsidRPr="00B12F0E">
        <w:rPr>
          <w:rFonts w:ascii="Arial" w:hAnsi="Arial" w:cs="Arial"/>
          <w:sz w:val="22"/>
          <w:szCs w:val="22"/>
        </w:rPr>
        <w:t xml:space="preserve"> (Accessed: 12 June 2026).</w:t>
      </w:r>
    </w:p>
    <w:p w14:paraId="53ABA61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Gibbs, G. (1988) </w:t>
      </w:r>
      <w:r w:rsidRPr="00B12F0E">
        <w:rPr>
          <w:rFonts w:ascii="Arial" w:hAnsi="Arial" w:cs="Arial"/>
          <w:i/>
          <w:iCs/>
          <w:sz w:val="22"/>
          <w:szCs w:val="22"/>
        </w:rPr>
        <w:t>Learning by Doing: A Guide to Teaching and Learning Methods</w:t>
      </w:r>
      <w:r w:rsidRPr="00B12F0E">
        <w:rPr>
          <w:rFonts w:ascii="Arial" w:hAnsi="Arial" w:cs="Arial"/>
          <w:sz w:val="22"/>
          <w:szCs w:val="22"/>
        </w:rPr>
        <w:t>. Oxford: Oxford Polytechnic.</w:t>
      </w:r>
    </w:p>
    <w:p w14:paraId="7B10956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Maslow, A.H. (1943) ‘A theory of human motivation’, </w:t>
      </w:r>
      <w:r w:rsidRPr="00B12F0E">
        <w:rPr>
          <w:rFonts w:ascii="Arial" w:hAnsi="Arial" w:cs="Arial"/>
          <w:i/>
          <w:iCs/>
          <w:sz w:val="22"/>
          <w:szCs w:val="22"/>
        </w:rPr>
        <w:t>Psychological Review</w:t>
      </w:r>
      <w:r w:rsidRPr="00B12F0E">
        <w:rPr>
          <w:rFonts w:ascii="Arial" w:hAnsi="Arial" w:cs="Arial"/>
          <w:sz w:val="22"/>
          <w:szCs w:val="22"/>
        </w:rPr>
        <w:t xml:space="preserve">, 50(4), pp. 370–396. Available at: </w:t>
      </w:r>
      <w:hyperlink r:id="rId9" w:history="1">
        <w:r w:rsidRPr="00B12F0E">
          <w:rPr>
            <w:rStyle w:val="Hyperlink"/>
            <w:rFonts w:ascii="Arial" w:hAnsi="Arial" w:cs="Arial"/>
            <w:sz w:val="22"/>
            <w:szCs w:val="22"/>
          </w:rPr>
          <w:t>https://psychclassics.yorku.ca/Maslow/motivation.htm</w:t>
        </w:r>
      </w:hyperlink>
      <w:r w:rsidRPr="00B12F0E">
        <w:rPr>
          <w:rFonts w:ascii="Arial" w:hAnsi="Arial" w:cs="Arial"/>
          <w:sz w:val="22"/>
          <w:szCs w:val="22"/>
        </w:rPr>
        <w:t xml:space="preserve"> (Accessed: 12 June 2026).</w:t>
      </w:r>
    </w:p>
    <w:p w14:paraId="46417035"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NHS England (2024) </w:t>
      </w:r>
      <w:r w:rsidRPr="00B12F0E">
        <w:rPr>
          <w:rFonts w:ascii="Arial" w:hAnsi="Arial" w:cs="Arial"/>
          <w:i/>
          <w:iCs/>
          <w:sz w:val="22"/>
          <w:szCs w:val="22"/>
        </w:rPr>
        <w:t>Personalised Care</w:t>
      </w:r>
      <w:r w:rsidRPr="00B12F0E">
        <w:rPr>
          <w:rFonts w:ascii="Arial" w:hAnsi="Arial" w:cs="Arial"/>
          <w:sz w:val="22"/>
          <w:szCs w:val="22"/>
        </w:rPr>
        <w:t xml:space="preserve">. Available at: </w:t>
      </w:r>
      <w:hyperlink r:id="rId10" w:history="1">
        <w:r w:rsidRPr="00B12F0E">
          <w:rPr>
            <w:rStyle w:val="Hyperlink"/>
            <w:rFonts w:ascii="Arial" w:hAnsi="Arial" w:cs="Arial"/>
            <w:sz w:val="22"/>
            <w:szCs w:val="22"/>
          </w:rPr>
          <w:t>https://www.england.nhs.uk/personalisedcare/</w:t>
        </w:r>
      </w:hyperlink>
      <w:r w:rsidRPr="00B12F0E">
        <w:rPr>
          <w:rFonts w:ascii="Arial" w:hAnsi="Arial" w:cs="Arial"/>
          <w:sz w:val="22"/>
          <w:szCs w:val="22"/>
        </w:rPr>
        <w:t xml:space="preserve"> (Accessed: 12 June 2026).</w:t>
      </w:r>
    </w:p>
    <w:p w14:paraId="577A7399"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NHS England (2024) </w:t>
      </w:r>
      <w:r w:rsidRPr="00B12F0E">
        <w:rPr>
          <w:rFonts w:ascii="Arial" w:hAnsi="Arial" w:cs="Arial"/>
          <w:i/>
          <w:iCs/>
          <w:sz w:val="22"/>
          <w:szCs w:val="22"/>
        </w:rPr>
        <w:t>What is Integrated Care?</w:t>
      </w:r>
      <w:r w:rsidRPr="00B12F0E">
        <w:rPr>
          <w:rFonts w:ascii="Arial" w:hAnsi="Arial" w:cs="Arial"/>
          <w:sz w:val="22"/>
          <w:szCs w:val="22"/>
        </w:rPr>
        <w:t xml:space="preserve"> Available at: </w:t>
      </w:r>
      <w:hyperlink r:id="rId11" w:history="1">
        <w:r w:rsidRPr="00B12F0E">
          <w:rPr>
            <w:rStyle w:val="Hyperlink"/>
            <w:rFonts w:ascii="Arial" w:hAnsi="Arial" w:cs="Arial"/>
            <w:sz w:val="22"/>
            <w:szCs w:val="22"/>
          </w:rPr>
          <w:t>https://www.england.nhs.uk/integratedcare/what-is-integrated-care/</w:t>
        </w:r>
      </w:hyperlink>
      <w:r w:rsidRPr="00B12F0E">
        <w:rPr>
          <w:rFonts w:ascii="Arial" w:hAnsi="Arial" w:cs="Arial"/>
          <w:sz w:val="22"/>
          <w:szCs w:val="22"/>
        </w:rPr>
        <w:t xml:space="preserve"> (Accessed: 12 June 2026).</w:t>
      </w:r>
    </w:p>
    <w:p w14:paraId="0FB1A65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National Institute for Health and Care Excellence (NICE) (2024) </w:t>
      </w:r>
      <w:r w:rsidRPr="00B12F0E">
        <w:rPr>
          <w:rFonts w:ascii="Arial" w:hAnsi="Arial" w:cs="Arial"/>
          <w:i/>
          <w:iCs/>
          <w:sz w:val="22"/>
          <w:szCs w:val="22"/>
        </w:rPr>
        <w:t>Chronic Obstructive Pulmonary Disease in Over 16s: Diagnosis and Management (NG115)</w:t>
      </w:r>
      <w:r w:rsidRPr="00B12F0E">
        <w:rPr>
          <w:rFonts w:ascii="Arial" w:hAnsi="Arial" w:cs="Arial"/>
          <w:sz w:val="22"/>
          <w:szCs w:val="22"/>
        </w:rPr>
        <w:t xml:space="preserve">. Available at: </w:t>
      </w:r>
      <w:hyperlink r:id="rId12" w:history="1">
        <w:r w:rsidRPr="00B12F0E">
          <w:rPr>
            <w:rStyle w:val="Hyperlink"/>
            <w:rFonts w:ascii="Arial" w:hAnsi="Arial" w:cs="Arial"/>
            <w:sz w:val="22"/>
            <w:szCs w:val="22"/>
          </w:rPr>
          <w:t>https://www.nice.org.uk/guidance/ng115</w:t>
        </w:r>
      </w:hyperlink>
      <w:r w:rsidRPr="00B12F0E">
        <w:rPr>
          <w:rFonts w:ascii="Arial" w:hAnsi="Arial" w:cs="Arial"/>
          <w:sz w:val="22"/>
          <w:szCs w:val="22"/>
        </w:rPr>
        <w:t xml:space="preserve"> (Accessed: 12 June 2026).</w:t>
      </w:r>
    </w:p>
    <w:p w14:paraId="2D468DA7"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Reeves, S., </w:t>
      </w:r>
      <w:proofErr w:type="spellStart"/>
      <w:r w:rsidRPr="00B12F0E">
        <w:rPr>
          <w:rFonts w:ascii="Arial" w:hAnsi="Arial" w:cs="Arial"/>
          <w:sz w:val="22"/>
          <w:szCs w:val="22"/>
        </w:rPr>
        <w:t>Pelone</w:t>
      </w:r>
      <w:proofErr w:type="spellEnd"/>
      <w:r w:rsidRPr="00B12F0E">
        <w:rPr>
          <w:rFonts w:ascii="Arial" w:hAnsi="Arial" w:cs="Arial"/>
          <w:sz w:val="22"/>
          <w:szCs w:val="22"/>
        </w:rPr>
        <w:t xml:space="preserve">, F., Harrison, R., Goldman, J. and </w:t>
      </w:r>
      <w:proofErr w:type="spellStart"/>
      <w:r w:rsidRPr="00B12F0E">
        <w:rPr>
          <w:rFonts w:ascii="Arial" w:hAnsi="Arial" w:cs="Arial"/>
          <w:sz w:val="22"/>
          <w:szCs w:val="22"/>
        </w:rPr>
        <w:t>Zwarenstein</w:t>
      </w:r>
      <w:proofErr w:type="spellEnd"/>
      <w:r w:rsidRPr="00B12F0E">
        <w:rPr>
          <w:rFonts w:ascii="Arial" w:hAnsi="Arial" w:cs="Arial"/>
          <w:sz w:val="22"/>
          <w:szCs w:val="22"/>
        </w:rPr>
        <w:t xml:space="preserve">, M. (2017) </w:t>
      </w:r>
      <w:r w:rsidRPr="00B12F0E">
        <w:rPr>
          <w:rFonts w:ascii="Arial" w:hAnsi="Arial" w:cs="Arial"/>
          <w:i/>
          <w:iCs/>
          <w:sz w:val="22"/>
          <w:szCs w:val="22"/>
        </w:rPr>
        <w:t>Interprofessional Collaboration to Improve Professional Practice and Healthcare Outcomes</w:t>
      </w:r>
      <w:r w:rsidRPr="00B12F0E">
        <w:rPr>
          <w:rFonts w:ascii="Arial" w:hAnsi="Arial" w:cs="Arial"/>
          <w:sz w:val="22"/>
          <w:szCs w:val="22"/>
        </w:rPr>
        <w:t>. Oxford: Wiley.</w:t>
      </w:r>
    </w:p>
    <w:p w14:paraId="06B50ECC"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Santana, M.J., Manalili, K., Jolley, R.J., Zelinsky, S., Quan, H. and Lu, M. (2018) ‘How to practice person-centred care: A conceptual framework’, </w:t>
      </w:r>
      <w:r w:rsidRPr="00B12F0E">
        <w:rPr>
          <w:rFonts w:ascii="Arial" w:hAnsi="Arial" w:cs="Arial"/>
          <w:i/>
          <w:iCs/>
          <w:sz w:val="22"/>
          <w:szCs w:val="22"/>
        </w:rPr>
        <w:t>Health Expectations</w:t>
      </w:r>
      <w:r w:rsidRPr="00B12F0E">
        <w:rPr>
          <w:rFonts w:ascii="Arial" w:hAnsi="Arial" w:cs="Arial"/>
          <w:sz w:val="22"/>
          <w:szCs w:val="22"/>
        </w:rPr>
        <w:t xml:space="preserve">, 21(2), pp. 429–440. Available at: </w:t>
      </w:r>
      <w:hyperlink r:id="rId13" w:history="1">
        <w:r w:rsidRPr="00B12F0E">
          <w:rPr>
            <w:rStyle w:val="Hyperlink"/>
            <w:rFonts w:ascii="Arial" w:hAnsi="Arial" w:cs="Arial"/>
            <w:sz w:val="22"/>
            <w:szCs w:val="22"/>
          </w:rPr>
          <w:t>https://onlinelibrary.wiley.com/doi/full/10.1111/hex.12640</w:t>
        </w:r>
      </w:hyperlink>
      <w:r w:rsidRPr="00B12F0E">
        <w:rPr>
          <w:rFonts w:ascii="Arial" w:hAnsi="Arial" w:cs="Arial"/>
          <w:sz w:val="22"/>
          <w:szCs w:val="22"/>
        </w:rPr>
        <w:t xml:space="preserve"> (Accessed: 12 June 2026).</w:t>
      </w:r>
    </w:p>
    <w:p w14:paraId="6B05546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Skills for Care (2024) </w:t>
      </w:r>
      <w:r w:rsidRPr="00B12F0E">
        <w:rPr>
          <w:rFonts w:ascii="Arial" w:hAnsi="Arial" w:cs="Arial"/>
          <w:i/>
          <w:iCs/>
          <w:sz w:val="22"/>
          <w:szCs w:val="22"/>
        </w:rPr>
        <w:t>Person-centred Care</w:t>
      </w:r>
      <w:r w:rsidRPr="00B12F0E">
        <w:rPr>
          <w:rFonts w:ascii="Arial" w:hAnsi="Arial" w:cs="Arial"/>
          <w:sz w:val="22"/>
          <w:szCs w:val="22"/>
        </w:rPr>
        <w:t xml:space="preserve">. Available at: </w:t>
      </w:r>
      <w:hyperlink r:id="rId14" w:history="1">
        <w:r w:rsidRPr="00B12F0E">
          <w:rPr>
            <w:rStyle w:val="Hyperlink"/>
            <w:rFonts w:ascii="Arial" w:hAnsi="Arial" w:cs="Arial"/>
            <w:sz w:val="22"/>
            <w:szCs w:val="22"/>
          </w:rPr>
          <w:t>https://www.skillsforcare.org.uk</w:t>
        </w:r>
      </w:hyperlink>
      <w:r w:rsidRPr="00B12F0E">
        <w:rPr>
          <w:rFonts w:ascii="Arial" w:hAnsi="Arial" w:cs="Arial"/>
          <w:sz w:val="22"/>
          <w:szCs w:val="22"/>
        </w:rPr>
        <w:t xml:space="preserve"> (Accessed: 12 June 2026).</w:t>
      </w:r>
    </w:p>
    <w:p w14:paraId="4683679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Social Care Institute for Excellence (SCIE) (2023) </w:t>
      </w:r>
      <w:r w:rsidRPr="00B12F0E">
        <w:rPr>
          <w:rFonts w:ascii="Arial" w:hAnsi="Arial" w:cs="Arial"/>
          <w:i/>
          <w:iCs/>
          <w:sz w:val="22"/>
          <w:szCs w:val="22"/>
        </w:rPr>
        <w:t>Person-centred Care</w:t>
      </w:r>
      <w:r w:rsidRPr="00B12F0E">
        <w:rPr>
          <w:rFonts w:ascii="Arial" w:hAnsi="Arial" w:cs="Arial"/>
          <w:sz w:val="22"/>
          <w:szCs w:val="22"/>
        </w:rPr>
        <w:t xml:space="preserve">. Available at: </w:t>
      </w:r>
      <w:hyperlink r:id="rId15" w:history="1">
        <w:r w:rsidRPr="00B12F0E">
          <w:rPr>
            <w:rStyle w:val="Hyperlink"/>
            <w:rFonts w:ascii="Arial" w:hAnsi="Arial" w:cs="Arial"/>
            <w:sz w:val="22"/>
            <w:szCs w:val="22"/>
          </w:rPr>
          <w:t>https://www.scie.org.uk/person-centred-care</w:t>
        </w:r>
      </w:hyperlink>
      <w:r w:rsidRPr="00B12F0E">
        <w:rPr>
          <w:rFonts w:ascii="Arial" w:hAnsi="Arial" w:cs="Arial"/>
          <w:sz w:val="22"/>
          <w:szCs w:val="22"/>
        </w:rPr>
        <w:t xml:space="preserve"> (Accessed: 12 June 2026).</w:t>
      </w:r>
    </w:p>
    <w:p w14:paraId="3A297E4B"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lastRenderedPageBreak/>
        <w:t xml:space="preserve">UK Government (2014) </w:t>
      </w:r>
      <w:r w:rsidRPr="00B12F0E">
        <w:rPr>
          <w:rFonts w:ascii="Arial" w:hAnsi="Arial" w:cs="Arial"/>
          <w:i/>
          <w:iCs/>
          <w:sz w:val="22"/>
          <w:szCs w:val="22"/>
        </w:rPr>
        <w:t>Care Act 2014</w:t>
      </w:r>
      <w:r w:rsidRPr="00B12F0E">
        <w:rPr>
          <w:rFonts w:ascii="Arial" w:hAnsi="Arial" w:cs="Arial"/>
          <w:sz w:val="22"/>
          <w:szCs w:val="22"/>
        </w:rPr>
        <w:t xml:space="preserve">. Available at: </w:t>
      </w:r>
      <w:hyperlink r:id="rId16" w:history="1">
        <w:r w:rsidRPr="00B12F0E">
          <w:rPr>
            <w:rStyle w:val="Hyperlink"/>
            <w:rFonts w:ascii="Arial" w:hAnsi="Arial" w:cs="Arial"/>
            <w:sz w:val="22"/>
            <w:szCs w:val="22"/>
          </w:rPr>
          <w:t>https://www.legislation.gov.uk/ukpga/2014/23/contents</w:t>
        </w:r>
      </w:hyperlink>
      <w:r w:rsidRPr="00B12F0E">
        <w:rPr>
          <w:rFonts w:ascii="Arial" w:hAnsi="Arial" w:cs="Arial"/>
          <w:sz w:val="22"/>
          <w:szCs w:val="22"/>
        </w:rPr>
        <w:t xml:space="preserve"> (Accessed: 12 June 2026).</w:t>
      </w:r>
    </w:p>
    <w:p w14:paraId="2B949413" w14:textId="77777777" w:rsidR="00C31D22" w:rsidRPr="00B12F0E" w:rsidRDefault="00C31D22" w:rsidP="00B12F0E">
      <w:pPr>
        <w:spacing w:line="360" w:lineRule="auto"/>
        <w:rPr>
          <w:rFonts w:ascii="Arial" w:hAnsi="Arial" w:cs="Arial"/>
          <w:sz w:val="22"/>
          <w:szCs w:val="22"/>
        </w:rPr>
      </w:pPr>
    </w:p>
    <w:sectPr w:rsidR="00C31D22" w:rsidRPr="00B12F0E" w:rsidSect="00E8410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737E2" w14:textId="77777777" w:rsidR="00320B7E" w:rsidRDefault="00320B7E" w:rsidP="0012278C">
      <w:pPr>
        <w:spacing w:after="0" w:line="240" w:lineRule="auto"/>
      </w:pPr>
      <w:r>
        <w:separator/>
      </w:r>
    </w:p>
  </w:endnote>
  <w:endnote w:type="continuationSeparator" w:id="0">
    <w:p w14:paraId="0CC70F95" w14:textId="77777777" w:rsidR="00320B7E" w:rsidRDefault="00320B7E" w:rsidP="00122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9445757"/>
      <w:docPartObj>
        <w:docPartGallery w:val="Page Numbers (Bottom of Page)"/>
        <w:docPartUnique/>
      </w:docPartObj>
    </w:sdtPr>
    <w:sdtEndPr>
      <w:rPr>
        <w:noProof/>
      </w:rPr>
    </w:sdtEndPr>
    <w:sdtContent>
      <w:p w14:paraId="642F20CF" w14:textId="542AF811" w:rsidR="0012278C" w:rsidRDefault="001227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3FE94A" w14:textId="77777777" w:rsidR="0012278C" w:rsidRDefault="00122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3BC20" w14:textId="77777777" w:rsidR="00320B7E" w:rsidRDefault="00320B7E" w:rsidP="0012278C">
      <w:pPr>
        <w:spacing w:after="0" w:line="240" w:lineRule="auto"/>
      </w:pPr>
      <w:r>
        <w:separator/>
      </w:r>
    </w:p>
  </w:footnote>
  <w:footnote w:type="continuationSeparator" w:id="0">
    <w:p w14:paraId="382515D8" w14:textId="77777777" w:rsidR="00320B7E" w:rsidRDefault="00320B7E" w:rsidP="001227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10C"/>
    <w:rsid w:val="000B1A25"/>
    <w:rsid w:val="0012278C"/>
    <w:rsid w:val="00320B7E"/>
    <w:rsid w:val="003D767D"/>
    <w:rsid w:val="00691BEB"/>
    <w:rsid w:val="006E5701"/>
    <w:rsid w:val="0070571E"/>
    <w:rsid w:val="007E2FD5"/>
    <w:rsid w:val="0086180B"/>
    <w:rsid w:val="008774CA"/>
    <w:rsid w:val="00887A39"/>
    <w:rsid w:val="00B12F0E"/>
    <w:rsid w:val="00B45861"/>
    <w:rsid w:val="00B52FAC"/>
    <w:rsid w:val="00B80973"/>
    <w:rsid w:val="00C31D22"/>
    <w:rsid w:val="00D832EB"/>
    <w:rsid w:val="00E6161C"/>
    <w:rsid w:val="00E8343B"/>
    <w:rsid w:val="00E84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83E6B"/>
  <w15:chartTrackingRefBased/>
  <w15:docId w15:val="{8B8FA4B5-2509-492C-8CBD-3023E37D1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1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41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41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41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41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4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1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41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41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41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41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4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10C"/>
    <w:rPr>
      <w:rFonts w:eastAsiaTheme="majorEastAsia" w:cstheme="majorBidi"/>
      <w:color w:val="272727" w:themeColor="text1" w:themeTint="D8"/>
    </w:rPr>
  </w:style>
  <w:style w:type="paragraph" w:styleId="Title">
    <w:name w:val="Title"/>
    <w:basedOn w:val="Normal"/>
    <w:next w:val="Normal"/>
    <w:link w:val="TitleChar"/>
    <w:uiPriority w:val="10"/>
    <w:qFormat/>
    <w:rsid w:val="00E84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10C"/>
    <w:pPr>
      <w:spacing w:before="160"/>
      <w:jc w:val="center"/>
    </w:pPr>
    <w:rPr>
      <w:i/>
      <w:iCs/>
      <w:color w:val="404040" w:themeColor="text1" w:themeTint="BF"/>
    </w:rPr>
  </w:style>
  <w:style w:type="character" w:customStyle="1" w:styleId="QuoteChar">
    <w:name w:val="Quote Char"/>
    <w:basedOn w:val="DefaultParagraphFont"/>
    <w:link w:val="Quote"/>
    <w:uiPriority w:val="29"/>
    <w:rsid w:val="00E8410C"/>
    <w:rPr>
      <w:i/>
      <w:iCs/>
      <w:color w:val="404040" w:themeColor="text1" w:themeTint="BF"/>
    </w:rPr>
  </w:style>
  <w:style w:type="paragraph" w:styleId="ListParagraph">
    <w:name w:val="List Paragraph"/>
    <w:basedOn w:val="Normal"/>
    <w:uiPriority w:val="34"/>
    <w:qFormat/>
    <w:rsid w:val="00E8410C"/>
    <w:pPr>
      <w:ind w:left="720"/>
      <w:contextualSpacing/>
    </w:pPr>
  </w:style>
  <w:style w:type="character" w:styleId="IntenseEmphasis">
    <w:name w:val="Intense Emphasis"/>
    <w:basedOn w:val="DefaultParagraphFont"/>
    <w:uiPriority w:val="21"/>
    <w:qFormat/>
    <w:rsid w:val="00E8410C"/>
    <w:rPr>
      <w:i/>
      <w:iCs/>
      <w:color w:val="2F5496" w:themeColor="accent1" w:themeShade="BF"/>
    </w:rPr>
  </w:style>
  <w:style w:type="paragraph" w:styleId="IntenseQuote">
    <w:name w:val="Intense Quote"/>
    <w:basedOn w:val="Normal"/>
    <w:next w:val="Normal"/>
    <w:link w:val="IntenseQuoteChar"/>
    <w:uiPriority w:val="30"/>
    <w:qFormat/>
    <w:rsid w:val="00E841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10C"/>
    <w:rPr>
      <w:i/>
      <w:iCs/>
      <w:color w:val="2F5496" w:themeColor="accent1" w:themeShade="BF"/>
    </w:rPr>
  </w:style>
  <w:style w:type="character" w:styleId="IntenseReference">
    <w:name w:val="Intense Reference"/>
    <w:basedOn w:val="DefaultParagraphFont"/>
    <w:uiPriority w:val="32"/>
    <w:qFormat/>
    <w:rsid w:val="00E8410C"/>
    <w:rPr>
      <w:b/>
      <w:bCs/>
      <w:smallCaps/>
      <w:color w:val="2F5496" w:themeColor="accent1" w:themeShade="BF"/>
      <w:spacing w:val="5"/>
    </w:rPr>
  </w:style>
  <w:style w:type="paragraph" w:styleId="NoSpacing">
    <w:name w:val="No Spacing"/>
    <w:link w:val="NoSpacingChar"/>
    <w:uiPriority w:val="1"/>
    <w:qFormat/>
    <w:rsid w:val="00E8410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410C"/>
    <w:rPr>
      <w:rFonts w:eastAsiaTheme="minorEastAsia"/>
      <w:kern w:val="0"/>
      <w:sz w:val="22"/>
      <w:szCs w:val="22"/>
      <w:lang w:val="en-US"/>
      <w14:ligatures w14:val="none"/>
    </w:rPr>
  </w:style>
  <w:style w:type="character" w:styleId="Hyperlink">
    <w:name w:val="Hyperlink"/>
    <w:basedOn w:val="DefaultParagraphFont"/>
    <w:uiPriority w:val="99"/>
    <w:unhideWhenUsed/>
    <w:rsid w:val="00C31D22"/>
    <w:rPr>
      <w:color w:val="0563C1" w:themeColor="hyperlink"/>
      <w:u w:val="single"/>
    </w:rPr>
  </w:style>
  <w:style w:type="character" w:styleId="UnresolvedMention">
    <w:name w:val="Unresolved Mention"/>
    <w:basedOn w:val="DefaultParagraphFont"/>
    <w:uiPriority w:val="99"/>
    <w:semiHidden/>
    <w:unhideWhenUsed/>
    <w:rsid w:val="00C31D22"/>
    <w:rPr>
      <w:color w:val="605E5C"/>
      <w:shd w:val="clear" w:color="auto" w:fill="E1DFDD"/>
    </w:rPr>
  </w:style>
  <w:style w:type="character" w:styleId="FollowedHyperlink">
    <w:name w:val="FollowedHyperlink"/>
    <w:basedOn w:val="DefaultParagraphFont"/>
    <w:uiPriority w:val="99"/>
    <w:semiHidden/>
    <w:unhideWhenUsed/>
    <w:rsid w:val="000B1A25"/>
    <w:rPr>
      <w:color w:val="954F72" w:themeColor="followedHyperlink"/>
      <w:u w:val="single"/>
    </w:rPr>
  </w:style>
  <w:style w:type="paragraph" w:styleId="Header">
    <w:name w:val="header"/>
    <w:basedOn w:val="Normal"/>
    <w:link w:val="HeaderChar"/>
    <w:uiPriority w:val="99"/>
    <w:unhideWhenUsed/>
    <w:rsid w:val="00122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78C"/>
  </w:style>
  <w:style w:type="paragraph" w:styleId="Footer">
    <w:name w:val="footer"/>
    <w:basedOn w:val="Normal"/>
    <w:link w:val="FooterChar"/>
    <w:uiPriority w:val="99"/>
    <w:unhideWhenUsed/>
    <w:rsid w:val="00122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hyperlink" Target="https://onlinelibrary.wiley.com/doi/full/10.1111/hex.1264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ejm.org/doi/full/10.1056/NEJMp1109283" TargetMode="External"/><Relationship Id="rId12" Type="http://schemas.openxmlformats.org/officeDocument/2006/relationships/hyperlink" Target="https://www.nice.org.uk/guidance/ng11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egislation.gov.uk/ukpga/2014/23/conten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integratedcare/what-is-integrated-care/" TargetMode="External"/><Relationship Id="rId5" Type="http://schemas.openxmlformats.org/officeDocument/2006/relationships/footnotes" Target="footnotes.xml"/><Relationship Id="rId15" Type="http://schemas.openxmlformats.org/officeDocument/2006/relationships/hyperlink" Target="https://www.scie.org.uk/person-centred-care" TargetMode="External"/><Relationship Id="rId10" Type="http://schemas.openxmlformats.org/officeDocument/2006/relationships/hyperlink" Target="https://www.england.nhs.uk/personalisedcar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sychclassics.yorku.ca/Maslow/motivation.htm"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9</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BMHP5016Principles of Health and Social Care</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BMHP5016- Principles of Health and Social Care</dc:title>
  <dc:subject/>
  <dc:creator>Haleemah Akhtar (2432717)</dc:creator>
  <cp:keywords/>
  <dc:description/>
  <cp:lastModifiedBy>Haleemah Akhtar (2432717)</cp:lastModifiedBy>
  <cp:revision>8</cp:revision>
  <dcterms:created xsi:type="dcterms:W3CDTF">2026-06-11T10:05:00Z</dcterms:created>
  <dcterms:modified xsi:type="dcterms:W3CDTF">2026-06-18T11:03:00Z</dcterms:modified>
</cp:coreProperties>
</file>