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136D3" w:rsidRPr="00F600E6" w14:paraId="146BC162" w14:textId="77777777" w:rsidTr="009136D3">
        <w:tc>
          <w:tcPr>
            <w:tcW w:w="4508" w:type="dxa"/>
          </w:tcPr>
          <w:p w14:paraId="4106D09A" w14:textId="6E892B93" w:rsidR="009136D3" w:rsidRPr="00F600E6" w:rsidRDefault="009136D3" w:rsidP="007864BC">
            <w:pPr>
              <w:spacing w:line="360" w:lineRule="auto"/>
              <w:jc w:val="both"/>
              <w:rPr>
                <w:b/>
                <w:bCs/>
              </w:rPr>
            </w:pPr>
            <w:r w:rsidRPr="00F600E6">
              <w:rPr>
                <w:b/>
                <w:bCs/>
              </w:rPr>
              <w:t>Preparation:</w:t>
            </w:r>
          </w:p>
        </w:tc>
        <w:tc>
          <w:tcPr>
            <w:tcW w:w="4508" w:type="dxa"/>
          </w:tcPr>
          <w:p w14:paraId="3D7D8BDF" w14:textId="77777777" w:rsidR="009136D3" w:rsidRPr="00F600E6" w:rsidRDefault="009136D3" w:rsidP="007864BC">
            <w:pPr>
              <w:pStyle w:val="p1"/>
              <w:spacing w:line="360" w:lineRule="auto"/>
              <w:jc w:val="both"/>
              <w:rPr>
                <w:rFonts w:eastAsiaTheme="minorHAnsi"/>
                <w:kern w:val="2"/>
                <w:lang w:eastAsia="en-US"/>
                <w14:ligatures w14:val="standardContextual"/>
              </w:rPr>
            </w:pPr>
            <w:r w:rsidRPr="00F600E6">
              <w:rPr>
                <w:rFonts w:eastAsiaTheme="minorHAnsi"/>
                <w:kern w:val="2"/>
                <w:lang w:eastAsia="en-US"/>
                <w14:ligatures w14:val="standardContextual"/>
              </w:rPr>
              <w:t>Svitlana Osiptsova № 2510348</w:t>
            </w:r>
          </w:p>
        </w:tc>
      </w:tr>
      <w:tr w:rsidR="009136D3" w:rsidRPr="00F600E6" w14:paraId="2522082B" w14:textId="77777777" w:rsidTr="009136D3">
        <w:tc>
          <w:tcPr>
            <w:tcW w:w="4508" w:type="dxa"/>
          </w:tcPr>
          <w:p w14:paraId="04E67824" w14:textId="77777777" w:rsidR="009136D3" w:rsidRPr="00F600E6" w:rsidRDefault="009136D3" w:rsidP="007864BC">
            <w:pPr>
              <w:pStyle w:val="p1"/>
              <w:spacing w:line="360" w:lineRule="auto"/>
              <w:jc w:val="both"/>
              <w:rPr>
                <w:rFonts w:eastAsiaTheme="minorHAnsi"/>
                <w:kern w:val="2"/>
                <w:lang w:eastAsia="en-US"/>
                <w14:ligatures w14:val="standardContextual"/>
              </w:rPr>
            </w:pPr>
            <w:r w:rsidRPr="00F600E6">
              <w:rPr>
                <w:b/>
                <w:bCs/>
              </w:rPr>
              <w:t>Title:</w:t>
            </w:r>
            <w:r w:rsidRPr="00F600E6">
              <w:t xml:space="preserve"> </w:t>
            </w:r>
          </w:p>
        </w:tc>
        <w:tc>
          <w:tcPr>
            <w:tcW w:w="4508" w:type="dxa"/>
          </w:tcPr>
          <w:p w14:paraId="189B9EA6" w14:textId="756A983B" w:rsidR="009136D3" w:rsidRPr="00F600E6" w:rsidRDefault="009136D3" w:rsidP="007864BC">
            <w:pPr>
              <w:pStyle w:val="p1"/>
              <w:spacing w:line="360" w:lineRule="auto"/>
              <w:jc w:val="both"/>
              <w:rPr>
                <w:rFonts w:eastAsiaTheme="minorHAnsi"/>
                <w:kern w:val="2"/>
                <w:lang w:eastAsia="en-US"/>
                <w14:ligatures w14:val="standardContextual"/>
              </w:rPr>
            </w:pPr>
            <w:r w:rsidRPr="00F600E6">
              <w:rPr>
                <w:rFonts w:eastAsiaTheme="minorHAnsi"/>
                <w:kern w:val="2"/>
                <w:lang w:eastAsia="en-US"/>
                <w14:ligatures w14:val="standardContextual"/>
              </w:rPr>
              <w:t>S</w:t>
            </w:r>
            <w:r>
              <w:rPr>
                <w:rFonts w:eastAsiaTheme="minorHAnsi"/>
                <w:kern w:val="2"/>
                <w:lang w:eastAsia="en-US"/>
                <w14:ligatures w14:val="standardContextual"/>
              </w:rPr>
              <w:t>.</w:t>
            </w:r>
            <w:r w:rsidRPr="00F600E6">
              <w:rPr>
                <w:rFonts w:eastAsiaTheme="minorHAnsi"/>
                <w:kern w:val="2"/>
                <w:lang w:eastAsia="en-US"/>
                <w14:ligatures w14:val="standardContextual"/>
              </w:rPr>
              <w:t>W</w:t>
            </w:r>
            <w:r>
              <w:rPr>
                <w:rFonts w:eastAsiaTheme="minorHAnsi"/>
                <w:kern w:val="2"/>
                <w:lang w:eastAsia="en-US"/>
                <w14:ligatures w14:val="standardContextual"/>
              </w:rPr>
              <w:t>.</w:t>
            </w:r>
            <w:r w:rsidRPr="00F600E6">
              <w:rPr>
                <w:rFonts w:eastAsiaTheme="minorHAnsi"/>
                <w:kern w:val="2"/>
                <w:lang w:eastAsia="en-US"/>
                <w14:ligatures w14:val="standardContextual"/>
              </w:rPr>
              <w:t>O</w:t>
            </w:r>
            <w:r>
              <w:rPr>
                <w:rFonts w:eastAsiaTheme="minorHAnsi"/>
                <w:kern w:val="2"/>
                <w:lang w:eastAsia="en-US"/>
                <w14:ligatures w14:val="standardContextual"/>
              </w:rPr>
              <w:t>.</w:t>
            </w:r>
            <w:r w:rsidRPr="00F600E6">
              <w:rPr>
                <w:rFonts w:eastAsiaTheme="minorHAnsi"/>
                <w:kern w:val="2"/>
                <w:lang w:eastAsia="en-US"/>
                <w14:ligatures w14:val="standardContextual"/>
              </w:rPr>
              <w:t>T</w:t>
            </w:r>
            <w:r>
              <w:rPr>
                <w:rFonts w:eastAsiaTheme="minorHAnsi"/>
                <w:kern w:val="2"/>
                <w:lang w:eastAsia="en-US"/>
                <w14:ligatures w14:val="standardContextual"/>
              </w:rPr>
              <w:t>.</w:t>
            </w:r>
            <w:r w:rsidRPr="00F600E6">
              <w:rPr>
                <w:rFonts w:eastAsiaTheme="minorHAnsi"/>
                <w:kern w:val="2"/>
                <w:lang w:eastAsia="en-US"/>
                <w14:ligatures w14:val="standardContextual"/>
              </w:rPr>
              <w:t xml:space="preserve"> </w:t>
            </w:r>
            <w:r w:rsidR="00071380">
              <w:rPr>
                <w:rFonts w:ascii="Segoe UI" w:hAnsi="Segoe UI" w:cs="Segoe UI"/>
                <w:color w:val="1D2125"/>
                <w:sz w:val="23"/>
                <w:szCs w:val="23"/>
                <w:shd w:val="clear" w:color="auto" w:fill="FFFFFF"/>
              </w:rPr>
              <w:t>Analysis</w:t>
            </w:r>
          </w:p>
        </w:tc>
      </w:tr>
      <w:tr w:rsidR="009136D3" w:rsidRPr="00F600E6" w14:paraId="540F8370" w14:textId="77777777" w:rsidTr="009136D3">
        <w:tc>
          <w:tcPr>
            <w:tcW w:w="4508" w:type="dxa"/>
          </w:tcPr>
          <w:p w14:paraId="25A02680" w14:textId="77777777" w:rsidR="009136D3" w:rsidRPr="00F600E6" w:rsidRDefault="009136D3" w:rsidP="007864BC">
            <w:pPr>
              <w:pStyle w:val="p1"/>
              <w:spacing w:line="360" w:lineRule="auto"/>
              <w:jc w:val="both"/>
              <w:rPr>
                <w:rFonts w:eastAsiaTheme="minorHAnsi"/>
                <w:b/>
                <w:bCs/>
                <w:kern w:val="2"/>
                <w:lang w:eastAsia="en-US"/>
                <w14:ligatures w14:val="standardContextual"/>
              </w:rPr>
            </w:pPr>
            <w:r w:rsidRPr="00F600E6">
              <w:rPr>
                <w:rFonts w:eastAsiaTheme="minorHAnsi"/>
                <w:b/>
                <w:bCs/>
                <w:kern w:val="2"/>
                <w:lang w:eastAsia="en-US"/>
                <w14:ligatures w14:val="standardContextual"/>
              </w:rPr>
              <w:t>Course:  </w:t>
            </w:r>
          </w:p>
        </w:tc>
        <w:tc>
          <w:tcPr>
            <w:tcW w:w="4508" w:type="dxa"/>
          </w:tcPr>
          <w:p w14:paraId="0BF1BDEA" w14:textId="77777777" w:rsidR="009136D3" w:rsidRPr="00F600E6" w:rsidRDefault="009136D3" w:rsidP="007864BC">
            <w:pPr>
              <w:pStyle w:val="p1"/>
              <w:spacing w:line="360" w:lineRule="auto"/>
              <w:jc w:val="both"/>
              <w:rPr>
                <w:rFonts w:eastAsiaTheme="minorHAnsi"/>
                <w:kern w:val="2"/>
                <w:lang w:eastAsia="en-US"/>
                <w14:ligatures w14:val="standardContextual"/>
              </w:rPr>
            </w:pPr>
            <w:r w:rsidRPr="00F600E6">
              <w:rPr>
                <w:rFonts w:eastAsiaTheme="minorHAnsi"/>
                <w:kern w:val="2"/>
                <w:lang w:eastAsia="en-US"/>
                <w14:ligatures w14:val="standardContextual"/>
              </w:rPr>
              <w:t>Healthcare Practice</w:t>
            </w:r>
          </w:p>
        </w:tc>
      </w:tr>
      <w:tr w:rsidR="009136D3" w:rsidRPr="00F600E6" w14:paraId="5B8F0A6E" w14:textId="77777777" w:rsidTr="009136D3">
        <w:tc>
          <w:tcPr>
            <w:tcW w:w="4508" w:type="dxa"/>
          </w:tcPr>
          <w:p w14:paraId="723239D3" w14:textId="77777777" w:rsidR="009136D3" w:rsidRPr="00F600E6" w:rsidRDefault="009136D3" w:rsidP="007864BC">
            <w:pPr>
              <w:pStyle w:val="p1"/>
              <w:spacing w:line="360" w:lineRule="auto"/>
              <w:jc w:val="both"/>
              <w:rPr>
                <w:rFonts w:eastAsiaTheme="minorHAnsi"/>
                <w:b/>
                <w:bCs/>
                <w:kern w:val="2"/>
                <w:lang w:eastAsia="en-US"/>
                <w14:ligatures w14:val="standardContextual"/>
              </w:rPr>
            </w:pPr>
            <w:r w:rsidRPr="00F600E6">
              <w:rPr>
                <w:b/>
                <w:bCs/>
              </w:rPr>
              <w:t>Date created:</w:t>
            </w:r>
          </w:p>
        </w:tc>
        <w:tc>
          <w:tcPr>
            <w:tcW w:w="4508" w:type="dxa"/>
          </w:tcPr>
          <w:p w14:paraId="0BE14133" w14:textId="77777777" w:rsidR="009136D3" w:rsidRPr="00F600E6" w:rsidRDefault="009136D3" w:rsidP="007864BC">
            <w:pPr>
              <w:pStyle w:val="p1"/>
              <w:spacing w:line="360" w:lineRule="auto"/>
              <w:jc w:val="both"/>
              <w:rPr>
                <w:rFonts w:eastAsiaTheme="minorHAnsi"/>
                <w:kern w:val="2"/>
                <w:lang w:eastAsia="en-US"/>
                <w14:ligatures w14:val="standardContextual"/>
              </w:rPr>
            </w:pPr>
            <w:r w:rsidRPr="00F600E6">
              <w:t>23/11/2025</w:t>
            </w:r>
          </w:p>
        </w:tc>
      </w:tr>
      <w:tr w:rsidR="009136D3" w:rsidRPr="00F600E6" w14:paraId="7A75669C" w14:textId="77777777" w:rsidTr="009136D3">
        <w:tc>
          <w:tcPr>
            <w:tcW w:w="4508" w:type="dxa"/>
          </w:tcPr>
          <w:p w14:paraId="1990140D" w14:textId="77777777" w:rsidR="009136D3" w:rsidRPr="00F600E6" w:rsidRDefault="009136D3" w:rsidP="007864BC">
            <w:pPr>
              <w:pStyle w:val="p1"/>
              <w:spacing w:line="360" w:lineRule="auto"/>
              <w:jc w:val="both"/>
              <w:rPr>
                <w:b/>
                <w:bCs/>
              </w:rPr>
            </w:pPr>
            <w:r w:rsidRPr="00F600E6">
              <w:rPr>
                <w:b/>
                <w:bCs/>
              </w:rPr>
              <w:t>Last updated:</w:t>
            </w:r>
          </w:p>
        </w:tc>
        <w:tc>
          <w:tcPr>
            <w:tcW w:w="4508" w:type="dxa"/>
          </w:tcPr>
          <w:p w14:paraId="475DF463" w14:textId="063B4DFB" w:rsidR="009136D3" w:rsidRPr="00F600E6" w:rsidRDefault="009136D3" w:rsidP="007864BC">
            <w:pPr>
              <w:pStyle w:val="p1"/>
              <w:spacing w:line="360" w:lineRule="auto"/>
              <w:jc w:val="both"/>
            </w:pPr>
            <w:r>
              <w:t>12</w:t>
            </w:r>
            <w:r w:rsidRPr="00F600E6">
              <w:t>/12/2025</w:t>
            </w:r>
          </w:p>
        </w:tc>
      </w:tr>
    </w:tbl>
    <w:p w14:paraId="2C189AB6" w14:textId="77777777" w:rsidR="009136D3" w:rsidRDefault="009136D3" w:rsidP="00D25AC5">
      <w:pPr>
        <w:spacing w:before="100" w:beforeAutospacing="1" w:after="100" w:afterAutospacing="1" w:line="276" w:lineRule="auto"/>
        <w:jc w:val="both"/>
        <w:outlineLvl w:val="2"/>
        <w:rPr>
          <w:rFonts w:ascii="Times New Roman" w:eastAsia="Times New Roman" w:hAnsi="Times New Roman" w:cs="Times New Roman"/>
          <w:b/>
          <w:bCs/>
          <w:kern w:val="0"/>
          <w:lang w:eastAsia="ru-RU"/>
          <w14:ligatures w14:val="none"/>
        </w:rPr>
      </w:pPr>
    </w:p>
    <w:p w14:paraId="0B4816E5" w14:textId="427F637D" w:rsidR="00D25AC5" w:rsidRDefault="00D25AC5" w:rsidP="00D25AC5">
      <w:pPr>
        <w:spacing w:before="100" w:beforeAutospacing="1" w:after="100" w:afterAutospacing="1" w:line="276" w:lineRule="auto"/>
        <w:jc w:val="both"/>
        <w:outlineLvl w:val="2"/>
        <w:rPr>
          <w:rFonts w:ascii="Times New Roman" w:eastAsia="Times New Roman" w:hAnsi="Times New Roman" w:cs="Times New Roman"/>
          <w:b/>
          <w:bCs/>
          <w:kern w:val="0"/>
          <w:lang w:eastAsia="ru-RU"/>
          <w14:ligatures w14:val="none"/>
        </w:rPr>
      </w:pPr>
      <w:r w:rsidRPr="00D25AC5">
        <w:rPr>
          <w:rFonts w:ascii="Times New Roman" w:eastAsia="Times New Roman" w:hAnsi="Times New Roman" w:cs="Times New Roman"/>
          <w:b/>
          <w:bCs/>
          <w:kern w:val="0"/>
          <w:lang w:eastAsia="ru-RU"/>
          <w14:ligatures w14:val="none"/>
        </w:rPr>
        <w:t>Introduction</w:t>
      </w:r>
    </w:p>
    <w:p w14:paraId="21E5488F" w14:textId="77777777" w:rsidR="00390D6C" w:rsidRPr="00390D6C" w:rsidRDefault="00390D6C" w:rsidP="00390D6C">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390D6C">
        <w:rPr>
          <w:rFonts w:ascii="Times New Roman" w:eastAsia="Times New Roman" w:hAnsi="Times New Roman" w:cs="Times New Roman"/>
          <w:kern w:val="0"/>
          <w:lang w:eastAsia="ru-RU"/>
          <w14:ligatures w14:val="none"/>
        </w:rPr>
        <w:t>Reflective practice is increasingly recognised as a fundamental component of both academic and professional development, particularly within healthcare education. According to Hunger and Wheelen (2003), SWOT analysis offers a clear structure for examining internal attributes and external influences that shape personal growth. SWOT stands for strengths, weaknesses, opportunities, and threats. Karadzhov (2025) further emphasises that this method supports the creation of effective, individualised strategies for improvement. In the context of professional advancement, Jasper (2005) and Gibbs (1988) both argue that reflection enhances continuous development by encouraging critical engagement with experience. The Nursing and Midwifery Council (NMC, 2018) also identifies structured reflection as an essential skill for healthcare professionals.</w:t>
      </w:r>
    </w:p>
    <w:p w14:paraId="741D5988" w14:textId="77777777" w:rsidR="00390D6C" w:rsidRPr="00390D6C" w:rsidRDefault="00390D6C" w:rsidP="00390D6C">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390D6C">
        <w:rPr>
          <w:rFonts w:ascii="Times New Roman" w:eastAsia="Times New Roman" w:hAnsi="Times New Roman" w:cs="Times New Roman"/>
          <w:kern w:val="0"/>
          <w:lang w:eastAsia="ru-RU"/>
          <w14:ligatures w14:val="none"/>
        </w:rPr>
        <w:t>As healthcare becomes increasingly complex and communication-based, the ability to assess personal performance through a critical lens is considered vital for ethical and effective practice (Oxford English Dictionary, 2024). Reflection facilitates not only the recognition of personal patterns and habits but also the strengthening of decision-making and interpersonal skills. When applied systematically, models such as SWOT can bridge the gap between academic theory and practical self-awareness, laying the groundwork for lifelong learning and adaptability in professional contexts.</w:t>
      </w:r>
    </w:p>
    <w:p w14:paraId="450794B3" w14:textId="6344A076" w:rsidR="00390D6C" w:rsidRPr="00390D6C" w:rsidRDefault="00390D6C" w:rsidP="00390D6C">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390D6C">
        <w:rPr>
          <w:rFonts w:ascii="Times New Roman" w:eastAsia="Times New Roman" w:hAnsi="Times New Roman" w:cs="Times New Roman"/>
          <w:kern w:val="0"/>
          <w:lang w:eastAsia="ru-RU"/>
          <w14:ligatures w14:val="none"/>
        </w:rPr>
        <w:t>This paper presents a personal SWOT analysis focusing on the presentation skills of a student, Sofiia. The analysis is based on her recent oral presentation, which she regarded as a meaningful academic experience. As Cottrell (2024) notes, even a single learning episode can provide valuable insight when examined reflectively. The purpose of the analysis is not only to identify strengths and weaknesses but also to develop a targeted action plan for professional growth. According to Farjoun (2002), such planning transforms self-knowledge into practical outcomes.</w:t>
      </w:r>
    </w:p>
    <w:p w14:paraId="2B3C48E5" w14:textId="5252523A" w:rsidR="00D25AC5" w:rsidRPr="00D25AC5" w:rsidRDefault="00D25AC5" w:rsidP="00D25AC5">
      <w:pPr>
        <w:spacing w:after="0" w:line="276" w:lineRule="auto"/>
        <w:jc w:val="both"/>
        <w:rPr>
          <w:rFonts w:ascii="Times New Roman" w:eastAsia="Times New Roman" w:hAnsi="Times New Roman" w:cs="Times New Roman"/>
          <w:b/>
          <w:bCs/>
          <w:kern w:val="0"/>
          <w:lang w:eastAsia="ru-RU"/>
          <w14:ligatures w14:val="none"/>
        </w:rPr>
      </w:pPr>
      <w:r w:rsidRPr="00D25AC5">
        <w:rPr>
          <w:rFonts w:ascii="Times New Roman" w:eastAsia="Times New Roman" w:hAnsi="Times New Roman" w:cs="Times New Roman"/>
          <w:b/>
          <w:bCs/>
          <w:kern w:val="0"/>
          <w:lang w:eastAsia="ru-RU"/>
          <w14:ligatures w14:val="none"/>
        </w:rPr>
        <w:t>Strengths (S)</w:t>
      </w:r>
    </w:p>
    <w:p w14:paraId="05CFF494" w14:textId="43157FB0" w:rsidR="00D25AC5" w:rsidRPr="00D25AC5" w:rsidRDefault="00D25AC5" w:rsidP="00D25AC5">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 xml:space="preserve">One of the key strengths observed during Sofiia’s presentation was her ability to remain composed in a high-pressure environment. Although internal signs of nervousness were likely present, she managed to express herself clearly and assertively, particularly when responding to unexpected questions. For example, she demonstrated situational awareness and </w:t>
      </w:r>
      <w:r w:rsidRPr="00D25AC5">
        <w:rPr>
          <w:rFonts w:ascii="Times New Roman" w:eastAsia="Times New Roman" w:hAnsi="Times New Roman" w:cs="Times New Roman"/>
          <w:kern w:val="0"/>
          <w:lang w:eastAsia="ru-RU"/>
          <w14:ligatures w14:val="none"/>
        </w:rPr>
        <w:lastRenderedPageBreak/>
        <w:t>communication control by asking an audience member to rephrase a complex question</w:t>
      </w:r>
      <w:r>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a subtle but meaningful action.</w:t>
      </w:r>
    </w:p>
    <w:p w14:paraId="15E693C8" w14:textId="77777777"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Madhani (2021) emphasised that recognising and utilising personal resources is essential for long-term growth. In this case, Sofiia’s ability to manage communication under pressure represents a professional asset that supports her development. Johnson et al. (2022) found that healthcare students who proactively manage stress and maintain clear communication tend to adapt more effectively in clinical settings.</w:t>
      </w:r>
    </w:p>
    <w:p w14:paraId="68D02F57" w14:textId="018346B6" w:rsid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This is supported by NMC (2019), which stated that confident and composed communication is essential in professional healthcare contexts. Moreover, Graham et al. (2023) highlighted that clear interaction is not only beneficial for teamwork but also vital for patient safety, making this strength professionally significant.</w:t>
      </w:r>
    </w:p>
    <w:p w14:paraId="3A84B93B" w14:textId="77777777" w:rsidR="009136D3" w:rsidRPr="00D25AC5" w:rsidRDefault="009136D3"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p>
    <w:p w14:paraId="15B50D27" w14:textId="77777777" w:rsidR="00D25AC5" w:rsidRPr="00D25AC5" w:rsidRDefault="00D25AC5" w:rsidP="00D25AC5">
      <w:pPr>
        <w:spacing w:before="100" w:beforeAutospacing="1" w:after="100" w:afterAutospacing="1" w:line="276" w:lineRule="auto"/>
        <w:jc w:val="both"/>
        <w:outlineLvl w:val="2"/>
        <w:rPr>
          <w:rFonts w:ascii="Times New Roman" w:eastAsia="Times New Roman" w:hAnsi="Times New Roman" w:cs="Times New Roman"/>
          <w:b/>
          <w:bCs/>
          <w:kern w:val="0"/>
          <w:lang w:eastAsia="ru-RU"/>
          <w14:ligatures w14:val="none"/>
        </w:rPr>
      </w:pPr>
      <w:r w:rsidRPr="00D25AC5">
        <w:rPr>
          <w:rFonts w:ascii="Times New Roman" w:eastAsia="Times New Roman" w:hAnsi="Times New Roman" w:cs="Times New Roman"/>
          <w:b/>
          <w:bCs/>
          <w:kern w:val="0"/>
          <w:lang w:eastAsia="ru-RU"/>
          <w14:ligatures w14:val="none"/>
        </w:rPr>
        <w:t>Weaknesses (W)</w:t>
      </w:r>
    </w:p>
    <w:p w14:paraId="5DC63DE6" w14:textId="5BE2280F"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While Sofiia demonstrated strengths in communication, a significant weakness became evident during her oral classroom presentation: she experienced cognitive blocking, which disrupted her ability to organise thoughts and respond fluidly. This issue appears to stem from emotional overload during performance situations, a response commonly linked to stress-induced physiological effects. As noted by Graham et al. (2023), elevated cortisol levels under pressure can impair working memory and executive attention</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both essential for effective oral communication.</w:t>
      </w:r>
    </w:p>
    <w:p w14:paraId="19418B41" w14:textId="77777777"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During the presentation, Sofiia appeared overwhelmed by emotion, which made it difficult to remain focused. This experience aligns with findings by Lee and Kim (2018), who reported that emotional interference is a frequent barrier among ESL (English as a Second Language) students during public speaking. Madhani (2021) emphasised that recognising internal limitations is a key step toward professional development, and in this case, emotional regulation presents a clear area for growth.</w:t>
      </w:r>
    </w:p>
    <w:p w14:paraId="02880945" w14:textId="77777777"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Importantly, this weakness is not fixed and can be addressed with targeted strategies. Jasper (2005) highlighted the role of reflective practice in overcoming behavioural obstacles, while Cottrell (2024) pointed to the value of metacognitive tools in managing anxiety. In addition, Schön (1983) argued that to transition from "reflection-on-action" to "reflection-in-action", learners must actively engage with these internal challenges as part of their development process.</w:t>
      </w:r>
    </w:p>
    <w:p w14:paraId="154D6155" w14:textId="449D93B2" w:rsidR="009136D3" w:rsidRPr="009136D3" w:rsidRDefault="00D25AC5" w:rsidP="009136D3">
      <w:pPr>
        <w:spacing w:after="0" w:line="276" w:lineRule="auto"/>
        <w:jc w:val="both"/>
        <w:rPr>
          <w:rFonts w:ascii="Times New Roman" w:eastAsia="Times New Roman" w:hAnsi="Times New Roman" w:cs="Times New Roman"/>
          <w:b/>
          <w:bCs/>
          <w:kern w:val="0"/>
          <w:lang w:eastAsia="ru-RU"/>
          <w14:ligatures w14:val="none"/>
        </w:rPr>
      </w:pPr>
      <w:r w:rsidRPr="00D25AC5">
        <w:rPr>
          <w:rFonts w:ascii="Times New Roman" w:eastAsia="Times New Roman" w:hAnsi="Times New Roman" w:cs="Times New Roman"/>
          <w:b/>
          <w:bCs/>
          <w:kern w:val="0"/>
          <w:lang w:eastAsia="ru-RU"/>
          <w14:ligatures w14:val="none"/>
        </w:rPr>
        <w:t>Opportunities (O)</w:t>
      </w:r>
    </w:p>
    <w:p w14:paraId="61853F2E" w14:textId="79BB56C8"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Following the classroom oral presentation, several external opportunities were identified that could support Sofiia in addressing her internal challenges</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 xml:space="preserve">particularly the cognitive blocking she experienced under stress. One of the most valuable resources available </w:t>
      </w:r>
      <w:r w:rsidRPr="00D25AC5">
        <w:rPr>
          <w:rFonts w:ascii="Times New Roman" w:eastAsia="Times New Roman" w:hAnsi="Times New Roman" w:cs="Times New Roman"/>
          <w:kern w:val="0"/>
          <w:lang w:eastAsia="ru-RU"/>
          <w14:ligatures w14:val="none"/>
        </w:rPr>
        <w:lastRenderedPageBreak/>
        <w:t>to her is the university’s Study Skills Service, which offers practical workshops, one-to-one support, and peer learning environments (University of Wales Trinity Saint David [UWTSD], 2024). These resources can play a key role in developing emotional regulation and public speaking confidence.</w:t>
      </w:r>
    </w:p>
    <w:p w14:paraId="4FD5B6D4" w14:textId="77777777"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Gibbs (1988) highlighted that reflective learners benefit greatly from structured, practice-based support. In Sofiia’s case, attending targeted sessions on anxiety management and academic communication could help reduce the emotional overload that disrupted her performance. Additionally, NMC (2018) advised future healthcare professionals to actively engage with support systems in order to maintain competence and self-confidence.</w:t>
      </w:r>
    </w:p>
    <w:p w14:paraId="54D3CB2A" w14:textId="64CCCF99"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Another opportunity lies in Sofiia’s status as a motivated learner. Her willingness to reflect critically</w:t>
      </w:r>
      <w:r w:rsidR="009136D3">
        <w:rPr>
          <w:rFonts w:ascii="Times New Roman" w:eastAsia="Times New Roman" w:hAnsi="Times New Roman" w:cs="Times New Roman"/>
          <w:kern w:val="0"/>
          <w:lang w:eastAsia="ru-RU"/>
          <w14:ligatures w14:val="none"/>
        </w:rPr>
        <w:t xml:space="preserve"> is </w:t>
      </w:r>
      <w:r w:rsidRPr="00D25AC5">
        <w:rPr>
          <w:rFonts w:ascii="Times New Roman" w:eastAsia="Times New Roman" w:hAnsi="Times New Roman" w:cs="Times New Roman"/>
          <w:kern w:val="0"/>
          <w:lang w:eastAsia="ru-RU"/>
          <w14:ligatures w14:val="none"/>
        </w:rPr>
        <w:t>demonstrated through this SWOT analysis</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positions her well to benefit from external learning tools. As Hunger and Wheelen (2003) suggested, opportunities become meaningful when aligned with personal goals and applied through consistent effort.</w:t>
      </w:r>
    </w:p>
    <w:p w14:paraId="6F17DBCD" w14:textId="28874B43" w:rsidR="009136D3" w:rsidRPr="009136D3" w:rsidRDefault="00D25AC5" w:rsidP="009136D3">
      <w:pPr>
        <w:spacing w:after="0" w:line="276" w:lineRule="auto"/>
        <w:jc w:val="both"/>
        <w:rPr>
          <w:rFonts w:ascii="Times New Roman" w:eastAsia="Times New Roman" w:hAnsi="Times New Roman" w:cs="Times New Roman"/>
          <w:b/>
          <w:bCs/>
          <w:kern w:val="0"/>
          <w:lang w:eastAsia="ru-RU"/>
          <w14:ligatures w14:val="none"/>
        </w:rPr>
      </w:pPr>
      <w:r w:rsidRPr="00D25AC5">
        <w:rPr>
          <w:rFonts w:ascii="Times New Roman" w:eastAsia="Times New Roman" w:hAnsi="Times New Roman" w:cs="Times New Roman"/>
          <w:b/>
          <w:bCs/>
          <w:kern w:val="0"/>
          <w:lang w:eastAsia="ru-RU"/>
          <w14:ligatures w14:val="none"/>
        </w:rPr>
        <w:t>Threats (T)</w:t>
      </w:r>
    </w:p>
    <w:p w14:paraId="4C4BDA9B" w14:textId="09B67B8A"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Despite the support available within the university, certain external factors may continue to challenge Sofiia’s ability to deliver confident oral presentations. The most prominent threat lies in her ongoing challenges as an ESL speaker. During the classroom presentation, language complexity</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combined with stress</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appeared to amplify emotional tension and interfere with fluent expression. Lee and Kim (2018) noted that many ESL students report similar struggles when presenting in academic settings, especially under time pressure or when facing unexpected questions.</w:t>
      </w:r>
    </w:p>
    <w:p w14:paraId="150E49F9" w14:textId="77777777"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Chan (2021) further explained that the structure and nuance of the English language can overwhelm non-native speakers in high-stakes situations. This represents a systemic barrier that lies beyond Sofiia’s immediate control. Farjoun (2002) pointed out that environmental threats, such as linguistic disadvantage, require strategic adaptation rather than elimination.</w:t>
      </w:r>
    </w:p>
    <w:p w14:paraId="60388AE1" w14:textId="4945E077"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For this reason, Karadzhov (2025) recommended that students facing such challenges develop proactive strategies to minimise impact</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such as practising with mock audiences or using structured scripts. Additionally, Wernerfelt (1984) suggested that strengthening internal capabilities, such as emotional resilience and confidence, can help offset external threats and maintain long-term growth.</w:t>
      </w:r>
    </w:p>
    <w:p w14:paraId="248C86AE" w14:textId="74F0BA13" w:rsidR="009136D3" w:rsidRPr="009136D3" w:rsidRDefault="00D25AC5" w:rsidP="009136D3">
      <w:pPr>
        <w:spacing w:after="0" w:line="276" w:lineRule="auto"/>
        <w:jc w:val="both"/>
        <w:rPr>
          <w:rFonts w:ascii="Times New Roman" w:eastAsia="Times New Roman" w:hAnsi="Times New Roman" w:cs="Times New Roman"/>
          <w:b/>
          <w:bCs/>
          <w:kern w:val="0"/>
          <w:lang w:eastAsia="ru-RU"/>
          <w14:ligatures w14:val="none"/>
        </w:rPr>
      </w:pPr>
      <w:r w:rsidRPr="00D25AC5">
        <w:rPr>
          <w:rFonts w:ascii="Times New Roman" w:eastAsia="Times New Roman" w:hAnsi="Times New Roman" w:cs="Times New Roman"/>
          <w:b/>
          <w:bCs/>
          <w:kern w:val="0"/>
          <w:lang w:eastAsia="ru-RU"/>
          <w14:ligatures w14:val="none"/>
        </w:rPr>
        <w:t>Conclusion and Action Plan</w:t>
      </w:r>
    </w:p>
    <w:p w14:paraId="48FFC59D" w14:textId="03CC3CD8"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This SWOT analysis has clearly demonstrated its value as a tool for critical self-reflection and professional development (Jasper, 2005). The findings confirm that the student, Sofiia, possesses a strong internal resource</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proactive communication management under stress</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which is essential in clinical settings (NMC, 2018). This assertive ability provides a solid foundation for transforming a temporary weakness</w:t>
      </w:r>
      <w:r w:rsidR="000838A9">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a tendency toward cognitive blocking</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into a communication growth opportunity in second-language settings (Graham et al., 2023).</w:t>
      </w:r>
    </w:p>
    <w:p w14:paraId="174D0249" w14:textId="77777777"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lastRenderedPageBreak/>
        <w:t>The following action plan was designed with a supportive and developmental approach, focusing not on problems, but on strengthening existing skills and building confidence through meaningful experiences in second-language communication. Each challenge will be reframed as a step toward greater professional competence.</w:t>
      </w:r>
    </w:p>
    <w:p w14:paraId="1C2D6BCE" w14:textId="5E5899F6" w:rsidR="00D25AC5" w:rsidRPr="009136D3" w:rsidRDefault="00D25AC5" w:rsidP="009136D3">
      <w:pPr>
        <w:spacing w:after="0" w:line="276" w:lineRule="auto"/>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b/>
          <w:bCs/>
          <w:kern w:val="0"/>
          <w:lang w:eastAsia="ru-RU"/>
          <w14:ligatures w14:val="none"/>
        </w:rPr>
        <w:t>Action Plan to Strengthen Communication Confidence</w:t>
      </w:r>
    </w:p>
    <w:p w14:paraId="043A57BE" w14:textId="4D44D85C" w:rsidR="009136D3" w:rsidRPr="009136D3" w:rsidRDefault="00D25AC5" w:rsidP="009136D3">
      <w:pPr>
        <w:pStyle w:val="a7"/>
        <w:numPr>
          <w:ilvl w:val="0"/>
          <w:numId w:val="7"/>
        </w:numPr>
        <w:spacing w:before="100" w:beforeAutospacing="1" w:after="100" w:afterAutospacing="1" w:line="276" w:lineRule="auto"/>
        <w:jc w:val="both"/>
        <w:rPr>
          <w:rFonts w:ascii="Times New Roman" w:eastAsia="Times New Roman" w:hAnsi="Times New Roman" w:cs="Times New Roman"/>
          <w:b/>
          <w:bCs/>
          <w:kern w:val="0"/>
          <w:lang w:eastAsia="ru-RU"/>
          <w14:ligatures w14:val="none"/>
        </w:rPr>
      </w:pPr>
      <w:r w:rsidRPr="009136D3">
        <w:rPr>
          <w:rFonts w:ascii="Times New Roman" w:eastAsia="Times New Roman" w:hAnsi="Times New Roman" w:cs="Times New Roman"/>
          <w:b/>
          <w:bCs/>
          <w:kern w:val="0"/>
          <w:lang w:eastAsia="ru-RU"/>
          <w14:ligatures w14:val="none"/>
        </w:rPr>
        <w:t>Enhancing Mental Resilience (from W to S)</w:t>
      </w:r>
    </w:p>
    <w:p w14:paraId="1FA9A9D6" w14:textId="60A1F59E" w:rsidR="009136D3" w:rsidRDefault="00D25AC5" w:rsidP="009136D3">
      <w:pPr>
        <w:pStyle w:val="a7"/>
        <w:spacing w:before="100" w:beforeAutospacing="1" w:after="100" w:afterAutospacing="1" w:line="276" w:lineRule="auto"/>
        <w:jc w:val="both"/>
        <w:rPr>
          <w:rFonts w:ascii="Times New Roman" w:eastAsia="Times New Roman" w:hAnsi="Times New Roman" w:cs="Times New Roman"/>
          <w:kern w:val="0"/>
          <w:lang w:eastAsia="ru-RU"/>
          <w14:ligatures w14:val="none"/>
        </w:rPr>
      </w:pPr>
      <w:r w:rsidRPr="009136D3">
        <w:rPr>
          <w:rFonts w:ascii="Times New Roman" w:eastAsia="Times New Roman" w:hAnsi="Times New Roman" w:cs="Times New Roman"/>
          <w:kern w:val="0"/>
          <w:lang w:eastAsia="ru-RU"/>
          <w14:ligatures w14:val="none"/>
        </w:rPr>
        <w:br/>
        <w:t>Sofiia will actively use available opportunities by enrolling in one-to-one consultations through the Study Skills Service (UWTSD, 2024). The goal is to convert cognitive blocking into a conscious pause, using metacognitive restructuring techniques. This will strengthen her ability to remain calm and composed under pressure</w:t>
      </w:r>
      <w:r w:rsidR="009136D3">
        <w:rPr>
          <w:rFonts w:ascii="Times New Roman" w:eastAsia="Times New Roman" w:hAnsi="Times New Roman" w:cs="Times New Roman"/>
          <w:kern w:val="0"/>
          <w:lang w:eastAsia="ru-RU"/>
          <w14:ligatures w14:val="none"/>
        </w:rPr>
        <w:t xml:space="preserve">, </w:t>
      </w:r>
      <w:r w:rsidRPr="009136D3">
        <w:rPr>
          <w:rFonts w:ascii="Times New Roman" w:eastAsia="Times New Roman" w:hAnsi="Times New Roman" w:cs="Times New Roman"/>
          <w:kern w:val="0"/>
          <w:lang w:eastAsia="ru-RU"/>
          <w14:ligatures w14:val="none"/>
        </w:rPr>
        <w:t>a skill supported by research on mindfulness and cognitive control (Johnson et al., 2022).</w:t>
      </w:r>
    </w:p>
    <w:p w14:paraId="21974501" w14:textId="77777777" w:rsidR="009136D3" w:rsidRPr="009136D3" w:rsidRDefault="00D25AC5" w:rsidP="009136D3">
      <w:pPr>
        <w:pStyle w:val="a7"/>
        <w:numPr>
          <w:ilvl w:val="0"/>
          <w:numId w:val="7"/>
        </w:numPr>
        <w:spacing w:before="100" w:beforeAutospacing="1" w:after="100" w:afterAutospacing="1" w:line="276" w:lineRule="auto"/>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b/>
          <w:bCs/>
          <w:kern w:val="0"/>
          <w:lang w:eastAsia="ru-RU"/>
          <w14:ligatures w14:val="none"/>
        </w:rPr>
        <w:t>Building Experiential Expertise (from S to S, mitigating T)</w:t>
      </w:r>
    </w:p>
    <w:p w14:paraId="730F32C4" w14:textId="405896A0" w:rsidR="00D25AC5" w:rsidRPr="00D25AC5" w:rsidRDefault="00D25AC5" w:rsidP="009136D3">
      <w:pPr>
        <w:pStyle w:val="a7"/>
        <w:spacing w:before="100" w:beforeAutospacing="1" w:after="100" w:afterAutospacing="1" w:line="276" w:lineRule="auto"/>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br/>
        <w:t>Using her existing strength in proactivity, Sofiia will regularly participate in role-play simulations and group exercises (Gibbs, 1988). These activities will allow her to apply her communication skills in increasingly complex scenarios, thereby strengthening her ability to act assertively and reflectively in real-world professional settings.</w:t>
      </w:r>
    </w:p>
    <w:p w14:paraId="291B8510" w14:textId="777A4270" w:rsidR="00D25AC5" w:rsidRPr="00D25AC5" w:rsidRDefault="00D25AC5" w:rsidP="009136D3">
      <w:pPr>
        <w:spacing w:before="100" w:beforeAutospacing="1" w:after="100" w:afterAutospacing="1" w:line="276" w:lineRule="auto"/>
        <w:ind w:left="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As her confidence grows through repeated, low-risk practice, this experiential learning will amplify an existing strength</w:t>
      </w:r>
      <w:r w:rsidR="009136D3">
        <w:rPr>
          <w:rFonts w:ascii="Times New Roman" w:eastAsia="Times New Roman" w:hAnsi="Times New Roman" w:cs="Times New Roman"/>
          <w:kern w:val="0"/>
          <w:lang w:eastAsia="ru-RU"/>
          <w14:ligatures w14:val="none"/>
        </w:rPr>
        <w:t xml:space="preserve">, </w:t>
      </w:r>
      <w:r w:rsidRPr="00D25AC5">
        <w:rPr>
          <w:rFonts w:ascii="Times New Roman" w:eastAsia="Times New Roman" w:hAnsi="Times New Roman" w:cs="Times New Roman"/>
          <w:kern w:val="0"/>
          <w:lang w:eastAsia="ru-RU"/>
          <w14:ligatures w14:val="none"/>
        </w:rPr>
        <w:t>turning it into a consistent behavioural asset under pressure. At the same time, this method will indirectly reduce the systemic threat of ESL-related communication anxiety by building real-time fluency and intercultural competence (Chan, 2021). Karadzhov (2025) reinforced that such proactive exposure is one of the most effective ways to manage external limitations.</w:t>
      </w:r>
    </w:p>
    <w:p w14:paraId="61DAB3B9" w14:textId="1E2D9A59" w:rsidR="009136D3" w:rsidRPr="009136D3" w:rsidRDefault="00D25AC5" w:rsidP="009136D3">
      <w:pPr>
        <w:pStyle w:val="a7"/>
        <w:numPr>
          <w:ilvl w:val="0"/>
          <w:numId w:val="7"/>
        </w:numPr>
        <w:spacing w:before="100" w:beforeAutospacing="1" w:after="100" w:afterAutospacing="1" w:line="276" w:lineRule="auto"/>
        <w:jc w:val="both"/>
        <w:rPr>
          <w:rFonts w:ascii="Times New Roman" w:eastAsia="Times New Roman" w:hAnsi="Times New Roman" w:cs="Times New Roman"/>
          <w:b/>
          <w:bCs/>
          <w:kern w:val="0"/>
          <w:lang w:eastAsia="ru-RU"/>
          <w14:ligatures w14:val="none"/>
        </w:rPr>
      </w:pPr>
      <w:r w:rsidRPr="009136D3">
        <w:rPr>
          <w:rFonts w:ascii="Times New Roman" w:eastAsia="Times New Roman" w:hAnsi="Times New Roman" w:cs="Times New Roman"/>
          <w:b/>
          <w:bCs/>
          <w:kern w:val="0"/>
          <w:lang w:eastAsia="ru-RU"/>
          <w14:ligatures w14:val="none"/>
        </w:rPr>
        <w:t>Developing Professional Confidence (CPD)</w:t>
      </w:r>
    </w:p>
    <w:p w14:paraId="1FCC7408" w14:textId="433EF8C7" w:rsidR="00D25AC5" w:rsidRPr="009136D3" w:rsidRDefault="00D25AC5" w:rsidP="009136D3">
      <w:pPr>
        <w:pStyle w:val="a7"/>
        <w:spacing w:before="100" w:beforeAutospacing="1" w:after="100" w:afterAutospacing="1" w:line="276" w:lineRule="auto"/>
        <w:jc w:val="both"/>
        <w:rPr>
          <w:rFonts w:ascii="Times New Roman" w:eastAsia="Times New Roman" w:hAnsi="Times New Roman" w:cs="Times New Roman"/>
          <w:kern w:val="0"/>
          <w:lang w:eastAsia="ru-RU"/>
          <w14:ligatures w14:val="none"/>
        </w:rPr>
      </w:pPr>
      <w:r w:rsidRPr="009136D3">
        <w:rPr>
          <w:rFonts w:ascii="Times New Roman" w:eastAsia="Times New Roman" w:hAnsi="Times New Roman" w:cs="Times New Roman"/>
          <w:kern w:val="0"/>
          <w:lang w:eastAsia="ru-RU"/>
          <w14:ligatures w14:val="none"/>
        </w:rPr>
        <w:br/>
        <w:t>Following the guidance of NMC (2018) and Jasper (2005), Sofiia will keep a reflective journal to record successful examples of assertive communication. This process transforms "reflection-on-action" into "reflection-in-action" (Schön, 1983), helping her integrate experiences into her evolving professional identity. As outlined in NMC (2002), ongoing self-assessment is essential for ethical and competent practice.</w:t>
      </w:r>
    </w:p>
    <w:p w14:paraId="018C19BF" w14:textId="77777777" w:rsidR="00D25AC5" w:rsidRPr="00D25AC5" w:rsidRDefault="00D25AC5" w:rsidP="009136D3">
      <w:pPr>
        <w:spacing w:before="100" w:beforeAutospacing="1" w:after="100" w:afterAutospacing="1" w:line="276" w:lineRule="auto"/>
        <w:ind w:firstLine="708"/>
        <w:jc w:val="both"/>
        <w:rPr>
          <w:rFonts w:ascii="Times New Roman" w:eastAsia="Times New Roman" w:hAnsi="Times New Roman" w:cs="Times New Roman"/>
          <w:kern w:val="0"/>
          <w:lang w:eastAsia="ru-RU"/>
          <w14:ligatures w14:val="none"/>
        </w:rPr>
      </w:pPr>
      <w:r w:rsidRPr="00D25AC5">
        <w:rPr>
          <w:rFonts w:ascii="Times New Roman" w:eastAsia="Times New Roman" w:hAnsi="Times New Roman" w:cs="Times New Roman"/>
          <w:kern w:val="0"/>
          <w:lang w:eastAsia="ru-RU"/>
          <w14:ligatures w14:val="none"/>
        </w:rPr>
        <w:t>The entire process stands as a meaningful act of reflection that supports long-term professional growth (Johnson et al., 2022).</w:t>
      </w:r>
    </w:p>
    <w:p w14:paraId="6262AC30" w14:textId="77777777" w:rsidR="006040EA" w:rsidRDefault="006040EA" w:rsidP="002D139D">
      <w:pPr>
        <w:spacing w:after="0" w:line="240" w:lineRule="auto"/>
        <w:rPr>
          <w:rFonts w:ascii="Times New Roman" w:eastAsia="Times New Roman" w:hAnsi="Times New Roman" w:cs="Times New Roman"/>
          <w:b/>
          <w:bCs/>
          <w:kern w:val="0"/>
          <w:sz w:val="36"/>
          <w:szCs w:val="36"/>
          <w:lang w:eastAsia="ru-RU"/>
          <w14:ligatures w14:val="none"/>
        </w:rPr>
        <w:sectPr w:rsidR="006040EA">
          <w:footerReference w:type="default" r:id="rId8"/>
          <w:pgSz w:w="11906" w:h="16838"/>
          <w:pgMar w:top="1440" w:right="1440" w:bottom="1440" w:left="1440" w:header="708" w:footer="708" w:gutter="0"/>
          <w:cols w:space="708"/>
          <w:docGrid w:linePitch="360"/>
        </w:sectPr>
      </w:pPr>
    </w:p>
    <w:p w14:paraId="5C409025" w14:textId="0C07CEAE" w:rsidR="00D25AC5" w:rsidRDefault="002D139D" w:rsidP="00D25AC5">
      <w:pPr>
        <w:pStyle w:val="ac"/>
      </w:pPr>
      <w:r w:rsidRPr="002D139D">
        <w:rPr>
          <w:b/>
          <w:bCs/>
          <w:sz w:val="36"/>
          <w:szCs w:val="36"/>
        </w:rPr>
        <w:lastRenderedPageBreak/>
        <w:t>References</w:t>
      </w:r>
    </w:p>
    <w:p w14:paraId="3B53B364" w14:textId="77777777" w:rsidR="00D25AC5" w:rsidRDefault="00D25AC5" w:rsidP="00D25AC5">
      <w:pPr>
        <w:pStyle w:val="ac"/>
        <w:numPr>
          <w:ilvl w:val="0"/>
          <w:numId w:val="3"/>
        </w:numPr>
      </w:pPr>
      <w:r>
        <w:t xml:space="preserve">Chan, C.Y. (2021) ‘Strategies for managing presentation anxiety in academic settings’, </w:t>
      </w:r>
      <w:r>
        <w:rPr>
          <w:rStyle w:val="ae"/>
          <w:rFonts w:eastAsiaTheme="majorEastAsia"/>
        </w:rPr>
        <w:t>Higher Education Research &amp; Development</w:t>
      </w:r>
      <w:r>
        <w:t xml:space="preserve">, 40(2), pp. 310–325. Available at: </w:t>
      </w:r>
      <w:hyperlink r:id="rId9" w:history="1">
        <w:r>
          <w:rPr>
            <w:rStyle w:val="af"/>
            <w:rFonts w:eastAsiaTheme="majorEastAsia"/>
          </w:rPr>
          <w:t>https://doi.org/10.1080/07294360.2020.1737652</w:t>
        </w:r>
      </w:hyperlink>
      <w:r>
        <w:t xml:space="preserve"> (Accessed: 23 November 2025).</w:t>
      </w:r>
    </w:p>
    <w:p w14:paraId="1515CCD6" w14:textId="77777777" w:rsidR="00D25AC5" w:rsidRDefault="00D25AC5" w:rsidP="00D25AC5">
      <w:pPr>
        <w:pStyle w:val="ac"/>
        <w:numPr>
          <w:ilvl w:val="0"/>
          <w:numId w:val="3"/>
        </w:numPr>
      </w:pPr>
      <w:r>
        <w:t xml:space="preserve">Cottrell, S. (2024) </w:t>
      </w:r>
      <w:r>
        <w:rPr>
          <w:rStyle w:val="ae"/>
          <w:rFonts w:eastAsiaTheme="majorEastAsia"/>
        </w:rPr>
        <w:t>The study skills handbook</w:t>
      </w:r>
      <w:r>
        <w:t xml:space="preserve">. 6th edn. London: Bloomsbury Academic. Available at: </w:t>
      </w:r>
      <w:hyperlink r:id="rId10" w:history="1">
        <w:r>
          <w:rPr>
            <w:rStyle w:val="af"/>
            <w:rFonts w:eastAsiaTheme="majorEastAsia"/>
          </w:rPr>
          <w:t>https://librarysearch.uwtsd.ac.uk/permalink/44WHELF_UWTSD/1pbrh66/alma99100633602802421</w:t>
        </w:r>
      </w:hyperlink>
      <w:r>
        <w:t xml:space="preserve"> (Accessed: 23 November 2025).</w:t>
      </w:r>
    </w:p>
    <w:p w14:paraId="005FF3F4" w14:textId="77777777" w:rsidR="00D25AC5" w:rsidRDefault="00D25AC5" w:rsidP="00D25AC5">
      <w:pPr>
        <w:pStyle w:val="ac"/>
        <w:numPr>
          <w:ilvl w:val="0"/>
          <w:numId w:val="3"/>
        </w:numPr>
      </w:pPr>
      <w:r>
        <w:t xml:space="preserve">Farjoun, M. (2002) ‘Towards an organic perspective on strategy’, </w:t>
      </w:r>
      <w:r>
        <w:rPr>
          <w:rStyle w:val="ae"/>
          <w:rFonts w:eastAsiaTheme="majorEastAsia"/>
        </w:rPr>
        <w:t>Strategic Management Journal</w:t>
      </w:r>
      <w:r>
        <w:t xml:space="preserve">, 23(7), pp. 561–594. Available at: </w:t>
      </w:r>
      <w:hyperlink r:id="rId11" w:history="1">
        <w:r>
          <w:rPr>
            <w:rStyle w:val="af"/>
            <w:rFonts w:eastAsiaTheme="majorEastAsia"/>
          </w:rPr>
          <w:t>https://doi.org/10.1002/smj.239</w:t>
        </w:r>
      </w:hyperlink>
      <w:r>
        <w:t xml:space="preserve"> (Accessed: 4 December 2025).</w:t>
      </w:r>
    </w:p>
    <w:p w14:paraId="7C1E92AE" w14:textId="77777777" w:rsidR="00D25AC5" w:rsidRDefault="00D25AC5" w:rsidP="00D25AC5">
      <w:pPr>
        <w:pStyle w:val="ac"/>
        <w:numPr>
          <w:ilvl w:val="0"/>
          <w:numId w:val="3"/>
        </w:numPr>
      </w:pPr>
      <w:r>
        <w:t xml:space="preserve">Gibbs, G. (1988) </w:t>
      </w:r>
      <w:r>
        <w:rPr>
          <w:rStyle w:val="ae"/>
          <w:rFonts w:eastAsiaTheme="majorEastAsia"/>
        </w:rPr>
        <w:t>Learning by doing: A guide to teaching and learning methods</w:t>
      </w:r>
      <w:r>
        <w:t xml:space="preserve">. London: Further Education Unit. Available at: </w:t>
      </w:r>
      <w:hyperlink r:id="rId12" w:history="1">
        <w:r>
          <w:rPr>
            <w:rStyle w:val="af"/>
            <w:rFonts w:eastAsiaTheme="majorEastAsia"/>
          </w:rPr>
          <w:t>https://librarysearch.uwtsd.ac.uk/permalink/44WHELF_UWTSD/11c0l68/alma9921002002421</w:t>
        </w:r>
      </w:hyperlink>
      <w:r>
        <w:t xml:space="preserve"> (Accessed: 23 November 2025).</w:t>
      </w:r>
    </w:p>
    <w:p w14:paraId="3BEE2283" w14:textId="77777777" w:rsidR="00D25AC5" w:rsidRDefault="00D25AC5" w:rsidP="00D25AC5">
      <w:pPr>
        <w:pStyle w:val="ac"/>
        <w:numPr>
          <w:ilvl w:val="0"/>
          <w:numId w:val="3"/>
        </w:numPr>
      </w:pPr>
      <w:r>
        <w:t xml:space="preserve">Graham, M.C., Husman, J., Pekrun, R., Villanueva, I. and Christensen, D. (2023) ‘The dynamic experience of taking an examination: Ever changing cortisol and expectancy for success’, </w:t>
      </w:r>
      <w:r>
        <w:rPr>
          <w:rStyle w:val="ae"/>
          <w:rFonts w:eastAsiaTheme="majorEastAsia"/>
        </w:rPr>
        <w:t>British Journal of Educational Psychology</w:t>
      </w:r>
      <w:r>
        <w:t xml:space="preserve">, 93(S1), pp. 195–210. Available at: </w:t>
      </w:r>
      <w:hyperlink r:id="rId13" w:history="1">
        <w:r>
          <w:rPr>
            <w:rStyle w:val="af"/>
            <w:rFonts w:eastAsiaTheme="majorEastAsia"/>
          </w:rPr>
          <w:t>https://doi.org/10.1111/bjep.12521</w:t>
        </w:r>
      </w:hyperlink>
      <w:r>
        <w:t xml:space="preserve"> (Accessed: 23 November 2025).</w:t>
      </w:r>
    </w:p>
    <w:p w14:paraId="39AEC2B3" w14:textId="77777777" w:rsidR="00D25AC5" w:rsidRDefault="00D25AC5" w:rsidP="00D25AC5">
      <w:pPr>
        <w:pStyle w:val="ac"/>
        <w:numPr>
          <w:ilvl w:val="0"/>
          <w:numId w:val="3"/>
        </w:numPr>
      </w:pPr>
      <w:r>
        <w:t xml:space="preserve">Hunger, J.D. and Wheelen, T.L. (2003) </w:t>
      </w:r>
      <w:r>
        <w:rPr>
          <w:rStyle w:val="ae"/>
          <w:rFonts w:eastAsiaTheme="majorEastAsia"/>
        </w:rPr>
        <w:t>Essentials of strategic management</w:t>
      </w:r>
      <w:r>
        <w:t xml:space="preserve">. 4th edn. New Jersey: Prentice Hall. Available at: </w:t>
      </w:r>
      <w:hyperlink r:id="rId14" w:history="1">
        <w:r>
          <w:rPr>
            <w:rStyle w:val="af"/>
            <w:rFonts w:eastAsiaTheme="majorEastAsia"/>
          </w:rPr>
          <w:t>https://www.biotechconsultancy.net/files/news/management/Strategic-Management-Essentials.pdf</w:t>
        </w:r>
      </w:hyperlink>
      <w:r>
        <w:t xml:space="preserve"> (Accessed: 4 December 2025).</w:t>
      </w:r>
    </w:p>
    <w:p w14:paraId="00700EF8" w14:textId="77777777" w:rsidR="00D25AC5" w:rsidRDefault="00D25AC5" w:rsidP="00D25AC5">
      <w:pPr>
        <w:pStyle w:val="ac"/>
        <w:numPr>
          <w:ilvl w:val="0"/>
          <w:numId w:val="3"/>
        </w:numPr>
      </w:pPr>
      <w:r>
        <w:t xml:space="preserve">Jasper, M.A. (2005) ‘Using reflective writing within research’, </w:t>
      </w:r>
      <w:r>
        <w:rPr>
          <w:rStyle w:val="ae"/>
          <w:rFonts w:eastAsiaTheme="majorEastAsia"/>
        </w:rPr>
        <w:t>Journal of Research in Nursing</w:t>
      </w:r>
      <w:r>
        <w:t xml:space="preserve">, 10(3), pp. 247–260. Available at: </w:t>
      </w:r>
      <w:hyperlink r:id="rId15" w:history="1">
        <w:r>
          <w:rPr>
            <w:rStyle w:val="af"/>
            <w:rFonts w:eastAsiaTheme="majorEastAsia"/>
          </w:rPr>
          <w:t>https://doi.org/10.1177/174498710501000303</w:t>
        </w:r>
      </w:hyperlink>
      <w:r>
        <w:t xml:space="preserve"> (Accessed: 4 December 2025).</w:t>
      </w:r>
    </w:p>
    <w:p w14:paraId="65FAED93" w14:textId="77777777" w:rsidR="00D25AC5" w:rsidRDefault="00D25AC5" w:rsidP="00D25AC5">
      <w:pPr>
        <w:pStyle w:val="ac"/>
        <w:numPr>
          <w:ilvl w:val="0"/>
          <w:numId w:val="3"/>
        </w:numPr>
      </w:pPr>
      <w:r>
        <w:t xml:space="preserve">Johnson, A.H., Wilson, J., Magner, D., Urban, R.W., Martin, S. and Zhang, Y. (2022) ‘Exploring meditation profiles and predictors in nursing students’, </w:t>
      </w:r>
      <w:r>
        <w:rPr>
          <w:rStyle w:val="ae"/>
          <w:rFonts w:eastAsiaTheme="majorEastAsia"/>
        </w:rPr>
        <w:t>Journal of Holistic Nursing</w:t>
      </w:r>
      <w:r>
        <w:t xml:space="preserve">, 41(2), pp. 142–154. Available at: </w:t>
      </w:r>
      <w:hyperlink r:id="rId16" w:history="1">
        <w:r>
          <w:rPr>
            <w:rStyle w:val="af"/>
            <w:rFonts w:eastAsiaTheme="majorEastAsia"/>
          </w:rPr>
          <w:t>https://doi.org/10.1177/08980101221102691</w:t>
        </w:r>
      </w:hyperlink>
      <w:r>
        <w:t xml:space="preserve"> (Accessed: 23 November 2025).</w:t>
      </w:r>
    </w:p>
    <w:p w14:paraId="6679040E" w14:textId="77777777" w:rsidR="00D25AC5" w:rsidRDefault="00D25AC5" w:rsidP="00D25AC5">
      <w:pPr>
        <w:pStyle w:val="ac"/>
        <w:numPr>
          <w:ilvl w:val="0"/>
          <w:numId w:val="3"/>
        </w:numPr>
      </w:pPr>
      <w:r>
        <w:t xml:space="preserve">Karadzhov, V. (2025) ‘How to create the best SWOT analysis’, </w:t>
      </w:r>
      <w:r>
        <w:rPr>
          <w:rStyle w:val="ae"/>
          <w:rFonts w:eastAsiaTheme="majorEastAsia"/>
        </w:rPr>
        <w:t>International Journal of Research and Review</w:t>
      </w:r>
      <w:r>
        <w:t xml:space="preserve">, 12(1), pp. 66–75. Available at: </w:t>
      </w:r>
      <w:hyperlink r:id="rId17" w:history="1">
        <w:r>
          <w:rPr>
            <w:rStyle w:val="af"/>
            <w:rFonts w:eastAsiaTheme="majorEastAsia"/>
          </w:rPr>
          <w:t>https://doi.org/10.52403/ijrr.20250110</w:t>
        </w:r>
      </w:hyperlink>
      <w:r>
        <w:t xml:space="preserve"> (Accessed: 4 December 2025).</w:t>
      </w:r>
    </w:p>
    <w:p w14:paraId="4B9D88B8" w14:textId="77777777" w:rsidR="00D25AC5" w:rsidRDefault="00D25AC5" w:rsidP="00D25AC5">
      <w:pPr>
        <w:pStyle w:val="ac"/>
        <w:numPr>
          <w:ilvl w:val="0"/>
          <w:numId w:val="3"/>
        </w:numPr>
      </w:pPr>
      <w:r>
        <w:t xml:space="preserve">Lee, M.K. and Kim, P.H. (2018) ‘ESL students' communication apprehension in healthcare settings’, </w:t>
      </w:r>
      <w:r>
        <w:rPr>
          <w:rStyle w:val="ae"/>
          <w:rFonts w:eastAsiaTheme="majorEastAsia"/>
        </w:rPr>
        <w:t>International Journal of Nursing Studies</w:t>
      </w:r>
      <w:r>
        <w:t xml:space="preserve">, 80, pp. 55–63. Available at: </w:t>
      </w:r>
      <w:hyperlink r:id="rId18" w:history="1">
        <w:r>
          <w:rPr>
            <w:rStyle w:val="af"/>
            <w:rFonts w:eastAsiaTheme="majorEastAsia"/>
          </w:rPr>
          <w:t>https://doi.org/10.1016/j.ijnurstu.2017.11.006</w:t>
        </w:r>
      </w:hyperlink>
      <w:r>
        <w:t xml:space="preserve"> (Accessed: 23 November 2025).</w:t>
      </w:r>
    </w:p>
    <w:p w14:paraId="7592C971" w14:textId="77777777" w:rsidR="00D25AC5" w:rsidRDefault="00D25AC5" w:rsidP="00D25AC5">
      <w:pPr>
        <w:pStyle w:val="ac"/>
        <w:numPr>
          <w:ilvl w:val="0"/>
          <w:numId w:val="3"/>
        </w:numPr>
      </w:pPr>
      <w:r>
        <w:t xml:space="preserve">Madhani, P.M. (2021) ‘Resource based view (RBV) of competitive advantages: Importance, issues and implications’, in </w:t>
      </w:r>
      <w:r>
        <w:rPr>
          <w:rStyle w:val="ae"/>
          <w:rFonts w:eastAsiaTheme="majorEastAsia"/>
        </w:rPr>
        <w:t>Resource based view (RBV) of competitive advantages and strategic management</w:t>
      </w:r>
      <w:r>
        <w:t xml:space="preserve">. New Delhi: Innovative Institute of Management, pp. 1–28. Available at: </w:t>
      </w:r>
      <w:hyperlink r:id="rId19" w:history="1">
        <w:r>
          <w:rPr>
            <w:rStyle w:val="af"/>
            <w:rFonts w:eastAsiaTheme="majorEastAsia"/>
          </w:rPr>
          <w:t>https://www.researchgate.net/publication/45072537</w:t>
        </w:r>
      </w:hyperlink>
      <w:r>
        <w:t xml:space="preserve"> (Accessed: 12 December 2025).</w:t>
      </w:r>
    </w:p>
    <w:p w14:paraId="1B46E2A6" w14:textId="77777777" w:rsidR="00D25AC5" w:rsidRDefault="00D25AC5" w:rsidP="00D25AC5">
      <w:pPr>
        <w:pStyle w:val="ac"/>
        <w:numPr>
          <w:ilvl w:val="0"/>
          <w:numId w:val="3"/>
        </w:numPr>
      </w:pPr>
      <w:r>
        <w:t xml:space="preserve">Nursing and Midwifery Council (2002) </w:t>
      </w:r>
      <w:r>
        <w:rPr>
          <w:rStyle w:val="ae"/>
          <w:rFonts w:eastAsiaTheme="majorEastAsia"/>
        </w:rPr>
        <w:t>Code of professional conduct</w:t>
      </w:r>
      <w:r>
        <w:t xml:space="preserve">, </w:t>
      </w:r>
      <w:r>
        <w:rPr>
          <w:rStyle w:val="ae"/>
          <w:rFonts w:eastAsiaTheme="majorEastAsia"/>
        </w:rPr>
        <w:t>Nursing Ethics</w:t>
      </w:r>
      <w:r>
        <w:t xml:space="preserve">, 9(6), pp. 674–680. Available at: </w:t>
      </w:r>
      <w:hyperlink r:id="rId20" w:history="1">
        <w:r>
          <w:rPr>
            <w:rStyle w:val="af"/>
            <w:rFonts w:eastAsiaTheme="majorEastAsia"/>
          </w:rPr>
          <w:t>https://doi.org/10.1191/0969733002ne561xx</w:t>
        </w:r>
      </w:hyperlink>
      <w:r>
        <w:t xml:space="preserve"> (Accessed: 23 November 2025).</w:t>
      </w:r>
    </w:p>
    <w:p w14:paraId="0971B1AE" w14:textId="77777777" w:rsidR="00D25AC5" w:rsidRDefault="00D25AC5" w:rsidP="00D25AC5">
      <w:pPr>
        <w:pStyle w:val="ac"/>
        <w:numPr>
          <w:ilvl w:val="0"/>
          <w:numId w:val="3"/>
        </w:numPr>
      </w:pPr>
      <w:r>
        <w:t xml:space="preserve">Nursing and Midwifery Council (2018) </w:t>
      </w:r>
      <w:r>
        <w:rPr>
          <w:rStyle w:val="ae"/>
          <w:rFonts w:eastAsiaTheme="majorEastAsia"/>
        </w:rPr>
        <w:t>The Code: Professional standards of practice and behaviour for nurses, midwives and nursing associates</w:t>
      </w:r>
      <w:r>
        <w:t xml:space="preserve">. Available at: </w:t>
      </w:r>
      <w:hyperlink r:id="rId21" w:history="1">
        <w:r>
          <w:rPr>
            <w:rStyle w:val="af"/>
            <w:rFonts w:eastAsiaTheme="majorEastAsia"/>
          </w:rPr>
          <w:t>https://www.nmc.org.uk/standards/code/</w:t>
        </w:r>
      </w:hyperlink>
      <w:r>
        <w:t xml:space="preserve"> (Accessed: 23 November 2025).</w:t>
      </w:r>
    </w:p>
    <w:p w14:paraId="69BA1C9A" w14:textId="77777777" w:rsidR="00D25AC5" w:rsidRDefault="00D25AC5" w:rsidP="00D25AC5">
      <w:pPr>
        <w:pStyle w:val="ac"/>
        <w:numPr>
          <w:ilvl w:val="0"/>
          <w:numId w:val="3"/>
        </w:numPr>
      </w:pPr>
      <w:r>
        <w:lastRenderedPageBreak/>
        <w:t xml:space="preserve">Schön, D. (1983) </w:t>
      </w:r>
      <w:r>
        <w:rPr>
          <w:rStyle w:val="ae"/>
          <w:rFonts w:eastAsiaTheme="majorEastAsia"/>
        </w:rPr>
        <w:t>The reflective practitioner: How professionals think in action</w:t>
      </w:r>
      <w:r>
        <w:t xml:space="preserve">. New York: Basic Books. Available at: </w:t>
      </w:r>
      <w:hyperlink r:id="rId22" w:history="1">
        <w:r>
          <w:rPr>
            <w:rStyle w:val="af"/>
            <w:rFonts w:eastAsiaTheme="majorEastAsia"/>
          </w:rPr>
          <w:t>https://books.google.com.ua/books?id=Q9VbBAAAQBAJ</w:t>
        </w:r>
      </w:hyperlink>
      <w:r>
        <w:t xml:space="preserve"> (Accessed: 23 November 2025).</w:t>
      </w:r>
    </w:p>
    <w:p w14:paraId="23E82939" w14:textId="77777777" w:rsidR="00D25AC5" w:rsidRDefault="00D25AC5" w:rsidP="00D25AC5">
      <w:pPr>
        <w:pStyle w:val="ac"/>
        <w:numPr>
          <w:ilvl w:val="0"/>
          <w:numId w:val="3"/>
        </w:numPr>
      </w:pPr>
      <w:r>
        <w:t xml:space="preserve">University of Wales Trinity Saint David (2024) </w:t>
      </w:r>
      <w:r>
        <w:rPr>
          <w:rStyle w:val="ae"/>
          <w:rFonts w:eastAsiaTheme="majorEastAsia"/>
        </w:rPr>
        <w:t>Study Skills Service</w:t>
      </w:r>
      <w:r>
        <w:t xml:space="preserve">. Available at: </w:t>
      </w:r>
      <w:hyperlink r:id="rId23" w:history="1">
        <w:r>
          <w:rPr>
            <w:rStyle w:val="af"/>
            <w:rFonts w:eastAsiaTheme="majorEastAsia"/>
          </w:rPr>
          <w:t>https://www.uwtsd.ac.uk/studentsupport/study-skills-centre/</w:t>
        </w:r>
      </w:hyperlink>
      <w:r>
        <w:t xml:space="preserve"> (Accessed: 23 November 2025).</w:t>
      </w:r>
    </w:p>
    <w:p w14:paraId="1C822B0D" w14:textId="77777777" w:rsidR="00D25AC5" w:rsidRDefault="00D25AC5" w:rsidP="00D25AC5">
      <w:pPr>
        <w:pStyle w:val="ac"/>
        <w:numPr>
          <w:ilvl w:val="0"/>
          <w:numId w:val="3"/>
        </w:numPr>
      </w:pPr>
      <w:r>
        <w:t xml:space="preserve">Wernerfelt, B. (1984) ‘A resource‐based view of the firm’, </w:t>
      </w:r>
      <w:r>
        <w:rPr>
          <w:rStyle w:val="ae"/>
          <w:rFonts w:eastAsiaTheme="majorEastAsia"/>
        </w:rPr>
        <w:t>Strategic Management Journal</w:t>
      </w:r>
      <w:r>
        <w:t xml:space="preserve">, 5(2), pp. 171–180. Available at: </w:t>
      </w:r>
      <w:hyperlink r:id="rId24" w:history="1">
        <w:r>
          <w:rPr>
            <w:rStyle w:val="af"/>
            <w:rFonts w:eastAsiaTheme="majorEastAsia"/>
          </w:rPr>
          <w:t>https://doi.org/10.1002/smj.4250050207</w:t>
        </w:r>
      </w:hyperlink>
      <w:r>
        <w:t xml:space="preserve"> (Accessed: 23 November 2025).</w:t>
      </w:r>
    </w:p>
    <w:p w14:paraId="149571A9" w14:textId="203CA498" w:rsidR="00513956" w:rsidRPr="00D25AC5" w:rsidRDefault="00513956" w:rsidP="00D25AC5"/>
    <w:sectPr w:rsidR="00513956" w:rsidRPr="00D25A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F2430" w14:textId="77777777" w:rsidR="00831F57" w:rsidRDefault="00831F57" w:rsidP="009136D3">
      <w:pPr>
        <w:spacing w:after="0" w:line="240" w:lineRule="auto"/>
      </w:pPr>
      <w:r>
        <w:separator/>
      </w:r>
    </w:p>
  </w:endnote>
  <w:endnote w:type="continuationSeparator" w:id="0">
    <w:p w14:paraId="7964A9EC" w14:textId="77777777" w:rsidR="00831F57" w:rsidRDefault="00831F57" w:rsidP="00913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FEA41" w14:textId="4889C7A2" w:rsidR="009136D3" w:rsidRPr="009136D3" w:rsidRDefault="009136D3" w:rsidP="009136D3">
    <w:pPr>
      <w:pStyle w:val="af2"/>
      <w:jc w:val="center"/>
      <w:rPr>
        <w:rFonts w:ascii="Times New Roman" w:hAnsi="Times New Roman" w:cs="Times New Roman"/>
        <w:lang w:val="en-US"/>
      </w:rPr>
    </w:pPr>
    <w:r w:rsidRPr="009136D3">
      <w:rPr>
        <w:rFonts w:ascii="Times New Roman" w:hAnsi="Times New Roman" w:cs="Times New Roman"/>
        <w:lang w:val="en-US"/>
      </w:rPr>
      <w:t>S</w:t>
    </w:r>
    <w:r>
      <w:rPr>
        <w:rFonts w:ascii="Times New Roman" w:hAnsi="Times New Roman" w:cs="Times New Roman"/>
        <w:lang w:val="en-US"/>
      </w:rPr>
      <w:t>.</w:t>
    </w:r>
    <w:r w:rsidRPr="009136D3">
      <w:rPr>
        <w:rFonts w:ascii="Times New Roman" w:hAnsi="Times New Roman" w:cs="Times New Roman"/>
        <w:lang w:val="en-US"/>
      </w:rPr>
      <w:t>W</w:t>
    </w:r>
    <w:r>
      <w:rPr>
        <w:rFonts w:ascii="Times New Roman" w:hAnsi="Times New Roman" w:cs="Times New Roman"/>
        <w:lang w:val="en-US"/>
      </w:rPr>
      <w:t>.</w:t>
    </w:r>
    <w:r w:rsidRPr="009136D3">
      <w:rPr>
        <w:rFonts w:ascii="Times New Roman" w:hAnsi="Times New Roman" w:cs="Times New Roman"/>
        <w:lang w:val="en-US"/>
      </w:rPr>
      <w:t>O</w:t>
    </w:r>
    <w:r>
      <w:rPr>
        <w:rFonts w:ascii="Times New Roman" w:hAnsi="Times New Roman" w:cs="Times New Roman"/>
        <w:lang w:val="en-US"/>
      </w:rPr>
      <w:t>.</w:t>
    </w:r>
    <w:r w:rsidRPr="009136D3">
      <w:rPr>
        <w:rFonts w:ascii="Times New Roman" w:hAnsi="Times New Roman" w:cs="Times New Roman"/>
        <w:lang w:val="en-US"/>
      </w:rPr>
      <w:t>T</w:t>
    </w:r>
    <w:r>
      <w:rPr>
        <w:rFonts w:ascii="Times New Roman" w:hAnsi="Times New Roman" w:cs="Times New Roman"/>
        <w:lang w:val="en-US"/>
      </w:rPr>
      <w:t>.</w:t>
    </w:r>
    <w:r w:rsidRPr="009136D3">
      <w:rPr>
        <w:rFonts w:ascii="Times New Roman" w:hAnsi="Times New Roman" w:cs="Times New Roman"/>
        <w:lang w:val="en-US"/>
      </w:rPr>
      <w:t xml:space="preserve"> </w:t>
    </w:r>
    <w:r w:rsidR="00071380">
      <w:rPr>
        <w:rFonts w:ascii="Segoe UI" w:hAnsi="Segoe UI" w:cs="Segoe UI"/>
        <w:color w:val="1D2125"/>
        <w:sz w:val="23"/>
        <w:szCs w:val="23"/>
        <w:shd w:val="clear" w:color="auto" w:fill="FFFFFF"/>
      </w:rPr>
      <w:t>Analysis</w:t>
    </w:r>
    <w:r w:rsidRPr="009136D3">
      <w:rPr>
        <w:rFonts w:ascii="Times New Roman" w:hAnsi="Times New Roman" w:cs="Times New Roman"/>
        <w:lang w:val="en-US"/>
      </w:rPr>
      <w:t xml:space="preserve">                                   </w:t>
    </w:r>
    <w:r w:rsidRPr="009136D3">
      <w:rPr>
        <w:rFonts w:ascii="Times New Roman" w:hAnsi="Times New Roman" w:cs="Times New Roman"/>
      </w:rPr>
      <w:t xml:space="preserve">Student № </w:t>
    </w:r>
    <w:r w:rsidRPr="009136D3">
      <w:rPr>
        <w:rFonts w:ascii="Times New Roman" w:hAnsi="Times New Roman" w:cs="Times New Roman"/>
        <w:color w:val="000000" w:themeColor="text1"/>
      </w:rPr>
      <w:t>2510348</w:t>
    </w:r>
    <w:r w:rsidRPr="009136D3">
      <w:rPr>
        <w:rFonts w:ascii="Times New Roman" w:hAnsi="Times New Roman" w:cs="Times New Roman"/>
        <w:color w:val="000000" w:themeColor="text1"/>
        <w:lang w:val="en-US"/>
      </w:rPr>
      <w:t xml:space="preserve">                                      </w:t>
    </w:r>
    <w:r w:rsidRPr="009136D3">
      <w:rPr>
        <w:rFonts w:ascii="Times New Roman" w:hAnsi="Times New Roman" w:cs="Times New Roman"/>
        <w:color w:val="000000" w:themeColor="text1"/>
      </w:rPr>
      <w:t xml:space="preserve"> </w:t>
    </w:r>
    <w:r w:rsidRPr="009136D3">
      <w:rPr>
        <w:rFonts w:ascii="Times New Roman" w:hAnsi="Times New Roman" w:cs="Times New Roman"/>
        <w:color w:val="000000" w:themeColor="text1"/>
      </w:rPr>
      <w:fldChar w:fldCharType="begin"/>
    </w:r>
    <w:r w:rsidRPr="009136D3">
      <w:rPr>
        <w:rFonts w:ascii="Times New Roman" w:hAnsi="Times New Roman" w:cs="Times New Roman"/>
        <w:color w:val="000000" w:themeColor="text1"/>
      </w:rPr>
      <w:instrText>PAGE  \* Arabic  \* MERGEFORMAT</w:instrText>
    </w:r>
    <w:r w:rsidRPr="009136D3">
      <w:rPr>
        <w:rFonts w:ascii="Times New Roman" w:hAnsi="Times New Roman" w:cs="Times New Roman"/>
        <w:color w:val="000000" w:themeColor="text1"/>
      </w:rPr>
      <w:fldChar w:fldCharType="separate"/>
    </w:r>
    <w:r w:rsidRPr="009136D3">
      <w:rPr>
        <w:rFonts w:ascii="Times New Roman" w:hAnsi="Times New Roman" w:cs="Times New Roman"/>
        <w:color w:val="000000" w:themeColor="text1"/>
      </w:rPr>
      <w:t>2</w:t>
    </w:r>
    <w:r w:rsidRPr="009136D3">
      <w:rPr>
        <w:rFonts w:ascii="Times New Roman" w:hAnsi="Times New Roman" w:cs="Times New Roman"/>
        <w:color w:val="000000" w:themeColor="text1"/>
      </w:rPr>
      <w:fldChar w:fldCharType="end"/>
    </w:r>
    <w:r w:rsidRPr="009136D3">
      <w:rPr>
        <w:rFonts w:ascii="Times New Roman" w:hAnsi="Times New Roman" w:cs="Times New Roman"/>
        <w:color w:val="000000" w:themeColor="text1"/>
      </w:rPr>
      <w:t xml:space="preserve"> - </w:t>
    </w:r>
    <w:r w:rsidRPr="009136D3">
      <w:rPr>
        <w:rFonts w:ascii="Times New Roman" w:hAnsi="Times New Roman" w:cs="Times New Roman"/>
        <w:color w:val="000000" w:themeColor="text1"/>
      </w:rPr>
      <w:fldChar w:fldCharType="begin"/>
    </w:r>
    <w:r w:rsidRPr="009136D3">
      <w:rPr>
        <w:rFonts w:ascii="Times New Roman" w:hAnsi="Times New Roman" w:cs="Times New Roman"/>
        <w:color w:val="000000" w:themeColor="text1"/>
      </w:rPr>
      <w:instrText>NUMPAGES \* арабский \* MERGEFORMAT</w:instrText>
    </w:r>
    <w:r w:rsidRPr="009136D3">
      <w:rPr>
        <w:rFonts w:ascii="Times New Roman" w:hAnsi="Times New Roman" w:cs="Times New Roman"/>
        <w:color w:val="000000" w:themeColor="text1"/>
      </w:rPr>
      <w:fldChar w:fldCharType="separate"/>
    </w:r>
    <w:r w:rsidRPr="009136D3">
      <w:rPr>
        <w:rFonts w:ascii="Times New Roman" w:hAnsi="Times New Roman" w:cs="Times New Roman"/>
        <w:color w:val="000000" w:themeColor="text1"/>
      </w:rPr>
      <w:t>2</w:t>
    </w:r>
    <w:r w:rsidRPr="009136D3">
      <w:rPr>
        <w:rFonts w:ascii="Times New Roman" w:hAnsi="Times New Roman" w:cs="Times New Roman"/>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FC2DB" w14:textId="77777777" w:rsidR="00831F57" w:rsidRDefault="00831F57" w:rsidP="009136D3">
      <w:pPr>
        <w:spacing w:after="0" w:line="240" w:lineRule="auto"/>
      </w:pPr>
      <w:r>
        <w:separator/>
      </w:r>
    </w:p>
  </w:footnote>
  <w:footnote w:type="continuationSeparator" w:id="0">
    <w:p w14:paraId="4E86520C" w14:textId="77777777" w:rsidR="00831F57" w:rsidRDefault="00831F57" w:rsidP="00913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6827"/>
    <w:multiLevelType w:val="multilevel"/>
    <w:tmpl w:val="C22A5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C34C21"/>
    <w:multiLevelType w:val="multilevel"/>
    <w:tmpl w:val="CBF4C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11837"/>
    <w:multiLevelType w:val="hybridMultilevel"/>
    <w:tmpl w:val="E136520C"/>
    <w:lvl w:ilvl="0" w:tplc="2D36DE44">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5002D8"/>
    <w:multiLevelType w:val="multilevel"/>
    <w:tmpl w:val="A9967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2B18C3"/>
    <w:multiLevelType w:val="multilevel"/>
    <w:tmpl w:val="686C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025B1D"/>
    <w:multiLevelType w:val="multilevel"/>
    <w:tmpl w:val="4A7C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DB5078"/>
    <w:multiLevelType w:val="multilevel"/>
    <w:tmpl w:val="B1DC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971111">
    <w:abstractNumId w:val="6"/>
  </w:num>
  <w:num w:numId="2" w16cid:durableId="579798882">
    <w:abstractNumId w:val="0"/>
  </w:num>
  <w:num w:numId="3" w16cid:durableId="2057309369">
    <w:abstractNumId w:val="1"/>
  </w:num>
  <w:num w:numId="4" w16cid:durableId="1123110648">
    <w:abstractNumId w:val="5"/>
  </w:num>
  <w:num w:numId="5" w16cid:durableId="59448736">
    <w:abstractNumId w:val="4"/>
  </w:num>
  <w:num w:numId="6" w16cid:durableId="1705326061">
    <w:abstractNumId w:val="3"/>
  </w:num>
  <w:num w:numId="7" w16cid:durableId="9302378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956"/>
    <w:rsid w:val="00036A83"/>
    <w:rsid w:val="00071380"/>
    <w:rsid w:val="000838A9"/>
    <w:rsid w:val="002D139D"/>
    <w:rsid w:val="00390D6C"/>
    <w:rsid w:val="00455E45"/>
    <w:rsid w:val="00513956"/>
    <w:rsid w:val="006040EA"/>
    <w:rsid w:val="00831F57"/>
    <w:rsid w:val="008C0824"/>
    <w:rsid w:val="009136D3"/>
    <w:rsid w:val="009E2EFF"/>
    <w:rsid w:val="00D25AC5"/>
    <w:rsid w:val="00DB7F72"/>
    <w:rsid w:val="00FA5710"/>
    <w:rsid w:val="00FF377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E441D"/>
  <w15:chartTrackingRefBased/>
  <w15:docId w15:val="{544C8992-14D7-DD40-968A-A4D12049C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139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5139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51395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51395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1395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1395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1395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1395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1395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395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51395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51395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51395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1395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1395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13956"/>
    <w:rPr>
      <w:rFonts w:eastAsiaTheme="majorEastAsia" w:cstheme="majorBidi"/>
      <w:color w:val="595959" w:themeColor="text1" w:themeTint="A6"/>
    </w:rPr>
  </w:style>
  <w:style w:type="character" w:customStyle="1" w:styleId="80">
    <w:name w:val="Заголовок 8 Знак"/>
    <w:basedOn w:val="a0"/>
    <w:link w:val="8"/>
    <w:uiPriority w:val="9"/>
    <w:semiHidden/>
    <w:rsid w:val="0051395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13956"/>
    <w:rPr>
      <w:rFonts w:eastAsiaTheme="majorEastAsia" w:cstheme="majorBidi"/>
      <w:color w:val="272727" w:themeColor="text1" w:themeTint="D8"/>
    </w:rPr>
  </w:style>
  <w:style w:type="paragraph" w:styleId="a3">
    <w:name w:val="Title"/>
    <w:basedOn w:val="a"/>
    <w:next w:val="a"/>
    <w:link w:val="a4"/>
    <w:uiPriority w:val="10"/>
    <w:qFormat/>
    <w:rsid w:val="005139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1395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1395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1395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13956"/>
    <w:pPr>
      <w:spacing w:before="160"/>
      <w:jc w:val="center"/>
    </w:pPr>
    <w:rPr>
      <w:i/>
      <w:iCs/>
      <w:color w:val="404040" w:themeColor="text1" w:themeTint="BF"/>
    </w:rPr>
  </w:style>
  <w:style w:type="character" w:customStyle="1" w:styleId="22">
    <w:name w:val="Цитата 2 Знак"/>
    <w:basedOn w:val="a0"/>
    <w:link w:val="21"/>
    <w:uiPriority w:val="29"/>
    <w:rsid w:val="00513956"/>
    <w:rPr>
      <w:i/>
      <w:iCs/>
      <w:color w:val="404040" w:themeColor="text1" w:themeTint="BF"/>
    </w:rPr>
  </w:style>
  <w:style w:type="paragraph" w:styleId="a7">
    <w:name w:val="List Paragraph"/>
    <w:basedOn w:val="a"/>
    <w:uiPriority w:val="34"/>
    <w:qFormat/>
    <w:rsid w:val="00513956"/>
    <w:pPr>
      <w:ind w:left="720"/>
      <w:contextualSpacing/>
    </w:pPr>
  </w:style>
  <w:style w:type="character" w:styleId="a8">
    <w:name w:val="Intense Emphasis"/>
    <w:basedOn w:val="a0"/>
    <w:uiPriority w:val="21"/>
    <w:qFormat/>
    <w:rsid w:val="00513956"/>
    <w:rPr>
      <w:i/>
      <w:iCs/>
      <w:color w:val="0F4761" w:themeColor="accent1" w:themeShade="BF"/>
    </w:rPr>
  </w:style>
  <w:style w:type="paragraph" w:styleId="a9">
    <w:name w:val="Intense Quote"/>
    <w:basedOn w:val="a"/>
    <w:next w:val="a"/>
    <w:link w:val="aa"/>
    <w:uiPriority w:val="30"/>
    <w:qFormat/>
    <w:rsid w:val="005139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13956"/>
    <w:rPr>
      <w:i/>
      <w:iCs/>
      <w:color w:val="0F4761" w:themeColor="accent1" w:themeShade="BF"/>
    </w:rPr>
  </w:style>
  <w:style w:type="character" w:styleId="ab">
    <w:name w:val="Intense Reference"/>
    <w:basedOn w:val="a0"/>
    <w:uiPriority w:val="32"/>
    <w:qFormat/>
    <w:rsid w:val="00513956"/>
    <w:rPr>
      <w:b/>
      <w:bCs/>
      <w:smallCaps/>
      <w:color w:val="0F4761" w:themeColor="accent1" w:themeShade="BF"/>
      <w:spacing w:val="5"/>
    </w:rPr>
  </w:style>
  <w:style w:type="paragraph" w:styleId="ac">
    <w:name w:val="Normal (Web)"/>
    <w:basedOn w:val="a"/>
    <w:uiPriority w:val="99"/>
    <w:semiHidden/>
    <w:unhideWhenUsed/>
    <w:rsid w:val="00513956"/>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styleId="ad">
    <w:name w:val="Strong"/>
    <w:basedOn w:val="a0"/>
    <w:uiPriority w:val="22"/>
    <w:qFormat/>
    <w:rsid w:val="00513956"/>
    <w:rPr>
      <w:b/>
      <w:bCs/>
    </w:rPr>
  </w:style>
  <w:style w:type="character" w:styleId="ae">
    <w:name w:val="Emphasis"/>
    <w:basedOn w:val="a0"/>
    <w:uiPriority w:val="20"/>
    <w:qFormat/>
    <w:rsid w:val="00513956"/>
    <w:rPr>
      <w:i/>
      <w:iCs/>
    </w:rPr>
  </w:style>
  <w:style w:type="character" w:styleId="af">
    <w:name w:val="Hyperlink"/>
    <w:basedOn w:val="a0"/>
    <w:uiPriority w:val="99"/>
    <w:semiHidden/>
    <w:unhideWhenUsed/>
    <w:rsid w:val="00513956"/>
    <w:rPr>
      <w:color w:val="0000FF"/>
      <w:u w:val="single"/>
    </w:rPr>
  </w:style>
  <w:style w:type="paragraph" w:styleId="af0">
    <w:name w:val="header"/>
    <w:basedOn w:val="a"/>
    <w:link w:val="af1"/>
    <w:uiPriority w:val="99"/>
    <w:unhideWhenUsed/>
    <w:rsid w:val="009136D3"/>
    <w:pPr>
      <w:tabs>
        <w:tab w:val="center" w:pos="4513"/>
        <w:tab w:val="right" w:pos="9026"/>
      </w:tabs>
      <w:spacing w:after="0" w:line="240" w:lineRule="auto"/>
    </w:pPr>
  </w:style>
  <w:style w:type="character" w:customStyle="1" w:styleId="af1">
    <w:name w:val="Верхний колонтитул Знак"/>
    <w:basedOn w:val="a0"/>
    <w:link w:val="af0"/>
    <w:uiPriority w:val="99"/>
    <w:rsid w:val="009136D3"/>
  </w:style>
  <w:style w:type="paragraph" w:styleId="af2">
    <w:name w:val="footer"/>
    <w:basedOn w:val="a"/>
    <w:link w:val="af3"/>
    <w:uiPriority w:val="99"/>
    <w:unhideWhenUsed/>
    <w:rsid w:val="009136D3"/>
    <w:pPr>
      <w:tabs>
        <w:tab w:val="center" w:pos="4513"/>
        <w:tab w:val="right" w:pos="9026"/>
      </w:tabs>
      <w:spacing w:after="0" w:line="240" w:lineRule="auto"/>
    </w:pPr>
  </w:style>
  <w:style w:type="character" w:customStyle="1" w:styleId="af3">
    <w:name w:val="Нижний колонтитул Знак"/>
    <w:basedOn w:val="a0"/>
    <w:link w:val="af2"/>
    <w:uiPriority w:val="99"/>
    <w:rsid w:val="009136D3"/>
  </w:style>
  <w:style w:type="paragraph" w:customStyle="1" w:styleId="p1">
    <w:name w:val="p1"/>
    <w:basedOn w:val="a"/>
    <w:rsid w:val="009136D3"/>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table" w:styleId="af4">
    <w:name w:val="Table Grid"/>
    <w:basedOn w:val="a1"/>
    <w:uiPriority w:val="39"/>
    <w:rsid w:val="009136D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11/bjep.12521" TargetMode="External"/><Relationship Id="rId18" Type="http://schemas.openxmlformats.org/officeDocument/2006/relationships/hyperlink" Target="https://doi.org/10.1016/j.ijnurstu.2017.11.00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nmc.org.uk/standards/code/" TargetMode="External"/><Relationship Id="rId7" Type="http://schemas.openxmlformats.org/officeDocument/2006/relationships/endnotes" Target="endnotes.xml"/><Relationship Id="rId12" Type="http://schemas.openxmlformats.org/officeDocument/2006/relationships/hyperlink" Target="https://librarysearch.uwtsd.ac.uk/permalink/44WHELF_UWTSD/11c0l68/alma9921002002421" TargetMode="External"/><Relationship Id="rId17" Type="http://schemas.openxmlformats.org/officeDocument/2006/relationships/hyperlink" Target="https://doi.org/10.52403/ijrr.2025011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08980101221102691" TargetMode="External"/><Relationship Id="rId20" Type="http://schemas.openxmlformats.org/officeDocument/2006/relationships/hyperlink" Target="https://doi.org/10.1191/0969733002ne561x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smj.239" TargetMode="External"/><Relationship Id="rId24" Type="http://schemas.openxmlformats.org/officeDocument/2006/relationships/hyperlink" Target="https://doi.org/10.1002/smj.4250050207" TargetMode="External"/><Relationship Id="rId5" Type="http://schemas.openxmlformats.org/officeDocument/2006/relationships/webSettings" Target="webSettings.xml"/><Relationship Id="rId15" Type="http://schemas.openxmlformats.org/officeDocument/2006/relationships/hyperlink" Target="https://doi.org/10.1177/174498710501000303" TargetMode="External"/><Relationship Id="rId23" Type="http://schemas.openxmlformats.org/officeDocument/2006/relationships/hyperlink" Target="https://www.uwtsd.ac.uk/studentsupport/study-skills-centre/" TargetMode="External"/><Relationship Id="rId10" Type="http://schemas.openxmlformats.org/officeDocument/2006/relationships/hyperlink" Target="https://librarysearch.uwtsd.ac.uk/permalink/44WHELF_UWTSD/1pbrh66/alma99100633602802421" TargetMode="External"/><Relationship Id="rId19" Type="http://schemas.openxmlformats.org/officeDocument/2006/relationships/hyperlink" Target="https://www.researchgate.net/publication/45072537" TargetMode="External"/><Relationship Id="rId4" Type="http://schemas.openxmlformats.org/officeDocument/2006/relationships/settings" Target="settings.xml"/><Relationship Id="rId9" Type="http://schemas.openxmlformats.org/officeDocument/2006/relationships/hyperlink" Target="https://doi.org/10.1080/07294360.2020.1737652" TargetMode="External"/><Relationship Id="rId14" Type="http://schemas.openxmlformats.org/officeDocument/2006/relationships/hyperlink" Target="https://www.biotechconsultancy.net/files/news/management/Strategic-Management-Essentials.pdf" TargetMode="External"/><Relationship Id="rId22" Type="http://schemas.openxmlformats.org/officeDocument/2006/relationships/hyperlink" Target="https://books.google.com.ua/books?id=Q9VbBAAAQ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3486E-7A42-AB4D-BFE4-B3D823A5C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Pages>
  <Words>1860</Words>
  <Characters>12453</Characters>
  <Application>Microsoft Office Word</Application>
  <DocSecurity>0</DocSecurity>
  <Lines>206</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OSI21866823 (Svitlena Osiptsova)</dc:creator>
  <cp:keywords/>
  <dc:description/>
  <cp:lastModifiedBy>OSI21866823 (Svitlena Osiptsova)</cp:lastModifiedBy>
  <cp:revision>10</cp:revision>
  <dcterms:created xsi:type="dcterms:W3CDTF">2025-12-12T17:43:00Z</dcterms:created>
  <dcterms:modified xsi:type="dcterms:W3CDTF">2025-12-12T18:32:00Z</dcterms:modified>
</cp:coreProperties>
</file>