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40386" w14:textId="522276C9" w:rsidR="0098179C" w:rsidRPr="00A321BC" w:rsidRDefault="00A321BC" w:rsidP="00A321BC">
      <w:pPr>
        <w:jc w:val="both"/>
        <w:rPr>
          <w:rFonts w:ascii="Arial" w:hAnsi="Arial" w:cs="Arial"/>
          <w:b/>
          <w:bCs/>
          <w:sz w:val="32"/>
          <w:szCs w:val="32"/>
          <w:u w:val="single"/>
        </w:rPr>
      </w:pPr>
      <w:r w:rsidRPr="00A321BC">
        <w:rPr>
          <w:rFonts w:ascii="Arial" w:hAnsi="Arial" w:cs="Arial"/>
          <w:b/>
          <w:bCs/>
          <w:sz w:val="32"/>
          <w:szCs w:val="32"/>
          <w:u w:val="single"/>
        </w:rPr>
        <w:t>Understanding Gender, Sex, and Sexuality:</w:t>
      </w:r>
    </w:p>
    <w:p w14:paraId="23400F37" w14:textId="45A9B5DF" w:rsidR="00A321BC" w:rsidRDefault="00A321BC" w:rsidP="00A321BC">
      <w:pPr>
        <w:jc w:val="both"/>
        <w:rPr>
          <w:rFonts w:ascii="Arial" w:hAnsi="Arial" w:cs="Arial"/>
          <w:szCs w:val="24"/>
        </w:rPr>
      </w:pPr>
      <w:r w:rsidRPr="00A321BC">
        <w:rPr>
          <w:rFonts w:ascii="Arial" w:hAnsi="Arial" w:cs="Arial"/>
          <w:szCs w:val="24"/>
        </w:rPr>
        <w:t>In the diverse and multicultural society of the UK, it is crucial for health and social care professionals to have a comprehensive understanding of the concepts of gender, sex, and sexuality. This fact sheet aims to clarify the differences between these terms, emphasizing their significance in providing inclusive and culturally sensitive care to individuals of all backgrounds</w:t>
      </w:r>
      <w:r>
        <w:rPr>
          <w:rFonts w:ascii="Arial" w:hAnsi="Arial" w:cs="Arial"/>
          <w:szCs w:val="24"/>
        </w:rPr>
        <w:t>.</w:t>
      </w:r>
    </w:p>
    <w:p w14:paraId="103A5536" w14:textId="77777777" w:rsidR="00A321BC" w:rsidRPr="00A321BC" w:rsidRDefault="00A321BC" w:rsidP="00A321BC">
      <w:pPr>
        <w:jc w:val="both"/>
        <w:rPr>
          <w:rFonts w:ascii="Arial" w:hAnsi="Arial" w:cs="Arial"/>
          <w:b/>
          <w:bCs/>
          <w:color w:val="7030A0"/>
          <w:szCs w:val="24"/>
        </w:rPr>
      </w:pPr>
      <w:r w:rsidRPr="00A321BC">
        <w:rPr>
          <w:rFonts w:ascii="Arial" w:hAnsi="Arial" w:cs="Arial"/>
          <w:b/>
          <w:bCs/>
          <w:color w:val="7030A0"/>
          <w:szCs w:val="24"/>
        </w:rPr>
        <w:t>1. Gender:</w:t>
      </w:r>
    </w:p>
    <w:p w14:paraId="3FCF9797" w14:textId="77777777" w:rsidR="00A321BC" w:rsidRPr="00A321BC" w:rsidRDefault="00A321BC" w:rsidP="00A321BC">
      <w:pPr>
        <w:jc w:val="both"/>
        <w:rPr>
          <w:rFonts w:ascii="Arial" w:hAnsi="Arial" w:cs="Arial"/>
          <w:szCs w:val="24"/>
        </w:rPr>
      </w:pPr>
      <w:r w:rsidRPr="00A321BC">
        <w:rPr>
          <w:rFonts w:ascii="Arial" w:hAnsi="Arial" w:cs="Arial"/>
          <w:b/>
          <w:bCs/>
          <w:color w:val="7030A0"/>
          <w:szCs w:val="24"/>
        </w:rPr>
        <w:t>Definition:</w:t>
      </w:r>
      <w:r w:rsidRPr="00A321BC">
        <w:rPr>
          <w:rFonts w:ascii="Arial" w:hAnsi="Arial" w:cs="Arial"/>
          <w:szCs w:val="24"/>
        </w:rPr>
        <w:t xml:space="preserve"> Gender refers to the roles, </w:t>
      </w:r>
      <w:proofErr w:type="spellStart"/>
      <w:r w:rsidRPr="00A321BC">
        <w:rPr>
          <w:rFonts w:ascii="Arial" w:hAnsi="Arial" w:cs="Arial"/>
          <w:szCs w:val="24"/>
        </w:rPr>
        <w:t>behaviors</w:t>
      </w:r>
      <w:proofErr w:type="spellEnd"/>
      <w:r w:rsidRPr="00A321BC">
        <w:rPr>
          <w:rFonts w:ascii="Arial" w:hAnsi="Arial" w:cs="Arial"/>
          <w:szCs w:val="24"/>
        </w:rPr>
        <w:t>, activities, and expectations that a society considers appropriate for individuals based on their perceived sex. It is a social and cultural construct that varies across different cultures and historical periods.</w:t>
      </w:r>
    </w:p>
    <w:p w14:paraId="19F76043" w14:textId="77777777" w:rsidR="00A321BC" w:rsidRPr="00A321BC" w:rsidRDefault="00A321BC" w:rsidP="00A321BC">
      <w:pPr>
        <w:jc w:val="both"/>
        <w:rPr>
          <w:rFonts w:ascii="Arial" w:hAnsi="Arial" w:cs="Arial"/>
          <w:b/>
          <w:bCs/>
          <w:color w:val="7030A0"/>
          <w:szCs w:val="24"/>
        </w:rPr>
      </w:pPr>
      <w:r w:rsidRPr="00A321BC">
        <w:rPr>
          <w:rFonts w:ascii="Arial" w:hAnsi="Arial" w:cs="Arial"/>
          <w:b/>
          <w:bCs/>
          <w:color w:val="7030A0"/>
          <w:szCs w:val="24"/>
        </w:rPr>
        <w:t>Key Points:</w:t>
      </w:r>
    </w:p>
    <w:p w14:paraId="4234AD1A" w14:textId="7C67426B" w:rsidR="00A321BC" w:rsidRPr="00A321BC" w:rsidRDefault="00A321BC" w:rsidP="00A321BC">
      <w:pPr>
        <w:jc w:val="both"/>
        <w:rPr>
          <w:rFonts w:ascii="Arial" w:hAnsi="Arial" w:cs="Arial"/>
          <w:szCs w:val="24"/>
        </w:rPr>
      </w:pPr>
      <w:r w:rsidRPr="00A321BC">
        <w:rPr>
          <w:rFonts w:ascii="Arial" w:hAnsi="Arial" w:cs="Arial"/>
          <w:szCs w:val="24"/>
        </w:rPr>
        <w:t xml:space="preserve">Gender is not </w:t>
      </w:r>
      <w:r>
        <w:rPr>
          <w:rFonts w:ascii="Arial" w:hAnsi="Arial" w:cs="Arial"/>
          <w:szCs w:val="24"/>
        </w:rPr>
        <w:t>fixed</w:t>
      </w:r>
      <w:r w:rsidRPr="00A321BC">
        <w:rPr>
          <w:rFonts w:ascii="Arial" w:hAnsi="Arial" w:cs="Arial"/>
          <w:szCs w:val="24"/>
        </w:rPr>
        <w:t>; it exists on a spectrum, including identities beyond male and female such as non-binary, genderqueer, and genderfluid.</w:t>
      </w:r>
    </w:p>
    <w:p w14:paraId="5FFA391E" w14:textId="79E19236" w:rsidR="00A321BC" w:rsidRDefault="00A321BC" w:rsidP="00A321BC">
      <w:pPr>
        <w:jc w:val="both"/>
        <w:rPr>
          <w:rFonts w:ascii="Arial" w:hAnsi="Arial" w:cs="Arial"/>
          <w:szCs w:val="24"/>
        </w:rPr>
      </w:pPr>
      <w:r w:rsidRPr="00A321BC">
        <w:rPr>
          <w:rFonts w:ascii="Arial" w:hAnsi="Arial" w:cs="Arial"/>
          <w:szCs w:val="24"/>
        </w:rPr>
        <w:t>Understanding diverse gender identities is essential for providing respectful and affirming care to transgender and non-binary individuals.</w:t>
      </w:r>
    </w:p>
    <w:p w14:paraId="00EBF346" w14:textId="77777777" w:rsidR="00A321BC" w:rsidRDefault="00A321BC" w:rsidP="00A321BC">
      <w:pPr>
        <w:jc w:val="both"/>
        <w:rPr>
          <w:rFonts w:ascii="Arial" w:hAnsi="Arial" w:cs="Arial"/>
          <w:szCs w:val="24"/>
        </w:rPr>
      </w:pPr>
    </w:p>
    <w:p w14:paraId="740DA65B" w14:textId="2D0A5D3E" w:rsidR="00A321BC" w:rsidRPr="00A321BC" w:rsidRDefault="00A321BC" w:rsidP="00A321BC">
      <w:pPr>
        <w:jc w:val="both"/>
        <w:rPr>
          <w:rFonts w:ascii="Arial" w:hAnsi="Arial" w:cs="Arial"/>
          <w:b/>
          <w:bCs/>
          <w:color w:val="0070C0"/>
          <w:szCs w:val="24"/>
        </w:rPr>
      </w:pPr>
      <w:r w:rsidRPr="00A321BC">
        <w:rPr>
          <w:rFonts w:ascii="Arial" w:hAnsi="Arial" w:cs="Arial"/>
          <w:b/>
          <w:bCs/>
          <w:color w:val="0070C0"/>
          <w:szCs w:val="24"/>
        </w:rPr>
        <w:t>2. Sex:</w:t>
      </w:r>
    </w:p>
    <w:p w14:paraId="4AB3D769" w14:textId="77777777" w:rsidR="00A321BC" w:rsidRPr="00A321BC" w:rsidRDefault="00A321BC" w:rsidP="00A321BC">
      <w:pPr>
        <w:jc w:val="both"/>
        <w:rPr>
          <w:rFonts w:ascii="Arial" w:hAnsi="Arial" w:cs="Arial"/>
          <w:szCs w:val="24"/>
        </w:rPr>
      </w:pPr>
      <w:r w:rsidRPr="00A321BC">
        <w:rPr>
          <w:rFonts w:ascii="Arial" w:hAnsi="Arial" w:cs="Arial"/>
          <w:b/>
          <w:bCs/>
          <w:color w:val="0070C0"/>
          <w:szCs w:val="24"/>
        </w:rPr>
        <w:t xml:space="preserve">Definition: </w:t>
      </w:r>
      <w:r w:rsidRPr="00A321BC">
        <w:rPr>
          <w:rFonts w:ascii="Arial" w:hAnsi="Arial" w:cs="Arial"/>
          <w:szCs w:val="24"/>
        </w:rPr>
        <w:t>Sex refers to the biological and physiological characteristics that differentiate between male and female bodies. It includes features such as chromosomes, hormones, and reproductive anatomy.</w:t>
      </w:r>
    </w:p>
    <w:p w14:paraId="705BB5C7" w14:textId="77777777" w:rsidR="00A321BC" w:rsidRPr="00A321BC" w:rsidRDefault="00A321BC" w:rsidP="00A321BC">
      <w:pPr>
        <w:jc w:val="both"/>
        <w:rPr>
          <w:rFonts w:ascii="Arial" w:hAnsi="Arial" w:cs="Arial"/>
          <w:b/>
          <w:bCs/>
          <w:color w:val="0070C0"/>
          <w:szCs w:val="24"/>
        </w:rPr>
      </w:pPr>
      <w:r w:rsidRPr="00A321BC">
        <w:rPr>
          <w:rFonts w:ascii="Arial" w:hAnsi="Arial" w:cs="Arial"/>
          <w:b/>
          <w:bCs/>
          <w:color w:val="0070C0"/>
          <w:szCs w:val="24"/>
        </w:rPr>
        <w:t>Key Points:</w:t>
      </w:r>
    </w:p>
    <w:p w14:paraId="1D4AC69C" w14:textId="58B21CD2" w:rsidR="00A321BC" w:rsidRPr="00A321BC" w:rsidRDefault="00A321BC" w:rsidP="00A321BC">
      <w:pPr>
        <w:jc w:val="both"/>
        <w:rPr>
          <w:rFonts w:ascii="Arial" w:hAnsi="Arial" w:cs="Arial"/>
          <w:szCs w:val="24"/>
        </w:rPr>
      </w:pPr>
      <w:r w:rsidRPr="00A321BC">
        <w:rPr>
          <w:rFonts w:ascii="Arial" w:hAnsi="Arial" w:cs="Arial"/>
          <w:szCs w:val="24"/>
        </w:rPr>
        <w:t>While sex is often classified as male or female at birth, intersex individuals are born with variations in sex characteristics that do not fit typical definitions of male or female.</w:t>
      </w:r>
    </w:p>
    <w:p w14:paraId="67382A41" w14:textId="7DED4411" w:rsidR="00A321BC" w:rsidRDefault="00A321BC" w:rsidP="00A321BC">
      <w:pPr>
        <w:jc w:val="both"/>
        <w:rPr>
          <w:rFonts w:ascii="Arial" w:hAnsi="Arial" w:cs="Arial"/>
          <w:szCs w:val="24"/>
        </w:rPr>
      </w:pPr>
      <w:r w:rsidRPr="00A321BC">
        <w:rPr>
          <w:rFonts w:ascii="Arial" w:hAnsi="Arial" w:cs="Arial"/>
          <w:szCs w:val="24"/>
        </w:rPr>
        <w:t>Recogni</w:t>
      </w:r>
      <w:r>
        <w:rPr>
          <w:rFonts w:ascii="Arial" w:hAnsi="Arial" w:cs="Arial"/>
          <w:szCs w:val="24"/>
        </w:rPr>
        <w:t>s</w:t>
      </w:r>
      <w:r w:rsidRPr="00A321BC">
        <w:rPr>
          <w:rFonts w:ascii="Arial" w:hAnsi="Arial" w:cs="Arial"/>
          <w:szCs w:val="24"/>
        </w:rPr>
        <w:t>ing the existence of intersex people is important for respecting their rights and providing appropriate healthcare.</w:t>
      </w:r>
    </w:p>
    <w:p w14:paraId="17738BCA" w14:textId="77777777" w:rsidR="00A321BC" w:rsidRDefault="00A321BC" w:rsidP="00A321BC">
      <w:pPr>
        <w:jc w:val="both"/>
        <w:rPr>
          <w:rFonts w:ascii="Arial" w:hAnsi="Arial" w:cs="Arial"/>
          <w:szCs w:val="24"/>
        </w:rPr>
      </w:pPr>
    </w:p>
    <w:p w14:paraId="307E3D25" w14:textId="77777777" w:rsidR="00A321BC" w:rsidRPr="00A321BC" w:rsidRDefault="00A321BC" w:rsidP="00A321BC">
      <w:pPr>
        <w:jc w:val="both"/>
        <w:rPr>
          <w:rFonts w:ascii="Arial" w:hAnsi="Arial" w:cs="Arial"/>
          <w:b/>
          <w:bCs/>
          <w:color w:val="C00000"/>
          <w:szCs w:val="24"/>
        </w:rPr>
      </w:pPr>
      <w:r w:rsidRPr="00A321BC">
        <w:rPr>
          <w:rFonts w:ascii="Arial" w:hAnsi="Arial" w:cs="Arial"/>
          <w:b/>
          <w:bCs/>
          <w:color w:val="C00000"/>
          <w:szCs w:val="24"/>
        </w:rPr>
        <w:t>3. Sexuality:</w:t>
      </w:r>
    </w:p>
    <w:p w14:paraId="75FC862F" w14:textId="77777777" w:rsidR="00A321BC" w:rsidRPr="00A321BC" w:rsidRDefault="00A321BC" w:rsidP="00A321BC">
      <w:pPr>
        <w:jc w:val="both"/>
        <w:rPr>
          <w:rFonts w:ascii="Arial" w:hAnsi="Arial" w:cs="Arial"/>
          <w:szCs w:val="24"/>
        </w:rPr>
      </w:pPr>
    </w:p>
    <w:p w14:paraId="73B4BFCB" w14:textId="13ACCB14" w:rsidR="00A321BC" w:rsidRPr="00A321BC" w:rsidRDefault="00A321BC" w:rsidP="00A321BC">
      <w:pPr>
        <w:jc w:val="both"/>
        <w:rPr>
          <w:rFonts w:ascii="Arial" w:hAnsi="Arial" w:cs="Arial"/>
          <w:szCs w:val="24"/>
        </w:rPr>
      </w:pPr>
      <w:r w:rsidRPr="00A321BC">
        <w:rPr>
          <w:rFonts w:ascii="Arial" w:hAnsi="Arial" w:cs="Arial"/>
          <w:b/>
          <w:bCs/>
          <w:color w:val="C00000"/>
          <w:szCs w:val="24"/>
        </w:rPr>
        <w:t xml:space="preserve">Definition: </w:t>
      </w:r>
      <w:r w:rsidRPr="00A321BC">
        <w:rPr>
          <w:rFonts w:ascii="Arial" w:hAnsi="Arial" w:cs="Arial"/>
          <w:szCs w:val="24"/>
        </w:rPr>
        <w:t xml:space="preserve">Sexuality refers to a person's sexual orientation, desires, attractions, and </w:t>
      </w:r>
      <w:r w:rsidRPr="00A321BC">
        <w:rPr>
          <w:rFonts w:ascii="Arial" w:hAnsi="Arial" w:cs="Arial"/>
          <w:szCs w:val="24"/>
        </w:rPr>
        <w:t>behaviours</w:t>
      </w:r>
      <w:r w:rsidRPr="00A321BC">
        <w:rPr>
          <w:rFonts w:ascii="Arial" w:hAnsi="Arial" w:cs="Arial"/>
          <w:szCs w:val="24"/>
        </w:rPr>
        <w:t>. It encompasses a wide range of identities, including but not limited to heterosexual, homosexual, bisexual, and asexual orientations.</w:t>
      </w:r>
    </w:p>
    <w:p w14:paraId="782EBF5C" w14:textId="77777777" w:rsidR="00A321BC" w:rsidRPr="00A321BC" w:rsidRDefault="00A321BC" w:rsidP="00A321BC">
      <w:pPr>
        <w:jc w:val="both"/>
        <w:rPr>
          <w:rFonts w:ascii="Arial" w:hAnsi="Arial" w:cs="Arial"/>
          <w:b/>
          <w:bCs/>
          <w:color w:val="C00000"/>
          <w:szCs w:val="24"/>
        </w:rPr>
      </w:pPr>
      <w:r w:rsidRPr="00A321BC">
        <w:rPr>
          <w:rFonts w:ascii="Arial" w:hAnsi="Arial" w:cs="Arial"/>
          <w:b/>
          <w:bCs/>
          <w:color w:val="C00000"/>
          <w:szCs w:val="24"/>
        </w:rPr>
        <w:t>Key Points:</w:t>
      </w:r>
    </w:p>
    <w:p w14:paraId="34702CED" w14:textId="77777777" w:rsidR="00A321BC" w:rsidRPr="00A321BC" w:rsidRDefault="00A321BC" w:rsidP="00A321BC">
      <w:pPr>
        <w:jc w:val="both"/>
        <w:rPr>
          <w:rFonts w:ascii="Arial" w:hAnsi="Arial" w:cs="Arial"/>
          <w:szCs w:val="24"/>
        </w:rPr>
      </w:pPr>
      <w:r w:rsidRPr="00A321BC">
        <w:rPr>
          <w:rFonts w:ascii="Arial" w:hAnsi="Arial" w:cs="Arial"/>
          <w:szCs w:val="24"/>
        </w:rPr>
        <w:t>Sexual orientation is not a choice and should be respected without discrimination.</w:t>
      </w:r>
    </w:p>
    <w:p w14:paraId="01A0A21A" w14:textId="113071AD" w:rsidR="00A321BC" w:rsidRDefault="00A321BC" w:rsidP="00A321BC">
      <w:pPr>
        <w:jc w:val="both"/>
        <w:rPr>
          <w:rFonts w:ascii="Arial" w:hAnsi="Arial" w:cs="Arial"/>
          <w:szCs w:val="24"/>
        </w:rPr>
      </w:pPr>
      <w:r w:rsidRPr="00A321BC">
        <w:rPr>
          <w:rFonts w:ascii="Arial" w:hAnsi="Arial" w:cs="Arial"/>
          <w:szCs w:val="24"/>
        </w:rPr>
        <w:t>LGBTQ+ individuals, may face specific challenges due to cultural and societal norms. Culturally sensitive care is crucial in such cases.</w:t>
      </w:r>
    </w:p>
    <w:p w14:paraId="47F0D915" w14:textId="77777777" w:rsidR="00A321BC" w:rsidRDefault="00A321BC" w:rsidP="00A321BC">
      <w:pPr>
        <w:jc w:val="both"/>
        <w:rPr>
          <w:rFonts w:ascii="Arial" w:hAnsi="Arial" w:cs="Arial"/>
          <w:szCs w:val="24"/>
        </w:rPr>
      </w:pPr>
    </w:p>
    <w:p w14:paraId="4B335942" w14:textId="73AB29AB" w:rsidR="00A321BC" w:rsidRPr="00A321BC" w:rsidRDefault="00A321BC" w:rsidP="00A321BC">
      <w:pPr>
        <w:jc w:val="both"/>
        <w:rPr>
          <w:rFonts w:ascii="Arial" w:hAnsi="Arial" w:cs="Arial"/>
          <w:b/>
          <w:bCs/>
          <w:color w:val="00B050"/>
          <w:szCs w:val="24"/>
        </w:rPr>
      </w:pPr>
      <w:r w:rsidRPr="00A321BC">
        <w:rPr>
          <w:rFonts w:ascii="Arial" w:hAnsi="Arial" w:cs="Arial"/>
          <w:b/>
          <w:bCs/>
          <w:color w:val="00B050"/>
          <w:szCs w:val="24"/>
        </w:rPr>
        <w:t>4. Intersectionality:</w:t>
      </w:r>
    </w:p>
    <w:p w14:paraId="0BF425DA" w14:textId="77777777" w:rsidR="00A321BC" w:rsidRPr="00A321BC" w:rsidRDefault="00A321BC" w:rsidP="00A321BC">
      <w:pPr>
        <w:jc w:val="both"/>
        <w:rPr>
          <w:rFonts w:ascii="Arial" w:hAnsi="Arial" w:cs="Arial"/>
          <w:szCs w:val="24"/>
        </w:rPr>
      </w:pPr>
      <w:r w:rsidRPr="00A321BC">
        <w:rPr>
          <w:rFonts w:ascii="Arial" w:hAnsi="Arial" w:cs="Arial"/>
          <w:b/>
          <w:bCs/>
          <w:color w:val="00B050"/>
          <w:szCs w:val="24"/>
        </w:rPr>
        <w:t>Definition:</w:t>
      </w:r>
      <w:r w:rsidRPr="00A321BC">
        <w:rPr>
          <w:rFonts w:ascii="Arial" w:hAnsi="Arial" w:cs="Arial"/>
          <w:szCs w:val="24"/>
        </w:rPr>
        <w:t xml:space="preserve"> Intersectionality acknowledges that individuals can experience multiple forms of discrimination or privilege based on their gender, race, ethnicity, sexual orientation, and other factors. It emphasizes the interconnected nature of social identities.</w:t>
      </w:r>
    </w:p>
    <w:p w14:paraId="305CCCC0" w14:textId="77777777" w:rsidR="00A321BC" w:rsidRPr="00A321BC" w:rsidRDefault="00A321BC" w:rsidP="00A321BC">
      <w:pPr>
        <w:jc w:val="both"/>
        <w:rPr>
          <w:rFonts w:ascii="Arial" w:hAnsi="Arial" w:cs="Arial"/>
          <w:b/>
          <w:bCs/>
          <w:color w:val="00B050"/>
          <w:szCs w:val="24"/>
        </w:rPr>
      </w:pPr>
      <w:r w:rsidRPr="00A321BC">
        <w:rPr>
          <w:rFonts w:ascii="Arial" w:hAnsi="Arial" w:cs="Arial"/>
          <w:b/>
          <w:bCs/>
          <w:color w:val="00B050"/>
          <w:szCs w:val="24"/>
        </w:rPr>
        <w:t>Key Points:</w:t>
      </w:r>
    </w:p>
    <w:p w14:paraId="7327B032" w14:textId="77777777" w:rsidR="00A321BC" w:rsidRPr="00A321BC" w:rsidRDefault="00A321BC" w:rsidP="00A321BC">
      <w:pPr>
        <w:jc w:val="both"/>
        <w:rPr>
          <w:rFonts w:ascii="Arial" w:hAnsi="Arial" w:cs="Arial"/>
          <w:szCs w:val="24"/>
        </w:rPr>
      </w:pPr>
      <w:r w:rsidRPr="00A321BC">
        <w:rPr>
          <w:rFonts w:ascii="Arial" w:hAnsi="Arial" w:cs="Arial"/>
          <w:szCs w:val="24"/>
        </w:rPr>
        <w:t>Intersectionality is essential for understanding the unique experiences of individuals who belong to multiple marginalized groups, such as LGBTQ+ individuals from ethnic minority backgrounds.</w:t>
      </w:r>
    </w:p>
    <w:p w14:paraId="549F752F" w14:textId="77777777" w:rsidR="00A321BC" w:rsidRDefault="00A321BC" w:rsidP="00A321BC">
      <w:pPr>
        <w:jc w:val="both"/>
        <w:rPr>
          <w:rFonts w:ascii="Arial" w:hAnsi="Arial" w:cs="Arial"/>
          <w:szCs w:val="24"/>
        </w:rPr>
      </w:pPr>
      <w:r w:rsidRPr="00A321BC">
        <w:rPr>
          <w:rFonts w:ascii="Arial" w:hAnsi="Arial" w:cs="Arial"/>
          <w:szCs w:val="24"/>
        </w:rPr>
        <w:t>Health and social care professionals need to be aware of intersectionality to provide holistic and inclusive care.</w:t>
      </w:r>
    </w:p>
    <w:p w14:paraId="68715736" w14:textId="77777777" w:rsidR="00A321BC" w:rsidRPr="00A321BC" w:rsidRDefault="00A321BC" w:rsidP="00A321BC">
      <w:pPr>
        <w:jc w:val="both"/>
        <w:rPr>
          <w:rFonts w:ascii="Arial" w:hAnsi="Arial" w:cs="Arial"/>
          <w:szCs w:val="24"/>
        </w:rPr>
      </w:pPr>
    </w:p>
    <w:p w14:paraId="487BF69D" w14:textId="2897E98F" w:rsidR="00A321BC" w:rsidRPr="00A321BC" w:rsidRDefault="00A321BC" w:rsidP="00A321BC">
      <w:pPr>
        <w:jc w:val="both"/>
        <w:rPr>
          <w:rFonts w:ascii="Arial" w:hAnsi="Arial" w:cs="Arial"/>
          <w:szCs w:val="24"/>
        </w:rPr>
      </w:pPr>
      <w:r w:rsidRPr="00A321BC">
        <w:rPr>
          <w:rFonts w:ascii="Arial" w:hAnsi="Arial" w:cs="Arial"/>
          <w:szCs w:val="24"/>
        </w:rPr>
        <w:t>Understanding the complexities of gender, sex, and sexuality is essential for health and social care professionals, especially when working with diverse populations. By embracing inclusivity and cultural sensitivity, professionals can create a supportive environment where everyone receives respectful and equitable care, regardless of their gender identity, sex, or sexual orientation.</w:t>
      </w:r>
    </w:p>
    <w:sectPr w:rsidR="00A321BC" w:rsidRPr="00A321BC">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8DC81" w14:textId="77777777" w:rsidR="00A321BC" w:rsidRDefault="00A321BC" w:rsidP="00A321BC">
      <w:pPr>
        <w:spacing w:after="0" w:line="240" w:lineRule="auto"/>
      </w:pPr>
      <w:r>
        <w:separator/>
      </w:r>
    </w:p>
  </w:endnote>
  <w:endnote w:type="continuationSeparator" w:id="0">
    <w:p w14:paraId="24FE8712" w14:textId="77777777" w:rsidR="00A321BC" w:rsidRDefault="00A321BC" w:rsidP="00A321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863883"/>
      <w:docPartObj>
        <w:docPartGallery w:val="Page Numbers (Bottom of Page)"/>
        <w:docPartUnique/>
      </w:docPartObj>
    </w:sdtPr>
    <w:sdtEndPr>
      <w:rPr>
        <w:noProof/>
      </w:rPr>
    </w:sdtEndPr>
    <w:sdtContent>
      <w:p w14:paraId="643596D8" w14:textId="5A645253" w:rsidR="00A321BC" w:rsidRDefault="00A321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527356" w14:textId="77777777" w:rsidR="00A321BC" w:rsidRDefault="00A32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F8255" w14:textId="77777777" w:rsidR="00A321BC" w:rsidRDefault="00A321BC" w:rsidP="00A321BC">
      <w:pPr>
        <w:spacing w:after="0" w:line="240" w:lineRule="auto"/>
      </w:pPr>
      <w:r>
        <w:separator/>
      </w:r>
    </w:p>
  </w:footnote>
  <w:footnote w:type="continuationSeparator" w:id="0">
    <w:p w14:paraId="11AC21D5" w14:textId="77777777" w:rsidR="00A321BC" w:rsidRDefault="00A321BC" w:rsidP="00A321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9A389" w14:textId="08C692E3" w:rsidR="00A321BC" w:rsidRPr="00A321BC" w:rsidRDefault="00A321BC" w:rsidP="00A321BC">
    <w:pPr>
      <w:pStyle w:val="Header"/>
      <w:jc w:val="center"/>
      <w:rPr>
        <w:rFonts w:ascii="Arial" w:hAnsi="Arial" w:cs="Arial"/>
        <w:b/>
        <w:bCs/>
        <w:sz w:val="44"/>
        <w:szCs w:val="44"/>
      </w:rPr>
    </w:pPr>
    <w:r w:rsidRPr="00A321BC">
      <w:rPr>
        <w:rFonts w:ascii="Arial" w:hAnsi="Arial" w:cs="Arial"/>
        <w:b/>
        <w:bCs/>
        <w:sz w:val="44"/>
        <w:szCs w:val="44"/>
      </w:rPr>
      <w:t>Gender Sex and Sexuality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1BC"/>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321BC"/>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0CF2D"/>
  <w15:chartTrackingRefBased/>
  <w15:docId w15:val="{6354AEE6-7BB4-424C-ABA6-12B7B7E04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21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21BC"/>
  </w:style>
  <w:style w:type="paragraph" w:styleId="Footer">
    <w:name w:val="footer"/>
    <w:basedOn w:val="Normal"/>
    <w:link w:val="FooterChar"/>
    <w:uiPriority w:val="99"/>
    <w:unhideWhenUsed/>
    <w:rsid w:val="00A321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2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446</Words>
  <Characters>2548</Characters>
  <Application>Microsoft Office Word</Application>
  <DocSecurity>0</DocSecurity>
  <Lines>21</Lines>
  <Paragraphs>5</Paragraphs>
  <ScaleCrop>false</ScaleCrop>
  <Company/>
  <LinksUpToDate>false</LinksUpToDate>
  <CharactersWithSpaces>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2023-10-13T15:52:00Z</dcterms:created>
  <dcterms:modified xsi:type="dcterms:W3CDTF">2023-10-13T16:01:00Z</dcterms:modified>
</cp:coreProperties>
</file>