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45D465" w14:textId="77777777" w:rsidR="00CD5F19" w:rsidRDefault="00CD5F19">
      <w:pPr>
        <w:rPr>
          <w:b/>
          <w:sz w:val="32"/>
          <w:szCs w:val="32"/>
        </w:rPr>
      </w:pPr>
    </w:p>
    <w:p w14:paraId="2BF217C2" w14:textId="77777777" w:rsidR="00CD5F19" w:rsidRDefault="00CD5F19">
      <w:pPr>
        <w:rPr>
          <w:b/>
          <w:sz w:val="32"/>
          <w:szCs w:val="32"/>
        </w:rPr>
      </w:pPr>
    </w:p>
    <w:p w14:paraId="01864AFE" w14:textId="77777777" w:rsidR="00CD5F19" w:rsidRDefault="00CD5F19">
      <w:pPr>
        <w:rPr>
          <w:b/>
          <w:sz w:val="32"/>
          <w:szCs w:val="32"/>
        </w:rPr>
      </w:pPr>
    </w:p>
    <w:p w14:paraId="17F799C3" w14:textId="77777777" w:rsidR="00CD5F19" w:rsidRDefault="00CD5F19">
      <w:pPr>
        <w:rPr>
          <w:b/>
          <w:sz w:val="32"/>
          <w:szCs w:val="32"/>
        </w:rPr>
      </w:pPr>
    </w:p>
    <w:p w14:paraId="10D29D1E" w14:textId="77777777" w:rsidR="00CD5F19" w:rsidRDefault="00CD5F19">
      <w:pPr>
        <w:rPr>
          <w:b/>
          <w:sz w:val="32"/>
          <w:szCs w:val="32"/>
        </w:rPr>
      </w:pPr>
    </w:p>
    <w:p w14:paraId="7AE24D9E" w14:textId="77777777" w:rsidR="00CD5F19" w:rsidRDefault="00CD5F19">
      <w:pPr>
        <w:rPr>
          <w:b/>
          <w:sz w:val="32"/>
          <w:szCs w:val="32"/>
        </w:rPr>
      </w:pPr>
    </w:p>
    <w:p w14:paraId="56C8940E" w14:textId="77777777" w:rsidR="00CD5F19" w:rsidRDefault="00AE5602">
      <w:pPr>
        <w:rPr>
          <w:b/>
          <w:sz w:val="32"/>
          <w:szCs w:val="32"/>
        </w:rPr>
      </w:pPr>
      <w:r>
        <w:rPr>
          <w:b/>
          <w:sz w:val="32"/>
          <w:szCs w:val="32"/>
        </w:rPr>
        <w:t>FINANCIAL MANAGEMENT FOR THE HOTEL INDUSTRY: ASSIGNMENT 2</w:t>
      </w:r>
    </w:p>
    <w:p w14:paraId="721601E9" w14:textId="255C7C88" w:rsidR="009A1A20" w:rsidRDefault="009A1A20">
      <w:pPr>
        <w:rPr>
          <w:b/>
          <w:sz w:val="32"/>
          <w:szCs w:val="32"/>
        </w:rPr>
      </w:pPr>
      <w:r>
        <w:rPr>
          <w:b/>
          <w:sz w:val="32"/>
          <w:szCs w:val="32"/>
        </w:rPr>
        <w:t>BMIH5007</w:t>
      </w:r>
    </w:p>
    <w:p w14:paraId="054516E0" w14:textId="2C21DD12" w:rsidR="009A1A20" w:rsidRDefault="009A1A20">
      <w:pPr>
        <w:rPr>
          <w:b/>
          <w:sz w:val="32"/>
          <w:szCs w:val="32"/>
        </w:rPr>
      </w:pPr>
      <w:proofErr w:type="spellStart"/>
      <w:r>
        <w:rPr>
          <w:b/>
          <w:sz w:val="32"/>
          <w:szCs w:val="32"/>
        </w:rPr>
        <w:t>Mr</w:t>
      </w:r>
      <w:proofErr w:type="spellEnd"/>
      <w:r>
        <w:rPr>
          <w:b/>
          <w:sz w:val="32"/>
          <w:szCs w:val="32"/>
        </w:rPr>
        <w:t xml:space="preserve"> Parbes Ali</w:t>
      </w:r>
    </w:p>
    <w:p w14:paraId="4790C430" w14:textId="2617DAC0" w:rsidR="009A1A20" w:rsidRDefault="009A1A20">
      <w:pPr>
        <w:rPr>
          <w:b/>
          <w:sz w:val="32"/>
          <w:szCs w:val="32"/>
        </w:rPr>
      </w:pPr>
      <w:r>
        <w:rPr>
          <w:b/>
          <w:sz w:val="32"/>
          <w:szCs w:val="32"/>
        </w:rPr>
        <w:t>2127517</w:t>
      </w:r>
    </w:p>
    <w:p w14:paraId="50D067CE" w14:textId="0D2C4E16" w:rsidR="009A1A20" w:rsidRDefault="009A1A20">
      <w:pPr>
        <w:rPr>
          <w:b/>
          <w:sz w:val="32"/>
          <w:szCs w:val="32"/>
        </w:rPr>
      </w:pPr>
      <w:r>
        <w:rPr>
          <w:b/>
          <w:sz w:val="32"/>
          <w:szCs w:val="32"/>
        </w:rPr>
        <w:t>Tristian Hawkins</w:t>
      </w:r>
    </w:p>
    <w:p w14:paraId="67E4C3A9" w14:textId="77777777" w:rsidR="00CD5F19" w:rsidRDefault="00AE5602">
      <w:pPr>
        <w:jc w:val="both"/>
      </w:pPr>
      <w:r>
        <w:br w:type="page"/>
      </w:r>
    </w:p>
    <w:p w14:paraId="4E331DC9" w14:textId="77777777" w:rsidR="00CD5F19" w:rsidRDefault="00AE5602">
      <w:pPr>
        <w:rPr>
          <w:b/>
          <w:sz w:val="28"/>
          <w:szCs w:val="28"/>
        </w:rPr>
      </w:pPr>
      <w:r>
        <w:rPr>
          <w:b/>
          <w:sz w:val="28"/>
          <w:szCs w:val="28"/>
        </w:rPr>
        <w:lastRenderedPageBreak/>
        <w:t>Executive Summary</w:t>
      </w:r>
    </w:p>
    <w:p w14:paraId="1A0A775F" w14:textId="77777777" w:rsidR="00CD5F19" w:rsidRDefault="00AE5602">
      <w:pPr>
        <w:shd w:val="clear" w:color="auto" w:fill="FFFFFF"/>
        <w:jc w:val="both"/>
      </w:pPr>
      <w:r>
        <w:t xml:space="preserve">The Seaview Resort, arranged in a picturesque coastal location, faces a critical crossroads in its excursion as a vacation destination. As of late, the resort has encountered a decline in various critical metrics, including revenue, occupancy rates, and customer satisfaction. </w:t>
      </w:r>
    </w:p>
    <w:p w14:paraId="1E9238B4" w14:textId="77777777" w:rsidR="00CD5F19" w:rsidRDefault="00AE5602">
      <w:pPr>
        <w:shd w:val="clear" w:color="auto" w:fill="FFFFFF"/>
        <w:jc w:val="both"/>
      </w:pPr>
      <w:r>
        <w:t xml:space="preserve">The resort's financial well-being has seen an impressive decline, as proven by the pay proclamation examination. Revenues have dwindled from £520,000 in 2020 to £430,000 in 2022, combined with rising operating costs, bringing about a negative net profit of - £20,000 around the same time. The resort's net profit edge mirrors a troubling trajectory, diving from 15% in 2020 to - 11% in 2022. </w:t>
      </w:r>
    </w:p>
    <w:p w14:paraId="6A9605EA" w14:textId="77777777" w:rsidR="00CD5F19" w:rsidRDefault="00AE5602">
      <w:pPr>
        <w:shd w:val="clear" w:color="auto" w:fill="FFFFFF"/>
        <w:jc w:val="both"/>
      </w:pPr>
      <w:r>
        <w:t>The resort's key financial ratios further highlight its challenges. While the current ratio at 1.39 appears to be sensibly solid, the quick ratio of 0.83, the debt-to-equity ratio at 1.29, and negative return on asset (ROA) and return on equity (ROE) ratios uncover huge weaknesses.</w:t>
      </w:r>
    </w:p>
    <w:p w14:paraId="186DC883" w14:textId="77777777" w:rsidR="00CD5F19" w:rsidRDefault="00AE5602">
      <w:pPr>
        <w:shd w:val="clear" w:color="auto" w:fill="FFFFFF"/>
        <w:jc w:val="both"/>
      </w:pPr>
      <w:r>
        <w:t xml:space="preserve">To address these challenges, an exhaustive Turnaround Strategy has been proposed. It includes </w:t>
      </w:r>
      <w:proofErr w:type="gramStart"/>
      <w:r>
        <w:t>redesign</w:t>
      </w:r>
      <w:proofErr w:type="gramEnd"/>
      <w:r>
        <w:t xml:space="preserve"> and modernization to line up with contemporary guidelines and eco-accommodating works, rebranding as an eco-resort to take care of the developing eco-cognizant tourist portion, and endeavors to improve cost-productivity.</w:t>
      </w:r>
    </w:p>
    <w:p w14:paraId="46B20FA6" w14:textId="77777777" w:rsidR="00CD5F19" w:rsidRDefault="00AE5602">
      <w:pPr>
        <w:shd w:val="clear" w:color="auto" w:fill="FFFFFF"/>
        <w:jc w:val="both"/>
      </w:pPr>
      <w:r>
        <w:t xml:space="preserve">Financial projections for 2023, </w:t>
      </w:r>
      <w:proofErr w:type="gramStart"/>
      <w:r>
        <w:t>in light of</w:t>
      </w:r>
      <w:proofErr w:type="gramEnd"/>
      <w:r>
        <w:t xml:space="preserve"> the proposed strategy, expect a difficult yet worked-on financial viewpoint. Total revenue is determined to reach £3,86,292.00 while working costs are supposed to </w:t>
      </w:r>
      <w:proofErr w:type="gramStart"/>
      <w:r>
        <w:t>ascend</w:t>
      </w:r>
      <w:proofErr w:type="gramEnd"/>
      <w:r>
        <w:t xml:space="preserve"> because of interest in restoration. This is projected to bring about a negative net profit of - £88,540.03 and a net loss of - £1,03,854.62, with a net profit edge staying negative at - 22%.</w:t>
      </w:r>
    </w:p>
    <w:p w14:paraId="380F26C7" w14:textId="77777777" w:rsidR="00CD5F19" w:rsidRDefault="00AE5602">
      <w:pPr>
        <w:shd w:val="clear" w:color="auto" w:fill="FFFFFF"/>
        <w:jc w:val="both"/>
        <w:rPr>
          <w:sz w:val="26"/>
          <w:szCs w:val="26"/>
        </w:rPr>
      </w:pPr>
      <w:r>
        <w:t>The Seaview Resort remains at a critical second in its excursion. The proposed Turnaround Strategy offers a way to rejuvenate, yet the challenges are huge, requiring unflinching responsibility, risk relief, and support endeavors to recapture its situation as a flourishing, feasible, and pursued vacation destination in an exceptionally cutthroat market.</w:t>
      </w:r>
    </w:p>
    <w:p w14:paraId="384F611B" w14:textId="77777777" w:rsidR="00CD5F19" w:rsidRDefault="00AE5602">
      <w:pPr>
        <w:pStyle w:val="Heading1"/>
        <w:rPr>
          <w:color w:val="000000"/>
        </w:rPr>
      </w:pPr>
      <w:bookmarkStart w:id="0" w:name="_gjdgxs" w:colFirst="0" w:colLast="0"/>
      <w:bookmarkEnd w:id="0"/>
      <w:r>
        <w:br w:type="page"/>
      </w:r>
    </w:p>
    <w:p w14:paraId="584D2738" w14:textId="77777777" w:rsidR="00CD5F19" w:rsidRDefault="00AE5602">
      <w:pPr>
        <w:keepNext/>
        <w:keepLines/>
        <w:pBdr>
          <w:top w:val="nil"/>
          <w:left w:val="nil"/>
          <w:bottom w:val="nil"/>
          <w:right w:val="nil"/>
          <w:between w:val="nil"/>
        </w:pBdr>
        <w:spacing w:before="240"/>
        <w:rPr>
          <w:b/>
          <w:color w:val="000000"/>
          <w:sz w:val="28"/>
          <w:szCs w:val="28"/>
        </w:rPr>
      </w:pPr>
      <w:bookmarkStart w:id="1" w:name="_30j0zll" w:colFirst="0" w:colLast="0"/>
      <w:bookmarkEnd w:id="1"/>
      <w:r>
        <w:rPr>
          <w:b/>
          <w:color w:val="000000"/>
          <w:sz w:val="28"/>
          <w:szCs w:val="28"/>
        </w:rPr>
        <w:lastRenderedPageBreak/>
        <w:t>TABLE OF CONTENTS</w:t>
      </w:r>
    </w:p>
    <w:sdt>
      <w:sdtPr>
        <w:id w:val="-434598100"/>
        <w:docPartObj>
          <w:docPartGallery w:val="Table of Contents"/>
          <w:docPartUnique/>
        </w:docPartObj>
      </w:sdtPr>
      <w:sdtEndPr>
        <w:rPr>
          <w:rFonts w:ascii="Times New Roman" w:eastAsia="Times New Roman" w:hAnsi="Times New Roman" w:cs="Times New Roman"/>
          <w:b/>
          <w:bCs/>
          <w:noProof/>
          <w:color w:val="auto"/>
          <w:sz w:val="24"/>
          <w:szCs w:val="24"/>
          <w:lang w:val="en" w:eastAsia="en-GB"/>
        </w:rPr>
      </w:sdtEndPr>
      <w:sdtContent>
        <w:p w14:paraId="34DC4881" w14:textId="0EDDEE53" w:rsidR="00AE5602" w:rsidRDefault="00AE5602">
          <w:pPr>
            <w:pStyle w:val="TOCHeading"/>
          </w:pPr>
          <w:r>
            <w:t>Table of Contents</w:t>
          </w:r>
        </w:p>
        <w:p w14:paraId="1FAD5A62" w14:textId="4C4E08A3" w:rsidR="00AE5602" w:rsidRDefault="00AE5602">
          <w:pPr>
            <w:pStyle w:val="TOC1"/>
            <w:tabs>
              <w:tab w:val="right" w:leader="dot" w:pos="9350"/>
            </w:tabs>
            <w:rPr>
              <w:rFonts w:asciiTheme="minorHAnsi" w:eastAsiaTheme="minorEastAsia" w:hAnsiTheme="minorHAnsi" w:cstheme="minorBidi"/>
              <w:noProof/>
              <w:kern w:val="2"/>
              <w:sz w:val="22"/>
              <w:szCs w:val="22"/>
              <w:lang w:val="en-GB"/>
              <w14:ligatures w14:val="standardContextual"/>
            </w:rPr>
          </w:pPr>
          <w:r>
            <w:fldChar w:fldCharType="begin"/>
          </w:r>
          <w:r>
            <w:instrText xml:space="preserve"> TOC \o "1-3" \h \z \u </w:instrText>
          </w:r>
          <w:r>
            <w:fldChar w:fldCharType="separate"/>
          </w:r>
          <w:hyperlink w:anchor="_Toc150847462" w:history="1">
            <w:r w:rsidRPr="00080F58">
              <w:rPr>
                <w:rStyle w:val="Hyperlink"/>
                <w:noProof/>
              </w:rPr>
              <w:t>Understanding of the Purpose</w:t>
            </w:r>
            <w:r>
              <w:rPr>
                <w:noProof/>
                <w:webHidden/>
              </w:rPr>
              <w:tab/>
            </w:r>
            <w:r>
              <w:rPr>
                <w:noProof/>
                <w:webHidden/>
              </w:rPr>
              <w:fldChar w:fldCharType="begin"/>
            </w:r>
            <w:r>
              <w:rPr>
                <w:noProof/>
                <w:webHidden/>
              </w:rPr>
              <w:instrText xml:space="preserve"> PAGEREF _Toc150847462 \h </w:instrText>
            </w:r>
            <w:r>
              <w:rPr>
                <w:noProof/>
                <w:webHidden/>
              </w:rPr>
            </w:r>
            <w:r>
              <w:rPr>
                <w:noProof/>
                <w:webHidden/>
              </w:rPr>
              <w:fldChar w:fldCharType="separate"/>
            </w:r>
            <w:r>
              <w:rPr>
                <w:noProof/>
                <w:webHidden/>
              </w:rPr>
              <w:t>3</w:t>
            </w:r>
            <w:r>
              <w:rPr>
                <w:noProof/>
                <w:webHidden/>
              </w:rPr>
              <w:fldChar w:fldCharType="end"/>
            </w:r>
          </w:hyperlink>
        </w:p>
        <w:p w14:paraId="587125EF" w14:textId="160FF8E4" w:rsidR="00AE5602" w:rsidRDefault="00AE5602">
          <w:pPr>
            <w:pStyle w:val="TOC1"/>
            <w:tabs>
              <w:tab w:val="right" w:leader="dot" w:pos="9350"/>
            </w:tabs>
            <w:rPr>
              <w:rFonts w:asciiTheme="minorHAnsi" w:eastAsiaTheme="minorEastAsia" w:hAnsiTheme="minorHAnsi" w:cstheme="minorBidi"/>
              <w:noProof/>
              <w:kern w:val="2"/>
              <w:sz w:val="22"/>
              <w:szCs w:val="22"/>
              <w:lang w:val="en-GB"/>
              <w14:ligatures w14:val="standardContextual"/>
            </w:rPr>
          </w:pPr>
          <w:hyperlink w:anchor="_Toc150847463" w:history="1">
            <w:r w:rsidRPr="00080F58">
              <w:rPr>
                <w:rStyle w:val="Hyperlink"/>
                <w:noProof/>
              </w:rPr>
              <w:t>Introduction</w:t>
            </w:r>
            <w:r>
              <w:rPr>
                <w:noProof/>
                <w:webHidden/>
              </w:rPr>
              <w:tab/>
            </w:r>
            <w:r>
              <w:rPr>
                <w:noProof/>
                <w:webHidden/>
              </w:rPr>
              <w:fldChar w:fldCharType="begin"/>
            </w:r>
            <w:r>
              <w:rPr>
                <w:noProof/>
                <w:webHidden/>
              </w:rPr>
              <w:instrText xml:space="preserve"> PAGEREF _Toc150847463 \h </w:instrText>
            </w:r>
            <w:r>
              <w:rPr>
                <w:noProof/>
                <w:webHidden/>
              </w:rPr>
            </w:r>
            <w:r>
              <w:rPr>
                <w:noProof/>
                <w:webHidden/>
              </w:rPr>
              <w:fldChar w:fldCharType="separate"/>
            </w:r>
            <w:r>
              <w:rPr>
                <w:noProof/>
                <w:webHidden/>
              </w:rPr>
              <w:t>3</w:t>
            </w:r>
            <w:r>
              <w:rPr>
                <w:noProof/>
                <w:webHidden/>
              </w:rPr>
              <w:fldChar w:fldCharType="end"/>
            </w:r>
          </w:hyperlink>
        </w:p>
        <w:p w14:paraId="07C934D8" w14:textId="6F872917" w:rsidR="00AE5602" w:rsidRDefault="00AE5602">
          <w:pPr>
            <w:pStyle w:val="TOC1"/>
            <w:tabs>
              <w:tab w:val="right" w:leader="dot" w:pos="9350"/>
            </w:tabs>
            <w:rPr>
              <w:rFonts w:asciiTheme="minorHAnsi" w:eastAsiaTheme="minorEastAsia" w:hAnsiTheme="minorHAnsi" w:cstheme="minorBidi"/>
              <w:noProof/>
              <w:kern w:val="2"/>
              <w:sz w:val="22"/>
              <w:szCs w:val="22"/>
              <w:lang w:val="en-GB"/>
              <w14:ligatures w14:val="standardContextual"/>
            </w:rPr>
          </w:pPr>
          <w:hyperlink w:anchor="_Toc150847464" w:history="1">
            <w:r w:rsidRPr="00080F58">
              <w:rPr>
                <w:rStyle w:val="Hyperlink"/>
                <w:noProof/>
              </w:rPr>
              <w:t>Scope and Objectives</w:t>
            </w:r>
            <w:r>
              <w:rPr>
                <w:noProof/>
                <w:webHidden/>
              </w:rPr>
              <w:tab/>
            </w:r>
            <w:r>
              <w:rPr>
                <w:noProof/>
                <w:webHidden/>
              </w:rPr>
              <w:fldChar w:fldCharType="begin"/>
            </w:r>
            <w:r>
              <w:rPr>
                <w:noProof/>
                <w:webHidden/>
              </w:rPr>
              <w:instrText xml:space="preserve"> PAGEREF _Toc150847464 \h </w:instrText>
            </w:r>
            <w:r>
              <w:rPr>
                <w:noProof/>
                <w:webHidden/>
              </w:rPr>
            </w:r>
            <w:r>
              <w:rPr>
                <w:noProof/>
                <w:webHidden/>
              </w:rPr>
              <w:fldChar w:fldCharType="separate"/>
            </w:r>
            <w:r>
              <w:rPr>
                <w:noProof/>
                <w:webHidden/>
              </w:rPr>
              <w:t>3</w:t>
            </w:r>
            <w:r>
              <w:rPr>
                <w:noProof/>
                <w:webHidden/>
              </w:rPr>
              <w:fldChar w:fldCharType="end"/>
            </w:r>
          </w:hyperlink>
        </w:p>
        <w:p w14:paraId="4CFCEEFA" w14:textId="01837F8E" w:rsidR="00AE5602" w:rsidRDefault="00AE5602">
          <w:pPr>
            <w:pStyle w:val="TOC1"/>
            <w:tabs>
              <w:tab w:val="right" w:leader="dot" w:pos="9350"/>
            </w:tabs>
            <w:rPr>
              <w:rFonts w:asciiTheme="minorHAnsi" w:eastAsiaTheme="minorEastAsia" w:hAnsiTheme="minorHAnsi" w:cstheme="minorBidi"/>
              <w:noProof/>
              <w:kern w:val="2"/>
              <w:sz w:val="22"/>
              <w:szCs w:val="22"/>
              <w:lang w:val="en-GB"/>
              <w14:ligatures w14:val="standardContextual"/>
            </w:rPr>
          </w:pPr>
          <w:hyperlink w:anchor="_Toc150847465" w:history="1">
            <w:r w:rsidRPr="00080F58">
              <w:rPr>
                <w:rStyle w:val="Hyperlink"/>
                <w:noProof/>
              </w:rPr>
              <w:t>Financial Analysis</w:t>
            </w:r>
            <w:r>
              <w:rPr>
                <w:noProof/>
                <w:webHidden/>
              </w:rPr>
              <w:tab/>
            </w:r>
            <w:r>
              <w:rPr>
                <w:noProof/>
                <w:webHidden/>
              </w:rPr>
              <w:fldChar w:fldCharType="begin"/>
            </w:r>
            <w:r>
              <w:rPr>
                <w:noProof/>
                <w:webHidden/>
              </w:rPr>
              <w:instrText xml:space="preserve"> PAGEREF _Toc150847465 \h </w:instrText>
            </w:r>
            <w:r>
              <w:rPr>
                <w:noProof/>
                <w:webHidden/>
              </w:rPr>
            </w:r>
            <w:r>
              <w:rPr>
                <w:noProof/>
                <w:webHidden/>
              </w:rPr>
              <w:fldChar w:fldCharType="separate"/>
            </w:r>
            <w:r>
              <w:rPr>
                <w:noProof/>
                <w:webHidden/>
              </w:rPr>
              <w:t>4</w:t>
            </w:r>
            <w:r>
              <w:rPr>
                <w:noProof/>
                <w:webHidden/>
              </w:rPr>
              <w:fldChar w:fldCharType="end"/>
            </w:r>
          </w:hyperlink>
        </w:p>
        <w:p w14:paraId="1E68C29E" w14:textId="150CE94B" w:rsidR="00AE5602" w:rsidRDefault="00AE5602">
          <w:pPr>
            <w:pStyle w:val="TOC2"/>
            <w:tabs>
              <w:tab w:val="right" w:leader="dot" w:pos="9350"/>
            </w:tabs>
            <w:rPr>
              <w:rFonts w:asciiTheme="minorHAnsi" w:eastAsiaTheme="minorEastAsia" w:hAnsiTheme="minorHAnsi" w:cstheme="minorBidi"/>
              <w:noProof/>
              <w:kern w:val="2"/>
              <w:sz w:val="22"/>
              <w:szCs w:val="22"/>
              <w:lang w:val="en-GB"/>
              <w14:ligatures w14:val="standardContextual"/>
            </w:rPr>
          </w:pPr>
          <w:hyperlink w:anchor="_Toc150847466" w:history="1">
            <w:r w:rsidRPr="00080F58">
              <w:rPr>
                <w:rStyle w:val="Hyperlink"/>
                <w:noProof/>
              </w:rPr>
              <w:t>Income Statement Analysis</w:t>
            </w:r>
            <w:r>
              <w:rPr>
                <w:noProof/>
                <w:webHidden/>
              </w:rPr>
              <w:tab/>
            </w:r>
            <w:r>
              <w:rPr>
                <w:noProof/>
                <w:webHidden/>
              </w:rPr>
              <w:fldChar w:fldCharType="begin"/>
            </w:r>
            <w:r>
              <w:rPr>
                <w:noProof/>
                <w:webHidden/>
              </w:rPr>
              <w:instrText xml:space="preserve"> PAGEREF _Toc150847466 \h </w:instrText>
            </w:r>
            <w:r>
              <w:rPr>
                <w:noProof/>
                <w:webHidden/>
              </w:rPr>
            </w:r>
            <w:r>
              <w:rPr>
                <w:noProof/>
                <w:webHidden/>
              </w:rPr>
              <w:fldChar w:fldCharType="separate"/>
            </w:r>
            <w:r>
              <w:rPr>
                <w:noProof/>
                <w:webHidden/>
              </w:rPr>
              <w:t>4</w:t>
            </w:r>
            <w:r>
              <w:rPr>
                <w:noProof/>
                <w:webHidden/>
              </w:rPr>
              <w:fldChar w:fldCharType="end"/>
            </w:r>
          </w:hyperlink>
        </w:p>
        <w:p w14:paraId="33FEDA0D" w14:textId="5672606A" w:rsidR="00AE5602" w:rsidRDefault="00AE5602">
          <w:pPr>
            <w:pStyle w:val="TOC2"/>
            <w:tabs>
              <w:tab w:val="right" w:leader="dot" w:pos="9350"/>
            </w:tabs>
            <w:rPr>
              <w:rFonts w:asciiTheme="minorHAnsi" w:eastAsiaTheme="minorEastAsia" w:hAnsiTheme="minorHAnsi" w:cstheme="minorBidi"/>
              <w:noProof/>
              <w:kern w:val="2"/>
              <w:sz w:val="22"/>
              <w:szCs w:val="22"/>
              <w:lang w:val="en-GB"/>
              <w14:ligatures w14:val="standardContextual"/>
            </w:rPr>
          </w:pPr>
          <w:hyperlink w:anchor="_Toc150847467" w:history="1">
            <w:r w:rsidRPr="00080F58">
              <w:rPr>
                <w:rStyle w:val="Hyperlink"/>
                <w:noProof/>
              </w:rPr>
              <w:t>Balance Sheet Analysis</w:t>
            </w:r>
            <w:r>
              <w:rPr>
                <w:noProof/>
                <w:webHidden/>
              </w:rPr>
              <w:tab/>
            </w:r>
            <w:r>
              <w:rPr>
                <w:noProof/>
                <w:webHidden/>
              </w:rPr>
              <w:fldChar w:fldCharType="begin"/>
            </w:r>
            <w:r>
              <w:rPr>
                <w:noProof/>
                <w:webHidden/>
              </w:rPr>
              <w:instrText xml:space="preserve"> PAGEREF _Toc150847467 \h </w:instrText>
            </w:r>
            <w:r>
              <w:rPr>
                <w:noProof/>
                <w:webHidden/>
              </w:rPr>
            </w:r>
            <w:r>
              <w:rPr>
                <w:noProof/>
                <w:webHidden/>
              </w:rPr>
              <w:fldChar w:fldCharType="separate"/>
            </w:r>
            <w:r>
              <w:rPr>
                <w:noProof/>
                <w:webHidden/>
              </w:rPr>
              <w:t>5</w:t>
            </w:r>
            <w:r>
              <w:rPr>
                <w:noProof/>
                <w:webHidden/>
              </w:rPr>
              <w:fldChar w:fldCharType="end"/>
            </w:r>
          </w:hyperlink>
        </w:p>
        <w:p w14:paraId="52FFF678" w14:textId="5613EB4B" w:rsidR="00AE5602" w:rsidRDefault="00AE5602">
          <w:pPr>
            <w:pStyle w:val="TOC2"/>
            <w:tabs>
              <w:tab w:val="right" w:leader="dot" w:pos="9350"/>
            </w:tabs>
            <w:rPr>
              <w:rFonts w:asciiTheme="minorHAnsi" w:eastAsiaTheme="minorEastAsia" w:hAnsiTheme="minorHAnsi" w:cstheme="minorBidi"/>
              <w:noProof/>
              <w:kern w:val="2"/>
              <w:sz w:val="22"/>
              <w:szCs w:val="22"/>
              <w:lang w:val="en-GB"/>
              <w14:ligatures w14:val="standardContextual"/>
            </w:rPr>
          </w:pPr>
          <w:hyperlink w:anchor="_Toc150847468" w:history="1">
            <w:r w:rsidRPr="00080F58">
              <w:rPr>
                <w:rStyle w:val="Hyperlink"/>
                <w:noProof/>
              </w:rPr>
              <w:t>Cash Flow Analysis</w:t>
            </w:r>
            <w:r>
              <w:rPr>
                <w:noProof/>
                <w:webHidden/>
              </w:rPr>
              <w:tab/>
            </w:r>
            <w:r>
              <w:rPr>
                <w:noProof/>
                <w:webHidden/>
              </w:rPr>
              <w:fldChar w:fldCharType="begin"/>
            </w:r>
            <w:r>
              <w:rPr>
                <w:noProof/>
                <w:webHidden/>
              </w:rPr>
              <w:instrText xml:space="preserve"> PAGEREF _Toc150847468 \h </w:instrText>
            </w:r>
            <w:r>
              <w:rPr>
                <w:noProof/>
                <w:webHidden/>
              </w:rPr>
            </w:r>
            <w:r>
              <w:rPr>
                <w:noProof/>
                <w:webHidden/>
              </w:rPr>
              <w:fldChar w:fldCharType="separate"/>
            </w:r>
            <w:r>
              <w:rPr>
                <w:noProof/>
                <w:webHidden/>
              </w:rPr>
              <w:t>6</w:t>
            </w:r>
            <w:r>
              <w:rPr>
                <w:noProof/>
                <w:webHidden/>
              </w:rPr>
              <w:fldChar w:fldCharType="end"/>
            </w:r>
          </w:hyperlink>
        </w:p>
        <w:p w14:paraId="409F39F4" w14:textId="74A10A34" w:rsidR="00AE5602" w:rsidRDefault="00AE5602">
          <w:pPr>
            <w:pStyle w:val="TOC2"/>
            <w:tabs>
              <w:tab w:val="right" w:leader="dot" w:pos="9350"/>
            </w:tabs>
            <w:rPr>
              <w:rFonts w:asciiTheme="minorHAnsi" w:eastAsiaTheme="minorEastAsia" w:hAnsiTheme="minorHAnsi" w:cstheme="minorBidi"/>
              <w:noProof/>
              <w:kern w:val="2"/>
              <w:sz w:val="22"/>
              <w:szCs w:val="22"/>
              <w:lang w:val="en-GB"/>
              <w14:ligatures w14:val="standardContextual"/>
            </w:rPr>
          </w:pPr>
          <w:hyperlink w:anchor="_Toc150847469" w:history="1">
            <w:r w:rsidRPr="00080F58">
              <w:rPr>
                <w:rStyle w:val="Hyperlink"/>
                <w:noProof/>
              </w:rPr>
              <w:t>Ratio Analysis</w:t>
            </w:r>
            <w:r>
              <w:rPr>
                <w:noProof/>
                <w:webHidden/>
              </w:rPr>
              <w:tab/>
            </w:r>
            <w:r>
              <w:rPr>
                <w:noProof/>
                <w:webHidden/>
              </w:rPr>
              <w:fldChar w:fldCharType="begin"/>
            </w:r>
            <w:r>
              <w:rPr>
                <w:noProof/>
                <w:webHidden/>
              </w:rPr>
              <w:instrText xml:space="preserve"> PAGEREF _Toc150847469 \h </w:instrText>
            </w:r>
            <w:r>
              <w:rPr>
                <w:noProof/>
                <w:webHidden/>
              </w:rPr>
            </w:r>
            <w:r>
              <w:rPr>
                <w:noProof/>
                <w:webHidden/>
              </w:rPr>
              <w:fldChar w:fldCharType="separate"/>
            </w:r>
            <w:r>
              <w:rPr>
                <w:noProof/>
                <w:webHidden/>
              </w:rPr>
              <w:t>6</w:t>
            </w:r>
            <w:r>
              <w:rPr>
                <w:noProof/>
                <w:webHidden/>
              </w:rPr>
              <w:fldChar w:fldCharType="end"/>
            </w:r>
          </w:hyperlink>
        </w:p>
        <w:p w14:paraId="377F0FBF" w14:textId="3B12FFC7" w:rsidR="00AE5602" w:rsidRDefault="00AE5602">
          <w:pPr>
            <w:pStyle w:val="TOC1"/>
            <w:tabs>
              <w:tab w:val="right" w:leader="dot" w:pos="9350"/>
            </w:tabs>
            <w:rPr>
              <w:rFonts w:asciiTheme="minorHAnsi" w:eastAsiaTheme="minorEastAsia" w:hAnsiTheme="minorHAnsi" w:cstheme="minorBidi"/>
              <w:noProof/>
              <w:kern w:val="2"/>
              <w:sz w:val="22"/>
              <w:szCs w:val="22"/>
              <w:lang w:val="en-GB"/>
              <w14:ligatures w14:val="standardContextual"/>
            </w:rPr>
          </w:pPr>
          <w:hyperlink w:anchor="_Toc150847470" w:history="1">
            <w:r w:rsidRPr="00080F58">
              <w:rPr>
                <w:rStyle w:val="Hyperlink"/>
                <w:noProof/>
              </w:rPr>
              <w:t>SWOT Analysis</w:t>
            </w:r>
            <w:r>
              <w:rPr>
                <w:noProof/>
                <w:webHidden/>
              </w:rPr>
              <w:tab/>
            </w:r>
            <w:r>
              <w:rPr>
                <w:noProof/>
                <w:webHidden/>
              </w:rPr>
              <w:fldChar w:fldCharType="begin"/>
            </w:r>
            <w:r>
              <w:rPr>
                <w:noProof/>
                <w:webHidden/>
              </w:rPr>
              <w:instrText xml:space="preserve"> PAGEREF _Toc150847470 \h </w:instrText>
            </w:r>
            <w:r>
              <w:rPr>
                <w:noProof/>
                <w:webHidden/>
              </w:rPr>
            </w:r>
            <w:r>
              <w:rPr>
                <w:noProof/>
                <w:webHidden/>
              </w:rPr>
              <w:fldChar w:fldCharType="separate"/>
            </w:r>
            <w:r>
              <w:rPr>
                <w:noProof/>
                <w:webHidden/>
              </w:rPr>
              <w:t>7</w:t>
            </w:r>
            <w:r>
              <w:rPr>
                <w:noProof/>
                <w:webHidden/>
              </w:rPr>
              <w:fldChar w:fldCharType="end"/>
            </w:r>
          </w:hyperlink>
        </w:p>
        <w:p w14:paraId="208BDE84" w14:textId="19ACBF43" w:rsidR="00AE5602" w:rsidRDefault="00AE5602">
          <w:pPr>
            <w:pStyle w:val="TOC2"/>
            <w:tabs>
              <w:tab w:val="right" w:leader="dot" w:pos="9350"/>
            </w:tabs>
            <w:rPr>
              <w:rFonts w:asciiTheme="minorHAnsi" w:eastAsiaTheme="minorEastAsia" w:hAnsiTheme="minorHAnsi" w:cstheme="minorBidi"/>
              <w:noProof/>
              <w:kern w:val="2"/>
              <w:sz w:val="22"/>
              <w:szCs w:val="22"/>
              <w:lang w:val="en-GB"/>
              <w14:ligatures w14:val="standardContextual"/>
            </w:rPr>
          </w:pPr>
          <w:hyperlink w:anchor="_Toc150847471" w:history="1">
            <w:r w:rsidRPr="00080F58">
              <w:rPr>
                <w:rStyle w:val="Hyperlink"/>
                <w:noProof/>
              </w:rPr>
              <w:t>Strengths</w:t>
            </w:r>
            <w:r>
              <w:rPr>
                <w:noProof/>
                <w:webHidden/>
              </w:rPr>
              <w:tab/>
            </w:r>
            <w:r>
              <w:rPr>
                <w:noProof/>
                <w:webHidden/>
              </w:rPr>
              <w:fldChar w:fldCharType="begin"/>
            </w:r>
            <w:r>
              <w:rPr>
                <w:noProof/>
                <w:webHidden/>
              </w:rPr>
              <w:instrText xml:space="preserve"> PAGEREF _Toc150847471 \h </w:instrText>
            </w:r>
            <w:r>
              <w:rPr>
                <w:noProof/>
                <w:webHidden/>
              </w:rPr>
            </w:r>
            <w:r>
              <w:rPr>
                <w:noProof/>
                <w:webHidden/>
              </w:rPr>
              <w:fldChar w:fldCharType="separate"/>
            </w:r>
            <w:r>
              <w:rPr>
                <w:noProof/>
                <w:webHidden/>
              </w:rPr>
              <w:t>7</w:t>
            </w:r>
            <w:r>
              <w:rPr>
                <w:noProof/>
                <w:webHidden/>
              </w:rPr>
              <w:fldChar w:fldCharType="end"/>
            </w:r>
          </w:hyperlink>
        </w:p>
        <w:p w14:paraId="30E43669" w14:textId="7D7EBC3F" w:rsidR="00AE5602" w:rsidRDefault="00AE5602">
          <w:pPr>
            <w:pStyle w:val="TOC2"/>
            <w:tabs>
              <w:tab w:val="right" w:leader="dot" w:pos="9350"/>
            </w:tabs>
            <w:rPr>
              <w:rFonts w:asciiTheme="minorHAnsi" w:eastAsiaTheme="minorEastAsia" w:hAnsiTheme="minorHAnsi" w:cstheme="minorBidi"/>
              <w:noProof/>
              <w:kern w:val="2"/>
              <w:sz w:val="22"/>
              <w:szCs w:val="22"/>
              <w:lang w:val="en-GB"/>
              <w14:ligatures w14:val="standardContextual"/>
            </w:rPr>
          </w:pPr>
          <w:hyperlink w:anchor="_Toc150847472" w:history="1">
            <w:r w:rsidRPr="00080F58">
              <w:rPr>
                <w:rStyle w:val="Hyperlink"/>
                <w:noProof/>
              </w:rPr>
              <w:t>Weaknesses</w:t>
            </w:r>
            <w:r>
              <w:rPr>
                <w:noProof/>
                <w:webHidden/>
              </w:rPr>
              <w:tab/>
            </w:r>
            <w:r>
              <w:rPr>
                <w:noProof/>
                <w:webHidden/>
              </w:rPr>
              <w:fldChar w:fldCharType="begin"/>
            </w:r>
            <w:r>
              <w:rPr>
                <w:noProof/>
                <w:webHidden/>
              </w:rPr>
              <w:instrText xml:space="preserve"> PAGEREF _Toc150847472 \h </w:instrText>
            </w:r>
            <w:r>
              <w:rPr>
                <w:noProof/>
                <w:webHidden/>
              </w:rPr>
            </w:r>
            <w:r>
              <w:rPr>
                <w:noProof/>
                <w:webHidden/>
              </w:rPr>
              <w:fldChar w:fldCharType="separate"/>
            </w:r>
            <w:r>
              <w:rPr>
                <w:noProof/>
                <w:webHidden/>
              </w:rPr>
              <w:t>8</w:t>
            </w:r>
            <w:r>
              <w:rPr>
                <w:noProof/>
                <w:webHidden/>
              </w:rPr>
              <w:fldChar w:fldCharType="end"/>
            </w:r>
          </w:hyperlink>
        </w:p>
        <w:p w14:paraId="3E08266C" w14:textId="3C650108" w:rsidR="00AE5602" w:rsidRDefault="00AE5602">
          <w:pPr>
            <w:pStyle w:val="TOC2"/>
            <w:tabs>
              <w:tab w:val="right" w:leader="dot" w:pos="9350"/>
            </w:tabs>
            <w:rPr>
              <w:rFonts w:asciiTheme="minorHAnsi" w:eastAsiaTheme="minorEastAsia" w:hAnsiTheme="minorHAnsi" w:cstheme="minorBidi"/>
              <w:noProof/>
              <w:kern w:val="2"/>
              <w:sz w:val="22"/>
              <w:szCs w:val="22"/>
              <w:lang w:val="en-GB"/>
              <w14:ligatures w14:val="standardContextual"/>
            </w:rPr>
          </w:pPr>
          <w:hyperlink w:anchor="_Toc150847473" w:history="1">
            <w:r w:rsidRPr="00080F58">
              <w:rPr>
                <w:rStyle w:val="Hyperlink"/>
                <w:noProof/>
              </w:rPr>
              <w:t>Opportunities</w:t>
            </w:r>
            <w:r>
              <w:rPr>
                <w:noProof/>
                <w:webHidden/>
              </w:rPr>
              <w:tab/>
            </w:r>
            <w:r>
              <w:rPr>
                <w:noProof/>
                <w:webHidden/>
              </w:rPr>
              <w:fldChar w:fldCharType="begin"/>
            </w:r>
            <w:r>
              <w:rPr>
                <w:noProof/>
                <w:webHidden/>
              </w:rPr>
              <w:instrText xml:space="preserve"> PAGEREF _Toc150847473 \h </w:instrText>
            </w:r>
            <w:r>
              <w:rPr>
                <w:noProof/>
                <w:webHidden/>
              </w:rPr>
            </w:r>
            <w:r>
              <w:rPr>
                <w:noProof/>
                <w:webHidden/>
              </w:rPr>
              <w:fldChar w:fldCharType="separate"/>
            </w:r>
            <w:r>
              <w:rPr>
                <w:noProof/>
                <w:webHidden/>
              </w:rPr>
              <w:t>8</w:t>
            </w:r>
            <w:r>
              <w:rPr>
                <w:noProof/>
                <w:webHidden/>
              </w:rPr>
              <w:fldChar w:fldCharType="end"/>
            </w:r>
          </w:hyperlink>
        </w:p>
        <w:p w14:paraId="59B6D3A0" w14:textId="5D810A0A" w:rsidR="00AE5602" w:rsidRDefault="00AE5602">
          <w:pPr>
            <w:pStyle w:val="TOC2"/>
            <w:tabs>
              <w:tab w:val="right" w:leader="dot" w:pos="9350"/>
            </w:tabs>
            <w:rPr>
              <w:rFonts w:asciiTheme="minorHAnsi" w:eastAsiaTheme="minorEastAsia" w:hAnsiTheme="minorHAnsi" w:cstheme="minorBidi"/>
              <w:noProof/>
              <w:kern w:val="2"/>
              <w:sz w:val="22"/>
              <w:szCs w:val="22"/>
              <w:lang w:val="en-GB"/>
              <w14:ligatures w14:val="standardContextual"/>
            </w:rPr>
          </w:pPr>
          <w:hyperlink w:anchor="_Toc150847474" w:history="1">
            <w:r w:rsidRPr="00080F58">
              <w:rPr>
                <w:rStyle w:val="Hyperlink"/>
                <w:noProof/>
              </w:rPr>
              <w:t>Threats</w:t>
            </w:r>
            <w:r>
              <w:rPr>
                <w:noProof/>
                <w:webHidden/>
              </w:rPr>
              <w:tab/>
            </w:r>
            <w:r>
              <w:rPr>
                <w:noProof/>
                <w:webHidden/>
              </w:rPr>
              <w:fldChar w:fldCharType="begin"/>
            </w:r>
            <w:r>
              <w:rPr>
                <w:noProof/>
                <w:webHidden/>
              </w:rPr>
              <w:instrText xml:space="preserve"> PAGEREF _Toc150847474 \h </w:instrText>
            </w:r>
            <w:r>
              <w:rPr>
                <w:noProof/>
                <w:webHidden/>
              </w:rPr>
            </w:r>
            <w:r>
              <w:rPr>
                <w:noProof/>
                <w:webHidden/>
              </w:rPr>
              <w:fldChar w:fldCharType="separate"/>
            </w:r>
            <w:r>
              <w:rPr>
                <w:noProof/>
                <w:webHidden/>
              </w:rPr>
              <w:t>9</w:t>
            </w:r>
            <w:r>
              <w:rPr>
                <w:noProof/>
                <w:webHidden/>
              </w:rPr>
              <w:fldChar w:fldCharType="end"/>
            </w:r>
          </w:hyperlink>
        </w:p>
        <w:p w14:paraId="55E18B86" w14:textId="42D43EDC" w:rsidR="00AE5602" w:rsidRDefault="00AE5602">
          <w:pPr>
            <w:pStyle w:val="TOC1"/>
            <w:tabs>
              <w:tab w:val="right" w:leader="dot" w:pos="9350"/>
            </w:tabs>
            <w:rPr>
              <w:rFonts w:asciiTheme="minorHAnsi" w:eastAsiaTheme="minorEastAsia" w:hAnsiTheme="minorHAnsi" w:cstheme="minorBidi"/>
              <w:noProof/>
              <w:kern w:val="2"/>
              <w:sz w:val="22"/>
              <w:szCs w:val="22"/>
              <w:lang w:val="en-GB"/>
              <w14:ligatures w14:val="standardContextual"/>
            </w:rPr>
          </w:pPr>
          <w:hyperlink w:anchor="_Toc150847475" w:history="1">
            <w:r w:rsidRPr="00080F58">
              <w:rPr>
                <w:rStyle w:val="Hyperlink"/>
                <w:noProof/>
              </w:rPr>
              <w:t>Market Analysis</w:t>
            </w:r>
            <w:r>
              <w:rPr>
                <w:noProof/>
                <w:webHidden/>
              </w:rPr>
              <w:tab/>
            </w:r>
            <w:r>
              <w:rPr>
                <w:noProof/>
                <w:webHidden/>
              </w:rPr>
              <w:fldChar w:fldCharType="begin"/>
            </w:r>
            <w:r>
              <w:rPr>
                <w:noProof/>
                <w:webHidden/>
              </w:rPr>
              <w:instrText xml:space="preserve"> PAGEREF _Toc150847475 \h </w:instrText>
            </w:r>
            <w:r>
              <w:rPr>
                <w:noProof/>
                <w:webHidden/>
              </w:rPr>
            </w:r>
            <w:r>
              <w:rPr>
                <w:noProof/>
                <w:webHidden/>
              </w:rPr>
              <w:fldChar w:fldCharType="separate"/>
            </w:r>
            <w:r>
              <w:rPr>
                <w:noProof/>
                <w:webHidden/>
              </w:rPr>
              <w:t>9</w:t>
            </w:r>
            <w:r>
              <w:rPr>
                <w:noProof/>
                <w:webHidden/>
              </w:rPr>
              <w:fldChar w:fldCharType="end"/>
            </w:r>
          </w:hyperlink>
        </w:p>
        <w:p w14:paraId="48B26AD2" w14:textId="10F48DC6" w:rsidR="00AE5602" w:rsidRDefault="00AE5602">
          <w:pPr>
            <w:pStyle w:val="TOC1"/>
            <w:tabs>
              <w:tab w:val="right" w:leader="dot" w:pos="9350"/>
            </w:tabs>
            <w:rPr>
              <w:rFonts w:asciiTheme="minorHAnsi" w:eastAsiaTheme="minorEastAsia" w:hAnsiTheme="minorHAnsi" w:cstheme="minorBidi"/>
              <w:noProof/>
              <w:kern w:val="2"/>
              <w:sz w:val="22"/>
              <w:szCs w:val="22"/>
              <w:lang w:val="en-GB"/>
              <w14:ligatures w14:val="standardContextual"/>
            </w:rPr>
          </w:pPr>
          <w:hyperlink w:anchor="_Toc150847476" w:history="1">
            <w:r w:rsidRPr="00080F58">
              <w:rPr>
                <w:rStyle w:val="Hyperlink"/>
                <w:noProof/>
              </w:rPr>
              <w:t>Turnaround Strategy</w:t>
            </w:r>
            <w:r>
              <w:rPr>
                <w:noProof/>
                <w:webHidden/>
              </w:rPr>
              <w:tab/>
            </w:r>
            <w:r>
              <w:rPr>
                <w:noProof/>
                <w:webHidden/>
              </w:rPr>
              <w:fldChar w:fldCharType="begin"/>
            </w:r>
            <w:r>
              <w:rPr>
                <w:noProof/>
                <w:webHidden/>
              </w:rPr>
              <w:instrText xml:space="preserve"> PAGEREF _Toc150847476 \h </w:instrText>
            </w:r>
            <w:r>
              <w:rPr>
                <w:noProof/>
                <w:webHidden/>
              </w:rPr>
            </w:r>
            <w:r>
              <w:rPr>
                <w:noProof/>
                <w:webHidden/>
              </w:rPr>
              <w:fldChar w:fldCharType="separate"/>
            </w:r>
            <w:r>
              <w:rPr>
                <w:noProof/>
                <w:webHidden/>
              </w:rPr>
              <w:t>9</w:t>
            </w:r>
            <w:r>
              <w:rPr>
                <w:noProof/>
                <w:webHidden/>
              </w:rPr>
              <w:fldChar w:fldCharType="end"/>
            </w:r>
          </w:hyperlink>
        </w:p>
        <w:p w14:paraId="7FB8DDA4" w14:textId="41291A77" w:rsidR="00AE5602" w:rsidRDefault="00AE5602">
          <w:pPr>
            <w:pStyle w:val="TOC1"/>
            <w:tabs>
              <w:tab w:val="right" w:leader="dot" w:pos="9350"/>
            </w:tabs>
            <w:rPr>
              <w:rFonts w:asciiTheme="minorHAnsi" w:eastAsiaTheme="minorEastAsia" w:hAnsiTheme="minorHAnsi" w:cstheme="minorBidi"/>
              <w:noProof/>
              <w:kern w:val="2"/>
              <w:sz w:val="22"/>
              <w:szCs w:val="22"/>
              <w:lang w:val="en-GB"/>
              <w14:ligatures w14:val="standardContextual"/>
            </w:rPr>
          </w:pPr>
          <w:hyperlink w:anchor="_Toc150847477" w:history="1">
            <w:r w:rsidRPr="00080F58">
              <w:rPr>
                <w:rStyle w:val="Hyperlink"/>
                <w:noProof/>
              </w:rPr>
              <w:t>Financial Projections</w:t>
            </w:r>
            <w:r>
              <w:rPr>
                <w:noProof/>
                <w:webHidden/>
              </w:rPr>
              <w:tab/>
            </w:r>
            <w:r>
              <w:rPr>
                <w:noProof/>
                <w:webHidden/>
              </w:rPr>
              <w:fldChar w:fldCharType="begin"/>
            </w:r>
            <w:r>
              <w:rPr>
                <w:noProof/>
                <w:webHidden/>
              </w:rPr>
              <w:instrText xml:space="preserve"> PAGEREF _Toc150847477 \h </w:instrText>
            </w:r>
            <w:r>
              <w:rPr>
                <w:noProof/>
                <w:webHidden/>
              </w:rPr>
            </w:r>
            <w:r>
              <w:rPr>
                <w:noProof/>
                <w:webHidden/>
              </w:rPr>
              <w:fldChar w:fldCharType="separate"/>
            </w:r>
            <w:r>
              <w:rPr>
                <w:noProof/>
                <w:webHidden/>
              </w:rPr>
              <w:t>10</w:t>
            </w:r>
            <w:r>
              <w:rPr>
                <w:noProof/>
                <w:webHidden/>
              </w:rPr>
              <w:fldChar w:fldCharType="end"/>
            </w:r>
          </w:hyperlink>
        </w:p>
        <w:p w14:paraId="721BD73C" w14:textId="4F6704A7" w:rsidR="00AE5602" w:rsidRDefault="00AE5602">
          <w:pPr>
            <w:pStyle w:val="TOC1"/>
            <w:tabs>
              <w:tab w:val="right" w:leader="dot" w:pos="9350"/>
            </w:tabs>
            <w:rPr>
              <w:rFonts w:asciiTheme="minorHAnsi" w:eastAsiaTheme="minorEastAsia" w:hAnsiTheme="minorHAnsi" w:cstheme="minorBidi"/>
              <w:noProof/>
              <w:kern w:val="2"/>
              <w:sz w:val="22"/>
              <w:szCs w:val="22"/>
              <w:lang w:val="en-GB"/>
              <w14:ligatures w14:val="standardContextual"/>
            </w:rPr>
          </w:pPr>
          <w:hyperlink w:anchor="_Toc150847478" w:history="1">
            <w:r w:rsidRPr="00080F58">
              <w:rPr>
                <w:rStyle w:val="Hyperlink"/>
                <w:noProof/>
              </w:rPr>
              <w:t>Risk Assessment</w:t>
            </w:r>
            <w:r>
              <w:rPr>
                <w:noProof/>
                <w:webHidden/>
              </w:rPr>
              <w:tab/>
            </w:r>
            <w:r>
              <w:rPr>
                <w:noProof/>
                <w:webHidden/>
              </w:rPr>
              <w:fldChar w:fldCharType="begin"/>
            </w:r>
            <w:r>
              <w:rPr>
                <w:noProof/>
                <w:webHidden/>
              </w:rPr>
              <w:instrText xml:space="preserve"> PAGEREF _Toc150847478 \h </w:instrText>
            </w:r>
            <w:r>
              <w:rPr>
                <w:noProof/>
                <w:webHidden/>
              </w:rPr>
            </w:r>
            <w:r>
              <w:rPr>
                <w:noProof/>
                <w:webHidden/>
              </w:rPr>
              <w:fldChar w:fldCharType="separate"/>
            </w:r>
            <w:r>
              <w:rPr>
                <w:noProof/>
                <w:webHidden/>
              </w:rPr>
              <w:t>11</w:t>
            </w:r>
            <w:r>
              <w:rPr>
                <w:noProof/>
                <w:webHidden/>
              </w:rPr>
              <w:fldChar w:fldCharType="end"/>
            </w:r>
          </w:hyperlink>
        </w:p>
        <w:p w14:paraId="311CFFF9" w14:textId="40F5E0E4" w:rsidR="00AE5602" w:rsidRDefault="00AE5602">
          <w:pPr>
            <w:pStyle w:val="TOC1"/>
            <w:tabs>
              <w:tab w:val="right" w:leader="dot" w:pos="9350"/>
            </w:tabs>
            <w:rPr>
              <w:rFonts w:asciiTheme="minorHAnsi" w:eastAsiaTheme="minorEastAsia" w:hAnsiTheme="minorHAnsi" w:cstheme="minorBidi"/>
              <w:noProof/>
              <w:kern w:val="2"/>
              <w:sz w:val="22"/>
              <w:szCs w:val="22"/>
              <w:lang w:val="en-GB"/>
              <w14:ligatures w14:val="standardContextual"/>
            </w:rPr>
          </w:pPr>
          <w:hyperlink w:anchor="_Toc150847479" w:history="1">
            <w:r w:rsidRPr="00080F58">
              <w:rPr>
                <w:rStyle w:val="Hyperlink"/>
                <w:noProof/>
              </w:rPr>
              <w:t>Conclusion</w:t>
            </w:r>
            <w:r>
              <w:rPr>
                <w:noProof/>
                <w:webHidden/>
              </w:rPr>
              <w:tab/>
            </w:r>
            <w:r>
              <w:rPr>
                <w:noProof/>
                <w:webHidden/>
              </w:rPr>
              <w:fldChar w:fldCharType="begin"/>
            </w:r>
            <w:r>
              <w:rPr>
                <w:noProof/>
                <w:webHidden/>
              </w:rPr>
              <w:instrText xml:space="preserve"> PAGEREF _Toc150847479 \h </w:instrText>
            </w:r>
            <w:r>
              <w:rPr>
                <w:noProof/>
                <w:webHidden/>
              </w:rPr>
            </w:r>
            <w:r>
              <w:rPr>
                <w:noProof/>
                <w:webHidden/>
              </w:rPr>
              <w:fldChar w:fldCharType="separate"/>
            </w:r>
            <w:r>
              <w:rPr>
                <w:noProof/>
                <w:webHidden/>
              </w:rPr>
              <w:t>11</w:t>
            </w:r>
            <w:r>
              <w:rPr>
                <w:noProof/>
                <w:webHidden/>
              </w:rPr>
              <w:fldChar w:fldCharType="end"/>
            </w:r>
          </w:hyperlink>
        </w:p>
        <w:p w14:paraId="4094D1F1" w14:textId="191F92AB" w:rsidR="00AE5602" w:rsidRDefault="00AE5602">
          <w:pPr>
            <w:pStyle w:val="TOC1"/>
            <w:tabs>
              <w:tab w:val="right" w:leader="dot" w:pos="9350"/>
            </w:tabs>
            <w:rPr>
              <w:rFonts w:asciiTheme="minorHAnsi" w:eastAsiaTheme="minorEastAsia" w:hAnsiTheme="minorHAnsi" w:cstheme="minorBidi"/>
              <w:noProof/>
              <w:kern w:val="2"/>
              <w:sz w:val="22"/>
              <w:szCs w:val="22"/>
              <w:lang w:val="en-GB"/>
              <w14:ligatures w14:val="standardContextual"/>
            </w:rPr>
          </w:pPr>
          <w:hyperlink w:anchor="_Toc150847480" w:history="1">
            <w:r w:rsidRPr="00080F58">
              <w:rPr>
                <w:rStyle w:val="Hyperlink"/>
                <w:noProof/>
              </w:rPr>
              <w:t>Reference List</w:t>
            </w:r>
            <w:r>
              <w:rPr>
                <w:noProof/>
                <w:webHidden/>
              </w:rPr>
              <w:tab/>
            </w:r>
            <w:r>
              <w:rPr>
                <w:noProof/>
                <w:webHidden/>
              </w:rPr>
              <w:fldChar w:fldCharType="begin"/>
            </w:r>
            <w:r>
              <w:rPr>
                <w:noProof/>
                <w:webHidden/>
              </w:rPr>
              <w:instrText xml:space="preserve"> PAGEREF _Toc150847480 \h </w:instrText>
            </w:r>
            <w:r>
              <w:rPr>
                <w:noProof/>
                <w:webHidden/>
              </w:rPr>
            </w:r>
            <w:r>
              <w:rPr>
                <w:noProof/>
                <w:webHidden/>
              </w:rPr>
              <w:fldChar w:fldCharType="separate"/>
            </w:r>
            <w:r>
              <w:rPr>
                <w:noProof/>
                <w:webHidden/>
              </w:rPr>
              <w:t>12</w:t>
            </w:r>
            <w:r>
              <w:rPr>
                <w:noProof/>
                <w:webHidden/>
              </w:rPr>
              <w:fldChar w:fldCharType="end"/>
            </w:r>
          </w:hyperlink>
        </w:p>
        <w:p w14:paraId="2846E644" w14:textId="156558B0" w:rsidR="00AE5602" w:rsidRDefault="00AE5602">
          <w:pPr>
            <w:pStyle w:val="TOC1"/>
            <w:tabs>
              <w:tab w:val="right" w:leader="dot" w:pos="9350"/>
            </w:tabs>
            <w:rPr>
              <w:rFonts w:asciiTheme="minorHAnsi" w:eastAsiaTheme="minorEastAsia" w:hAnsiTheme="minorHAnsi" w:cstheme="minorBidi"/>
              <w:noProof/>
              <w:kern w:val="2"/>
              <w:sz w:val="22"/>
              <w:szCs w:val="22"/>
              <w:lang w:val="en-GB"/>
              <w14:ligatures w14:val="standardContextual"/>
            </w:rPr>
          </w:pPr>
          <w:hyperlink w:anchor="_Toc150847481" w:history="1">
            <w:r w:rsidRPr="00080F58">
              <w:rPr>
                <w:rStyle w:val="Hyperlink"/>
                <w:noProof/>
              </w:rPr>
              <w:t>Appendices</w:t>
            </w:r>
            <w:r>
              <w:rPr>
                <w:noProof/>
                <w:webHidden/>
              </w:rPr>
              <w:tab/>
            </w:r>
            <w:r>
              <w:rPr>
                <w:noProof/>
                <w:webHidden/>
              </w:rPr>
              <w:fldChar w:fldCharType="begin"/>
            </w:r>
            <w:r>
              <w:rPr>
                <w:noProof/>
                <w:webHidden/>
              </w:rPr>
              <w:instrText xml:space="preserve"> PAGEREF _Toc150847481 \h </w:instrText>
            </w:r>
            <w:r>
              <w:rPr>
                <w:noProof/>
                <w:webHidden/>
              </w:rPr>
            </w:r>
            <w:r>
              <w:rPr>
                <w:noProof/>
                <w:webHidden/>
              </w:rPr>
              <w:fldChar w:fldCharType="separate"/>
            </w:r>
            <w:r>
              <w:rPr>
                <w:noProof/>
                <w:webHidden/>
              </w:rPr>
              <w:t>14</w:t>
            </w:r>
            <w:r>
              <w:rPr>
                <w:noProof/>
                <w:webHidden/>
              </w:rPr>
              <w:fldChar w:fldCharType="end"/>
            </w:r>
          </w:hyperlink>
        </w:p>
        <w:p w14:paraId="01D64FD0" w14:textId="6C0820C4" w:rsidR="00AE5602" w:rsidRDefault="00AE5602">
          <w:r>
            <w:rPr>
              <w:b/>
              <w:bCs/>
              <w:noProof/>
            </w:rPr>
            <w:fldChar w:fldCharType="end"/>
          </w:r>
        </w:p>
      </w:sdtContent>
    </w:sdt>
    <w:p w14:paraId="14783644" w14:textId="77777777" w:rsidR="00CD5F19" w:rsidRDefault="00AE5602">
      <w:pPr>
        <w:pStyle w:val="Heading1"/>
        <w:rPr>
          <w:color w:val="000000"/>
        </w:rPr>
      </w:pPr>
      <w:r>
        <w:br w:type="page"/>
      </w:r>
    </w:p>
    <w:p w14:paraId="62C692F6" w14:textId="77777777" w:rsidR="00CD5F19" w:rsidRDefault="00AE5602">
      <w:pPr>
        <w:pStyle w:val="Heading1"/>
        <w:rPr>
          <w:color w:val="000000"/>
        </w:rPr>
      </w:pPr>
      <w:bookmarkStart w:id="2" w:name="_Toc150847462"/>
      <w:r>
        <w:rPr>
          <w:color w:val="000000"/>
        </w:rPr>
        <w:lastRenderedPageBreak/>
        <w:t>Understanding of the Purpose</w:t>
      </w:r>
      <w:bookmarkEnd w:id="2"/>
    </w:p>
    <w:p w14:paraId="7700D369" w14:textId="77777777" w:rsidR="00CD5F19" w:rsidRDefault="00AE5602">
      <w:pPr>
        <w:jc w:val="both"/>
        <w:rPr>
          <w:sz w:val="26"/>
          <w:szCs w:val="26"/>
        </w:rPr>
      </w:pPr>
      <w:r>
        <w:rPr>
          <w:highlight w:val="white"/>
        </w:rPr>
        <w:t>The Seaview Resort is confronting declining financial performance and customer satisfaction because of expanded competition and changing customer preferences. The essential objectives of this assessment are to analyze the resort's financial performance, distinguish the purposes behind the decline, and develop a comprehensive turnaround strategy. This report will give a financial analysis, SWOT analysis, market analysis, turnaround strategy, financial projections, and a risk assessment to assist with rejuven</w:t>
      </w:r>
      <w:r>
        <w:rPr>
          <w:highlight w:val="white"/>
        </w:rPr>
        <w:t>ating the resort's financial health and reputation.</w:t>
      </w:r>
    </w:p>
    <w:p w14:paraId="75BB607F" w14:textId="77777777" w:rsidR="00CD5F19" w:rsidRDefault="00AE5602">
      <w:pPr>
        <w:pStyle w:val="Heading1"/>
        <w:rPr>
          <w:color w:val="000000"/>
        </w:rPr>
      </w:pPr>
      <w:bookmarkStart w:id="3" w:name="_4i7ojhp" w:colFirst="0" w:colLast="0"/>
      <w:bookmarkStart w:id="4" w:name="_Toc150847463"/>
      <w:bookmarkEnd w:id="3"/>
      <w:r>
        <w:rPr>
          <w:color w:val="000000"/>
        </w:rPr>
        <w:t>Introduction</w:t>
      </w:r>
      <w:bookmarkEnd w:id="4"/>
    </w:p>
    <w:p w14:paraId="3071E3FF" w14:textId="77777777" w:rsidR="00CD5F19" w:rsidRDefault="00AE5602">
      <w:pPr>
        <w:jc w:val="both"/>
      </w:pPr>
      <w:r>
        <w:t>The Seaview Resort, nestled on a breathtaking coastline, has a storied history as a premier vacation destination. However, in recent years, it has faced a stark decline in revenue, occupancy rates, and customer satisfaction. Mr. James Henderson, the owner, recognizes the pressing requirement for a comprehensive assessment and turnaround strategy to get the resort's future. This report endeavors to reveal insight into the resort's critical situation by assessing its financial health and investigating potenti</w:t>
      </w:r>
      <w:r>
        <w:t>al avenues for restoration. As the analysis embarks on this excursion, it will analyze the resort's financial performance, investigate market dynamics, and chart a course for revitalization, guaranteeing its re-visitation of unmistakable quality as a pursued vacation haven.</w:t>
      </w:r>
    </w:p>
    <w:p w14:paraId="1C446ADB" w14:textId="77777777" w:rsidR="00CD5F19" w:rsidRDefault="00AE5602">
      <w:pPr>
        <w:pStyle w:val="Heading1"/>
        <w:rPr>
          <w:color w:val="000000"/>
        </w:rPr>
      </w:pPr>
      <w:bookmarkStart w:id="5" w:name="_2xcytpi" w:colFirst="0" w:colLast="0"/>
      <w:bookmarkStart w:id="6" w:name="_Toc150847464"/>
      <w:bookmarkEnd w:id="5"/>
      <w:r>
        <w:rPr>
          <w:color w:val="000000"/>
        </w:rPr>
        <w:t>Scope and Objectives</w:t>
      </w:r>
      <w:bookmarkEnd w:id="6"/>
    </w:p>
    <w:p w14:paraId="07C41666" w14:textId="77777777" w:rsidR="00CD5F19" w:rsidRDefault="00AE5602">
      <w:pPr>
        <w:jc w:val="both"/>
      </w:pPr>
      <w:r>
        <w:t>The scope and objectives of this assessment encompass a comprehensive evaluation of the Seaview Resort's financial viability and the development of a detailed turnaround strategy to reestablish its reputation as a premier vacation destination. The primary spotlight will be on conducting an intensive financial analysis covering income statements, balance sheets, cash flow, and key financial ratios (</w:t>
      </w:r>
      <w:r>
        <w:rPr>
          <w:highlight w:val="white"/>
        </w:rPr>
        <w:t xml:space="preserve">Bello, and </w:t>
      </w:r>
      <w:proofErr w:type="spellStart"/>
      <w:r>
        <w:rPr>
          <w:highlight w:val="white"/>
        </w:rPr>
        <w:t>Sensini</w:t>
      </w:r>
      <w:proofErr w:type="spellEnd"/>
      <w:r>
        <w:rPr>
          <w:highlight w:val="white"/>
        </w:rPr>
        <w:t>, 2020</w:t>
      </w:r>
      <w:r>
        <w:t xml:space="preserve">). In addition, the research will play out a SWOT analysis to gain an understanding of the resort's </w:t>
      </w:r>
      <w:proofErr w:type="gramStart"/>
      <w:r>
        <w:t>strengths</w:t>
      </w:r>
      <w:proofErr w:type="gramEnd"/>
      <w:r>
        <w:t xml:space="preserve"> weaknesses, opportunities, and threats. It will also delve into a market analysis, examining the competitive landscape, market trends, target customer segments, and potential growth opportunities. The </w:t>
      </w:r>
      <w:proofErr w:type="gramStart"/>
      <w:r>
        <w:t>ultimate goal</w:t>
      </w:r>
      <w:proofErr w:type="gramEnd"/>
      <w:r>
        <w:t xml:space="preserve"> is to propose a turnaround strategy that enhances the resort's contributions and market positioning, upheld by financial projections while distinguishing and mitig</w:t>
      </w:r>
      <w:r>
        <w:t>ating potential risks and challenges associated with the strategy to guarantee the resort's effective turnaround.</w:t>
      </w:r>
    </w:p>
    <w:p w14:paraId="089BFB6F" w14:textId="77777777" w:rsidR="00CD5F19" w:rsidRDefault="00AE5602">
      <w:pPr>
        <w:pStyle w:val="Heading1"/>
        <w:rPr>
          <w:color w:val="000000"/>
        </w:rPr>
      </w:pPr>
      <w:bookmarkStart w:id="7" w:name="_1ci93xb" w:colFirst="0" w:colLast="0"/>
      <w:bookmarkStart w:id="8" w:name="_Toc150847465"/>
      <w:bookmarkEnd w:id="7"/>
      <w:r>
        <w:rPr>
          <w:color w:val="000000"/>
        </w:rPr>
        <w:lastRenderedPageBreak/>
        <w:t>Financial Analysis</w:t>
      </w:r>
      <w:bookmarkEnd w:id="8"/>
    </w:p>
    <w:p w14:paraId="63098386" w14:textId="77777777" w:rsidR="00CD5F19" w:rsidRDefault="00AE5602">
      <w:pPr>
        <w:pStyle w:val="Heading2"/>
      </w:pPr>
      <w:bookmarkStart w:id="9" w:name="_3whwml4" w:colFirst="0" w:colLast="0"/>
      <w:bookmarkStart w:id="10" w:name="_Toc150847466"/>
      <w:bookmarkEnd w:id="9"/>
      <w:r>
        <w:t>Income Statement Analysis</w:t>
      </w:r>
      <w:bookmarkEnd w:id="10"/>
    </w:p>
    <w:p w14:paraId="7F07A057" w14:textId="77777777" w:rsidR="00CD5F19" w:rsidRDefault="00AE5602">
      <w:r>
        <w:rPr>
          <w:noProof/>
        </w:rPr>
        <w:drawing>
          <wp:inline distT="114300" distB="114300" distL="114300" distR="114300" wp14:anchorId="027BA621" wp14:editId="5CA0F4F6">
            <wp:extent cx="5943600" cy="15113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5943600" cy="1511300"/>
                    </a:xfrm>
                    <a:prstGeom prst="rect">
                      <a:avLst/>
                    </a:prstGeom>
                    <a:ln/>
                  </pic:spPr>
                </pic:pic>
              </a:graphicData>
            </a:graphic>
          </wp:inline>
        </w:drawing>
      </w:r>
    </w:p>
    <w:p w14:paraId="629F22B0" w14:textId="77777777" w:rsidR="00CD5F19" w:rsidRDefault="00AE5602">
      <w:pPr>
        <w:rPr>
          <w:b/>
        </w:rPr>
      </w:pPr>
      <w:r>
        <w:rPr>
          <w:b/>
        </w:rPr>
        <w:t>Figure 1: Income Statement</w:t>
      </w:r>
    </w:p>
    <w:p w14:paraId="0E02A829" w14:textId="77777777" w:rsidR="00CD5F19" w:rsidRDefault="00AE5602">
      <w:r>
        <w:t>(Source: Self-created in MS Excel)</w:t>
      </w:r>
    </w:p>
    <w:p w14:paraId="16F9E7CA" w14:textId="77777777" w:rsidR="00CD5F19" w:rsidRDefault="00AE5602">
      <w:pPr>
        <w:jc w:val="both"/>
      </w:pPr>
      <w:r>
        <w:t>The income statement uncovers a stark decline in the Seaview Resort's financial performance throughout recent years. Total revenue diminished by 8% in 2021 and a further 10% in 2022, indicating a substantial decline in the resort's top-line earnings. In the meantime, operating expenses expanded by 3% in 2021 and a more critical 13% in 2022, further compounding the decline in profitability (</w:t>
      </w:r>
      <w:proofErr w:type="spellStart"/>
      <w:r>
        <w:rPr>
          <w:highlight w:val="white"/>
        </w:rPr>
        <w:t>Drobyazko</w:t>
      </w:r>
      <w:proofErr w:type="spellEnd"/>
      <w:r>
        <w:rPr>
          <w:highlight w:val="white"/>
        </w:rPr>
        <w:t xml:space="preserve">, </w:t>
      </w:r>
      <w:r>
        <w:rPr>
          <w:i/>
          <w:highlight w:val="white"/>
        </w:rPr>
        <w:t xml:space="preserve">et al. </w:t>
      </w:r>
      <w:r>
        <w:rPr>
          <w:highlight w:val="white"/>
        </w:rPr>
        <w:t>2020</w:t>
      </w:r>
      <w:r>
        <w:t>). Subsequently, the resort encountered a critical reduction in gross profit, turning negative in 2022, mirroring what is happening. The net profit likewise endured, transforming into a substantial loss of - £47,500 in 2022. The net profit margin dove from 15% in 2020 to - 11% in 2022, meaning an extreme reduction in profitability, raising caution about the resort's financial manageability. These patterns demonstrate a requirement for guaranteed restorative measures to reverse the reso</w:t>
      </w:r>
      <w:r>
        <w:t xml:space="preserve">rt's financial downturn </w:t>
      </w:r>
      <w:r>
        <w:rPr>
          <w:b/>
          <w:i/>
        </w:rPr>
        <w:t>[Referred to Appendix 1]</w:t>
      </w:r>
      <w:r>
        <w:t>.</w:t>
      </w:r>
    </w:p>
    <w:p w14:paraId="0C3E0162" w14:textId="77777777" w:rsidR="00CD5F19" w:rsidRDefault="00AE5602">
      <w:pPr>
        <w:pStyle w:val="Heading2"/>
      </w:pPr>
      <w:bookmarkStart w:id="11" w:name="_2bn6wsx" w:colFirst="0" w:colLast="0"/>
      <w:bookmarkStart w:id="12" w:name="_Toc150847467"/>
      <w:bookmarkEnd w:id="11"/>
      <w:r>
        <w:lastRenderedPageBreak/>
        <w:t>Balance Sheet Analysis</w:t>
      </w:r>
      <w:bookmarkEnd w:id="12"/>
    </w:p>
    <w:p w14:paraId="41C7CDA4" w14:textId="77777777" w:rsidR="00CD5F19" w:rsidRDefault="00AE5602">
      <w:r>
        <w:rPr>
          <w:noProof/>
        </w:rPr>
        <w:drawing>
          <wp:inline distT="114300" distB="114300" distL="114300" distR="114300" wp14:anchorId="25E26B52" wp14:editId="7A3BED1F">
            <wp:extent cx="3156444" cy="3187089"/>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
                    <a:srcRect/>
                    <a:stretch>
                      <a:fillRect/>
                    </a:stretch>
                  </pic:blipFill>
                  <pic:spPr>
                    <a:xfrm>
                      <a:off x="0" y="0"/>
                      <a:ext cx="3156444" cy="3187089"/>
                    </a:xfrm>
                    <a:prstGeom prst="rect">
                      <a:avLst/>
                    </a:prstGeom>
                    <a:ln/>
                  </pic:spPr>
                </pic:pic>
              </a:graphicData>
            </a:graphic>
          </wp:inline>
        </w:drawing>
      </w:r>
    </w:p>
    <w:p w14:paraId="2928D988" w14:textId="77777777" w:rsidR="00CD5F19" w:rsidRDefault="00AE5602">
      <w:pPr>
        <w:rPr>
          <w:b/>
        </w:rPr>
      </w:pPr>
      <w:r>
        <w:rPr>
          <w:b/>
        </w:rPr>
        <w:t>Figure 2: Balance Sheet</w:t>
      </w:r>
    </w:p>
    <w:p w14:paraId="1F2DFECA" w14:textId="77777777" w:rsidR="00CD5F19" w:rsidRDefault="00AE5602">
      <w:r>
        <w:t>(Source: Self-created in MS Excel)</w:t>
      </w:r>
    </w:p>
    <w:p w14:paraId="429450B1" w14:textId="77777777" w:rsidR="00CD5F19" w:rsidRDefault="00AE5602">
      <w:pPr>
        <w:shd w:val="clear" w:color="auto" w:fill="FFFFFF"/>
        <w:jc w:val="both"/>
      </w:pPr>
      <w:r>
        <w:t>The Seaview Resort's balance sheet for 2022 depicts a difficult financial position. The total assets add up to £10,30,000, with the greater part in property and equipment (£5,30,000). Nonetheless, current assets, which incorporate cash and assets that can be changed over completely to cash in the short term, are moderately low at £2,50,000 (</w:t>
      </w:r>
      <w:r>
        <w:rPr>
          <w:highlight w:val="white"/>
        </w:rPr>
        <w:t xml:space="preserve">Alvarez, </w:t>
      </w:r>
      <w:r>
        <w:rPr>
          <w:i/>
          <w:highlight w:val="white"/>
        </w:rPr>
        <w:t xml:space="preserve">et al. </w:t>
      </w:r>
      <w:r>
        <w:rPr>
          <w:highlight w:val="white"/>
        </w:rPr>
        <w:t>2021</w:t>
      </w:r>
      <w:r>
        <w:t>). Moreover, the resort's inventory adds up to £1,00,000, recommending the opportunity to get better in resource liquidity.</w:t>
      </w:r>
    </w:p>
    <w:p w14:paraId="4EE870D0" w14:textId="77777777" w:rsidR="00CD5F19" w:rsidRDefault="00AE5602">
      <w:pPr>
        <w:shd w:val="clear" w:color="auto" w:fill="FFFFFF"/>
        <w:jc w:val="both"/>
      </w:pPr>
      <w:r>
        <w:t>On the responsibility side, the resort has current liabilities of £1,80,000 and a huge long-term debt of £4,00,000. This weighty debt trouble, when contrasted with equity at £4,50,000, shows a substantial financial influence, presenting potential dissolvability chances.</w:t>
      </w:r>
    </w:p>
    <w:p w14:paraId="463CC596" w14:textId="77777777" w:rsidR="00CD5F19" w:rsidRDefault="00AE5602">
      <w:pPr>
        <w:shd w:val="clear" w:color="auto" w:fill="FFFFFF"/>
        <w:jc w:val="both"/>
        <w:rPr>
          <w:sz w:val="26"/>
          <w:szCs w:val="26"/>
        </w:rPr>
      </w:pPr>
      <w:r>
        <w:t xml:space="preserve">The resort should consider methodologies to </w:t>
      </w:r>
      <w:proofErr w:type="gramStart"/>
      <w:r>
        <w:t>increment</w:t>
      </w:r>
      <w:proofErr w:type="gramEnd"/>
      <w:r>
        <w:t xml:space="preserve"> liquidity and deal with its debt successfully to guarantee long-term financial steadiness and lessen the risk related to high leverage.</w:t>
      </w:r>
    </w:p>
    <w:p w14:paraId="2474E628" w14:textId="77777777" w:rsidR="00CD5F19" w:rsidRDefault="00AE5602">
      <w:pPr>
        <w:pStyle w:val="Heading2"/>
      </w:pPr>
      <w:bookmarkStart w:id="13" w:name="_qsh70q" w:colFirst="0" w:colLast="0"/>
      <w:bookmarkStart w:id="14" w:name="_Toc150847468"/>
      <w:bookmarkEnd w:id="13"/>
      <w:r>
        <w:lastRenderedPageBreak/>
        <w:t>Cash Flow Analysis</w:t>
      </w:r>
      <w:bookmarkEnd w:id="14"/>
    </w:p>
    <w:p w14:paraId="33AE5E21" w14:textId="77777777" w:rsidR="00CD5F19" w:rsidRDefault="00AE5602">
      <w:r>
        <w:rPr>
          <w:noProof/>
        </w:rPr>
        <w:drawing>
          <wp:inline distT="114300" distB="114300" distL="114300" distR="114300" wp14:anchorId="6804B146" wp14:editId="1711C3BE">
            <wp:extent cx="3333621" cy="1253514"/>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333621" cy="1253514"/>
                    </a:xfrm>
                    <a:prstGeom prst="rect">
                      <a:avLst/>
                    </a:prstGeom>
                    <a:ln/>
                  </pic:spPr>
                </pic:pic>
              </a:graphicData>
            </a:graphic>
          </wp:inline>
        </w:drawing>
      </w:r>
    </w:p>
    <w:p w14:paraId="435DEA69" w14:textId="77777777" w:rsidR="00CD5F19" w:rsidRDefault="00AE5602">
      <w:pPr>
        <w:rPr>
          <w:b/>
        </w:rPr>
      </w:pPr>
      <w:r>
        <w:rPr>
          <w:b/>
        </w:rPr>
        <w:t>Figure 3: Cash Flow</w:t>
      </w:r>
    </w:p>
    <w:p w14:paraId="04F6907F" w14:textId="77777777" w:rsidR="00CD5F19" w:rsidRDefault="00AE5602">
      <w:r>
        <w:t>(Source: Self-created in MS Excel)</w:t>
      </w:r>
    </w:p>
    <w:p w14:paraId="0211FD28" w14:textId="77777777" w:rsidR="00CD5F19" w:rsidRDefault="00AE5602">
      <w:pPr>
        <w:shd w:val="clear" w:color="auto" w:fill="FFFFFF"/>
        <w:jc w:val="both"/>
      </w:pPr>
      <w:r>
        <w:t>In 2021, the Seaview Resort confronted critical cash flow challenges. The net cash flow from operations was - £80,000, demonstrating that the resort's core operational activities brought about a substantial cash outflow (</w:t>
      </w:r>
      <w:proofErr w:type="spellStart"/>
      <w:r>
        <w:rPr>
          <w:highlight w:val="white"/>
        </w:rPr>
        <w:t>Rusmingsih</w:t>
      </w:r>
      <w:proofErr w:type="spellEnd"/>
      <w:r>
        <w:rPr>
          <w:highlight w:val="white"/>
        </w:rPr>
        <w:t xml:space="preserve">, </w:t>
      </w:r>
      <w:r>
        <w:rPr>
          <w:i/>
          <w:highlight w:val="white"/>
        </w:rPr>
        <w:t xml:space="preserve">et al. </w:t>
      </w:r>
      <w:r>
        <w:rPr>
          <w:highlight w:val="white"/>
        </w:rPr>
        <w:t>2021</w:t>
      </w:r>
      <w:r>
        <w:t>). To compound this, capital expenditures added up to - £30,000, reflecting investments made in the resort's assets.</w:t>
      </w:r>
    </w:p>
    <w:p w14:paraId="072990AC" w14:textId="77777777" w:rsidR="00CD5F19" w:rsidRDefault="00AE5602">
      <w:pPr>
        <w:shd w:val="clear" w:color="auto" w:fill="FFFFFF"/>
        <w:jc w:val="both"/>
      </w:pPr>
      <w:r>
        <w:t>The net cash flow, addressing the adjustment of cash balance, remained at - £110,000, flagging that the resort needed to use £110,000 of its current cash or different sources to cover its working and speculation activities.</w:t>
      </w:r>
    </w:p>
    <w:p w14:paraId="609FBF3F" w14:textId="77777777" w:rsidR="00CD5F19" w:rsidRDefault="00AE5602">
      <w:pPr>
        <w:shd w:val="clear" w:color="auto" w:fill="FFFFFF"/>
        <w:jc w:val="both"/>
        <w:rPr>
          <w:sz w:val="26"/>
          <w:szCs w:val="26"/>
        </w:rPr>
      </w:pPr>
      <w:r>
        <w:t>This negative cash flow position underscores the direness of working on operational proficiency, decreasing expenses, and cautiously managing capital expenditures to guarantee the resort's financial sustainability and liquidity.</w:t>
      </w:r>
    </w:p>
    <w:p w14:paraId="6B78BD86" w14:textId="77777777" w:rsidR="00CD5F19" w:rsidRDefault="00AE5602">
      <w:pPr>
        <w:pStyle w:val="Heading2"/>
      </w:pPr>
      <w:bookmarkStart w:id="15" w:name="_3as4poj" w:colFirst="0" w:colLast="0"/>
      <w:bookmarkStart w:id="16" w:name="_Toc150847469"/>
      <w:bookmarkEnd w:id="15"/>
      <w:r>
        <w:t>Ratio Analysis</w:t>
      </w:r>
      <w:bookmarkEnd w:id="16"/>
    </w:p>
    <w:p w14:paraId="120BB2F2" w14:textId="77777777" w:rsidR="00CD5F19" w:rsidRDefault="00AE5602">
      <w:r>
        <w:rPr>
          <w:noProof/>
        </w:rPr>
        <w:drawing>
          <wp:inline distT="114300" distB="114300" distL="114300" distR="114300" wp14:anchorId="1F8F066C" wp14:editId="4CF63221">
            <wp:extent cx="3603926" cy="2631300"/>
            <wp:effectExtent l="0" t="0" r="0" b="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9"/>
                    <a:srcRect/>
                    <a:stretch>
                      <a:fillRect/>
                    </a:stretch>
                  </pic:blipFill>
                  <pic:spPr>
                    <a:xfrm>
                      <a:off x="0" y="0"/>
                      <a:ext cx="3603926" cy="2631300"/>
                    </a:xfrm>
                    <a:prstGeom prst="rect">
                      <a:avLst/>
                    </a:prstGeom>
                    <a:ln/>
                  </pic:spPr>
                </pic:pic>
              </a:graphicData>
            </a:graphic>
          </wp:inline>
        </w:drawing>
      </w:r>
    </w:p>
    <w:p w14:paraId="65DCABBA" w14:textId="77777777" w:rsidR="00CD5F19" w:rsidRDefault="00AE5602">
      <w:pPr>
        <w:rPr>
          <w:b/>
        </w:rPr>
      </w:pPr>
      <w:r>
        <w:rPr>
          <w:b/>
        </w:rPr>
        <w:t>Figure 4: Ratio Analysis</w:t>
      </w:r>
    </w:p>
    <w:p w14:paraId="5DB4F927" w14:textId="77777777" w:rsidR="00CD5F19" w:rsidRDefault="00AE5602">
      <w:r>
        <w:t>(Source: Self-created in MS Excel)</w:t>
      </w:r>
    </w:p>
    <w:p w14:paraId="02C72D4E" w14:textId="77777777" w:rsidR="00CD5F19" w:rsidRDefault="00AE5602">
      <w:pPr>
        <w:shd w:val="clear" w:color="auto" w:fill="FFFFFF"/>
        <w:jc w:val="both"/>
      </w:pPr>
      <w:r>
        <w:lastRenderedPageBreak/>
        <w:t>The Seaview Resort's financial well-being can be additionally understood through key financial ratios:</w:t>
      </w:r>
    </w:p>
    <w:p w14:paraId="2E21BE89" w14:textId="77777777" w:rsidR="00CD5F19" w:rsidRDefault="00AE5602">
      <w:pPr>
        <w:shd w:val="clear" w:color="auto" w:fill="FFFFFF"/>
        <w:jc w:val="both"/>
      </w:pPr>
      <w:r>
        <w:rPr>
          <w:b/>
        </w:rPr>
        <w:t>Current Ratio (1.39):</w:t>
      </w:r>
      <w:r>
        <w:t xml:space="preserve"> This ratio proposes that the resort has a sensibly solid transient liquidity position, demonstrating that it can meet its current commitments (</w:t>
      </w:r>
      <w:r>
        <w:rPr>
          <w:highlight w:val="white"/>
        </w:rPr>
        <w:t xml:space="preserve">Mueller, and </w:t>
      </w:r>
      <w:proofErr w:type="spellStart"/>
      <w:r>
        <w:rPr>
          <w:highlight w:val="white"/>
        </w:rPr>
        <w:t>Sensini</w:t>
      </w:r>
      <w:proofErr w:type="spellEnd"/>
      <w:r>
        <w:rPr>
          <w:highlight w:val="white"/>
        </w:rPr>
        <w:t>, 2021</w:t>
      </w:r>
      <w:r>
        <w:t>). In any case, a ratio essentially above 1.0 could suggest that a few assets are not being used.</w:t>
      </w:r>
    </w:p>
    <w:p w14:paraId="5F976643" w14:textId="77777777" w:rsidR="00CD5F19" w:rsidRDefault="00AE5602">
      <w:pPr>
        <w:shd w:val="clear" w:color="auto" w:fill="FFFFFF"/>
        <w:jc w:val="both"/>
      </w:pPr>
      <w:r>
        <w:rPr>
          <w:b/>
        </w:rPr>
        <w:t xml:space="preserve">Quick Ratio (0.83): </w:t>
      </w:r>
      <w:r>
        <w:t xml:space="preserve">This ratio considers the prohibition of inventory, uncovering a marginally lower liquidity position. While it's still above 1.0, it's a </w:t>
      </w:r>
      <w:proofErr w:type="gramStart"/>
      <w:r>
        <w:t>more safe</w:t>
      </w:r>
      <w:proofErr w:type="gramEnd"/>
      <w:r>
        <w:t xml:space="preserve"> measure and features the possible opportunity to get better.</w:t>
      </w:r>
    </w:p>
    <w:p w14:paraId="4E3AF6AD" w14:textId="77777777" w:rsidR="00CD5F19" w:rsidRDefault="00AE5602">
      <w:pPr>
        <w:shd w:val="clear" w:color="auto" w:fill="FFFFFF"/>
        <w:jc w:val="both"/>
      </w:pPr>
      <w:r>
        <w:rPr>
          <w:b/>
        </w:rPr>
        <w:t>Debt-to-Equity Ratio (1.29):</w:t>
      </w:r>
      <w:r>
        <w:t xml:space="preserve"> The resort's debt-to-equity ratio demonstrates a reasonably utilized position, with debt surpassing equity. This means a critical financial gamble, particularly </w:t>
      </w:r>
      <w:proofErr w:type="gramStart"/>
      <w:r>
        <w:t>taking into account</w:t>
      </w:r>
      <w:proofErr w:type="gramEnd"/>
      <w:r>
        <w:t xml:space="preserve"> the negative net benefit in 2022.</w:t>
      </w:r>
    </w:p>
    <w:p w14:paraId="471618A0" w14:textId="77777777" w:rsidR="00CD5F19" w:rsidRDefault="00AE5602">
      <w:pPr>
        <w:shd w:val="clear" w:color="auto" w:fill="FFFFFF"/>
        <w:jc w:val="both"/>
      </w:pPr>
      <w:r>
        <w:rPr>
          <w:b/>
        </w:rPr>
        <w:t xml:space="preserve">Return on Asset Ratio (ROA) (- 0.05): </w:t>
      </w:r>
      <w:r>
        <w:t>The ROA shows that the resort caused a misfortune concerning its total assets in 2022, suggesting a shortcoming in asset use.</w:t>
      </w:r>
    </w:p>
    <w:p w14:paraId="35BB7A6F" w14:textId="77777777" w:rsidR="00CD5F19" w:rsidRDefault="00AE5602">
      <w:pPr>
        <w:shd w:val="clear" w:color="auto" w:fill="FFFFFF"/>
        <w:jc w:val="both"/>
      </w:pPr>
      <w:r>
        <w:rPr>
          <w:b/>
        </w:rPr>
        <w:t>Return on Equity Ratio (ROE) (- 0.11):</w:t>
      </w:r>
      <w:r>
        <w:t xml:space="preserve"> The negative ROE recommends that the resort's investors encounter a negative return on their investments, raising worries about productivity and investor esteem.</w:t>
      </w:r>
    </w:p>
    <w:p w14:paraId="7454B2A9" w14:textId="77777777" w:rsidR="00CD5F19" w:rsidRDefault="00AE5602">
      <w:pPr>
        <w:shd w:val="clear" w:color="auto" w:fill="FFFFFF"/>
        <w:jc w:val="both"/>
        <w:rPr>
          <w:sz w:val="26"/>
          <w:szCs w:val="26"/>
        </w:rPr>
      </w:pPr>
      <w:r>
        <w:t xml:space="preserve">These ratios underscore the requirement for the Seaview Resort to address its operational and financial challenges expeditiously, with a specific spotlight on paying off outstanding debts and upgrading productivity to further develop investor certainty and long-haul practicality </w:t>
      </w:r>
      <w:r>
        <w:rPr>
          <w:b/>
          <w:i/>
        </w:rPr>
        <w:t>[Referred to Appendix 2]</w:t>
      </w:r>
      <w:r>
        <w:t>.</w:t>
      </w:r>
    </w:p>
    <w:p w14:paraId="70570264" w14:textId="77777777" w:rsidR="00CD5F19" w:rsidRDefault="00AE5602">
      <w:pPr>
        <w:pStyle w:val="Heading1"/>
        <w:rPr>
          <w:color w:val="000000"/>
        </w:rPr>
      </w:pPr>
      <w:bookmarkStart w:id="17" w:name="_1pxezwc" w:colFirst="0" w:colLast="0"/>
      <w:bookmarkStart w:id="18" w:name="_Toc150847470"/>
      <w:bookmarkEnd w:id="17"/>
      <w:r>
        <w:rPr>
          <w:color w:val="000000"/>
        </w:rPr>
        <w:t>SWOT Analysis</w:t>
      </w:r>
      <w:bookmarkEnd w:id="18"/>
    </w:p>
    <w:p w14:paraId="5503A00D" w14:textId="77777777" w:rsidR="00CD5F19" w:rsidRDefault="00AE5602">
      <w:pPr>
        <w:shd w:val="clear" w:color="auto" w:fill="FFFFFF"/>
        <w:jc w:val="both"/>
      </w:pPr>
      <w:r>
        <w:t>The SWOT analysis is a basic tool for understanding Seaview Resort's current situation in the market and recognizing its inner strengths and weaknesses, as well as outer opportunities and threats.</w:t>
      </w:r>
    </w:p>
    <w:p w14:paraId="071FF7F4" w14:textId="77777777" w:rsidR="00CD5F19" w:rsidRDefault="00AE5602">
      <w:pPr>
        <w:pStyle w:val="Heading2"/>
      </w:pPr>
      <w:bookmarkStart w:id="19" w:name="_49x2ik5" w:colFirst="0" w:colLast="0"/>
      <w:bookmarkStart w:id="20" w:name="_Toc150847471"/>
      <w:bookmarkEnd w:id="19"/>
      <w:r>
        <w:t>Strengths</w:t>
      </w:r>
      <w:bookmarkEnd w:id="20"/>
    </w:p>
    <w:p w14:paraId="70780E53" w14:textId="77777777" w:rsidR="00CD5F19" w:rsidRDefault="00AE5602">
      <w:pPr>
        <w:shd w:val="clear" w:color="auto" w:fill="FFFFFF"/>
        <w:jc w:val="both"/>
      </w:pPr>
      <w:r>
        <w:rPr>
          <w:b/>
        </w:rPr>
        <w:t>Scenic Location and History:</w:t>
      </w:r>
      <w:r>
        <w:t xml:space="preserve"> The resort flaunts a pleasant shoreline location with a rich history (</w:t>
      </w:r>
      <w:r>
        <w:rPr>
          <w:highlight w:val="white"/>
        </w:rPr>
        <w:t xml:space="preserve">Lin, </w:t>
      </w:r>
      <w:r>
        <w:rPr>
          <w:i/>
          <w:highlight w:val="white"/>
        </w:rPr>
        <w:t xml:space="preserve">et al. </w:t>
      </w:r>
      <w:r>
        <w:rPr>
          <w:highlight w:val="white"/>
        </w:rPr>
        <w:t>2020</w:t>
      </w:r>
      <w:r>
        <w:t>). It offers a special selling point that can be utilized to draw in customers looking for a conventional and enchanting excursion experience.</w:t>
      </w:r>
    </w:p>
    <w:p w14:paraId="48CA7951" w14:textId="77777777" w:rsidR="00CD5F19" w:rsidRDefault="00AE5602">
      <w:pPr>
        <w:shd w:val="clear" w:color="auto" w:fill="FFFFFF"/>
        <w:jc w:val="both"/>
      </w:pPr>
      <w:r>
        <w:rPr>
          <w:b/>
        </w:rPr>
        <w:t>Property and Equipment:</w:t>
      </w:r>
      <w:r>
        <w:t xml:space="preserve"> The resort holds important property and equipment assets totaling £5,30,000, which, whenever oversaw productively, can add to its renewal.</w:t>
      </w:r>
    </w:p>
    <w:p w14:paraId="1A9CF950" w14:textId="77777777" w:rsidR="00CD5F19" w:rsidRDefault="00AE5602">
      <w:pPr>
        <w:shd w:val="clear" w:color="auto" w:fill="FFFFFF"/>
        <w:jc w:val="both"/>
      </w:pPr>
      <w:r>
        <w:rPr>
          <w:b/>
        </w:rPr>
        <w:lastRenderedPageBreak/>
        <w:t xml:space="preserve">Brand Recognition: </w:t>
      </w:r>
      <w:r>
        <w:t>Despite late misfortunes, the Seaview Resort holds little brand recognition and faithfulness among past visitors.</w:t>
      </w:r>
    </w:p>
    <w:p w14:paraId="13152039" w14:textId="77777777" w:rsidR="00CD5F19" w:rsidRDefault="00AE5602">
      <w:pPr>
        <w:shd w:val="clear" w:color="auto" w:fill="FFFFFF"/>
      </w:pPr>
      <w:r>
        <w:rPr>
          <w:noProof/>
        </w:rPr>
        <w:drawing>
          <wp:inline distT="0" distB="0" distL="0" distR="0" wp14:anchorId="1BEDEE1D" wp14:editId="11D48503">
            <wp:extent cx="4524375" cy="3219450"/>
            <wp:effectExtent l="0" t="0" r="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C81D9FD" w14:textId="77777777" w:rsidR="00CD5F19" w:rsidRDefault="00AE5602">
      <w:pPr>
        <w:rPr>
          <w:b/>
        </w:rPr>
      </w:pPr>
      <w:r>
        <w:rPr>
          <w:b/>
        </w:rPr>
        <w:t>Figure 5: SWOT Model</w:t>
      </w:r>
    </w:p>
    <w:p w14:paraId="0C9489FE" w14:textId="77777777" w:rsidR="00CD5F19" w:rsidRDefault="00AE5602">
      <w:r>
        <w:t>(Source: Self-created in MS Word)</w:t>
      </w:r>
    </w:p>
    <w:p w14:paraId="397E88E6" w14:textId="77777777" w:rsidR="00CD5F19" w:rsidRDefault="00AE5602">
      <w:pPr>
        <w:pStyle w:val="Heading2"/>
      </w:pPr>
      <w:bookmarkStart w:id="21" w:name="_2p2csry" w:colFirst="0" w:colLast="0"/>
      <w:bookmarkStart w:id="22" w:name="_Toc150847472"/>
      <w:bookmarkEnd w:id="21"/>
      <w:r>
        <w:t>Weaknesses</w:t>
      </w:r>
      <w:bookmarkEnd w:id="22"/>
    </w:p>
    <w:p w14:paraId="4656BF2A" w14:textId="77777777" w:rsidR="00CD5F19" w:rsidRDefault="00AE5602">
      <w:pPr>
        <w:shd w:val="clear" w:color="auto" w:fill="FFFFFF"/>
        <w:jc w:val="both"/>
      </w:pPr>
      <w:r>
        <w:rPr>
          <w:b/>
        </w:rPr>
        <w:t>Declining Financial Performance:</w:t>
      </w:r>
      <w:r>
        <w:t xml:space="preserve"> The resort has encountered a substantial decrease in financial performance, with negative net revenues as of late, demonstrating shortcomings and financial shakiness (</w:t>
      </w:r>
      <w:proofErr w:type="spellStart"/>
      <w:r>
        <w:rPr>
          <w:highlight w:val="white"/>
        </w:rPr>
        <w:t>Úbeda</w:t>
      </w:r>
      <w:proofErr w:type="spellEnd"/>
      <w:r>
        <w:rPr>
          <w:highlight w:val="white"/>
        </w:rPr>
        <w:t xml:space="preserve">-García, </w:t>
      </w:r>
      <w:r>
        <w:rPr>
          <w:i/>
          <w:highlight w:val="white"/>
        </w:rPr>
        <w:t xml:space="preserve">et al. </w:t>
      </w:r>
      <w:r>
        <w:rPr>
          <w:highlight w:val="white"/>
        </w:rPr>
        <w:t>2021</w:t>
      </w:r>
      <w:r>
        <w:t>).</w:t>
      </w:r>
    </w:p>
    <w:p w14:paraId="08F07F69" w14:textId="77777777" w:rsidR="00CD5F19" w:rsidRDefault="00AE5602">
      <w:pPr>
        <w:shd w:val="clear" w:color="auto" w:fill="FFFFFF"/>
        <w:jc w:val="both"/>
      </w:pPr>
      <w:r>
        <w:rPr>
          <w:b/>
        </w:rPr>
        <w:t>Outdated Amenities:</w:t>
      </w:r>
      <w:r>
        <w:t xml:space="preserve"> Customer reviews highlight outdated amenities, flagging a requirement for repair and modernization to align with changing customer inclinations.</w:t>
      </w:r>
    </w:p>
    <w:p w14:paraId="0D5487C2" w14:textId="77777777" w:rsidR="00CD5F19" w:rsidRDefault="00AE5602">
      <w:pPr>
        <w:shd w:val="clear" w:color="auto" w:fill="FFFFFF"/>
        <w:jc w:val="both"/>
      </w:pPr>
      <w:r>
        <w:rPr>
          <w:b/>
        </w:rPr>
        <w:t xml:space="preserve">High Debt Burden: </w:t>
      </w:r>
      <w:r>
        <w:t>The resort conveys a substantial long-haul debt, prompting a high debt-to-equity ratio, which can present dissolvability chances.</w:t>
      </w:r>
    </w:p>
    <w:p w14:paraId="7EE8E22F" w14:textId="77777777" w:rsidR="00CD5F19" w:rsidRDefault="00AE5602">
      <w:pPr>
        <w:pStyle w:val="Heading2"/>
      </w:pPr>
      <w:bookmarkStart w:id="23" w:name="_147n2zr" w:colFirst="0" w:colLast="0"/>
      <w:bookmarkStart w:id="24" w:name="_Toc150847473"/>
      <w:bookmarkEnd w:id="23"/>
      <w:r>
        <w:t>Opportunities</w:t>
      </w:r>
      <w:bookmarkEnd w:id="24"/>
    </w:p>
    <w:p w14:paraId="473A1491" w14:textId="77777777" w:rsidR="00CD5F19" w:rsidRDefault="00AE5602">
      <w:pPr>
        <w:shd w:val="clear" w:color="auto" w:fill="FFFFFF"/>
        <w:jc w:val="both"/>
      </w:pPr>
      <w:r>
        <w:rPr>
          <w:b/>
        </w:rPr>
        <w:t xml:space="preserve">Eco-Friendly and Experiential Tourism: </w:t>
      </w:r>
      <w:r>
        <w:t>The change in customer inclinations towards eco-friendly and experiential tourism presents a chance for the Seaview Resort to rebrand and offer exceptional, nature-driven encounters.</w:t>
      </w:r>
    </w:p>
    <w:p w14:paraId="1A33E34F" w14:textId="77777777" w:rsidR="00CD5F19" w:rsidRDefault="00AE5602">
      <w:pPr>
        <w:shd w:val="clear" w:color="auto" w:fill="FFFFFF"/>
        <w:jc w:val="both"/>
      </w:pPr>
      <w:r>
        <w:rPr>
          <w:b/>
        </w:rPr>
        <w:lastRenderedPageBreak/>
        <w:t xml:space="preserve">Repositioning as an Eco-Resort: </w:t>
      </w:r>
      <w:r>
        <w:t>The resort can embrace sustainability drives, like decreasing its carbon impression and upgrading eco-friendly practices, to take care of the developing market of naturally cognizant explorers.</w:t>
      </w:r>
    </w:p>
    <w:p w14:paraId="53A3FF00" w14:textId="77777777" w:rsidR="00CD5F19" w:rsidRDefault="00AE5602">
      <w:pPr>
        <w:shd w:val="clear" w:color="auto" w:fill="FFFFFF"/>
        <w:jc w:val="both"/>
      </w:pPr>
      <w:r>
        <w:rPr>
          <w:b/>
        </w:rPr>
        <w:t xml:space="preserve">Targeted Marketing: </w:t>
      </w:r>
      <w:r>
        <w:t>Recognizing and focusing on specialty customer fragments, like experience fans or nature sweethearts, can assist the resort in taking advantage of neglected markets.</w:t>
      </w:r>
    </w:p>
    <w:p w14:paraId="557A90C5" w14:textId="77777777" w:rsidR="00CD5F19" w:rsidRDefault="00AE5602">
      <w:pPr>
        <w:pStyle w:val="Heading2"/>
      </w:pPr>
      <w:bookmarkStart w:id="25" w:name="_3o7alnk" w:colFirst="0" w:colLast="0"/>
      <w:bookmarkStart w:id="26" w:name="_Toc150847474"/>
      <w:bookmarkEnd w:id="25"/>
      <w:r>
        <w:t>Threats</w:t>
      </w:r>
      <w:bookmarkEnd w:id="26"/>
    </w:p>
    <w:p w14:paraId="5A10B360" w14:textId="77777777" w:rsidR="00CD5F19" w:rsidRDefault="00AE5602">
      <w:pPr>
        <w:shd w:val="clear" w:color="auto" w:fill="FFFFFF"/>
        <w:jc w:val="both"/>
      </w:pPr>
      <w:r>
        <w:rPr>
          <w:b/>
        </w:rPr>
        <w:t>Intense Competition:</w:t>
      </w:r>
      <w:r>
        <w:t xml:space="preserve"> The seaside resort market is highly serious, with fresher and more current resorts nearby. This competition compromises the resort's market share.</w:t>
      </w:r>
    </w:p>
    <w:p w14:paraId="4DBE5399" w14:textId="77777777" w:rsidR="00CD5F19" w:rsidRDefault="00AE5602">
      <w:pPr>
        <w:shd w:val="clear" w:color="auto" w:fill="FFFFFF"/>
        <w:jc w:val="both"/>
      </w:pPr>
      <w:r>
        <w:rPr>
          <w:b/>
        </w:rPr>
        <w:t>Economic Uncertainties:</w:t>
      </w:r>
      <w:r>
        <w:t xml:space="preserve"> Economic slumps or unexpected occasions can influence travel and tourism, further intensifying the resort's financial hardships.</w:t>
      </w:r>
    </w:p>
    <w:p w14:paraId="1999F9BD" w14:textId="77777777" w:rsidR="00CD5F19" w:rsidRDefault="00AE5602">
      <w:pPr>
        <w:shd w:val="clear" w:color="auto" w:fill="FFFFFF"/>
        <w:jc w:val="both"/>
      </w:pPr>
      <w:r>
        <w:rPr>
          <w:b/>
        </w:rPr>
        <w:t>Negative Reviews:</w:t>
      </w:r>
      <w:r>
        <w:t xml:space="preserve"> Customer disappointment and negative reviews can hurt the resort's standing, making it try to draw in new visitors.</w:t>
      </w:r>
    </w:p>
    <w:p w14:paraId="430E8361" w14:textId="77777777" w:rsidR="00CD5F19" w:rsidRDefault="00AE5602">
      <w:pPr>
        <w:shd w:val="clear" w:color="auto" w:fill="FFFFFF"/>
        <w:jc w:val="both"/>
        <w:rPr>
          <w:sz w:val="26"/>
          <w:szCs w:val="26"/>
        </w:rPr>
      </w:pPr>
      <w:r>
        <w:t>The Seaview Resort faces a basic crossroads. Utilizing its strengths, repositioning as an eco-friendly objective, tending to weaknesses like financial precariousness and outdated amenities, and proactively alleviating threats through essential arranging will be vital in its circle-back endeavors (</w:t>
      </w:r>
      <w:r>
        <w:rPr>
          <w:highlight w:val="white"/>
        </w:rPr>
        <w:t xml:space="preserve">Dimitrios, </w:t>
      </w:r>
      <w:r>
        <w:rPr>
          <w:i/>
          <w:highlight w:val="white"/>
        </w:rPr>
        <w:t xml:space="preserve">et al. </w:t>
      </w:r>
      <w:r>
        <w:rPr>
          <w:highlight w:val="white"/>
        </w:rPr>
        <w:t>2020</w:t>
      </w:r>
      <w:r>
        <w:t>). A nitty gritty system ought to envelop this knowledge to guarantee its outcome in a highly competitive and developing market.</w:t>
      </w:r>
    </w:p>
    <w:p w14:paraId="1ED2F12A" w14:textId="77777777" w:rsidR="00CD5F19" w:rsidRDefault="00AE5602">
      <w:pPr>
        <w:pStyle w:val="Heading1"/>
        <w:rPr>
          <w:color w:val="000000"/>
        </w:rPr>
      </w:pPr>
      <w:bookmarkStart w:id="27" w:name="_23ckvvd" w:colFirst="0" w:colLast="0"/>
      <w:bookmarkStart w:id="28" w:name="_Toc150847475"/>
      <w:bookmarkEnd w:id="27"/>
      <w:r>
        <w:rPr>
          <w:color w:val="000000"/>
        </w:rPr>
        <w:t>Market Analysis</w:t>
      </w:r>
      <w:bookmarkEnd w:id="28"/>
    </w:p>
    <w:p w14:paraId="1D7A9254" w14:textId="77777777" w:rsidR="00CD5F19" w:rsidRDefault="00AE5602">
      <w:pPr>
        <w:jc w:val="both"/>
        <w:rPr>
          <w:sz w:val="26"/>
          <w:szCs w:val="26"/>
        </w:rPr>
      </w:pPr>
      <w:r>
        <w:rPr>
          <w:highlight w:val="white"/>
        </w:rPr>
        <w:t>The coastal resort market in which the Seaview Resort works is set apart by intense competition and evolving customer preferences. A few fresher and more modern resorts in the vicinity have posed a considerable challenge (Al-</w:t>
      </w:r>
      <w:proofErr w:type="spellStart"/>
      <w:r>
        <w:rPr>
          <w:highlight w:val="white"/>
        </w:rPr>
        <w:t>Wattar</w:t>
      </w:r>
      <w:proofErr w:type="spellEnd"/>
      <w:r>
        <w:rPr>
          <w:highlight w:val="white"/>
        </w:rPr>
        <w:t xml:space="preserve">, </w:t>
      </w:r>
      <w:r>
        <w:rPr>
          <w:i/>
          <w:highlight w:val="white"/>
        </w:rPr>
        <w:t xml:space="preserve">et al. </w:t>
      </w:r>
      <w:r>
        <w:rPr>
          <w:highlight w:val="white"/>
        </w:rPr>
        <w:t>2019). A change in customer preferences towards eco-friendly and experiential tourism has reshaped the business scene. The Seaview Resort's upper hand lies in its scenic location and historic appeal, which can be repositioned to speak to voyagers looking for a customary yet manageable get-away insight. Recognizing objective customer portions and capitalizing on the pattern of eco-tourism offers a feasible way for renewal and future development in this unique and competitive market.</w:t>
      </w:r>
    </w:p>
    <w:p w14:paraId="024C7198" w14:textId="77777777" w:rsidR="00CD5F19" w:rsidRDefault="00AE5602">
      <w:pPr>
        <w:pStyle w:val="Heading1"/>
        <w:rPr>
          <w:color w:val="000000"/>
        </w:rPr>
      </w:pPr>
      <w:bookmarkStart w:id="29" w:name="_ihv636" w:colFirst="0" w:colLast="0"/>
      <w:bookmarkStart w:id="30" w:name="_Toc150847476"/>
      <w:bookmarkEnd w:id="29"/>
      <w:r>
        <w:rPr>
          <w:color w:val="000000"/>
        </w:rPr>
        <w:t>Turnaround Strategy</w:t>
      </w:r>
      <w:bookmarkEnd w:id="30"/>
    </w:p>
    <w:p w14:paraId="49AE75DC" w14:textId="77777777" w:rsidR="00CD5F19" w:rsidRDefault="00AE5602">
      <w:pPr>
        <w:shd w:val="clear" w:color="auto" w:fill="FFFFFF"/>
        <w:jc w:val="both"/>
      </w:pPr>
      <w:r>
        <w:t>The Seaview Resort's recovery relies on a multi-layered strategy:</w:t>
      </w:r>
    </w:p>
    <w:p w14:paraId="44EC681E" w14:textId="77777777" w:rsidR="00CD5F19" w:rsidRDefault="00AE5602">
      <w:pPr>
        <w:shd w:val="clear" w:color="auto" w:fill="FFFFFF"/>
        <w:jc w:val="both"/>
      </w:pPr>
      <w:r>
        <w:rPr>
          <w:b/>
        </w:rPr>
        <w:t>Renovation and Modernization:</w:t>
      </w:r>
      <w:r>
        <w:t xml:space="preserve"> Updating amenities, rooms, and foundation to satisfy contemporary guidelines and line up with eco-friendly practices.</w:t>
      </w:r>
    </w:p>
    <w:p w14:paraId="3C6326A8" w14:textId="77777777" w:rsidR="00CD5F19" w:rsidRDefault="00AE5602">
      <w:pPr>
        <w:shd w:val="clear" w:color="auto" w:fill="FFFFFF"/>
        <w:jc w:val="both"/>
      </w:pPr>
      <w:r>
        <w:rPr>
          <w:b/>
        </w:rPr>
        <w:lastRenderedPageBreak/>
        <w:t>Rebranding as an Eco-Resort:</w:t>
      </w:r>
      <w:r>
        <w:t xml:space="preserve"> Embrace sustainability through diminished carbon impression, eco-certificates, and nature-driven experiences to take care of the developing eco-cognizant tourist portion.</w:t>
      </w:r>
    </w:p>
    <w:p w14:paraId="42CEDA1E" w14:textId="77777777" w:rsidR="00CD5F19" w:rsidRDefault="00AE5602">
      <w:pPr>
        <w:shd w:val="clear" w:color="auto" w:fill="FFFFFF"/>
        <w:jc w:val="both"/>
      </w:pPr>
      <w:r>
        <w:rPr>
          <w:b/>
        </w:rPr>
        <w:t>Cost Efficiency:</w:t>
      </w:r>
      <w:r>
        <w:t xml:space="preserve"> Smooth out operations, cut superfluous costs, and work on cost management to recapture productivity.</w:t>
      </w:r>
    </w:p>
    <w:p w14:paraId="149277A2" w14:textId="77777777" w:rsidR="00CD5F19" w:rsidRDefault="00AE5602">
      <w:pPr>
        <w:shd w:val="clear" w:color="auto" w:fill="FFFFFF"/>
        <w:jc w:val="both"/>
      </w:pPr>
      <w:r>
        <w:rPr>
          <w:b/>
        </w:rPr>
        <w:t>Targeted Marketing:</w:t>
      </w:r>
      <w:r>
        <w:t xml:space="preserve"> Distinguish and market to specialty fragments inspired by the resort's extraordinary mix of history and sustainability (</w:t>
      </w:r>
      <w:proofErr w:type="spellStart"/>
      <w:r>
        <w:rPr>
          <w:highlight w:val="white"/>
        </w:rPr>
        <w:t>Prasetio</w:t>
      </w:r>
      <w:proofErr w:type="spellEnd"/>
      <w:r>
        <w:rPr>
          <w:highlight w:val="white"/>
        </w:rPr>
        <w:t xml:space="preserve">, </w:t>
      </w:r>
      <w:r>
        <w:rPr>
          <w:i/>
          <w:highlight w:val="white"/>
        </w:rPr>
        <w:t xml:space="preserve">et al. </w:t>
      </w:r>
      <w:r>
        <w:rPr>
          <w:highlight w:val="white"/>
        </w:rPr>
        <w:t>2019</w:t>
      </w:r>
      <w:r>
        <w:t>).</w:t>
      </w:r>
    </w:p>
    <w:p w14:paraId="5204474F" w14:textId="77777777" w:rsidR="00CD5F19" w:rsidRDefault="00AE5602">
      <w:pPr>
        <w:shd w:val="clear" w:color="auto" w:fill="FFFFFF"/>
        <w:jc w:val="both"/>
      </w:pPr>
      <w:r>
        <w:rPr>
          <w:b/>
        </w:rPr>
        <w:t xml:space="preserve">Guest Experience Enhancement: </w:t>
      </w:r>
      <w:r>
        <w:t>Appropriate customer management, convey remarkable experiences, and address past disappointments.</w:t>
      </w:r>
    </w:p>
    <w:p w14:paraId="09308A27" w14:textId="77777777" w:rsidR="00CD5F19" w:rsidRDefault="00AE5602">
      <w:pPr>
        <w:shd w:val="clear" w:color="auto" w:fill="FFFFFF"/>
        <w:jc w:val="both"/>
      </w:pPr>
      <w:r>
        <w:rPr>
          <w:b/>
        </w:rPr>
        <w:t>Financial Restructuring:</w:t>
      </w:r>
      <w:r>
        <w:t xml:space="preserve"> Pay off past commitments, arrange positive terms, and look for speculation to upgrade financial security.</w:t>
      </w:r>
    </w:p>
    <w:p w14:paraId="2630B597" w14:textId="77777777" w:rsidR="00CD5F19" w:rsidRDefault="00AE5602">
      <w:pPr>
        <w:shd w:val="clear" w:color="auto" w:fill="FFFFFF"/>
        <w:jc w:val="both"/>
        <w:rPr>
          <w:sz w:val="26"/>
          <w:szCs w:val="26"/>
        </w:rPr>
      </w:pPr>
      <w:r>
        <w:t>This complete methodology expects to rejuvenate the Seaview Resort's financial well-being, line up with market drifts, and guarantee its standing as a chief eco-friendly holiday spot.</w:t>
      </w:r>
    </w:p>
    <w:p w14:paraId="35B316E8" w14:textId="77777777" w:rsidR="00CD5F19" w:rsidRDefault="00AE5602">
      <w:pPr>
        <w:pStyle w:val="Heading1"/>
        <w:rPr>
          <w:color w:val="000000"/>
        </w:rPr>
      </w:pPr>
      <w:bookmarkStart w:id="31" w:name="_32hioqz" w:colFirst="0" w:colLast="0"/>
      <w:bookmarkStart w:id="32" w:name="_Toc150847477"/>
      <w:bookmarkEnd w:id="31"/>
      <w:r>
        <w:rPr>
          <w:color w:val="000000"/>
        </w:rPr>
        <w:t>Financial Projections</w:t>
      </w:r>
      <w:bookmarkEnd w:id="32"/>
    </w:p>
    <w:p w14:paraId="32828CD6" w14:textId="77777777" w:rsidR="00CD5F19" w:rsidRDefault="00AE5602">
      <w:r>
        <w:rPr>
          <w:noProof/>
        </w:rPr>
        <w:drawing>
          <wp:inline distT="114300" distB="114300" distL="114300" distR="114300" wp14:anchorId="20FF7997" wp14:editId="03E863DC">
            <wp:extent cx="5472113" cy="1894193"/>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472113" cy="1894193"/>
                    </a:xfrm>
                    <a:prstGeom prst="rect">
                      <a:avLst/>
                    </a:prstGeom>
                    <a:ln/>
                  </pic:spPr>
                </pic:pic>
              </a:graphicData>
            </a:graphic>
          </wp:inline>
        </w:drawing>
      </w:r>
    </w:p>
    <w:p w14:paraId="5561BD51" w14:textId="77777777" w:rsidR="00CD5F19" w:rsidRDefault="00AE5602">
      <w:pPr>
        <w:rPr>
          <w:b/>
        </w:rPr>
      </w:pPr>
      <w:r>
        <w:rPr>
          <w:b/>
        </w:rPr>
        <w:t>Figure 6: Financial Projection of Forecast</w:t>
      </w:r>
    </w:p>
    <w:p w14:paraId="21A8A285" w14:textId="77777777" w:rsidR="00CD5F19" w:rsidRDefault="00AE5602">
      <w:r>
        <w:t>(Source: Self-created in MS Excel)</w:t>
      </w:r>
    </w:p>
    <w:p w14:paraId="5D6F96D7" w14:textId="77777777" w:rsidR="00CD5F19" w:rsidRDefault="00AE5602">
      <w:pPr>
        <w:jc w:val="both"/>
      </w:pPr>
      <w:r>
        <w:t xml:space="preserve">Because of the execution of the proposed Turnaround Strategy, the Seaview Resort's financial projections for 2023 show a </w:t>
      </w:r>
      <w:proofErr w:type="gramStart"/>
      <w:r>
        <w:t>difficult</w:t>
      </w:r>
      <w:proofErr w:type="gramEnd"/>
      <w:r>
        <w:t xml:space="preserve"> however further developed standpoint. Total income is estimated to diminish to £3,86,292.00, mirroring the continuous challenges in the cutthroat market.</w:t>
      </w:r>
    </w:p>
    <w:p w14:paraId="1CFA9DBC" w14:textId="77777777" w:rsidR="00CD5F19" w:rsidRDefault="00AE5602">
      <w:pPr>
        <w:jc w:val="both"/>
      </w:pPr>
      <w:r>
        <w:t xml:space="preserve">Working costs are projected to </w:t>
      </w:r>
      <w:proofErr w:type="gramStart"/>
      <w:r>
        <w:t>ascend</w:t>
      </w:r>
      <w:proofErr w:type="gramEnd"/>
      <w:r>
        <w:t xml:space="preserve"> to £4,74,832.02 as investments in renovation and administration enhancements produce results. Thus, the net benefit is supposed to be - £88,540.03, principally because of the underlying costs of repair.</w:t>
      </w:r>
    </w:p>
    <w:p w14:paraId="5581F0CA" w14:textId="77777777" w:rsidR="00CD5F19" w:rsidRDefault="00AE5602">
      <w:pPr>
        <w:jc w:val="both"/>
      </w:pPr>
      <w:r>
        <w:lastRenderedPageBreak/>
        <w:t>The net profit (loss) is expected to be - £1,03,854.62, flagging a proceeded deficit in 2023, yet with diminished greatness (</w:t>
      </w:r>
      <w:r>
        <w:rPr>
          <w:highlight w:val="white"/>
        </w:rPr>
        <w:t xml:space="preserve">Jawabreh, </w:t>
      </w:r>
      <w:r>
        <w:rPr>
          <w:i/>
          <w:highlight w:val="white"/>
        </w:rPr>
        <w:t xml:space="preserve">et al. </w:t>
      </w:r>
      <w:r>
        <w:rPr>
          <w:highlight w:val="white"/>
        </w:rPr>
        <w:t>2022</w:t>
      </w:r>
      <w:r>
        <w:t xml:space="preserve">). The net revenue stays negative at - 22%, showing the continuous challenges in returning to benefits. While the resort's financial position is supposed to improve, these projections highlight the tirelessness of hindrances on the way to recovery. Further changes and supported endeavors are expected to direct the resort back to a reasonable and beneficial trajectory </w:t>
      </w:r>
      <w:r>
        <w:rPr>
          <w:b/>
          <w:i/>
        </w:rPr>
        <w:t>[Referred to Appendix 3]</w:t>
      </w:r>
      <w:r>
        <w:t>.</w:t>
      </w:r>
    </w:p>
    <w:p w14:paraId="74FF57C3" w14:textId="77777777" w:rsidR="00CD5F19" w:rsidRDefault="00AE5602">
      <w:pPr>
        <w:pStyle w:val="Heading1"/>
        <w:rPr>
          <w:color w:val="000000"/>
          <w:sz w:val="24"/>
          <w:szCs w:val="24"/>
        </w:rPr>
      </w:pPr>
      <w:bookmarkStart w:id="33" w:name="_1hmsyys" w:colFirst="0" w:colLast="0"/>
      <w:bookmarkStart w:id="34" w:name="_Toc150847478"/>
      <w:bookmarkEnd w:id="33"/>
      <w:r>
        <w:rPr>
          <w:color w:val="000000"/>
        </w:rPr>
        <w:t>Risk Assessment</w:t>
      </w:r>
      <w:bookmarkEnd w:id="34"/>
      <w:r>
        <w:rPr>
          <w:color w:val="000000"/>
          <w:sz w:val="24"/>
          <w:szCs w:val="24"/>
        </w:rPr>
        <w:t xml:space="preserve"> </w:t>
      </w:r>
    </w:p>
    <w:p w14:paraId="02D6C0A4" w14:textId="77777777" w:rsidR="00CD5F19" w:rsidRDefault="00AE5602">
      <w:pPr>
        <w:shd w:val="clear" w:color="auto" w:fill="FFFFFF"/>
        <w:jc w:val="both"/>
      </w:pPr>
      <w:r>
        <w:t>A few risks loom over the Seaview Resort's turnaround endeavors. The most basic risks include:</w:t>
      </w:r>
    </w:p>
    <w:p w14:paraId="03A8FD2B" w14:textId="77777777" w:rsidR="00CD5F19" w:rsidRDefault="00AE5602">
      <w:pPr>
        <w:shd w:val="clear" w:color="auto" w:fill="FFFFFF"/>
        <w:jc w:val="both"/>
      </w:pPr>
      <w:r>
        <w:rPr>
          <w:b/>
        </w:rPr>
        <w:t>Market Competition:</w:t>
      </w:r>
      <w:r>
        <w:t xml:space="preserve"> Intense contention from adjoining resorts might upset the resort's capacity to draw in guests.</w:t>
      </w:r>
    </w:p>
    <w:p w14:paraId="050506D6" w14:textId="77777777" w:rsidR="00CD5F19" w:rsidRDefault="00AE5602">
      <w:pPr>
        <w:shd w:val="clear" w:color="auto" w:fill="FFFFFF"/>
        <w:jc w:val="both"/>
      </w:pPr>
      <w:r>
        <w:rPr>
          <w:b/>
        </w:rPr>
        <w:t xml:space="preserve">Economic Uncertainties: </w:t>
      </w:r>
      <w:r>
        <w:t>Worldwide economic vacillations can affect travel and tourism interests.</w:t>
      </w:r>
    </w:p>
    <w:p w14:paraId="2CE3EA4B" w14:textId="77777777" w:rsidR="00CD5F19" w:rsidRDefault="00AE5602">
      <w:pPr>
        <w:shd w:val="clear" w:color="auto" w:fill="FFFFFF"/>
        <w:jc w:val="both"/>
      </w:pPr>
      <w:r>
        <w:rPr>
          <w:b/>
        </w:rPr>
        <w:t>Execution Challenges:</w:t>
      </w:r>
      <w:r>
        <w:t xml:space="preserve"> Effectively executing the turnaround strategy might confront hindrances, including renovation deferrals and cost invades.</w:t>
      </w:r>
    </w:p>
    <w:p w14:paraId="3EA0106C" w14:textId="77777777" w:rsidR="00CD5F19" w:rsidRDefault="00AE5602">
      <w:pPr>
        <w:shd w:val="clear" w:color="auto" w:fill="FFFFFF"/>
        <w:jc w:val="both"/>
      </w:pPr>
      <w:r>
        <w:rPr>
          <w:b/>
        </w:rPr>
        <w:t>Debt Management:</w:t>
      </w:r>
      <w:r>
        <w:t xml:space="preserve"> Paying off the high debt burden without influencing operations requires cautious preparation and discussion.</w:t>
      </w:r>
    </w:p>
    <w:p w14:paraId="1DA2D5A1" w14:textId="77777777" w:rsidR="00CD5F19" w:rsidRDefault="00AE5602">
      <w:pPr>
        <w:shd w:val="clear" w:color="auto" w:fill="FFFFFF"/>
        <w:jc w:val="both"/>
      </w:pPr>
      <w:r>
        <w:rPr>
          <w:b/>
        </w:rPr>
        <w:t>Customer Perception:</w:t>
      </w:r>
      <w:r>
        <w:t xml:space="preserve"> Conquering past negative reviews and recovering customer trust will be a substantial challenge.</w:t>
      </w:r>
    </w:p>
    <w:p w14:paraId="0AEA4587" w14:textId="77777777" w:rsidR="00CD5F19" w:rsidRDefault="00AE5602">
      <w:pPr>
        <w:shd w:val="clear" w:color="auto" w:fill="FFFFFF"/>
        <w:jc w:val="both"/>
        <w:rPr>
          <w:sz w:val="26"/>
          <w:szCs w:val="26"/>
        </w:rPr>
      </w:pPr>
      <w:r>
        <w:t>Alleviation methodologies ought to be set up to address these risks and guarantee the resort's way to recovery is strong.</w:t>
      </w:r>
    </w:p>
    <w:p w14:paraId="5879FCD2" w14:textId="77777777" w:rsidR="00CD5F19" w:rsidRDefault="00AE5602">
      <w:pPr>
        <w:pStyle w:val="Heading1"/>
        <w:rPr>
          <w:color w:val="000000"/>
        </w:rPr>
      </w:pPr>
      <w:bookmarkStart w:id="35" w:name="_41mghml" w:colFirst="0" w:colLast="0"/>
      <w:bookmarkStart w:id="36" w:name="_Toc150847479"/>
      <w:bookmarkEnd w:id="35"/>
      <w:r>
        <w:rPr>
          <w:color w:val="000000"/>
        </w:rPr>
        <w:t>Conclusion</w:t>
      </w:r>
      <w:bookmarkEnd w:id="36"/>
    </w:p>
    <w:p w14:paraId="5AE4E7A5" w14:textId="113BDCEC" w:rsidR="00CD5F19" w:rsidRDefault="00AE5602">
      <w:pPr>
        <w:jc w:val="both"/>
        <w:rPr>
          <w:highlight w:val="white"/>
        </w:rPr>
      </w:pPr>
      <w:r>
        <w:rPr>
          <w:highlight w:val="white"/>
        </w:rPr>
        <w:t xml:space="preserve">The Seaview Resort's way </w:t>
      </w:r>
      <w:proofErr w:type="gramStart"/>
      <w:r>
        <w:rPr>
          <w:highlight w:val="white"/>
        </w:rPr>
        <w:t>to</w:t>
      </w:r>
      <w:proofErr w:type="gramEnd"/>
      <w:r>
        <w:rPr>
          <w:highlight w:val="white"/>
        </w:rPr>
        <w:t xml:space="preserve"> recovery requests a multi-layered approach. While challenges endure, the proposed Turnaround Strategy presents a guide to repositioning the resort as an eco-friendly sanctuary, addressing financial troubles, and upgrading the guest experience. The financial projections highlight continuous obstacles, highlighting the requirement for unfaltering obligations to the strategy. With risk relief, constant variation, and devotion, the resort can reappear as a flourishing, practical, and pursued place to get awa</w:t>
      </w:r>
      <w:r>
        <w:rPr>
          <w:highlight w:val="white"/>
        </w:rPr>
        <w:t xml:space="preserve">y. </w:t>
      </w:r>
    </w:p>
    <w:p w14:paraId="1A97793D" w14:textId="77777777" w:rsidR="00CD5F19" w:rsidRDefault="00AE5602">
      <w:pPr>
        <w:jc w:val="both"/>
        <w:rPr>
          <w:highlight w:val="white"/>
        </w:rPr>
      </w:pPr>
      <w:r>
        <w:br w:type="page"/>
      </w:r>
    </w:p>
    <w:p w14:paraId="4012D9E6" w14:textId="77777777" w:rsidR="00CD5F19" w:rsidRDefault="00AE5602">
      <w:pPr>
        <w:pStyle w:val="Heading1"/>
        <w:rPr>
          <w:color w:val="000000"/>
        </w:rPr>
      </w:pPr>
      <w:bookmarkStart w:id="37" w:name="_2grqrue" w:colFirst="0" w:colLast="0"/>
      <w:bookmarkStart w:id="38" w:name="_Toc150847480"/>
      <w:bookmarkEnd w:id="37"/>
      <w:r>
        <w:rPr>
          <w:color w:val="000000"/>
        </w:rPr>
        <w:lastRenderedPageBreak/>
        <w:t>Reference List</w:t>
      </w:r>
      <w:bookmarkEnd w:id="38"/>
    </w:p>
    <w:p w14:paraId="2E3E23FF" w14:textId="77777777" w:rsidR="00CD5F19" w:rsidRDefault="00AE5602">
      <w:pPr>
        <w:jc w:val="both"/>
        <w:rPr>
          <w:b/>
          <w:highlight w:val="white"/>
        </w:rPr>
      </w:pPr>
      <w:r>
        <w:rPr>
          <w:b/>
          <w:highlight w:val="white"/>
        </w:rPr>
        <w:t>Journals</w:t>
      </w:r>
    </w:p>
    <w:p w14:paraId="20F7C681" w14:textId="77777777" w:rsidR="00CD5F19" w:rsidRDefault="00AE5602">
      <w:pPr>
        <w:spacing w:before="240" w:after="240"/>
        <w:jc w:val="both"/>
        <w:rPr>
          <w:highlight w:val="white"/>
        </w:rPr>
      </w:pPr>
      <w:r>
        <w:rPr>
          <w:highlight w:val="white"/>
        </w:rPr>
        <w:t xml:space="preserve">Alvarez, T., </w:t>
      </w:r>
      <w:proofErr w:type="spellStart"/>
      <w:r>
        <w:rPr>
          <w:highlight w:val="white"/>
        </w:rPr>
        <w:t>Sensini</w:t>
      </w:r>
      <w:proofErr w:type="spellEnd"/>
      <w:r>
        <w:rPr>
          <w:highlight w:val="white"/>
        </w:rPr>
        <w:t xml:space="preserve">, L., Bello, C. and Vazquez, M., 2021. Management accounting practices and performance of SMEs in the Hotel industry: Evidence from an emerging economy. </w:t>
      </w:r>
      <w:r>
        <w:rPr>
          <w:i/>
          <w:highlight w:val="white"/>
        </w:rPr>
        <w:t>International Journal of Business and Social Science</w:t>
      </w:r>
      <w:r>
        <w:rPr>
          <w:highlight w:val="white"/>
        </w:rPr>
        <w:t xml:space="preserve">, </w:t>
      </w:r>
      <w:r>
        <w:rPr>
          <w:i/>
          <w:highlight w:val="white"/>
        </w:rPr>
        <w:t>12</w:t>
      </w:r>
      <w:r>
        <w:rPr>
          <w:highlight w:val="white"/>
        </w:rPr>
        <w:t>(2), pp.24-35.</w:t>
      </w:r>
    </w:p>
    <w:p w14:paraId="5C8706AC" w14:textId="77777777" w:rsidR="00CD5F19" w:rsidRDefault="00AE5602">
      <w:pPr>
        <w:spacing w:before="240" w:after="240"/>
        <w:jc w:val="both"/>
        <w:rPr>
          <w:highlight w:val="white"/>
        </w:rPr>
      </w:pPr>
      <w:r>
        <w:rPr>
          <w:highlight w:val="white"/>
        </w:rPr>
        <w:t>Al-</w:t>
      </w:r>
      <w:proofErr w:type="spellStart"/>
      <w:r>
        <w:rPr>
          <w:highlight w:val="white"/>
        </w:rPr>
        <w:t>Wattar</w:t>
      </w:r>
      <w:proofErr w:type="spellEnd"/>
      <w:r>
        <w:rPr>
          <w:highlight w:val="white"/>
        </w:rPr>
        <w:t xml:space="preserve">, Y.M.A., </w:t>
      </w:r>
      <w:proofErr w:type="spellStart"/>
      <w:r>
        <w:rPr>
          <w:highlight w:val="white"/>
        </w:rPr>
        <w:t>Almagtome</w:t>
      </w:r>
      <w:proofErr w:type="spellEnd"/>
      <w:r>
        <w:rPr>
          <w:highlight w:val="white"/>
        </w:rPr>
        <w:t>, A.H. and Al-</w:t>
      </w:r>
      <w:proofErr w:type="spellStart"/>
      <w:r>
        <w:rPr>
          <w:highlight w:val="white"/>
        </w:rPr>
        <w:t>Shafeay</w:t>
      </w:r>
      <w:proofErr w:type="spellEnd"/>
      <w:r>
        <w:rPr>
          <w:highlight w:val="white"/>
        </w:rPr>
        <w:t xml:space="preserve">, K.M., 2019. The role of integrating hotel sustainability reporting practices into an Accounting Information System to enhance Hotel Financial Performance: Evidence from Iraq. </w:t>
      </w:r>
      <w:r>
        <w:rPr>
          <w:i/>
          <w:highlight w:val="white"/>
        </w:rPr>
        <w:t>African Journal of Hospitality, Tourism and Leisure</w:t>
      </w:r>
      <w:r>
        <w:rPr>
          <w:highlight w:val="white"/>
        </w:rPr>
        <w:t xml:space="preserve">, </w:t>
      </w:r>
      <w:r>
        <w:rPr>
          <w:i/>
          <w:highlight w:val="white"/>
        </w:rPr>
        <w:t>8</w:t>
      </w:r>
      <w:r>
        <w:rPr>
          <w:highlight w:val="white"/>
        </w:rPr>
        <w:t>(5), pp.1-16.</w:t>
      </w:r>
    </w:p>
    <w:p w14:paraId="4317DD16" w14:textId="77777777" w:rsidR="00CD5F19" w:rsidRDefault="00AE5602">
      <w:pPr>
        <w:spacing w:before="240" w:after="240"/>
        <w:jc w:val="both"/>
        <w:rPr>
          <w:highlight w:val="white"/>
        </w:rPr>
      </w:pPr>
      <w:r>
        <w:rPr>
          <w:highlight w:val="white"/>
        </w:rPr>
        <w:t xml:space="preserve">Bello, C. and </w:t>
      </w:r>
      <w:proofErr w:type="spellStart"/>
      <w:r>
        <w:rPr>
          <w:highlight w:val="white"/>
        </w:rPr>
        <w:t>Sensini</w:t>
      </w:r>
      <w:proofErr w:type="spellEnd"/>
      <w:r>
        <w:rPr>
          <w:highlight w:val="white"/>
        </w:rPr>
        <w:t xml:space="preserve">, L., 2020. Financing decisions of SMEs in the hotel industry. </w:t>
      </w:r>
      <w:r>
        <w:rPr>
          <w:i/>
          <w:highlight w:val="white"/>
        </w:rPr>
        <w:t>International Journal of Academic Research in Accounting, Finance and Management Sciences</w:t>
      </w:r>
      <w:r>
        <w:rPr>
          <w:highlight w:val="white"/>
        </w:rPr>
        <w:t xml:space="preserve">, </w:t>
      </w:r>
      <w:r>
        <w:rPr>
          <w:i/>
          <w:highlight w:val="white"/>
        </w:rPr>
        <w:t>10</w:t>
      </w:r>
      <w:r>
        <w:rPr>
          <w:highlight w:val="white"/>
        </w:rPr>
        <w:t>(2), pp.9-14.</w:t>
      </w:r>
    </w:p>
    <w:p w14:paraId="05895E5A" w14:textId="77777777" w:rsidR="00CD5F19" w:rsidRDefault="00AE5602">
      <w:pPr>
        <w:spacing w:before="240" w:after="240"/>
        <w:jc w:val="both"/>
        <w:rPr>
          <w:highlight w:val="white"/>
        </w:rPr>
      </w:pPr>
      <w:r>
        <w:rPr>
          <w:highlight w:val="white"/>
        </w:rPr>
        <w:t xml:space="preserve">Dimitrios, B., Christos, P., Ioannis, R. and Vasiliadis, L., 2020. Strategic management in the hotel industry: proposed strategic practices to recover from COVID-19 global crisis. </w:t>
      </w:r>
      <w:r>
        <w:rPr>
          <w:i/>
          <w:highlight w:val="white"/>
        </w:rPr>
        <w:t>Academic Journal of Interdisciplinary Studies</w:t>
      </w:r>
      <w:r>
        <w:rPr>
          <w:highlight w:val="white"/>
        </w:rPr>
        <w:t xml:space="preserve">, </w:t>
      </w:r>
      <w:r>
        <w:rPr>
          <w:i/>
          <w:highlight w:val="white"/>
        </w:rPr>
        <w:t>9</w:t>
      </w:r>
      <w:r>
        <w:rPr>
          <w:highlight w:val="white"/>
        </w:rPr>
        <w:t>(6), pp.130-130.</w:t>
      </w:r>
    </w:p>
    <w:p w14:paraId="01F54F82" w14:textId="77777777" w:rsidR="00CD5F19" w:rsidRDefault="00AE5602">
      <w:pPr>
        <w:spacing w:before="240" w:after="240"/>
        <w:jc w:val="both"/>
        <w:rPr>
          <w:highlight w:val="white"/>
        </w:rPr>
      </w:pPr>
      <w:proofErr w:type="spellStart"/>
      <w:r>
        <w:rPr>
          <w:highlight w:val="white"/>
        </w:rPr>
        <w:t>Drobyazko</w:t>
      </w:r>
      <w:proofErr w:type="spellEnd"/>
      <w:r>
        <w:rPr>
          <w:highlight w:val="white"/>
        </w:rPr>
        <w:t xml:space="preserve">, S., </w:t>
      </w:r>
      <w:proofErr w:type="spellStart"/>
      <w:r>
        <w:rPr>
          <w:highlight w:val="white"/>
        </w:rPr>
        <w:t>Barwinska-Malajowicz</w:t>
      </w:r>
      <w:proofErr w:type="spellEnd"/>
      <w:r>
        <w:rPr>
          <w:highlight w:val="white"/>
        </w:rPr>
        <w:t xml:space="preserve">, A., Slusarczyk, B., </w:t>
      </w:r>
      <w:proofErr w:type="spellStart"/>
      <w:r>
        <w:rPr>
          <w:highlight w:val="white"/>
        </w:rPr>
        <w:t>Chubukova</w:t>
      </w:r>
      <w:proofErr w:type="spellEnd"/>
      <w:r>
        <w:rPr>
          <w:highlight w:val="white"/>
        </w:rPr>
        <w:t xml:space="preserve">, O. and </w:t>
      </w:r>
      <w:proofErr w:type="spellStart"/>
      <w:r>
        <w:rPr>
          <w:highlight w:val="white"/>
        </w:rPr>
        <w:t>Bielialov</w:t>
      </w:r>
      <w:proofErr w:type="spellEnd"/>
      <w:r>
        <w:rPr>
          <w:highlight w:val="white"/>
        </w:rPr>
        <w:t xml:space="preserve">, T., 2020. Risk management in the system of financial stability of the service enterprise. </w:t>
      </w:r>
      <w:r>
        <w:rPr>
          <w:i/>
          <w:highlight w:val="white"/>
        </w:rPr>
        <w:t>Journal of Risk and Financial Management</w:t>
      </w:r>
      <w:r>
        <w:rPr>
          <w:highlight w:val="white"/>
        </w:rPr>
        <w:t xml:space="preserve">, </w:t>
      </w:r>
      <w:r>
        <w:rPr>
          <w:i/>
          <w:highlight w:val="white"/>
        </w:rPr>
        <w:t>13</w:t>
      </w:r>
      <w:r>
        <w:rPr>
          <w:highlight w:val="white"/>
        </w:rPr>
        <w:t>(12), p.300.</w:t>
      </w:r>
    </w:p>
    <w:p w14:paraId="3AF7D32B" w14:textId="77777777" w:rsidR="00CD5F19" w:rsidRDefault="00AE5602">
      <w:pPr>
        <w:spacing w:before="240" w:after="240"/>
        <w:jc w:val="both"/>
        <w:rPr>
          <w:highlight w:val="white"/>
        </w:rPr>
      </w:pPr>
      <w:r>
        <w:rPr>
          <w:highlight w:val="white"/>
        </w:rPr>
        <w:t xml:space="preserve">Jawabreh, O., </w:t>
      </w:r>
      <w:proofErr w:type="spellStart"/>
      <w:r>
        <w:rPr>
          <w:highlight w:val="white"/>
        </w:rPr>
        <w:t>Shniekat</w:t>
      </w:r>
      <w:proofErr w:type="spellEnd"/>
      <w:r>
        <w:rPr>
          <w:highlight w:val="white"/>
        </w:rPr>
        <w:t xml:space="preserve">, N., Saleh, M.M.A. and Ali, B.J., 2022. The strategic deployment of information systems attributes and financial performance in the hospitality industry. </w:t>
      </w:r>
      <w:r>
        <w:rPr>
          <w:i/>
          <w:highlight w:val="white"/>
        </w:rPr>
        <w:t>Information Sciences Letters</w:t>
      </w:r>
      <w:r>
        <w:rPr>
          <w:highlight w:val="white"/>
        </w:rPr>
        <w:t xml:space="preserve">, </w:t>
      </w:r>
      <w:r>
        <w:rPr>
          <w:i/>
          <w:highlight w:val="white"/>
        </w:rPr>
        <w:t>11</w:t>
      </w:r>
      <w:r>
        <w:rPr>
          <w:highlight w:val="white"/>
        </w:rPr>
        <w:t>(5), p.110504.</w:t>
      </w:r>
    </w:p>
    <w:p w14:paraId="506CE127" w14:textId="77777777" w:rsidR="00CD5F19" w:rsidRDefault="00AE5602">
      <w:pPr>
        <w:spacing w:before="240" w:after="240"/>
        <w:jc w:val="both"/>
        <w:rPr>
          <w:highlight w:val="white"/>
        </w:rPr>
      </w:pPr>
      <w:r>
        <w:rPr>
          <w:highlight w:val="white"/>
        </w:rPr>
        <w:t xml:space="preserve">Lin, M.S., Jung, I.N. and Sharma, A., 2020. F&amp;B Performance in the United States Hotel Industry. </w:t>
      </w:r>
      <w:r>
        <w:rPr>
          <w:i/>
          <w:highlight w:val="white"/>
        </w:rPr>
        <w:t>Journal of Hospitality Financial Management</w:t>
      </w:r>
      <w:r>
        <w:rPr>
          <w:highlight w:val="white"/>
        </w:rPr>
        <w:t xml:space="preserve">, </w:t>
      </w:r>
      <w:r>
        <w:rPr>
          <w:i/>
          <w:highlight w:val="white"/>
        </w:rPr>
        <w:t>28</w:t>
      </w:r>
      <w:r>
        <w:rPr>
          <w:highlight w:val="white"/>
        </w:rPr>
        <w:t>(1), p.3.</w:t>
      </w:r>
    </w:p>
    <w:p w14:paraId="7C067F6A" w14:textId="77777777" w:rsidR="00CD5F19" w:rsidRDefault="00AE5602">
      <w:pPr>
        <w:spacing w:before="240" w:after="240"/>
        <w:jc w:val="both"/>
        <w:rPr>
          <w:highlight w:val="white"/>
        </w:rPr>
      </w:pPr>
      <w:r>
        <w:rPr>
          <w:highlight w:val="white"/>
        </w:rPr>
        <w:t xml:space="preserve">Mueller, A. and </w:t>
      </w:r>
      <w:proofErr w:type="spellStart"/>
      <w:r>
        <w:rPr>
          <w:highlight w:val="white"/>
        </w:rPr>
        <w:t>Sensini</w:t>
      </w:r>
      <w:proofErr w:type="spellEnd"/>
      <w:r>
        <w:rPr>
          <w:highlight w:val="white"/>
        </w:rPr>
        <w:t xml:space="preserve">, L., 2021. Determinants of financing decisions of SMEs: evidence from hotel industry. </w:t>
      </w:r>
      <w:r>
        <w:rPr>
          <w:i/>
          <w:highlight w:val="white"/>
        </w:rPr>
        <w:t>International Journal of Business and Management</w:t>
      </w:r>
      <w:r>
        <w:rPr>
          <w:highlight w:val="white"/>
        </w:rPr>
        <w:t xml:space="preserve">, </w:t>
      </w:r>
      <w:r>
        <w:rPr>
          <w:i/>
          <w:highlight w:val="white"/>
        </w:rPr>
        <w:t>16</w:t>
      </w:r>
      <w:r>
        <w:rPr>
          <w:highlight w:val="white"/>
        </w:rPr>
        <w:t>(3), pp.117-127.</w:t>
      </w:r>
    </w:p>
    <w:p w14:paraId="2052F514" w14:textId="77777777" w:rsidR="00CD5F19" w:rsidRDefault="00AE5602">
      <w:pPr>
        <w:spacing w:before="240" w:after="240"/>
        <w:jc w:val="both"/>
        <w:rPr>
          <w:highlight w:val="white"/>
        </w:rPr>
      </w:pPr>
      <w:proofErr w:type="spellStart"/>
      <w:r>
        <w:rPr>
          <w:highlight w:val="white"/>
        </w:rPr>
        <w:t>Prasetio</w:t>
      </w:r>
      <w:proofErr w:type="spellEnd"/>
      <w:r>
        <w:rPr>
          <w:highlight w:val="white"/>
        </w:rPr>
        <w:t xml:space="preserve">, P., </w:t>
      </w:r>
      <w:proofErr w:type="spellStart"/>
      <w:r>
        <w:rPr>
          <w:highlight w:val="white"/>
        </w:rPr>
        <w:t>Partono</w:t>
      </w:r>
      <w:proofErr w:type="spellEnd"/>
      <w:r>
        <w:rPr>
          <w:highlight w:val="white"/>
        </w:rPr>
        <w:t xml:space="preserve">, A., Wulansari, P., Putri, S.T., Ramdhani, R. and Abdullah, A., 2019, May. The mediation of job satisfaction in the relation of work stress and turnover intention in hotel </w:t>
      </w:r>
      <w:r>
        <w:rPr>
          <w:highlight w:val="white"/>
        </w:rPr>
        <w:lastRenderedPageBreak/>
        <w:t xml:space="preserve">industry. In </w:t>
      </w:r>
      <w:r>
        <w:rPr>
          <w:i/>
          <w:highlight w:val="white"/>
        </w:rPr>
        <w:t>1st international conference on economics, business, entrepreneurship, and finance (ICEBEF 2018)</w:t>
      </w:r>
      <w:r>
        <w:rPr>
          <w:highlight w:val="white"/>
        </w:rPr>
        <w:t xml:space="preserve"> (pp. 608-612). Atlantis Press.</w:t>
      </w:r>
    </w:p>
    <w:p w14:paraId="2990C593" w14:textId="77777777" w:rsidR="00CD5F19" w:rsidRDefault="00AE5602">
      <w:pPr>
        <w:spacing w:before="240" w:after="240"/>
        <w:jc w:val="both"/>
        <w:rPr>
          <w:highlight w:val="white"/>
        </w:rPr>
      </w:pPr>
      <w:proofErr w:type="spellStart"/>
      <w:r>
        <w:rPr>
          <w:highlight w:val="white"/>
        </w:rPr>
        <w:t>Rusmingsih</w:t>
      </w:r>
      <w:proofErr w:type="spellEnd"/>
      <w:r>
        <w:rPr>
          <w:highlight w:val="white"/>
        </w:rPr>
        <w:t xml:space="preserve">, D., </w:t>
      </w:r>
      <w:proofErr w:type="spellStart"/>
      <w:r>
        <w:rPr>
          <w:highlight w:val="white"/>
        </w:rPr>
        <w:t>Widarni</w:t>
      </w:r>
      <w:proofErr w:type="spellEnd"/>
      <w:r>
        <w:rPr>
          <w:highlight w:val="white"/>
        </w:rPr>
        <w:t xml:space="preserve">, E.L. and </w:t>
      </w:r>
      <w:proofErr w:type="spellStart"/>
      <w:r>
        <w:rPr>
          <w:highlight w:val="white"/>
        </w:rPr>
        <w:t>Bawono</w:t>
      </w:r>
      <w:proofErr w:type="spellEnd"/>
      <w:r>
        <w:rPr>
          <w:highlight w:val="white"/>
        </w:rPr>
        <w:t xml:space="preserve">, S., 2021. Human psychological factors in the success of human capital investment in driving financial performance, case study of the hotel industry in Indonesia and Malaysia. </w:t>
      </w:r>
      <w:r>
        <w:rPr>
          <w:i/>
          <w:highlight w:val="white"/>
        </w:rPr>
        <w:t>HOLISTICA–Journal of Business and Public Administration</w:t>
      </w:r>
      <w:r>
        <w:rPr>
          <w:highlight w:val="white"/>
        </w:rPr>
        <w:t xml:space="preserve">, </w:t>
      </w:r>
      <w:r>
        <w:rPr>
          <w:i/>
          <w:highlight w:val="white"/>
        </w:rPr>
        <w:t>12</w:t>
      </w:r>
      <w:r>
        <w:rPr>
          <w:highlight w:val="white"/>
        </w:rPr>
        <w:t>(1), pp.69-75.</w:t>
      </w:r>
    </w:p>
    <w:p w14:paraId="31F872EB" w14:textId="77777777" w:rsidR="00CD5F19" w:rsidRDefault="00AE5602">
      <w:pPr>
        <w:spacing w:before="240" w:after="240"/>
        <w:jc w:val="both"/>
        <w:rPr>
          <w:highlight w:val="white"/>
        </w:rPr>
      </w:pPr>
      <w:proofErr w:type="spellStart"/>
      <w:r>
        <w:rPr>
          <w:highlight w:val="white"/>
        </w:rPr>
        <w:t>Úbeda</w:t>
      </w:r>
      <w:proofErr w:type="spellEnd"/>
      <w:r>
        <w:rPr>
          <w:highlight w:val="white"/>
        </w:rPr>
        <w:t xml:space="preserve">-García, M., </w:t>
      </w:r>
      <w:proofErr w:type="spellStart"/>
      <w:r>
        <w:rPr>
          <w:highlight w:val="white"/>
        </w:rPr>
        <w:t>Claver</w:t>
      </w:r>
      <w:proofErr w:type="spellEnd"/>
      <w:r>
        <w:rPr>
          <w:highlight w:val="white"/>
        </w:rPr>
        <w:t xml:space="preserve">-Cortés, E., Marco-Lajara, B. and Zaragoza-Sáez, P., 2021. Corporate social responsibility and firm performance in the hotel industry. The mediating role of green human resource management and environmental outcomes. </w:t>
      </w:r>
      <w:r>
        <w:rPr>
          <w:i/>
          <w:highlight w:val="white"/>
        </w:rPr>
        <w:t>Journal of Business Research</w:t>
      </w:r>
      <w:r>
        <w:rPr>
          <w:highlight w:val="white"/>
        </w:rPr>
        <w:t xml:space="preserve">, </w:t>
      </w:r>
      <w:r>
        <w:rPr>
          <w:i/>
          <w:highlight w:val="white"/>
        </w:rPr>
        <w:t>123</w:t>
      </w:r>
      <w:r>
        <w:rPr>
          <w:highlight w:val="white"/>
        </w:rPr>
        <w:t>, pp.57-69.</w:t>
      </w:r>
    </w:p>
    <w:p w14:paraId="235D6509" w14:textId="77777777" w:rsidR="00CD5F19" w:rsidRDefault="00AE5602">
      <w:pPr>
        <w:rPr>
          <w:highlight w:val="white"/>
        </w:rPr>
      </w:pPr>
      <w:r>
        <w:br w:type="page"/>
      </w:r>
    </w:p>
    <w:p w14:paraId="50F9BE92" w14:textId="77777777" w:rsidR="00CD5F19" w:rsidRDefault="00AE5602">
      <w:pPr>
        <w:pStyle w:val="Heading1"/>
      </w:pPr>
      <w:bookmarkStart w:id="39" w:name="_Toc150847481"/>
      <w:r>
        <w:lastRenderedPageBreak/>
        <w:t>Appendices</w:t>
      </w:r>
      <w:bookmarkEnd w:id="39"/>
    </w:p>
    <w:p w14:paraId="1810B8A4" w14:textId="77777777" w:rsidR="00CD5F19" w:rsidRDefault="00AE5602">
      <w:pPr>
        <w:spacing w:before="240" w:after="240"/>
        <w:jc w:val="both"/>
        <w:rPr>
          <w:b/>
          <w:highlight w:val="white"/>
        </w:rPr>
      </w:pPr>
      <w:r>
        <w:rPr>
          <w:b/>
          <w:highlight w:val="white"/>
        </w:rPr>
        <w:t>Appendix 1: Trend Graph of Income Statement</w:t>
      </w:r>
    </w:p>
    <w:p w14:paraId="548817A3" w14:textId="77777777" w:rsidR="00CD5F19" w:rsidRDefault="00AE5602">
      <w:pPr>
        <w:spacing w:before="240" w:after="240"/>
        <w:rPr>
          <w:highlight w:val="white"/>
        </w:rPr>
      </w:pPr>
      <w:r>
        <w:rPr>
          <w:noProof/>
        </w:rPr>
        <w:drawing>
          <wp:inline distT="0" distB="0" distL="0" distR="0" wp14:anchorId="054BA5C6" wp14:editId="42234EE8">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3FF9A91" w14:textId="77777777" w:rsidR="00CD5F19" w:rsidRDefault="00AE5602">
      <w:pPr>
        <w:spacing w:before="240" w:after="240"/>
        <w:rPr>
          <w:highlight w:val="white"/>
        </w:rPr>
      </w:pPr>
      <w:r>
        <w:rPr>
          <w:highlight w:val="white"/>
        </w:rPr>
        <w:t>(Source: Self-created in MS Excel)</w:t>
      </w:r>
    </w:p>
    <w:p w14:paraId="7FD951B0" w14:textId="77777777" w:rsidR="00CD5F19" w:rsidRDefault="00AE5602">
      <w:pPr>
        <w:rPr>
          <w:highlight w:val="white"/>
        </w:rPr>
      </w:pPr>
      <w:r>
        <w:br w:type="page"/>
      </w:r>
    </w:p>
    <w:p w14:paraId="4F1FC2CD" w14:textId="77777777" w:rsidR="00CD5F19" w:rsidRDefault="00AE5602">
      <w:pPr>
        <w:spacing w:before="240" w:after="240"/>
        <w:jc w:val="both"/>
        <w:rPr>
          <w:b/>
          <w:highlight w:val="white"/>
        </w:rPr>
      </w:pPr>
      <w:r>
        <w:rPr>
          <w:b/>
          <w:highlight w:val="white"/>
        </w:rPr>
        <w:lastRenderedPageBreak/>
        <w:t>Appendix 2: Ratio Analysis Graph</w:t>
      </w:r>
    </w:p>
    <w:p w14:paraId="108101AD" w14:textId="77777777" w:rsidR="00CD5F19" w:rsidRDefault="00AE5602">
      <w:pPr>
        <w:spacing w:before="240" w:after="240"/>
        <w:rPr>
          <w:highlight w:val="white"/>
        </w:rPr>
      </w:pPr>
      <w:r>
        <w:rPr>
          <w:noProof/>
        </w:rPr>
        <w:drawing>
          <wp:inline distT="0" distB="0" distL="0" distR="0" wp14:anchorId="5F96FA0A" wp14:editId="3E0330B8">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029FD19" w14:textId="77777777" w:rsidR="00CD5F19" w:rsidRDefault="00AE5602">
      <w:pPr>
        <w:spacing w:before="240" w:after="240"/>
        <w:rPr>
          <w:highlight w:val="white"/>
        </w:rPr>
      </w:pPr>
      <w:r>
        <w:rPr>
          <w:highlight w:val="white"/>
        </w:rPr>
        <w:t>(Source: Self-created in MS Excel)</w:t>
      </w:r>
    </w:p>
    <w:p w14:paraId="25DF8B37" w14:textId="77777777" w:rsidR="00CD5F19" w:rsidRDefault="00AE5602">
      <w:pPr>
        <w:rPr>
          <w:highlight w:val="white"/>
        </w:rPr>
      </w:pPr>
      <w:r>
        <w:br w:type="page"/>
      </w:r>
    </w:p>
    <w:p w14:paraId="0BEC7C60" w14:textId="77777777" w:rsidR="00CD5F19" w:rsidRDefault="00AE5602">
      <w:pPr>
        <w:spacing w:before="240" w:after="240"/>
        <w:jc w:val="both"/>
        <w:rPr>
          <w:b/>
          <w:highlight w:val="white"/>
        </w:rPr>
      </w:pPr>
      <w:r>
        <w:rPr>
          <w:b/>
          <w:highlight w:val="white"/>
        </w:rPr>
        <w:lastRenderedPageBreak/>
        <w:t>Appendix 3: Forecasting Graph of 2023’s profit margin</w:t>
      </w:r>
    </w:p>
    <w:p w14:paraId="0A6C159E" w14:textId="77777777" w:rsidR="00CD5F19" w:rsidRDefault="00AE5602">
      <w:pPr>
        <w:spacing w:before="240" w:after="240"/>
        <w:rPr>
          <w:highlight w:val="white"/>
        </w:rPr>
      </w:pPr>
      <w:r>
        <w:rPr>
          <w:noProof/>
        </w:rPr>
        <w:drawing>
          <wp:inline distT="0" distB="0" distL="0" distR="0" wp14:anchorId="1B70C994" wp14:editId="50F1F839">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F85FE5A" w14:textId="77777777" w:rsidR="00CD5F19" w:rsidRDefault="00AE5602">
      <w:pPr>
        <w:spacing w:before="240" w:after="240"/>
        <w:rPr>
          <w:highlight w:val="white"/>
        </w:rPr>
      </w:pPr>
      <w:r>
        <w:rPr>
          <w:highlight w:val="white"/>
        </w:rPr>
        <w:t>(Source: Self-created in MS Excel)</w:t>
      </w:r>
    </w:p>
    <w:sectPr w:rsidR="00CD5F19">
      <w:footerReference w:type="default" r:id="rId19"/>
      <w:footerReference w:type="first" r:id="rId20"/>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ACC7D6" w14:textId="77777777" w:rsidR="00AE5602" w:rsidRDefault="00AE5602">
      <w:pPr>
        <w:spacing w:line="240" w:lineRule="auto"/>
      </w:pPr>
      <w:r>
        <w:separator/>
      </w:r>
    </w:p>
  </w:endnote>
  <w:endnote w:type="continuationSeparator" w:id="0">
    <w:p w14:paraId="162B075B" w14:textId="77777777" w:rsidR="00AE5602" w:rsidRDefault="00AE56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D1BD4C" w14:textId="77777777" w:rsidR="00CD5F19" w:rsidRDefault="00AE5602">
    <w:pPr>
      <w:jc w:val="right"/>
    </w:pPr>
    <w:r>
      <w:fldChar w:fldCharType="begin"/>
    </w:r>
    <w:r>
      <w:instrText>PAGE</w:instrText>
    </w:r>
    <w:r>
      <w:fldChar w:fldCharType="separate"/>
    </w:r>
    <w:r w:rsidR="009A1A20">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5C1087" w14:textId="77777777" w:rsidR="00CD5F19" w:rsidRDefault="00CD5F1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CC8B28" w14:textId="77777777" w:rsidR="00AE5602" w:rsidRDefault="00AE5602">
      <w:pPr>
        <w:spacing w:line="240" w:lineRule="auto"/>
      </w:pPr>
      <w:r>
        <w:separator/>
      </w:r>
    </w:p>
  </w:footnote>
  <w:footnote w:type="continuationSeparator" w:id="0">
    <w:p w14:paraId="2B6C5B8D" w14:textId="77777777" w:rsidR="00AE5602" w:rsidRDefault="00AE560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5F19"/>
    <w:rsid w:val="009A1A20"/>
    <w:rsid w:val="00AE5602"/>
    <w:rsid w:val="00CD5F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3429C7"/>
  <w15:docId w15:val="{D29802C8-2914-4625-9ABE-C2A489863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line="360" w:lineRule="auto"/>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both"/>
      <w:outlineLvl w:val="0"/>
    </w:pPr>
    <w:rPr>
      <w:b/>
      <w:color w:val="222222"/>
      <w:sz w:val="28"/>
      <w:szCs w:val="28"/>
      <w:highlight w:val="white"/>
    </w:rPr>
  </w:style>
  <w:style w:type="paragraph" w:styleId="Heading2">
    <w:name w:val="heading 2"/>
    <w:basedOn w:val="Normal"/>
    <w:next w:val="Normal"/>
    <w:uiPriority w:val="9"/>
    <w:unhideWhenUsed/>
    <w:qFormat/>
    <w:pPr>
      <w:keepNext/>
      <w:keepLines/>
      <w:shd w:val="clear" w:color="auto" w:fill="FFFFFF"/>
      <w:jc w:val="both"/>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AE5602"/>
    <w:pPr>
      <w:spacing w:after="100"/>
    </w:pPr>
  </w:style>
  <w:style w:type="paragraph" w:styleId="TOC2">
    <w:name w:val="toc 2"/>
    <w:basedOn w:val="Normal"/>
    <w:next w:val="Normal"/>
    <w:autoRedefine/>
    <w:uiPriority w:val="39"/>
    <w:unhideWhenUsed/>
    <w:rsid w:val="00AE5602"/>
    <w:pPr>
      <w:spacing w:after="100"/>
      <w:ind w:left="240"/>
    </w:pPr>
  </w:style>
  <w:style w:type="character" w:styleId="Hyperlink">
    <w:name w:val="Hyperlink"/>
    <w:basedOn w:val="DefaultParagraphFont"/>
    <w:uiPriority w:val="99"/>
    <w:unhideWhenUsed/>
    <w:rsid w:val="00AE5602"/>
    <w:rPr>
      <w:color w:val="0000FF" w:themeColor="hyperlink"/>
      <w:u w:val="single"/>
    </w:rPr>
  </w:style>
  <w:style w:type="paragraph" w:styleId="TOCHeading">
    <w:name w:val="TOC Heading"/>
    <w:basedOn w:val="Heading1"/>
    <w:next w:val="Normal"/>
    <w:uiPriority w:val="39"/>
    <w:unhideWhenUsed/>
    <w:qFormat/>
    <w:rsid w:val="00AE5602"/>
    <w:pPr>
      <w:spacing w:before="24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diagramColors" Target="diagrams/colors1.xml"/><Relationship Id="rId18" Type="http://schemas.openxmlformats.org/officeDocument/2006/relationships/chart" Target="charts/chart3.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diagramQuickStyle" Target="diagrams/quickStyle1.xml"/><Relationship Id="rId17" Type="http://schemas.openxmlformats.org/officeDocument/2006/relationships/chart" Target="charts/chart2.xml"/><Relationship Id="rId2" Type="http://schemas.openxmlformats.org/officeDocument/2006/relationships/settings" Target="settings.xml"/><Relationship Id="rId16" Type="http://schemas.openxmlformats.org/officeDocument/2006/relationships/chart" Target="charts/chart1.xm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diagramLayout" Target="diagrams/layout1.xml"/><Relationship Id="rId5" Type="http://schemas.openxmlformats.org/officeDocument/2006/relationships/endnotes" Target="endnotes.xml"/><Relationship Id="rId15" Type="http://schemas.openxmlformats.org/officeDocument/2006/relationships/image" Target="media/image5.png"/><Relationship Id="rId10" Type="http://schemas.openxmlformats.org/officeDocument/2006/relationships/diagramData" Target="diagrams/data1.xm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 Id="rId14" Type="http://schemas.microsoft.com/office/2007/relationships/diagramDrawing" Target="diagrams/drawing1.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D:\Deba\04.11.2023\File\DMGS_SID_17274.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Deba\04.11.2023\File\DMGS_SID_17274.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Deba\04.11.2023\File\DMGS_SID_17274.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solidFill>
                <a:latin typeface="Times New Roman" panose="02020603050405020304" pitchFamily="18" charset="0"/>
                <a:ea typeface="+mn-ea"/>
                <a:cs typeface="Times New Roman" panose="02020603050405020304" pitchFamily="18" charset="0"/>
              </a:defRPr>
            </a:pPr>
            <a:r>
              <a:rPr lang="en-IN"/>
              <a:t>Trend Graph of  Resort's Income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'Financial Analysis'!$A$3</c:f>
              <c:strCache>
                <c:ptCount val="1"/>
                <c:pt idx="0">
                  <c:v>Total Revenue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'Financial Analysis'!$B$1:$F$2</c:f>
              <c:strCache>
                <c:ptCount val="5"/>
                <c:pt idx="0">
                  <c:v>2020</c:v>
                </c:pt>
                <c:pt idx="1">
                  <c:v>2021</c:v>
                </c:pt>
                <c:pt idx="2">
                  <c:v>% Change</c:v>
                </c:pt>
                <c:pt idx="3">
                  <c:v>2022</c:v>
                </c:pt>
                <c:pt idx="4">
                  <c:v>% Change</c:v>
                </c:pt>
              </c:strCache>
            </c:strRef>
          </c:cat>
          <c:val>
            <c:numRef>
              <c:f>'Financial Analysis'!$B$3:$F$3</c:f>
              <c:numCache>
                <c:formatCode>_-[$£-809]* #,##0.00_-;\-[$£-809]* #,##0.00_-;_-[$£-809]* "-"??_-;_-@_-</c:formatCode>
                <c:ptCount val="5"/>
                <c:pt idx="0">
                  <c:v>520000</c:v>
                </c:pt>
                <c:pt idx="1">
                  <c:v>480000</c:v>
                </c:pt>
                <c:pt idx="2" formatCode="0%">
                  <c:v>-7.6923076923076927E-2</c:v>
                </c:pt>
                <c:pt idx="3">
                  <c:v>430000</c:v>
                </c:pt>
                <c:pt idx="4" formatCode="0%">
                  <c:v>-0.10416666666666667</c:v>
                </c:pt>
              </c:numCache>
            </c:numRef>
          </c:val>
          <c:extLst>
            <c:ext xmlns:c16="http://schemas.microsoft.com/office/drawing/2014/chart" uri="{C3380CC4-5D6E-409C-BE32-E72D297353CC}">
              <c16:uniqueId val="{00000000-E727-44AF-B04D-64187B9B7239}"/>
            </c:ext>
          </c:extLst>
        </c:ser>
        <c:ser>
          <c:idx val="1"/>
          <c:order val="1"/>
          <c:tx>
            <c:strRef>
              <c:f>'Financial Analysis'!$A$4</c:f>
              <c:strCache>
                <c:ptCount val="1"/>
                <c:pt idx="0">
                  <c:v>Operating Expenses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'Financial Analysis'!$B$1:$F$2</c:f>
              <c:strCache>
                <c:ptCount val="5"/>
                <c:pt idx="0">
                  <c:v>2020</c:v>
                </c:pt>
                <c:pt idx="1">
                  <c:v>2021</c:v>
                </c:pt>
                <c:pt idx="2">
                  <c:v>% Change</c:v>
                </c:pt>
                <c:pt idx="3">
                  <c:v>2022</c:v>
                </c:pt>
                <c:pt idx="4">
                  <c:v>% Change</c:v>
                </c:pt>
              </c:strCache>
            </c:strRef>
          </c:cat>
          <c:val>
            <c:numRef>
              <c:f>'Financial Analysis'!$B$4:$F$4</c:f>
              <c:numCache>
                <c:formatCode>_-[$£-809]* #,##0.00_-;\-[$£-809]* #,##0.00_-;_-[$£-809]* "-"??_-;_-@_-</c:formatCode>
                <c:ptCount val="5"/>
                <c:pt idx="0">
                  <c:v>390000</c:v>
                </c:pt>
                <c:pt idx="1">
                  <c:v>400000</c:v>
                </c:pt>
                <c:pt idx="2" formatCode="0%">
                  <c:v>2.564102564102564E-2</c:v>
                </c:pt>
                <c:pt idx="3">
                  <c:v>450000</c:v>
                </c:pt>
                <c:pt idx="4" formatCode="0%">
                  <c:v>0.125</c:v>
                </c:pt>
              </c:numCache>
            </c:numRef>
          </c:val>
          <c:extLst>
            <c:ext xmlns:c16="http://schemas.microsoft.com/office/drawing/2014/chart" uri="{C3380CC4-5D6E-409C-BE32-E72D297353CC}">
              <c16:uniqueId val="{00000001-E727-44AF-B04D-64187B9B7239}"/>
            </c:ext>
          </c:extLst>
        </c:ser>
        <c:ser>
          <c:idx val="2"/>
          <c:order val="2"/>
          <c:tx>
            <c:strRef>
              <c:f>'Financial Analysis'!$A$5</c:f>
              <c:strCache>
                <c:ptCount val="1"/>
                <c:pt idx="0">
                  <c:v>Gross Profit</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'Financial Analysis'!$B$1:$F$2</c:f>
              <c:strCache>
                <c:ptCount val="5"/>
                <c:pt idx="0">
                  <c:v>2020</c:v>
                </c:pt>
                <c:pt idx="1">
                  <c:v>2021</c:v>
                </c:pt>
                <c:pt idx="2">
                  <c:v>% Change</c:v>
                </c:pt>
                <c:pt idx="3">
                  <c:v>2022</c:v>
                </c:pt>
                <c:pt idx="4">
                  <c:v>% Change</c:v>
                </c:pt>
              </c:strCache>
            </c:strRef>
          </c:cat>
          <c:val>
            <c:numRef>
              <c:f>'Financial Analysis'!$B$5:$F$5</c:f>
              <c:numCache>
                <c:formatCode>_-[$£-809]* #,##0.00_-;\-[$£-809]* #,##0.00_-;_-[$£-809]* "-"??_-;_-@_-</c:formatCode>
                <c:ptCount val="5"/>
                <c:pt idx="0">
                  <c:v>130000</c:v>
                </c:pt>
                <c:pt idx="1">
                  <c:v>80000</c:v>
                </c:pt>
                <c:pt idx="2" formatCode="0%">
                  <c:v>-0.38461538461538464</c:v>
                </c:pt>
                <c:pt idx="3">
                  <c:v>-20000</c:v>
                </c:pt>
                <c:pt idx="4" formatCode="0%">
                  <c:v>-1.25</c:v>
                </c:pt>
              </c:numCache>
            </c:numRef>
          </c:val>
          <c:extLst>
            <c:ext xmlns:c16="http://schemas.microsoft.com/office/drawing/2014/chart" uri="{C3380CC4-5D6E-409C-BE32-E72D297353CC}">
              <c16:uniqueId val="{00000002-E727-44AF-B04D-64187B9B7239}"/>
            </c:ext>
          </c:extLst>
        </c:ser>
        <c:ser>
          <c:idx val="3"/>
          <c:order val="3"/>
          <c:tx>
            <c:strRef>
              <c:f>'Financial Analysis'!$A$6</c:f>
              <c:strCache>
                <c:ptCount val="1"/>
                <c:pt idx="0">
                  <c:v>Net Profit (Loss)</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'Financial Analysis'!$B$1:$F$2</c:f>
              <c:strCache>
                <c:ptCount val="5"/>
                <c:pt idx="0">
                  <c:v>2020</c:v>
                </c:pt>
                <c:pt idx="1">
                  <c:v>2021</c:v>
                </c:pt>
                <c:pt idx="2">
                  <c:v>% Change</c:v>
                </c:pt>
                <c:pt idx="3">
                  <c:v>2022</c:v>
                </c:pt>
                <c:pt idx="4">
                  <c:v>% Change</c:v>
                </c:pt>
              </c:strCache>
            </c:strRef>
          </c:cat>
          <c:val>
            <c:numRef>
              <c:f>'Financial Analysis'!$B$6:$F$6</c:f>
              <c:numCache>
                <c:formatCode>_-[$£-809]* #,##0.00_-;\-[$£-809]* #,##0.00_-;_-[$£-809]* "-"??_-;_-@_-</c:formatCode>
                <c:ptCount val="5"/>
                <c:pt idx="0">
                  <c:v>78000</c:v>
                </c:pt>
                <c:pt idx="1">
                  <c:v>40000</c:v>
                </c:pt>
                <c:pt idx="2" formatCode="0%">
                  <c:v>-0.48717948717948717</c:v>
                </c:pt>
                <c:pt idx="3">
                  <c:v>-47500</c:v>
                </c:pt>
                <c:pt idx="4" formatCode="0%">
                  <c:v>-2.1875</c:v>
                </c:pt>
              </c:numCache>
            </c:numRef>
          </c:val>
          <c:extLst>
            <c:ext xmlns:c16="http://schemas.microsoft.com/office/drawing/2014/chart" uri="{C3380CC4-5D6E-409C-BE32-E72D297353CC}">
              <c16:uniqueId val="{00000003-E727-44AF-B04D-64187B9B7239}"/>
            </c:ext>
          </c:extLst>
        </c:ser>
        <c:dLbls>
          <c:showLegendKey val="0"/>
          <c:showVal val="0"/>
          <c:showCatName val="0"/>
          <c:showSerName val="0"/>
          <c:showPercent val="0"/>
          <c:showBubbleSize val="0"/>
        </c:dLbls>
        <c:gapWidth val="219"/>
        <c:overlap val="-27"/>
        <c:axId val="1384507152"/>
        <c:axId val="1384508816"/>
      </c:barChart>
      <c:lineChart>
        <c:grouping val="standard"/>
        <c:varyColors val="0"/>
        <c:ser>
          <c:idx val="4"/>
          <c:order val="4"/>
          <c:tx>
            <c:strRef>
              <c:f>'Financial Analysis'!$A$7</c:f>
              <c:strCache>
                <c:ptCount val="1"/>
                <c:pt idx="0">
                  <c:v>Net Profit Margin</c:v>
                </c:pt>
              </c:strCache>
            </c:strRef>
          </c:tx>
          <c:spPr>
            <a:ln w="34925" cap="rnd">
              <a:solidFill>
                <a:schemeClr val="accent5"/>
              </a:solidFill>
              <a:round/>
            </a:ln>
            <a:effectLst>
              <a:outerShdw blurRad="57150" dist="19050" dir="5400000" algn="ctr" rotWithShape="0">
                <a:srgbClr val="000000">
                  <a:alpha val="63000"/>
                </a:srgbClr>
              </a:outerShdw>
            </a:effectLst>
          </c:spPr>
          <c:marker>
            <c:symbol val="none"/>
          </c:marker>
          <c:cat>
            <c:strRef>
              <c:f>'Financial Analysis'!$B$1:$F$2</c:f>
              <c:strCache>
                <c:ptCount val="5"/>
                <c:pt idx="0">
                  <c:v>2020</c:v>
                </c:pt>
                <c:pt idx="1">
                  <c:v>2021</c:v>
                </c:pt>
                <c:pt idx="2">
                  <c:v>% Change</c:v>
                </c:pt>
                <c:pt idx="3">
                  <c:v>2022</c:v>
                </c:pt>
                <c:pt idx="4">
                  <c:v>% Change</c:v>
                </c:pt>
              </c:strCache>
            </c:strRef>
          </c:cat>
          <c:val>
            <c:numRef>
              <c:f>'Financial Analysis'!$B$7:$F$7</c:f>
              <c:numCache>
                <c:formatCode>0%</c:formatCode>
                <c:ptCount val="5"/>
                <c:pt idx="0">
                  <c:v>0.15</c:v>
                </c:pt>
                <c:pt idx="1">
                  <c:v>0.08</c:v>
                </c:pt>
                <c:pt idx="2">
                  <c:v>-0.46666666666666662</c:v>
                </c:pt>
                <c:pt idx="3">
                  <c:v>-0.11</c:v>
                </c:pt>
                <c:pt idx="4">
                  <c:v>-2.375</c:v>
                </c:pt>
              </c:numCache>
            </c:numRef>
          </c:val>
          <c:smooth val="0"/>
          <c:extLst>
            <c:ext xmlns:c16="http://schemas.microsoft.com/office/drawing/2014/chart" uri="{C3380CC4-5D6E-409C-BE32-E72D297353CC}">
              <c16:uniqueId val="{00000004-E727-44AF-B04D-64187B9B7239}"/>
            </c:ext>
          </c:extLst>
        </c:ser>
        <c:dLbls>
          <c:showLegendKey val="0"/>
          <c:showVal val="0"/>
          <c:showCatName val="0"/>
          <c:showSerName val="0"/>
          <c:showPercent val="0"/>
          <c:showBubbleSize val="0"/>
        </c:dLbls>
        <c:marker val="1"/>
        <c:smooth val="0"/>
        <c:axId val="1384514224"/>
        <c:axId val="1384513808"/>
      </c:lineChart>
      <c:catAx>
        <c:axId val="1384507152"/>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384508816"/>
        <c:crosses val="autoZero"/>
        <c:auto val="1"/>
        <c:lblAlgn val="ctr"/>
        <c:lblOffset val="100"/>
        <c:noMultiLvlLbl val="0"/>
      </c:catAx>
      <c:valAx>
        <c:axId val="1384508816"/>
        <c:scaling>
          <c:orientation val="minMax"/>
        </c:scaling>
        <c:delete val="0"/>
        <c:axPos val="l"/>
        <c:majorGridlines>
          <c:spPr>
            <a:ln w="9525" cap="flat" cmpd="sng" algn="ctr">
              <a:solidFill>
                <a:schemeClr val="tx1">
                  <a:lumMod val="15000"/>
                  <a:lumOff val="85000"/>
                </a:schemeClr>
              </a:solidFill>
              <a:round/>
            </a:ln>
            <a:effectLst/>
          </c:spPr>
        </c:majorGridlines>
        <c:numFmt formatCode="_-[$£-809]* #,##0.00_-;\-[$£-809]* #,##0.00_-;_-[$£-809]*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384507152"/>
        <c:crosses val="autoZero"/>
        <c:crossBetween val="between"/>
      </c:valAx>
      <c:valAx>
        <c:axId val="1384513808"/>
        <c:scaling>
          <c:orientation val="minMax"/>
        </c:scaling>
        <c:delete val="0"/>
        <c:axPos val="r"/>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384514224"/>
        <c:crosses val="max"/>
        <c:crossBetween val="between"/>
      </c:valAx>
      <c:catAx>
        <c:axId val="1384514224"/>
        <c:scaling>
          <c:orientation val="minMax"/>
        </c:scaling>
        <c:delete val="1"/>
        <c:axPos val="b"/>
        <c:numFmt formatCode="General" sourceLinked="1"/>
        <c:majorTickMark val="none"/>
        <c:minorTickMark val="none"/>
        <c:tickLblPos val="nextTo"/>
        <c:crossAx val="1384513808"/>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bg1"/>
    </a:solidFill>
    <a:ln w="9525" cap="flat" cmpd="sng" algn="ctr">
      <a:solidFill>
        <a:schemeClr val="tx1"/>
      </a:solidFill>
      <a:round/>
    </a:ln>
    <a:effectLst/>
  </c:spPr>
  <c:txPr>
    <a:bodyPr/>
    <a:lstStyle/>
    <a:p>
      <a:pPr>
        <a:defRPr>
          <a:solidFill>
            <a:schemeClr val="tx1"/>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bg1"/>
                </a:solidFill>
                <a:effectLst>
                  <a:outerShdw blurRad="50800" dist="38100" dir="5400000" algn="t" rotWithShape="0">
                    <a:prstClr val="black">
                      <a:alpha val="40000"/>
                    </a:prstClr>
                  </a:outerShdw>
                </a:effectLst>
                <a:latin typeface="Times New Roman" panose="02020603050405020304" pitchFamily="18" charset="0"/>
                <a:ea typeface="+mn-ea"/>
                <a:cs typeface="Times New Roman" panose="02020603050405020304" pitchFamily="18" charset="0"/>
              </a:defRPr>
            </a:pPr>
            <a:r>
              <a:rPr lang="en-IN"/>
              <a:t>Ratio Analysis Graph</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bg1"/>
              </a:solidFill>
              <a:effectLst>
                <a:outerShdw blurRad="50800" dist="38100" dir="5400000" algn="t" rotWithShape="0">
                  <a:prstClr val="black">
                    <a:alpha val="40000"/>
                  </a:prstClr>
                </a:outerShdw>
              </a:effectLst>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'Financial Analysis'!$A$11:$B$15</c:f>
              <c:strCache>
                <c:ptCount val="5"/>
                <c:pt idx="0">
                  <c:v>Current Ratio</c:v>
                </c:pt>
                <c:pt idx="1">
                  <c:v>Quick Ratio</c:v>
                </c:pt>
                <c:pt idx="2">
                  <c:v>Debt-to-Equity Ratio</c:v>
                </c:pt>
                <c:pt idx="3">
                  <c:v>Return on Asset Ratio (ROA)</c:v>
                </c:pt>
                <c:pt idx="4">
                  <c:v>Return on Equity Ratio (ROE)</c:v>
                </c:pt>
              </c:strCache>
              <c:extLst/>
            </c:strRef>
          </c:cat>
          <c:val>
            <c:numRef>
              <c:f>'Financial Analysis'!$C$11:$C$15</c:f>
              <c:numCache>
                <c:formatCode>0.00</c:formatCode>
                <c:ptCount val="5"/>
                <c:pt idx="0">
                  <c:v>1.3888888888888888</c:v>
                </c:pt>
                <c:pt idx="1">
                  <c:v>0.83333333333333337</c:v>
                </c:pt>
                <c:pt idx="2">
                  <c:v>1.288888888888889</c:v>
                </c:pt>
                <c:pt idx="3">
                  <c:v>-4.6116504854368932E-2</c:v>
                </c:pt>
                <c:pt idx="4">
                  <c:v>-0.10555555555555556</c:v>
                </c:pt>
              </c:numCache>
            </c:numRef>
          </c:val>
          <c:extLst>
            <c:ext xmlns:c16="http://schemas.microsoft.com/office/drawing/2014/chart" uri="{C3380CC4-5D6E-409C-BE32-E72D297353CC}">
              <c16:uniqueId val="{00000000-0030-4E07-B0F6-8D7E3BFD939B}"/>
            </c:ext>
          </c:extLst>
        </c:ser>
        <c:dLbls>
          <c:showLegendKey val="0"/>
          <c:showVal val="0"/>
          <c:showCatName val="0"/>
          <c:showSerName val="0"/>
          <c:showPercent val="0"/>
          <c:showBubbleSize val="0"/>
        </c:dLbls>
        <c:gapWidth val="100"/>
        <c:overlap val="-24"/>
        <c:axId val="1336524736"/>
        <c:axId val="1336523072"/>
      </c:barChart>
      <c:catAx>
        <c:axId val="133652473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bg1"/>
                </a:solidFill>
                <a:latin typeface="Times New Roman" panose="02020603050405020304" pitchFamily="18" charset="0"/>
                <a:ea typeface="+mn-ea"/>
                <a:cs typeface="Times New Roman" panose="02020603050405020304" pitchFamily="18" charset="0"/>
              </a:defRPr>
            </a:pPr>
            <a:endParaRPr lang="en-US"/>
          </a:p>
        </c:txPr>
        <c:crossAx val="1336523072"/>
        <c:crosses val="autoZero"/>
        <c:auto val="1"/>
        <c:lblAlgn val="ctr"/>
        <c:lblOffset val="100"/>
        <c:noMultiLvlLbl val="0"/>
      </c:catAx>
      <c:valAx>
        <c:axId val="1336523072"/>
        <c:scaling>
          <c:orientation val="minMax"/>
        </c:scaling>
        <c:delete val="0"/>
        <c:axPos val="l"/>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bg1"/>
                </a:solidFill>
                <a:latin typeface="Times New Roman" panose="02020603050405020304" pitchFamily="18" charset="0"/>
                <a:ea typeface="+mn-ea"/>
                <a:cs typeface="Times New Roman" panose="02020603050405020304" pitchFamily="18" charset="0"/>
              </a:defRPr>
            </a:pPr>
            <a:endParaRPr lang="en-US"/>
          </a:p>
        </c:txPr>
        <c:crossAx val="1336524736"/>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solidFill>
            <a:schemeClr val="bg1"/>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'Financial Projection (Forecast)'!$A$8</c:f>
              <c:strCache>
                <c:ptCount val="1"/>
                <c:pt idx="0">
                  <c:v>Net Profit Margin</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anchor="ctr" anchorCtr="1"/>
              <a:lstStyle/>
              <a:p>
                <a:pPr>
                  <a:defRPr sz="9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'Financial Projection (Forecast)'!$B$1:$E$2</c:f>
              <c:strCache>
                <c:ptCount val="4"/>
                <c:pt idx="0">
                  <c:v>2020</c:v>
                </c:pt>
                <c:pt idx="1">
                  <c:v>2021</c:v>
                </c:pt>
                <c:pt idx="2">
                  <c:v>2022</c:v>
                </c:pt>
                <c:pt idx="3">
                  <c:v>2023</c:v>
                </c:pt>
              </c:strCache>
            </c:strRef>
          </c:cat>
          <c:val>
            <c:numRef>
              <c:f>'Financial Projection (Forecast)'!$B$8:$E$8</c:f>
              <c:numCache>
                <c:formatCode>0%</c:formatCode>
                <c:ptCount val="4"/>
                <c:pt idx="0">
                  <c:v>0.15</c:v>
                </c:pt>
                <c:pt idx="1">
                  <c:v>0.08</c:v>
                </c:pt>
                <c:pt idx="2">
                  <c:v>-0.11</c:v>
                </c:pt>
                <c:pt idx="3">
                  <c:v>-0.22449605999999989</c:v>
                </c:pt>
              </c:numCache>
            </c:numRef>
          </c:val>
          <c:extLst>
            <c:ext xmlns:c16="http://schemas.microsoft.com/office/drawing/2014/chart" uri="{C3380CC4-5D6E-409C-BE32-E72D297353CC}">
              <c16:uniqueId val="{00000000-4F95-42AA-8CD3-3B295C86F745}"/>
            </c:ext>
          </c:extLst>
        </c:ser>
        <c:dLbls>
          <c:dLblPos val="inEnd"/>
          <c:showLegendKey val="0"/>
          <c:showVal val="1"/>
          <c:showCatName val="0"/>
          <c:showSerName val="0"/>
          <c:showPercent val="0"/>
          <c:showBubbleSize val="0"/>
        </c:dLbls>
        <c:gapWidth val="65"/>
        <c:axId val="1337399088"/>
        <c:axId val="1337397008"/>
      </c:barChart>
      <c:catAx>
        <c:axId val="133739908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337397008"/>
        <c:crosses val="autoZero"/>
        <c:auto val="1"/>
        <c:lblAlgn val="ctr"/>
        <c:lblOffset val="100"/>
        <c:noMultiLvlLbl val="0"/>
      </c:catAx>
      <c:valAx>
        <c:axId val="133739700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1337399088"/>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solidFill>
            <a:schemeClr val="tx1"/>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5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2F54038-B87A-4F69-8CA3-BECAEFB254EC}" type="doc">
      <dgm:prSet loTypeId="urn:microsoft.com/office/officeart/2005/8/layout/cycle4" loCatId="matrix" qsTypeId="urn:microsoft.com/office/officeart/2005/8/quickstyle/simple1" qsCatId="simple" csTypeId="urn:microsoft.com/office/officeart/2005/8/colors/colorful4" csCatId="colorful" phldr="1"/>
      <dgm:spPr/>
      <dgm:t>
        <a:bodyPr/>
        <a:lstStyle/>
        <a:p>
          <a:endParaRPr lang="en-US"/>
        </a:p>
      </dgm:t>
    </dgm:pt>
    <dgm:pt modelId="{7C71F99A-215B-4DEC-975D-5B99A8716ED2}">
      <dgm:prSet phldrT="[Text]" custT="1"/>
      <dgm:spPr/>
      <dgm:t>
        <a:bodyPr/>
        <a:lstStyle/>
        <a:p>
          <a:pPr algn="ctr"/>
          <a:r>
            <a:rPr lang="en-US" sz="1000" b="1" cap="none" spc="0">
              <a:ln w="0"/>
              <a:solidFill>
                <a:schemeClr val="tx1"/>
              </a:solidFill>
              <a:effectLst>
                <a:outerShdw blurRad="38100" dist="19050" dir="2700000" algn="tl" rotWithShape="0">
                  <a:schemeClr val="dk1">
                    <a:alpha val="40000"/>
                  </a:schemeClr>
                </a:outerShdw>
              </a:effectLst>
            </a:rPr>
            <a:t>Strengths</a:t>
          </a:r>
        </a:p>
      </dgm:t>
    </dgm:pt>
    <dgm:pt modelId="{92EC0C34-844C-4771-9B32-2E7C9DF046D4}" type="parTrans" cxnId="{2372EE73-04C7-4C45-9D93-B69B72BD9B99}">
      <dgm:prSet/>
      <dgm:spPr/>
      <dgm:t>
        <a:bodyPr/>
        <a:lstStyle/>
        <a:p>
          <a:pPr algn="ctr"/>
          <a:endParaRPr lang="en-US" b="0" cap="none" spc="0">
            <a:ln w="0"/>
            <a:solidFill>
              <a:schemeClr val="tx1"/>
            </a:solidFill>
            <a:effectLst>
              <a:outerShdw blurRad="38100" dist="19050" dir="2700000" algn="tl" rotWithShape="0">
                <a:schemeClr val="dk1">
                  <a:alpha val="40000"/>
                </a:schemeClr>
              </a:outerShdw>
            </a:effectLst>
          </a:endParaRPr>
        </a:p>
      </dgm:t>
    </dgm:pt>
    <dgm:pt modelId="{B95A2097-E092-4998-8A6A-C6AC76C75A8B}" type="sibTrans" cxnId="{2372EE73-04C7-4C45-9D93-B69B72BD9B99}">
      <dgm:prSet/>
      <dgm:spPr/>
      <dgm:t>
        <a:bodyPr/>
        <a:lstStyle/>
        <a:p>
          <a:pPr algn="ctr"/>
          <a:endParaRPr lang="en-US" b="0" cap="none" spc="0">
            <a:ln w="0"/>
            <a:solidFill>
              <a:schemeClr val="tx1"/>
            </a:solidFill>
            <a:effectLst>
              <a:outerShdw blurRad="38100" dist="19050" dir="2700000" algn="tl" rotWithShape="0">
                <a:schemeClr val="dk1">
                  <a:alpha val="40000"/>
                </a:schemeClr>
              </a:outerShdw>
            </a:effectLst>
          </a:endParaRPr>
        </a:p>
      </dgm:t>
    </dgm:pt>
    <dgm:pt modelId="{0BF872AE-493F-43B7-A586-CFB58F7BEC13}">
      <dgm:prSet phldrT="[Text]"/>
      <dgm:spPr/>
      <dgm:t>
        <a:bodyPr/>
        <a:lstStyle/>
        <a:p>
          <a:pPr algn="ctr"/>
          <a:r>
            <a:rPr lang="en-US" b="0" cap="none" spc="0">
              <a:ln w="0"/>
              <a:solidFill>
                <a:schemeClr val="tx1"/>
              </a:solidFill>
              <a:effectLst>
                <a:outerShdw blurRad="38100" dist="19050" dir="2700000" algn="tl" rotWithShape="0">
                  <a:schemeClr val="dk1">
                    <a:alpha val="40000"/>
                  </a:schemeClr>
                </a:outerShdw>
              </a:effectLst>
            </a:rPr>
            <a:t>Scenic Location and History</a:t>
          </a:r>
        </a:p>
      </dgm:t>
    </dgm:pt>
    <dgm:pt modelId="{8880F4D4-C835-4389-BFA5-6802D6FEEBD0}" type="parTrans" cxnId="{98C34909-E6AD-4335-B259-1C201B23408B}">
      <dgm:prSet/>
      <dgm:spPr/>
      <dgm:t>
        <a:bodyPr/>
        <a:lstStyle/>
        <a:p>
          <a:pPr algn="ctr"/>
          <a:endParaRPr lang="en-US" b="0" cap="none" spc="0">
            <a:ln w="0"/>
            <a:solidFill>
              <a:schemeClr val="tx1"/>
            </a:solidFill>
            <a:effectLst>
              <a:outerShdw blurRad="38100" dist="19050" dir="2700000" algn="tl" rotWithShape="0">
                <a:schemeClr val="dk1">
                  <a:alpha val="40000"/>
                </a:schemeClr>
              </a:outerShdw>
            </a:effectLst>
          </a:endParaRPr>
        </a:p>
      </dgm:t>
    </dgm:pt>
    <dgm:pt modelId="{4E386887-37D8-4D43-AC0E-A1F058634806}" type="sibTrans" cxnId="{98C34909-E6AD-4335-B259-1C201B23408B}">
      <dgm:prSet/>
      <dgm:spPr/>
      <dgm:t>
        <a:bodyPr/>
        <a:lstStyle/>
        <a:p>
          <a:pPr algn="ctr"/>
          <a:endParaRPr lang="en-US" b="0" cap="none" spc="0">
            <a:ln w="0"/>
            <a:solidFill>
              <a:schemeClr val="tx1"/>
            </a:solidFill>
            <a:effectLst>
              <a:outerShdw blurRad="38100" dist="19050" dir="2700000" algn="tl" rotWithShape="0">
                <a:schemeClr val="dk1">
                  <a:alpha val="40000"/>
                </a:schemeClr>
              </a:outerShdw>
            </a:effectLst>
          </a:endParaRPr>
        </a:p>
      </dgm:t>
    </dgm:pt>
    <dgm:pt modelId="{02FAE874-025A-4E24-B85C-A343507D7E81}">
      <dgm:prSet phldrT="[Text]" custT="1"/>
      <dgm:spPr/>
      <dgm:t>
        <a:bodyPr/>
        <a:lstStyle/>
        <a:p>
          <a:pPr algn="ctr"/>
          <a:r>
            <a:rPr lang="en-US" sz="1000" b="1" cap="none" spc="0">
              <a:ln w="0"/>
              <a:solidFill>
                <a:schemeClr val="tx1"/>
              </a:solidFill>
              <a:effectLst>
                <a:outerShdw blurRad="38100" dist="19050" dir="2700000" algn="tl" rotWithShape="0">
                  <a:schemeClr val="dk1">
                    <a:alpha val="40000"/>
                  </a:schemeClr>
                </a:outerShdw>
              </a:effectLst>
            </a:rPr>
            <a:t>Weaknesses</a:t>
          </a:r>
        </a:p>
      </dgm:t>
    </dgm:pt>
    <dgm:pt modelId="{B1236C60-EF29-484B-B094-A1413BB78BA5}" type="parTrans" cxnId="{B35F6D12-A2F2-4436-949A-015717FA6231}">
      <dgm:prSet/>
      <dgm:spPr/>
      <dgm:t>
        <a:bodyPr/>
        <a:lstStyle/>
        <a:p>
          <a:pPr algn="ctr"/>
          <a:endParaRPr lang="en-US" b="0" cap="none" spc="0">
            <a:ln w="0"/>
            <a:solidFill>
              <a:schemeClr val="tx1"/>
            </a:solidFill>
            <a:effectLst>
              <a:outerShdw blurRad="38100" dist="19050" dir="2700000" algn="tl" rotWithShape="0">
                <a:schemeClr val="dk1">
                  <a:alpha val="40000"/>
                </a:schemeClr>
              </a:outerShdw>
            </a:effectLst>
          </a:endParaRPr>
        </a:p>
      </dgm:t>
    </dgm:pt>
    <dgm:pt modelId="{26B47233-7B4A-46B3-BD63-0EED237815F3}" type="sibTrans" cxnId="{B35F6D12-A2F2-4436-949A-015717FA6231}">
      <dgm:prSet/>
      <dgm:spPr/>
      <dgm:t>
        <a:bodyPr/>
        <a:lstStyle/>
        <a:p>
          <a:pPr algn="ctr"/>
          <a:endParaRPr lang="en-US" b="0" cap="none" spc="0">
            <a:ln w="0"/>
            <a:solidFill>
              <a:schemeClr val="tx1"/>
            </a:solidFill>
            <a:effectLst>
              <a:outerShdw blurRad="38100" dist="19050" dir="2700000" algn="tl" rotWithShape="0">
                <a:schemeClr val="dk1">
                  <a:alpha val="40000"/>
                </a:schemeClr>
              </a:outerShdw>
            </a:effectLst>
          </a:endParaRPr>
        </a:p>
      </dgm:t>
    </dgm:pt>
    <dgm:pt modelId="{444A6954-56B5-4553-8438-B3E9DFED999D}">
      <dgm:prSet phldrT="[Text]"/>
      <dgm:spPr/>
      <dgm:t>
        <a:bodyPr/>
        <a:lstStyle/>
        <a:p>
          <a:pPr algn="ctr"/>
          <a:r>
            <a:rPr lang="en-US" b="0" cap="none" spc="0">
              <a:ln w="0"/>
              <a:solidFill>
                <a:schemeClr val="tx1"/>
              </a:solidFill>
              <a:effectLst>
                <a:outerShdw blurRad="38100" dist="19050" dir="2700000" algn="tl" rotWithShape="0">
                  <a:schemeClr val="dk1">
                    <a:alpha val="40000"/>
                  </a:schemeClr>
                </a:outerShdw>
              </a:effectLst>
            </a:rPr>
            <a:t>Declining Financial Performance</a:t>
          </a:r>
        </a:p>
      </dgm:t>
    </dgm:pt>
    <dgm:pt modelId="{2A915809-41E0-47B1-89F3-BD928BDFC015}" type="parTrans" cxnId="{6BF51340-04FD-4126-B2D3-BC63829AE663}">
      <dgm:prSet/>
      <dgm:spPr/>
      <dgm:t>
        <a:bodyPr/>
        <a:lstStyle/>
        <a:p>
          <a:pPr algn="ctr"/>
          <a:endParaRPr lang="en-US" b="0" cap="none" spc="0">
            <a:ln w="0"/>
            <a:solidFill>
              <a:schemeClr val="tx1"/>
            </a:solidFill>
            <a:effectLst>
              <a:outerShdw blurRad="38100" dist="19050" dir="2700000" algn="tl" rotWithShape="0">
                <a:schemeClr val="dk1">
                  <a:alpha val="40000"/>
                </a:schemeClr>
              </a:outerShdw>
            </a:effectLst>
          </a:endParaRPr>
        </a:p>
      </dgm:t>
    </dgm:pt>
    <dgm:pt modelId="{9A63F902-639F-40DD-9C35-ADB2EBDF3F06}" type="sibTrans" cxnId="{6BF51340-04FD-4126-B2D3-BC63829AE663}">
      <dgm:prSet/>
      <dgm:spPr/>
      <dgm:t>
        <a:bodyPr/>
        <a:lstStyle/>
        <a:p>
          <a:pPr algn="ctr"/>
          <a:endParaRPr lang="en-US" b="0" cap="none" spc="0">
            <a:ln w="0"/>
            <a:solidFill>
              <a:schemeClr val="tx1"/>
            </a:solidFill>
            <a:effectLst>
              <a:outerShdw blurRad="38100" dist="19050" dir="2700000" algn="tl" rotWithShape="0">
                <a:schemeClr val="dk1">
                  <a:alpha val="40000"/>
                </a:schemeClr>
              </a:outerShdw>
            </a:effectLst>
          </a:endParaRPr>
        </a:p>
      </dgm:t>
    </dgm:pt>
    <dgm:pt modelId="{8AF18A2C-79D3-4680-AC5F-5B378841C55E}">
      <dgm:prSet phldrT="[Text]" custT="1"/>
      <dgm:spPr/>
      <dgm:t>
        <a:bodyPr/>
        <a:lstStyle/>
        <a:p>
          <a:pPr algn="ctr"/>
          <a:r>
            <a:rPr lang="en-US" sz="1000" b="1" cap="none" spc="0">
              <a:ln w="0"/>
              <a:solidFill>
                <a:schemeClr val="tx1"/>
              </a:solidFill>
              <a:effectLst>
                <a:outerShdw blurRad="38100" dist="19050" dir="2700000" algn="tl" rotWithShape="0">
                  <a:schemeClr val="dk1">
                    <a:alpha val="40000"/>
                  </a:schemeClr>
                </a:outerShdw>
              </a:effectLst>
            </a:rPr>
            <a:t>Threats</a:t>
          </a:r>
        </a:p>
      </dgm:t>
    </dgm:pt>
    <dgm:pt modelId="{27D35046-12CD-4F75-A848-C5FFAE294608}" type="parTrans" cxnId="{FA8C3159-2D5E-4843-A1FB-D67DAF34DD40}">
      <dgm:prSet/>
      <dgm:spPr/>
      <dgm:t>
        <a:bodyPr/>
        <a:lstStyle/>
        <a:p>
          <a:pPr algn="ctr"/>
          <a:endParaRPr lang="en-US" b="0" cap="none" spc="0">
            <a:ln w="0"/>
            <a:solidFill>
              <a:schemeClr val="tx1"/>
            </a:solidFill>
            <a:effectLst>
              <a:outerShdw blurRad="38100" dist="19050" dir="2700000" algn="tl" rotWithShape="0">
                <a:schemeClr val="dk1">
                  <a:alpha val="40000"/>
                </a:schemeClr>
              </a:outerShdw>
            </a:effectLst>
          </a:endParaRPr>
        </a:p>
      </dgm:t>
    </dgm:pt>
    <dgm:pt modelId="{58E9AC88-57EB-4FC4-89DF-7D85A1CD6762}" type="sibTrans" cxnId="{FA8C3159-2D5E-4843-A1FB-D67DAF34DD40}">
      <dgm:prSet/>
      <dgm:spPr/>
      <dgm:t>
        <a:bodyPr/>
        <a:lstStyle/>
        <a:p>
          <a:pPr algn="ctr"/>
          <a:endParaRPr lang="en-US" b="0" cap="none" spc="0">
            <a:ln w="0"/>
            <a:solidFill>
              <a:schemeClr val="tx1"/>
            </a:solidFill>
            <a:effectLst>
              <a:outerShdw blurRad="38100" dist="19050" dir="2700000" algn="tl" rotWithShape="0">
                <a:schemeClr val="dk1">
                  <a:alpha val="40000"/>
                </a:schemeClr>
              </a:outerShdw>
            </a:effectLst>
          </a:endParaRPr>
        </a:p>
      </dgm:t>
    </dgm:pt>
    <dgm:pt modelId="{2AA0AEC3-836D-499A-B464-4129E38B7BD2}">
      <dgm:prSet phldrT="[Text]"/>
      <dgm:spPr/>
      <dgm:t>
        <a:bodyPr/>
        <a:lstStyle/>
        <a:p>
          <a:pPr algn="ctr"/>
          <a:r>
            <a:rPr lang="en-US" b="0" cap="none" spc="0">
              <a:ln w="0"/>
              <a:solidFill>
                <a:schemeClr val="tx1"/>
              </a:solidFill>
              <a:effectLst>
                <a:outerShdw blurRad="38100" dist="19050" dir="2700000" algn="tl" rotWithShape="0">
                  <a:schemeClr val="dk1">
                    <a:alpha val="40000"/>
                  </a:schemeClr>
                </a:outerShdw>
              </a:effectLst>
            </a:rPr>
            <a:t>Intense Competition</a:t>
          </a:r>
        </a:p>
      </dgm:t>
    </dgm:pt>
    <dgm:pt modelId="{1F166D79-C911-49D7-B7D3-CB2F7D68B80E}" type="parTrans" cxnId="{BCC634D9-2437-4D29-872E-0AFFE1AF6692}">
      <dgm:prSet/>
      <dgm:spPr/>
      <dgm:t>
        <a:bodyPr/>
        <a:lstStyle/>
        <a:p>
          <a:pPr algn="ctr"/>
          <a:endParaRPr lang="en-US" b="0" cap="none" spc="0">
            <a:ln w="0"/>
            <a:solidFill>
              <a:schemeClr val="tx1"/>
            </a:solidFill>
            <a:effectLst>
              <a:outerShdw blurRad="38100" dist="19050" dir="2700000" algn="tl" rotWithShape="0">
                <a:schemeClr val="dk1">
                  <a:alpha val="40000"/>
                </a:schemeClr>
              </a:outerShdw>
            </a:effectLst>
          </a:endParaRPr>
        </a:p>
      </dgm:t>
    </dgm:pt>
    <dgm:pt modelId="{59EBA56F-8D1E-41B5-BFA3-07C24CAFF544}" type="sibTrans" cxnId="{BCC634D9-2437-4D29-872E-0AFFE1AF6692}">
      <dgm:prSet/>
      <dgm:spPr/>
      <dgm:t>
        <a:bodyPr/>
        <a:lstStyle/>
        <a:p>
          <a:pPr algn="ctr"/>
          <a:endParaRPr lang="en-US" b="0" cap="none" spc="0">
            <a:ln w="0"/>
            <a:solidFill>
              <a:schemeClr val="tx1"/>
            </a:solidFill>
            <a:effectLst>
              <a:outerShdw blurRad="38100" dist="19050" dir="2700000" algn="tl" rotWithShape="0">
                <a:schemeClr val="dk1">
                  <a:alpha val="40000"/>
                </a:schemeClr>
              </a:outerShdw>
            </a:effectLst>
          </a:endParaRPr>
        </a:p>
      </dgm:t>
    </dgm:pt>
    <dgm:pt modelId="{05BA7533-1BC9-40DD-9DCB-4F2A2D375979}">
      <dgm:prSet phldrT="[Text]" custT="1"/>
      <dgm:spPr/>
      <dgm:t>
        <a:bodyPr/>
        <a:lstStyle/>
        <a:p>
          <a:pPr algn="ctr"/>
          <a:r>
            <a:rPr lang="en-US" sz="1000" b="1" cap="none" spc="0">
              <a:ln w="0"/>
              <a:solidFill>
                <a:schemeClr val="tx1"/>
              </a:solidFill>
              <a:effectLst>
                <a:outerShdw blurRad="38100" dist="19050" dir="2700000" algn="tl" rotWithShape="0">
                  <a:schemeClr val="dk1">
                    <a:alpha val="40000"/>
                  </a:schemeClr>
                </a:outerShdw>
              </a:effectLst>
            </a:rPr>
            <a:t>Opportunities</a:t>
          </a:r>
        </a:p>
      </dgm:t>
    </dgm:pt>
    <dgm:pt modelId="{F2EB1D3E-11EB-4636-B02E-21B7867C8561}" type="parTrans" cxnId="{1562E832-6DF6-433B-A9F9-BE2D9EE720E4}">
      <dgm:prSet/>
      <dgm:spPr/>
      <dgm:t>
        <a:bodyPr/>
        <a:lstStyle/>
        <a:p>
          <a:pPr algn="ctr"/>
          <a:endParaRPr lang="en-US" b="0" cap="none" spc="0">
            <a:ln w="0"/>
            <a:solidFill>
              <a:schemeClr val="tx1"/>
            </a:solidFill>
            <a:effectLst>
              <a:outerShdw blurRad="38100" dist="19050" dir="2700000" algn="tl" rotWithShape="0">
                <a:schemeClr val="dk1">
                  <a:alpha val="40000"/>
                </a:schemeClr>
              </a:outerShdw>
            </a:effectLst>
          </a:endParaRPr>
        </a:p>
      </dgm:t>
    </dgm:pt>
    <dgm:pt modelId="{032D0B62-EA6E-4159-9EB8-0EDE7225BA69}" type="sibTrans" cxnId="{1562E832-6DF6-433B-A9F9-BE2D9EE720E4}">
      <dgm:prSet/>
      <dgm:spPr/>
      <dgm:t>
        <a:bodyPr/>
        <a:lstStyle/>
        <a:p>
          <a:pPr algn="ctr"/>
          <a:endParaRPr lang="en-US" b="0" cap="none" spc="0">
            <a:ln w="0"/>
            <a:solidFill>
              <a:schemeClr val="tx1"/>
            </a:solidFill>
            <a:effectLst>
              <a:outerShdw blurRad="38100" dist="19050" dir="2700000" algn="tl" rotWithShape="0">
                <a:schemeClr val="dk1">
                  <a:alpha val="40000"/>
                </a:schemeClr>
              </a:outerShdw>
            </a:effectLst>
          </a:endParaRPr>
        </a:p>
      </dgm:t>
    </dgm:pt>
    <dgm:pt modelId="{4015E8F4-9702-4033-881C-E30BBF372375}">
      <dgm:prSet phldrT="[Text]"/>
      <dgm:spPr/>
      <dgm:t>
        <a:bodyPr/>
        <a:lstStyle/>
        <a:p>
          <a:pPr algn="ctr"/>
          <a:r>
            <a:rPr lang="en-US" b="0" cap="none" spc="0">
              <a:ln w="0"/>
              <a:solidFill>
                <a:schemeClr val="tx1"/>
              </a:solidFill>
              <a:effectLst>
                <a:outerShdw blurRad="38100" dist="19050" dir="2700000" algn="tl" rotWithShape="0">
                  <a:schemeClr val="dk1">
                    <a:alpha val="40000"/>
                  </a:schemeClr>
                </a:outerShdw>
              </a:effectLst>
            </a:rPr>
            <a:t>Eco-Friendly and Experiential Tourism</a:t>
          </a:r>
        </a:p>
      </dgm:t>
    </dgm:pt>
    <dgm:pt modelId="{111CD7A7-E5AE-4E8D-AFA3-3F26733D7BBF}" type="parTrans" cxnId="{2C7BF7DD-077C-423A-810E-1B40016C5237}">
      <dgm:prSet/>
      <dgm:spPr/>
      <dgm:t>
        <a:bodyPr/>
        <a:lstStyle/>
        <a:p>
          <a:pPr algn="ctr"/>
          <a:endParaRPr lang="en-US" b="0" cap="none" spc="0">
            <a:ln w="0"/>
            <a:solidFill>
              <a:schemeClr val="tx1"/>
            </a:solidFill>
            <a:effectLst>
              <a:outerShdw blurRad="38100" dist="19050" dir="2700000" algn="tl" rotWithShape="0">
                <a:schemeClr val="dk1">
                  <a:alpha val="40000"/>
                </a:schemeClr>
              </a:outerShdw>
            </a:effectLst>
          </a:endParaRPr>
        </a:p>
      </dgm:t>
    </dgm:pt>
    <dgm:pt modelId="{086E3FF3-61A0-49F0-B624-64185E7A5659}" type="sibTrans" cxnId="{2C7BF7DD-077C-423A-810E-1B40016C5237}">
      <dgm:prSet/>
      <dgm:spPr/>
      <dgm:t>
        <a:bodyPr/>
        <a:lstStyle/>
        <a:p>
          <a:pPr algn="ctr"/>
          <a:endParaRPr lang="en-US" b="0" cap="none" spc="0">
            <a:ln w="0"/>
            <a:solidFill>
              <a:schemeClr val="tx1"/>
            </a:solidFill>
            <a:effectLst>
              <a:outerShdw blurRad="38100" dist="19050" dir="2700000" algn="tl" rotWithShape="0">
                <a:schemeClr val="dk1">
                  <a:alpha val="40000"/>
                </a:schemeClr>
              </a:outerShdw>
            </a:effectLst>
          </a:endParaRPr>
        </a:p>
      </dgm:t>
    </dgm:pt>
    <dgm:pt modelId="{52D8ACD9-04DA-4169-AE39-CC61DCB0EE1D}">
      <dgm:prSet phldrT="[Text]"/>
      <dgm:spPr/>
      <dgm:t>
        <a:bodyPr/>
        <a:lstStyle/>
        <a:p>
          <a:pPr algn="ctr"/>
          <a:r>
            <a:rPr lang="en-US" b="0" cap="none" spc="0">
              <a:ln w="0"/>
              <a:solidFill>
                <a:schemeClr val="tx1"/>
              </a:solidFill>
              <a:effectLst>
                <a:outerShdw blurRad="38100" dist="19050" dir="2700000" algn="tl" rotWithShape="0">
                  <a:schemeClr val="dk1">
                    <a:alpha val="40000"/>
                  </a:schemeClr>
                </a:outerShdw>
              </a:effectLst>
            </a:rPr>
            <a:t>Property and Equipment</a:t>
          </a:r>
        </a:p>
      </dgm:t>
    </dgm:pt>
    <dgm:pt modelId="{5381083B-4868-4252-95F5-5D2D3B0A5940}" type="parTrans" cxnId="{CC083186-3829-4AB9-84BC-EBC64C6C1D1A}">
      <dgm:prSet/>
      <dgm:spPr/>
      <dgm:t>
        <a:bodyPr/>
        <a:lstStyle/>
        <a:p>
          <a:endParaRPr lang="en-US" b="0" cap="none" spc="0">
            <a:ln w="0"/>
            <a:solidFill>
              <a:schemeClr val="tx1"/>
            </a:solidFill>
            <a:effectLst>
              <a:outerShdw blurRad="38100" dist="19050" dir="2700000" algn="tl" rotWithShape="0">
                <a:schemeClr val="dk1">
                  <a:alpha val="40000"/>
                </a:schemeClr>
              </a:outerShdw>
            </a:effectLst>
          </a:endParaRPr>
        </a:p>
      </dgm:t>
    </dgm:pt>
    <dgm:pt modelId="{1FF80848-ABCB-4290-8636-94BC363AEB11}" type="sibTrans" cxnId="{CC083186-3829-4AB9-84BC-EBC64C6C1D1A}">
      <dgm:prSet/>
      <dgm:spPr/>
      <dgm:t>
        <a:bodyPr/>
        <a:lstStyle/>
        <a:p>
          <a:endParaRPr lang="en-US" b="0" cap="none" spc="0">
            <a:ln w="0"/>
            <a:solidFill>
              <a:schemeClr val="tx1"/>
            </a:solidFill>
            <a:effectLst>
              <a:outerShdw blurRad="38100" dist="19050" dir="2700000" algn="tl" rotWithShape="0">
                <a:schemeClr val="dk1">
                  <a:alpha val="40000"/>
                </a:schemeClr>
              </a:outerShdw>
            </a:effectLst>
          </a:endParaRPr>
        </a:p>
      </dgm:t>
    </dgm:pt>
    <dgm:pt modelId="{4A0B539E-FF1D-4195-A8CA-147344D27DA7}">
      <dgm:prSet phldrT="[Text]"/>
      <dgm:spPr/>
      <dgm:t>
        <a:bodyPr/>
        <a:lstStyle/>
        <a:p>
          <a:pPr algn="ctr"/>
          <a:r>
            <a:rPr lang="en-US" b="0" cap="none" spc="0">
              <a:ln w="0"/>
              <a:solidFill>
                <a:schemeClr val="tx1"/>
              </a:solidFill>
              <a:effectLst>
                <a:outerShdw blurRad="38100" dist="19050" dir="2700000" algn="tl" rotWithShape="0">
                  <a:schemeClr val="dk1">
                    <a:alpha val="40000"/>
                  </a:schemeClr>
                </a:outerShdw>
              </a:effectLst>
            </a:rPr>
            <a:t>Outdated Amenities</a:t>
          </a:r>
        </a:p>
      </dgm:t>
    </dgm:pt>
    <dgm:pt modelId="{46816015-94AA-46C9-9352-9EDE0C31E580}" type="parTrans" cxnId="{054EDD08-9167-4471-86C9-08FF372367BC}">
      <dgm:prSet/>
      <dgm:spPr/>
      <dgm:t>
        <a:bodyPr/>
        <a:lstStyle/>
        <a:p>
          <a:endParaRPr lang="en-US" b="0" cap="none" spc="0">
            <a:ln w="0"/>
            <a:solidFill>
              <a:schemeClr val="tx1"/>
            </a:solidFill>
            <a:effectLst>
              <a:outerShdw blurRad="38100" dist="19050" dir="2700000" algn="tl" rotWithShape="0">
                <a:schemeClr val="dk1">
                  <a:alpha val="40000"/>
                </a:schemeClr>
              </a:outerShdw>
            </a:effectLst>
          </a:endParaRPr>
        </a:p>
      </dgm:t>
    </dgm:pt>
    <dgm:pt modelId="{868F338F-62A8-469F-805E-1FD63E0AA963}" type="sibTrans" cxnId="{054EDD08-9167-4471-86C9-08FF372367BC}">
      <dgm:prSet/>
      <dgm:spPr/>
      <dgm:t>
        <a:bodyPr/>
        <a:lstStyle/>
        <a:p>
          <a:endParaRPr lang="en-US" b="0" cap="none" spc="0">
            <a:ln w="0"/>
            <a:solidFill>
              <a:schemeClr val="tx1"/>
            </a:solidFill>
            <a:effectLst>
              <a:outerShdw blurRad="38100" dist="19050" dir="2700000" algn="tl" rotWithShape="0">
                <a:schemeClr val="dk1">
                  <a:alpha val="40000"/>
                </a:schemeClr>
              </a:outerShdw>
            </a:effectLst>
          </a:endParaRPr>
        </a:p>
      </dgm:t>
    </dgm:pt>
    <dgm:pt modelId="{C4E513F7-EDBA-4C6A-AAB7-CB61CDEAB101}">
      <dgm:prSet phldrT="[Text]"/>
      <dgm:spPr/>
      <dgm:t>
        <a:bodyPr/>
        <a:lstStyle/>
        <a:p>
          <a:pPr algn="ctr"/>
          <a:r>
            <a:rPr lang="en-US" b="0" cap="none" spc="0">
              <a:ln w="0"/>
              <a:solidFill>
                <a:schemeClr val="tx1"/>
              </a:solidFill>
              <a:effectLst>
                <a:outerShdw blurRad="38100" dist="19050" dir="2700000" algn="tl" rotWithShape="0">
                  <a:schemeClr val="dk1">
                    <a:alpha val="40000"/>
                  </a:schemeClr>
                </a:outerShdw>
              </a:effectLst>
            </a:rPr>
            <a:t>Repositioning as an Eco-Resort</a:t>
          </a:r>
        </a:p>
      </dgm:t>
    </dgm:pt>
    <dgm:pt modelId="{7C946B49-5168-4675-9026-83548814757D}" type="parTrans" cxnId="{E26A4D31-ACC5-4415-8079-1A620C215963}">
      <dgm:prSet/>
      <dgm:spPr/>
      <dgm:t>
        <a:bodyPr/>
        <a:lstStyle/>
        <a:p>
          <a:endParaRPr lang="en-US" b="0" cap="none" spc="0">
            <a:ln w="0"/>
            <a:solidFill>
              <a:schemeClr val="tx1"/>
            </a:solidFill>
            <a:effectLst>
              <a:outerShdw blurRad="38100" dist="19050" dir="2700000" algn="tl" rotWithShape="0">
                <a:schemeClr val="dk1">
                  <a:alpha val="40000"/>
                </a:schemeClr>
              </a:outerShdw>
            </a:effectLst>
          </a:endParaRPr>
        </a:p>
      </dgm:t>
    </dgm:pt>
    <dgm:pt modelId="{5675F497-58A4-46CB-B9D9-85F2FB50FDEE}" type="sibTrans" cxnId="{E26A4D31-ACC5-4415-8079-1A620C215963}">
      <dgm:prSet/>
      <dgm:spPr/>
      <dgm:t>
        <a:bodyPr/>
        <a:lstStyle/>
        <a:p>
          <a:endParaRPr lang="en-US" b="0" cap="none" spc="0">
            <a:ln w="0"/>
            <a:solidFill>
              <a:schemeClr val="tx1"/>
            </a:solidFill>
            <a:effectLst>
              <a:outerShdw blurRad="38100" dist="19050" dir="2700000" algn="tl" rotWithShape="0">
                <a:schemeClr val="dk1">
                  <a:alpha val="40000"/>
                </a:schemeClr>
              </a:outerShdw>
            </a:effectLst>
          </a:endParaRPr>
        </a:p>
      </dgm:t>
    </dgm:pt>
    <dgm:pt modelId="{0675889E-786B-4693-8945-825FC2B242A5}">
      <dgm:prSet phldrT="[Text]"/>
      <dgm:spPr/>
      <dgm:t>
        <a:bodyPr/>
        <a:lstStyle/>
        <a:p>
          <a:pPr algn="ctr"/>
          <a:endParaRPr lang="en-US" b="0" cap="none" spc="0">
            <a:ln w="0"/>
            <a:solidFill>
              <a:schemeClr val="tx1"/>
            </a:solidFill>
            <a:effectLst>
              <a:outerShdw blurRad="38100" dist="19050" dir="2700000" algn="tl" rotWithShape="0">
                <a:schemeClr val="dk1">
                  <a:alpha val="40000"/>
                </a:schemeClr>
              </a:outerShdw>
            </a:effectLst>
          </a:endParaRPr>
        </a:p>
      </dgm:t>
    </dgm:pt>
    <dgm:pt modelId="{25C495B1-EEA6-46A7-97F4-1C810D2400E3}" type="parTrans" cxnId="{21F229A9-B573-4869-9F1D-02FE93E0DD95}">
      <dgm:prSet/>
      <dgm:spPr/>
      <dgm:t>
        <a:bodyPr/>
        <a:lstStyle/>
        <a:p>
          <a:endParaRPr lang="en-US" b="0" cap="none" spc="0">
            <a:ln w="0"/>
            <a:solidFill>
              <a:schemeClr val="tx1"/>
            </a:solidFill>
            <a:effectLst>
              <a:outerShdw blurRad="38100" dist="19050" dir="2700000" algn="tl" rotWithShape="0">
                <a:schemeClr val="dk1">
                  <a:alpha val="40000"/>
                </a:schemeClr>
              </a:outerShdw>
            </a:effectLst>
          </a:endParaRPr>
        </a:p>
      </dgm:t>
    </dgm:pt>
    <dgm:pt modelId="{16261589-E5E9-42C0-8142-7EC6C804944E}" type="sibTrans" cxnId="{21F229A9-B573-4869-9F1D-02FE93E0DD95}">
      <dgm:prSet/>
      <dgm:spPr/>
      <dgm:t>
        <a:bodyPr/>
        <a:lstStyle/>
        <a:p>
          <a:endParaRPr lang="en-US" b="0" cap="none" spc="0">
            <a:ln w="0"/>
            <a:solidFill>
              <a:schemeClr val="tx1"/>
            </a:solidFill>
            <a:effectLst>
              <a:outerShdw blurRad="38100" dist="19050" dir="2700000" algn="tl" rotWithShape="0">
                <a:schemeClr val="dk1">
                  <a:alpha val="40000"/>
                </a:schemeClr>
              </a:outerShdw>
            </a:effectLst>
          </a:endParaRPr>
        </a:p>
      </dgm:t>
    </dgm:pt>
    <dgm:pt modelId="{234B0CF3-0D29-4E8B-9BBC-0A72BB6E05A7}">
      <dgm:prSet phldrT="[Text]"/>
      <dgm:spPr/>
      <dgm:t>
        <a:bodyPr/>
        <a:lstStyle/>
        <a:p>
          <a:pPr algn="ctr"/>
          <a:r>
            <a:rPr lang="en-US" b="0" cap="none" spc="0">
              <a:ln w="0"/>
              <a:solidFill>
                <a:schemeClr val="tx1"/>
              </a:solidFill>
              <a:effectLst>
                <a:outerShdw blurRad="38100" dist="19050" dir="2700000" algn="tl" rotWithShape="0">
                  <a:schemeClr val="dk1">
                    <a:alpha val="40000"/>
                  </a:schemeClr>
                </a:outerShdw>
              </a:effectLst>
            </a:rPr>
            <a:t>Economic Uncertainties</a:t>
          </a:r>
        </a:p>
      </dgm:t>
    </dgm:pt>
    <dgm:pt modelId="{6375E93D-5499-41DB-B790-D5D81D279FFD}" type="parTrans" cxnId="{D425A0B7-D0E6-4E02-8C01-0AAAE3DDF8DE}">
      <dgm:prSet/>
      <dgm:spPr/>
      <dgm:t>
        <a:bodyPr/>
        <a:lstStyle/>
        <a:p>
          <a:endParaRPr lang="en-US" b="0" cap="none" spc="0">
            <a:ln w="0"/>
            <a:solidFill>
              <a:schemeClr val="tx1"/>
            </a:solidFill>
            <a:effectLst>
              <a:outerShdw blurRad="38100" dist="19050" dir="2700000" algn="tl" rotWithShape="0">
                <a:schemeClr val="dk1">
                  <a:alpha val="40000"/>
                </a:schemeClr>
              </a:outerShdw>
            </a:effectLst>
          </a:endParaRPr>
        </a:p>
      </dgm:t>
    </dgm:pt>
    <dgm:pt modelId="{B9137581-E569-40EB-B75D-930ED03957B8}" type="sibTrans" cxnId="{D425A0B7-D0E6-4E02-8C01-0AAAE3DDF8DE}">
      <dgm:prSet/>
      <dgm:spPr/>
      <dgm:t>
        <a:bodyPr/>
        <a:lstStyle/>
        <a:p>
          <a:endParaRPr lang="en-US" b="0" cap="none" spc="0">
            <a:ln w="0"/>
            <a:solidFill>
              <a:schemeClr val="tx1"/>
            </a:solidFill>
            <a:effectLst>
              <a:outerShdw blurRad="38100" dist="19050" dir="2700000" algn="tl" rotWithShape="0">
                <a:schemeClr val="dk1">
                  <a:alpha val="40000"/>
                </a:schemeClr>
              </a:outerShdw>
            </a:effectLst>
          </a:endParaRPr>
        </a:p>
      </dgm:t>
    </dgm:pt>
    <dgm:pt modelId="{255F7FEC-63EC-4C07-B4B1-5C4948CC2079}" type="pres">
      <dgm:prSet presAssocID="{D2F54038-B87A-4F69-8CA3-BECAEFB254EC}" presName="cycleMatrixDiagram" presStyleCnt="0">
        <dgm:presLayoutVars>
          <dgm:chMax val="1"/>
          <dgm:dir/>
          <dgm:animLvl val="lvl"/>
          <dgm:resizeHandles val="exact"/>
        </dgm:presLayoutVars>
      </dgm:prSet>
      <dgm:spPr/>
    </dgm:pt>
    <dgm:pt modelId="{3AB344E2-E763-4FE1-A422-B4055C40E335}" type="pres">
      <dgm:prSet presAssocID="{D2F54038-B87A-4F69-8CA3-BECAEFB254EC}" presName="children" presStyleCnt="0"/>
      <dgm:spPr/>
    </dgm:pt>
    <dgm:pt modelId="{69898733-BF01-4AB1-8DAB-BB6B10DA488E}" type="pres">
      <dgm:prSet presAssocID="{D2F54038-B87A-4F69-8CA3-BECAEFB254EC}" presName="child1group" presStyleCnt="0"/>
      <dgm:spPr/>
    </dgm:pt>
    <dgm:pt modelId="{F2863ADC-3C90-4DF8-B921-A1D54BE6C299}" type="pres">
      <dgm:prSet presAssocID="{D2F54038-B87A-4F69-8CA3-BECAEFB254EC}" presName="child1" presStyleLbl="bgAcc1" presStyleIdx="0" presStyleCnt="4"/>
      <dgm:spPr/>
    </dgm:pt>
    <dgm:pt modelId="{C80E4D6C-666A-47FD-827C-30CEDA80EE22}" type="pres">
      <dgm:prSet presAssocID="{D2F54038-B87A-4F69-8CA3-BECAEFB254EC}" presName="child1Text" presStyleLbl="bgAcc1" presStyleIdx="0" presStyleCnt="4">
        <dgm:presLayoutVars>
          <dgm:bulletEnabled val="1"/>
        </dgm:presLayoutVars>
      </dgm:prSet>
      <dgm:spPr/>
    </dgm:pt>
    <dgm:pt modelId="{9B04CCED-C17A-4002-A6ED-766C50014FD4}" type="pres">
      <dgm:prSet presAssocID="{D2F54038-B87A-4F69-8CA3-BECAEFB254EC}" presName="child2group" presStyleCnt="0"/>
      <dgm:spPr/>
    </dgm:pt>
    <dgm:pt modelId="{A9F2B60A-3831-475C-901D-02B5782C70CF}" type="pres">
      <dgm:prSet presAssocID="{D2F54038-B87A-4F69-8CA3-BECAEFB254EC}" presName="child2" presStyleLbl="bgAcc1" presStyleIdx="1" presStyleCnt="4"/>
      <dgm:spPr/>
    </dgm:pt>
    <dgm:pt modelId="{EA9C7D0F-5E23-4717-ACBE-F0751D1B0A0A}" type="pres">
      <dgm:prSet presAssocID="{D2F54038-B87A-4F69-8CA3-BECAEFB254EC}" presName="child2Text" presStyleLbl="bgAcc1" presStyleIdx="1" presStyleCnt="4">
        <dgm:presLayoutVars>
          <dgm:bulletEnabled val="1"/>
        </dgm:presLayoutVars>
      </dgm:prSet>
      <dgm:spPr/>
    </dgm:pt>
    <dgm:pt modelId="{05138C6E-BF97-4EEE-A859-AC1695D764FF}" type="pres">
      <dgm:prSet presAssocID="{D2F54038-B87A-4F69-8CA3-BECAEFB254EC}" presName="child3group" presStyleCnt="0"/>
      <dgm:spPr/>
    </dgm:pt>
    <dgm:pt modelId="{BD9AC2C5-4E94-45CA-B54F-FFEC72D959DF}" type="pres">
      <dgm:prSet presAssocID="{D2F54038-B87A-4F69-8CA3-BECAEFB254EC}" presName="child3" presStyleLbl="bgAcc1" presStyleIdx="2" presStyleCnt="4"/>
      <dgm:spPr/>
    </dgm:pt>
    <dgm:pt modelId="{817C2AD8-3BAE-4348-829E-F55DDD529A0B}" type="pres">
      <dgm:prSet presAssocID="{D2F54038-B87A-4F69-8CA3-BECAEFB254EC}" presName="child3Text" presStyleLbl="bgAcc1" presStyleIdx="2" presStyleCnt="4">
        <dgm:presLayoutVars>
          <dgm:bulletEnabled val="1"/>
        </dgm:presLayoutVars>
      </dgm:prSet>
      <dgm:spPr/>
    </dgm:pt>
    <dgm:pt modelId="{9EBA97D7-C286-4CE7-BD76-E600C0C0B639}" type="pres">
      <dgm:prSet presAssocID="{D2F54038-B87A-4F69-8CA3-BECAEFB254EC}" presName="child4group" presStyleCnt="0"/>
      <dgm:spPr/>
    </dgm:pt>
    <dgm:pt modelId="{E532BD81-CDE5-4B39-A5F9-FE3A0899E6F7}" type="pres">
      <dgm:prSet presAssocID="{D2F54038-B87A-4F69-8CA3-BECAEFB254EC}" presName="child4" presStyleLbl="bgAcc1" presStyleIdx="3" presStyleCnt="4"/>
      <dgm:spPr/>
    </dgm:pt>
    <dgm:pt modelId="{2226B25F-70A1-4E91-BE5F-63C5446832F3}" type="pres">
      <dgm:prSet presAssocID="{D2F54038-B87A-4F69-8CA3-BECAEFB254EC}" presName="child4Text" presStyleLbl="bgAcc1" presStyleIdx="3" presStyleCnt="4">
        <dgm:presLayoutVars>
          <dgm:bulletEnabled val="1"/>
        </dgm:presLayoutVars>
      </dgm:prSet>
      <dgm:spPr/>
    </dgm:pt>
    <dgm:pt modelId="{2DAD1499-D16A-4C57-A7C8-11FBDCD116F0}" type="pres">
      <dgm:prSet presAssocID="{D2F54038-B87A-4F69-8CA3-BECAEFB254EC}" presName="childPlaceholder" presStyleCnt="0"/>
      <dgm:spPr/>
    </dgm:pt>
    <dgm:pt modelId="{033E3FDE-D6BA-49EA-839D-20FDBF66B28E}" type="pres">
      <dgm:prSet presAssocID="{D2F54038-B87A-4F69-8CA3-BECAEFB254EC}" presName="circle" presStyleCnt="0"/>
      <dgm:spPr/>
    </dgm:pt>
    <dgm:pt modelId="{3D720D02-0747-462F-B49A-CD6B3DBB87A7}" type="pres">
      <dgm:prSet presAssocID="{D2F54038-B87A-4F69-8CA3-BECAEFB254EC}" presName="quadrant1" presStyleLbl="node1" presStyleIdx="0" presStyleCnt="4">
        <dgm:presLayoutVars>
          <dgm:chMax val="1"/>
          <dgm:bulletEnabled val="1"/>
        </dgm:presLayoutVars>
      </dgm:prSet>
      <dgm:spPr/>
    </dgm:pt>
    <dgm:pt modelId="{30FF2CC1-8109-4668-8660-839BF829361A}" type="pres">
      <dgm:prSet presAssocID="{D2F54038-B87A-4F69-8CA3-BECAEFB254EC}" presName="quadrant2" presStyleLbl="node1" presStyleIdx="1" presStyleCnt="4">
        <dgm:presLayoutVars>
          <dgm:chMax val="1"/>
          <dgm:bulletEnabled val="1"/>
        </dgm:presLayoutVars>
      </dgm:prSet>
      <dgm:spPr/>
    </dgm:pt>
    <dgm:pt modelId="{2B519DD6-F1B4-4DEA-9BB9-282A113BCCCB}" type="pres">
      <dgm:prSet presAssocID="{D2F54038-B87A-4F69-8CA3-BECAEFB254EC}" presName="quadrant3" presStyleLbl="node1" presStyleIdx="2" presStyleCnt="4">
        <dgm:presLayoutVars>
          <dgm:chMax val="1"/>
          <dgm:bulletEnabled val="1"/>
        </dgm:presLayoutVars>
      </dgm:prSet>
      <dgm:spPr/>
    </dgm:pt>
    <dgm:pt modelId="{9FF52CBC-60B6-45A4-A78F-329EC67EA429}" type="pres">
      <dgm:prSet presAssocID="{D2F54038-B87A-4F69-8CA3-BECAEFB254EC}" presName="quadrant4" presStyleLbl="node1" presStyleIdx="3" presStyleCnt="4">
        <dgm:presLayoutVars>
          <dgm:chMax val="1"/>
          <dgm:bulletEnabled val="1"/>
        </dgm:presLayoutVars>
      </dgm:prSet>
      <dgm:spPr/>
    </dgm:pt>
    <dgm:pt modelId="{5D2023D2-6E42-4E2C-B953-E8A9CDE4B6C3}" type="pres">
      <dgm:prSet presAssocID="{D2F54038-B87A-4F69-8CA3-BECAEFB254EC}" presName="quadrantPlaceholder" presStyleCnt="0"/>
      <dgm:spPr/>
    </dgm:pt>
    <dgm:pt modelId="{77FE9D40-FD44-4FBC-9EDF-1B51818BFC78}" type="pres">
      <dgm:prSet presAssocID="{D2F54038-B87A-4F69-8CA3-BECAEFB254EC}" presName="center1" presStyleLbl="fgShp" presStyleIdx="0" presStyleCnt="2"/>
      <dgm:spPr/>
    </dgm:pt>
    <dgm:pt modelId="{0A4B7D4D-4EC1-40A4-BC5F-C7305CD45BB9}" type="pres">
      <dgm:prSet presAssocID="{D2F54038-B87A-4F69-8CA3-BECAEFB254EC}" presName="center2" presStyleLbl="fgShp" presStyleIdx="1" presStyleCnt="2"/>
      <dgm:spPr/>
    </dgm:pt>
  </dgm:ptLst>
  <dgm:cxnLst>
    <dgm:cxn modelId="{A401F100-367E-4CC4-8995-FD60ACADBFFE}" type="presOf" srcId="{444A6954-56B5-4553-8438-B3E9DFED999D}" destId="{A9F2B60A-3831-475C-901D-02B5782C70CF}" srcOrd="0" destOrd="0" presId="urn:microsoft.com/office/officeart/2005/8/layout/cycle4"/>
    <dgm:cxn modelId="{054EDD08-9167-4471-86C9-08FF372367BC}" srcId="{02FAE874-025A-4E24-B85C-A343507D7E81}" destId="{4A0B539E-FF1D-4195-A8CA-147344D27DA7}" srcOrd="1" destOrd="0" parTransId="{46816015-94AA-46C9-9352-9EDE0C31E580}" sibTransId="{868F338F-62A8-469F-805E-1FD63E0AA963}"/>
    <dgm:cxn modelId="{98C34909-E6AD-4335-B259-1C201B23408B}" srcId="{7C71F99A-215B-4DEC-975D-5B99A8716ED2}" destId="{0BF872AE-493F-43B7-A586-CFB58F7BEC13}" srcOrd="0" destOrd="0" parTransId="{8880F4D4-C835-4389-BFA5-6802D6FEEBD0}" sibTransId="{4E386887-37D8-4D43-AC0E-A1F058634806}"/>
    <dgm:cxn modelId="{B35F6D12-A2F2-4436-949A-015717FA6231}" srcId="{D2F54038-B87A-4F69-8CA3-BECAEFB254EC}" destId="{02FAE874-025A-4E24-B85C-A343507D7E81}" srcOrd="1" destOrd="0" parTransId="{B1236C60-EF29-484B-B094-A1413BB78BA5}" sibTransId="{26B47233-7B4A-46B3-BD63-0EED237815F3}"/>
    <dgm:cxn modelId="{248BC913-51E8-4408-94F8-474FBA20BFEF}" type="presOf" srcId="{D2F54038-B87A-4F69-8CA3-BECAEFB254EC}" destId="{255F7FEC-63EC-4C07-B4B1-5C4948CC2079}" srcOrd="0" destOrd="0" presId="urn:microsoft.com/office/officeart/2005/8/layout/cycle4"/>
    <dgm:cxn modelId="{E26A4D31-ACC5-4415-8079-1A620C215963}" srcId="{05BA7533-1BC9-40DD-9DCB-4F2A2D375979}" destId="{C4E513F7-EDBA-4C6A-AAB7-CB61CDEAB101}" srcOrd="1" destOrd="0" parTransId="{7C946B49-5168-4675-9026-83548814757D}" sibTransId="{5675F497-58A4-46CB-B9D9-85F2FB50FDEE}"/>
    <dgm:cxn modelId="{1562E832-6DF6-433B-A9F9-BE2D9EE720E4}" srcId="{D2F54038-B87A-4F69-8CA3-BECAEFB254EC}" destId="{05BA7533-1BC9-40DD-9DCB-4F2A2D375979}" srcOrd="3" destOrd="0" parTransId="{F2EB1D3E-11EB-4636-B02E-21B7867C8561}" sibTransId="{032D0B62-EA6E-4159-9EB8-0EDE7225BA69}"/>
    <dgm:cxn modelId="{C021D73B-CCE9-4AD2-8763-CB8433EBCD38}" type="presOf" srcId="{4A0B539E-FF1D-4195-A8CA-147344D27DA7}" destId="{A9F2B60A-3831-475C-901D-02B5782C70CF}" srcOrd="0" destOrd="1" presId="urn:microsoft.com/office/officeart/2005/8/layout/cycle4"/>
    <dgm:cxn modelId="{6BF51340-04FD-4126-B2D3-BC63829AE663}" srcId="{02FAE874-025A-4E24-B85C-A343507D7E81}" destId="{444A6954-56B5-4553-8438-B3E9DFED999D}" srcOrd="0" destOrd="0" parTransId="{2A915809-41E0-47B1-89F3-BD928BDFC015}" sibTransId="{9A63F902-639F-40DD-9C35-ADB2EBDF3F06}"/>
    <dgm:cxn modelId="{1891195E-F93D-4E4C-BE2D-4EFA4D3C15CE}" type="presOf" srcId="{4A0B539E-FF1D-4195-A8CA-147344D27DA7}" destId="{EA9C7D0F-5E23-4717-ACBE-F0751D1B0A0A}" srcOrd="1" destOrd="1" presId="urn:microsoft.com/office/officeart/2005/8/layout/cycle4"/>
    <dgm:cxn modelId="{4B634D61-3630-471B-B647-35EC7FA49F84}" type="presOf" srcId="{8AF18A2C-79D3-4680-AC5F-5B378841C55E}" destId="{2B519DD6-F1B4-4DEA-9BB9-282A113BCCCB}" srcOrd="0" destOrd="0" presId="urn:microsoft.com/office/officeart/2005/8/layout/cycle4"/>
    <dgm:cxn modelId="{96BE6048-F8C6-41F1-B903-7591780FF9FF}" type="presOf" srcId="{C4E513F7-EDBA-4C6A-AAB7-CB61CDEAB101}" destId="{E532BD81-CDE5-4B39-A5F9-FE3A0899E6F7}" srcOrd="0" destOrd="1" presId="urn:microsoft.com/office/officeart/2005/8/layout/cycle4"/>
    <dgm:cxn modelId="{E3A4994E-1AB5-4C49-A32E-50E2EDA1B6B8}" type="presOf" srcId="{0BF872AE-493F-43B7-A586-CFB58F7BEC13}" destId="{C80E4D6C-666A-47FD-827C-30CEDA80EE22}" srcOrd="1" destOrd="0" presId="urn:microsoft.com/office/officeart/2005/8/layout/cycle4"/>
    <dgm:cxn modelId="{DDB73650-C6D6-4D24-9B66-2B362043B98C}" type="presOf" srcId="{05BA7533-1BC9-40DD-9DCB-4F2A2D375979}" destId="{9FF52CBC-60B6-45A4-A78F-329EC67EA429}" srcOrd="0" destOrd="0" presId="urn:microsoft.com/office/officeart/2005/8/layout/cycle4"/>
    <dgm:cxn modelId="{E53B2B71-8B11-49A7-83A9-67B0980DE286}" type="presOf" srcId="{2AA0AEC3-836D-499A-B464-4129E38B7BD2}" destId="{817C2AD8-3BAE-4348-829E-F55DDD529A0B}" srcOrd="1" destOrd="0" presId="urn:microsoft.com/office/officeart/2005/8/layout/cycle4"/>
    <dgm:cxn modelId="{2372EE73-04C7-4C45-9D93-B69B72BD9B99}" srcId="{D2F54038-B87A-4F69-8CA3-BECAEFB254EC}" destId="{7C71F99A-215B-4DEC-975D-5B99A8716ED2}" srcOrd="0" destOrd="0" parTransId="{92EC0C34-844C-4771-9B32-2E7C9DF046D4}" sibTransId="{B95A2097-E092-4998-8A6A-C6AC76C75A8B}"/>
    <dgm:cxn modelId="{C477D754-CCC9-4B11-9180-362D65C94A5A}" type="presOf" srcId="{2AA0AEC3-836D-499A-B464-4129E38B7BD2}" destId="{BD9AC2C5-4E94-45CA-B54F-FFEC72D959DF}" srcOrd="0" destOrd="0" presId="urn:microsoft.com/office/officeart/2005/8/layout/cycle4"/>
    <dgm:cxn modelId="{D4AEFF56-5689-4ABC-90BF-C710B8EAB352}" type="presOf" srcId="{4015E8F4-9702-4033-881C-E30BBF372375}" destId="{E532BD81-CDE5-4B39-A5F9-FE3A0899E6F7}" srcOrd="0" destOrd="0" presId="urn:microsoft.com/office/officeart/2005/8/layout/cycle4"/>
    <dgm:cxn modelId="{FA8C3159-2D5E-4843-A1FB-D67DAF34DD40}" srcId="{D2F54038-B87A-4F69-8CA3-BECAEFB254EC}" destId="{8AF18A2C-79D3-4680-AC5F-5B378841C55E}" srcOrd="2" destOrd="0" parTransId="{27D35046-12CD-4F75-A848-C5FFAE294608}" sibTransId="{58E9AC88-57EB-4FC4-89DF-7D85A1CD6762}"/>
    <dgm:cxn modelId="{8FFABB80-7B99-4861-81E5-4C261427C4FE}" type="presOf" srcId="{7C71F99A-215B-4DEC-975D-5B99A8716ED2}" destId="{3D720D02-0747-462F-B49A-CD6B3DBB87A7}" srcOrd="0" destOrd="0" presId="urn:microsoft.com/office/officeart/2005/8/layout/cycle4"/>
    <dgm:cxn modelId="{CC083186-3829-4AB9-84BC-EBC64C6C1D1A}" srcId="{7C71F99A-215B-4DEC-975D-5B99A8716ED2}" destId="{52D8ACD9-04DA-4169-AE39-CC61DCB0EE1D}" srcOrd="1" destOrd="0" parTransId="{5381083B-4868-4252-95F5-5D2D3B0A5940}" sibTransId="{1FF80848-ABCB-4290-8636-94BC363AEB11}"/>
    <dgm:cxn modelId="{9B7AF98D-9A81-4B59-B333-C19E91F410EC}" type="presOf" srcId="{0BF872AE-493F-43B7-A586-CFB58F7BEC13}" destId="{F2863ADC-3C90-4DF8-B921-A1D54BE6C299}" srcOrd="0" destOrd="0" presId="urn:microsoft.com/office/officeart/2005/8/layout/cycle4"/>
    <dgm:cxn modelId="{FE733096-1F27-425F-AC03-69A44F84BEB3}" type="presOf" srcId="{02FAE874-025A-4E24-B85C-A343507D7E81}" destId="{30FF2CC1-8109-4668-8660-839BF829361A}" srcOrd="0" destOrd="0" presId="urn:microsoft.com/office/officeart/2005/8/layout/cycle4"/>
    <dgm:cxn modelId="{61BCFDA5-6595-4292-9A2B-3E1C208553F3}" type="presOf" srcId="{52D8ACD9-04DA-4169-AE39-CC61DCB0EE1D}" destId="{F2863ADC-3C90-4DF8-B921-A1D54BE6C299}" srcOrd="0" destOrd="1" presId="urn:microsoft.com/office/officeart/2005/8/layout/cycle4"/>
    <dgm:cxn modelId="{21F229A9-B573-4869-9F1D-02FE93E0DD95}" srcId="{8AF18A2C-79D3-4680-AC5F-5B378841C55E}" destId="{0675889E-786B-4693-8945-825FC2B242A5}" srcOrd="2" destOrd="0" parTransId="{25C495B1-EEA6-46A7-97F4-1C810D2400E3}" sibTransId="{16261589-E5E9-42C0-8142-7EC6C804944E}"/>
    <dgm:cxn modelId="{D425A0B7-D0E6-4E02-8C01-0AAAE3DDF8DE}" srcId="{8AF18A2C-79D3-4680-AC5F-5B378841C55E}" destId="{234B0CF3-0D29-4E8B-9BBC-0A72BB6E05A7}" srcOrd="1" destOrd="0" parTransId="{6375E93D-5499-41DB-B790-D5D81D279FFD}" sibTransId="{B9137581-E569-40EB-B75D-930ED03957B8}"/>
    <dgm:cxn modelId="{361893BB-D042-46F0-8359-ADD7CCB51961}" type="presOf" srcId="{4015E8F4-9702-4033-881C-E30BBF372375}" destId="{2226B25F-70A1-4E91-BE5F-63C5446832F3}" srcOrd="1" destOrd="0" presId="urn:microsoft.com/office/officeart/2005/8/layout/cycle4"/>
    <dgm:cxn modelId="{A2983DBF-EE4A-4992-9021-2481AE796413}" type="presOf" srcId="{234B0CF3-0D29-4E8B-9BBC-0A72BB6E05A7}" destId="{817C2AD8-3BAE-4348-829E-F55DDD529A0B}" srcOrd="1" destOrd="1" presId="urn:microsoft.com/office/officeart/2005/8/layout/cycle4"/>
    <dgm:cxn modelId="{2E5F9FD0-FB40-4394-A674-8DED8D523E87}" type="presOf" srcId="{444A6954-56B5-4553-8438-B3E9DFED999D}" destId="{EA9C7D0F-5E23-4717-ACBE-F0751D1B0A0A}" srcOrd="1" destOrd="0" presId="urn:microsoft.com/office/officeart/2005/8/layout/cycle4"/>
    <dgm:cxn modelId="{D99F89D5-3331-46ED-94E3-801DE26C93A2}" type="presOf" srcId="{0675889E-786B-4693-8945-825FC2B242A5}" destId="{817C2AD8-3BAE-4348-829E-F55DDD529A0B}" srcOrd="1" destOrd="2" presId="urn:microsoft.com/office/officeart/2005/8/layout/cycle4"/>
    <dgm:cxn modelId="{BCC634D9-2437-4D29-872E-0AFFE1AF6692}" srcId="{8AF18A2C-79D3-4680-AC5F-5B378841C55E}" destId="{2AA0AEC3-836D-499A-B464-4129E38B7BD2}" srcOrd="0" destOrd="0" parTransId="{1F166D79-C911-49D7-B7D3-CB2F7D68B80E}" sibTransId="{59EBA56F-8D1E-41B5-BFA3-07C24CAFF544}"/>
    <dgm:cxn modelId="{2C7BF7DD-077C-423A-810E-1B40016C5237}" srcId="{05BA7533-1BC9-40DD-9DCB-4F2A2D375979}" destId="{4015E8F4-9702-4033-881C-E30BBF372375}" srcOrd="0" destOrd="0" parTransId="{111CD7A7-E5AE-4E8D-AFA3-3F26733D7BBF}" sibTransId="{086E3FF3-61A0-49F0-B624-64185E7A5659}"/>
    <dgm:cxn modelId="{7AD4EEE7-77E0-47AA-9021-93F29DE49860}" type="presOf" srcId="{52D8ACD9-04DA-4169-AE39-CC61DCB0EE1D}" destId="{C80E4D6C-666A-47FD-827C-30CEDA80EE22}" srcOrd="1" destOrd="1" presId="urn:microsoft.com/office/officeart/2005/8/layout/cycle4"/>
    <dgm:cxn modelId="{68CD9FEF-D51A-4903-BD55-0F44A99364EF}" type="presOf" srcId="{C4E513F7-EDBA-4C6A-AAB7-CB61CDEAB101}" destId="{2226B25F-70A1-4E91-BE5F-63C5446832F3}" srcOrd="1" destOrd="1" presId="urn:microsoft.com/office/officeart/2005/8/layout/cycle4"/>
    <dgm:cxn modelId="{154C9AF6-9A52-427F-AA18-3817E044C3D9}" type="presOf" srcId="{234B0CF3-0D29-4E8B-9BBC-0A72BB6E05A7}" destId="{BD9AC2C5-4E94-45CA-B54F-FFEC72D959DF}" srcOrd="0" destOrd="1" presId="urn:microsoft.com/office/officeart/2005/8/layout/cycle4"/>
    <dgm:cxn modelId="{244CF7FF-9346-459C-97F7-275A38C83183}" type="presOf" srcId="{0675889E-786B-4693-8945-825FC2B242A5}" destId="{BD9AC2C5-4E94-45CA-B54F-FFEC72D959DF}" srcOrd="0" destOrd="2" presId="urn:microsoft.com/office/officeart/2005/8/layout/cycle4"/>
    <dgm:cxn modelId="{4D9A2316-2CB7-49D8-AB80-731F00CE5784}" type="presParOf" srcId="{255F7FEC-63EC-4C07-B4B1-5C4948CC2079}" destId="{3AB344E2-E763-4FE1-A422-B4055C40E335}" srcOrd="0" destOrd="0" presId="urn:microsoft.com/office/officeart/2005/8/layout/cycle4"/>
    <dgm:cxn modelId="{2520A721-6FD4-4627-8BD2-18AAB3B962DB}" type="presParOf" srcId="{3AB344E2-E763-4FE1-A422-B4055C40E335}" destId="{69898733-BF01-4AB1-8DAB-BB6B10DA488E}" srcOrd="0" destOrd="0" presId="urn:microsoft.com/office/officeart/2005/8/layout/cycle4"/>
    <dgm:cxn modelId="{0B372B91-D259-42D4-941A-4F40FBDBFECA}" type="presParOf" srcId="{69898733-BF01-4AB1-8DAB-BB6B10DA488E}" destId="{F2863ADC-3C90-4DF8-B921-A1D54BE6C299}" srcOrd="0" destOrd="0" presId="urn:microsoft.com/office/officeart/2005/8/layout/cycle4"/>
    <dgm:cxn modelId="{971999E4-C5FE-49E5-82A4-07B017CCE7FD}" type="presParOf" srcId="{69898733-BF01-4AB1-8DAB-BB6B10DA488E}" destId="{C80E4D6C-666A-47FD-827C-30CEDA80EE22}" srcOrd="1" destOrd="0" presId="urn:microsoft.com/office/officeart/2005/8/layout/cycle4"/>
    <dgm:cxn modelId="{A5329621-214B-4A64-A152-93A04D86BE42}" type="presParOf" srcId="{3AB344E2-E763-4FE1-A422-B4055C40E335}" destId="{9B04CCED-C17A-4002-A6ED-766C50014FD4}" srcOrd="1" destOrd="0" presId="urn:microsoft.com/office/officeart/2005/8/layout/cycle4"/>
    <dgm:cxn modelId="{FF917CF2-5851-42D8-9642-A80F7B48D6AB}" type="presParOf" srcId="{9B04CCED-C17A-4002-A6ED-766C50014FD4}" destId="{A9F2B60A-3831-475C-901D-02B5782C70CF}" srcOrd="0" destOrd="0" presId="urn:microsoft.com/office/officeart/2005/8/layout/cycle4"/>
    <dgm:cxn modelId="{E49B55FA-5140-469C-B24D-7AF41B98E717}" type="presParOf" srcId="{9B04CCED-C17A-4002-A6ED-766C50014FD4}" destId="{EA9C7D0F-5E23-4717-ACBE-F0751D1B0A0A}" srcOrd="1" destOrd="0" presId="urn:microsoft.com/office/officeart/2005/8/layout/cycle4"/>
    <dgm:cxn modelId="{6D180514-04DF-411C-8B3C-C958CC11516E}" type="presParOf" srcId="{3AB344E2-E763-4FE1-A422-B4055C40E335}" destId="{05138C6E-BF97-4EEE-A859-AC1695D764FF}" srcOrd="2" destOrd="0" presId="urn:microsoft.com/office/officeart/2005/8/layout/cycle4"/>
    <dgm:cxn modelId="{7D62D3A3-09BD-4653-90D3-079A47C7C40E}" type="presParOf" srcId="{05138C6E-BF97-4EEE-A859-AC1695D764FF}" destId="{BD9AC2C5-4E94-45CA-B54F-FFEC72D959DF}" srcOrd="0" destOrd="0" presId="urn:microsoft.com/office/officeart/2005/8/layout/cycle4"/>
    <dgm:cxn modelId="{4AA74568-DE23-4C6B-BC3E-93127EF5071A}" type="presParOf" srcId="{05138C6E-BF97-4EEE-A859-AC1695D764FF}" destId="{817C2AD8-3BAE-4348-829E-F55DDD529A0B}" srcOrd="1" destOrd="0" presId="urn:microsoft.com/office/officeart/2005/8/layout/cycle4"/>
    <dgm:cxn modelId="{CEF263BE-C578-4D44-BB83-D1445C9A2809}" type="presParOf" srcId="{3AB344E2-E763-4FE1-A422-B4055C40E335}" destId="{9EBA97D7-C286-4CE7-BD76-E600C0C0B639}" srcOrd="3" destOrd="0" presId="urn:microsoft.com/office/officeart/2005/8/layout/cycle4"/>
    <dgm:cxn modelId="{C195D96A-615A-47F7-B3B2-C4272097768A}" type="presParOf" srcId="{9EBA97D7-C286-4CE7-BD76-E600C0C0B639}" destId="{E532BD81-CDE5-4B39-A5F9-FE3A0899E6F7}" srcOrd="0" destOrd="0" presId="urn:microsoft.com/office/officeart/2005/8/layout/cycle4"/>
    <dgm:cxn modelId="{5912CA5A-AD39-48B6-8371-3D2677506B1A}" type="presParOf" srcId="{9EBA97D7-C286-4CE7-BD76-E600C0C0B639}" destId="{2226B25F-70A1-4E91-BE5F-63C5446832F3}" srcOrd="1" destOrd="0" presId="urn:microsoft.com/office/officeart/2005/8/layout/cycle4"/>
    <dgm:cxn modelId="{7912F0CD-91C2-4AB0-8298-206083ADB61F}" type="presParOf" srcId="{3AB344E2-E763-4FE1-A422-B4055C40E335}" destId="{2DAD1499-D16A-4C57-A7C8-11FBDCD116F0}" srcOrd="4" destOrd="0" presId="urn:microsoft.com/office/officeart/2005/8/layout/cycle4"/>
    <dgm:cxn modelId="{D885CCCB-9D29-4FDB-B3E4-EB8CAC390F05}" type="presParOf" srcId="{255F7FEC-63EC-4C07-B4B1-5C4948CC2079}" destId="{033E3FDE-D6BA-49EA-839D-20FDBF66B28E}" srcOrd="1" destOrd="0" presId="urn:microsoft.com/office/officeart/2005/8/layout/cycle4"/>
    <dgm:cxn modelId="{301431D7-884E-4312-8E21-A31C09E52D39}" type="presParOf" srcId="{033E3FDE-D6BA-49EA-839D-20FDBF66B28E}" destId="{3D720D02-0747-462F-B49A-CD6B3DBB87A7}" srcOrd="0" destOrd="0" presId="urn:microsoft.com/office/officeart/2005/8/layout/cycle4"/>
    <dgm:cxn modelId="{0AF201C3-8DBA-4754-820E-C948932F964D}" type="presParOf" srcId="{033E3FDE-D6BA-49EA-839D-20FDBF66B28E}" destId="{30FF2CC1-8109-4668-8660-839BF829361A}" srcOrd="1" destOrd="0" presId="urn:microsoft.com/office/officeart/2005/8/layout/cycle4"/>
    <dgm:cxn modelId="{975BEAF2-1E69-4781-9BBB-C8E572BBAE0B}" type="presParOf" srcId="{033E3FDE-D6BA-49EA-839D-20FDBF66B28E}" destId="{2B519DD6-F1B4-4DEA-9BB9-282A113BCCCB}" srcOrd="2" destOrd="0" presId="urn:microsoft.com/office/officeart/2005/8/layout/cycle4"/>
    <dgm:cxn modelId="{1954A584-67A7-4CC3-8DB0-0C11C244BBCA}" type="presParOf" srcId="{033E3FDE-D6BA-49EA-839D-20FDBF66B28E}" destId="{9FF52CBC-60B6-45A4-A78F-329EC67EA429}" srcOrd="3" destOrd="0" presId="urn:microsoft.com/office/officeart/2005/8/layout/cycle4"/>
    <dgm:cxn modelId="{89EE37DE-821F-4B86-A81B-D7448D45BDA6}" type="presParOf" srcId="{033E3FDE-D6BA-49EA-839D-20FDBF66B28E}" destId="{5D2023D2-6E42-4E2C-B953-E8A9CDE4B6C3}" srcOrd="4" destOrd="0" presId="urn:microsoft.com/office/officeart/2005/8/layout/cycle4"/>
    <dgm:cxn modelId="{C3D4510C-1B07-4429-8E72-0D4F11A4E252}" type="presParOf" srcId="{255F7FEC-63EC-4C07-B4B1-5C4948CC2079}" destId="{77FE9D40-FD44-4FBC-9EDF-1B51818BFC78}" srcOrd="2" destOrd="0" presId="urn:microsoft.com/office/officeart/2005/8/layout/cycle4"/>
    <dgm:cxn modelId="{CB5620BB-668C-4728-8A53-29CBAEF1FA33}" type="presParOf" srcId="{255F7FEC-63EC-4C07-B4B1-5C4948CC2079}" destId="{0A4B7D4D-4EC1-40A4-BC5F-C7305CD45BB9}" srcOrd="3" destOrd="0" presId="urn:microsoft.com/office/officeart/2005/8/layout/cycle4"/>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D9AC2C5-4E94-45CA-B54F-FFEC72D959DF}">
      <dsp:nvSpPr>
        <dsp:cNvPr id="0" name=""/>
        <dsp:cNvSpPr/>
      </dsp:nvSpPr>
      <dsp:spPr>
        <a:xfrm>
          <a:off x="2764421" y="2189225"/>
          <a:ext cx="1590408" cy="1030224"/>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2976513"/>
              <a:satOff val="17933"/>
              <a:lumOff val="1437"/>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ctr" defTabSz="400050">
            <a:lnSpc>
              <a:spcPct val="90000"/>
            </a:lnSpc>
            <a:spcBef>
              <a:spcPct val="0"/>
            </a:spcBef>
            <a:spcAft>
              <a:spcPct val="15000"/>
            </a:spcAft>
            <a:buChar char="•"/>
          </a:pPr>
          <a:r>
            <a:rPr lang="en-US" sz="900" b="0" kern="1200" cap="none" spc="0">
              <a:ln w="0"/>
              <a:solidFill>
                <a:schemeClr val="tx1"/>
              </a:solidFill>
              <a:effectLst>
                <a:outerShdw blurRad="38100" dist="19050" dir="2700000" algn="tl" rotWithShape="0">
                  <a:schemeClr val="dk1">
                    <a:alpha val="40000"/>
                  </a:schemeClr>
                </a:outerShdw>
              </a:effectLst>
            </a:rPr>
            <a:t>Intense Competition</a:t>
          </a:r>
        </a:p>
        <a:p>
          <a:pPr marL="57150" lvl="1" indent="-57150" algn="ctr" defTabSz="400050">
            <a:lnSpc>
              <a:spcPct val="90000"/>
            </a:lnSpc>
            <a:spcBef>
              <a:spcPct val="0"/>
            </a:spcBef>
            <a:spcAft>
              <a:spcPct val="15000"/>
            </a:spcAft>
            <a:buChar char="•"/>
          </a:pPr>
          <a:r>
            <a:rPr lang="en-US" sz="900" b="0" kern="1200" cap="none" spc="0">
              <a:ln w="0"/>
              <a:solidFill>
                <a:schemeClr val="tx1"/>
              </a:solidFill>
              <a:effectLst>
                <a:outerShdw blurRad="38100" dist="19050" dir="2700000" algn="tl" rotWithShape="0">
                  <a:schemeClr val="dk1">
                    <a:alpha val="40000"/>
                  </a:schemeClr>
                </a:outerShdw>
              </a:effectLst>
            </a:rPr>
            <a:t>Economic Uncertainties</a:t>
          </a:r>
        </a:p>
        <a:p>
          <a:pPr marL="57150" lvl="1" indent="-57150" algn="ctr" defTabSz="400050">
            <a:lnSpc>
              <a:spcPct val="90000"/>
            </a:lnSpc>
            <a:spcBef>
              <a:spcPct val="0"/>
            </a:spcBef>
            <a:spcAft>
              <a:spcPct val="15000"/>
            </a:spcAft>
            <a:buChar char="•"/>
          </a:pPr>
          <a:endParaRPr lang="en-US" sz="900" b="0" kern="1200" cap="none" spc="0">
            <a:ln w="0"/>
            <a:solidFill>
              <a:schemeClr val="tx1"/>
            </a:solidFill>
            <a:effectLst>
              <a:outerShdw blurRad="38100" dist="19050" dir="2700000" algn="tl" rotWithShape="0">
                <a:schemeClr val="dk1">
                  <a:alpha val="40000"/>
                </a:schemeClr>
              </a:outerShdw>
            </a:effectLst>
          </a:endParaRPr>
        </a:p>
      </dsp:txBody>
      <dsp:txXfrm>
        <a:off x="3264175" y="2469412"/>
        <a:ext cx="1068023" cy="727406"/>
      </dsp:txXfrm>
    </dsp:sp>
    <dsp:sp modelId="{E532BD81-CDE5-4B39-A5F9-FE3A0899E6F7}">
      <dsp:nvSpPr>
        <dsp:cNvPr id="0" name=""/>
        <dsp:cNvSpPr/>
      </dsp:nvSpPr>
      <dsp:spPr>
        <a:xfrm>
          <a:off x="169545" y="2189225"/>
          <a:ext cx="1590408" cy="1030224"/>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4464770"/>
              <a:satOff val="26899"/>
              <a:lumOff val="2156"/>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ctr" defTabSz="400050">
            <a:lnSpc>
              <a:spcPct val="90000"/>
            </a:lnSpc>
            <a:spcBef>
              <a:spcPct val="0"/>
            </a:spcBef>
            <a:spcAft>
              <a:spcPct val="15000"/>
            </a:spcAft>
            <a:buChar char="•"/>
          </a:pPr>
          <a:r>
            <a:rPr lang="en-US" sz="900" b="0" kern="1200" cap="none" spc="0">
              <a:ln w="0"/>
              <a:solidFill>
                <a:schemeClr val="tx1"/>
              </a:solidFill>
              <a:effectLst>
                <a:outerShdw blurRad="38100" dist="19050" dir="2700000" algn="tl" rotWithShape="0">
                  <a:schemeClr val="dk1">
                    <a:alpha val="40000"/>
                  </a:schemeClr>
                </a:outerShdw>
              </a:effectLst>
            </a:rPr>
            <a:t>Eco-Friendly and Experiential Tourism</a:t>
          </a:r>
        </a:p>
        <a:p>
          <a:pPr marL="57150" lvl="1" indent="-57150" algn="ctr" defTabSz="400050">
            <a:lnSpc>
              <a:spcPct val="90000"/>
            </a:lnSpc>
            <a:spcBef>
              <a:spcPct val="0"/>
            </a:spcBef>
            <a:spcAft>
              <a:spcPct val="15000"/>
            </a:spcAft>
            <a:buChar char="•"/>
          </a:pPr>
          <a:r>
            <a:rPr lang="en-US" sz="900" b="0" kern="1200" cap="none" spc="0">
              <a:ln w="0"/>
              <a:solidFill>
                <a:schemeClr val="tx1"/>
              </a:solidFill>
              <a:effectLst>
                <a:outerShdw blurRad="38100" dist="19050" dir="2700000" algn="tl" rotWithShape="0">
                  <a:schemeClr val="dk1">
                    <a:alpha val="40000"/>
                  </a:schemeClr>
                </a:outerShdw>
              </a:effectLst>
            </a:rPr>
            <a:t>Repositioning as an Eco-Resort</a:t>
          </a:r>
        </a:p>
      </dsp:txBody>
      <dsp:txXfrm>
        <a:off x="192176" y="2469412"/>
        <a:ext cx="1068023" cy="727406"/>
      </dsp:txXfrm>
    </dsp:sp>
    <dsp:sp modelId="{A9F2B60A-3831-475C-901D-02B5782C70CF}">
      <dsp:nvSpPr>
        <dsp:cNvPr id="0" name=""/>
        <dsp:cNvSpPr/>
      </dsp:nvSpPr>
      <dsp:spPr>
        <a:xfrm>
          <a:off x="2764421" y="0"/>
          <a:ext cx="1590408" cy="1030224"/>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1488257"/>
              <a:satOff val="8966"/>
              <a:lumOff val="719"/>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ctr" defTabSz="400050">
            <a:lnSpc>
              <a:spcPct val="90000"/>
            </a:lnSpc>
            <a:spcBef>
              <a:spcPct val="0"/>
            </a:spcBef>
            <a:spcAft>
              <a:spcPct val="15000"/>
            </a:spcAft>
            <a:buChar char="•"/>
          </a:pPr>
          <a:r>
            <a:rPr lang="en-US" sz="900" b="0" kern="1200" cap="none" spc="0">
              <a:ln w="0"/>
              <a:solidFill>
                <a:schemeClr val="tx1"/>
              </a:solidFill>
              <a:effectLst>
                <a:outerShdw blurRad="38100" dist="19050" dir="2700000" algn="tl" rotWithShape="0">
                  <a:schemeClr val="dk1">
                    <a:alpha val="40000"/>
                  </a:schemeClr>
                </a:outerShdw>
              </a:effectLst>
            </a:rPr>
            <a:t>Declining Financial Performance</a:t>
          </a:r>
        </a:p>
        <a:p>
          <a:pPr marL="57150" lvl="1" indent="-57150" algn="ctr" defTabSz="400050">
            <a:lnSpc>
              <a:spcPct val="90000"/>
            </a:lnSpc>
            <a:spcBef>
              <a:spcPct val="0"/>
            </a:spcBef>
            <a:spcAft>
              <a:spcPct val="15000"/>
            </a:spcAft>
            <a:buChar char="•"/>
          </a:pPr>
          <a:r>
            <a:rPr lang="en-US" sz="900" b="0" kern="1200" cap="none" spc="0">
              <a:ln w="0"/>
              <a:solidFill>
                <a:schemeClr val="tx1"/>
              </a:solidFill>
              <a:effectLst>
                <a:outerShdw blurRad="38100" dist="19050" dir="2700000" algn="tl" rotWithShape="0">
                  <a:schemeClr val="dk1">
                    <a:alpha val="40000"/>
                  </a:schemeClr>
                </a:outerShdw>
              </a:effectLst>
            </a:rPr>
            <a:t>Outdated Amenities</a:t>
          </a:r>
        </a:p>
      </dsp:txBody>
      <dsp:txXfrm>
        <a:off x="3264175" y="22631"/>
        <a:ext cx="1068023" cy="727406"/>
      </dsp:txXfrm>
    </dsp:sp>
    <dsp:sp modelId="{F2863ADC-3C90-4DF8-B921-A1D54BE6C299}">
      <dsp:nvSpPr>
        <dsp:cNvPr id="0" name=""/>
        <dsp:cNvSpPr/>
      </dsp:nvSpPr>
      <dsp:spPr>
        <a:xfrm>
          <a:off x="169545" y="0"/>
          <a:ext cx="1590408" cy="1030224"/>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ctr" defTabSz="400050">
            <a:lnSpc>
              <a:spcPct val="90000"/>
            </a:lnSpc>
            <a:spcBef>
              <a:spcPct val="0"/>
            </a:spcBef>
            <a:spcAft>
              <a:spcPct val="15000"/>
            </a:spcAft>
            <a:buChar char="•"/>
          </a:pPr>
          <a:r>
            <a:rPr lang="en-US" sz="900" b="0" kern="1200" cap="none" spc="0">
              <a:ln w="0"/>
              <a:solidFill>
                <a:schemeClr val="tx1"/>
              </a:solidFill>
              <a:effectLst>
                <a:outerShdw blurRad="38100" dist="19050" dir="2700000" algn="tl" rotWithShape="0">
                  <a:schemeClr val="dk1">
                    <a:alpha val="40000"/>
                  </a:schemeClr>
                </a:outerShdw>
              </a:effectLst>
            </a:rPr>
            <a:t>Scenic Location and History</a:t>
          </a:r>
        </a:p>
        <a:p>
          <a:pPr marL="57150" lvl="1" indent="-57150" algn="ctr" defTabSz="400050">
            <a:lnSpc>
              <a:spcPct val="90000"/>
            </a:lnSpc>
            <a:spcBef>
              <a:spcPct val="0"/>
            </a:spcBef>
            <a:spcAft>
              <a:spcPct val="15000"/>
            </a:spcAft>
            <a:buChar char="•"/>
          </a:pPr>
          <a:r>
            <a:rPr lang="en-US" sz="900" b="0" kern="1200" cap="none" spc="0">
              <a:ln w="0"/>
              <a:solidFill>
                <a:schemeClr val="tx1"/>
              </a:solidFill>
              <a:effectLst>
                <a:outerShdw blurRad="38100" dist="19050" dir="2700000" algn="tl" rotWithShape="0">
                  <a:schemeClr val="dk1">
                    <a:alpha val="40000"/>
                  </a:schemeClr>
                </a:outerShdw>
              </a:effectLst>
            </a:rPr>
            <a:t>Property and Equipment</a:t>
          </a:r>
        </a:p>
      </dsp:txBody>
      <dsp:txXfrm>
        <a:off x="192176" y="22631"/>
        <a:ext cx="1068023" cy="727406"/>
      </dsp:txXfrm>
    </dsp:sp>
    <dsp:sp modelId="{3D720D02-0747-462F-B49A-CD6B3DBB87A7}">
      <dsp:nvSpPr>
        <dsp:cNvPr id="0" name=""/>
        <dsp:cNvSpPr/>
      </dsp:nvSpPr>
      <dsp:spPr>
        <a:xfrm>
          <a:off x="835971" y="183508"/>
          <a:ext cx="1394021" cy="1394021"/>
        </a:xfrm>
        <a:prstGeom prst="pieWedg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b="1" kern="1200" cap="none" spc="0">
              <a:ln w="0"/>
              <a:solidFill>
                <a:schemeClr val="tx1"/>
              </a:solidFill>
              <a:effectLst>
                <a:outerShdw blurRad="38100" dist="19050" dir="2700000" algn="tl" rotWithShape="0">
                  <a:schemeClr val="dk1">
                    <a:alpha val="40000"/>
                  </a:schemeClr>
                </a:outerShdw>
              </a:effectLst>
            </a:rPr>
            <a:t>Strengths</a:t>
          </a:r>
        </a:p>
      </dsp:txBody>
      <dsp:txXfrm>
        <a:off x="1244270" y="591807"/>
        <a:ext cx="985722" cy="985722"/>
      </dsp:txXfrm>
    </dsp:sp>
    <dsp:sp modelId="{30FF2CC1-8109-4668-8660-839BF829361A}">
      <dsp:nvSpPr>
        <dsp:cNvPr id="0" name=""/>
        <dsp:cNvSpPr/>
      </dsp:nvSpPr>
      <dsp:spPr>
        <a:xfrm rot="5400000">
          <a:off x="2294382" y="183508"/>
          <a:ext cx="1394021" cy="1394021"/>
        </a:xfrm>
        <a:prstGeom prst="pieWedge">
          <a:avLst/>
        </a:prstGeom>
        <a:solidFill>
          <a:schemeClr val="accent4">
            <a:hueOff val="-1488257"/>
            <a:satOff val="8966"/>
            <a:lumOff val="71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b="1" kern="1200" cap="none" spc="0">
              <a:ln w="0"/>
              <a:solidFill>
                <a:schemeClr val="tx1"/>
              </a:solidFill>
              <a:effectLst>
                <a:outerShdw blurRad="38100" dist="19050" dir="2700000" algn="tl" rotWithShape="0">
                  <a:schemeClr val="dk1">
                    <a:alpha val="40000"/>
                  </a:schemeClr>
                </a:outerShdw>
              </a:effectLst>
            </a:rPr>
            <a:t>Weaknesses</a:t>
          </a:r>
        </a:p>
      </dsp:txBody>
      <dsp:txXfrm rot="-5400000">
        <a:off x="2294382" y="591807"/>
        <a:ext cx="985722" cy="985722"/>
      </dsp:txXfrm>
    </dsp:sp>
    <dsp:sp modelId="{2B519DD6-F1B4-4DEA-9BB9-282A113BCCCB}">
      <dsp:nvSpPr>
        <dsp:cNvPr id="0" name=""/>
        <dsp:cNvSpPr/>
      </dsp:nvSpPr>
      <dsp:spPr>
        <a:xfrm rot="10800000">
          <a:off x="2294382" y="1641919"/>
          <a:ext cx="1394021" cy="1394021"/>
        </a:xfrm>
        <a:prstGeom prst="pieWedge">
          <a:avLst/>
        </a:prstGeom>
        <a:solidFill>
          <a:schemeClr val="accent4">
            <a:hueOff val="-2976513"/>
            <a:satOff val="17933"/>
            <a:lumOff val="143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b="1" kern="1200" cap="none" spc="0">
              <a:ln w="0"/>
              <a:solidFill>
                <a:schemeClr val="tx1"/>
              </a:solidFill>
              <a:effectLst>
                <a:outerShdw blurRad="38100" dist="19050" dir="2700000" algn="tl" rotWithShape="0">
                  <a:schemeClr val="dk1">
                    <a:alpha val="40000"/>
                  </a:schemeClr>
                </a:outerShdw>
              </a:effectLst>
            </a:rPr>
            <a:t>Threats</a:t>
          </a:r>
        </a:p>
      </dsp:txBody>
      <dsp:txXfrm rot="10800000">
        <a:off x="2294382" y="1641919"/>
        <a:ext cx="985722" cy="985722"/>
      </dsp:txXfrm>
    </dsp:sp>
    <dsp:sp modelId="{9FF52CBC-60B6-45A4-A78F-329EC67EA429}">
      <dsp:nvSpPr>
        <dsp:cNvPr id="0" name=""/>
        <dsp:cNvSpPr/>
      </dsp:nvSpPr>
      <dsp:spPr>
        <a:xfrm rot="16200000">
          <a:off x="835971" y="1641919"/>
          <a:ext cx="1394021" cy="1394021"/>
        </a:xfrm>
        <a:prstGeom prst="pieWedge">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b="1" kern="1200" cap="none" spc="0">
              <a:ln w="0"/>
              <a:solidFill>
                <a:schemeClr val="tx1"/>
              </a:solidFill>
              <a:effectLst>
                <a:outerShdw blurRad="38100" dist="19050" dir="2700000" algn="tl" rotWithShape="0">
                  <a:schemeClr val="dk1">
                    <a:alpha val="40000"/>
                  </a:schemeClr>
                </a:outerShdw>
              </a:effectLst>
            </a:rPr>
            <a:t>Opportunities</a:t>
          </a:r>
        </a:p>
      </dsp:txBody>
      <dsp:txXfrm rot="5400000">
        <a:off x="1244270" y="1641919"/>
        <a:ext cx="985722" cy="985722"/>
      </dsp:txXfrm>
    </dsp:sp>
    <dsp:sp modelId="{77FE9D40-FD44-4FBC-9EDF-1B51818BFC78}">
      <dsp:nvSpPr>
        <dsp:cNvPr id="0" name=""/>
        <dsp:cNvSpPr/>
      </dsp:nvSpPr>
      <dsp:spPr>
        <a:xfrm>
          <a:off x="2021533" y="1319974"/>
          <a:ext cx="481307" cy="418528"/>
        </a:xfrm>
        <a:prstGeom prst="circularArrow">
          <a:avLst/>
        </a:prstGeom>
        <a:solidFill>
          <a:schemeClr val="accent4">
            <a:tint val="4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0A4B7D4D-4EC1-40A4-BC5F-C7305CD45BB9}">
      <dsp:nvSpPr>
        <dsp:cNvPr id="0" name=""/>
        <dsp:cNvSpPr/>
      </dsp:nvSpPr>
      <dsp:spPr>
        <a:xfrm rot="10800000">
          <a:off x="2021533" y="1480946"/>
          <a:ext cx="481307" cy="418528"/>
        </a:xfrm>
        <a:prstGeom prst="circularArrow">
          <a:avLst/>
        </a:prstGeom>
        <a:solidFill>
          <a:schemeClr val="accent4">
            <a:tint val="4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17</Pages>
  <Words>2811</Words>
  <Characters>18486</Characters>
  <Application>Microsoft Office Word</Application>
  <DocSecurity>0</DocSecurity>
  <Lines>154</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Parbes Ali</dc:creator>
  <cp:lastModifiedBy>Parbes Ali</cp:lastModifiedBy>
  <cp:revision>2</cp:revision>
  <dcterms:created xsi:type="dcterms:W3CDTF">2023-11-14T09:46:00Z</dcterms:created>
  <dcterms:modified xsi:type="dcterms:W3CDTF">2023-11-14T09:46:00Z</dcterms:modified>
</cp:coreProperties>
</file>