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D4E512" w14:textId="77777777" w:rsidR="000F37F7" w:rsidRDefault="000F37F7" w:rsidP="000F37F7">
      <w:pPr>
        <w:pStyle w:val="NormalWeb"/>
        <w:shd w:val="clear" w:color="auto" w:fill="FFFFFF"/>
        <w:jc w:val="center"/>
        <w:rPr>
          <w:rFonts w:ascii="Calibri" w:hAnsi="Calibri" w:cs="Calibri"/>
          <w:b/>
          <w:bCs/>
          <w:sz w:val="36"/>
          <w:szCs w:val="36"/>
        </w:rPr>
      </w:pPr>
      <w:r>
        <w:rPr>
          <w:rFonts w:ascii="Calibri" w:hAnsi="Calibri" w:cs="Calibri"/>
          <w:b/>
          <w:bCs/>
          <w:sz w:val="40"/>
          <w:szCs w:val="40"/>
        </w:rPr>
        <w:t xml:space="preserve">University of Wales Trinity Saint David. </w:t>
      </w:r>
      <w:proofErr w:type="spellStart"/>
      <w:r>
        <w:rPr>
          <w:rFonts w:ascii="Calibri" w:hAnsi="Calibri" w:cs="Calibri"/>
          <w:b/>
          <w:bCs/>
          <w:sz w:val="36"/>
          <w:szCs w:val="36"/>
        </w:rPr>
        <w:t>CertHE</w:t>
      </w:r>
      <w:proofErr w:type="spellEnd"/>
      <w:r>
        <w:rPr>
          <w:rFonts w:ascii="Calibri" w:hAnsi="Calibri" w:cs="Calibri"/>
          <w:b/>
          <w:bCs/>
          <w:sz w:val="36"/>
          <w:szCs w:val="36"/>
        </w:rPr>
        <w:t xml:space="preserve"> Applied Leadership and Management Outreach</w:t>
      </w:r>
    </w:p>
    <w:p w14:paraId="1264D043" w14:textId="77777777" w:rsidR="000F37F7" w:rsidRDefault="000F37F7" w:rsidP="000F37F7">
      <w:pPr>
        <w:pStyle w:val="NormalWeb"/>
        <w:shd w:val="clear" w:color="auto" w:fill="FFFFFF"/>
        <w:jc w:val="center"/>
      </w:pPr>
    </w:p>
    <w:p w14:paraId="40966352" w14:textId="77777777" w:rsidR="000F37F7" w:rsidRDefault="000F37F7" w:rsidP="000F37F7">
      <w:pPr>
        <w:pStyle w:val="NormalWeb"/>
        <w:shd w:val="clear" w:color="auto" w:fill="FFFFFF"/>
      </w:pPr>
      <w:r>
        <w:rPr>
          <w:rFonts w:ascii="Calibri" w:hAnsi="Calibri" w:cs="Calibri"/>
          <w:b/>
          <w:bCs/>
          <w:sz w:val="32"/>
          <w:szCs w:val="32"/>
        </w:rPr>
        <w:t xml:space="preserve">Student Name: </w:t>
      </w:r>
      <w:r>
        <w:rPr>
          <w:rFonts w:ascii="Calibri" w:hAnsi="Calibri" w:cs="Calibri"/>
          <w:sz w:val="32"/>
          <w:szCs w:val="32"/>
        </w:rPr>
        <w:t xml:space="preserve">Ross Davies </w:t>
      </w:r>
    </w:p>
    <w:p w14:paraId="646D177B" w14:textId="77777777" w:rsidR="000F37F7" w:rsidRDefault="000F37F7" w:rsidP="000F37F7">
      <w:pPr>
        <w:pStyle w:val="NormalWeb"/>
        <w:shd w:val="clear" w:color="auto" w:fill="FFFFFF"/>
      </w:pPr>
      <w:r>
        <w:rPr>
          <w:rFonts w:ascii="Calibri" w:hAnsi="Calibri" w:cs="Calibri"/>
          <w:b/>
          <w:bCs/>
          <w:sz w:val="32"/>
          <w:szCs w:val="32"/>
        </w:rPr>
        <w:t xml:space="preserve">Student ID Number: </w:t>
      </w:r>
      <w:r>
        <w:rPr>
          <w:rFonts w:ascii="Calibri" w:hAnsi="Calibri" w:cs="Calibri"/>
          <w:sz w:val="32"/>
          <w:szCs w:val="32"/>
        </w:rPr>
        <w:t xml:space="preserve">2430162 </w:t>
      </w:r>
    </w:p>
    <w:p w14:paraId="482AA997" w14:textId="77777777" w:rsidR="000F37F7" w:rsidRDefault="000F37F7" w:rsidP="000F37F7">
      <w:pPr>
        <w:pStyle w:val="NormalWeb"/>
        <w:shd w:val="clear" w:color="auto" w:fill="FFFFFF"/>
      </w:pPr>
      <w:r>
        <w:rPr>
          <w:rFonts w:ascii="Calibri" w:hAnsi="Calibri" w:cs="Calibri"/>
          <w:b/>
          <w:bCs/>
          <w:sz w:val="32"/>
          <w:szCs w:val="32"/>
        </w:rPr>
        <w:t xml:space="preserve">Lecturer Name: </w:t>
      </w:r>
      <w:r>
        <w:rPr>
          <w:rFonts w:ascii="Calibri" w:hAnsi="Calibri" w:cs="Calibri"/>
          <w:sz w:val="32"/>
          <w:szCs w:val="32"/>
        </w:rPr>
        <w:t xml:space="preserve">Navdeep Randhawa </w:t>
      </w:r>
    </w:p>
    <w:p w14:paraId="27B8F2E1" w14:textId="28613D45" w:rsidR="000F37F7" w:rsidRPr="00DD6A55" w:rsidRDefault="000F37F7" w:rsidP="000F37F7">
      <w:pPr>
        <w:pStyle w:val="NormalWeb"/>
        <w:shd w:val="clear" w:color="auto" w:fill="FFFFFF"/>
      </w:pPr>
      <w:r>
        <w:rPr>
          <w:rFonts w:ascii="Calibri" w:hAnsi="Calibri" w:cs="Calibri"/>
          <w:b/>
          <w:bCs/>
          <w:sz w:val="32"/>
          <w:szCs w:val="32"/>
        </w:rPr>
        <w:t xml:space="preserve">Assignment Module: </w:t>
      </w:r>
      <w:r>
        <w:rPr>
          <w:rFonts w:ascii="Calibri" w:hAnsi="Calibri" w:cs="Calibri"/>
          <w:sz w:val="32"/>
          <w:szCs w:val="32"/>
        </w:rPr>
        <w:t xml:space="preserve">Developing Professional Practice </w:t>
      </w:r>
    </w:p>
    <w:p w14:paraId="7D4A603A" w14:textId="0B26F849" w:rsidR="000F37F7" w:rsidRDefault="000F37F7" w:rsidP="000F37F7">
      <w:pPr>
        <w:pStyle w:val="NormalWeb"/>
        <w:shd w:val="clear" w:color="auto" w:fill="FFFFFF"/>
      </w:pPr>
      <w:r>
        <w:rPr>
          <w:rFonts w:ascii="Calibri" w:hAnsi="Calibri" w:cs="Calibri"/>
          <w:b/>
          <w:bCs/>
          <w:sz w:val="32"/>
          <w:szCs w:val="32"/>
        </w:rPr>
        <w:t xml:space="preserve">Assignment Code: </w:t>
      </w:r>
      <w:r>
        <w:rPr>
          <w:rFonts w:ascii="Calibri" w:hAnsi="Calibri" w:cs="Calibri"/>
          <w:sz w:val="32"/>
          <w:szCs w:val="32"/>
        </w:rPr>
        <w:t>BMSK401</w:t>
      </w:r>
      <w:r>
        <w:rPr>
          <w:rFonts w:ascii="Calibri" w:hAnsi="Calibri" w:cs="Calibri"/>
          <w:sz w:val="32"/>
          <w:szCs w:val="32"/>
        </w:rPr>
        <w:t>6</w:t>
      </w:r>
    </w:p>
    <w:p w14:paraId="295A7DA5" w14:textId="44E8E882" w:rsidR="000F37F7" w:rsidRPr="00DD6A55" w:rsidRDefault="000F37F7" w:rsidP="000F37F7">
      <w:pPr>
        <w:pStyle w:val="NormalWeb"/>
        <w:shd w:val="clear" w:color="auto" w:fill="FFFFFF"/>
      </w:pPr>
      <w:r>
        <w:rPr>
          <w:rFonts w:ascii="Calibri" w:hAnsi="Calibri" w:cs="Calibri"/>
          <w:b/>
          <w:bCs/>
          <w:sz w:val="32"/>
          <w:szCs w:val="32"/>
        </w:rPr>
        <w:t xml:space="preserve">Assignment Title: </w:t>
      </w:r>
      <w:r>
        <w:rPr>
          <w:rFonts w:ascii="Calibri" w:hAnsi="Calibri" w:cs="Calibri"/>
          <w:sz w:val="32"/>
          <w:szCs w:val="32"/>
        </w:rPr>
        <w:t>Developing Professional Practice</w:t>
      </w:r>
      <w:r>
        <w:rPr>
          <w:rFonts w:ascii="Calibri" w:hAnsi="Calibri" w:cs="Calibri"/>
          <w:sz w:val="32"/>
          <w:szCs w:val="32"/>
        </w:rPr>
        <w:t xml:space="preserve"> –</w:t>
      </w:r>
      <w:r>
        <w:rPr>
          <w:rFonts w:ascii="Calibri" w:hAnsi="Calibri" w:cs="Calibri"/>
          <w:sz w:val="32"/>
          <w:szCs w:val="32"/>
        </w:rPr>
        <w:t xml:space="preserve"> Critical Review of SMART Engineering Case Study</w:t>
      </w:r>
    </w:p>
    <w:p w14:paraId="0F92DE10" w14:textId="1D0F951C" w:rsidR="000F37F7" w:rsidRDefault="000F37F7" w:rsidP="000F37F7">
      <w:pPr>
        <w:pStyle w:val="NormalWeb"/>
        <w:shd w:val="clear" w:color="auto" w:fill="FFFFFF"/>
      </w:pPr>
      <w:r>
        <w:rPr>
          <w:rFonts w:ascii="Calibri" w:hAnsi="Calibri" w:cs="Calibri"/>
          <w:b/>
          <w:bCs/>
          <w:sz w:val="32"/>
          <w:szCs w:val="32"/>
        </w:rPr>
        <w:t xml:space="preserve">Submission Date: </w:t>
      </w:r>
      <w:r>
        <w:rPr>
          <w:rFonts w:ascii="Calibri" w:hAnsi="Calibri" w:cs="Calibri"/>
          <w:sz w:val="32"/>
          <w:szCs w:val="32"/>
        </w:rPr>
        <w:t>29/</w:t>
      </w:r>
      <w:r w:rsidR="001539B4">
        <w:rPr>
          <w:rFonts w:ascii="Calibri" w:hAnsi="Calibri" w:cs="Calibri"/>
          <w:sz w:val="32"/>
          <w:szCs w:val="32"/>
        </w:rPr>
        <w:t>09/</w:t>
      </w:r>
      <w:r>
        <w:rPr>
          <w:rFonts w:ascii="Calibri" w:hAnsi="Calibri" w:cs="Calibri"/>
          <w:sz w:val="32"/>
          <w:szCs w:val="32"/>
        </w:rPr>
        <w:t>2025</w:t>
      </w:r>
    </w:p>
    <w:p w14:paraId="5DC83567" w14:textId="77777777" w:rsidR="000F37F7" w:rsidRDefault="000F37F7" w:rsidP="008900B6">
      <w:pPr>
        <w:rPr>
          <w:rFonts w:eastAsia="Times New Roman" w:cstheme="minorHAnsi"/>
          <w:b/>
          <w:bCs/>
          <w:kern w:val="36"/>
          <w:sz w:val="48"/>
          <w:szCs w:val="48"/>
          <w:u w:val="single"/>
          <w:lang w:eastAsia="en-GB"/>
        </w:rPr>
      </w:pPr>
    </w:p>
    <w:p w14:paraId="2884FE1A" w14:textId="77777777" w:rsidR="000F37F7" w:rsidRDefault="000F37F7" w:rsidP="008900B6">
      <w:pPr>
        <w:rPr>
          <w:rFonts w:eastAsia="Times New Roman" w:cstheme="minorHAnsi"/>
          <w:b/>
          <w:bCs/>
          <w:kern w:val="36"/>
          <w:sz w:val="48"/>
          <w:szCs w:val="48"/>
          <w:u w:val="single"/>
          <w:lang w:eastAsia="en-GB"/>
        </w:rPr>
      </w:pPr>
    </w:p>
    <w:p w14:paraId="69C9E91E" w14:textId="77777777" w:rsidR="000F37F7" w:rsidRDefault="000F37F7" w:rsidP="008900B6">
      <w:pPr>
        <w:rPr>
          <w:rFonts w:eastAsia="Times New Roman" w:cstheme="minorHAnsi"/>
          <w:b/>
          <w:bCs/>
          <w:kern w:val="36"/>
          <w:sz w:val="48"/>
          <w:szCs w:val="48"/>
          <w:u w:val="single"/>
          <w:lang w:eastAsia="en-GB"/>
        </w:rPr>
      </w:pPr>
    </w:p>
    <w:p w14:paraId="7F93B978" w14:textId="77777777" w:rsidR="000F37F7" w:rsidRDefault="000F37F7" w:rsidP="008900B6">
      <w:pPr>
        <w:rPr>
          <w:rFonts w:eastAsia="Times New Roman" w:cstheme="minorHAnsi"/>
          <w:b/>
          <w:bCs/>
          <w:kern w:val="36"/>
          <w:sz w:val="48"/>
          <w:szCs w:val="48"/>
          <w:u w:val="single"/>
          <w:lang w:eastAsia="en-GB"/>
        </w:rPr>
      </w:pPr>
    </w:p>
    <w:p w14:paraId="4FBE90AE" w14:textId="77777777" w:rsidR="000F37F7" w:rsidRDefault="000F37F7" w:rsidP="008900B6">
      <w:pPr>
        <w:rPr>
          <w:rFonts w:eastAsia="Times New Roman" w:cstheme="minorHAnsi"/>
          <w:b/>
          <w:bCs/>
          <w:kern w:val="36"/>
          <w:sz w:val="48"/>
          <w:szCs w:val="48"/>
          <w:u w:val="single"/>
          <w:lang w:eastAsia="en-GB"/>
        </w:rPr>
      </w:pPr>
    </w:p>
    <w:p w14:paraId="7AF9DCC8" w14:textId="77777777" w:rsidR="000F37F7" w:rsidRDefault="000F37F7" w:rsidP="008900B6">
      <w:pPr>
        <w:rPr>
          <w:rFonts w:eastAsia="Times New Roman" w:cstheme="minorHAnsi"/>
          <w:b/>
          <w:bCs/>
          <w:kern w:val="36"/>
          <w:sz w:val="48"/>
          <w:szCs w:val="48"/>
          <w:u w:val="single"/>
          <w:lang w:eastAsia="en-GB"/>
        </w:rPr>
      </w:pPr>
    </w:p>
    <w:p w14:paraId="02E34CE1" w14:textId="77777777" w:rsidR="000F37F7" w:rsidRDefault="000F37F7" w:rsidP="008900B6">
      <w:pPr>
        <w:rPr>
          <w:rFonts w:eastAsia="Times New Roman" w:cstheme="minorHAnsi"/>
          <w:b/>
          <w:bCs/>
          <w:kern w:val="36"/>
          <w:sz w:val="48"/>
          <w:szCs w:val="48"/>
          <w:u w:val="single"/>
          <w:lang w:eastAsia="en-GB"/>
        </w:rPr>
      </w:pPr>
    </w:p>
    <w:p w14:paraId="25F0BFF5" w14:textId="77777777" w:rsidR="000F37F7" w:rsidRDefault="000F37F7" w:rsidP="008900B6">
      <w:pPr>
        <w:rPr>
          <w:rFonts w:eastAsia="Times New Roman" w:cstheme="minorHAnsi"/>
          <w:b/>
          <w:bCs/>
          <w:kern w:val="36"/>
          <w:sz w:val="48"/>
          <w:szCs w:val="48"/>
          <w:u w:val="single"/>
          <w:lang w:eastAsia="en-GB"/>
        </w:rPr>
      </w:pPr>
    </w:p>
    <w:p w14:paraId="5F8BF7A8" w14:textId="77777777" w:rsidR="000F37F7" w:rsidRDefault="000F37F7" w:rsidP="008900B6">
      <w:pPr>
        <w:rPr>
          <w:rFonts w:eastAsia="Times New Roman" w:cstheme="minorHAnsi"/>
          <w:b/>
          <w:bCs/>
          <w:kern w:val="36"/>
          <w:sz w:val="48"/>
          <w:szCs w:val="48"/>
          <w:u w:val="single"/>
          <w:lang w:eastAsia="en-GB"/>
        </w:rPr>
      </w:pPr>
    </w:p>
    <w:p w14:paraId="42897E02" w14:textId="77777777" w:rsidR="000F37F7" w:rsidRDefault="000F37F7" w:rsidP="008900B6">
      <w:pPr>
        <w:rPr>
          <w:rFonts w:eastAsia="Times New Roman" w:cstheme="minorHAnsi"/>
          <w:b/>
          <w:bCs/>
          <w:kern w:val="36"/>
          <w:sz w:val="48"/>
          <w:szCs w:val="48"/>
          <w:u w:val="single"/>
          <w:lang w:eastAsia="en-GB"/>
        </w:rPr>
      </w:pPr>
    </w:p>
    <w:p w14:paraId="6AFC6B0A" w14:textId="77777777" w:rsidR="000F37F7" w:rsidRDefault="000F37F7" w:rsidP="008900B6">
      <w:pPr>
        <w:rPr>
          <w:rFonts w:eastAsia="Times New Roman" w:cstheme="minorHAnsi"/>
          <w:b/>
          <w:bCs/>
          <w:kern w:val="36"/>
          <w:sz w:val="48"/>
          <w:szCs w:val="48"/>
          <w:u w:val="single"/>
          <w:lang w:eastAsia="en-GB"/>
        </w:rPr>
      </w:pPr>
    </w:p>
    <w:p w14:paraId="1F4101CB" w14:textId="362CAD2D" w:rsidR="00BD74AA" w:rsidRPr="00177C6D" w:rsidRDefault="008900B6" w:rsidP="008900B6">
      <w:pPr>
        <w:rPr>
          <w:rFonts w:eastAsia="Times New Roman" w:cstheme="minorHAnsi"/>
          <w:lang w:eastAsia="en-GB"/>
        </w:rPr>
      </w:pPr>
      <w:r w:rsidRPr="00177C6D">
        <w:rPr>
          <w:rFonts w:eastAsia="Times New Roman" w:cstheme="minorHAnsi"/>
          <w:b/>
          <w:bCs/>
          <w:kern w:val="36"/>
          <w:sz w:val="48"/>
          <w:szCs w:val="48"/>
          <w:u w:val="single"/>
          <w:lang w:eastAsia="en-GB"/>
        </w:rPr>
        <w:lastRenderedPageBreak/>
        <w:t xml:space="preserve">BMSK4016 - </w:t>
      </w:r>
      <w:r w:rsidR="00BD74AA" w:rsidRPr="00177C6D">
        <w:rPr>
          <w:rFonts w:eastAsia="Times New Roman" w:cstheme="minorHAnsi"/>
          <w:b/>
          <w:bCs/>
          <w:kern w:val="36"/>
          <w:sz w:val="48"/>
          <w:szCs w:val="48"/>
          <w:u w:val="single"/>
          <w:lang w:eastAsia="en-GB"/>
        </w:rPr>
        <w:t>Critical Review of SMART Engineering Case Study</w:t>
      </w:r>
    </w:p>
    <w:p w14:paraId="26B5C8C5" w14:textId="4FC3D2CE" w:rsidR="008900B6" w:rsidRPr="00177C6D" w:rsidRDefault="005971B5" w:rsidP="00BD74AA">
      <w:pPr>
        <w:spacing w:before="100" w:beforeAutospacing="1" w:after="100" w:afterAutospacing="1"/>
        <w:outlineLvl w:val="0"/>
        <w:rPr>
          <w:rFonts w:eastAsia="Times New Roman" w:cstheme="minorHAnsi"/>
          <w:b/>
          <w:bCs/>
          <w:kern w:val="36"/>
          <w:sz w:val="48"/>
          <w:szCs w:val="48"/>
          <w:lang w:eastAsia="en-GB"/>
        </w:rPr>
      </w:pPr>
      <w:r>
        <w:pict w14:anchorId="5BBE0698">
          <v:rect id="Horizontal Line 32" o:spid="_x0000_s1028" alt="" style="width:451.3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1BEE89B6" w14:textId="77777777" w:rsidR="00BD74AA" w:rsidRPr="00177C6D" w:rsidRDefault="00BD74AA" w:rsidP="00BD74AA">
      <w:pPr>
        <w:spacing w:before="100" w:beforeAutospacing="1" w:after="100" w:afterAutospacing="1"/>
        <w:outlineLvl w:val="1"/>
        <w:rPr>
          <w:rFonts w:eastAsia="Times New Roman" w:cstheme="minorHAnsi"/>
          <w:b/>
          <w:bCs/>
          <w:sz w:val="36"/>
          <w:szCs w:val="36"/>
          <w:lang w:eastAsia="en-GB"/>
        </w:rPr>
      </w:pPr>
      <w:r w:rsidRPr="00177C6D">
        <w:rPr>
          <w:rFonts w:eastAsia="Times New Roman" w:cstheme="minorHAnsi"/>
          <w:b/>
          <w:bCs/>
          <w:sz w:val="36"/>
          <w:szCs w:val="36"/>
          <w:lang w:eastAsia="en-GB"/>
        </w:rPr>
        <w:t>Contents</w:t>
      </w:r>
    </w:p>
    <w:p w14:paraId="48272FA4" w14:textId="0E42F148" w:rsidR="002F129C" w:rsidRPr="00177C6D" w:rsidRDefault="002F129C" w:rsidP="002F129C">
      <w:pPr>
        <w:pStyle w:val="NormalWeb"/>
        <w:numPr>
          <w:ilvl w:val="0"/>
          <w:numId w:val="32"/>
        </w:numPr>
        <w:rPr>
          <w:rFonts w:asciiTheme="minorHAnsi" w:hAnsiTheme="minorHAnsi" w:cstheme="minorHAnsi"/>
        </w:rPr>
      </w:pPr>
      <w:r w:rsidRPr="00177C6D">
        <w:rPr>
          <w:rFonts w:asciiTheme="minorHAnsi" w:hAnsiTheme="minorHAnsi" w:cstheme="minorHAnsi"/>
        </w:rPr>
        <w:t>Introduction</w:t>
      </w:r>
    </w:p>
    <w:p w14:paraId="225B9267" w14:textId="38DB5014" w:rsidR="002F129C" w:rsidRPr="00177C6D" w:rsidRDefault="002F129C" w:rsidP="002F129C">
      <w:pPr>
        <w:pStyle w:val="NormalWeb"/>
        <w:numPr>
          <w:ilvl w:val="0"/>
          <w:numId w:val="32"/>
        </w:numPr>
        <w:rPr>
          <w:rFonts w:asciiTheme="minorHAnsi" w:hAnsiTheme="minorHAnsi" w:cstheme="minorHAnsi"/>
        </w:rPr>
      </w:pPr>
      <w:r w:rsidRPr="00177C6D">
        <w:rPr>
          <w:rFonts w:asciiTheme="minorHAnsi" w:hAnsiTheme="minorHAnsi" w:cstheme="minorHAnsi"/>
        </w:rPr>
        <w:t>Case Analysis</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2.1 What happened?</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2.2 Why did it happen?</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2.3 Who was affected, and how?</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2.4 What are the consequences of their actions?</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2.5 How should things have been done differently?</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 xml:space="preserve">Table </w:t>
      </w:r>
      <w:r w:rsidR="00624F73" w:rsidRPr="00177C6D">
        <w:rPr>
          <w:rFonts w:asciiTheme="minorHAnsi" w:hAnsiTheme="minorHAnsi" w:cstheme="minorHAnsi"/>
        </w:rPr>
        <w:t>1</w:t>
      </w:r>
      <w:r w:rsidRPr="00177C6D">
        <w:rPr>
          <w:rFonts w:asciiTheme="minorHAnsi" w:hAnsiTheme="minorHAnsi" w:cstheme="minorHAnsi"/>
        </w:rPr>
        <w:t>. Summary of Case Analysis</w:t>
      </w:r>
    </w:p>
    <w:p w14:paraId="2E0C3B82" w14:textId="6844B68F" w:rsidR="002F129C" w:rsidRPr="00177C6D" w:rsidRDefault="002F129C" w:rsidP="002F129C">
      <w:pPr>
        <w:pStyle w:val="NormalWeb"/>
        <w:numPr>
          <w:ilvl w:val="0"/>
          <w:numId w:val="32"/>
        </w:numPr>
        <w:rPr>
          <w:rFonts w:asciiTheme="minorHAnsi" w:hAnsiTheme="minorHAnsi" w:cstheme="minorHAnsi"/>
        </w:rPr>
      </w:pPr>
      <w:r w:rsidRPr="00177C6D">
        <w:rPr>
          <w:rFonts w:asciiTheme="minorHAnsi" w:hAnsiTheme="minorHAnsi" w:cstheme="minorHAnsi"/>
        </w:rPr>
        <w:t>Thematic Analysis</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3.1 Self-management</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3.2 Personal, cognitive, and unconscious bias</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3.3 Accountability and authentic behaviour</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3.4 Interpersonal relationships</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3.5 Professional integrity</w:t>
      </w:r>
    </w:p>
    <w:p w14:paraId="2653A5A6" w14:textId="0450F044" w:rsidR="002F129C" w:rsidRPr="00177C6D" w:rsidRDefault="002F129C" w:rsidP="002F129C">
      <w:pPr>
        <w:pStyle w:val="NormalWeb"/>
        <w:numPr>
          <w:ilvl w:val="0"/>
          <w:numId w:val="32"/>
        </w:numPr>
        <w:rPr>
          <w:rFonts w:asciiTheme="minorHAnsi" w:hAnsiTheme="minorHAnsi" w:cstheme="minorHAnsi"/>
        </w:rPr>
      </w:pPr>
      <w:r w:rsidRPr="00177C6D">
        <w:rPr>
          <w:rFonts w:asciiTheme="minorHAnsi" w:hAnsiTheme="minorHAnsi" w:cstheme="minorHAnsi"/>
        </w:rPr>
        <w:t>Personal Development Plan (PDP)</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4.1 SMART objectives</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 xml:space="preserve">Table </w:t>
      </w:r>
      <w:r w:rsidR="00624F73" w:rsidRPr="00177C6D">
        <w:rPr>
          <w:rFonts w:asciiTheme="minorHAnsi" w:hAnsiTheme="minorHAnsi" w:cstheme="minorHAnsi"/>
        </w:rPr>
        <w:t>2</w:t>
      </w:r>
      <w:r w:rsidRPr="00177C6D">
        <w:rPr>
          <w:rFonts w:asciiTheme="minorHAnsi" w:hAnsiTheme="minorHAnsi" w:cstheme="minorHAnsi"/>
        </w:rPr>
        <w:t>. Personal Development Plan</w:t>
      </w:r>
      <w:r w:rsidRPr="00177C6D">
        <w:rPr>
          <w:rFonts w:asciiTheme="minorHAnsi" w:hAnsiTheme="minorHAnsi" w:cstheme="minorHAnsi"/>
        </w:rPr>
        <w:br/>
      </w:r>
      <w:r w:rsidRPr="00177C6D">
        <w:rPr>
          <w:rFonts w:asciiTheme="minorHAnsi" w:hAnsiTheme="minorHAnsi" w:cstheme="minorHAnsi"/>
        </w:rPr>
        <w:t> </w:t>
      </w:r>
      <w:r w:rsidRPr="00177C6D">
        <w:rPr>
          <w:rFonts w:asciiTheme="minorHAnsi" w:hAnsiTheme="minorHAnsi" w:cstheme="minorHAnsi"/>
        </w:rPr>
        <w:t>4.2 Long-term vision</w:t>
      </w:r>
    </w:p>
    <w:p w14:paraId="7206865A" w14:textId="71990F76" w:rsidR="002F129C" w:rsidRPr="00177C6D" w:rsidRDefault="002F129C" w:rsidP="002F129C">
      <w:pPr>
        <w:pStyle w:val="NormalWeb"/>
        <w:numPr>
          <w:ilvl w:val="0"/>
          <w:numId w:val="32"/>
        </w:numPr>
        <w:rPr>
          <w:rFonts w:asciiTheme="minorHAnsi" w:hAnsiTheme="minorHAnsi" w:cstheme="minorHAnsi"/>
        </w:rPr>
      </w:pPr>
      <w:r w:rsidRPr="00177C6D">
        <w:rPr>
          <w:rFonts w:asciiTheme="minorHAnsi" w:hAnsiTheme="minorHAnsi" w:cstheme="minorHAnsi"/>
        </w:rPr>
        <w:t>Conclusion</w:t>
      </w:r>
    </w:p>
    <w:p w14:paraId="7F5D1B9C" w14:textId="1A652504" w:rsidR="002F129C" w:rsidRPr="00177C6D" w:rsidRDefault="002F129C" w:rsidP="002F129C">
      <w:pPr>
        <w:pStyle w:val="NormalWeb"/>
        <w:numPr>
          <w:ilvl w:val="0"/>
          <w:numId w:val="32"/>
        </w:numPr>
        <w:rPr>
          <w:rFonts w:asciiTheme="minorHAnsi" w:hAnsiTheme="minorHAnsi" w:cstheme="minorHAnsi"/>
        </w:rPr>
      </w:pPr>
      <w:r w:rsidRPr="00177C6D">
        <w:rPr>
          <w:rFonts w:asciiTheme="minorHAnsi" w:hAnsiTheme="minorHAnsi" w:cstheme="minorHAnsi"/>
        </w:rPr>
        <w:t>References</w:t>
      </w:r>
    </w:p>
    <w:p w14:paraId="415B8B3E" w14:textId="77777777" w:rsidR="00BD74AA" w:rsidRPr="00177C6D" w:rsidRDefault="005971B5" w:rsidP="00BD74AA">
      <w:pPr>
        <w:rPr>
          <w:rFonts w:eastAsia="Times New Roman" w:cstheme="minorHAnsi"/>
          <w:lang w:eastAsia="en-GB"/>
        </w:rPr>
      </w:pPr>
      <w:r>
        <w:pict w14:anchorId="020E160D">
          <v:rect id="_x0000_s1027" alt="" style="width:451.3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0DEFA82C" w14:textId="77777777" w:rsidR="000F7EF7" w:rsidRPr="00177C6D" w:rsidRDefault="000F7EF7" w:rsidP="00BD74AA">
      <w:pPr>
        <w:spacing w:before="100" w:beforeAutospacing="1" w:after="100" w:afterAutospacing="1"/>
        <w:outlineLvl w:val="1"/>
        <w:rPr>
          <w:rFonts w:eastAsia="Times New Roman" w:cstheme="minorHAnsi"/>
          <w:b/>
          <w:bCs/>
          <w:sz w:val="36"/>
          <w:szCs w:val="36"/>
          <w:lang w:eastAsia="en-GB"/>
        </w:rPr>
      </w:pPr>
    </w:p>
    <w:p w14:paraId="0502D83A" w14:textId="77777777" w:rsidR="000F7EF7" w:rsidRPr="00177C6D" w:rsidRDefault="000F7EF7" w:rsidP="00BD74AA">
      <w:pPr>
        <w:spacing w:before="100" w:beforeAutospacing="1" w:after="100" w:afterAutospacing="1"/>
        <w:outlineLvl w:val="1"/>
        <w:rPr>
          <w:rFonts w:eastAsia="Times New Roman" w:cstheme="minorHAnsi"/>
          <w:b/>
          <w:bCs/>
          <w:sz w:val="36"/>
          <w:szCs w:val="36"/>
          <w:lang w:eastAsia="en-GB"/>
        </w:rPr>
      </w:pPr>
    </w:p>
    <w:p w14:paraId="4E8FA2BF" w14:textId="77777777" w:rsidR="000F7EF7" w:rsidRPr="00177C6D" w:rsidRDefault="000F7EF7" w:rsidP="00BD74AA">
      <w:pPr>
        <w:spacing w:before="100" w:beforeAutospacing="1" w:after="100" w:afterAutospacing="1"/>
        <w:outlineLvl w:val="1"/>
        <w:rPr>
          <w:rFonts w:eastAsia="Times New Roman" w:cstheme="minorHAnsi"/>
          <w:b/>
          <w:bCs/>
          <w:sz w:val="36"/>
          <w:szCs w:val="36"/>
          <w:lang w:eastAsia="en-GB"/>
        </w:rPr>
      </w:pPr>
    </w:p>
    <w:p w14:paraId="3B372A51" w14:textId="77777777" w:rsidR="000F7EF7" w:rsidRPr="00177C6D" w:rsidRDefault="000F7EF7" w:rsidP="00BD74AA">
      <w:pPr>
        <w:spacing w:before="100" w:beforeAutospacing="1" w:after="100" w:afterAutospacing="1"/>
        <w:outlineLvl w:val="1"/>
        <w:rPr>
          <w:rFonts w:eastAsia="Times New Roman" w:cstheme="minorHAnsi"/>
          <w:b/>
          <w:bCs/>
          <w:sz w:val="36"/>
          <w:szCs w:val="36"/>
          <w:lang w:eastAsia="en-GB"/>
        </w:rPr>
      </w:pPr>
    </w:p>
    <w:p w14:paraId="36642CE0" w14:textId="77777777" w:rsidR="000F7EF7" w:rsidRPr="00177C6D" w:rsidRDefault="000F7EF7" w:rsidP="00BD74AA">
      <w:pPr>
        <w:spacing w:before="100" w:beforeAutospacing="1" w:after="100" w:afterAutospacing="1"/>
        <w:outlineLvl w:val="1"/>
        <w:rPr>
          <w:rFonts w:eastAsia="Times New Roman" w:cstheme="minorHAnsi"/>
          <w:b/>
          <w:bCs/>
          <w:sz w:val="36"/>
          <w:szCs w:val="36"/>
          <w:lang w:eastAsia="en-GB"/>
        </w:rPr>
      </w:pPr>
    </w:p>
    <w:p w14:paraId="768C3EC7" w14:textId="77777777" w:rsidR="00624F73" w:rsidRPr="00177C6D" w:rsidRDefault="00624F73" w:rsidP="00BD74AA">
      <w:pPr>
        <w:spacing w:before="100" w:beforeAutospacing="1" w:after="100" w:afterAutospacing="1"/>
        <w:outlineLvl w:val="1"/>
        <w:rPr>
          <w:rFonts w:eastAsia="Times New Roman" w:cstheme="minorHAnsi"/>
          <w:b/>
          <w:bCs/>
          <w:sz w:val="36"/>
          <w:szCs w:val="36"/>
          <w:lang w:eastAsia="en-GB"/>
        </w:rPr>
      </w:pPr>
    </w:p>
    <w:p w14:paraId="6FF98FE1" w14:textId="23FB30CF" w:rsidR="00BD74AA" w:rsidRPr="00177C6D" w:rsidRDefault="00BD74AA" w:rsidP="00BD74AA">
      <w:pPr>
        <w:spacing w:before="100" w:beforeAutospacing="1" w:after="100" w:afterAutospacing="1"/>
        <w:outlineLvl w:val="1"/>
        <w:rPr>
          <w:rFonts w:eastAsia="Times New Roman" w:cstheme="minorHAnsi"/>
          <w:b/>
          <w:bCs/>
          <w:sz w:val="36"/>
          <w:szCs w:val="36"/>
          <w:lang w:eastAsia="en-GB"/>
        </w:rPr>
      </w:pPr>
      <w:r w:rsidRPr="00177C6D">
        <w:rPr>
          <w:rFonts w:eastAsia="Times New Roman" w:cstheme="minorHAnsi"/>
          <w:b/>
          <w:bCs/>
          <w:sz w:val="36"/>
          <w:szCs w:val="36"/>
          <w:lang w:eastAsia="en-GB"/>
        </w:rPr>
        <w:lastRenderedPageBreak/>
        <w:t>1. Introduction</w:t>
      </w:r>
    </w:p>
    <w:p w14:paraId="6466B804"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 xml:space="preserve">Engineering projects are usually judged by technical sophistication and delivery against schedule, budget, and quality benchmarks. Yet history demonstrates that social, cultural, and ethical dimensions often prove decisive. Failures in leadership, weak accountability, and toxic workplace behaviours can undermine even the most technically promising programmes. The </w:t>
      </w:r>
      <w:r w:rsidRPr="00177C6D">
        <w:rPr>
          <w:rFonts w:eastAsia="Times New Roman" w:cstheme="minorHAnsi"/>
          <w:i/>
          <w:iCs/>
          <w:lang w:eastAsia="en-GB"/>
        </w:rPr>
        <w:t>SMART Engineering</w:t>
      </w:r>
      <w:r w:rsidRPr="00177C6D">
        <w:rPr>
          <w:rFonts w:eastAsia="Times New Roman" w:cstheme="minorHAnsi"/>
          <w:lang w:eastAsia="en-GB"/>
        </w:rPr>
        <w:t xml:space="preserve"> case study illustrates this vividly.</w:t>
      </w:r>
    </w:p>
    <w:p w14:paraId="53AE5841"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Dr Alice Parker, a senior engineer with more than thirty years of international offshore energy experience, was appointed to lead the design of critical components within a cross-functional team developing a new electric vehicle. Despite her credentials, she faced persistent marginalisation. Contributions were overlooked, recognition was diverted to male colleagues, and her authority as project lead was undermined by managers who bypassed her and failed to provide promised resources. Informal gossip and microaggressions further weakened her position. Eventually, both Dr Parker and her wife, also a senior engineer, resigned from the organisation.</w:t>
      </w:r>
    </w:p>
    <w:p w14:paraId="627C978B"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 xml:space="preserve">This review critically examines the professional practice displayed in the case. It seeks to answer five guiding questions: </w:t>
      </w:r>
      <w:r w:rsidRPr="00177C6D">
        <w:rPr>
          <w:rFonts w:eastAsia="Times New Roman" w:cstheme="minorHAnsi"/>
          <w:b/>
          <w:bCs/>
          <w:lang w:eastAsia="en-GB"/>
        </w:rPr>
        <w:t>what happened, why it happened, who was affected and how, what the consequences were, and how matters should have been handled differently.</w:t>
      </w:r>
      <w:r w:rsidRPr="00177C6D">
        <w:rPr>
          <w:rFonts w:eastAsia="Times New Roman" w:cstheme="minorHAnsi"/>
          <w:lang w:eastAsia="en-GB"/>
        </w:rPr>
        <w:t xml:space="preserve"> The analysis is then structured around five thematic domains central to professional practice: </w:t>
      </w:r>
      <w:r w:rsidRPr="00177C6D">
        <w:rPr>
          <w:rFonts w:eastAsia="Times New Roman" w:cstheme="minorHAnsi"/>
          <w:b/>
          <w:bCs/>
          <w:lang w:eastAsia="en-GB"/>
        </w:rPr>
        <w:t>self-management; personal, cognitive, and unconscious bias; accountability and authentic behaviour; interpersonal relationships; and professional integrity.</w:t>
      </w:r>
    </w:p>
    <w:p w14:paraId="60CE98D8"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 xml:space="preserve">The review goes beyond description to critically evaluate the behaviours, decisions, and omissions within the case, drawing on academic literature and professional standards. Real-world examples, including major engineering failures such as the </w:t>
      </w:r>
      <w:r w:rsidRPr="00177C6D">
        <w:rPr>
          <w:rFonts w:eastAsia="Times New Roman" w:cstheme="minorHAnsi"/>
          <w:b/>
          <w:bCs/>
          <w:lang w:eastAsia="en-GB"/>
        </w:rPr>
        <w:t>Challenger disaster</w:t>
      </w:r>
      <w:r w:rsidRPr="00177C6D">
        <w:rPr>
          <w:rFonts w:eastAsia="Times New Roman" w:cstheme="minorHAnsi"/>
          <w:lang w:eastAsia="en-GB"/>
        </w:rPr>
        <w:t xml:space="preserve"> (Vaughan, 1996) and the </w:t>
      </w:r>
      <w:r w:rsidRPr="00177C6D">
        <w:rPr>
          <w:rFonts w:eastAsia="Times New Roman" w:cstheme="minorHAnsi"/>
          <w:b/>
          <w:bCs/>
          <w:lang w:eastAsia="en-GB"/>
        </w:rPr>
        <w:t>Boeing 737 MAX crisis</w:t>
      </w:r>
      <w:r w:rsidRPr="00177C6D">
        <w:rPr>
          <w:rFonts w:eastAsia="Times New Roman" w:cstheme="minorHAnsi"/>
          <w:lang w:eastAsia="en-GB"/>
        </w:rPr>
        <w:t xml:space="preserve"> (Denning, 2019), are used as comparators to show the risks of neglecting ethical and cultural dimensions. The paper concludes with a </w:t>
      </w:r>
      <w:r w:rsidRPr="00177C6D">
        <w:rPr>
          <w:rFonts w:eastAsia="Times New Roman" w:cstheme="minorHAnsi"/>
          <w:b/>
          <w:bCs/>
          <w:lang w:eastAsia="en-GB"/>
        </w:rPr>
        <w:t>Personal Development Plan (PDP)</w:t>
      </w:r>
      <w:r w:rsidRPr="00177C6D">
        <w:rPr>
          <w:rFonts w:eastAsia="Times New Roman" w:cstheme="minorHAnsi"/>
          <w:lang w:eastAsia="en-GB"/>
        </w:rPr>
        <w:t xml:space="preserve"> that translates insights into concrete developmental objectives aligned with CPD expectations in UK engineering practice.</w:t>
      </w:r>
    </w:p>
    <w:p w14:paraId="35D95F71" w14:textId="77777777" w:rsidR="00BD74AA" w:rsidRPr="00177C6D" w:rsidRDefault="005971B5" w:rsidP="00BD74AA">
      <w:pPr>
        <w:rPr>
          <w:rFonts w:eastAsia="Times New Roman" w:cstheme="minorHAnsi"/>
          <w:lang w:eastAsia="en-GB"/>
        </w:rPr>
      </w:pPr>
      <w:r>
        <w:rPr>
          <w:rFonts w:eastAsia="Times New Roman" w:cstheme="minorHAnsi"/>
          <w:noProof/>
          <w:lang w:eastAsia="en-GB"/>
        </w:rPr>
        <w:pict w14:anchorId="367A136D">
          <v:rect id="_x0000_i1030" alt="" style="width:451.3pt;height:.05pt;mso-width-percent:0;mso-height-percent:0;mso-width-percent:0;mso-height-percent:0" o:hralign="center" o:hrstd="t" o:hr="t" fillcolor="#a0a0a0" stroked="f"/>
        </w:pict>
      </w:r>
    </w:p>
    <w:p w14:paraId="6F2F3077" w14:textId="77777777" w:rsidR="00BD74AA" w:rsidRPr="00177C6D" w:rsidRDefault="00BD74AA" w:rsidP="00BD74AA">
      <w:pPr>
        <w:spacing w:before="100" w:beforeAutospacing="1" w:after="100" w:afterAutospacing="1"/>
        <w:outlineLvl w:val="1"/>
        <w:rPr>
          <w:rFonts w:eastAsia="Times New Roman" w:cstheme="minorHAnsi"/>
          <w:b/>
          <w:bCs/>
          <w:sz w:val="36"/>
          <w:szCs w:val="36"/>
          <w:lang w:eastAsia="en-GB"/>
        </w:rPr>
      </w:pPr>
      <w:r w:rsidRPr="00177C6D">
        <w:rPr>
          <w:rFonts w:eastAsia="Times New Roman" w:cstheme="minorHAnsi"/>
          <w:b/>
          <w:bCs/>
          <w:sz w:val="36"/>
          <w:szCs w:val="36"/>
          <w:lang w:eastAsia="en-GB"/>
        </w:rPr>
        <w:t>2. Case Analysis</w:t>
      </w:r>
    </w:p>
    <w:p w14:paraId="00632AD6" w14:textId="77777777" w:rsidR="00BD74AA" w:rsidRPr="00177C6D" w:rsidRDefault="00BD74AA" w:rsidP="00BD74AA">
      <w:pPr>
        <w:spacing w:before="100" w:beforeAutospacing="1" w:after="100" w:afterAutospacing="1"/>
        <w:outlineLvl w:val="2"/>
        <w:rPr>
          <w:rFonts w:eastAsia="Times New Roman" w:cstheme="minorHAnsi"/>
          <w:b/>
          <w:bCs/>
          <w:sz w:val="27"/>
          <w:szCs w:val="27"/>
          <w:u w:val="single"/>
          <w:lang w:eastAsia="en-GB"/>
        </w:rPr>
      </w:pPr>
      <w:r w:rsidRPr="00177C6D">
        <w:rPr>
          <w:rFonts w:eastAsia="Times New Roman" w:cstheme="minorHAnsi"/>
          <w:b/>
          <w:bCs/>
          <w:sz w:val="27"/>
          <w:szCs w:val="27"/>
          <w:u w:val="single"/>
          <w:lang w:eastAsia="en-GB"/>
        </w:rPr>
        <w:t>2.1 What happened?</w:t>
      </w:r>
    </w:p>
    <w:p w14:paraId="4A9674F5"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SMART Engineering convened a multidisciplinary team—including engineers, designers, and marketing specialists—to develop a new electric vehicle. Dr Alice Parker, a highly qualified engineer with over three decades of international experience, was appointed to lead the design of critical components. However, she quickly encountered marginalisation.</w:t>
      </w:r>
    </w:p>
    <w:p w14:paraId="0911A6E9"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 xml:space="preserve">In project meetings, questions about her work were frequently directed to male colleagues with less expertise. On one occasion, a colleague requested her notes so that he could </w:t>
      </w:r>
      <w:r w:rsidRPr="00177C6D">
        <w:rPr>
          <w:rFonts w:eastAsia="Times New Roman" w:cstheme="minorHAnsi"/>
          <w:lang w:eastAsia="en-GB"/>
        </w:rPr>
        <w:lastRenderedPageBreak/>
        <w:t>present them himself. Female engineers reported gossip and side conversations that stopped abruptly when they entered a room. Management also failed to provide promised resources, leaving Dr Parker unable to deliver on commitments. As deadlines approached, senior managers began bypassing her authority and speaking directly to her team members.</w:t>
      </w:r>
    </w:p>
    <w:p w14:paraId="053CEC33"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Frustrated by persistent undermining, Dr Parker withheld details of her work to prevent further misappropriation. Ultimately, both she and her wife, also a senior engineer at SMART, resigned. Their departure removed significant expertise and institutional knowledge at a critical stage of the project.</w:t>
      </w:r>
    </w:p>
    <w:p w14:paraId="67C970FD"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 xml:space="preserve">This sequence reflects the characteristics of a </w:t>
      </w:r>
      <w:r w:rsidRPr="00177C6D">
        <w:rPr>
          <w:rFonts w:eastAsia="Times New Roman" w:cstheme="minorHAnsi"/>
          <w:b/>
          <w:bCs/>
          <w:lang w:eastAsia="en-GB"/>
        </w:rPr>
        <w:t>toxic workplace culture</w:t>
      </w:r>
      <w:r w:rsidRPr="00177C6D">
        <w:rPr>
          <w:rFonts w:eastAsia="Times New Roman" w:cstheme="minorHAnsi"/>
          <w:lang w:eastAsia="en-GB"/>
        </w:rPr>
        <w:t>, in which exclusion, incivility, and evasive leadership erode performance (Frost, 2003).</w:t>
      </w:r>
    </w:p>
    <w:p w14:paraId="1DAF6069" w14:textId="3600765F" w:rsidR="000F7EF7" w:rsidRPr="00177C6D" w:rsidRDefault="000F7EF7" w:rsidP="000F7EF7">
      <w:pPr>
        <w:spacing w:before="100" w:beforeAutospacing="1" w:after="100" w:afterAutospacing="1"/>
        <w:rPr>
          <w:rFonts w:eastAsia="Times New Roman" w:cstheme="minorHAnsi"/>
          <w:u w:val="single"/>
          <w:lang w:eastAsia="en-GB"/>
        </w:rPr>
      </w:pPr>
      <w:r w:rsidRPr="00177C6D">
        <w:rPr>
          <w:rFonts w:eastAsia="Times New Roman" w:cstheme="minorHAnsi"/>
          <w:b/>
          <w:bCs/>
          <w:sz w:val="27"/>
          <w:szCs w:val="27"/>
          <w:u w:val="single"/>
          <w:lang w:eastAsia="en-GB"/>
        </w:rPr>
        <w:t>2.2 Why did it happen?</w:t>
      </w:r>
    </w:p>
    <w:p w14:paraId="6C12645F"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The events at SMART Engineering were not isolated incidents but symptoms of deeper organisational failings.</w:t>
      </w:r>
    </w:p>
    <w:p w14:paraId="18A1949D"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b/>
          <w:bCs/>
          <w:lang w:eastAsia="en-GB"/>
        </w:rPr>
        <w:t>Gender stereotyping and the “double bind.”</w:t>
      </w:r>
      <w:r w:rsidRPr="00177C6D">
        <w:rPr>
          <w:rFonts w:eastAsia="Times New Roman" w:cstheme="minorHAnsi"/>
          <w:lang w:eastAsia="en-GB"/>
        </w:rPr>
        <w:t xml:space="preserve"> Women in engineering frequently face conflicting expectations: assertiveness is judged as abrasive, while collaboration is dismissed as weakness (</w:t>
      </w:r>
      <w:proofErr w:type="spellStart"/>
      <w:r w:rsidRPr="00177C6D">
        <w:rPr>
          <w:rFonts w:eastAsia="Times New Roman" w:cstheme="minorHAnsi"/>
          <w:lang w:eastAsia="en-GB"/>
        </w:rPr>
        <w:t>Eagly</w:t>
      </w:r>
      <w:proofErr w:type="spellEnd"/>
      <w:r w:rsidRPr="00177C6D">
        <w:rPr>
          <w:rFonts w:eastAsia="Times New Roman" w:cstheme="minorHAnsi"/>
          <w:lang w:eastAsia="en-GB"/>
        </w:rPr>
        <w:t xml:space="preserve"> &amp; Carli, 2007). Dr Parker’s authority was questioned not due to technical shortcomings but because of entrenched gendered assumptions.</w:t>
      </w:r>
    </w:p>
    <w:p w14:paraId="09CF0782"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b/>
          <w:bCs/>
          <w:lang w:eastAsia="en-GB"/>
        </w:rPr>
        <w:t>Affinity bias and social identity dynamics.</w:t>
      </w:r>
      <w:r w:rsidRPr="00177C6D">
        <w:rPr>
          <w:rFonts w:eastAsia="Times New Roman" w:cstheme="minorHAnsi"/>
          <w:lang w:eastAsia="en-GB"/>
        </w:rPr>
        <w:t xml:space="preserve"> Colleagues appeared to prefer working with those from similar professional or cultural backgrounds. Dr Parker’s offshore engineering experience positioned her as an “outsider.” Social Identity Theory explains how such in-group bias creates subtle but powerful exclusionary behaviours (Tajfel &amp; Turner, 1986).</w:t>
      </w:r>
    </w:p>
    <w:p w14:paraId="665FA9BE"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b/>
          <w:bCs/>
          <w:lang w:eastAsia="en-GB"/>
        </w:rPr>
        <w:t>Cognitive bias.</w:t>
      </w:r>
      <w:r w:rsidRPr="00177C6D">
        <w:rPr>
          <w:rFonts w:eastAsia="Times New Roman" w:cstheme="minorHAnsi"/>
          <w:lang w:eastAsia="en-GB"/>
        </w:rPr>
        <w:t xml:space="preserve"> Managers repeatedly “forgot” resource commitments. This aligns with </w:t>
      </w:r>
      <w:r w:rsidRPr="00177C6D">
        <w:rPr>
          <w:rFonts w:eastAsia="Times New Roman" w:cstheme="minorHAnsi"/>
          <w:b/>
          <w:bCs/>
          <w:lang w:eastAsia="en-GB"/>
        </w:rPr>
        <w:t>confirmation bias</w:t>
      </w:r>
      <w:r w:rsidRPr="00177C6D">
        <w:rPr>
          <w:rFonts w:eastAsia="Times New Roman" w:cstheme="minorHAnsi"/>
          <w:lang w:eastAsia="en-GB"/>
        </w:rPr>
        <w:t xml:space="preserve">—favouring information that fits pre-existing views—and </w:t>
      </w:r>
      <w:r w:rsidRPr="00177C6D">
        <w:rPr>
          <w:rFonts w:eastAsia="Times New Roman" w:cstheme="minorHAnsi"/>
          <w:b/>
          <w:bCs/>
          <w:lang w:eastAsia="en-GB"/>
        </w:rPr>
        <w:t>status quo bias</w:t>
      </w:r>
      <w:r w:rsidRPr="00177C6D">
        <w:rPr>
          <w:rFonts w:eastAsia="Times New Roman" w:cstheme="minorHAnsi"/>
          <w:lang w:eastAsia="en-GB"/>
        </w:rPr>
        <w:t xml:space="preserve">, which resists change to established hierarchies (Tversky &amp; Kahneman, 1974; Samuelson &amp; </w:t>
      </w:r>
      <w:proofErr w:type="spellStart"/>
      <w:r w:rsidRPr="00177C6D">
        <w:rPr>
          <w:rFonts w:eastAsia="Times New Roman" w:cstheme="minorHAnsi"/>
          <w:lang w:eastAsia="en-GB"/>
        </w:rPr>
        <w:t>Zeckhauser</w:t>
      </w:r>
      <w:proofErr w:type="spellEnd"/>
      <w:r w:rsidRPr="00177C6D">
        <w:rPr>
          <w:rFonts w:eastAsia="Times New Roman" w:cstheme="minorHAnsi"/>
          <w:lang w:eastAsia="en-GB"/>
        </w:rPr>
        <w:t>, 1988).</w:t>
      </w:r>
    </w:p>
    <w:p w14:paraId="7EFFBB9B"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b/>
          <w:bCs/>
          <w:lang w:eastAsia="en-GB"/>
        </w:rPr>
        <w:t>Leadership avoidance.</w:t>
      </w:r>
      <w:r w:rsidRPr="00177C6D">
        <w:rPr>
          <w:rFonts w:eastAsia="Times New Roman" w:cstheme="minorHAnsi"/>
          <w:lang w:eastAsia="en-GB"/>
        </w:rPr>
        <w:t xml:space="preserve"> Instead of confronting bias and incivility, managers opted for bypassing and silence. Argyris (1991) describes such </w:t>
      </w:r>
      <w:r w:rsidRPr="00177C6D">
        <w:rPr>
          <w:rFonts w:eastAsia="Times New Roman" w:cstheme="minorHAnsi"/>
          <w:b/>
          <w:bCs/>
          <w:lang w:eastAsia="en-GB"/>
        </w:rPr>
        <w:t>defensive routines</w:t>
      </w:r>
      <w:r w:rsidRPr="00177C6D">
        <w:rPr>
          <w:rFonts w:eastAsia="Times New Roman" w:cstheme="minorHAnsi"/>
          <w:lang w:eastAsia="en-GB"/>
        </w:rPr>
        <w:t xml:space="preserve"> as behaviours that protect leaders from discomfort but prevent </w:t>
      </w:r>
      <w:proofErr w:type="gramStart"/>
      <w:r w:rsidRPr="00177C6D">
        <w:rPr>
          <w:rFonts w:eastAsia="Times New Roman" w:cstheme="minorHAnsi"/>
          <w:lang w:eastAsia="en-GB"/>
        </w:rPr>
        <w:t>real</w:t>
      </w:r>
      <w:proofErr w:type="gramEnd"/>
      <w:r w:rsidRPr="00177C6D">
        <w:rPr>
          <w:rFonts w:eastAsia="Times New Roman" w:cstheme="minorHAnsi"/>
          <w:lang w:eastAsia="en-GB"/>
        </w:rPr>
        <w:t xml:space="preserve"> problem-solving.</w:t>
      </w:r>
    </w:p>
    <w:p w14:paraId="33CD247E"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b/>
          <w:bCs/>
          <w:lang w:eastAsia="en-GB"/>
        </w:rPr>
        <w:t>Organisational culture.</w:t>
      </w:r>
      <w:r w:rsidRPr="00177C6D">
        <w:rPr>
          <w:rFonts w:eastAsia="Times New Roman" w:cstheme="minorHAnsi"/>
          <w:lang w:eastAsia="en-GB"/>
        </w:rPr>
        <w:t xml:space="preserve"> Schein’s (2010) model emphasises that culture consists of visible practices, stated values, and underlying assumptions. At SMART, underlying assumptions reinforced male dominance and were left unchallenged, allowing biased behaviours to persist.</w:t>
      </w:r>
    </w:p>
    <w:p w14:paraId="3A0A7A1E" w14:textId="3EFBB2FB" w:rsidR="000F7EF7" w:rsidRPr="00177C6D" w:rsidRDefault="000F7EF7" w:rsidP="000F7EF7">
      <w:pPr>
        <w:rPr>
          <w:rFonts w:eastAsia="Times New Roman" w:cstheme="minorHAnsi"/>
          <w:b/>
          <w:bCs/>
          <w:sz w:val="27"/>
          <w:szCs w:val="27"/>
          <w:u w:val="single"/>
          <w:lang w:eastAsia="en-GB"/>
        </w:rPr>
      </w:pPr>
      <w:r w:rsidRPr="00177C6D">
        <w:rPr>
          <w:rFonts w:eastAsia="Times New Roman" w:cstheme="minorHAnsi"/>
          <w:b/>
          <w:bCs/>
          <w:sz w:val="27"/>
          <w:szCs w:val="27"/>
          <w:u w:val="single"/>
          <w:lang w:eastAsia="en-GB"/>
        </w:rPr>
        <w:t>2.3 Who was affected, and how?</w:t>
      </w:r>
    </w:p>
    <w:p w14:paraId="1F9D6593"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b/>
          <w:bCs/>
          <w:lang w:eastAsia="en-GB"/>
        </w:rPr>
        <w:t>Dr Parker and her wife.</w:t>
      </w:r>
      <w:r w:rsidRPr="00177C6D">
        <w:rPr>
          <w:rFonts w:eastAsia="Times New Roman" w:cstheme="minorHAnsi"/>
          <w:lang w:eastAsia="en-GB"/>
        </w:rPr>
        <w:t xml:space="preserve"> Both endured exclusion, loss of authority, and erosion of credibility. Prolonged exposure to such treatment creates </w:t>
      </w:r>
      <w:r w:rsidRPr="00177C6D">
        <w:rPr>
          <w:rFonts w:eastAsia="Times New Roman" w:cstheme="minorHAnsi"/>
          <w:b/>
          <w:bCs/>
          <w:lang w:eastAsia="en-GB"/>
        </w:rPr>
        <w:t>social identity threat</w:t>
      </w:r>
      <w:r w:rsidRPr="00177C6D">
        <w:rPr>
          <w:rFonts w:eastAsia="Times New Roman" w:cstheme="minorHAnsi"/>
          <w:lang w:eastAsia="en-GB"/>
        </w:rPr>
        <w:t xml:space="preserve">, which undermines </w:t>
      </w:r>
      <w:r w:rsidRPr="00177C6D">
        <w:rPr>
          <w:rFonts w:eastAsia="Times New Roman" w:cstheme="minorHAnsi"/>
          <w:lang w:eastAsia="en-GB"/>
        </w:rPr>
        <w:lastRenderedPageBreak/>
        <w:t>both wellbeing and professional effectiveness (Steele, Spencer, &amp; Aronson, 2002). Their resignation was a rational response to an unsustainable environment.</w:t>
      </w:r>
    </w:p>
    <w:p w14:paraId="744E89EC"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b/>
          <w:bCs/>
          <w:lang w:eastAsia="en-GB"/>
        </w:rPr>
        <w:t>Other women in the team.</w:t>
      </w:r>
      <w:r w:rsidRPr="00177C6D">
        <w:rPr>
          <w:rFonts w:eastAsia="Times New Roman" w:cstheme="minorHAnsi"/>
          <w:lang w:eastAsia="en-GB"/>
        </w:rPr>
        <w:t xml:space="preserve"> Even those not directly targeted experienced the chilling effect of observing bias. </w:t>
      </w:r>
      <w:r w:rsidRPr="00177C6D">
        <w:rPr>
          <w:rFonts w:eastAsia="Times New Roman" w:cstheme="minorHAnsi"/>
          <w:b/>
          <w:bCs/>
          <w:lang w:eastAsia="en-GB"/>
        </w:rPr>
        <w:t>Second-hand bias</w:t>
      </w:r>
      <w:r w:rsidRPr="00177C6D">
        <w:rPr>
          <w:rFonts w:eastAsia="Times New Roman" w:cstheme="minorHAnsi"/>
          <w:lang w:eastAsia="en-GB"/>
        </w:rPr>
        <w:t xml:space="preserve"> diminishes engagement and signals that effort may not be recognised (Derks, </w:t>
      </w:r>
      <w:proofErr w:type="spellStart"/>
      <w:r w:rsidRPr="00177C6D">
        <w:rPr>
          <w:rFonts w:eastAsia="Times New Roman" w:cstheme="minorHAnsi"/>
          <w:lang w:eastAsia="en-GB"/>
        </w:rPr>
        <w:t>Ellemers</w:t>
      </w:r>
      <w:proofErr w:type="spellEnd"/>
      <w:r w:rsidRPr="00177C6D">
        <w:rPr>
          <w:rFonts w:eastAsia="Times New Roman" w:cstheme="minorHAnsi"/>
          <w:lang w:eastAsia="en-GB"/>
        </w:rPr>
        <w:t>, &amp; de Groot, 2011).</w:t>
      </w:r>
    </w:p>
    <w:p w14:paraId="040E148E"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b/>
          <w:bCs/>
          <w:lang w:eastAsia="en-GB"/>
        </w:rPr>
        <w:t>Male colleagues.</w:t>
      </w:r>
      <w:r w:rsidRPr="00177C6D">
        <w:rPr>
          <w:rFonts w:eastAsia="Times New Roman" w:cstheme="minorHAnsi"/>
          <w:lang w:eastAsia="en-GB"/>
        </w:rPr>
        <w:t xml:space="preserve"> Some recognised the unfairness but failed to intervene, consistent with the </w:t>
      </w:r>
      <w:r w:rsidRPr="00177C6D">
        <w:rPr>
          <w:rFonts w:eastAsia="Times New Roman" w:cstheme="minorHAnsi"/>
          <w:b/>
          <w:bCs/>
          <w:lang w:eastAsia="en-GB"/>
        </w:rPr>
        <w:t>bystander effect</w:t>
      </w:r>
      <w:r w:rsidRPr="00177C6D">
        <w:rPr>
          <w:rFonts w:eastAsia="Times New Roman" w:cstheme="minorHAnsi"/>
          <w:lang w:eastAsia="en-GB"/>
        </w:rPr>
        <w:t xml:space="preserve"> (</w:t>
      </w:r>
      <w:proofErr w:type="spellStart"/>
      <w:r w:rsidRPr="00177C6D">
        <w:rPr>
          <w:rFonts w:eastAsia="Times New Roman" w:cstheme="minorHAnsi"/>
          <w:lang w:eastAsia="en-GB"/>
        </w:rPr>
        <w:t>Latané</w:t>
      </w:r>
      <w:proofErr w:type="spellEnd"/>
      <w:r w:rsidRPr="00177C6D">
        <w:rPr>
          <w:rFonts w:eastAsia="Times New Roman" w:cstheme="minorHAnsi"/>
          <w:lang w:eastAsia="en-GB"/>
        </w:rPr>
        <w:t xml:space="preserve"> &amp; Darley, 1970). Their silence legitimised discriminatory practices and further isolated female colleagues.</w:t>
      </w:r>
    </w:p>
    <w:p w14:paraId="2B373BC4"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b/>
          <w:bCs/>
          <w:lang w:eastAsia="en-GB"/>
        </w:rPr>
        <w:t>The organisation.</w:t>
      </w:r>
      <w:r w:rsidRPr="00177C6D">
        <w:rPr>
          <w:rFonts w:eastAsia="Times New Roman" w:cstheme="minorHAnsi"/>
          <w:lang w:eastAsia="en-GB"/>
        </w:rPr>
        <w:t xml:space="preserve"> The consequences extended beyond individuals. SMART lost highly skilled engineers at a crucial stage, experienced delays, and risked reputational harm. Exclusion also reduced the potential benefits of diverse perspectives. Research shows diverse teams generate more innovative solutions (Page, 2007). By failing to create inclusion, SMART limited its own competitiveness.</w:t>
      </w:r>
    </w:p>
    <w:p w14:paraId="7699AD3F" w14:textId="0CBFA43F" w:rsidR="000F7EF7" w:rsidRPr="00177C6D" w:rsidRDefault="000F7EF7" w:rsidP="000F7EF7">
      <w:pPr>
        <w:rPr>
          <w:rFonts w:eastAsia="Times New Roman" w:cstheme="minorHAnsi"/>
          <w:u w:val="single"/>
          <w:lang w:eastAsia="en-GB"/>
        </w:rPr>
      </w:pPr>
      <w:r w:rsidRPr="00177C6D">
        <w:rPr>
          <w:rFonts w:eastAsia="Times New Roman" w:cstheme="minorHAnsi"/>
          <w:b/>
          <w:bCs/>
          <w:sz w:val="27"/>
          <w:szCs w:val="27"/>
          <w:u w:val="single"/>
          <w:lang w:eastAsia="en-GB"/>
        </w:rPr>
        <w:t>2.4 What are the consequences of their actions?</w:t>
      </w:r>
    </w:p>
    <w:p w14:paraId="00982DFF"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Consequences occurred at multiple levels:</w:t>
      </w:r>
    </w:p>
    <w:p w14:paraId="69294210" w14:textId="77777777" w:rsidR="000F7EF7" w:rsidRPr="00177C6D" w:rsidRDefault="000F7EF7" w:rsidP="000F7EF7">
      <w:pPr>
        <w:numPr>
          <w:ilvl w:val="0"/>
          <w:numId w:val="21"/>
        </w:numPr>
        <w:spacing w:before="100" w:beforeAutospacing="1" w:after="100" w:afterAutospacing="1"/>
        <w:rPr>
          <w:rFonts w:eastAsia="Times New Roman" w:cstheme="minorHAnsi"/>
          <w:lang w:eastAsia="en-GB"/>
        </w:rPr>
      </w:pPr>
      <w:r w:rsidRPr="00177C6D">
        <w:rPr>
          <w:rFonts w:eastAsia="Times New Roman" w:cstheme="minorHAnsi"/>
          <w:b/>
          <w:bCs/>
          <w:lang w:eastAsia="en-GB"/>
        </w:rPr>
        <w:t>Individual level.</w:t>
      </w:r>
      <w:r w:rsidRPr="00177C6D">
        <w:rPr>
          <w:rFonts w:eastAsia="Times New Roman" w:cstheme="minorHAnsi"/>
          <w:lang w:eastAsia="en-GB"/>
        </w:rPr>
        <w:t xml:space="preserve"> Dr Parker’s knowledge-withholding reflected frustration and burnout (Maslach &amp; Leiter, 2016). Instead of contributing openly, she prioritised self-protection.</w:t>
      </w:r>
    </w:p>
    <w:p w14:paraId="6ED84304" w14:textId="77777777" w:rsidR="000F7EF7" w:rsidRPr="00177C6D" w:rsidRDefault="000F7EF7" w:rsidP="000F7EF7">
      <w:pPr>
        <w:numPr>
          <w:ilvl w:val="0"/>
          <w:numId w:val="21"/>
        </w:numPr>
        <w:spacing w:before="100" w:beforeAutospacing="1" w:after="100" w:afterAutospacing="1"/>
        <w:rPr>
          <w:rFonts w:eastAsia="Times New Roman" w:cstheme="minorHAnsi"/>
          <w:lang w:eastAsia="en-GB"/>
        </w:rPr>
      </w:pPr>
      <w:r w:rsidRPr="00177C6D">
        <w:rPr>
          <w:rFonts w:eastAsia="Times New Roman" w:cstheme="minorHAnsi"/>
          <w:b/>
          <w:bCs/>
          <w:lang w:eastAsia="en-GB"/>
        </w:rPr>
        <w:t>Team level.</w:t>
      </w:r>
      <w:r w:rsidRPr="00177C6D">
        <w:rPr>
          <w:rFonts w:eastAsia="Times New Roman" w:cstheme="minorHAnsi"/>
          <w:lang w:eastAsia="en-GB"/>
        </w:rPr>
        <w:t xml:space="preserve"> Gossip and exclusion eroded </w:t>
      </w:r>
      <w:r w:rsidRPr="00177C6D">
        <w:rPr>
          <w:rFonts w:eastAsia="Times New Roman" w:cstheme="minorHAnsi"/>
          <w:b/>
          <w:bCs/>
          <w:lang w:eastAsia="en-GB"/>
        </w:rPr>
        <w:t>psychological safety</w:t>
      </w:r>
      <w:r w:rsidRPr="00177C6D">
        <w:rPr>
          <w:rFonts w:eastAsia="Times New Roman" w:cstheme="minorHAnsi"/>
          <w:lang w:eastAsia="en-GB"/>
        </w:rPr>
        <w:t>, discouraging risk-taking and knowledge-sharing (Edmondson, 1999). Collaboration broke down as trust dissolved (Dirks &amp; Ferrin, 2001).</w:t>
      </w:r>
    </w:p>
    <w:p w14:paraId="798FE8A3" w14:textId="77777777" w:rsidR="000F7EF7" w:rsidRPr="00177C6D" w:rsidRDefault="000F7EF7" w:rsidP="000F7EF7">
      <w:pPr>
        <w:numPr>
          <w:ilvl w:val="0"/>
          <w:numId w:val="21"/>
        </w:numPr>
        <w:spacing w:before="100" w:beforeAutospacing="1" w:after="100" w:afterAutospacing="1"/>
        <w:rPr>
          <w:rFonts w:eastAsia="Times New Roman" w:cstheme="minorHAnsi"/>
          <w:lang w:eastAsia="en-GB"/>
        </w:rPr>
      </w:pPr>
      <w:r w:rsidRPr="00177C6D">
        <w:rPr>
          <w:rFonts w:eastAsia="Times New Roman" w:cstheme="minorHAnsi"/>
          <w:b/>
          <w:bCs/>
          <w:lang w:eastAsia="en-GB"/>
        </w:rPr>
        <w:t>Organisational level.</w:t>
      </w:r>
      <w:r w:rsidRPr="00177C6D">
        <w:rPr>
          <w:rFonts w:eastAsia="Times New Roman" w:cstheme="minorHAnsi"/>
          <w:lang w:eastAsia="en-GB"/>
        </w:rPr>
        <w:t xml:space="preserve"> SMART suffered missed deadlines, cost escalation, and reputational damage. More importantly, it breached the ethical standards set by professional engineering codes (Engineering Council UK, 2020).</w:t>
      </w:r>
    </w:p>
    <w:p w14:paraId="20DC9C8B"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 xml:space="preserve">Parallels exist with high-profile engineering failures. The </w:t>
      </w:r>
      <w:r w:rsidRPr="00177C6D">
        <w:rPr>
          <w:rFonts w:eastAsia="Times New Roman" w:cstheme="minorHAnsi"/>
          <w:b/>
          <w:bCs/>
          <w:lang w:eastAsia="en-GB"/>
        </w:rPr>
        <w:t>Challenger disaster</w:t>
      </w:r>
      <w:r w:rsidRPr="00177C6D">
        <w:rPr>
          <w:rFonts w:eastAsia="Times New Roman" w:cstheme="minorHAnsi"/>
          <w:lang w:eastAsia="en-GB"/>
        </w:rPr>
        <w:t xml:space="preserve"> revealed how organisational culture and suppressed dissent can lead to catastrophic outcomes (Vaughan, 1996). Similarly, the </w:t>
      </w:r>
      <w:r w:rsidRPr="00177C6D">
        <w:rPr>
          <w:rFonts w:eastAsia="Times New Roman" w:cstheme="minorHAnsi"/>
          <w:b/>
          <w:bCs/>
          <w:lang w:eastAsia="en-GB"/>
        </w:rPr>
        <w:t>Boeing 737 MAX crisis</w:t>
      </w:r>
      <w:r w:rsidRPr="00177C6D">
        <w:rPr>
          <w:rFonts w:eastAsia="Times New Roman" w:cstheme="minorHAnsi"/>
          <w:lang w:eastAsia="en-GB"/>
        </w:rPr>
        <w:t xml:space="preserve"> illustrated the dangers of </w:t>
      </w:r>
      <w:proofErr w:type="spellStart"/>
      <w:r w:rsidRPr="00177C6D">
        <w:rPr>
          <w:rFonts w:eastAsia="Times New Roman" w:cstheme="minorHAnsi"/>
          <w:lang w:eastAsia="en-GB"/>
        </w:rPr>
        <w:t>sidelining</w:t>
      </w:r>
      <w:proofErr w:type="spellEnd"/>
      <w:r w:rsidRPr="00177C6D">
        <w:rPr>
          <w:rFonts w:eastAsia="Times New Roman" w:cstheme="minorHAnsi"/>
          <w:lang w:eastAsia="en-GB"/>
        </w:rPr>
        <w:t xml:space="preserve"> ethical considerations for commercial priorities (Denning, 2019). Both cases, like SMART, show that weak culture and accountability can be as damaging as technical flaws.</w:t>
      </w:r>
    </w:p>
    <w:p w14:paraId="0395890F" w14:textId="14B94897" w:rsidR="000F7EF7" w:rsidRPr="00177C6D" w:rsidRDefault="000F7EF7" w:rsidP="000F7EF7">
      <w:pPr>
        <w:rPr>
          <w:rFonts w:eastAsia="Times New Roman" w:cstheme="minorHAnsi"/>
          <w:u w:val="single"/>
          <w:lang w:eastAsia="en-GB"/>
        </w:rPr>
      </w:pPr>
      <w:r w:rsidRPr="00177C6D">
        <w:rPr>
          <w:rFonts w:eastAsia="Times New Roman" w:cstheme="minorHAnsi"/>
          <w:b/>
          <w:bCs/>
          <w:sz w:val="27"/>
          <w:szCs w:val="27"/>
          <w:u w:val="single"/>
          <w:lang w:eastAsia="en-GB"/>
        </w:rPr>
        <w:t>2.5 How should things have been done differently?</w:t>
      </w:r>
    </w:p>
    <w:p w14:paraId="1AB7C544"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SMART could have adopted several measures to prevent escalation:</w:t>
      </w:r>
    </w:p>
    <w:p w14:paraId="171779C1" w14:textId="77777777" w:rsidR="000F7EF7" w:rsidRPr="00177C6D" w:rsidRDefault="000F7EF7" w:rsidP="000F7EF7">
      <w:pPr>
        <w:numPr>
          <w:ilvl w:val="0"/>
          <w:numId w:val="22"/>
        </w:numPr>
        <w:spacing w:before="100" w:beforeAutospacing="1" w:after="100" w:afterAutospacing="1"/>
        <w:rPr>
          <w:rFonts w:eastAsia="Times New Roman" w:cstheme="minorHAnsi"/>
          <w:lang w:eastAsia="en-GB"/>
        </w:rPr>
      </w:pPr>
      <w:r w:rsidRPr="00177C6D">
        <w:rPr>
          <w:rFonts w:eastAsia="Times New Roman" w:cstheme="minorHAnsi"/>
          <w:b/>
          <w:bCs/>
          <w:lang w:eastAsia="en-GB"/>
        </w:rPr>
        <w:t>Inclusive meeting structures.</w:t>
      </w:r>
      <w:r w:rsidRPr="00177C6D">
        <w:rPr>
          <w:rFonts w:eastAsia="Times New Roman" w:cstheme="minorHAnsi"/>
          <w:lang w:eastAsia="en-GB"/>
        </w:rPr>
        <w:t xml:space="preserve"> Structured turn-taking, rotating chairs, and contribution tracking would have ensured equitable participation (Nishii &amp; Mayer, 2009).</w:t>
      </w:r>
    </w:p>
    <w:p w14:paraId="7AA68F7E" w14:textId="77777777" w:rsidR="000F7EF7" w:rsidRPr="00177C6D" w:rsidRDefault="000F7EF7" w:rsidP="000F7EF7">
      <w:pPr>
        <w:numPr>
          <w:ilvl w:val="0"/>
          <w:numId w:val="22"/>
        </w:numPr>
        <w:spacing w:before="100" w:beforeAutospacing="1" w:after="100" w:afterAutospacing="1"/>
        <w:rPr>
          <w:rFonts w:eastAsia="Times New Roman" w:cstheme="minorHAnsi"/>
          <w:lang w:eastAsia="en-GB"/>
        </w:rPr>
      </w:pPr>
      <w:r w:rsidRPr="00177C6D">
        <w:rPr>
          <w:rFonts w:eastAsia="Times New Roman" w:cstheme="minorHAnsi"/>
          <w:b/>
          <w:bCs/>
          <w:lang w:eastAsia="en-GB"/>
        </w:rPr>
        <w:t>Bias countermeasures.</w:t>
      </w:r>
      <w:r w:rsidRPr="00177C6D">
        <w:rPr>
          <w:rFonts w:eastAsia="Times New Roman" w:cstheme="minorHAnsi"/>
          <w:lang w:eastAsia="en-GB"/>
        </w:rPr>
        <w:t xml:space="preserve"> Training supplemented by structural interventions, such as decision logs and transparent resourcing, would have reduced bias (Dobbin &amp; </w:t>
      </w:r>
      <w:proofErr w:type="spellStart"/>
      <w:r w:rsidRPr="00177C6D">
        <w:rPr>
          <w:rFonts w:eastAsia="Times New Roman" w:cstheme="minorHAnsi"/>
          <w:lang w:eastAsia="en-GB"/>
        </w:rPr>
        <w:t>Kalev</w:t>
      </w:r>
      <w:proofErr w:type="spellEnd"/>
      <w:r w:rsidRPr="00177C6D">
        <w:rPr>
          <w:rFonts w:eastAsia="Times New Roman" w:cstheme="minorHAnsi"/>
          <w:lang w:eastAsia="en-GB"/>
        </w:rPr>
        <w:t>, 2016).</w:t>
      </w:r>
    </w:p>
    <w:p w14:paraId="62DBBF52" w14:textId="77777777" w:rsidR="000F7EF7" w:rsidRPr="00177C6D" w:rsidRDefault="000F7EF7" w:rsidP="000F7EF7">
      <w:pPr>
        <w:numPr>
          <w:ilvl w:val="0"/>
          <w:numId w:val="22"/>
        </w:numPr>
        <w:spacing w:before="100" w:beforeAutospacing="1" w:after="100" w:afterAutospacing="1"/>
        <w:rPr>
          <w:rFonts w:eastAsia="Times New Roman" w:cstheme="minorHAnsi"/>
          <w:lang w:eastAsia="en-GB"/>
        </w:rPr>
      </w:pPr>
      <w:r w:rsidRPr="00177C6D">
        <w:rPr>
          <w:rFonts w:eastAsia="Times New Roman" w:cstheme="minorHAnsi"/>
          <w:b/>
          <w:bCs/>
          <w:lang w:eastAsia="en-GB"/>
        </w:rPr>
        <w:lastRenderedPageBreak/>
        <w:t>Psychological safety.</w:t>
      </w:r>
      <w:r w:rsidRPr="00177C6D">
        <w:rPr>
          <w:rFonts w:eastAsia="Times New Roman" w:cstheme="minorHAnsi"/>
          <w:lang w:eastAsia="en-GB"/>
        </w:rPr>
        <w:t xml:space="preserve"> Creating forums for candid feedback and learning from mistakes would have encouraged open dialogue (Edmondson, 1999).</w:t>
      </w:r>
    </w:p>
    <w:p w14:paraId="23479205" w14:textId="77777777" w:rsidR="000F7EF7" w:rsidRPr="00177C6D" w:rsidRDefault="000F7EF7" w:rsidP="000F7EF7">
      <w:pPr>
        <w:numPr>
          <w:ilvl w:val="0"/>
          <w:numId w:val="22"/>
        </w:numPr>
        <w:spacing w:before="100" w:beforeAutospacing="1" w:after="100" w:afterAutospacing="1"/>
        <w:rPr>
          <w:rFonts w:eastAsia="Times New Roman" w:cstheme="minorHAnsi"/>
          <w:lang w:eastAsia="en-GB"/>
        </w:rPr>
      </w:pPr>
      <w:r w:rsidRPr="00177C6D">
        <w:rPr>
          <w:rFonts w:eastAsia="Times New Roman" w:cstheme="minorHAnsi"/>
          <w:b/>
          <w:bCs/>
          <w:lang w:eastAsia="en-GB"/>
        </w:rPr>
        <w:t>Accountability.</w:t>
      </w:r>
      <w:r w:rsidRPr="00177C6D">
        <w:rPr>
          <w:rFonts w:eastAsia="Times New Roman" w:cstheme="minorHAnsi"/>
          <w:lang w:eastAsia="en-GB"/>
        </w:rPr>
        <w:t xml:space="preserve"> Management needed to uphold commitments and prevent bypassing of authority. Clear escalation routes could have reinforced this.</w:t>
      </w:r>
    </w:p>
    <w:p w14:paraId="0BB98C82" w14:textId="45560028" w:rsidR="000F7EF7" w:rsidRPr="00177C6D" w:rsidRDefault="000F7EF7" w:rsidP="000F7EF7">
      <w:pPr>
        <w:numPr>
          <w:ilvl w:val="0"/>
          <w:numId w:val="22"/>
        </w:numPr>
        <w:spacing w:before="100" w:beforeAutospacing="1" w:after="100" w:afterAutospacing="1"/>
        <w:rPr>
          <w:rFonts w:eastAsia="Times New Roman" w:cstheme="minorHAnsi"/>
          <w:lang w:eastAsia="en-GB"/>
        </w:rPr>
      </w:pPr>
      <w:r w:rsidRPr="00177C6D">
        <w:rPr>
          <w:rFonts w:eastAsia="Times New Roman" w:cstheme="minorHAnsi"/>
          <w:b/>
          <w:bCs/>
          <w:lang w:eastAsia="en-GB"/>
        </w:rPr>
        <w:t>Ethical leadership.</w:t>
      </w:r>
      <w:r w:rsidRPr="00177C6D">
        <w:rPr>
          <w:rFonts w:eastAsia="Times New Roman" w:cstheme="minorHAnsi"/>
          <w:lang w:eastAsia="en-GB"/>
        </w:rPr>
        <w:t xml:space="preserve"> Leaders should have modelled fairness, credited contributions accurately, and acted consistently with professional values (Brown &amp; </w:t>
      </w:r>
      <w:proofErr w:type="spellStart"/>
      <w:r w:rsidRPr="00177C6D">
        <w:rPr>
          <w:rFonts w:eastAsia="Times New Roman" w:cstheme="minorHAnsi"/>
          <w:lang w:eastAsia="en-GB"/>
        </w:rPr>
        <w:t>Treviño</w:t>
      </w:r>
      <w:proofErr w:type="spellEnd"/>
      <w:r w:rsidRPr="00177C6D">
        <w:rPr>
          <w:rFonts w:eastAsia="Times New Roman" w:cstheme="minorHAnsi"/>
          <w:lang w:eastAsia="en-GB"/>
        </w:rPr>
        <w:t>, 2006).</w:t>
      </w:r>
    </w:p>
    <w:p w14:paraId="0F50C9FD" w14:textId="371DBF9A" w:rsidR="00186AA2" w:rsidRPr="00177C6D" w:rsidRDefault="00186AA2" w:rsidP="00186AA2">
      <w:pPr>
        <w:spacing w:before="100" w:beforeAutospacing="1" w:after="100" w:afterAutospacing="1"/>
        <w:rPr>
          <w:rFonts w:eastAsia="Times New Roman" w:cstheme="minorHAnsi"/>
          <w:lang w:eastAsia="en-GB"/>
        </w:rPr>
      </w:pPr>
      <w:r w:rsidRPr="00177C6D">
        <w:rPr>
          <w:rFonts w:cstheme="minorHAnsi"/>
        </w:rPr>
        <w:t xml:space="preserve">These dynamics reveal how systemic biases, weak accountability, and avoidance behaviours combined to undermine both the project and the individuals involved. </w:t>
      </w:r>
      <w:r w:rsidRPr="00177C6D">
        <w:rPr>
          <w:rStyle w:val="Strong"/>
          <w:rFonts w:cstheme="minorHAnsi"/>
        </w:rPr>
        <w:t>A concise summary of the case is provided in Table 1, which maps what happened, why it occurred, who was affected, the consequences, and how better practice might have altered outcomes.</w:t>
      </w:r>
    </w:p>
    <w:p w14:paraId="311F3B87" w14:textId="4E0EA7BF" w:rsidR="00624F73" w:rsidRPr="00177C6D" w:rsidRDefault="00624F73" w:rsidP="00624F73">
      <w:pPr>
        <w:spacing w:before="100" w:beforeAutospacing="1" w:after="100" w:afterAutospacing="1"/>
        <w:rPr>
          <w:rFonts w:eastAsia="Times New Roman" w:cstheme="minorHAnsi"/>
          <w:i/>
          <w:iCs/>
          <w:u w:val="single"/>
          <w:lang w:eastAsia="en-GB"/>
        </w:rPr>
      </w:pPr>
      <w:r w:rsidRPr="00177C6D">
        <w:rPr>
          <w:rFonts w:eastAsia="Times New Roman" w:cstheme="minorHAnsi"/>
          <w:i/>
          <w:iCs/>
          <w:u w:val="single"/>
          <w:lang w:eastAsia="en-GB"/>
        </w:rPr>
        <w:t>Table 1</w:t>
      </w:r>
      <w:r w:rsidR="00DF189D" w:rsidRPr="00177C6D">
        <w:rPr>
          <w:rFonts w:eastAsia="Times New Roman" w:cstheme="minorHAnsi"/>
          <w:i/>
          <w:iCs/>
          <w:u w:val="single"/>
          <w:lang w:eastAsia="en-GB"/>
        </w:rPr>
        <w:t>: Summary of Case Analysis</w:t>
      </w:r>
    </w:p>
    <w:tbl>
      <w:tblPr>
        <w:tblStyle w:val="TableGridLight"/>
        <w:tblW w:w="0" w:type="auto"/>
        <w:tblLook w:val="04A0" w:firstRow="1" w:lastRow="0" w:firstColumn="1" w:lastColumn="0" w:noHBand="0" w:noVBand="1"/>
      </w:tblPr>
      <w:tblGrid>
        <w:gridCol w:w="1771"/>
        <w:gridCol w:w="2649"/>
        <w:gridCol w:w="2185"/>
        <w:gridCol w:w="2411"/>
      </w:tblGrid>
      <w:tr w:rsidR="008D0D15" w:rsidRPr="00177C6D" w14:paraId="0C8027BF" w14:textId="77777777" w:rsidTr="008D0D15">
        <w:tc>
          <w:tcPr>
            <w:tcW w:w="0" w:type="auto"/>
            <w:hideMark/>
          </w:tcPr>
          <w:p w14:paraId="1DDF3D57" w14:textId="77777777" w:rsidR="008D0D15" w:rsidRPr="00177C6D" w:rsidRDefault="008D0D15" w:rsidP="008D0D15">
            <w:pPr>
              <w:jc w:val="center"/>
              <w:rPr>
                <w:rFonts w:eastAsia="Times New Roman" w:cstheme="minorHAnsi"/>
                <w:b/>
                <w:bCs/>
                <w:sz w:val="20"/>
                <w:szCs w:val="20"/>
                <w:lang w:eastAsia="en-GB"/>
              </w:rPr>
            </w:pPr>
            <w:r w:rsidRPr="00177C6D">
              <w:rPr>
                <w:rFonts w:eastAsia="Times New Roman" w:cstheme="minorHAnsi"/>
                <w:b/>
                <w:bCs/>
                <w:sz w:val="20"/>
                <w:szCs w:val="20"/>
                <w:lang w:eastAsia="en-GB"/>
              </w:rPr>
              <w:t>Question</w:t>
            </w:r>
          </w:p>
        </w:tc>
        <w:tc>
          <w:tcPr>
            <w:tcW w:w="0" w:type="auto"/>
            <w:hideMark/>
          </w:tcPr>
          <w:p w14:paraId="1840F9F1" w14:textId="77777777" w:rsidR="008D0D15" w:rsidRPr="00177C6D" w:rsidRDefault="008D0D15" w:rsidP="008D0D15">
            <w:pPr>
              <w:jc w:val="center"/>
              <w:rPr>
                <w:rFonts w:eastAsia="Times New Roman" w:cstheme="minorHAnsi"/>
                <w:b/>
                <w:bCs/>
                <w:sz w:val="20"/>
                <w:szCs w:val="20"/>
                <w:lang w:eastAsia="en-GB"/>
              </w:rPr>
            </w:pPr>
            <w:r w:rsidRPr="00177C6D">
              <w:rPr>
                <w:rFonts w:eastAsia="Times New Roman" w:cstheme="minorHAnsi"/>
                <w:b/>
                <w:bCs/>
                <w:sz w:val="20"/>
                <w:szCs w:val="20"/>
                <w:lang w:eastAsia="en-GB"/>
              </w:rPr>
              <w:t>Findings from SMART Engineering</w:t>
            </w:r>
          </w:p>
        </w:tc>
        <w:tc>
          <w:tcPr>
            <w:tcW w:w="0" w:type="auto"/>
            <w:hideMark/>
          </w:tcPr>
          <w:p w14:paraId="0FC14308" w14:textId="77777777" w:rsidR="008D0D15" w:rsidRPr="00177C6D" w:rsidRDefault="008D0D15" w:rsidP="008D0D15">
            <w:pPr>
              <w:jc w:val="center"/>
              <w:rPr>
                <w:rFonts w:eastAsia="Times New Roman" w:cstheme="minorHAnsi"/>
                <w:b/>
                <w:bCs/>
                <w:sz w:val="20"/>
                <w:szCs w:val="20"/>
                <w:lang w:eastAsia="en-GB"/>
              </w:rPr>
            </w:pPr>
            <w:r w:rsidRPr="00177C6D">
              <w:rPr>
                <w:rFonts w:eastAsia="Times New Roman" w:cstheme="minorHAnsi"/>
                <w:b/>
                <w:bCs/>
                <w:sz w:val="20"/>
                <w:szCs w:val="20"/>
                <w:lang w:eastAsia="en-GB"/>
              </w:rPr>
              <w:t>Consequences</w:t>
            </w:r>
          </w:p>
        </w:tc>
        <w:tc>
          <w:tcPr>
            <w:tcW w:w="0" w:type="auto"/>
            <w:hideMark/>
          </w:tcPr>
          <w:p w14:paraId="04355164" w14:textId="77777777" w:rsidR="008D0D15" w:rsidRPr="00177C6D" w:rsidRDefault="008D0D15" w:rsidP="008D0D15">
            <w:pPr>
              <w:jc w:val="center"/>
              <w:rPr>
                <w:rFonts w:eastAsia="Times New Roman" w:cstheme="minorHAnsi"/>
                <w:b/>
                <w:bCs/>
                <w:sz w:val="20"/>
                <w:szCs w:val="20"/>
                <w:lang w:eastAsia="en-GB"/>
              </w:rPr>
            </w:pPr>
            <w:r w:rsidRPr="00177C6D">
              <w:rPr>
                <w:rFonts w:eastAsia="Times New Roman" w:cstheme="minorHAnsi"/>
                <w:b/>
                <w:bCs/>
                <w:sz w:val="20"/>
                <w:szCs w:val="20"/>
                <w:lang w:eastAsia="en-GB"/>
              </w:rPr>
              <w:t>Better Practice</w:t>
            </w:r>
          </w:p>
        </w:tc>
      </w:tr>
      <w:tr w:rsidR="008D0D15" w:rsidRPr="00177C6D" w14:paraId="31741022" w14:textId="77777777" w:rsidTr="008D0D15">
        <w:tc>
          <w:tcPr>
            <w:tcW w:w="0" w:type="auto"/>
            <w:hideMark/>
          </w:tcPr>
          <w:p w14:paraId="2B8189A1"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b/>
                <w:bCs/>
                <w:sz w:val="20"/>
                <w:szCs w:val="20"/>
                <w:lang w:eastAsia="en-GB"/>
              </w:rPr>
              <w:t>What happened?</w:t>
            </w:r>
          </w:p>
        </w:tc>
        <w:tc>
          <w:tcPr>
            <w:tcW w:w="0" w:type="auto"/>
            <w:hideMark/>
          </w:tcPr>
          <w:p w14:paraId="2389A4A8"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Dr Parker, despite being project lead, was marginalised, denied resources, and her contributions were misattributed.</w:t>
            </w:r>
          </w:p>
        </w:tc>
        <w:tc>
          <w:tcPr>
            <w:tcW w:w="0" w:type="auto"/>
            <w:hideMark/>
          </w:tcPr>
          <w:p w14:paraId="727E793A"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Breakdown of trust, knowledge withholding, eventual resignation of two senior engineers.</w:t>
            </w:r>
          </w:p>
        </w:tc>
        <w:tc>
          <w:tcPr>
            <w:tcW w:w="0" w:type="auto"/>
            <w:hideMark/>
          </w:tcPr>
          <w:p w14:paraId="78FD88BF"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Inclusive meeting structures, fair attribution of work, and leadership support for project authority.</w:t>
            </w:r>
          </w:p>
        </w:tc>
      </w:tr>
      <w:tr w:rsidR="008D0D15" w:rsidRPr="00177C6D" w14:paraId="1F268281" w14:textId="77777777" w:rsidTr="008D0D15">
        <w:tc>
          <w:tcPr>
            <w:tcW w:w="0" w:type="auto"/>
            <w:hideMark/>
          </w:tcPr>
          <w:p w14:paraId="4C9BAEDC"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b/>
                <w:bCs/>
                <w:sz w:val="20"/>
                <w:szCs w:val="20"/>
                <w:lang w:eastAsia="en-GB"/>
              </w:rPr>
              <w:t>Why did it happen?</w:t>
            </w:r>
          </w:p>
        </w:tc>
        <w:tc>
          <w:tcPr>
            <w:tcW w:w="0" w:type="auto"/>
            <w:hideMark/>
          </w:tcPr>
          <w:p w14:paraId="0B9004D8"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Gender bias, affinity bias, cognitive biases (confirmation, status quo), weak leadership, and a toxic culture.</w:t>
            </w:r>
          </w:p>
        </w:tc>
        <w:tc>
          <w:tcPr>
            <w:tcW w:w="0" w:type="auto"/>
            <w:hideMark/>
          </w:tcPr>
          <w:p w14:paraId="2F167A8F"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Reinforcement of exclusionary practices, normalisation of gossip and avoidance.</w:t>
            </w:r>
          </w:p>
        </w:tc>
        <w:tc>
          <w:tcPr>
            <w:tcW w:w="0" w:type="auto"/>
            <w:hideMark/>
          </w:tcPr>
          <w:p w14:paraId="0C687A3F"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Bias countermeasures, transparent resourcing, and leadership accountability.</w:t>
            </w:r>
          </w:p>
        </w:tc>
      </w:tr>
      <w:tr w:rsidR="008D0D15" w:rsidRPr="00177C6D" w14:paraId="53D02C05" w14:textId="77777777" w:rsidTr="008D0D15">
        <w:tc>
          <w:tcPr>
            <w:tcW w:w="0" w:type="auto"/>
            <w:hideMark/>
          </w:tcPr>
          <w:p w14:paraId="23694A82"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b/>
                <w:bCs/>
                <w:sz w:val="20"/>
                <w:szCs w:val="20"/>
                <w:lang w:eastAsia="en-GB"/>
              </w:rPr>
              <w:t>Who was affected, and how?</w:t>
            </w:r>
          </w:p>
        </w:tc>
        <w:tc>
          <w:tcPr>
            <w:tcW w:w="0" w:type="auto"/>
            <w:hideMark/>
          </w:tcPr>
          <w:p w14:paraId="195C272F"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Dr Parker and her wife (direct exclusion), other female engineers (observed bias), male colleagues (complicity through silence), organisation (loss of talent).</w:t>
            </w:r>
          </w:p>
        </w:tc>
        <w:tc>
          <w:tcPr>
            <w:tcW w:w="0" w:type="auto"/>
            <w:hideMark/>
          </w:tcPr>
          <w:p w14:paraId="7F57F443"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Loss of psychological safety, disengagement, reputational harm, project delays.</w:t>
            </w:r>
          </w:p>
        </w:tc>
        <w:tc>
          <w:tcPr>
            <w:tcW w:w="0" w:type="auto"/>
            <w:hideMark/>
          </w:tcPr>
          <w:p w14:paraId="6C42A566"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Structural inclusion, bystander intervention, and cultural reform.</w:t>
            </w:r>
          </w:p>
        </w:tc>
      </w:tr>
      <w:tr w:rsidR="008D0D15" w:rsidRPr="00177C6D" w14:paraId="05818B41" w14:textId="77777777" w:rsidTr="008D0D15">
        <w:tc>
          <w:tcPr>
            <w:tcW w:w="0" w:type="auto"/>
            <w:hideMark/>
          </w:tcPr>
          <w:p w14:paraId="7435A04B"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b/>
                <w:bCs/>
                <w:sz w:val="20"/>
                <w:szCs w:val="20"/>
                <w:lang w:eastAsia="en-GB"/>
              </w:rPr>
              <w:t>What were the consequences?</w:t>
            </w:r>
          </w:p>
        </w:tc>
        <w:tc>
          <w:tcPr>
            <w:tcW w:w="0" w:type="auto"/>
            <w:hideMark/>
          </w:tcPr>
          <w:p w14:paraId="48534D57"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Individual withdrawal, team dysfunction, organisational cost escalation and reputation damage.</w:t>
            </w:r>
          </w:p>
        </w:tc>
        <w:tc>
          <w:tcPr>
            <w:tcW w:w="0" w:type="auto"/>
            <w:hideMark/>
          </w:tcPr>
          <w:p w14:paraId="3ECAD241"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Missed deadlines, erosion of ethical standards, and competitive disadvantage.</w:t>
            </w:r>
          </w:p>
        </w:tc>
        <w:tc>
          <w:tcPr>
            <w:tcW w:w="0" w:type="auto"/>
            <w:hideMark/>
          </w:tcPr>
          <w:p w14:paraId="05F0E4AE"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Learning culture, open dialogue, and ethics embedded in practice.</w:t>
            </w:r>
          </w:p>
        </w:tc>
      </w:tr>
      <w:tr w:rsidR="008D0D15" w:rsidRPr="00177C6D" w14:paraId="354D52F5" w14:textId="77777777" w:rsidTr="008D0D15">
        <w:tc>
          <w:tcPr>
            <w:tcW w:w="0" w:type="auto"/>
            <w:hideMark/>
          </w:tcPr>
          <w:p w14:paraId="55C7FE40"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b/>
                <w:bCs/>
                <w:sz w:val="20"/>
                <w:szCs w:val="20"/>
                <w:lang w:eastAsia="en-GB"/>
              </w:rPr>
              <w:t>How should things have been done differently?</w:t>
            </w:r>
          </w:p>
        </w:tc>
        <w:tc>
          <w:tcPr>
            <w:tcW w:w="0" w:type="auto"/>
            <w:hideMark/>
          </w:tcPr>
          <w:p w14:paraId="7471BB95"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Management avoided accountability and allowed bias to persist.</w:t>
            </w:r>
          </w:p>
        </w:tc>
        <w:tc>
          <w:tcPr>
            <w:tcW w:w="0" w:type="auto"/>
            <w:hideMark/>
          </w:tcPr>
          <w:p w14:paraId="4A363744"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Organisational decline and talent loss.</w:t>
            </w:r>
          </w:p>
        </w:tc>
        <w:tc>
          <w:tcPr>
            <w:tcW w:w="0" w:type="auto"/>
            <w:hideMark/>
          </w:tcPr>
          <w:p w14:paraId="1CF31A86"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Ethical leadership, psychological safety, transparent accountability, and inclusive practices.</w:t>
            </w:r>
          </w:p>
        </w:tc>
      </w:tr>
    </w:tbl>
    <w:p w14:paraId="684FFDAA" w14:textId="77777777" w:rsidR="000F7EF7" w:rsidRPr="00177C6D" w:rsidRDefault="000F7EF7" w:rsidP="000F7EF7">
      <w:pPr>
        <w:spacing w:before="100" w:beforeAutospacing="1" w:after="100" w:afterAutospacing="1"/>
        <w:rPr>
          <w:rFonts w:eastAsia="Times New Roman" w:cstheme="minorHAnsi"/>
          <w:lang w:eastAsia="en-GB"/>
        </w:rPr>
      </w:pPr>
      <w:r w:rsidRPr="00177C6D">
        <w:rPr>
          <w:rFonts w:eastAsia="Times New Roman" w:cstheme="minorHAnsi"/>
          <w:lang w:eastAsia="en-GB"/>
        </w:rPr>
        <w:t>By embedding these practices, SMART could have preserved trust, retained talent, and improved outcomes.</w:t>
      </w:r>
    </w:p>
    <w:p w14:paraId="6943D569" w14:textId="77777777" w:rsidR="00BD74AA" w:rsidRPr="00177C6D" w:rsidRDefault="005971B5" w:rsidP="00BD74AA">
      <w:pPr>
        <w:rPr>
          <w:rFonts w:eastAsia="Times New Roman" w:cstheme="minorHAnsi"/>
          <w:lang w:eastAsia="en-GB"/>
        </w:rPr>
      </w:pPr>
      <w:r>
        <w:rPr>
          <w:rFonts w:eastAsia="Times New Roman" w:cstheme="minorHAnsi"/>
          <w:noProof/>
          <w:lang w:eastAsia="en-GB"/>
        </w:rPr>
        <w:pict w14:anchorId="04480A74">
          <v:rect id="_x0000_i1029" alt="" style="width:451.3pt;height:.05pt;mso-width-percent:0;mso-height-percent:0;mso-width-percent:0;mso-height-percent:0" o:hralign="center" o:hrstd="t" o:hr="t" fillcolor="#a0a0a0" stroked="f"/>
        </w:pict>
      </w:r>
    </w:p>
    <w:p w14:paraId="0031F64E" w14:textId="77777777" w:rsidR="00D33186" w:rsidRDefault="00D33186" w:rsidP="00BD74AA">
      <w:pPr>
        <w:spacing w:before="100" w:beforeAutospacing="1" w:after="100" w:afterAutospacing="1"/>
        <w:outlineLvl w:val="1"/>
        <w:rPr>
          <w:rFonts w:eastAsia="Times New Roman" w:cstheme="minorHAnsi"/>
          <w:b/>
          <w:bCs/>
          <w:sz w:val="36"/>
          <w:szCs w:val="36"/>
          <w:lang w:eastAsia="en-GB"/>
        </w:rPr>
      </w:pPr>
    </w:p>
    <w:p w14:paraId="6A5F19F9" w14:textId="7A1484A7" w:rsidR="00BD74AA" w:rsidRPr="00177C6D" w:rsidRDefault="00BD74AA" w:rsidP="00BD74AA">
      <w:pPr>
        <w:spacing w:before="100" w:beforeAutospacing="1" w:after="100" w:afterAutospacing="1"/>
        <w:outlineLvl w:val="1"/>
        <w:rPr>
          <w:rFonts w:eastAsia="Times New Roman" w:cstheme="minorHAnsi"/>
          <w:b/>
          <w:bCs/>
          <w:sz w:val="36"/>
          <w:szCs w:val="36"/>
          <w:lang w:eastAsia="en-GB"/>
        </w:rPr>
      </w:pPr>
      <w:r w:rsidRPr="00177C6D">
        <w:rPr>
          <w:rFonts w:eastAsia="Times New Roman" w:cstheme="minorHAnsi"/>
          <w:b/>
          <w:bCs/>
          <w:sz w:val="36"/>
          <w:szCs w:val="36"/>
          <w:lang w:eastAsia="en-GB"/>
        </w:rPr>
        <w:lastRenderedPageBreak/>
        <w:t>3. Thematic Analysis</w:t>
      </w:r>
    </w:p>
    <w:p w14:paraId="2AB69B3F" w14:textId="77777777" w:rsidR="004854E2" w:rsidRPr="00177C6D" w:rsidRDefault="004854E2" w:rsidP="004854E2">
      <w:pPr>
        <w:spacing w:before="100" w:beforeAutospacing="1" w:after="100" w:afterAutospacing="1"/>
        <w:outlineLvl w:val="2"/>
        <w:rPr>
          <w:rFonts w:eastAsia="Times New Roman" w:cstheme="minorHAnsi"/>
          <w:b/>
          <w:bCs/>
          <w:sz w:val="27"/>
          <w:szCs w:val="27"/>
          <w:u w:val="single"/>
          <w:lang w:eastAsia="en-GB"/>
        </w:rPr>
      </w:pPr>
      <w:r w:rsidRPr="00177C6D">
        <w:rPr>
          <w:rFonts w:eastAsia="Times New Roman" w:cstheme="minorHAnsi"/>
          <w:b/>
          <w:bCs/>
          <w:sz w:val="27"/>
          <w:szCs w:val="27"/>
          <w:u w:val="single"/>
          <w:lang w:eastAsia="en-GB"/>
        </w:rPr>
        <w:t>3.1 Self-management</w:t>
      </w:r>
    </w:p>
    <w:p w14:paraId="7BFE0286"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Self-management involves the ability to regulate one’s emotions, behaviour, and performance under pressure (Goleman, 1995). It is fundamental to professional practice in engineering, where deadlines, high stakes, and complex interdependencies demand resilience and composure. At SMART Engineering, weak self-management was evident at both individual and managerial levels.</w:t>
      </w:r>
    </w:p>
    <w:p w14:paraId="5AB3BB79"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Dr Parker initially demonstrated resilience, but persistent exclusion eventually eroded her willingness to remain open and collaborative. Her decision to withhold knowledge reflected the depletion of self-regulation. Research on </w:t>
      </w:r>
      <w:r w:rsidRPr="00177C6D">
        <w:rPr>
          <w:rStyle w:val="Strong"/>
          <w:rFonts w:asciiTheme="minorHAnsi" w:hAnsiTheme="minorHAnsi" w:cstheme="minorHAnsi"/>
        </w:rPr>
        <w:t>emotional labour</w:t>
      </w:r>
      <w:r w:rsidRPr="00177C6D">
        <w:rPr>
          <w:rFonts w:asciiTheme="minorHAnsi" w:hAnsiTheme="minorHAnsi" w:cstheme="minorHAnsi"/>
        </w:rPr>
        <w:t xml:space="preserve"> shows that suppressing frustration in hostile environments accelerates burnout and disengagement (Brotheridge &amp; </w:t>
      </w:r>
      <w:proofErr w:type="spellStart"/>
      <w:r w:rsidRPr="00177C6D">
        <w:rPr>
          <w:rFonts w:asciiTheme="minorHAnsi" w:hAnsiTheme="minorHAnsi" w:cstheme="minorHAnsi"/>
        </w:rPr>
        <w:t>Grandey</w:t>
      </w:r>
      <w:proofErr w:type="spellEnd"/>
      <w:r w:rsidRPr="00177C6D">
        <w:rPr>
          <w:rFonts w:asciiTheme="minorHAnsi" w:hAnsiTheme="minorHAnsi" w:cstheme="minorHAnsi"/>
        </w:rPr>
        <w:t>, 2002).</w:t>
      </w:r>
    </w:p>
    <w:p w14:paraId="3C2C0745"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Colleagues and managers likewise failed to regulate their own emotions. Instead of addressing discomfort with female leadership, they resorted to gossip and avoidance. Senior leaders, under deadline pressure, bypassed the project lead rather than providing support. Such responses exemplify poor emotional regulation and avoidance of responsibility (</w:t>
      </w:r>
      <w:proofErr w:type="spellStart"/>
      <w:r w:rsidRPr="00177C6D">
        <w:rPr>
          <w:rFonts w:asciiTheme="minorHAnsi" w:hAnsiTheme="minorHAnsi" w:cstheme="minorHAnsi"/>
        </w:rPr>
        <w:t>Cherniss</w:t>
      </w:r>
      <w:proofErr w:type="spellEnd"/>
      <w:r w:rsidRPr="00177C6D">
        <w:rPr>
          <w:rFonts w:asciiTheme="minorHAnsi" w:hAnsiTheme="minorHAnsi" w:cstheme="minorHAnsi"/>
        </w:rPr>
        <w:t>, 2010).</w:t>
      </w:r>
    </w:p>
    <w:p w14:paraId="001FB4A4"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Resilience theory provides further insight. </w:t>
      </w:r>
      <w:r w:rsidRPr="00177C6D">
        <w:rPr>
          <w:rStyle w:val="Strong"/>
          <w:rFonts w:asciiTheme="minorHAnsi" w:hAnsiTheme="minorHAnsi" w:cstheme="minorHAnsi"/>
        </w:rPr>
        <w:t>Psychological Capital (</w:t>
      </w:r>
      <w:proofErr w:type="spellStart"/>
      <w:r w:rsidRPr="00177C6D">
        <w:rPr>
          <w:rStyle w:val="Strong"/>
          <w:rFonts w:asciiTheme="minorHAnsi" w:hAnsiTheme="minorHAnsi" w:cstheme="minorHAnsi"/>
        </w:rPr>
        <w:t>PsyCap</w:t>
      </w:r>
      <w:proofErr w:type="spellEnd"/>
      <w:r w:rsidRPr="00177C6D">
        <w:rPr>
          <w:rStyle w:val="Strong"/>
          <w:rFonts w:asciiTheme="minorHAnsi" w:hAnsiTheme="minorHAnsi" w:cstheme="minorHAnsi"/>
        </w:rPr>
        <w:t>)</w:t>
      </w:r>
      <w:r w:rsidRPr="00177C6D">
        <w:rPr>
          <w:rFonts w:asciiTheme="minorHAnsi" w:hAnsiTheme="minorHAnsi" w:cstheme="minorHAnsi"/>
        </w:rPr>
        <w:t xml:space="preserve">, comprising optimism, resilience, hope, and self-efficacy, has been shown to improve performance and wellbeing under stress (Luthans, Youssef, &amp; Avolio, 2007). Dr Parker’s withdrawal suggests her </w:t>
      </w:r>
      <w:proofErr w:type="spellStart"/>
      <w:r w:rsidRPr="00177C6D">
        <w:rPr>
          <w:rFonts w:asciiTheme="minorHAnsi" w:hAnsiTheme="minorHAnsi" w:cstheme="minorHAnsi"/>
        </w:rPr>
        <w:t>PsyCap</w:t>
      </w:r>
      <w:proofErr w:type="spellEnd"/>
      <w:r w:rsidRPr="00177C6D">
        <w:rPr>
          <w:rFonts w:asciiTheme="minorHAnsi" w:hAnsiTheme="minorHAnsi" w:cstheme="minorHAnsi"/>
        </w:rPr>
        <w:t xml:space="preserve"> was steadily diminished. Leaders can protect </w:t>
      </w:r>
      <w:proofErr w:type="spellStart"/>
      <w:r w:rsidRPr="00177C6D">
        <w:rPr>
          <w:rFonts w:asciiTheme="minorHAnsi" w:hAnsiTheme="minorHAnsi" w:cstheme="minorHAnsi"/>
        </w:rPr>
        <w:t>PsyCap</w:t>
      </w:r>
      <w:proofErr w:type="spellEnd"/>
      <w:r w:rsidRPr="00177C6D">
        <w:rPr>
          <w:rFonts w:asciiTheme="minorHAnsi" w:hAnsiTheme="minorHAnsi" w:cstheme="minorHAnsi"/>
        </w:rPr>
        <w:t xml:space="preserve"> by reinforcing contributions, ensuring recognition, and maintaining transparent communication.</w:t>
      </w:r>
    </w:p>
    <w:p w14:paraId="5B61B17F"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Self-management is not only an individual capacity but also a collective one. Leaders who remain composed during crises set the tone for their teams. George (2000) argues that emotionally intelligent leaders create climates of trust and psychological safety. SMART’s leadership, by contrast, transmitted </w:t>
      </w:r>
      <w:proofErr w:type="gramStart"/>
      <w:r w:rsidRPr="00177C6D">
        <w:rPr>
          <w:rFonts w:asciiTheme="minorHAnsi" w:hAnsiTheme="minorHAnsi" w:cstheme="minorHAnsi"/>
        </w:rPr>
        <w:t>anxiety</w:t>
      </w:r>
      <w:proofErr w:type="gramEnd"/>
      <w:r w:rsidRPr="00177C6D">
        <w:rPr>
          <w:rFonts w:asciiTheme="minorHAnsi" w:hAnsiTheme="minorHAnsi" w:cstheme="minorHAnsi"/>
        </w:rPr>
        <w:t xml:space="preserve"> and avoidance, undermining the team’s ability to respond constructively to challenges.</w:t>
      </w:r>
    </w:p>
    <w:p w14:paraId="4DE33EA3"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In construction management practice, similar pressures are routine. For example, during a mixed-use development, a project manager faced simultaneous demands from structural engineers and local regulators. By maintaining composure, documenting issues systematically, and facilitating calm negotiation, the manager prevented escalation. Such responses show how effective self-management under stress can protect both project outcomes and professional relationships.</w:t>
      </w:r>
    </w:p>
    <w:p w14:paraId="0D0FF95A" w14:textId="77777777" w:rsidR="00624F73" w:rsidRPr="00177C6D" w:rsidRDefault="00624F73" w:rsidP="004854E2">
      <w:pPr>
        <w:spacing w:before="100" w:beforeAutospacing="1" w:after="100" w:afterAutospacing="1"/>
        <w:rPr>
          <w:rFonts w:eastAsia="Times New Roman" w:cstheme="minorHAnsi"/>
          <w:b/>
          <w:bCs/>
          <w:sz w:val="27"/>
          <w:szCs w:val="27"/>
          <w:u w:val="single"/>
          <w:lang w:eastAsia="en-GB"/>
        </w:rPr>
      </w:pPr>
    </w:p>
    <w:p w14:paraId="2AD4121F" w14:textId="77777777" w:rsidR="00624F73" w:rsidRPr="00177C6D" w:rsidRDefault="00624F73" w:rsidP="004854E2">
      <w:pPr>
        <w:spacing w:before="100" w:beforeAutospacing="1" w:after="100" w:afterAutospacing="1"/>
        <w:rPr>
          <w:rFonts w:eastAsia="Times New Roman" w:cstheme="minorHAnsi"/>
          <w:b/>
          <w:bCs/>
          <w:sz w:val="27"/>
          <w:szCs w:val="27"/>
          <w:u w:val="single"/>
          <w:lang w:eastAsia="en-GB"/>
        </w:rPr>
      </w:pPr>
    </w:p>
    <w:p w14:paraId="568F894A" w14:textId="77777777" w:rsidR="00177C6D" w:rsidRDefault="00177C6D" w:rsidP="004854E2">
      <w:pPr>
        <w:spacing w:before="100" w:beforeAutospacing="1" w:after="100" w:afterAutospacing="1"/>
        <w:rPr>
          <w:rFonts w:eastAsia="Times New Roman" w:cstheme="minorHAnsi"/>
          <w:b/>
          <w:bCs/>
          <w:sz w:val="27"/>
          <w:szCs w:val="27"/>
          <w:u w:val="single"/>
          <w:lang w:eastAsia="en-GB"/>
        </w:rPr>
      </w:pPr>
    </w:p>
    <w:p w14:paraId="491F8496" w14:textId="6AEB0E46" w:rsidR="004854E2" w:rsidRPr="00177C6D" w:rsidRDefault="004854E2" w:rsidP="004854E2">
      <w:pPr>
        <w:spacing w:before="100" w:beforeAutospacing="1" w:after="100" w:afterAutospacing="1"/>
        <w:rPr>
          <w:rFonts w:eastAsia="Times New Roman" w:cstheme="minorHAnsi"/>
          <w:u w:val="single"/>
          <w:lang w:eastAsia="en-GB"/>
        </w:rPr>
      </w:pPr>
      <w:r w:rsidRPr="00177C6D">
        <w:rPr>
          <w:rFonts w:eastAsia="Times New Roman" w:cstheme="minorHAnsi"/>
          <w:b/>
          <w:bCs/>
          <w:sz w:val="27"/>
          <w:szCs w:val="27"/>
          <w:u w:val="single"/>
          <w:lang w:eastAsia="en-GB"/>
        </w:rPr>
        <w:lastRenderedPageBreak/>
        <w:t>3.2 Personal, cognitive, and unconscious bias</w:t>
      </w:r>
    </w:p>
    <w:p w14:paraId="1B00AF75"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Building on the challenges of self-management, the role of bias becomes equally significant in shaping workplace dynamics. Bias in its various forms profoundly influenced outcomes at SMART. </w:t>
      </w:r>
      <w:r w:rsidRPr="00177C6D">
        <w:rPr>
          <w:rStyle w:val="Strong"/>
          <w:rFonts w:asciiTheme="minorHAnsi" w:hAnsiTheme="minorHAnsi" w:cstheme="minorHAnsi"/>
        </w:rPr>
        <w:t>Personal bias</w:t>
      </w:r>
      <w:r w:rsidRPr="00177C6D">
        <w:rPr>
          <w:rFonts w:asciiTheme="minorHAnsi" w:hAnsiTheme="minorHAnsi" w:cstheme="minorHAnsi"/>
        </w:rPr>
        <w:t xml:space="preserve"> involves explicit prejudice, while </w:t>
      </w:r>
      <w:r w:rsidRPr="00177C6D">
        <w:rPr>
          <w:rStyle w:val="Strong"/>
          <w:rFonts w:asciiTheme="minorHAnsi" w:hAnsiTheme="minorHAnsi" w:cstheme="minorHAnsi"/>
        </w:rPr>
        <w:t>cognitive bias</w:t>
      </w:r>
      <w:r w:rsidRPr="00177C6D">
        <w:rPr>
          <w:rFonts w:asciiTheme="minorHAnsi" w:hAnsiTheme="minorHAnsi" w:cstheme="minorHAnsi"/>
        </w:rPr>
        <w:t xml:space="preserve"> refers to systematic errors in judgement, and </w:t>
      </w:r>
      <w:r w:rsidRPr="00177C6D">
        <w:rPr>
          <w:rStyle w:val="Strong"/>
          <w:rFonts w:asciiTheme="minorHAnsi" w:hAnsiTheme="minorHAnsi" w:cstheme="minorHAnsi"/>
        </w:rPr>
        <w:t>unconscious bias</w:t>
      </w:r>
      <w:r w:rsidRPr="00177C6D">
        <w:rPr>
          <w:rFonts w:asciiTheme="minorHAnsi" w:hAnsiTheme="minorHAnsi" w:cstheme="minorHAnsi"/>
        </w:rPr>
        <w:t xml:space="preserve"> arises outside of awareness (Banaji &amp; Greenwald, 2013).</w:t>
      </w:r>
    </w:p>
    <w:p w14:paraId="0457CBC3"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Dr Parker was subjected to </w:t>
      </w:r>
      <w:r w:rsidRPr="00177C6D">
        <w:rPr>
          <w:rStyle w:val="Strong"/>
          <w:rFonts w:asciiTheme="minorHAnsi" w:hAnsiTheme="minorHAnsi" w:cstheme="minorHAnsi"/>
        </w:rPr>
        <w:t>gender bias</w:t>
      </w:r>
      <w:r w:rsidRPr="00177C6D">
        <w:rPr>
          <w:rFonts w:asciiTheme="minorHAnsi" w:hAnsiTheme="minorHAnsi" w:cstheme="minorHAnsi"/>
        </w:rPr>
        <w:t xml:space="preserve">, reflected in her exclusion and the misattribution of her work. Research confirms that women in STEM are frequently </w:t>
      </w:r>
      <w:proofErr w:type="spellStart"/>
      <w:r w:rsidRPr="00177C6D">
        <w:rPr>
          <w:rFonts w:asciiTheme="minorHAnsi" w:hAnsiTheme="minorHAnsi" w:cstheme="minorHAnsi"/>
        </w:rPr>
        <w:t>sidelined</w:t>
      </w:r>
      <w:proofErr w:type="spellEnd"/>
      <w:r w:rsidRPr="00177C6D">
        <w:rPr>
          <w:rFonts w:asciiTheme="minorHAnsi" w:hAnsiTheme="minorHAnsi" w:cstheme="minorHAnsi"/>
        </w:rPr>
        <w:t xml:space="preserve">, their expertise questioned, and their authority undermined (Ely, Ibarra, &amp; Kolb, 2011; Powell, </w:t>
      </w:r>
      <w:proofErr w:type="spellStart"/>
      <w:r w:rsidRPr="00177C6D">
        <w:rPr>
          <w:rFonts w:asciiTheme="minorHAnsi" w:hAnsiTheme="minorHAnsi" w:cstheme="minorHAnsi"/>
        </w:rPr>
        <w:t>Bagilhole</w:t>
      </w:r>
      <w:proofErr w:type="spellEnd"/>
      <w:r w:rsidRPr="00177C6D">
        <w:rPr>
          <w:rFonts w:asciiTheme="minorHAnsi" w:hAnsiTheme="minorHAnsi" w:cstheme="minorHAnsi"/>
        </w:rPr>
        <w:t xml:space="preserve">, &amp; Dainty, 2009). </w:t>
      </w:r>
      <w:r w:rsidRPr="00177C6D">
        <w:rPr>
          <w:rStyle w:val="Strong"/>
          <w:rFonts w:asciiTheme="minorHAnsi" w:hAnsiTheme="minorHAnsi" w:cstheme="minorHAnsi"/>
        </w:rPr>
        <w:t>Affinity bias</w:t>
      </w:r>
      <w:r w:rsidRPr="00177C6D">
        <w:rPr>
          <w:rFonts w:asciiTheme="minorHAnsi" w:hAnsiTheme="minorHAnsi" w:cstheme="minorHAnsi"/>
        </w:rPr>
        <w:t xml:space="preserve"> compounded this, as colleagues gravitated toward those with familiar backgrounds.</w:t>
      </w:r>
    </w:p>
    <w:p w14:paraId="3730AA6B"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Cognitive biases also shaped decision-making. Managers’ tendency to “forget” commitments aligns with </w:t>
      </w:r>
      <w:r w:rsidRPr="00177C6D">
        <w:rPr>
          <w:rStyle w:val="Strong"/>
          <w:rFonts w:asciiTheme="minorHAnsi" w:hAnsiTheme="minorHAnsi" w:cstheme="minorHAnsi"/>
        </w:rPr>
        <w:t>confirmation bias</w:t>
      </w:r>
      <w:r w:rsidRPr="00177C6D">
        <w:rPr>
          <w:rFonts w:asciiTheme="minorHAnsi" w:hAnsiTheme="minorHAnsi" w:cstheme="minorHAnsi"/>
        </w:rPr>
        <w:t xml:space="preserve">, where evidence supporting stereotypes is remembered while contradictory evidence is dismissed. </w:t>
      </w:r>
      <w:r w:rsidRPr="00177C6D">
        <w:rPr>
          <w:rStyle w:val="Strong"/>
          <w:rFonts w:asciiTheme="minorHAnsi" w:hAnsiTheme="minorHAnsi" w:cstheme="minorHAnsi"/>
        </w:rPr>
        <w:t>Status quo bias</w:t>
      </w:r>
      <w:r w:rsidRPr="00177C6D">
        <w:rPr>
          <w:rFonts w:asciiTheme="minorHAnsi" w:hAnsiTheme="minorHAnsi" w:cstheme="minorHAnsi"/>
        </w:rPr>
        <w:t xml:space="preserve"> further explains resistance to female leadership in a traditionally male-dominated context (Samuelson &amp; </w:t>
      </w:r>
      <w:proofErr w:type="spellStart"/>
      <w:r w:rsidRPr="00177C6D">
        <w:rPr>
          <w:rFonts w:asciiTheme="minorHAnsi" w:hAnsiTheme="minorHAnsi" w:cstheme="minorHAnsi"/>
        </w:rPr>
        <w:t>Zeckhauser</w:t>
      </w:r>
      <w:proofErr w:type="spellEnd"/>
      <w:r w:rsidRPr="00177C6D">
        <w:rPr>
          <w:rFonts w:asciiTheme="minorHAnsi" w:hAnsiTheme="minorHAnsi" w:cstheme="minorHAnsi"/>
        </w:rPr>
        <w:t>, 1988).</w:t>
      </w:r>
    </w:p>
    <w:p w14:paraId="610695A6"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The impact of bias is intensified by </w:t>
      </w:r>
      <w:r w:rsidRPr="00177C6D">
        <w:rPr>
          <w:rStyle w:val="Strong"/>
          <w:rFonts w:asciiTheme="minorHAnsi" w:hAnsiTheme="minorHAnsi" w:cstheme="minorHAnsi"/>
        </w:rPr>
        <w:t>stereotype threat</w:t>
      </w:r>
      <w:r w:rsidRPr="00177C6D">
        <w:rPr>
          <w:rFonts w:asciiTheme="minorHAnsi" w:hAnsiTheme="minorHAnsi" w:cstheme="minorHAnsi"/>
        </w:rPr>
        <w:t xml:space="preserve">, where awareness of negative stereotypes undermines performance (Steele, 1997). Dr Parker, working in an environment where her competence was persistently questioned, likely experienced this pressure. </w:t>
      </w:r>
      <w:r w:rsidRPr="00177C6D">
        <w:rPr>
          <w:rStyle w:val="Strong"/>
          <w:rFonts w:asciiTheme="minorHAnsi" w:hAnsiTheme="minorHAnsi" w:cstheme="minorHAnsi"/>
        </w:rPr>
        <w:t>Intersectionality</w:t>
      </w:r>
      <w:r w:rsidRPr="00177C6D">
        <w:rPr>
          <w:rFonts w:asciiTheme="minorHAnsi" w:hAnsiTheme="minorHAnsi" w:cstheme="minorHAnsi"/>
        </w:rPr>
        <w:t xml:space="preserve"> (Crenshaw, 1989) also offers insight: as a woman, senior professional, and part of a same-sex couple, she may have faced overlapping disadvantages.</w:t>
      </w:r>
    </w:p>
    <w:p w14:paraId="54A7E5C8" w14:textId="77777777" w:rsidR="00177C6D" w:rsidRPr="00177C6D" w:rsidRDefault="00177C6D" w:rsidP="00177C6D">
      <w:pPr>
        <w:pStyle w:val="NormalWeb"/>
        <w:rPr>
          <w:rFonts w:asciiTheme="minorHAnsi" w:hAnsiTheme="minorHAnsi" w:cstheme="minorHAnsi"/>
        </w:rPr>
      </w:pPr>
      <w:r w:rsidRPr="00177C6D">
        <w:rPr>
          <w:rStyle w:val="Strong"/>
          <w:rFonts w:asciiTheme="minorHAnsi" w:hAnsiTheme="minorHAnsi" w:cstheme="minorHAnsi"/>
        </w:rPr>
        <w:t>Microaggressions</w:t>
      </w:r>
      <w:r w:rsidRPr="00177C6D">
        <w:rPr>
          <w:rFonts w:asciiTheme="minorHAnsi" w:hAnsiTheme="minorHAnsi" w:cstheme="minorHAnsi"/>
        </w:rPr>
        <w:t>—subtle behaviours such as whispering or eye-rolling—communicate exclusion and gradually damage confidence and belonging (Sue, 2010).</w:t>
      </w:r>
    </w:p>
    <w:p w14:paraId="482719C0"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Such dynamics are not confined to engineering design. On construction sites, gender bias can similarly distort recognition. In one project meeting, a female engineer’s recommendations on concrete mix specifications were dismissed until repeated by a male colleague. The construction manager intervened to attribute the idea correctly and reinforce her authority. This practical step disrupted affinity bias and mitigated stereotype threat, highlighting how active leadership can counteract exclusionary patterns.</w:t>
      </w:r>
    </w:p>
    <w:p w14:paraId="186AC60B" w14:textId="3BA0A8F9" w:rsidR="004854E2" w:rsidRPr="00177C6D" w:rsidRDefault="004854E2" w:rsidP="004854E2">
      <w:pPr>
        <w:spacing w:before="100" w:beforeAutospacing="1" w:after="100" w:afterAutospacing="1"/>
        <w:rPr>
          <w:rFonts w:eastAsia="Times New Roman" w:cstheme="minorHAnsi"/>
          <w:u w:val="single"/>
          <w:lang w:eastAsia="en-GB"/>
        </w:rPr>
      </w:pPr>
      <w:r w:rsidRPr="00177C6D">
        <w:rPr>
          <w:rFonts w:eastAsia="Times New Roman" w:cstheme="minorHAnsi"/>
          <w:b/>
          <w:bCs/>
          <w:sz w:val="27"/>
          <w:szCs w:val="27"/>
          <w:u w:val="single"/>
          <w:lang w:eastAsia="en-GB"/>
        </w:rPr>
        <w:t>3.3 Accountability and authentic behaviour</w:t>
      </w:r>
    </w:p>
    <w:p w14:paraId="1F1B2315"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Accountability refers to the willingness to take responsibility for decisions and outcomes, while authentic behaviour requires consistency between values and actions (Avolio &amp; Gardner, 2005). Both were notably absent at SMART.</w:t>
      </w:r>
    </w:p>
    <w:p w14:paraId="6F1D8D08"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Managers promised resources but failed to deliver, undermined the project lead, and tolerated gossip. Colleagues who witnessed unfair treatment largely remained silent. This reflects the </w:t>
      </w:r>
      <w:r w:rsidRPr="00177C6D">
        <w:rPr>
          <w:rStyle w:val="Strong"/>
          <w:rFonts w:asciiTheme="minorHAnsi" w:hAnsiTheme="minorHAnsi" w:cstheme="minorHAnsi"/>
        </w:rPr>
        <w:t>bystander effect</w:t>
      </w:r>
      <w:r w:rsidRPr="00177C6D">
        <w:rPr>
          <w:rFonts w:asciiTheme="minorHAnsi" w:hAnsiTheme="minorHAnsi" w:cstheme="minorHAnsi"/>
        </w:rPr>
        <w:t>, in which individuals fail to intervene despite recognising ethical lapses (</w:t>
      </w:r>
      <w:proofErr w:type="spellStart"/>
      <w:r w:rsidRPr="00177C6D">
        <w:rPr>
          <w:rFonts w:asciiTheme="minorHAnsi" w:hAnsiTheme="minorHAnsi" w:cstheme="minorHAnsi"/>
        </w:rPr>
        <w:t>Latané</w:t>
      </w:r>
      <w:proofErr w:type="spellEnd"/>
      <w:r w:rsidRPr="00177C6D">
        <w:rPr>
          <w:rFonts w:asciiTheme="minorHAnsi" w:hAnsiTheme="minorHAnsi" w:cstheme="minorHAnsi"/>
        </w:rPr>
        <w:t xml:space="preserve"> &amp; Darley, 1970). What was lacking was </w:t>
      </w:r>
      <w:r w:rsidRPr="00177C6D">
        <w:rPr>
          <w:rStyle w:val="Strong"/>
          <w:rFonts w:asciiTheme="minorHAnsi" w:hAnsiTheme="minorHAnsi" w:cstheme="minorHAnsi"/>
        </w:rPr>
        <w:t>moral courage</w:t>
      </w:r>
      <w:r w:rsidRPr="00177C6D">
        <w:rPr>
          <w:rFonts w:asciiTheme="minorHAnsi" w:hAnsiTheme="minorHAnsi" w:cstheme="minorHAnsi"/>
        </w:rPr>
        <w:t xml:space="preserve">—the </w:t>
      </w:r>
      <w:r w:rsidRPr="00177C6D">
        <w:rPr>
          <w:rFonts w:asciiTheme="minorHAnsi" w:hAnsiTheme="minorHAnsi" w:cstheme="minorHAnsi"/>
        </w:rPr>
        <w:lastRenderedPageBreak/>
        <w:t>willingness to act on ethical convictions even at personal risk (</w:t>
      </w:r>
      <w:proofErr w:type="spellStart"/>
      <w:r w:rsidRPr="00177C6D">
        <w:rPr>
          <w:rFonts w:asciiTheme="minorHAnsi" w:hAnsiTheme="minorHAnsi" w:cstheme="minorHAnsi"/>
        </w:rPr>
        <w:t>Sekerka</w:t>
      </w:r>
      <w:proofErr w:type="spellEnd"/>
      <w:r w:rsidRPr="00177C6D">
        <w:rPr>
          <w:rFonts w:asciiTheme="minorHAnsi" w:hAnsiTheme="minorHAnsi" w:cstheme="minorHAnsi"/>
        </w:rPr>
        <w:t xml:space="preserve">, </w:t>
      </w:r>
      <w:proofErr w:type="spellStart"/>
      <w:r w:rsidRPr="00177C6D">
        <w:rPr>
          <w:rFonts w:asciiTheme="minorHAnsi" w:hAnsiTheme="minorHAnsi" w:cstheme="minorHAnsi"/>
        </w:rPr>
        <w:t>Bagozzi</w:t>
      </w:r>
      <w:proofErr w:type="spellEnd"/>
      <w:r w:rsidRPr="00177C6D">
        <w:rPr>
          <w:rFonts w:asciiTheme="minorHAnsi" w:hAnsiTheme="minorHAnsi" w:cstheme="minorHAnsi"/>
        </w:rPr>
        <w:t xml:space="preserve">, &amp; </w:t>
      </w:r>
      <w:proofErr w:type="spellStart"/>
      <w:r w:rsidRPr="00177C6D">
        <w:rPr>
          <w:rFonts w:asciiTheme="minorHAnsi" w:hAnsiTheme="minorHAnsi" w:cstheme="minorHAnsi"/>
        </w:rPr>
        <w:t>Charnigo</w:t>
      </w:r>
      <w:proofErr w:type="spellEnd"/>
      <w:r w:rsidRPr="00177C6D">
        <w:rPr>
          <w:rFonts w:asciiTheme="minorHAnsi" w:hAnsiTheme="minorHAnsi" w:cstheme="minorHAnsi"/>
        </w:rPr>
        <w:t>, 2009).</w:t>
      </w:r>
    </w:p>
    <w:p w14:paraId="5BB852C8"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Authenticity was similarly missing from managerial behaviour. Leaders who publicly endorsed collaboration while privately bypassing the project lead created dissonance. Misattribution of credit further emphasised the gap between stated values and actual practice.</w:t>
      </w:r>
    </w:p>
    <w:p w14:paraId="494CABA1"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From a theoretical perspective, SMART exemplified </w:t>
      </w:r>
      <w:r w:rsidRPr="00177C6D">
        <w:rPr>
          <w:rStyle w:val="Strong"/>
          <w:rFonts w:asciiTheme="minorHAnsi" w:hAnsiTheme="minorHAnsi" w:cstheme="minorHAnsi"/>
        </w:rPr>
        <w:t>single-loop learning</w:t>
      </w:r>
      <w:r w:rsidRPr="00177C6D">
        <w:rPr>
          <w:rFonts w:asciiTheme="minorHAnsi" w:hAnsiTheme="minorHAnsi" w:cstheme="minorHAnsi"/>
        </w:rPr>
        <w:t xml:space="preserve">—making surface-level adjustments under stress without questioning assumptions (Argyris &amp; Schön, 1978). Authentic leadership requires </w:t>
      </w:r>
      <w:r w:rsidRPr="00177C6D">
        <w:rPr>
          <w:rStyle w:val="Strong"/>
          <w:rFonts w:asciiTheme="minorHAnsi" w:hAnsiTheme="minorHAnsi" w:cstheme="minorHAnsi"/>
        </w:rPr>
        <w:t>double-loop learning</w:t>
      </w:r>
      <w:r w:rsidRPr="00177C6D">
        <w:rPr>
          <w:rFonts w:asciiTheme="minorHAnsi" w:hAnsiTheme="minorHAnsi" w:cstheme="minorHAnsi"/>
        </w:rPr>
        <w:t>, confronting deeper assumptions and aligning behaviour with espoused values.</w:t>
      </w:r>
    </w:p>
    <w:p w14:paraId="1D612BB0" w14:textId="77777777" w:rsidR="00177C6D" w:rsidRPr="00177C6D" w:rsidRDefault="00177C6D" w:rsidP="00177C6D">
      <w:pPr>
        <w:pStyle w:val="NormalWeb"/>
        <w:rPr>
          <w:rFonts w:asciiTheme="minorHAnsi" w:hAnsiTheme="minorHAnsi" w:cstheme="minorHAnsi"/>
        </w:rPr>
      </w:pPr>
      <w:proofErr w:type="spellStart"/>
      <w:r w:rsidRPr="00177C6D">
        <w:rPr>
          <w:rFonts w:asciiTheme="minorHAnsi" w:hAnsiTheme="minorHAnsi" w:cstheme="minorHAnsi"/>
        </w:rPr>
        <w:t>Treviño</w:t>
      </w:r>
      <w:proofErr w:type="spellEnd"/>
      <w:r w:rsidRPr="00177C6D">
        <w:rPr>
          <w:rFonts w:asciiTheme="minorHAnsi" w:hAnsiTheme="minorHAnsi" w:cstheme="minorHAnsi"/>
        </w:rPr>
        <w:t xml:space="preserve">, Weaver, and Reynolds (2006) note that strong </w:t>
      </w:r>
      <w:r w:rsidRPr="00177C6D">
        <w:rPr>
          <w:rStyle w:val="Strong"/>
          <w:rFonts w:asciiTheme="minorHAnsi" w:hAnsiTheme="minorHAnsi" w:cstheme="minorHAnsi"/>
        </w:rPr>
        <w:t>ethical climates</w:t>
      </w:r>
      <w:r w:rsidRPr="00177C6D">
        <w:rPr>
          <w:rFonts w:asciiTheme="minorHAnsi" w:hAnsiTheme="minorHAnsi" w:cstheme="minorHAnsi"/>
        </w:rPr>
        <w:t xml:space="preserve"> encourage individuals to hold themselves and others accountable. SMART’s culture, in contrast, normalised silence and avoidance.</w:t>
      </w:r>
    </w:p>
    <w:p w14:paraId="33D5BD81"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In construction management, the importance of accountability is clear. On one regeneration project, a subcontractor failed to follow reinforcement specifications. The construction manager accepted responsibility for the lapse in supervision, halted work, and requested an independent inspection. By acknowledging the oversight and correcting it transparently, the manager modelled authentic leadership and reinforced a culture of responsibility—starkly contrasting with the avoidance seen at SMART.</w:t>
      </w:r>
    </w:p>
    <w:p w14:paraId="4849F84E" w14:textId="435F1A24" w:rsidR="004854E2" w:rsidRPr="00177C6D" w:rsidRDefault="004854E2" w:rsidP="004854E2">
      <w:pPr>
        <w:spacing w:before="100" w:beforeAutospacing="1" w:after="100" w:afterAutospacing="1"/>
        <w:rPr>
          <w:rFonts w:eastAsia="Times New Roman" w:cstheme="minorHAnsi"/>
          <w:u w:val="single"/>
          <w:lang w:eastAsia="en-GB"/>
        </w:rPr>
      </w:pPr>
      <w:r w:rsidRPr="00177C6D">
        <w:rPr>
          <w:rFonts w:eastAsia="Times New Roman" w:cstheme="minorHAnsi"/>
          <w:b/>
          <w:bCs/>
          <w:sz w:val="27"/>
          <w:szCs w:val="27"/>
          <w:u w:val="single"/>
          <w:lang w:eastAsia="en-GB"/>
        </w:rPr>
        <w:t>3.4 Interpersonal relationships</w:t>
      </w:r>
    </w:p>
    <w:p w14:paraId="48F8C5B8"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The breakdown of interpersonal relationships at SMART further undermined performance. Effective teams rely on trust, respect, and openness (Salas, Sims, &amp; Burke, 2005). At SMART, gossip and exclusion created an “us versus them” dynamic, while Dr Parker’s withdrawal deepened mistrust.</w:t>
      </w:r>
    </w:p>
    <w:p w14:paraId="0AC5F2E6"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The absence of </w:t>
      </w:r>
      <w:r w:rsidRPr="00177C6D">
        <w:rPr>
          <w:rStyle w:val="Strong"/>
          <w:rFonts w:asciiTheme="minorHAnsi" w:hAnsiTheme="minorHAnsi" w:cstheme="minorHAnsi"/>
        </w:rPr>
        <w:t>psychological safety</w:t>
      </w:r>
      <w:r w:rsidRPr="00177C6D">
        <w:rPr>
          <w:rFonts w:asciiTheme="minorHAnsi" w:hAnsiTheme="minorHAnsi" w:cstheme="minorHAnsi"/>
        </w:rPr>
        <w:t xml:space="preserve"> discouraged contributions and innovation (Edmondson, 1999). Leadership behaviour directly shapes whether employees feel safe to speak up (</w:t>
      </w:r>
      <w:proofErr w:type="spellStart"/>
      <w:r w:rsidRPr="00177C6D">
        <w:rPr>
          <w:rFonts w:asciiTheme="minorHAnsi" w:hAnsiTheme="minorHAnsi" w:cstheme="minorHAnsi"/>
        </w:rPr>
        <w:t>Detert</w:t>
      </w:r>
      <w:proofErr w:type="spellEnd"/>
      <w:r w:rsidRPr="00177C6D">
        <w:rPr>
          <w:rFonts w:asciiTheme="minorHAnsi" w:hAnsiTheme="minorHAnsi" w:cstheme="minorHAnsi"/>
        </w:rPr>
        <w:t xml:space="preserve"> &amp; Burris, 2007). As trust declined, collaboration faltered (Dirks &amp; Ferrin, 2001).</w:t>
      </w:r>
    </w:p>
    <w:p w14:paraId="670406DE"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Conflict management was inadequate. Managers adopted an </w:t>
      </w:r>
      <w:r w:rsidRPr="00177C6D">
        <w:rPr>
          <w:rStyle w:val="Strong"/>
          <w:rFonts w:asciiTheme="minorHAnsi" w:hAnsiTheme="minorHAnsi" w:cstheme="minorHAnsi"/>
        </w:rPr>
        <w:t>avoidant style</w:t>
      </w:r>
      <w:r w:rsidRPr="00177C6D">
        <w:rPr>
          <w:rFonts w:asciiTheme="minorHAnsi" w:hAnsiTheme="minorHAnsi" w:cstheme="minorHAnsi"/>
        </w:rPr>
        <w:t xml:space="preserve">, allowing problems to fester. The </w:t>
      </w:r>
      <w:r w:rsidRPr="00177C6D">
        <w:rPr>
          <w:rStyle w:val="Strong"/>
          <w:rFonts w:asciiTheme="minorHAnsi" w:hAnsiTheme="minorHAnsi" w:cstheme="minorHAnsi"/>
        </w:rPr>
        <w:t>Thomas-Kilmann model</w:t>
      </w:r>
      <w:r w:rsidRPr="00177C6D">
        <w:rPr>
          <w:rFonts w:asciiTheme="minorHAnsi" w:hAnsiTheme="minorHAnsi" w:cstheme="minorHAnsi"/>
        </w:rPr>
        <w:t xml:space="preserve"> identifies collaboration as the most effective conflict resolution approach, yet avoidance prevailed. This pattern increased the risk of </w:t>
      </w:r>
      <w:r w:rsidRPr="00177C6D">
        <w:rPr>
          <w:rStyle w:val="Strong"/>
          <w:rFonts w:asciiTheme="minorHAnsi" w:hAnsiTheme="minorHAnsi" w:cstheme="minorHAnsi"/>
        </w:rPr>
        <w:t>groupthink</w:t>
      </w:r>
      <w:r w:rsidRPr="00177C6D">
        <w:rPr>
          <w:rFonts w:asciiTheme="minorHAnsi" w:hAnsiTheme="minorHAnsi" w:cstheme="minorHAnsi"/>
        </w:rPr>
        <w:t xml:space="preserve">, where dissent is </w:t>
      </w:r>
      <w:proofErr w:type="gramStart"/>
      <w:r w:rsidRPr="00177C6D">
        <w:rPr>
          <w:rFonts w:asciiTheme="minorHAnsi" w:hAnsiTheme="minorHAnsi" w:cstheme="minorHAnsi"/>
        </w:rPr>
        <w:t>suppressed</w:t>
      </w:r>
      <w:proofErr w:type="gramEnd"/>
      <w:r w:rsidRPr="00177C6D">
        <w:rPr>
          <w:rFonts w:asciiTheme="minorHAnsi" w:hAnsiTheme="minorHAnsi" w:cstheme="minorHAnsi"/>
        </w:rPr>
        <w:t xml:space="preserve"> and poor decisions go unchallenged (Janis, 1982).</w:t>
      </w:r>
    </w:p>
    <w:p w14:paraId="20885E06"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Repairing relationships requires structured interventions. </w:t>
      </w:r>
      <w:r w:rsidRPr="00177C6D">
        <w:rPr>
          <w:rStyle w:val="Strong"/>
          <w:rFonts w:asciiTheme="minorHAnsi" w:hAnsiTheme="minorHAnsi" w:cstheme="minorHAnsi"/>
        </w:rPr>
        <w:t>Team charters</w:t>
      </w:r>
      <w:r w:rsidRPr="00177C6D">
        <w:rPr>
          <w:rFonts w:asciiTheme="minorHAnsi" w:hAnsiTheme="minorHAnsi" w:cstheme="minorHAnsi"/>
        </w:rPr>
        <w:t xml:space="preserve"> can set shared behavioural norms, while retrospectives allow tensions to surface constructively. Inclusive practices such as rotating facilitation and peer recognition ensure all voices are heard. Trust, once damaged, must be rebuilt deliberately.</w:t>
      </w:r>
    </w:p>
    <w:p w14:paraId="2A8BCAD2"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lastRenderedPageBreak/>
        <w:t>This lesson resonates in construction management. On a regeneration site, disputes arose between mechanical and electrical contractors over access sequencing. The construction manager facilitated a collaborative problem-solving session, drawing on a Thomas–Kilmann style of engagement. The intervention rebuilt trust, encouraged cooperation, and kept the project on track.</w:t>
      </w:r>
    </w:p>
    <w:p w14:paraId="67160AF3" w14:textId="77777777" w:rsidR="004854E2" w:rsidRPr="00177C6D" w:rsidRDefault="004854E2" w:rsidP="004854E2">
      <w:pPr>
        <w:spacing w:before="100" w:beforeAutospacing="1" w:after="100" w:afterAutospacing="1"/>
        <w:outlineLvl w:val="2"/>
        <w:rPr>
          <w:rFonts w:eastAsia="Times New Roman" w:cstheme="minorHAnsi"/>
          <w:b/>
          <w:bCs/>
          <w:sz w:val="27"/>
          <w:szCs w:val="27"/>
          <w:u w:val="single"/>
          <w:lang w:eastAsia="en-GB"/>
        </w:rPr>
      </w:pPr>
      <w:r w:rsidRPr="00177C6D">
        <w:rPr>
          <w:rFonts w:eastAsia="Times New Roman" w:cstheme="minorHAnsi"/>
          <w:b/>
          <w:bCs/>
          <w:sz w:val="27"/>
          <w:szCs w:val="27"/>
          <w:u w:val="single"/>
          <w:lang w:eastAsia="en-GB"/>
        </w:rPr>
        <w:t>3.5 Professional integrity</w:t>
      </w:r>
    </w:p>
    <w:p w14:paraId="3A657275"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Professional integrity encompasses honesty, fairness, and responsibility to society (</w:t>
      </w:r>
      <w:proofErr w:type="spellStart"/>
      <w:r w:rsidRPr="00177C6D">
        <w:rPr>
          <w:rFonts w:asciiTheme="minorHAnsi" w:hAnsiTheme="minorHAnsi" w:cstheme="minorHAnsi"/>
        </w:rPr>
        <w:t>Treviño</w:t>
      </w:r>
      <w:proofErr w:type="spellEnd"/>
      <w:r w:rsidRPr="00177C6D">
        <w:rPr>
          <w:rFonts w:asciiTheme="minorHAnsi" w:hAnsiTheme="minorHAnsi" w:cstheme="minorHAnsi"/>
        </w:rPr>
        <w:t xml:space="preserve">, Weaver, &amp; Reynolds, 2006). The Engineering Council’s </w:t>
      </w:r>
      <w:r w:rsidRPr="00177C6D">
        <w:rPr>
          <w:rStyle w:val="Emphasis"/>
          <w:rFonts w:asciiTheme="minorHAnsi" w:hAnsiTheme="minorHAnsi" w:cstheme="minorHAnsi"/>
        </w:rPr>
        <w:t>Statement of Ethical Principles</w:t>
      </w:r>
      <w:r w:rsidRPr="00177C6D">
        <w:rPr>
          <w:rFonts w:asciiTheme="minorHAnsi" w:hAnsiTheme="minorHAnsi" w:cstheme="minorHAnsi"/>
        </w:rPr>
        <w:t xml:space="preserve"> outlines commitments to accuracy, honesty, respect, and responsible leadership (Engineering Council UK, 2020). SMART’s conduct violated each of these principles.</w:t>
      </w:r>
    </w:p>
    <w:p w14:paraId="60E4D87B"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Gossip and whispering eroded respect. Misattribution of work breached honesty. Managerial bypassing weakened responsible leadership. Even Dr Parker’s decision to withhold information, though understandable, compromised accuracy and rigour.</w:t>
      </w:r>
    </w:p>
    <w:p w14:paraId="4651C8B1"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 xml:space="preserve">Engineering history demonstrates the risks of eroded integrity. The </w:t>
      </w:r>
      <w:r w:rsidRPr="00177C6D">
        <w:rPr>
          <w:rStyle w:val="Strong"/>
          <w:rFonts w:asciiTheme="minorHAnsi" w:hAnsiTheme="minorHAnsi" w:cstheme="minorHAnsi"/>
        </w:rPr>
        <w:t>Challenger disaster</w:t>
      </w:r>
      <w:r w:rsidRPr="00177C6D">
        <w:rPr>
          <w:rFonts w:asciiTheme="minorHAnsi" w:hAnsiTheme="minorHAnsi" w:cstheme="minorHAnsi"/>
        </w:rPr>
        <w:t xml:space="preserve"> revealed how ignored warnings and cultural failures contributed to tragedy (Vaughan, 1996). The </w:t>
      </w:r>
      <w:r w:rsidRPr="00177C6D">
        <w:rPr>
          <w:rStyle w:val="Strong"/>
          <w:rFonts w:asciiTheme="minorHAnsi" w:hAnsiTheme="minorHAnsi" w:cstheme="minorHAnsi"/>
        </w:rPr>
        <w:t>Boeing 737 MAX crisis</w:t>
      </w:r>
      <w:r w:rsidRPr="00177C6D">
        <w:rPr>
          <w:rFonts w:asciiTheme="minorHAnsi" w:hAnsiTheme="minorHAnsi" w:cstheme="minorHAnsi"/>
        </w:rPr>
        <w:t xml:space="preserve"> similarly showed the dangers of </w:t>
      </w:r>
      <w:proofErr w:type="spellStart"/>
      <w:r w:rsidRPr="00177C6D">
        <w:rPr>
          <w:rFonts w:asciiTheme="minorHAnsi" w:hAnsiTheme="minorHAnsi" w:cstheme="minorHAnsi"/>
        </w:rPr>
        <w:t>sidelining</w:t>
      </w:r>
      <w:proofErr w:type="spellEnd"/>
      <w:r w:rsidRPr="00177C6D">
        <w:rPr>
          <w:rFonts w:asciiTheme="minorHAnsi" w:hAnsiTheme="minorHAnsi" w:cstheme="minorHAnsi"/>
        </w:rPr>
        <w:t xml:space="preserve"> ethical concerns for commercial gain (Denning, 2019). While SMART’s failings did not reach this scale, they reflect the same neglect of professional standards.</w:t>
      </w:r>
    </w:p>
    <w:p w14:paraId="4A8CF841"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In construction management, integrity is also tested in daily practice. A manager once faced an offer of preferential supplier pricing in exchange for guaranteed repeat contracts. Refusing the offer, documenting the incident, and reporting it to procurement upheld both integrity and compliance with governance procedures. This example shows how ethical decision-making must be made explicit, protecting both personal credibility and organisational reputation.</w:t>
      </w:r>
    </w:p>
    <w:p w14:paraId="1D1CBA2B" w14:textId="77777777" w:rsidR="00177C6D" w:rsidRPr="00177C6D" w:rsidRDefault="00177C6D" w:rsidP="00177C6D">
      <w:pPr>
        <w:pStyle w:val="NormalWeb"/>
        <w:rPr>
          <w:rFonts w:asciiTheme="minorHAnsi" w:hAnsiTheme="minorHAnsi" w:cstheme="minorHAnsi"/>
        </w:rPr>
      </w:pPr>
      <w:r w:rsidRPr="00177C6D">
        <w:rPr>
          <w:rFonts w:asciiTheme="minorHAnsi" w:hAnsiTheme="minorHAnsi" w:cstheme="minorHAnsi"/>
        </w:rPr>
        <w:t>Embedding integrity requires visible structures: clear ethics frameworks, whistleblowing protections, and alignment of rewards with ethical behaviour. For individuals, it also involves articulating the reasoning behind ethical choices, which strengthens trust within teams and society more broadly.</w:t>
      </w:r>
    </w:p>
    <w:p w14:paraId="7855F622" w14:textId="77777777" w:rsidR="00BD74AA" w:rsidRPr="00177C6D" w:rsidRDefault="005971B5" w:rsidP="00BD74AA">
      <w:pPr>
        <w:rPr>
          <w:rFonts w:eastAsia="Times New Roman" w:cstheme="minorHAnsi"/>
          <w:lang w:eastAsia="en-GB"/>
        </w:rPr>
      </w:pPr>
      <w:r>
        <w:rPr>
          <w:rFonts w:eastAsia="Times New Roman" w:cstheme="minorHAnsi"/>
          <w:noProof/>
          <w:lang w:eastAsia="en-GB"/>
        </w:rPr>
        <w:pict w14:anchorId="5AC5AD0D">
          <v:rect id="_x0000_i1028" alt="" style="width:451.3pt;height:.05pt;mso-width-percent:0;mso-height-percent:0;mso-width-percent:0;mso-height-percent:0" o:hralign="center" o:hrstd="t" o:hr="t" fillcolor="#a0a0a0" stroked="f"/>
        </w:pict>
      </w:r>
    </w:p>
    <w:p w14:paraId="14D0750F" w14:textId="1E72BA5E" w:rsidR="00BD74AA" w:rsidRPr="00177C6D" w:rsidRDefault="00BD74AA" w:rsidP="00BD74AA">
      <w:pPr>
        <w:spacing w:before="100" w:beforeAutospacing="1" w:after="100" w:afterAutospacing="1"/>
        <w:outlineLvl w:val="1"/>
        <w:rPr>
          <w:rFonts w:eastAsia="Times New Roman" w:cstheme="minorHAnsi"/>
          <w:b/>
          <w:bCs/>
          <w:sz w:val="36"/>
          <w:szCs w:val="36"/>
          <w:lang w:eastAsia="en-GB"/>
        </w:rPr>
      </w:pPr>
      <w:r w:rsidRPr="00177C6D">
        <w:rPr>
          <w:rFonts w:eastAsia="Times New Roman" w:cstheme="minorHAnsi"/>
          <w:b/>
          <w:bCs/>
          <w:sz w:val="36"/>
          <w:szCs w:val="36"/>
          <w:lang w:eastAsia="en-GB"/>
        </w:rPr>
        <w:t>4. Personal Development Plan (PDP)</w:t>
      </w:r>
    </w:p>
    <w:p w14:paraId="18EAE780" w14:textId="77777777" w:rsidR="008D0D15" w:rsidRPr="00177C6D" w:rsidRDefault="008D0D15" w:rsidP="008D0D15">
      <w:pPr>
        <w:pStyle w:val="NormalWeb"/>
        <w:rPr>
          <w:rFonts w:asciiTheme="minorHAnsi" w:hAnsiTheme="minorHAnsi" w:cstheme="minorHAnsi"/>
        </w:rPr>
      </w:pPr>
      <w:r w:rsidRPr="00177C6D">
        <w:rPr>
          <w:rFonts w:asciiTheme="minorHAnsi" w:hAnsiTheme="minorHAnsi" w:cstheme="minorHAnsi"/>
        </w:rPr>
        <w:t>The SMART Engineering case illustrates how failures in self-management, bias awareness, accountability, interpersonal trust, and professional integrity can undermine performance. A Personal Development Plan (PDP) is therefore essential to ensure these areas are deliberately strengthened.</w:t>
      </w:r>
    </w:p>
    <w:p w14:paraId="06BFD0E0" w14:textId="15C35C88" w:rsidR="008D0D15" w:rsidRPr="00177C6D" w:rsidRDefault="008D0D15" w:rsidP="008D0D15">
      <w:pPr>
        <w:pStyle w:val="NormalWeb"/>
        <w:rPr>
          <w:rFonts w:asciiTheme="minorHAnsi" w:hAnsiTheme="minorHAnsi" w:cstheme="minorHAnsi"/>
        </w:rPr>
      </w:pPr>
      <w:r w:rsidRPr="00177C6D">
        <w:rPr>
          <w:rFonts w:asciiTheme="minorHAnsi" w:hAnsiTheme="minorHAnsi" w:cstheme="minorHAnsi"/>
        </w:rPr>
        <w:t xml:space="preserve">This PDP draws on </w:t>
      </w:r>
      <w:r w:rsidRPr="00177C6D">
        <w:rPr>
          <w:rStyle w:val="Strong"/>
          <w:rFonts w:asciiTheme="minorHAnsi" w:hAnsiTheme="minorHAnsi" w:cstheme="minorHAnsi"/>
        </w:rPr>
        <w:t>Kolb’s Experiential Learning Cycle (1984)</w:t>
      </w:r>
      <w:r w:rsidRPr="00177C6D">
        <w:rPr>
          <w:rFonts w:asciiTheme="minorHAnsi" w:hAnsiTheme="minorHAnsi" w:cstheme="minorHAnsi"/>
        </w:rPr>
        <w:t xml:space="preserve">, which frames learning as a process of experience, reflection, conceptualisation, and experimentation, and </w:t>
      </w:r>
      <w:r w:rsidRPr="00177C6D">
        <w:rPr>
          <w:rStyle w:val="Strong"/>
          <w:rFonts w:asciiTheme="minorHAnsi" w:hAnsiTheme="minorHAnsi" w:cstheme="minorHAnsi"/>
        </w:rPr>
        <w:t>Gibbs’ Reflective Cycle (1988)</w:t>
      </w:r>
      <w:r w:rsidRPr="00177C6D">
        <w:rPr>
          <w:rFonts w:asciiTheme="minorHAnsi" w:hAnsiTheme="minorHAnsi" w:cstheme="minorHAnsi"/>
        </w:rPr>
        <w:t xml:space="preserve">, which provides structure for learning from challenging incidents. It </w:t>
      </w:r>
      <w:r w:rsidRPr="00177C6D">
        <w:rPr>
          <w:rFonts w:asciiTheme="minorHAnsi" w:hAnsiTheme="minorHAnsi" w:cstheme="minorHAnsi"/>
        </w:rPr>
        <w:lastRenderedPageBreak/>
        <w:t xml:space="preserve">also aligns with the </w:t>
      </w:r>
      <w:r w:rsidRPr="00177C6D">
        <w:rPr>
          <w:rStyle w:val="Strong"/>
          <w:rFonts w:asciiTheme="minorHAnsi" w:hAnsiTheme="minorHAnsi" w:cstheme="minorHAnsi"/>
        </w:rPr>
        <w:t>CPD expectations of UK professional bodies</w:t>
      </w:r>
      <w:r w:rsidRPr="00177C6D">
        <w:rPr>
          <w:rFonts w:asciiTheme="minorHAnsi" w:hAnsiTheme="minorHAnsi" w:cstheme="minorHAnsi"/>
        </w:rPr>
        <w:t xml:space="preserve">, where planning, recording, and reflecting on development are fundamental. The objectives are structured according to the </w:t>
      </w:r>
      <w:r w:rsidRPr="00177C6D">
        <w:rPr>
          <w:rStyle w:val="Strong"/>
          <w:rFonts w:asciiTheme="minorHAnsi" w:hAnsiTheme="minorHAnsi" w:cstheme="minorHAnsi"/>
        </w:rPr>
        <w:t>SMART framework</w:t>
      </w:r>
      <w:r w:rsidRPr="00177C6D">
        <w:rPr>
          <w:rFonts w:asciiTheme="minorHAnsi" w:hAnsiTheme="minorHAnsi" w:cstheme="minorHAnsi"/>
        </w:rPr>
        <w:t xml:space="preserve"> (Doran, 1981), ensuring each is specific, measurable, achievable, relevant, and </w:t>
      </w:r>
      <w:proofErr w:type="gramStart"/>
      <w:r w:rsidRPr="00177C6D">
        <w:rPr>
          <w:rFonts w:asciiTheme="minorHAnsi" w:hAnsiTheme="minorHAnsi" w:cstheme="minorHAnsi"/>
        </w:rPr>
        <w:t>time-bound</w:t>
      </w:r>
      <w:proofErr w:type="gramEnd"/>
      <w:r w:rsidRPr="00177C6D">
        <w:rPr>
          <w:rFonts w:asciiTheme="minorHAnsi" w:hAnsiTheme="minorHAnsi" w:cstheme="minorHAnsi"/>
        </w:rPr>
        <w:t>.</w:t>
      </w:r>
    </w:p>
    <w:p w14:paraId="6894B1EA" w14:textId="6B48A534" w:rsidR="00186AA2" w:rsidRPr="00177C6D" w:rsidRDefault="00186AA2" w:rsidP="008D0D15">
      <w:pPr>
        <w:pStyle w:val="NormalWeb"/>
        <w:rPr>
          <w:rFonts w:asciiTheme="minorHAnsi" w:hAnsiTheme="minorHAnsi" w:cstheme="minorHAnsi"/>
        </w:rPr>
      </w:pPr>
      <w:r w:rsidRPr="00177C6D">
        <w:rPr>
          <w:rFonts w:asciiTheme="minorHAnsi" w:hAnsiTheme="minorHAnsi" w:cstheme="minorHAnsi"/>
        </w:rPr>
        <w:t>The following objectives are structured according to the SMART framework and are presented in Table 2. This format ensures clarity around actions, timelines, evaluation, and rationale, while demonstrating alignment with professional standards and CPD expectations.</w:t>
      </w:r>
    </w:p>
    <w:p w14:paraId="287C82D8" w14:textId="408AEEDD" w:rsidR="00624F73" w:rsidRPr="00177C6D" w:rsidRDefault="00624F73" w:rsidP="008D0D15">
      <w:pPr>
        <w:pStyle w:val="NormalWeb"/>
        <w:rPr>
          <w:rFonts w:asciiTheme="minorHAnsi" w:hAnsiTheme="minorHAnsi" w:cstheme="minorHAnsi"/>
          <w:u w:val="single"/>
        </w:rPr>
      </w:pPr>
      <w:r w:rsidRPr="00177C6D">
        <w:rPr>
          <w:rFonts w:asciiTheme="minorHAnsi" w:hAnsiTheme="minorHAnsi" w:cstheme="minorHAnsi"/>
          <w:u w:val="single"/>
        </w:rPr>
        <w:t xml:space="preserve">Table </w:t>
      </w:r>
      <w:proofErr w:type="gramStart"/>
      <w:r w:rsidRPr="00177C6D">
        <w:rPr>
          <w:rFonts w:asciiTheme="minorHAnsi" w:hAnsiTheme="minorHAnsi" w:cstheme="minorHAnsi"/>
          <w:u w:val="single"/>
        </w:rPr>
        <w:t>2</w:t>
      </w:r>
      <w:r w:rsidR="00DF189D" w:rsidRPr="00177C6D">
        <w:rPr>
          <w:rFonts w:asciiTheme="minorHAnsi" w:hAnsiTheme="minorHAnsi" w:cstheme="minorHAnsi"/>
          <w:u w:val="single"/>
        </w:rPr>
        <w:t>:Personal</w:t>
      </w:r>
      <w:proofErr w:type="gramEnd"/>
      <w:r w:rsidR="00DF189D" w:rsidRPr="00177C6D">
        <w:rPr>
          <w:rFonts w:asciiTheme="minorHAnsi" w:hAnsiTheme="minorHAnsi" w:cstheme="minorHAnsi"/>
          <w:u w:val="single"/>
        </w:rPr>
        <w:t xml:space="preserve"> Development Plan</w:t>
      </w:r>
    </w:p>
    <w:tbl>
      <w:tblPr>
        <w:tblStyle w:val="TableGridLight"/>
        <w:tblW w:w="0" w:type="auto"/>
        <w:tblLook w:val="04A0" w:firstRow="1" w:lastRow="0" w:firstColumn="1" w:lastColumn="0" w:noHBand="0" w:noVBand="1"/>
      </w:tblPr>
      <w:tblGrid>
        <w:gridCol w:w="1534"/>
        <w:gridCol w:w="2636"/>
        <w:gridCol w:w="960"/>
        <w:gridCol w:w="1973"/>
        <w:gridCol w:w="1913"/>
      </w:tblGrid>
      <w:tr w:rsidR="008D0D15" w:rsidRPr="00177C6D" w14:paraId="4DE2DC5D" w14:textId="77777777" w:rsidTr="008D0D15">
        <w:tc>
          <w:tcPr>
            <w:tcW w:w="0" w:type="auto"/>
            <w:hideMark/>
          </w:tcPr>
          <w:p w14:paraId="437575AA" w14:textId="77777777" w:rsidR="008D0D15" w:rsidRPr="00177C6D" w:rsidRDefault="008D0D15" w:rsidP="008D0D15">
            <w:pPr>
              <w:jc w:val="center"/>
              <w:rPr>
                <w:rFonts w:eastAsia="Times New Roman" w:cstheme="minorHAnsi"/>
                <w:b/>
                <w:bCs/>
                <w:sz w:val="20"/>
                <w:szCs w:val="20"/>
                <w:lang w:eastAsia="en-GB"/>
              </w:rPr>
            </w:pPr>
            <w:r w:rsidRPr="00177C6D">
              <w:rPr>
                <w:rFonts w:eastAsia="Times New Roman" w:cstheme="minorHAnsi"/>
                <w:b/>
                <w:bCs/>
                <w:sz w:val="20"/>
                <w:szCs w:val="20"/>
                <w:lang w:eastAsia="en-GB"/>
              </w:rPr>
              <w:t>Objective</w:t>
            </w:r>
          </w:p>
        </w:tc>
        <w:tc>
          <w:tcPr>
            <w:tcW w:w="0" w:type="auto"/>
            <w:hideMark/>
          </w:tcPr>
          <w:p w14:paraId="0C2FD3ED" w14:textId="77777777" w:rsidR="008D0D15" w:rsidRPr="00177C6D" w:rsidRDefault="008D0D15" w:rsidP="008D0D15">
            <w:pPr>
              <w:jc w:val="center"/>
              <w:rPr>
                <w:rFonts w:eastAsia="Times New Roman" w:cstheme="minorHAnsi"/>
                <w:b/>
                <w:bCs/>
                <w:sz w:val="20"/>
                <w:szCs w:val="20"/>
                <w:lang w:eastAsia="en-GB"/>
              </w:rPr>
            </w:pPr>
            <w:r w:rsidRPr="00177C6D">
              <w:rPr>
                <w:rFonts w:eastAsia="Times New Roman" w:cstheme="minorHAnsi"/>
                <w:b/>
                <w:bCs/>
                <w:sz w:val="20"/>
                <w:szCs w:val="20"/>
                <w:lang w:eastAsia="en-GB"/>
              </w:rPr>
              <w:t>Actions</w:t>
            </w:r>
          </w:p>
        </w:tc>
        <w:tc>
          <w:tcPr>
            <w:tcW w:w="0" w:type="auto"/>
            <w:hideMark/>
          </w:tcPr>
          <w:p w14:paraId="21E1E46C" w14:textId="77777777" w:rsidR="008D0D15" w:rsidRPr="00177C6D" w:rsidRDefault="008D0D15" w:rsidP="008D0D15">
            <w:pPr>
              <w:jc w:val="center"/>
              <w:rPr>
                <w:rFonts w:eastAsia="Times New Roman" w:cstheme="minorHAnsi"/>
                <w:b/>
                <w:bCs/>
                <w:sz w:val="20"/>
                <w:szCs w:val="20"/>
                <w:lang w:eastAsia="en-GB"/>
              </w:rPr>
            </w:pPr>
            <w:r w:rsidRPr="00177C6D">
              <w:rPr>
                <w:rFonts w:eastAsia="Times New Roman" w:cstheme="minorHAnsi"/>
                <w:b/>
                <w:bCs/>
                <w:sz w:val="20"/>
                <w:szCs w:val="20"/>
                <w:lang w:eastAsia="en-GB"/>
              </w:rPr>
              <w:t>Timeline</w:t>
            </w:r>
          </w:p>
        </w:tc>
        <w:tc>
          <w:tcPr>
            <w:tcW w:w="0" w:type="auto"/>
            <w:hideMark/>
          </w:tcPr>
          <w:p w14:paraId="7204B4FC" w14:textId="77777777" w:rsidR="008D0D15" w:rsidRPr="00177C6D" w:rsidRDefault="008D0D15" w:rsidP="008D0D15">
            <w:pPr>
              <w:jc w:val="center"/>
              <w:rPr>
                <w:rFonts w:eastAsia="Times New Roman" w:cstheme="minorHAnsi"/>
                <w:b/>
                <w:bCs/>
                <w:sz w:val="20"/>
                <w:szCs w:val="20"/>
                <w:lang w:eastAsia="en-GB"/>
              </w:rPr>
            </w:pPr>
            <w:r w:rsidRPr="00177C6D">
              <w:rPr>
                <w:rFonts w:eastAsia="Times New Roman" w:cstheme="minorHAnsi"/>
                <w:b/>
                <w:bCs/>
                <w:sz w:val="20"/>
                <w:szCs w:val="20"/>
                <w:lang w:eastAsia="en-GB"/>
              </w:rPr>
              <w:t>Evaluation</w:t>
            </w:r>
          </w:p>
        </w:tc>
        <w:tc>
          <w:tcPr>
            <w:tcW w:w="0" w:type="auto"/>
            <w:hideMark/>
          </w:tcPr>
          <w:p w14:paraId="39A018C4" w14:textId="77777777" w:rsidR="008D0D15" w:rsidRPr="00177C6D" w:rsidRDefault="008D0D15" w:rsidP="008D0D15">
            <w:pPr>
              <w:jc w:val="center"/>
              <w:rPr>
                <w:rFonts w:eastAsia="Times New Roman" w:cstheme="minorHAnsi"/>
                <w:b/>
                <w:bCs/>
                <w:sz w:val="20"/>
                <w:szCs w:val="20"/>
                <w:lang w:eastAsia="en-GB"/>
              </w:rPr>
            </w:pPr>
            <w:r w:rsidRPr="00177C6D">
              <w:rPr>
                <w:rFonts w:eastAsia="Times New Roman" w:cstheme="minorHAnsi"/>
                <w:b/>
                <w:bCs/>
                <w:sz w:val="20"/>
                <w:szCs w:val="20"/>
                <w:lang w:eastAsia="en-GB"/>
              </w:rPr>
              <w:t>Rationale</w:t>
            </w:r>
          </w:p>
        </w:tc>
      </w:tr>
      <w:tr w:rsidR="008D0D15" w:rsidRPr="00177C6D" w14:paraId="772D57B0" w14:textId="77777777" w:rsidTr="008D0D15">
        <w:tc>
          <w:tcPr>
            <w:tcW w:w="0" w:type="auto"/>
            <w:hideMark/>
          </w:tcPr>
          <w:p w14:paraId="132CA85D"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b/>
                <w:bCs/>
                <w:sz w:val="20"/>
                <w:szCs w:val="20"/>
                <w:lang w:eastAsia="en-GB"/>
              </w:rPr>
              <w:t>1. Strengthen resilience and self-management</w:t>
            </w:r>
          </w:p>
        </w:tc>
        <w:tc>
          <w:tcPr>
            <w:tcW w:w="0" w:type="auto"/>
            <w:hideMark/>
          </w:tcPr>
          <w:p w14:paraId="3343C3B0"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Complete an 8-week Mindfulness-Based Stress Reduction (MBSR) course. - Keep a reflective journal of emotional triggers and coping strategies. - Apply techniques before high-stakes meetings.</w:t>
            </w:r>
          </w:p>
        </w:tc>
        <w:tc>
          <w:tcPr>
            <w:tcW w:w="0" w:type="auto"/>
            <w:hideMark/>
          </w:tcPr>
          <w:p w14:paraId="49B710DA"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6–12 months</w:t>
            </w:r>
          </w:p>
        </w:tc>
        <w:tc>
          <w:tcPr>
            <w:tcW w:w="0" w:type="auto"/>
            <w:hideMark/>
          </w:tcPr>
          <w:p w14:paraId="0F0E53D7"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Monthly reflective reviews. - 360-degree feedback after 12 months.</w:t>
            </w:r>
          </w:p>
        </w:tc>
        <w:tc>
          <w:tcPr>
            <w:tcW w:w="0" w:type="auto"/>
            <w:hideMark/>
          </w:tcPr>
          <w:p w14:paraId="33B30E03"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xml:space="preserve">Resilience reduces burnout and improves judgement (Brotheridge &amp; </w:t>
            </w:r>
            <w:proofErr w:type="spellStart"/>
            <w:r w:rsidRPr="00177C6D">
              <w:rPr>
                <w:rFonts w:eastAsia="Times New Roman" w:cstheme="minorHAnsi"/>
                <w:sz w:val="20"/>
                <w:szCs w:val="20"/>
                <w:lang w:eastAsia="en-GB"/>
              </w:rPr>
              <w:t>Grandey</w:t>
            </w:r>
            <w:proofErr w:type="spellEnd"/>
            <w:r w:rsidRPr="00177C6D">
              <w:rPr>
                <w:rFonts w:eastAsia="Times New Roman" w:cstheme="minorHAnsi"/>
                <w:sz w:val="20"/>
                <w:szCs w:val="20"/>
                <w:lang w:eastAsia="en-GB"/>
              </w:rPr>
              <w:t>, 2002; George, 2000).</w:t>
            </w:r>
          </w:p>
        </w:tc>
      </w:tr>
      <w:tr w:rsidR="008D0D15" w:rsidRPr="00177C6D" w14:paraId="1F207A52" w14:textId="77777777" w:rsidTr="008D0D15">
        <w:tc>
          <w:tcPr>
            <w:tcW w:w="0" w:type="auto"/>
            <w:hideMark/>
          </w:tcPr>
          <w:p w14:paraId="2189E989"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b/>
                <w:bCs/>
                <w:sz w:val="20"/>
                <w:szCs w:val="20"/>
                <w:lang w:eastAsia="en-GB"/>
              </w:rPr>
              <w:t>2. Bias recognition and intervention</w:t>
            </w:r>
          </w:p>
        </w:tc>
        <w:tc>
          <w:tcPr>
            <w:tcW w:w="0" w:type="auto"/>
            <w:hideMark/>
          </w:tcPr>
          <w:p w14:paraId="42D0E424"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Undertake unconscious bias and active bystander training. - Introduce structured meeting practices (airtime tracking, contribution registers). - Reflect on at least three interventions using Gibbs’ cycle.</w:t>
            </w:r>
          </w:p>
        </w:tc>
        <w:tc>
          <w:tcPr>
            <w:tcW w:w="0" w:type="auto"/>
            <w:hideMark/>
          </w:tcPr>
          <w:p w14:paraId="62CD1BD5"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3–6 months</w:t>
            </w:r>
          </w:p>
        </w:tc>
        <w:tc>
          <w:tcPr>
            <w:tcW w:w="0" w:type="auto"/>
            <w:hideMark/>
          </w:tcPr>
          <w:p w14:paraId="71B1A3A7"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Team survey on inclusivity at baseline and 6 months. - Observation of meeting dynamics.</w:t>
            </w:r>
          </w:p>
        </w:tc>
        <w:tc>
          <w:tcPr>
            <w:tcW w:w="0" w:type="auto"/>
            <w:hideMark/>
          </w:tcPr>
          <w:p w14:paraId="46E01F60"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xml:space="preserve">Structural and behavioural interventions reduce bias more effectively than awareness alone (Dobbin &amp; </w:t>
            </w:r>
            <w:proofErr w:type="spellStart"/>
            <w:r w:rsidRPr="00177C6D">
              <w:rPr>
                <w:rFonts w:eastAsia="Times New Roman" w:cstheme="minorHAnsi"/>
                <w:sz w:val="20"/>
                <w:szCs w:val="20"/>
                <w:lang w:eastAsia="en-GB"/>
              </w:rPr>
              <w:t>Kalev</w:t>
            </w:r>
            <w:proofErr w:type="spellEnd"/>
            <w:r w:rsidRPr="00177C6D">
              <w:rPr>
                <w:rFonts w:eastAsia="Times New Roman" w:cstheme="minorHAnsi"/>
                <w:sz w:val="20"/>
                <w:szCs w:val="20"/>
                <w:lang w:eastAsia="en-GB"/>
              </w:rPr>
              <w:t>, 2016).</w:t>
            </w:r>
          </w:p>
        </w:tc>
      </w:tr>
      <w:tr w:rsidR="008D0D15" w:rsidRPr="00177C6D" w14:paraId="2E0125FF" w14:textId="77777777" w:rsidTr="008D0D15">
        <w:tc>
          <w:tcPr>
            <w:tcW w:w="0" w:type="auto"/>
            <w:hideMark/>
          </w:tcPr>
          <w:p w14:paraId="3C016A77"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b/>
                <w:bCs/>
                <w:sz w:val="20"/>
                <w:szCs w:val="20"/>
                <w:lang w:eastAsia="en-GB"/>
              </w:rPr>
              <w:t>3. Authentic and accountable leadership</w:t>
            </w:r>
          </w:p>
        </w:tc>
        <w:tc>
          <w:tcPr>
            <w:tcW w:w="0" w:type="auto"/>
            <w:hideMark/>
          </w:tcPr>
          <w:p w14:paraId="1D5E266F"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Maintain a decision log capturing rationale and ethical considerations. - Introduce transparent resource tracking. - Adopt “no surprises” rule for communication.</w:t>
            </w:r>
          </w:p>
        </w:tc>
        <w:tc>
          <w:tcPr>
            <w:tcW w:w="0" w:type="auto"/>
            <w:hideMark/>
          </w:tcPr>
          <w:p w14:paraId="3FF52393"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12 months</w:t>
            </w:r>
          </w:p>
        </w:tc>
        <w:tc>
          <w:tcPr>
            <w:tcW w:w="0" w:type="auto"/>
            <w:hideMark/>
          </w:tcPr>
          <w:p w14:paraId="3A62A188"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Quarterly mentor reviews of decision log. - 360-degree appraisal on fairness and openness.</w:t>
            </w:r>
          </w:p>
        </w:tc>
        <w:tc>
          <w:tcPr>
            <w:tcW w:w="0" w:type="auto"/>
            <w:hideMark/>
          </w:tcPr>
          <w:p w14:paraId="74DBC428"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Authentic leadership improves trust and engagement (Avolio &amp; Gardner, 2005).</w:t>
            </w:r>
          </w:p>
        </w:tc>
      </w:tr>
      <w:tr w:rsidR="008D0D15" w:rsidRPr="00177C6D" w14:paraId="5B746541" w14:textId="77777777" w:rsidTr="008D0D15">
        <w:tc>
          <w:tcPr>
            <w:tcW w:w="0" w:type="auto"/>
            <w:hideMark/>
          </w:tcPr>
          <w:p w14:paraId="7D1B7E07"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b/>
                <w:bCs/>
                <w:sz w:val="20"/>
                <w:szCs w:val="20"/>
                <w:lang w:eastAsia="en-GB"/>
              </w:rPr>
              <w:t>4. Build interpersonal trust and inclusion</w:t>
            </w:r>
          </w:p>
        </w:tc>
        <w:tc>
          <w:tcPr>
            <w:tcW w:w="0" w:type="auto"/>
            <w:hideMark/>
          </w:tcPr>
          <w:p w14:paraId="22BEBCF1"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Co-develop a team charter outlining behavioural norms. - Rotate facilitation and maintain contribution registers. - Hold quarterly retrospectives.</w:t>
            </w:r>
          </w:p>
        </w:tc>
        <w:tc>
          <w:tcPr>
            <w:tcW w:w="0" w:type="auto"/>
            <w:hideMark/>
          </w:tcPr>
          <w:p w14:paraId="0A6340B2"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2–6 months</w:t>
            </w:r>
          </w:p>
        </w:tc>
        <w:tc>
          <w:tcPr>
            <w:tcW w:w="0" w:type="auto"/>
            <w:hideMark/>
          </w:tcPr>
          <w:p w14:paraId="1CB5A9A8"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Pulse surveys on psychological safety at 2, 4, and 6 months.</w:t>
            </w:r>
          </w:p>
        </w:tc>
        <w:tc>
          <w:tcPr>
            <w:tcW w:w="0" w:type="auto"/>
            <w:hideMark/>
          </w:tcPr>
          <w:p w14:paraId="003A6654"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Inclusive structures increase retention and collaboration (Edmondson, 1999; Nishii &amp; Mayer, 2009).</w:t>
            </w:r>
          </w:p>
        </w:tc>
      </w:tr>
      <w:tr w:rsidR="008D0D15" w:rsidRPr="00177C6D" w14:paraId="529E623C" w14:textId="77777777" w:rsidTr="008D0D15">
        <w:tc>
          <w:tcPr>
            <w:tcW w:w="0" w:type="auto"/>
            <w:hideMark/>
          </w:tcPr>
          <w:p w14:paraId="1B5D460F"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b/>
                <w:bCs/>
                <w:sz w:val="20"/>
                <w:szCs w:val="20"/>
                <w:lang w:eastAsia="en-GB"/>
              </w:rPr>
              <w:t>5. Embed ethical integrity</w:t>
            </w:r>
          </w:p>
        </w:tc>
        <w:tc>
          <w:tcPr>
            <w:tcW w:w="0" w:type="auto"/>
            <w:hideMark/>
          </w:tcPr>
          <w:p w14:paraId="64556E56"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xml:space="preserve">- Map practice against Engineering Council’s </w:t>
            </w:r>
            <w:r w:rsidRPr="00177C6D">
              <w:rPr>
                <w:rFonts w:eastAsia="Times New Roman" w:cstheme="minorHAnsi"/>
                <w:i/>
                <w:iCs/>
                <w:sz w:val="20"/>
                <w:szCs w:val="20"/>
                <w:lang w:eastAsia="en-GB"/>
              </w:rPr>
              <w:t>Statement of Ethical Principles</w:t>
            </w:r>
            <w:r w:rsidRPr="00177C6D">
              <w:rPr>
                <w:rFonts w:eastAsia="Times New Roman" w:cstheme="minorHAnsi"/>
                <w:sz w:val="20"/>
                <w:szCs w:val="20"/>
                <w:lang w:eastAsia="en-GB"/>
              </w:rPr>
              <w:t xml:space="preserve"> (2020). - Publish a one-page integrity framework. - Run quarterly ethics reviews.</w:t>
            </w:r>
          </w:p>
        </w:tc>
        <w:tc>
          <w:tcPr>
            <w:tcW w:w="0" w:type="auto"/>
            <w:hideMark/>
          </w:tcPr>
          <w:p w14:paraId="3C76BE9F"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3–6 months</w:t>
            </w:r>
          </w:p>
        </w:tc>
        <w:tc>
          <w:tcPr>
            <w:tcW w:w="0" w:type="auto"/>
            <w:hideMark/>
          </w:tcPr>
          <w:p w14:paraId="327BAA63"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 Peer feedback on ethical leadership. - Independent review of project documentation.</w:t>
            </w:r>
          </w:p>
        </w:tc>
        <w:tc>
          <w:tcPr>
            <w:tcW w:w="0" w:type="auto"/>
            <w:hideMark/>
          </w:tcPr>
          <w:p w14:paraId="4D445C86" w14:textId="77777777" w:rsidR="008D0D15" w:rsidRPr="00177C6D" w:rsidRDefault="008D0D15" w:rsidP="008D0D15">
            <w:pPr>
              <w:rPr>
                <w:rFonts w:eastAsia="Times New Roman" w:cstheme="minorHAnsi"/>
                <w:sz w:val="20"/>
                <w:szCs w:val="20"/>
                <w:lang w:eastAsia="en-GB"/>
              </w:rPr>
            </w:pPr>
            <w:r w:rsidRPr="00177C6D">
              <w:rPr>
                <w:rFonts w:eastAsia="Times New Roman" w:cstheme="minorHAnsi"/>
                <w:sz w:val="20"/>
                <w:szCs w:val="20"/>
                <w:lang w:eastAsia="en-GB"/>
              </w:rPr>
              <w:t>Integrity frameworks prevent ethical drift and strengthen credibility (</w:t>
            </w:r>
            <w:proofErr w:type="spellStart"/>
            <w:r w:rsidRPr="00177C6D">
              <w:rPr>
                <w:rFonts w:eastAsia="Times New Roman" w:cstheme="minorHAnsi"/>
                <w:sz w:val="20"/>
                <w:szCs w:val="20"/>
                <w:lang w:eastAsia="en-GB"/>
              </w:rPr>
              <w:t>Treviño</w:t>
            </w:r>
            <w:proofErr w:type="spellEnd"/>
            <w:r w:rsidRPr="00177C6D">
              <w:rPr>
                <w:rFonts w:eastAsia="Times New Roman" w:cstheme="minorHAnsi"/>
                <w:sz w:val="20"/>
                <w:szCs w:val="20"/>
                <w:lang w:eastAsia="en-GB"/>
              </w:rPr>
              <w:t>, Weaver, &amp; Reynolds, 2006).</w:t>
            </w:r>
          </w:p>
        </w:tc>
      </w:tr>
    </w:tbl>
    <w:p w14:paraId="2A79DC08" w14:textId="77777777" w:rsidR="00177C6D" w:rsidRDefault="00177C6D" w:rsidP="008D0D15">
      <w:pPr>
        <w:spacing w:before="100" w:beforeAutospacing="1" w:after="100" w:afterAutospacing="1"/>
        <w:outlineLvl w:val="2"/>
        <w:rPr>
          <w:rFonts w:eastAsia="Times New Roman" w:cstheme="minorHAnsi"/>
          <w:b/>
          <w:bCs/>
          <w:sz w:val="27"/>
          <w:szCs w:val="27"/>
          <w:u w:val="single"/>
          <w:lang w:eastAsia="en-GB"/>
        </w:rPr>
      </w:pPr>
    </w:p>
    <w:p w14:paraId="75CA3B3C" w14:textId="77777777" w:rsidR="00177C6D" w:rsidRDefault="00177C6D" w:rsidP="008D0D15">
      <w:pPr>
        <w:spacing w:before="100" w:beforeAutospacing="1" w:after="100" w:afterAutospacing="1"/>
        <w:outlineLvl w:val="2"/>
        <w:rPr>
          <w:rFonts w:eastAsia="Times New Roman" w:cstheme="minorHAnsi"/>
          <w:b/>
          <w:bCs/>
          <w:sz w:val="27"/>
          <w:szCs w:val="27"/>
          <w:u w:val="single"/>
          <w:lang w:eastAsia="en-GB"/>
        </w:rPr>
      </w:pPr>
    </w:p>
    <w:p w14:paraId="4DFAFAD9" w14:textId="1FFADBAD" w:rsidR="008D0D15" w:rsidRPr="00177C6D" w:rsidRDefault="008D0D15" w:rsidP="008D0D15">
      <w:pPr>
        <w:spacing w:before="100" w:beforeAutospacing="1" w:after="100" w:afterAutospacing="1"/>
        <w:outlineLvl w:val="2"/>
        <w:rPr>
          <w:rFonts w:eastAsia="Times New Roman" w:cstheme="minorHAnsi"/>
          <w:b/>
          <w:bCs/>
          <w:sz w:val="27"/>
          <w:szCs w:val="27"/>
          <w:u w:val="single"/>
          <w:lang w:eastAsia="en-GB"/>
        </w:rPr>
      </w:pPr>
      <w:r w:rsidRPr="00177C6D">
        <w:rPr>
          <w:rFonts w:eastAsia="Times New Roman" w:cstheme="minorHAnsi"/>
          <w:b/>
          <w:bCs/>
          <w:sz w:val="27"/>
          <w:szCs w:val="27"/>
          <w:u w:val="single"/>
          <w:lang w:eastAsia="en-GB"/>
        </w:rPr>
        <w:lastRenderedPageBreak/>
        <w:t>4.2 Long-term vision</w:t>
      </w:r>
    </w:p>
    <w:p w14:paraId="30763A0A" w14:textId="77777777" w:rsidR="008D0D15" w:rsidRPr="00177C6D" w:rsidRDefault="008D0D15" w:rsidP="008D0D15">
      <w:pPr>
        <w:spacing w:before="100" w:beforeAutospacing="1" w:after="100" w:afterAutospacing="1"/>
        <w:rPr>
          <w:rFonts w:eastAsia="Times New Roman" w:cstheme="minorHAnsi"/>
          <w:lang w:eastAsia="en-GB"/>
        </w:rPr>
      </w:pPr>
      <w:r w:rsidRPr="00177C6D">
        <w:rPr>
          <w:rFonts w:eastAsia="Times New Roman" w:cstheme="minorHAnsi"/>
          <w:lang w:eastAsia="en-GB"/>
        </w:rPr>
        <w:t>Over the next five years, the aim is to lead construction and engineering teams where inclusion, accountability, and ethical integrity are embedded as everyday norms. Success will be indicated by:</w:t>
      </w:r>
    </w:p>
    <w:p w14:paraId="429D57FE" w14:textId="77777777" w:rsidR="008D0D15" w:rsidRPr="00177C6D" w:rsidRDefault="008D0D15" w:rsidP="008D0D15">
      <w:pPr>
        <w:numPr>
          <w:ilvl w:val="0"/>
          <w:numId w:val="31"/>
        </w:numPr>
        <w:spacing w:before="100" w:beforeAutospacing="1" w:after="100" w:afterAutospacing="1"/>
        <w:rPr>
          <w:rFonts w:eastAsia="Times New Roman" w:cstheme="minorHAnsi"/>
          <w:lang w:eastAsia="en-GB"/>
        </w:rPr>
      </w:pPr>
      <w:r w:rsidRPr="00177C6D">
        <w:rPr>
          <w:rFonts w:eastAsia="Times New Roman" w:cstheme="minorHAnsi"/>
          <w:lang w:eastAsia="en-GB"/>
        </w:rPr>
        <w:t>High psychological safety scores in team surveys.</w:t>
      </w:r>
    </w:p>
    <w:p w14:paraId="29457441" w14:textId="77777777" w:rsidR="008D0D15" w:rsidRPr="00177C6D" w:rsidRDefault="008D0D15" w:rsidP="008D0D15">
      <w:pPr>
        <w:numPr>
          <w:ilvl w:val="0"/>
          <w:numId w:val="31"/>
        </w:numPr>
        <w:spacing w:before="100" w:beforeAutospacing="1" w:after="100" w:afterAutospacing="1"/>
        <w:rPr>
          <w:rFonts w:eastAsia="Times New Roman" w:cstheme="minorHAnsi"/>
          <w:lang w:eastAsia="en-GB"/>
        </w:rPr>
      </w:pPr>
      <w:r w:rsidRPr="00177C6D">
        <w:rPr>
          <w:rFonts w:eastAsia="Times New Roman" w:cstheme="minorHAnsi"/>
          <w:lang w:eastAsia="en-GB"/>
        </w:rPr>
        <w:t>Reduced turnover among under-represented groups.</w:t>
      </w:r>
    </w:p>
    <w:p w14:paraId="6889B84E" w14:textId="77777777" w:rsidR="008D0D15" w:rsidRPr="00177C6D" w:rsidRDefault="008D0D15" w:rsidP="008D0D15">
      <w:pPr>
        <w:numPr>
          <w:ilvl w:val="0"/>
          <w:numId w:val="31"/>
        </w:numPr>
        <w:spacing w:before="100" w:beforeAutospacing="1" w:after="100" w:afterAutospacing="1"/>
        <w:rPr>
          <w:rFonts w:eastAsia="Times New Roman" w:cstheme="minorHAnsi"/>
          <w:lang w:eastAsia="en-GB"/>
        </w:rPr>
      </w:pPr>
      <w:r w:rsidRPr="00177C6D">
        <w:rPr>
          <w:rFonts w:eastAsia="Times New Roman" w:cstheme="minorHAnsi"/>
          <w:lang w:eastAsia="en-GB"/>
        </w:rPr>
        <w:t>Positive peer appraisals of leadership authenticity and fairness.</w:t>
      </w:r>
    </w:p>
    <w:p w14:paraId="0670683F" w14:textId="77777777" w:rsidR="008D0D15" w:rsidRPr="00177C6D" w:rsidRDefault="008D0D15" w:rsidP="008D0D15">
      <w:pPr>
        <w:numPr>
          <w:ilvl w:val="0"/>
          <w:numId w:val="31"/>
        </w:numPr>
        <w:spacing w:before="100" w:beforeAutospacing="1" w:after="100" w:afterAutospacing="1"/>
        <w:rPr>
          <w:rFonts w:eastAsia="Times New Roman" w:cstheme="minorHAnsi"/>
          <w:lang w:eastAsia="en-GB"/>
        </w:rPr>
      </w:pPr>
      <w:r w:rsidRPr="00177C6D">
        <w:rPr>
          <w:rFonts w:eastAsia="Times New Roman" w:cstheme="minorHAnsi"/>
          <w:lang w:eastAsia="en-GB"/>
        </w:rPr>
        <w:t>Recognition by professional bodies for ethical and inclusive practice.</w:t>
      </w:r>
    </w:p>
    <w:p w14:paraId="15989838" w14:textId="1F31D606" w:rsidR="008D0D15" w:rsidRPr="00177C6D" w:rsidRDefault="008D0D15" w:rsidP="008D0D15">
      <w:pPr>
        <w:spacing w:before="100" w:beforeAutospacing="1" w:after="100" w:afterAutospacing="1"/>
        <w:rPr>
          <w:rFonts w:eastAsia="Times New Roman" w:cstheme="minorHAnsi"/>
          <w:lang w:eastAsia="en-GB"/>
        </w:rPr>
      </w:pPr>
      <w:r w:rsidRPr="00177C6D">
        <w:rPr>
          <w:rFonts w:eastAsia="Times New Roman" w:cstheme="minorHAnsi"/>
          <w:lang w:eastAsia="en-GB"/>
        </w:rPr>
        <w:t>Sustained progress will require regular CPD reviews, external mentoring, and a willingness to adapt objectives as contexts change. Embedding resilience, bias awareness, and integrity into daily professional practice will help ensure that the kinds of failures observed at SMART Engineering are not repeated.</w:t>
      </w:r>
    </w:p>
    <w:p w14:paraId="5701ADB9" w14:textId="77777777" w:rsidR="00BD74AA" w:rsidRPr="00177C6D" w:rsidRDefault="005971B5" w:rsidP="00BD74AA">
      <w:pPr>
        <w:rPr>
          <w:rFonts w:eastAsia="Times New Roman" w:cstheme="minorHAnsi"/>
          <w:lang w:eastAsia="en-GB"/>
        </w:rPr>
      </w:pPr>
      <w:r>
        <w:rPr>
          <w:rFonts w:eastAsia="Times New Roman" w:cstheme="minorHAnsi"/>
          <w:noProof/>
          <w:lang w:eastAsia="en-GB"/>
        </w:rPr>
        <w:pict w14:anchorId="6C8CAC4E">
          <v:rect id="_x0000_i1027" alt="" style="width:451.3pt;height:.05pt;mso-width-percent:0;mso-height-percent:0;mso-width-percent:0;mso-height-percent:0" o:hralign="center" o:hrstd="t" o:hr="t" fillcolor="#a0a0a0" stroked="f"/>
        </w:pict>
      </w:r>
    </w:p>
    <w:p w14:paraId="7672866B" w14:textId="0EB23BA8" w:rsidR="00BD74AA" w:rsidRPr="00177C6D" w:rsidRDefault="00BD74AA" w:rsidP="00BD74AA">
      <w:pPr>
        <w:spacing w:before="100" w:beforeAutospacing="1" w:after="100" w:afterAutospacing="1"/>
        <w:outlineLvl w:val="1"/>
        <w:rPr>
          <w:rFonts w:eastAsia="Times New Roman" w:cstheme="minorHAnsi"/>
          <w:b/>
          <w:bCs/>
          <w:sz w:val="36"/>
          <w:szCs w:val="36"/>
          <w:lang w:eastAsia="en-GB"/>
        </w:rPr>
      </w:pPr>
      <w:r w:rsidRPr="00177C6D">
        <w:rPr>
          <w:rFonts w:eastAsia="Times New Roman" w:cstheme="minorHAnsi"/>
          <w:b/>
          <w:bCs/>
          <w:sz w:val="36"/>
          <w:szCs w:val="36"/>
          <w:lang w:eastAsia="en-GB"/>
        </w:rPr>
        <w:t>5. Conclusion</w:t>
      </w:r>
    </w:p>
    <w:p w14:paraId="69DBFC7E" w14:textId="77777777" w:rsidR="00186AA2" w:rsidRPr="00177C6D" w:rsidRDefault="00186AA2" w:rsidP="00186AA2">
      <w:pPr>
        <w:pStyle w:val="NormalWeb"/>
        <w:rPr>
          <w:rFonts w:asciiTheme="minorHAnsi" w:hAnsiTheme="minorHAnsi" w:cstheme="minorHAnsi"/>
        </w:rPr>
      </w:pPr>
      <w:r w:rsidRPr="00177C6D">
        <w:rPr>
          <w:rFonts w:asciiTheme="minorHAnsi" w:hAnsiTheme="minorHAnsi" w:cstheme="minorHAnsi"/>
        </w:rPr>
        <w:t>The SMART Engineering case study illustrates that technical competence alone cannot secure successful project delivery. Organisational outcomes depend equally on the ethical, cultural, and relational foundations that shape professional practice. Across the five thematic areas, failures of self-management, bias recognition, accountability, trust, and integrity combined to create a self-reinforcing cycle of dysfunction.</w:t>
      </w:r>
    </w:p>
    <w:p w14:paraId="37725C4B" w14:textId="77777777" w:rsidR="00186AA2" w:rsidRPr="00177C6D" w:rsidRDefault="00186AA2" w:rsidP="00186AA2">
      <w:pPr>
        <w:pStyle w:val="NormalWeb"/>
        <w:rPr>
          <w:rFonts w:asciiTheme="minorHAnsi" w:hAnsiTheme="minorHAnsi" w:cstheme="minorHAnsi"/>
        </w:rPr>
      </w:pPr>
      <w:r w:rsidRPr="00177C6D">
        <w:rPr>
          <w:rFonts w:asciiTheme="minorHAnsi" w:hAnsiTheme="minorHAnsi" w:cstheme="minorHAnsi"/>
        </w:rPr>
        <w:t>This analysis has shown how academic theory explains such outcomes: resilience research clarifies the costs of depleted self-management; stereotype threat and affinity bias explain exclusionary dynamics; authentic leadership theory highlights the importance of aligning values and behaviour; and psychological safety research demonstrates why trust is a prerequisite for learning. The historical lessons of Challenger and Boeing MAX further confirm that neglecting these domains can produce consequences far beyond the immediate project.</w:t>
      </w:r>
    </w:p>
    <w:p w14:paraId="394B8004" w14:textId="77777777" w:rsidR="00186AA2" w:rsidRPr="00177C6D" w:rsidRDefault="00186AA2" w:rsidP="00186AA2">
      <w:pPr>
        <w:pStyle w:val="NormalWeb"/>
        <w:rPr>
          <w:rFonts w:asciiTheme="minorHAnsi" w:hAnsiTheme="minorHAnsi" w:cstheme="minorHAnsi"/>
        </w:rPr>
      </w:pPr>
      <w:r w:rsidRPr="00177C6D">
        <w:rPr>
          <w:rFonts w:asciiTheme="minorHAnsi" w:hAnsiTheme="minorHAnsi" w:cstheme="minorHAnsi"/>
        </w:rPr>
        <w:t>Importantly, the discussion has demonstrated how theory translates into practice within construction management. Examples of managing subcontractor conflict, intervening against bias, modelling accountability, and resisting unethical offers show that professional integrity and inclusive leadership are lived through daily decisions. The PDP in Table 1 consolidates these lessons into measurable objectives, providing a structured pathway for embedding resilience, inclusion, and integrity into future practice.</w:t>
      </w:r>
    </w:p>
    <w:p w14:paraId="207AD9F8" w14:textId="702C5D63" w:rsidR="00186AA2" w:rsidRPr="00177C6D" w:rsidRDefault="00177C6D" w:rsidP="00186AA2">
      <w:pPr>
        <w:pStyle w:val="NormalWeb"/>
        <w:rPr>
          <w:rFonts w:asciiTheme="minorHAnsi" w:hAnsiTheme="minorHAnsi" w:cstheme="minorHAnsi"/>
        </w:rPr>
      </w:pPr>
      <w:r w:rsidRPr="00177C6D">
        <w:rPr>
          <w:rFonts w:asciiTheme="minorHAnsi" w:hAnsiTheme="minorHAnsi" w:cstheme="minorHAnsi"/>
        </w:rPr>
        <w:t>In sum, the SMART Engineering case demonstrates that sustainable success in engineering and construction requires more than technical excellence. It requires cultures where bias is challenged, accountability is visible, trust is nurtured, and integrity is non-negotiable. Only when these foundations are secured can professionals and organisations in construction and engineering achieve both ethical credibility and long-term performance.</w:t>
      </w:r>
    </w:p>
    <w:p w14:paraId="1BFF6B97" w14:textId="3F75FCA9" w:rsidR="00BD74AA" w:rsidRPr="00177C6D" w:rsidRDefault="005971B5" w:rsidP="00BD74AA">
      <w:pPr>
        <w:rPr>
          <w:rFonts w:eastAsia="Times New Roman" w:cstheme="minorHAnsi"/>
          <w:lang w:eastAsia="en-GB"/>
        </w:rPr>
      </w:pPr>
      <w:r>
        <w:rPr>
          <w:rFonts w:eastAsia="Times New Roman" w:cstheme="minorHAnsi"/>
          <w:noProof/>
          <w:lang w:eastAsia="en-GB"/>
        </w:rPr>
        <w:lastRenderedPageBreak/>
        <w:pict w14:anchorId="6BBB0B58">
          <v:rect id="_x0000_i1026" alt="" style="width:451.3pt;height:.05pt;mso-width-percent:0;mso-height-percent:0;mso-width-percent:0;mso-height-percent:0" o:hralign="center" o:hrstd="t" o:hr="t" fillcolor="#a0a0a0" stroked="f"/>
        </w:pict>
      </w:r>
    </w:p>
    <w:p w14:paraId="30CF3A87" w14:textId="3482884B" w:rsidR="00BD74AA" w:rsidRPr="00177C6D" w:rsidRDefault="00BD74AA" w:rsidP="00BD74AA">
      <w:pPr>
        <w:spacing w:before="100" w:beforeAutospacing="1" w:after="100" w:afterAutospacing="1"/>
        <w:outlineLvl w:val="1"/>
        <w:rPr>
          <w:rFonts w:eastAsia="Times New Roman" w:cstheme="minorHAnsi"/>
          <w:b/>
          <w:bCs/>
          <w:sz w:val="36"/>
          <w:szCs w:val="36"/>
          <w:lang w:eastAsia="en-GB"/>
        </w:rPr>
      </w:pPr>
      <w:r w:rsidRPr="00177C6D">
        <w:rPr>
          <w:rFonts w:eastAsia="Times New Roman" w:cstheme="minorHAnsi"/>
          <w:b/>
          <w:bCs/>
          <w:sz w:val="36"/>
          <w:szCs w:val="36"/>
          <w:lang w:eastAsia="en-GB"/>
        </w:rPr>
        <w:t>6. References</w:t>
      </w:r>
    </w:p>
    <w:p w14:paraId="2503C6A2"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Argyris, C. (1991). Teaching smart people how to learn. </w:t>
      </w:r>
      <w:r w:rsidRPr="00177C6D">
        <w:rPr>
          <w:rStyle w:val="Emphasis"/>
          <w:rFonts w:asciiTheme="minorHAnsi" w:hAnsiTheme="minorHAnsi" w:cstheme="minorHAnsi"/>
        </w:rPr>
        <w:t>Harvard Business Review, 69</w:t>
      </w:r>
      <w:r w:rsidRPr="00177C6D">
        <w:rPr>
          <w:rFonts w:asciiTheme="minorHAnsi" w:hAnsiTheme="minorHAnsi" w:cstheme="minorHAnsi"/>
        </w:rPr>
        <w:t>(3), 99–109.</w:t>
      </w:r>
    </w:p>
    <w:p w14:paraId="1CE802EE"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Argyris, C., &amp; Schön, D. (1978). </w:t>
      </w:r>
      <w:r w:rsidRPr="00177C6D">
        <w:rPr>
          <w:rStyle w:val="Emphasis"/>
          <w:rFonts w:asciiTheme="minorHAnsi" w:hAnsiTheme="minorHAnsi" w:cstheme="minorHAnsi"/>
        </w:rPr>
        <w:t>Organizational learning: A theory of action perspective</w:t>
      </w:r>
      <w:r w:rsidRPr="00177C6D">
        <w:rPr>
          <w:rFonts w:asciiTheme="minorHAnsi" w:hAnsiTheme="minorHAnsi" w:cstheme="minorHAnsi"/>
        </w:rPr>
        <w:t>. Addison-Wesley.</w:t>
      </w:r>
    </w:p>
    <w:p w14:paraId="0BC52248"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Avolio, B. J., &amp; Gardner, W. L. (2005). Authentic leadership development: Getting to the root of positive forms of leadership. </w:t>
      </w:r>
      <w:r w:rsidRPr="00177C6D">
        <w:rPr>
          <w:rStyle w:val="Emphasis"/>
          <w:rFonts w:asciiTheme="minorHAnsi" w:hAnsiTheme="minorHAnsi" w:cstheme="minorHAnsi"/>
        </w:rPr>
        <w:t>The Leadership Quarterly, 16</w:t>
      </w:r>
      <w:r w:rsidRPr="00177C6D">
        <w:rPr>
          <w:rFonts w:asciiTheme="minorHAnsi" w:hAnsiTheme="minorHAnsi" w:cstheme="minorHAnsi"/>
        </w:rPr>
        <w:t xml:space="preserve">(3), 315–338. </w:t>
      </w:r>
      <w:hyperlink r:id="rId5" w:tgtFrame="_new" w:history="1">
        <w:r w:rsidRPr="00177C6D">
          <w:rPr>
            <w:rStyle w:val="Hyperlink"/>
            <w:rFonts w:asciiTheme="minorHAnsi" w:hAnsiTheme="minorHAnsi" w:cstheme="minorHAnsi"/>
          </w:rPr>
          <w:t>https://doi.org/10.1016/j.leaqua.2005.03.001</w:t>
        </w:r>
      </w:hyperlink>
    </w:p>
    <w:p w14:paraId="24C0D204"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Banaji, M. R., &amp; Greenwald, A. G. (2013). </w:t>
      </w:r>
      <w:r w:rsidRPr="00177C6D">
        <w:rPr>
          <w:rStyle w:val="Emphasis"/>
          <w:rFonts w:asciiTheme="minorHAnsi" w:hAnsiTheme="minorHAnsi" w:cstheme="minorHAnsi"/>
        </w:rPr>
        <w:t>Blindspot: Hidden biases of good people</w:t>
      </w:r>
      <w:r w:rsidRPr="00177C6D">
        <w:rPr>
          <w:rFonts w:asciiTheme="minorHAnsi" w:hAnsiTheme="minorHAnsi" w:cstheme="minorHAnsi"/>
        </w:rPr>
        <w:t>. Delacorte.</w:t>
      </w:r>
    </w:p>
    <w:p w14:paraId="14459D3A"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Brotheridge, C. M., &amp; </w:t>
      </w:r>
      <w:proofErr w:type="spellStart"/>
      <w:r w:rsidRPr="00177C6D">
        <w:rPr>
          <w:rFonts w:asciiTheme="minorHAnsi" w:hAnsiTheme="minorHAnsi" w:cstheme="minorHAnsi"/>
        </w:rPr>
        <w:t>Grandey</w:t>
      </w:r>
      <w:proofErr w:type="spellEnd"/>
      <w:r w:rsidRPr="00177C6D">
        <w:rPr>
          <w:rFonts w:asciiTheme="minorHAnsi" w:hAnsiTheme="minorHAnsi" w:cstheme="minorHAnsi"/>
        </w:rPr>
        <w:t xml:space="preserve">, A. A. (2002). Emotional </w:t>
      </w:r>
      <w:proofErr w:type="spellStart"/>
      <w:r w:rsidRPr="00177C6D">
        <w:rPr>
          <w:rFonts w:asciiTheme="minorHAnsi" w:hAnsiTheme="minorHAnsi" w:cstheme="minorHAnsi"/>
        </w:rPr>
        <w:t>labor</w:t>
      </w:r>
      <w:proofErr w:type="spellEnd"/>
      <w:r w:rsidRPr="00177C6D">
        <w:rPr>
          <w:rFonts w:asciiTheme="minorHAnsi" w:hAnsiTheme="minorHAnsi" w:cstheme="minorHAnsi"/>
        </w:rPr>
        <w:t xml:space="preserve"> and burnout: Comparing two perspectives of “people work.” </w:t>
      </w:r>
      <w:r w:rsidRPr="00177C6D">
        <w:rPr>
          <w:rStyle w:val="Emphasis"/>
          <w:rFonts w:asciiTheme="minorHAnsi" w:hAnsiTheme="minorHAnsi" w:cstheme="minorHAnsi"/>
        </w:rPr>
        <w:t xml:space="preserve">Journal of Vocational </w:t>
      </w:r>
      <w:proofErr w:type="spellStart"/>
      <w:r w:rsidRPr="00177C6D">
        <w:rPr>
          <w:rStyle w:val="Emphasis"/>
          <w:rFonts w:asciiTheme="minorHAnsi" w:hAnsiTheme="minorHAnsi" w:cstheme="minorHAnsi"/>
        </w:rPr>
        <w:t>Behavior</w:t>
      </w:r>
      <w:proofErr w:type="spellEnd"/>
      <w:r w:rsidRPr="00177C6D">
        <w:rPr>
          <w:rStyle w:val="Emphasis"/>
          <w:rFonts w:asciiTheme="minorHAnsi" w:hAnsiTheme="minorHAnsi" w:cstheme="minorHAnsi"/>
        </w:rPr>
        <w:t>, 60</w:t>
      </w:r>
      <w:r w:rsidRPr="00177C6D">
        <w:rPr>
          <w:rFonts w:asciiTheme="minorHAnsi" w:hAnsiTheme="minorHAnsi" w:cstheme="minorHAnsi"/>
        </w:rPr>
        <w:t xml:space="preserve">(1), 17–39. </w:t>
      </w:r>
      <w:hyperlink r:id="rId6" w:tgtFrame="_new" w:history="1">
        <w:r w:rsidRPr="00177C6D">
          <w:rPr>
            <w:rStyle w:val="Hyperlink"/>
            <w:rFonts w:asciiTheme="minorHAnsi" w:hAnsiTheme="minorHAnsi" w:cstheme="minorHAnsi"/>
          </w:rPr>
          <w:t>https://doi.org/10.1006/jvbe.2001.1815</w:t>
        </w:r>
      </w:hyperlink>
    </w:p>
    <w:p w14:paraId="4DAD6F45"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Brown, M. E., &amp; </w:t>
      </w:r>
      <w:proofErr w:type="spellStart"/>
      <w:r w:rsidRPr="00177C6D">
        <w:rPr>
          <w:rFonts w:asciiTheme="minorHAnsi" w:hAnsiTheme="minorHAnsi" w:cstheme="minorHAnsi"/>
        </w:rPr>
        <w:t>Treviño</w:t>
      </w:r>
      <w:proofErr w:type="spellEnd"/>
      <w:r w:rsidRPr="00177C6D">
        <w:rPr>
          <w:rFonts w:asciiTheme="minorHAnsi" w:hAnsiTheme="minorHAnsi" w:cstheme="minorHAnsi"/>
        </w:rPr>
        <w:t xml:space="preserve">, L. K. (2006). Ethical leadership: A review and future directions. </w:t>
      </w:r>
      <w:r w:rsidRPr="00177C6D">
        <w:rPr>
          <w:rStyle w:val="Emphasis"/>
          <w:rFonts w:asciiTheme="minorHAnsi" w:hAnsiTheme="minorHAnsi" w:cstheme="minorHAnsi"/>
        </w:rPr>
        <w:t>The Leadership Quarterly, 17</w:t>
      </w:r>
      <w:r w:rsidRPr="00177C6D">
        <w:rPr>
          <w:rFonts w:asciiTheme="minorHAnsi" w:hAnsiTheme="minorHAnsi" w:cstheme="minorHAnsi"/>
        </w:rPr>
        <w:t xml:space="preserve">(6), 595–616. </w:t>
      </w:r>
      <w:hyperlink r:id="rId7" w:tgtFrame="_new" w:history="1">
        <w:r w:rsidRPr="00177C6D">
          <w:rPr>
            <w:rStyle w:val="Hyperlink"/>
            <w:rFonts w:asciiTheme="minorHAnsi" w:hAnsiTheme="minorHAnsi" w:cstheme="minorHAnsi"/>
          </w:rPr>
          <w:t>https://doi.org/10.1016/j.leaqua.2006.10.004</w:t>
        </w:r>
      </w:hyperlink>
    </w:p>
    <w:p w14:paraId="1192828F" w14:textId="77777777" w:rsidR="00842FE0" w:rsidRPr="00177C6D" w:rsidRDefault="00842FE0" w:rsidP="00842FE0">
      <w:pPr>
        <w:pStyle w:val="NormalWeb"/>
        <w:rPr>
          <w:rFonts w:asciiTheme="minorHAnsi" w:hAnsiTheme="minorHAnsi" w:cstheme="minorHAnsi"/>
        </w:rPr>
      </w:pPr>
      <w:proofErr w:type="spellStart"/>
      <w:r w:rsidRPr="00177C6D">
        <w:rPr>
          <w:rFonts w:asciiTheme="minorHAnsi" w:hAnsiTheme="minorHAnsi" w:cstheme="minorHAnsi"/>
        </w:rPr>
        <w:t>Cherniss</w:t>
      </w:r>
      <w:proofErr w:type="spellEnd"/>
      <w:r w:rsidRPr="00177C6D">
        <w:rPr>
          <w:rFonts w:asciiTheme="minorHAnsi" w:hAnsiTheme="minorHAnsi" w:cstheme="minorHAnsi"/>
        </w:rPr>
        <w:t xml:space="preserve">, C. (2010). Emotional intelligence: Toward clarification of a concept. </w:t>
      </w:r>
      <w:r w:rsidRPr="00177C6D">
        <w:rPr>
          <w:rStyle w:val="Emphasis"/>
          <w:rFonts w:asciiTheme="minorHAnsi" w:hAnsiTheme="minorHAnsi" w:cstheme="minorHAnsi"/>
        </w:rPr>
        <w:t>Industrial and Organizational Psychology, 3</w:t>
      </w:r>
      <w:r w:rsidRPr="00177C6D">
        <w:rPr>
          <w:rFonts w:asciiTheme="minorHAnsi" w:hAnsiTheme="minorHAnsi" w:cstheme="minorHAnsi"/>
        </w:rPr>
        <w:t xml:space="preserve">(2), 110–126. </w:t>
      </w:r>
      <w:hyperlink r:id="rId8" w:tgtFrame="_new" w:history="1">
        <w:r w:rsidRPr="00177C6D">
          <w:rPr>
            <w:rStyle w:val="Hyperlink"/>
            <w:rFonts w:asciiTheme="minorHAnsi" w:hAnsiTheme="minorHAnsi" w:cstheme="minorHAnsi"/>
          </w:rPr>
          <w:t>https://doi.org/10.1111/j.1754-9434.2010.01231.x</w:t>
        </w:r>
      </w:hyperlink>
    </w:p>
    <w:p w14:paraId="3CA76F48"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Crenshaw, K. (1989). Demarginalizing the intersection of race and sex: A Black feminist critique of antidiscrimination doctrine, feminist theory and antiracist politics. </w:t>
      </w:r>
      <w:r w:rsidRPr="00177C6D">
        <w:rPr>
          <w:rStyle w:val="Emphasis"/>
          <w:rFonts w:asciiTheme="minorHAnsi" w:hAnsiTheme="minorHAnsi" w:cstheme="minorHAnsi"/>
        </w:rPr>
        <w:t>University of Chicago Legal Forum, 1989</w:t>
      </w:r>
      <w:r w:rsidRPr="00177C6D">
        <w:rPr>
          <w:rFonts w:asciiTheme="minorHAnsi" w:hAnsiTheme="minorHAnsi" w:cstheme="minorHAnsi"/>
        </w:rPr>
        <w:t>(1), 139–167.</w:t>
      </w:r>
    </w:p>
    <w:p w14:paraId="7E64F3FF"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Denning, S. (2019, March 21). What went wrong at Boeing? </w:t>
      </w:r>
      <w:r w:rsidRPr="00177C6D">
        <w:rPr>
          <w:rStyle w:val="Emphasis"/>
          <w:rFonts w:asciiTheme="minorHAnsi" w:hAnsiTheme="minorHAnsi" w:cstheme="minorHAnsi"/>
        </w:rPr>
        <w:t>Forbes</w:t>
      </w:r>
      <w:r w:rsidRPr="00177C6D">
        <w:rPr>
          <w:rFonts w:asciiTheme="minorHAnsi" w:hAnsiTheme="minorHAnsi" w:cstheme="minorHAnsi"/>
        </w:rPr>
        <w:t xml:space="preserve">. </w:t>
      </w:r>
      <w:hyperlink r:id="rId9" w:tgtFrame="_new" w:history="1">
        <w:r w:rsidRPr="00177C6D">
          <w:rPr>
            <w:rStyle w:val="Hyperlink"/>
            <w:rFonts w:asciiTheme="minorHAnsi" w:hAnsiTheme="minorHAnsi" w:cstheme="minorHAnsi"/>
          </w:rPr>
          <w:t>https://www.forbes.com/sites/stevedenning/2019/03/21/what-went-wrong-at-boeing</w:t>
        </w:r>
      </w:hyperlink>
    </w:p>
    <w:p w14:paraId="01F16B7C"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Derks, B., </w:t>
      </w:r>
      <w:proofErr w:type="spellStart"/>
      <w:r w:rsidRPr="00177C6D">
        <w:rPr>
          <w:rFonts w:asciiTheme="minorHAnsi" w:hAnsiTheme="minorHAnsi" w:cstheme="minorHAnsi"/>
        </w:rPr>
        <w:t>Ellemers</w:t>
      </w:r>
      <w:proofErr w:type="spellEnd"/>
      <w:r w:rsidRPr="00177C6D">
        <w:rPr>
          <w:rFonts w:asciiTheme="minorHAnsi" w:hAnsiTheme="minorHAnsi" w:cstheme="minorHAnsi"/>
        </w:rPr>
        <w:t xml:space="preserve">, N., &amp; de Groot, K. (2011). Do sexist organizational cultures create the Queen Bee? </w:t>
      </w:r>
      <w:r w:rsidRPr="00177C6D">
        <w:rPr>
          <w:rStyle w:val="Emphasis"/>
          <w:rFonts w:asciiTheme="minorHAnsi" w:hAnsiTheme="minorHAnsi" w:cstheme="minorHAnsi"/>
        </w:rPr>
        <w:t>British Journal of Social Psychology, 50</w:t>
      </w:r>
      <w:r w:rsidRPr="00177C6D">
        <w:rPr>
          <w:rFonts w:asciiTheme="minorHAnsi" w:hAnsiTheme="minorHAnsi" w:cstheme="minorHAnsi"/>
        </w:rPr>
        <w:t xml:space="preserve">(3), 519–535. </w:t>
      </w:r>
      <w:hyperlink r:id="rId10" w:tgtFrame="_new" w:history="1">
        <w:r w:rsidRPr="00177C6D">
          <w:rPr>
            <w:rStyle w:val="Hyperlink"/>
            <w:rFonts w:asciiTheme="minorHAnsi" w:hAnsiTheme="minorHAnsi" w:cstheme="minorHAnsi"/>
          </w:rPr>
          <w:t>https://doi.org/10.1348/014466610X525280</w:t>
        </w:r>
      </w:hyperlink>
    </w:p>
    <w:p w14:paraId="25B5329D" w14:textId="77777777" w:rsidR="00842FE0" w:rsidRPr="00177C6D" w:rsidRDefault="00842FE0" w:rsidP="00842FE0">
      <w:pPr>
        <w:pStyle w:val="NormalWeb"/>
        <w:rPr>
          <w:rFonts w:asciiTheme="minorHAnsi" w:hAnsiTheme="minorHAnsi" w:cstheme="minorHAnsi"/>
        </w:rPr>
      </w:pPr>
      <w:proofErr w:type="spellStart"/>
      <w:r w:rsidRPr="00177C6D">
        <w:rPr>
          <w:rFonts w:asciiTheme="minorHAnsi" w:hAnsiTheme="minorHAnsi" w:cstheme="minorHAnsi"/>
        </w:rPr>
        <w:t>Detert</w:t>
      </w:r>
      <w:proofErr w:type="spellEnd"/>
      <w:r w:rsidRPr="00177C6D">
        <w:rPr>
          <w:rFonts w:asciiTheme="minorHAnsi" w:hAnsiTheme="minorHAnsi" w:cstheme="minorHAnsi"/>
        </w:rPr>
        <w:t xml:space="preserve">, J. R., &amp; Burris, E. R. (2007). Leadership </w:t>
      </w:r>
      <w:proofErr w:type="spellStart"/>
      <w:r w:rsidRPr="00177C6D">
        <w:rPr>
          <w:rFonts w:asciiTheme="minorHAnsi" w:hAnsiTheme="minorHAnsi" w:cstheme="minorHAnsi"/>
        </w:rPr>
        <w:t>behavior</w:t>
      </w:r>
      <w:proofErr w:type="spellEnd"/>
      <w:r w:rsidRPr="00177C6D">
        <w:rPr>
          <w:rFonts w:asciiTheme="minorHAnsi" w:hAnsiTheme="minorHAnsi" w:cstheme="minorHAnsi"/>
        </w:rPr>
        <w:t xml:space="preserve"> and employee voice: Is the door </w:t>
      </w:r>
      <w:proofErr w:type="gramStart"/>
      <w:r w:rsidRPr="00177C6D">
        <w:rPr>
          <w:rFonts w:asciiTheme="minorHAnsi" w:hAnsiTheme="minorHAnsi" w:cstheme="minorHAnsi"/>
        </w:rPr>
        <w:t>really open</w:t>
      </w:r>
      <w:proofErr w:type="gramEnd"/>
      <w:r w:rsidRPr="00177C6D">
        <w:rPr>
          <w:rFonts w:asciiTheme="minorHAnsi" w:hAnsiTheme="minorHAnsi" w:cstheme="minorHAnsi"/>
        </w:rPr>
        <w:t xml:space="preserve">? </w:t>
      </w:r>
      <w:r w:rsidRPr="00177C6D">
        <w:rPr>
          <w:rStyle w:val="Emphasis"/>
          <w:rFonts w:asciiTheme="minorHAnsi" w:hAnsiTheme="minorHAnsi" w:cstheme="minorHAnsi"/>
        </w:rPr>
        <w:t>Academy of Management Journal, 50</w:t>
      </w:r>
      <w:r w:rsidRPr="00177C6D">
        <w:rPr>
          <w:rFonts w:asciiTheme="minorHAnsi" w:hAnsiTheme="minorHAnsi" w:cstheme="minorHAnsi"/>
        </w:rPr>
        <w:t xml:space="preserve">(4), 869–884. </w:t>
      </w:r>
      <w:hyperlink r:id="rId11" w:tgtFrame="_new" w:history="1">
        <w:r w:rsidRPr="00177C6D">
          <w:rPr>
            <w:rStyle w:val="Hyperlink"/>
            <w:rFonts w:asciiTheme="minorHAnsi" w:hAnsiTheme="minorHAnsi" w:cstheme="minorHAnsi"/>
          </w:rPr>
          <w:t>https://doi.org/10.5465/amj.2007.26279183</w:t>
        </w:r>
      </w:hyperlink>
    </w:p>
    <w:p w14:paraId="33637E37"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Dirks, K. T., &amp; Ferrin, D. L. (2001). The role of trust in organizational settings. </w:t>
      </w:r>
      <w:r w:rsidRPr="00177C6D">
        <w:rPr>
          <w:rStyle w:val="Emphasis"/>
          <w:rFonts w:asciiTheme="minorHAnsi" w:hAnsiTheme="minorHAnsi" w:cstheme="minorHAnsi"/>
        </w:rPr>
        <w:t>Organization Science, 12</w:t>
      </w:r>
      <w:r w:rsidRPr="00177C6D">
        <w:rPr>
          <w:rFonts w:asciiTheme="minorHAnsi" w:hAnsiTheme="minorHAnsi" w:cstheme="minorHAnsi"/>
        </w:rPr>
        <w:t xml:space="preserve">(4), 450–467. </w:t>
      </w:r>
      <w:hyperlink r:id="rId12" w:tgtFrame="_new" w:history="1">
        <w:r w:rsidRPr="00177C6D">
          <w:rPr>
            <w:rStyle w:val="Hyperlink"/>
            <w:rFonts w:asciiTheme="minorHAnsi" w:hAnsiTheme="minorHAnsi" w:cstheme="minorHAnsi"/>
          </w:rPr>
          <w:t>https://doi.org/10.1287/orsc.12.4.450.10640</w:t>
        </w:r>
      </w:hyperlink>
    </w:p>
    <w:p w14:paraId="0AEDD1E9"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Dobbin, F., &amp; </w:t>
      </w:r>
      <w:proofErr w:type="spellStart"/>
      <w:r w:rsidRPr="00177C6D">
        <w:rPr>
          <w:rFonts w:asciiTheme="minorHAnsi" w:hAnsiTheme="minorHAnsi" w:cstheme="minorHAnsi"/>
        </w:rPr>
        <w:t>Kalev</w:t>
      </w:r>
      <w:proofErr w:type="spellEnd"/>
      <w:r w:rsidRPr="00177C6D">
        <w:rPr>
          <w:rFonts w:asciiTheme="minorHAnsi" w:hAnsiTheme="minorHAnsi" w:cstheme="minorHAnsi"/>
        </w:rPr>
        <w:t xml:space="preserve">, A. (2016). Why diversity programs fail. </w:t>
      </w:r>
      <w:r w:rsidRPr="00177C6D">
        <w:rPr>
          <w:rStyle w:val="Emphasis"/>
          <w:rFonts w:asciiTheme="minorHAnsi" w:hAnsiTheme="minorHAnsi" w:cstheme="minorHAnsi"/>
        </w:rPr>
        <w:t>Harvard Business Review, 94</w:t>
      </w:r>
      <w:r w:rsidRPr="00177C6D">
        <w:rPr>
          <w:rFonts w:asciiTheme="minorHAnsi" w:hAnsiTheme="minorHAnsi" w:cstheme="minorHAnsi"/>
        </w:rPr>
        <w:t>(7/8), 52–60.</w:t>
      </w:r>
    </w:p>
    <w:p w14:paraId="609A8786" w14:textId="77777777" w:rsidR="00842FE0" w:rsidRPr="00177C6D" w:rsidRDefault="00842FE0" w:rsidP="00842FE0">
      <w:pPr>
        <w:pStyle w:val="NormalWeb"/>
        <w:rPr>
          <w:rFonts w:asciiTheme="minorHAnsi" w:hAnsiTheme="minorHAnsi" w:cstheme="minorHAnsi"/>
        </w:rPr>
      </w:pPr>
      <w:proofErr w:type="spellStart"/>
      <w:r w:rsidRPr="00177C6D">
        <w:rPr>
          <w:rFonts w:asciiTheme="minorHAnsi" w:hAnsiTheme="minorHAnsi" w:cstheme="minorHAnsi"/>
        </w:rPr>
        <w:lastRenderedPageBreak/>
        <w:t>Eagly</w:t>
      </w:r>
      <w:proofErr w:type="spellEnd"/>
      <w:r w:rsidRPr="00177C6D">
        <w:rPr>
          <w:rFonts w:asciiTheme="minorHAnsi" w:hAnsiTheme="minorHAnsi" w:cstheme="minorHAnsi"/>
        </w:rPr>
        <w:t xml:space="preserve">, A. H., &amp; Carli, L. L. (2007). </w:t>
      </w:r>
      <w:r w:rsidRPr="00177C6D">
        <w:rPr>
          <w:rStyle w:val="Emphasis"/>
          <w:rFonts w:asciiTheme="minorHAnsi" w:hAnsiTheme="minorHAnsi" w:cstheme="minorHAnsi"/>
        </w:rPr>
        <w:t>Through the labyrinth: The truth about how women become leaders</w:t>
      </w:r>
      <w:r w:rsidRPr="00177C6D">
        <w:rPr>
          <w:rFonts w:asciiTheme="minorHAnsi" w:hAnsiTheme="minorHAnsi" w:cstheme="minorHAnsi"/>
        </w:rPr>
        <w:t>. Harvard Business School Press.</w:t>
      </w:r>
    </w:p>
    <w:p w14:paraId="234DFC25"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Edmondson, A. (1999). Psychological safety and learning </w:t>
      </w:r>
      <w:proofErr w:type="spellStart"/>
      <w:r w:rsidRPr="00177C6D">
        <w:rPr>
          <w:rFonts w:asciiTheme="minorHAnsi" w:hAnsiTheme="minorHAnsi" w:cstheme="minorHAnsi"/>
        </w:rPr>
        <w:t>behavior</w:t>
      </w:r>
      <w:proofErr w:type="spellEnd"/>
      <w:r w:rsidRPr="00177C6D">
        <w:rPr>
          <w:rFonts w:asciiTheme="minorHAnsi" w:hAnsiTheme="minorHAnsi" w:cstheme="minorHAnsi"/>
        </w:rPr>
        <w:t xml:space="preserve"> in work teams. </w:t>
      </w:r>
      <w:r w:rsidRPr="00177C6D">
        <w:rPr>
          <w:rStyle w:val="Emphasis"/>
          <w:rFonts w:asciiTheme="minorHAnsi" w:hAnsiTheme="minorHAnsi" w:cstheme="minorHAnsi"/>
        </w:rPr>
        <w:t>Administrative Science Quarterly, 44</w:t>
      </w:r>
      <w:r w:rsidRPr="00177C6D">
        <w:rPr>
          <w:rFonts w:asciiTheme="minorHAnsi" w:hAnsiTheme="minorHAnsi" w:cstheme="minorHAnsi"/>
        </w:rPr>
        <w:t xml:space="preserve">(2), 350–383. </w:t>
      </w:r>
      <w:hyperlink r:id="rId13" w:tgtFrame="_new" w:history="1">
        <w:r w:rsidRPr="00177C6D">
          <w:rPr>
            <w:rStyle w:val="Hyperlink"/>
            <w:rFonts w:asciiTheme="minorHAnsi" w:hAnsiTheme="minorHAnsi" w:cstheme="minorHAnsi"/>
          </w:rPr>
          <w:t>https://doi.org/10.2307/2666999</w:t>
        </w:r>
      </w:hyperlink>
    </w:p>
    <w:p w14:paraId="01CED077"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Ely, R. J., Ibarra, H., &amp; Kolb, D. M. (2011). Taking gender into account: Theory and design for women’s leadership development programs. </w:t>
      </w:r>
      <w:r w:rsidRPr="00177C6D">
        <w:rPr>
          <w:rStyle w:val="Emphasis"/>
          <w:rFonts w:asciiTheme="minorHAnsi" w:hAnsiTheme="minorHAnsi" w:cstheme="minorHAnsi"/>
        </w:rPr>
        <w:t>Academy of Management Learning &amp; Education, 10</w:t>
      </w:r>
      <w:r w:rsidRPr="00177C6D">
        <w:rPr>
          <w:rFonts w:asciiTheme="minorHAnsi" w:hAnsiTheme="minorHAnsi" w:cstheme="minorHAnsi"/>
        </w:rPr>
        <w:t xml:space="preserve">(3), 474–493. </w:t>
      </w:r>
      <w:hyperlink r:id="rId14" w:tgtFrame="_new" w:history="1">
        <w:r w:rsidRPr="00177C6D">
          <w:rPr>
            <w:rStyle w:val="Hyperlink"/>
            <w:rFonts w:asciiTheme="minorHAnsi" w:hAnsiTheme="minorHAnsi" w:cstheme="minorHAnsi"/>
          </w:rPr>
          <w:t>https://doi.org/10.5465/amle.2010.0046</w:t>
        </w:r>
      </w:hyperlink>
    </w:p>
    <w:p w14:paraId="76202178"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Engineering Council UK. (2020). </w:t>
      </w:r>
      <w:r w:rsidRPr="00177C6D">
        <w:rPr>
          <w:rStyle w:val="Emphasis"/>
          <w:rFonts w:asciiTheme="minorHAnsi" w:hAnsiTheme="minorHAnsi" w:cstheme="minorHAnsi"/>
        </w:rPr>
        <w:t>Statement of ethical principles</w:t>
      </w:r>
      <w:r w:rsidRPr="00177C6D">
        <w:rPr>
          <w:rFonts w:asciiTheme="minorHAnsi" w:hAnsiTheme="minorHAnsi" w:cstheme="minorHAnsi"/>
        </w:rPr>
        <w:t xml:space="preserve">. Royal Academy of Engineering &amp; Engineering Council. </w:t>
      </w:r>
      <w:hyperlink r:id="rId15" w:tgtFrame="_new" w:history="1">
        <w:r w:rsidRPr="00177C6D">
          <w:rPr>
            <w:rStyle w:val="Hyperlink"/>
            <w:rFonts w:asciiTheme="minorHAnsi" w:hAnsiTheme="minorHAnsi" w:cstheme="minorHAnsi"/>
          </w:rPr>
          <w:t>https://www.engc.org.uk/ethics</w:t>
        </w:r>
      </w:hyperlink>
    </w:p>
    <w:p w14:paraId="49B0FA4C"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Frost, P. J. (2003). </w:t>
      </w:r>
      <w:r w:rsidRPr="00177C6D">
        <w:rPr>
          <w:rStyle w:val="Emphasis"/>
          <w:rFonts w:asciiTheme="minorHAnsi" w:hAnsiTheme="minorHAnsi" w:cstheme="minorHAnsi"/>
        </w:rPr>
        <w:t>Toxic emotions at work</w:t>
      </w:r>
      <w:r w:rsidRPr="00177C6D">
        <w:rPr>
          <w:rFonts w:asciiTheme="minorHAnsi" w:hAnsiTheme="minorHAnsi" w:cstheme="minorHAnsi"/>
        </w:rPr>
        <w:t>. Harvard Business School Press.</w:t>
      </w:r>
    </w:p>
    <w:p w14:paraId="257F1033"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George, J. M. (2000). Emotions and leadership: The role of emotional intelligence. </w:t>
      </w:r>
      <w:r w:rsidRPr="00177C6D">
        <w:rPr>
          <w:rStyle w:val="Emphasis"/>
          <w:rFonts w:asciiTheme="minorHAnsi" w:hAnsiTheme="minorHAnsi" w:cstheme="minorHAnsi"/>
        </w:rPr>
        <w:t>Human Relations, 53</w:t>
      </w:r>
      <w:r w:rsidRPr="00177C6D">
        <w:rPr>
          <w:rFonts w:asciiTheme="minorHAnsi" w:hAnsiTheme="minorHAnsi" w:cstheme="minorHAnsi"/>
        </w:rPr>
        <w:t xml:space="preserve">(8), 1027–1055. </w:t>
      </w:r>
      <w:hyperlink r:id="rId16" w:tgtFrame="_new" w:history="1">
        <w:r w:rsidRPr="00177C6D">
          <w:rPr>
            <w:rStyle w:val="Hyperlink"/>
            <w:rFonts w:asciiTheme="minorHAnsi" w:hAnsiTheme="minorHAnsi" w:cstheme="minorHAnsi"/>
          </w:rPr>
          <w:t>https://doi.org/10.1177/0018726700538001</w:t>
        </w:r>
      </w:hyperlink>
    </w:p>
    <w:p w14:paraId="169D3F29"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Gibbs, G. (1988). </w:t>
      </w:r>
      <w:r w:rsidRPr="00177C6D">
        <w:rPr>
          <w:rStyle w:val="Emphasis"/>
          <w:rFonts w:asciiTheme="minorHAnsi" w:hAnsiTheme="minorHAnsi" w:cstheme="minorHAnsi"/>
        </w:rPr>
        <w:t>Learning by doing: A guide to teaching and learning methods</w:t>
      </w:r>
      <w:r w:rsidRPr="00177C6D">
        <w:rPr>
          <w:rFonts w:asciiTheme="minorHAnsi" w:hAnsiTheme="minorHAnsi" w:cstheme="minorHAnsi"/>
        </w:rPr>
        <w:t>. Oxford: Oxford Polytechnic.</w:t>
      </w:r>
    </w:p>
    <w:p w14:paraId="298CB813"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Goleman, D. (1995). </w:t>
      </w:r>
      <w:r w:rsidRPr="00177C6D">
        <w:rPr>
          <w:rStyle w:val="Emphasis"/>
          <w:rFonts w:asciiTheme="minorHAnsi" w:hAnsiTheme="minorHAnsi" w:cstheme="minorHAnsi"/>
        </w:rPr>
        <w:t>Emotional intelligence</w:t>
      </w:r>
      <w:r w:rsidRPr="00177C6D">
        <w:rPr>
          <w:rFonts w:asciiTheme="minorHAnsi" w:hAnsiTheme="minorHAnsi" w:cstheme="minorHAnsi"/>
        </w:rPr>
        <w:t>. Bantam.</w:t>
      </w:r>
    </w:p>
    <w:p w14:paraId="167E82E0" w14:textId="77777777" w:rsidR="00842FE0" w:rsidRPr="00177C6D" w:rsidRDefault="00842FE0" w:rsidP="00842FE0">
      <w:pPr>
        <w:pStyle w:val="NormalWeb"/>
        <w:rPr>
          <w:rFonts w:asciiTheme="minorHAnsi" w:hAnsiTheme="minorHAnsi" w:cstheme="minorHAnsi"/>
        </w:rPr>
      </w:pPr>
      <w:proofErr w:type="spellStart"/>
      <w:r w:rsidRPr="00177C6D">
        <w:rPr>
          <w:rFonts w:asciiTheme="minorHAnsi" w:hAnsiTheme="minorHAnsi" w:cstheme="minorHAnsi"/>
        </w:rPr>
        <w:t>Graen</w:t>
      </w:r>
      <w:proofErr w:type="spellEnd"/>
      <w:r w:rsidRPr="00177C6D">
        <w:rPr>
          <w:rFonts w:asciiTheme="minorHAnsi" w:hAnsiTheme="minorHAnsi" w:cstheme="minorHAnsi"/>
        </w:rPr>
        <w:t xml:space="preserve">, G. B., &amp; </w:t>
      </w:r>
      <w:proofErr w:type="spellStart"/>
      <w:r w:rsidRPr="00177C6D">
        <w:rPr>
          <w:rFonts w:asciiTheme="minorHAnsi" w:hAnsiTheme="minorHAnsi" w:cstheme="minorHAnsi"/>
        </w:rPr>
        <w:t>Uhl</w:t>
      </w:r>
      <w:proofErr w:type="spellEnd"/>
      <w:r w:rsidRPr="00177C6D">
        <w:rPr>
          <w:rFonts w:asciiTheme="minorHAnsi" w:hAnsiTheme="minorHAnsi" w:cstheme="minorHAnsi"/>
        </w:rPr>
        <w:t xml:space="preserve">-Bien, M. (1995). Relationship-based approach to leadership: Development of leader–member exchange (LMX) theory of leadership over 25 years. </w:t>
      </w:r>
      <w:r w:rsidRPr="00177C6D">
        <w:rPr>
          <w:rStyle w:val="Emphasis"/>
          <w:rFonts w:asciiTheme="minorHAnsi" w:hAnsiTheme="minorHAnsi" w:cstheme="minorHAnsi"/>
        </w:rPr>
        <w:t>Leadership Quarterly, 6</w:t>
      </w:r>
      <w:r w:rsidRPr="00177C6D">
        <w:rPr>
          <w:rFonts w:asciiTheme="minorHAnsi" w:hAnsiTheme="minorHAnsi" w:cstheme="minorHAnsi"/>
        </w:rPr>
        <w:t>(2), 219–247. https://doi.org/10.1016/1048-9843(95)90036-5</w:t>
      </w:r>
    </w:p>
    <w:p w14:paraId="0E6F9A47"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Hunt, V., Layton, D., &amp; Prince, S. (2015). </w:t>
      </w:r>
      <w:r w:rsidRPr="00177C6D">
        <w:rPr>
          <w:rStyle w:val="Emphasis"/>
          <w:rFonts w:asciiTheme="minorHAnsi" w:hAnsiTheme="minorHAnsi" w:cstheme="minorHAnsi"/>
        </w:rPr>
        <w:t>Why diversity matters</w:t>
      </w:r>
      <w:r w:rsidRPr="00177C6D">
        <w:rPr>
          <w:rFonts w:asciiTheme="minorHAnsi" w:hAnsiTheme="minorHAnsi" w:cstheme="minorHAnsi"/>
        </w:rPr>
        <w:t>. McKinsey &amp; Company.</w:t>
      </w:r>
    </w:p>
    <w:p w14:paraId="6A7E5388"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Janis, I. L. (1982). </w:t>
      </w:r>
      <w:r w:rsidRPr="00177C6D">
        <w:rPr>
          <w:rStyle w:val="Emphasis"/>
          <w:rFonts w:asciiTheme="minorHAnsi" w:hAnsiTheme="minorHAnsi" w:cstheme="minorHAnsi"/>
        </w:rPr>
        <w:t xml:space="preserve">Groupthink: Psychological studies of policy decisions and </w:t>
      </w:r>
      <w:proofErr w:type="spellStart"/>
      <w:r w:rsidRPr="00177C6D">
        <w:rPr>
          <w:rStyle w:val="Emphasis"/>
          <w:rFonts w:asciiTheme="minorHAnsi" w:hAnsiTheme="minorHAnsi" w:cstheme="minorHAnsi"/>
        </w:rPr>
        <w:t>fiascoes</w:t>
      </w:r>
      <w:proofErr w:type="spellEnd"/>
      <w:r w:rsidRPr="00177C6D">
        <w:rPr>
          <w:rFonts w:asciiTheme="minorHAnsi" w:hAnsiTheme="minorHAnsi" w:cstheme="minorHAnsi"/>
        </w:rPr>
        <w:t xml:space="preserve"> (2nd ed.). Houghton Mifflin.</w:t>
      </w:r>
    </w:p>
    <w:p w14:paraId="0B577C06"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Kolb, D. A. (1984). </w:t>
      </w:r>
      <w:r w:rsidRPr="00177C6D">
        <w:rPr>
          <w:rStyle w:val="Emphasis"/>
          <w:rFonts w:asciiTheme="minorHAnsi" w:hAnsiTheme="minorHAnsi" w:cstheme="minorHAnsi"/>
        </w:rPr>
        <w:t>Experiential learning: Experience as the source of learning and development</w:t>
      </w:r>
      <w:r w:rsidRPr="00177C6D">
        <w:rPr>
          <w:rFonts w:asciiTheme="minorHAnsi" w:hAnsiTheme="minorHAnsi" w:cstheme="minorHAnsi"/>
        </w:rPr>
        <w:t>. Prentice Hall.</w:t>
      </w:r>
    </w:p>
    <w:p w14:paraId="363DB012"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Kulik, C. T. (2014). Working below and above the line: The research–practice gap in diversity management. </w:t>
      </w:r>
      <w:r w:rsidRPr="00177C6D">
        <w:rPr>
          <w:rStyle w:val="Emphasis"/>
          <w:rFonts w:asciiTheme="minorHAnsi" w:hAnsiTheme="minorHAnsi" w:cstheme="minorHAnsi"/>
        </w:rPr>
        <w:t>Human Resource Management Journal, 24</w:t>
      </w:r>
      <w:r w:rsidRPr="00177C6D">
        <w:rPr>
          <w:rFonts w:asciiTheme="minorHAnsi" w:hAnsiTheme="minorHAnsi" w:cstheme="minorHAnsi"/>
        </w:rPr>
        <w:t xml:space="preserve">(2), 129–144. </w:t>
      </w:r>
      <w:hyperlink r:id="rId17" w:tgtFrame="_new" w:history="1">
        <w:r w:rsidRPr="00177C6D">
          <w:rPr>
            <w:rStyle w:val="Hyperlink"/>
            <w:rFonts w:asciiTheme="minorHAnsi" w:hAnsiTheme="minorHAnsi" w:cstheme="minorHAnsi"/>
          </w:rPr>
          <w:t>https://doi.org/10.1111/1748-8583.12038</w:t>
        </w:r>
      </w:hyperlink>
    </w:p>
    <w:p w14:paraId="77987DB9" w14:textId="77777777" w:rsidR="00842FE0" w:rsidRPr="00177C6D" w:rsidRDefault="00842FE0" w:rsidP="00842FE0">
      <w:pPr>
        <w:pStyle w:val="NormalWeb"/>
        <w:rPr>
          <w:rFonts w:asciiTheme="minorHAnsi" w:hAnsiTheme="minorHAnsi" w:cstheme="minorHAnsi"/>
        </w:rPr>
      </w:pPr>
      <w:proofErr w:type="spellStart"/>
      <w:r w:rsidRPr="00177C6D">
        <w:rPr>
          <w:rFonts w:asciiTheme="minorHAnsi" w:hAnsiTheme="minorHAnsi" w:cstheme="minorHAnsi"/>
        </w:rPr>
        <w:t>Latané</w:t>
      </w:r>
      <w:proofErr w:type="spellEnd"/>
      <w:r w:rsidRPr="00177C6D">
        <w:rPr>
          <w:rFonts w:asciiTheme="minorHAnsi" w:hAnsiTheme="minorHAnsi" w:cstheme="minorHAnsi"/>
        </w:rPr>
        <w:t xml:space="preserve">, B., &amp; Darley, J. M. (1970). </w:t>
      </w:r>
      <w:r w:rsidRPr="00177C6D">
        <w:rPr>
          <w:rStyle w:val="Emphasis"/>
          <w:rFonts w:asciiTheme="minorHAnsi" w:hAnsiTheme="minorHAnsi" w:cstheme="minorHAnsi"/>
        </w:rPr>
        <w:t>The unresponsive bystander: Why doesn’t he help?</w:t>
      </w:r>
      <w:r w:rsidRPr="00177C6D">
        <w:rPr>
          <w:rFonts w:asciiTheme="minorHAnsi" w:hAnsiTheme="minorHAnsi" w:cstheme="minorHAnsi"/>
        </w:rPr>
        <w:t xml:space="preserve"> Appleton-Century Crofts.</w:t>
      </w:r>
    </w:p>
    <w:p w14:paraId="301C2495"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Luthans, F., Youssef, C. M., &amp; Avolio, B. J. (2007). </w:t>
      </w:r>
      <w:r w:rsidRPr="00177C6D">
        <w:rPr>
          <w:rStyle w:val="Emphasis"/>
          <w:rFonts w:asciiTheme="minorHAnsi" w:hAnsiTheme="minorHAnsi" w:cstheme="minorHAnsi"/>
        </w:rPr>
        <w:t>Psychological capital: Developing the human competitive edge</w:t>
      </w:r>
      <w:r w:rsidRPr="00177C6D">
        <w:rPr>
          <w:rFonts w:asciiTheme="minorHAnsi" w:hAnsiTheme="minorHAnsi" w:cstheme="minorHAnsi"/>
        </w:rPr>
        <w:t>. Oxford University Press.</w:t>
      </w:r>
    </w:p>
    <w:p w14:paraId="42B44411"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Maslach, C., &amp; Leiter, M. P. (2016). </w:t>
      </w:r>
      <w:r w:rsidRPr="00177C6D">
        <w:rPr>
          <w:rStyle w:val="Emphasis"/>
          <w:rFonts w:asciiTheme="minorHAnsi" w:hAnsiTheme="minorHAnsi" w:cstheme="minorHAnsi"/>
        </w:rPr>
        <w:t>Burnout: Stress and the loss of human energy</w:t>
      </w:r>
      <w:r w:rsidRPr="00177C6D">
        <w:rPr>
          <w:rFonts w:asciiTheme="minorHAnsi" w:hAnsiTheme="minorHAnsi" w:cstheme="minorHAnsi"/>
        </w:rPr>
        <w:t>. Psychology Press.</w:t>
      </w:r>
    </w:p>
    <w:p w14:paraId="18A41526"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lastRenderedPageBreak/>
        <w:t xml:space="preserve">Nishii, L. H., &amp; Mayer, D. M. (2009). Do inclusive leaders help to reduce turnover in diverse groups? The moderating role of leader–member exchange. </w:t>
      </w:r>
      <w:r w:rsidRPr="00177C6D">
        <w:rPr>
          <w:rStyle w:val="Emphasis"/>
          <w:rFonts w:asciiTheme="minorHAnsi" w:hAnsiTheme="minorHAnsi" w:cstheme="minorHAnsi"/>
        </w:rPr>
        <w:t>Journal of Applied Psychology, 94</w:t>
      </w:r>
      <w:r w:rsidRPr="00177C6D">
        <w:rPr>
          <w:rFonts w:asciiTheme="minorHAnsi" w:hAnsiTheme="minorHAnsi" w:cstheme="minorHAnsi"/>
        </w:rPr>
        <w:t xml:space="preserve">(6), 1412–1426. </w:t>
      </w:r>
      <w:hyperlink r:id="rId18" w:tgtFrame="_new" w:history="1">
        <w:r w:rsidRPr="00177C6D">
          <w:rPr>
            <w:rStyle w:val="Hyperlink"/>
            <w:rFonts w:asciiTheme="minorHAnsi" w:hAnsiTheme="minorHAnsi" w:cstheme="minorHAnsi"/>
          </w:rPr>
          <w:t>https://doi.org/10.1037/a0017190</w:t>
        </w:r>
      </w:hyperlink>
    </w:p>
    <w:p w14:paraId="69CC0587"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Page, S. E. (2007). </w:t>
      </w:r>
      <w:r w:rsidRPr="00177C6D">
        <w:rPr>
          <w:rStyle w:val="Emphasis"/>
          <w:rFonts w:asciiTheme="minorHAnsi" w:hAnsiTheme="minorHAnsi" w:cstheme="minorHAnsi"/>
        </w:rPr>
        <w:t>The difference: How the power of diversity creates better groups, firms, schools, and societies</w:t>
      </w:r>
      <w:r w:rsidRPr="00177C6D">
        <w:rPr>
          <w:rFonts w:asciiTheme="minorHAnsi" w:hAnsiTheme="minorHAnsi" w:cstheme="minorHAnsi"/>
        </w:rPr>
        <w:t>. Princeton University Press.</w:t>
      </w:r>
    </w:p>
    <w:p w14:paraId="52FD0B1F"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Powell, A., </w:t>
      </w:r>
      <w:proofErr w:type="spellStart"/>
      <w:r w:rsidRPr="00177C6D">
        <w:rPr>
          <w:rFonts w:asciiTheme="minorHAnsi" w:hAnsiTheme="minorHAnsi" w:cstheme="minorHAnsi"/>
        </w:rPr>
        <w:t>Bagilhole</w:t>
      </w:r>
      <w:proofErr w:type="spellEnd"/>
      <w:r w:rsidRPr="00177C6D">
        <w:rPr>
          <w:rFonts w:asciiTheme="minorHAnsi" w:hAnsiTheme="minorHAnsi" w:cstheme="minorHAnsi"/>
        </w:rPr>
        <w:t xml:space="preserve">, B., &amp; Dainty, A. (2009). How women engineers do and undo gender. </w:t>
      </w:r>
      <w:r w:rsidRPr="00177C6D">
        <w:rPr>
          <w:rStyle w:val="Emphasis"/>
          <w:rFonts w:asciiTheme="minorHAnsi" w:hAnsiTheme="minorHAnsi" w:cstheme="minorHAnsi"/>
        </w:rPr>
        <w:t>Gender, Work &amp; Organization, 16</w:t>
      </w:r>
      <w:r w:rsidRPr="00177C6D">
        <w:rPr>
          <w:rFonts w:asciiTheme="minorHAnsi" w:hAnsiTheme="minorHAnsi" w:cstheme="minorHAnsi"/>
        </w:rPr>
        <w:t xml:space="preserve">(4), 411–428. </w:t>
      </w:r>
      <w:hyperlink r:id="rId19" w:tgtFrame="_new" w:history="1">
        <w:r w:rsidRPr="00177C6D">
          <w:rPr>
            <w:rStyle w:val="Hyperlink"/>
            <w:rFonts w:asciiTheme="minorHAnsi" w:hAnsiTheme="minorHAnsi" w:cstheme="minorHAnsi"/>
          </w:rPr>
          <w:t>https://doi.org/10.1111/j.1468-0432.2008.00406.x</w:t>
        </w:r>
      </w:hyperlink>
    </w:p>
    <w:p w14:paraId="50A0807F"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Samuelson, W., &amp; </w:t>
      </w:r>
      <w:proofErr w:type="spellStart"/>
      <w:r w:rsidRPr="00177C6D">
        <w:rPr>
          <w:rFonts w:asciiTheme="minorHAnsi" w:hAnsiTheme="minorHAnsi" w:cstheme="minorHAnsi"/>
        </w:rPr>
        <w:t>Zeckhauser</w:t>
      </w:r>
      <w:proofErr w:type="spellEnd"/>
      <w:r w:rsidRPr="00177C6D">
        <w:rPr>
          <w:rFonts w:asciiTheme="minorHAnsi" w:hAnsiTheme="minorHAnsi" w:cstheme="minorHAnsi"/>
        </w:rPr>
        <w:t xml:space="preserve">, R. (1988). Status quo bias in decision making. </w:t>
      </w:r>
      <w:r w:rsidRPr="00177C6D">
        <w:rPr>
          <w:rStyle w:val="Emphasis"/>
          <w:rFonts w:asciiTheme="minorHAnsi" w:hAnsiTheme="minorHAnsi" w:cstheme="minorHAnsi"/>
        </w:rPr>
        <w:t>Journal of Risk and Uncertainty, 1</w:t>
      </w:r>
      <w:r w:rsidRPr="00177C6D">
        <w:rPr>
          <w:rFonts w:asciiTheme="minorHAnsi" w:hAnsiTheme="minorHAnsi" w:cstheme="minorHAnsi"/>
        </w:rPr>
        <w:t xml:space="preserve">(1), 7–59. </w:t>
      </w:r>
      <w:hyperlink r:id="rId20" w:tgtFrame="_new" w:history="1">
        <w:r w:rsidRPr="00177C6D">
          <w:rPr>
            <w:rStyle w:val="Hyperlink"/>
            <w:rFonts w:asciiTheme="minorHAnsi" w:hAnsiTheme="minorHAnsi" w:cstheme="minorHAnsi"/>
          </w:rPr>
          <w:t>https://doi.org/10.1007/BF00055564</w:t>
        </w:r>
      </w:hyperlink>
    </w:p>
    <w:p w14:paraId="386E78FB"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Schein, E. H. (2010). </w:t>
      </w:r>
      <w:r w:rsidRPr="00177C6D">
        <w:rPr>
          <w:rStyle w:val="Emphasis"/>
          <w:rFonts w:asciiTheme="minorHAnsi" w:hAnsiTheme="minorHAnsi" w:cstheme="minorHAnsi"/>
        </w:rPr>
        <w:t>Organizational culture and leadership</w:t>
      </w:r>
      <w:r w:rsidRPr="00177C6D">
        <w:rPr>
          <w:rFonts w:asciiTheme="minorHAnsi" w:hAnsiTheme="minorHAnsi" w:cstheme="minorHAnsi"/>
        </w:rPr>
        <w:t xml:space="preserve"> (4th ed.). Jossey-Bass.</w:t>
      </w:r>
    </w:p>
    <w:p w14:paraId="0123FDCB" w14:textId="77777777" w:rsidR="00842FE0" w:rsidRPr="00177C6D" w:rsidRDefault="00842FE0" w:rsidP="00842FE0">
      <w:pPr>
        <w:pStyle w:val="NormalWeb"/>
        <w:rPr>
          <w:rFonts w:asciiTheme="minorHAnsi" w:hAnsiTheme="minorHAnsi" w:cstheme="minorHAnsi"/>
        </w:rPr>
      </w:pPr>
      <w:proofErr w:type="spellStart"/>
      <w:r w:rsidRPr="00177C6D">
        <w:rPr>
          <w:rFonts w:asciiTheme="minorHAnsi" w:hAnsiTheme="minorHAnsi" w:cstheme="minorHAnsi"/>
        </w:rPr>
        <w:t>Sekerka</w:t>
      </w:r>
      <w:proofErr w:type="spellEnd"/>
      <w:r w:rsidRPr="00177C6D">
        <w:rPr>
          <w:rFonts w:asciiTheme="minorHAnsi" w:hAnsiTheme="minorHAnsi" w:cstheme="minorHAnsi"/>
        </w:rPr>
        <w:t xml:space="preserve">, L. E., </w:t>
      </w:r>
      <w:proofErr w:type="spellStart"/>
      <w:r w:rsidRPr="00177C6D">
        <w:rPr>
          <w:rFonts w:asciiTheme="minorHAnsi" w:hAnsiTheme="minorHAnsi" w:cstheme="minorHAnsi"/>
        </w:rPr>
        <w:t>Bagozzi</w:t>
      </w:r>
      <w:proofErr w:type="spellEnd"/>
      <w:r w:rsidRPr="00177C6D">
        <w:rPr>
          <w:rFonts w:asciiTheme="minorHAnsi" w:hAnsiTheme="minorHAnsi" w:cstheme="minorHAnsi"/>
        </w:rPr>
        <w:t xml:space="preserve">, R. P., &amp; </w:t>
      </w:r>
      <w:proofErr w:type="spellStart"/>
      <w:r w:rsidRPr="00177C6D">
        <w:rPr>
          <w:rFonts w:asciiTheme="minorHAnsi" w:hAnsiTheme="minorHAnsi" w:cstheme="minorHAnsi"/>
        </w:rPr>
        <w:t>Charnigo</w:t>
      </w:r>
      <w:proofErr w:type="spellEnd"/>
      <w:r w:rsidRPr="00177C6D">
        <w:rPr>
          <w:rFonts w:asciiTheme="minorHAnsi" w:hAnsiTheme="minorHAnsi" w:cstheme="minorHAnsi"/>
        </w:rPr>
        <w:t xml:space="preserve">, R. (2009). Facing ethical challenges in the workplace: Conceptualizing and measuring professional moral courage. </w:t>
      </w:r>
      <w:r w:rsidRPr="00177C6D">
        <w:rPr>
          <w:rStyle w:val="Emphasis"/>
          <w:rFonts w:asciiTheme="minorHAnsi" w:hAnsiTheme="minorHAnsi" w:cstheme="minorHAnsi"/>
        </w:rPr>
        <w:t>Journal of Business Ethics, 89</w:t>
      </w:r>
      <w:r w:rsidRPr="00177C6D">
        <w:rPr>
          <w:rFonts w:asciiTheme="minorHAnsi" w:hAnsiTheme="minorHAnsi" w:cstheme="minorHAnsi"/>
        </w:rPr>
        <w:t xml:space="preserve">(4), 565–579. </w:t>
      </w:r>
      <w:hyperlink r:id="rId21" w:tgtFrame="_new" w:history="1">
        <w:r w:rsidRPr="00177C6D">
          <w:rPr>
            <w:rStyle w:val="Hyperlink"/>
            <w:rFonts w:asciiTheme="minorHAnsi" w:hAnsiTheme="minorHAnsi" w:cstheme="minorHAnsi"/>
          </w:rPr>
          <w:t>https://doi.org/10.1007/s10551-008-0017-5</w:t>
        </w:r>
      </w:hyperlink>
    </w:p>
    <w:p w14:paraId="5CCC0898"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Steele, C. M. (1997). A threat in the air: How stereotypes shape intellectual identity and performance. </w:t>
      </w:r>
      <w:r w:rsidRPr="00177C6D">
        <w:rPr>
          <w:rStyle w:val="Emphasis"/>
          <w:rFonts w:asciiTheme="minorHAnsi" w:hAnsiTheme="minorHAnsi" w:cstheme="minorHAnsi"/>
        </w:rPr>
        <w:t>American Psychologist, 52</w:t>
      </w:r>
      <w:r w:rsidRPr="00177C6D">
        <w:rPr>
          <w:rFonts w:asciiTheme="minorHAnsi" w:hAnsiTheme="minorHAnsi" w:cstheme="minorHAnsi"/>
        </w:rPr>
        <w:t>(6), 613–629. https://doi.org/10.1037/0003-066X.52.6.613</w:t>
      </w:r>
    </w:p>
    <w:p w14:paraId="1A72A3BC"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Steele, C. M., Spencer, S. J., &amp; Aronson, J. (2002). Contending with group image: The psychology of stereotype and social identity threat. </w:t>
      </w:r>
      <w:r w:rsidRPr="00177C6D">
        <w:rPr>
          <w:rStyle w:val="Emphasis"/>
          <w:rFonts w:asciiTheme="minorHAnsi" w:hAnsiTheme="minorHAnsi" w:cstheme="minorHAnsi"/>
        </w:rPr>
        <w:t>Advances in Experimental Social Psychology, 34</w:t>
      </w:r>
      <w:r w:rsidRPr="00177C6D">
        <w:rPr>
          <w:rFonts w:asciiTheme="minorHAnsi" w:hAnsiTheme="minorHAnsi" w:cstheme="minorHAnsi"/>
        </w:rPr>
        <w:t xml:space="preserve">, 379–440. </w:t>
      </w:r>
      <w:hyperlink r:id="rId22" w:tgtFrame="_new" w:history="1">
        <w:r w:rsidRPr="00177C6D">
          <w:rPr>
            <w:rStyle w:val="Hyperlink"/>
            <w:rFonts w:asciiTheme="minorHAnsi" w:hAnsiTheme="minorHAnsi" w:cstheme="minorHAnsi"/>
          </w:rPr>
          <w:t>https://doi.org/10.1016/S0065-2601(02)80009-0</w:t>
        </w:r>
      </w:hyperlink>
    </w:p>
    <w:p w14:paraId="3B00338C"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Sue, D. W. (2010). </w:t>
      </w:r>
      <w:r w:rsidRPr="00177C6D">
        <w:rPr>
          <w:rStyle w:val="Emphasis"/>
          <w:rFonts w:asciiTheme="minorHAnsi" w:hAnsiTheme="minorHAnsi" w:cstheme="minorHAnsi"/>
        </w:rPr>
        <w:t>Microaggressions in everyday life: Race, gender, and sexual orientation</w:t>
      </w:r>
      <w:r w:rsidRPr="00177C6D">
        <w:rPr>
          <w:rFonts w:asciiTheme="minorHAnsi" w:hAnsiTheme="minorHAnsi" w:cstheme="minorHAnsi"/>
        </w:rPr>
        <w:t>. Wiley.</w:t>
      </w:r>
    </w:p>
    <w:p w14:paraId="11C649F2"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Tajfel, H., &amp; Turner, J. C. (1986). The social identity theory of intergroup </w:t>
      </w:r>
      <w:proofErr w:type="spellStart"/>
      <w:r w:rsidRPr="00177C6D">
        <w:rPr>
          <w:rFonts w:asciiTheme="minorHAnsi" w:hAnsiTheme="minorHAnsi" w:cstheme="minorHAnsi"/>
        </w:rPr>
        <w:t>behavior</w:t>
      </w:r>
      <w:proofErr w:type="spellEnd"/>
      <w:r w:rsidRPr="00177C6D">
        <w:rPr>
          <w:rFonts w:asciiTheme="minorHAnsi" w:hAnsiTheme="minorHAnsi" w:cstheme="minorHAnsi"/>
        </w:rPr>
        <w:t xml:space="preserve">. In S. </w:t>
      </w:r>
      <w:proofErr w:type="spellStart"/>
      <w:r w:rsidRPr="00177C6D">
        <w:rPr>
          <w:rFonts w:asciiTheme="minorHAnsi" w:hAnsiTheme="minorHAnsi" w:cstheme="minorHAnsi"/>
        </w:rPr>
        <w:t>Worchel</w:t>
      </w:r>
      <w:proofErr w:type="spellEnd"/>
      <w:r w:rsidRPr="00177C6D">
        <w:rPr>
          <w:rFonts w:asciiTheme="minorHAnsi" w:hAnsiTheme="minorHAnsi" w:cstheme="minorHAnsi"/>
        </w:rPr>
        <w:t xml:space="preserve"> &amp; W. G. Austin (Eds.), </w:t>
      </w:r>
      <w:r w:rsidRPr="00177C6D">
        <w:rPr>
          <w:rStyle w:val="Emphasis"/>
          <w:rFonts w:asciiTheme="minorHAnsi" w:hAnsiTheme="minorHAnsi" w:cstheme="minorHAnsi"/>
        </w:rPr>
        <w:t>Psychology of intergroup relations</w:t>
      </w:r>
      <w:r w:rsidRPr="00177C6D">
        <w:rPr>
          <w:rFonts w:asciiTheme="minorHAnsi" w:hAnsiTheme="minorHAnsi" w:cstheme="minorHAnsi"/>
        </w:rPr>
        <w:t xml:space="preserve"> (pp. 7–24). Nelson-Hall.</w:t>
      </w:r>
    </w:p>
    <w:p w14:paraId="7F0F7259" w14:textId="77777777" w:rsidR="00842FE0" w:rsidRPr="00177C6D" w:rsidRDefault="00842FE0" w:rsidP="00842FE0">
      <w:pPr>
        <w:pStyle w:val="NormalWeb"/>
        <w:rPr>
          <w:rFonts w:asciiTheme="minorHAnsi" w:hAnsiTheme="minorHAnsi" w:cstheme="minorHAnsi"/>
        </w:rPr>
      </w:pPr>
      <w:proofErr w:type="spellStart"/>
      <w:r w:rsidRPr="00177C6D">
        <w:rPr>
          <w:rFonts w:asciiTheme="minorHAnsi" w:hAnsiTheme="minorHAnsi" w:cstheme="minorHAnsi"/>
        </w:rPr>
        <w:t>Treviño</w:t>
      </w:r>
      <w:proofErr w:type="spellEnd"/>
      <w:r w:rsidRPr="00177C6D">
        <w:rPr>
          <w:rFonts w:asciiTheme="minorHAnsi" w:hAnsiTheme="minorHAnsi" w:cstheme="minorHAnsi"/>
        </w:rPr>
        <w:t xml:space="preserve">, L. K., Weaver, G. R., &amp; Reynolds, S. J. (2006). </w:t>
      </w:r>
      <w:proofErr w:type="spellStart"/>
      <w:r w:rsidRPr="00177C6D">
        <w:rPr>
          <w:rFonts w:asciiTheme="minorHAnsi" w:hAnsiTheme="minorHAnsi" w:cstheme="minorHAnsi"/>
        </w:rPr>
        <w:t>Behavioral</w:t>
      </w:r>
      <w:proofErr w:type="spellEnd"/>
      <w:r w:rsidRPr="00177C6D">
        <w:rPr>
          <w:rFonts w:asciiTheme="minorHAnsi" w:hAnsiTheme="minorHAnsi" w:cstheme="minorHAnsi"/>
        </w:rPr>
        <w:t xml:space="preserve"> ethics in organizations: A review. </w:t>
      </w:r>
      <w:r w:rsidRPr="00177C6D">
        <w:rPr>
          <w:rStyle w:val="Emphasis"/>
          <w:rFonts w:asciiTheme="minorHAnsi" w:hAnsiTheme="minorHAnsi" w:cstheme="minorHAnsi"/>
        </w:rPr>
        <w:t>Journal of Management, 32</w:t>
      </w:r>
      <w:r w:rsidRPr="00177C6D">
        <w:rPr>
          <w:rFonts w:asciiTheme="minorHAnsi" w:hAnsiTheme="minorHAnsi" w:cstheme="minorHAnsi"/>
        </w:rPr>
        <w:t xml:space="preserve">(6), 951–990. </w:t>
      </w:r>
      <w:hyperlink r:id="rId23" w:tgtFrame="_new" w:history="1">
        <w:r w:rsidRPr="00177C6D">
          <w:rPr>
            <w:rStyle w:val="Hyperlink"/>
            <w:rFonts w:asciiTheme="minorHAnsi" w:hAnsiTheme="minorHAnsi" w:cstheme="minorHAnsi"/>
          </w:rPr>
          <w:t>https://doi.org/10.1177/0149206306294258</w:t>
        </w:r>
      </w:hyperlink>
    </w:p>
    <w:p w14:paraId="0EA2AB55"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Tversky, A., &amp; Kahneman, D. (1974). Judgment under uncertainty: Heuristics and biases. </w:t>
      </w:r>
      <w:r w:rsidRPr="00177C6D">
        <w:rPr>
          <w:rStyle w:val="Emphasis"/>
          <w:rFonts w:asciiTheme="minorHAnsi" w:hAnsiTheme="minorHAnsi" w:cstheme="minorHAnsi"/>
        </w:rPr>
        <w:t>Science, 185</w:t>
      </w:r>
      <w:r w:rsidRPr="00177C6D">
        <w:rPr>
          <w:rFonts w:asciiTheme="minorHAnsi" w:hAnsiTheme="minorHAnsi" w:cstheme="minorHAnsi"/>
        </w:rPr>
        <w:t xml:space="preserve">(4157), 1124–1131. </w:t>
      </w:r>
      <w:hyperlink r:id="rId24" w:tgtFrame="_new" w:history="1">
        <w:r w:rsidRPr="00177C6D">
          <w:rPr>
            <w:rStyle w:val="Hyperlink"/>
            <w:rFonts w:asciiTheme="minorHAnsi" w:hAnsiTheme="minorHAnsi" w:cstheme="minorHAnsi"/>
          </w:rPr>
          <w:t>https://doi.org/10.1126/science.185.4157.1124</w:t>
        </w:r>
      </w:hyperlink>
    </w:p>
    <w:p w14:paraId="11939E0B" w14:textId="77777777" w:rsidR="00842FE0" w:rsidRPr="00177C6D" w:rsidRDefault="00842FE0" w:rsidP="00842FE0">
      <w:pPr>
        <w:pStyle w:val="NormalWeb"/>
        <w:rPr>
          <w:rFonts w:asciiTheme="minorHAnsi" w:hAnsiTheme="minorHAnsi" w:cstheme="minorHAnsi"/>
        </w:rPr>
      </w:pPr>
      <w:r w:rsidRPr="00177C6D">
        <w:rPr>
          <w:rFonts w:asciiTheme="minorHAnsi" w:hAnsiTheme="minorHAnsi" w:cstheme="minorHAnsi"/>
        </w:rPr>
        <w:t xml:space="preserve">Vaughan, D. (1996). </w:t>
      </w:r>
      <w:r w:rsidRPr="00177C6D">
        <w:rPr>
          <w:rStyle w:val="Emphasis"/>
          <w:rFonts w:asciiTheme="minorHAnsi" w:hAnsiTheme="minorHAnsi" w:cstheme="minorHAnsi"/>
        </w:rPr>
        <w:t>The Challenger launch decision: Risky technology, culture, and deviance at NASA</w:t>
      </w:r>
      <w:r w:rsidRPr="00177C6D">
        <w:rPr>
          <w:rFonts w:asciiTheme="minorHAnsi" w:hAnsiTheme="minorHAnsi" w:cstheme="minorHAnsi"/>
        </w:rPr>
        <w:t>. University of Chicago Press.</w:t>
      </w:r>
    </w:p>
    <w:p w14:paraId="39DB26A4" w14:textId="77777777" w:rsidR="00BD74AA" w:rsidRPr="00177C6D" w:rsidRDefault="005971B5" w:rsidP="00BD74AA">
      <w:pPr>
        <w:rPr>
          <w:rFonts w:eastAsia="Times New Roman" w:cstheme="minorHAnsi"/>
          <w:lang w:eastAsia="en-GB"/>
        </w:rPr>
      </w:pPr>
      <w:r>
        <w:pict w14:anchorId="7E4C8E99">
          <v:rect id="Horizontal Line 38" o:spid="_x0000_s1026" alt="" style="width:451.3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5927AF03" w14:textId="2ADFB4D8" w:rsidR="00A46E57" w:rsidRPr="00177C6D" w:rsidRDefault="00A46E57" w:rsidP="00BD74AA">
      <w:pPr>
        <w:rPr>
          <w:rFonts w:cstheme="minorHAnsi"/>
        </w:rPr>
      </w:pPr>
    </w:p>
    <w:sectPr w:rsidR="00A46E57" w:rsidRPr="00177C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469B2"/>
    <w:multiLevelType w:val="multilevel"/>
    <w:tmpl w:val="3ECEE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67F66"/>
    <w:multiLevelType w:val="multilevel"/>
    <w:tmpl w:val="8F264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DE224F"/>
    <w:multiLevelType w:val="hybridMultilevel"/>
    <w:tmpl w:val="2D4AB4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6C030D"/>
    <w:multiLevelType w:val="multilevel"/>
    <w:tmpl w:val="7BBEB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1A278F"/>
    <w:multiLevelType w:val="multilevel"/>
    <w:tmpl w:val="9B6E6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4005B9"/>
    <w:multiLevelType w:val="multilevel"/>
    <w:tmpl w:val="8CCE4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305EE9"/>
    <w:multiLevelType w:val="multilevel"/>
    <w:tmpl w:val="927C2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AC75B6"/>
    <w:multiLevelType w:val="hybridMultilevel"/>
    <w:tmpl w:val="BA8884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721FBE"/>
    <w:multiLevelType w:val="multilevel"/>
    <w:tmpl w:val="EF0EA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C6412D"/>
    <w:multiLevelType w:val="multilevel"/>
    <w:tmpl w:val="25105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F7D46EF"/>
    <w:multiLevelType w:val="multilevel"/>
    <w:tmpl w:val="E87EB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4710ED"/>
    <w:multiLevelType w:val="multilevel"/>
    <w:tmpl w:val="F6DCE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B848D4"/>
    <w:multiLevelType w:val="multilevel"/>
    <w:tmpl w:val="4072EB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B00612"/>
    <w:multiLevelType w:val="hybridMultilevel"/>
    <w:tmpl w:val="2BF4B83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F918BF"/>
    <w:multiLevelType w:val="hybridMultilevel"/>
    <w:tmpl w:val="2A9AD774"/>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462206"/>
    <w:multiLevelType w:val="multilevel"/>
    <w:tmpl w:val="F60EF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3A42BD"/>
    <w:multiLevelType w:val="multilevel"/>
    <w:tmpl w:val="318C1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73286C"/>
    <w:multiLevelType w:val="multilevel"/>
    <w:tmpl w:val="03DE9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93396B"/>
    <w:multiLevelType w:val="multilevel"/>
    <w:tmpl w:val="1428A9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7980CAB"/>
    <w:multiLevelType w:val="hybridMultilevel"/>
    <w:tmpl w:val="28D49066"/>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623F13"/>
    <w:multiLevelType w:val="multilevel"/>
    <w:tmpl w:val="02864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F0327EA"/>
    <w:multiLevelType w:val="multilevel"/>
    <w:tmpl w:val="F0E899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41E0864"/>
    <w:multiLevelType w:val="multilevel"/>
    <w:tmpl w:val="3BB29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786245E"/>
    <w:multiLevelType w:val="multilevel"/>
    <w:tmpl w:val="B2723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09352CC"/>
    <w:multiLevelType w:val="multilevel"/>
    <w:tmpl w:val="43C8BB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6791D45"/>
    <w:multiLevelType w:val="multilevel"/>
    <w:tmpl w:val="52DE5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8435070"/>
    <w:multiLevelType w:val="multilevel"/>
    <w:tmpl w:val="3F32CD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8E767B4"/>
    <w:multiLevelType w:val="multilevel"/>
    <w:tmpl w:val="6518A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D526665"/>
    <w:multiLevelType w:val="multilevel"/>
    <w:tmpl w:val="20049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FB15061"/>
    <w:multiLevelType w:val="multilevel"/>
    <w:tmpl w:val="DBBA3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82344C3"/>
    <w:multiLevelType w:val="multilevel"/>
    <w:tmpl w:val="82824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DCD33BC"/>
    <w:multiLevelType w:val="multilevel"/>
    <w:tmpl w:val="D3781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27C58D4"/>
    <w:multiLevelType w:val="multilevel"/>
    <w:tmpl w:val="E5964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57B4794"/>
    <w:multiLevelType w:val="multilevel"/>
    <w:tmpl w:val="7D906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61E2414"/>
    <w:multiLevelType w:val="multilevel"/>
    <w:tmpl w:val="8D4292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8675BB5"/>
    <w:multiLevelType w:val="multilevel"/>
    <w:tmpl w:val="EDC2D0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ABD07D3"/>
    <w:multiLevelType w:val="hybridMultilevel"/>
    <w:tmpl w:val="D0A85C3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713B16"/>
    <w:multiLevelType w:val="hybridMultilevel"/>
    <w:tmpl w:val="2FF2CFC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2343909">
    <w:abstractNumId w:val="22"/>
  </w:num>
  <w:num w:numId="2" w16cid:durableId="1172259118">
    <w:abstractNumId w:val="16"/>
  </w:num>
  <w:num w:numId="3" w16cid:durableId="1380279140">
    <w:abstractNumId w:val="27"/>
  </w:num>
  <w:num w:numId="4" w16cid:durableId="1069428745">
    <w:abstractNumId w:val="33"/>
  </w:num>
  <w:num w:numId="5" w16cid:durableId="2019188636">
    <w:abstractNumId w:val="9"/>
  </w:num>
  <w:num w:numId="6" w16cid:durableId="738210332">
    <w:abstractNumId w:val="30"/>
  </w:num>
  <w:num w:numId="7" w16cid:durableId="260603838">
    <w:abstractNumId w:val="25"/>
  </w:num>
  <w:num w:numId="8" w16cid:durableId="1574773176">
    <w:abstractNumId w:val="11"/>
  </w:num>
  <w:num w:numId="9" w16cid:durableId="1245872107">
    <w:abstractNumId w:val="34"/>
  </w:num>
  <w:num w:numId="10" w16cid:durableId="636884555">
    <w:abstractNumId w:val="35"/>
  </w:num>
  <w:num w:numId="11" w16cid:durableId="1645158060">
    <w:abstractNumId w:val="28"/>
  </w:num>
  <w:num w:numId="12" w16cid:durableId="1598178108">
    <w:abstractNumId w:val="3"/>
  </w:num>
  <w:num w:numId="13" w16cid:durableId="587813490">
    <w:abstractNumId w:val="18"/>
  </w:num>
  <w:num w:numId="14" w16cid:durableId="412246452">
    <w:abstractNumId w:val="12"/>
  </w:num>
  <w:num w:numId="15" w16cid:durableId="145367173">
    <w:abstractNumId w:val="5"/>
  </w:num>
  <w:num w:numId="16" w16cid:durableId="1006397810">
    <w:abstractNumId w:val="20"/>
  </w:num>
  <w:num w:numId="17" w16cid:durableId="1276592300">
    <w:abstractNumId w:val="32"/>
  </w:num>
  <w:num w:numId="18" w16cid:durableId="1021122497">
    <w:abstractNumId w:val="26"/>
  </w:num>
  <w:num w:numId="19" w16cid:durableId="124278881">
    <w:abstractNumId w:val="6"/>
  </w:num>
  <w:num w:numId="20" w16cid:durableId="1561591821">
    <w:abstractNumId w:val="29"/>
  </w:num>
  <w:num w:numId="21" w16cid:durableId="172113506">
    <w:abstractNumId w:val="0"/>
  </w:num>
  <w:num w:numId="22" w16cid:durableId="1920670094">
    <w:abstractNumId w:val="24"/>
  </w:num>
  <w:num w:numId="23" w16cid:durableId="1093016720">
    <w:abstractNumId w:val="21"/>
  </w:num>
  <w:num w:numId="24" w16cid:durableId="67383966">
    <w:abstractNumId w:val="8"/>
  </w:num>
  <w:num w:numId="25" w16cid:durableId="78064503">
    <w:abstractNumId w:val="1"/>
  </w:num>
  <w:num w:numId="26" w16cid:durableId="897479584">
    <w:abstractNumId w:val="23"/>
  </w:num>
  <w:num w:numId="27" w16cid:durableId="529101373">
    <w:abstractNumId w:val="15"/>
  </w:num>
  <w:num w:numId="28" w16cid:durableId="1329215296">
    <w:abstractNumId w:val="17"/>
  </w:num>
  <w:num w:numId="29" w16cid:durableId="1291982061">
    <w:abstractNumId w:val="10"/>
  </w:num>
  <w:num w:numId="30" w16cid:durableId="151530182">
    <w:abstractNumId w:val="31"/>
  </w:num>
  <w:num w:numId="31" w16cid:durableId="1204168642">
    <w:abstractNumId w:val="4"/>
  </w:num>
  <w:num w:numId="32" w16cid:durableId="1370452535">
    <w:abstractNumId w:val="2"/>
  </w:num>
  <w:num w:numId="33" w16cid:durableId="1008210615">
    <w:abstractNumId w:val="37"/>
  </w:num>
  <w:num w:numId="34" w16cid:durableId="1491017823">
    <w:abstractNumId w:val="14"/>
  </w:num>
  <w:num w:numId="35" w16cid:durableId="2030837308">
    <w:abstractNumId w:val="13"/>
  </w:num>
  <w:num w:numId="36" w16cid:durableId="1701201072">
    <w:abstractNumId w:val="7"/>
  </w:num>
  <w:num w:numId="37" w16cid:durableId="1927762886">
    <w:abstractNumId w:val="19"/>
  </w:num>
  <w:num w:numId="38" w16cid:durableId="215120085">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E57"/>
    <w:rsid w:val="000F37F7"/>
    <w:rsid w:val="000F7EF7"/>
    <w:rsid w:val="001539B4"/>
    <w:rsid w:val="00177C6D"/>
    <w:rsid w:val="00186AA2"/>
    <w:rsid w:val="002F129C"/>
    <w:rsid w:val="003227B1"/>
    <w:rsid w:val="00402819"/>
    <w:rsid w:val="00415779"/>
    <w:rsid w:val="004854E2"/>
    <w:rsid w:val="00562886"/>
    <w:rsid w:val="005971B5"/>
    <w:rsid w:val="00624F73"/>
    <w:rsid w:val="006C7C71"/>
    <w:rsid w:val="00780CE8"/>
    <w:rsid w:val="00842FE0"/>
    <w:rsid w:val="008900B6"/>
    <w:rsid w:val="008D0D15"/>
    <w:rsid w:val="008E5D5F"/>
    <w:rsid w:val="00930B34"/>
    <w:rsid w:val="00A46E57"/>
    <w:rsid w:val="00BD74AA"/>
    <w:rsid w:val="00D06AD1"/>
    <w:rsid w:val="00D33186"/>
    <w:rsid w:val="00D43D8A"/>
    <w:rsid w:val="00DE0253"/>
    <w:rsid w:val="00DF189D"/>
    <w:rsid w:val="00E578FC"/>
    <w:rsid w:val="00E86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49DB8EC4"/>
  <w15:chartTrackingRefBased/>
  <w15:docId w15:val="{C2560C28-4481-2049-81CD-A65339D2C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46E57"/>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A46E57"/>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A46E57"/>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6E57"/>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A46E5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A46E57"/>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A46E57"/>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A46E57"/>
    <w:rPr>
      <w:b/>
      <w:bCs/>
    </w:rPr>
  </w:style>
  <w:style w:type="character" w:styleId="Emphasis">
    <w:name w:val="Emphasis"/>
    <w:basedOn w:val="DefaultParagraphFont"/>
    <w:uiPriority w:val="20"/>
    <w:qFormat/>
    <w:rsid w:val="00A46E57"/>
    <w:rPr>
      <w:i/>
      <w:iCs/>
    </w:rPr>
  </w:style>
  <w:style w:type="character" w:styleId="Hyperlink">
    <w:name w:val="Hyperlink"/>
    <w:basedOn w:val="DefaultParagraphFont"/>
    <w:uiPriority w:val="99"/>
    <w:semiHidden/>
    <w:unhideWhenUsed/>
    <w:rsid w:val="00A46E57"/>
    <w:rPr>
      <w:color w:val="0000FF"/>
      <w:u w:val="single"/>
    </w:rPr>
  </w:style>
  <w:style w:type="table" w:styleId="TableGrid">
    <w:name w:val="Table Grid"/>
    <w:basedOn w:val="TableNormal"/>
    <w:uiPriority w:val="39"/>
    <w:rsid w:val="008D0D1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D0D1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8D0D15"/>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1">
    <w:name w:val="Grid Table 1 Light Accent 1"/>
    <w:basedOn w:val="TableNormal"/>
    <w:uiPriority w:val="46"/>
    <w:rsid w:val="008D0D15"/>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PlainTable3">
    <w:name w:val="Plain Table 3"/>
    <w:basedOn w:val="TableNormal"/>
    <w:uiPriority w:val="43"/>
    <w:rsid w:val="008D0D15"/>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8D0D15"/>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2">
    <w:name w:val="Plain Table 2"/>
    <w:basedOn w:val="TableNormal"/>
    <w:uiPriority w:val="42"/>
    <w:rsid w:val="008D0D15"/>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8D0D15"/>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8D0D15"/>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450433">
      <w:bodyDiv w:val="1"/>
      <w:marLeft w:val="0"/>
      <w:marRight w:val="0"/>
      <w:marTop w:val="0"/>
      <w:marBottom w:val="0"/>
      <w:divBdr>
        <w:top w:val="none" w:sz="0" w:space="0" w:color="auto"/>
        <w:left w:val="none" w:sz="0" w:space="0" w:color="auto"/>
        <w:bottom w:val="none" w:sz="0" w:space="0" w:color="auto"/>
        <w:right w:val="none" w:sz="0" w:space="0" w:color="auto"/>
      </w:divBdr>
    </w:div>
    <w:div w:id="448863978">
      <w:bodyDiv w:val="1"/>
      <w:marLeft w:val="0"/>
      <w:marRight w:val="0"/>
      <w:marTop w:val="0"/>
      <w:marBottom w:val="0"/>
      <w:divBdr>
        <w:top w:val="none" w:sz="0" w:space="0" w:color="auto"/>
        <w:left w:val="none" w:sz="0" w:space="0" w:color="auto"/>
        <w:bottom w:val="none" w:sz="0" w:space="0" w:color="auto"/>
        <w:right w:val="none" w:sz="0" w:space="0" w:color="auto"/>
      </w:divBdr>
    </w:div>
    <w:div w:id="487209353">
      <w:bodyDiv w:val="1"/>
      <w:marLeft w:val="0"/>
      <w:marRight w:val="0"/>
      <w:marTop w:val="0"/>
      <w:marBottom w:val="0"/>
      <w:divBdr>
        <w:top w:val="none" w:sz="0" w:space="0" w:color="auto"/>
        <w:left w:val="none" w:sz="0" w:space="0" w:color="auto"/>
        <w:bottom w:val="none" w:sz="0" w:space="0" w:color="auto"/>
        <w:right w:val="none" w:sz="0" w:space="0" w:color="auto"/>
      </w:divBdr>
    </w:div>
    <w:div w:id="550580040">
      <w:bodyDiv w:val="1"/>
      <w:marLeft w:val="0"/>
      <w:marRight w:val="0"/>
      <w:marTop w:val="0"/>
      <w:marBottom w:val="0"/>
      <w:divBdr>
        <w:top w:val="none" w:sz="0" w:space="0" w:color="auto"/>
        <w:left w:val="none" w:sz="0" w:space="0" w:color="auto"/>
        <w:bottom w:val="none" w:sz="0" w:space="0" w:color="auto"/>
        <w:right w:val="none" w:sz="0" w:space="0" w:color="auto"/>
      </w:divBdr>
    </w:div>
    <w:div w:id="612908512">
      <w:bodyDiv w:val="1"/>
      <w:marLeft w:val="0"/>
      <w:marRight w:val="0"/>
      <w:marTop w:val="0"/>
      <w:marBottom w:val="0"/>
      <w:divBdr>
        <w:top w:val="none" w:sz="0" w:space="0" w:color="auto"/>
        <w:left w:val="none" w:sz="0" w:space="0" w:color="auto"/>
        <w:bottom w:val="none" w:sz="0" w:space="0" w:color="auto"/>
        <w:right w:val="none" w:sz="0" w:space="0" w:color="auto"/>
      </w:divBdr>
    </w:div>
    <w:div w:id="849490942">
      <w:bodyDiv w:val="1"/>
      <w:marLeft w:val="0"/>
      <w:marRight w:val="0"/>
      <w:marTop w:val="0"/>
      <w:marBottom w:val="0"/>
      <w:divBdr>
        <w:top w:val="none" w:sz="0" w:space="0" w:color="auto"/>
        <w:left w:val="none" w:sz="0" w:space="0" w:color="auto"/>
        <w:bottom w:val="none" w:sz="0" w:space="0" w:color="auto"/>
        <w:right w:val="none" w:sz="0" w:space="0" w:color="auto"/>
      </w:divBdr>
    </w:div>
    <w:div w:id="1062562855">
      <w:bodyDiv w:val="1"/>
      <w:marLeft w:val="0"/>
      <w:marRight w:val="0"/>
      <w:marTop w:val="0"/>
      <w:marBottom w:val="0"/>
      <w:divBdr>
        <w:top w:val="none" w:sz="0" w:space="0" w:color="auto"/>
        <w:left w:val="none" w:sz="0" w:space="0" w:color="auto"/>
        <w:bottom w:val="none" w:sz="0" w:space="0" w:color="auto"/>
        <w:right w:val="none" w:sz="0" w:space="0" w:color="auto"/>
      </w:divBdr>
    </w:div>
    <w:div w:id="1092048552">
      <w:bodyDiv w:val="1"/>
      <w:marLeft w:val="0"/>
      <w:marRight w:val="0"/>
      <w:marTop w:val="0"/>
      <w:marBottom w:val="0"/>
      <w:divBdr>
        <w:top w:val="none" w:sz="0" w:space="0" w:color="auto"/>
        <w:left w:val="none" w:sz="0" w:space="0" w:color="auto"/>
        <w:bottom w:val="none" w:sz="0" w:space="0" w:color="auto"/>
        <w:right w:val="none" w:sz="0" w:space="0" w:color="auto"/>
      </w:divBdr>
    </w:div>
    <w:div w:id="1149708770">
      <w:bodyDiv w:val="1"/>
      <w:marLeft w:val="0"/>
      <w:marRight w:val="0"/>
      <w:marTop w:val="0"/>
      <w:marBottom w:val="0"/>
      <w:divBdr>
        <w:top w:val="none" w:sz="0" w:space="0" w:color="auto"/>
        <w:left w:val="none" w:sz="0" w:space="0" w:color="auto"/>
        <w:bottom w:val="none" w:sz="0" w:space="0" w:color="auto"/>
        <w:right w:val="none" w:sz="0" w:space="0" w:color="auto"/>
      </w:divBdr>
    </w:div>
    <w:div w:id="1237742840">
      <w:bodyDiv w:val="1"/>
      <w:marLeft w:val="0"/>
      <w:marRight w:val="0"/>
      <w:marTop w:val="0"/>
      <w:marBottom w:val="0"/>
      <w:divBdr>
        <w:top w:val="none" w:sz="0" w:space="0" w:color="auto"/>
        <w:left w:val="none" w:sz="0" w:space="0" w:color="auto"/>
        <w:bottom w:val="none" w:sz="0" w:space="0" w:color="auto"/>
        <w:right w:val="none" w:sz="0" w:space="0" w:color="auto"/>
      </w:divBdr>
    </w:div>
    <w:div w:id="1250961888">
      <w:bodyDiv w:val="1"/>
      <w:marLeft w:val="0"/>
      <w:marRight w:val="0"/>
      <w:marTop w:val="0"/>
      <w:marBottom w:val="0"/>
      <w:divBdr>
        <w:top w:val="none" w:sz="0" w:space="0" w:color="auto"/>
        <w:left w:val="none" w:sz="0" w:space="0" w:color="auto"/>
        <w:bottom w:val="none" w:sz="0" w:space="0" w:color="auto"/>
        <w:right w:val="none" w:sz="0" w:space="0" w:color="auto"/>
      </w:divBdr>
    </w:div>
    <w:div w:id="1303266151">
      <w:bodyDiv w:val="1"/>
      <w:marLeft w:val="0"/>
      <w:marRight w:val="0"/>
      <w:marTop w:val="0"/>
      <w:marBottom w:val="0"/>
      <w:divBdr>
        <w:top w:val="none" w:sz="0" w:space="0" w:color="auto"/>
        <w:left w:val="none" w:sz="0" w:space="0" w:color="auto"/>
        <w:bottom w:val="none" w:sz="0" w:space="0" w:color="auto"/>
        <w:right w:val="none" w:sz="0" w:space="0" w:color="auto"/>
      </w:divBdr>
    </w:div>
    <w:div w:id="1322805457">
      <w:bodyDiv w:val="1"/>
      <w:marLeft w:val="0"/>
      <w:marRight w:val="0"/>
      <w:marTop w:val="0"/>
      <w:marBottom w:val="0"/>
      <w:divBdr>
        <w:top w:val="none" w:sz="0" w:space="0" w:color="auto"/>
        <w:left w:val="none" w:sz="0" w:space="0" w:color="auto"/>
        <w:bottom w:val="none" w:sz="0" w:space="0" w:color="auto"/>
        <w:right w:val="none" w:sz="0" w:space="0" w:color="auto"/>
      </w:divBdr>
    </w:div>
    <w:div w:id="1394156530">
      <w:bodyDiv w:val="1"/>
      <w:marLeft w:val="0"/>
      <w:marRight w:val="0"/>
      <w:marTop w:val="0"/>
      <w:marBottom w:val="0"/>
      <w:divBdr>
        <w:top w:val="none" w:sz="0" w:space="0" w:color="auto"/>
        <w:left w:val="none" w:sz="0" w:space="0" w:color="auto"/>
        <w:bottom w:val="none" w:sz="0" w:space="0" w:color="auto"/>
        <w:right w:val="none" w:sz="0" w:space="0" w:color="auto"/>
      </w:divBdr>
    </w:div>
    <w:div w:id="1397512948">
      <w:bodyDiv w:val="1"/>
      <w:marLeft w:val="0"/>
      <w:marRight w:val="0"/>
      <w:marTop w:val="0"/>
      <w:marBottom w:val="0"/>
      <w:divBdr>
        <w:top w:val="none" w:sz="0" w:space="0" w:color="auto"/>
        <w:left w:val="none" w:sz="0" w:space="0" w:color="auto"/>
        <w:bottom w:val="none" w:sz="0" w:space="0" w:color="auto"/>
        <w:right w:val="none" w:sz="0" w:space="0" w:color="auto"/>
      </w:divBdr>
    </w:div>
    <w:div w:id="1456755296">
      <w:bodyDiv w:val="1"/>
      <w:marLeft w:val="0"/>
      <w:marRight w:val="0"/>
      <w:marTop w:val="0"/>
      <w:marBottom w:val="0"/>
      <w:divBdr>
        <w:top w:val="none" w:sz="0" w:space="0" w:color="auto"/>
        <w:left w:val="none" w:sz="0" w:space="0" w:color="auto"/>
        <w:bottom w:val="none" w:sz="0" w:space="0" w:color="auto"/>
        <w:right w:val="none" w:sz="0" w:space="0" w:color="auto"/>
      </w:divBdr>
    </w:div>
    <w:div w:id="1490907083">
      <w:bodyDiv w:val="1"/>
      <w:marLeft w:val="0"/>
      <w:marRight w:val="0"/>
      <w:marTop w:val="0"/>
      <w:marBottom w:val="0"/>
      <w:divBdr>
        <w:top w:val="none" w:sz="0" w:space="0" w:color="auto"/>
        <w:left w:val="none" w:sz="0" w:space="0" w:color="auto"/>
        <w:bottom w:val="none" w:sz="0" w:space="0" w:color="auto"/>
        <w:right w:val="none" w:sz="0" w:space="0" w:color="auto"/>
      </w:divBdr>
    </w:div>
    <w:div w:id="1564487454">
      <w:bodyDiv w:val="1"/>
      <w:marLeft w:val="0"/>
      <w:marRight w:val="0"/>
      <w:marTop w:val="0"/>
      <w:marBottom w:val="0"/>
      <w:divBdr>
        <w:top w:val="none" w:sz="0" w:space="0" w:color="auto"/>
        <w:left w:val="none" w:sz="0" w:space="0" w:color="auto"/>
        <w:bottom w:val="none" w:sz="0" w:space="0" w:color="auto"/>
        <w:right w:val="none" w:sz="0" w:space="0" w:color="auto"/>
      </w:divBdr>
    </w:div>
    <w:div w:id="1583174217">
      <w:bodyDiv w:val="1"/>
      <w:marLeft w:val="0"/>
      <w:marRight w:val="0"/>
      <w:marTop w:val="0"/>
      <w:marBottom w:val="0"/>
      <w:divBdr>
        <w:top w:val="none" w:sz="0" w:space="0" w:color="auto"/>
        <w:left w:val="none" w:sz="0" w:space="0" w:color="auto"/>
        <w:bottom w:val="none" w:sz="0" w:space="0" w:color="auto"/>
        <w:right w:val="none" w:sz="0" w:space="0" w:color="auto"/>
      </w:divBdr>
    </w:div>
    <w:div w:id="1585532728">
      <w:bodyDiv w:val="1"/>
      <w:marLeft w:val="0"/>
      <w:marRight w:val="0"/>
      <w:marTop w:val="0"/>
      <w:marBottom w:val="0"/>
      <w:divBdr>
        <w:top w:val="none" w:sz="0" w:space="0" w:color="auto"/>
        <w:left w:val="none" w:sz="0" w:space="0" w:color="auto"/>
        <w:bottom w:val="none" w:sz="0" w:space="0" w:color="auto"/>
        <w:right w:val="none" w:sz="0" w:space="0" w:color="auto"/>
      </w:divBdr>
    </w:div>
    <w:div w:id="1605260794">
      <w:bodyDiv w:val="1"/>
      <w:marLeft w:val="0"/>
      <w:marRight w:val="0"/>
      <w:marTop w:val="0"/>
      <w:marBottom w:val="0"/>
      <w:divBdr>
        <w:top w:val="none" w:sz="0" w:space="0" w:color="auto"/>
        <w:left w:val="none" w:sz="0" w:space="0" w:color="auto"/>
        <w:bottom w:val="none" w:sz="0" w:space="0" w:color="auto"/>
        <w:right w:val="none" w:sz="0" w:space="0" w:color="auto"/>
      </w:divBdr>
    </w:div>
    <w:div w:id="1624265433">
      <w:bodyDiv w:val="1"/>
      <w:marLeft w:val="0"/>
      <w:marRight w:val="0"/>
      <w:marTop w:val="0"/>
      <w:marBottom w:val="0"/>
      <w:divBdr>
        <w:top w:val="none" w:sz="0" w:space="0" w:color="auto"/>
        <w:left w:val="none" w:sz="0" w:space="0" w:color="auto"/>
        <w:bottom w:val="none" w:sz="0" w:space="0" w:color="auto"/>
        <w:right w:val="none" w:sz="0" w:space="0" w:color="auto"/>
      </w:divBdr>
    </w:div>
    <w:div w:id="1672180636">
      <w:bodyDiv w:val="1"/>
      <w:marLeft w:val="0"/>
      <w:marRight w:val="0"/>
      <w:marTop w:val="0"/>
      <w:marBottom w:val="0"/>
      <w:divBdr>
        <w:top w:val="none" w:sz="0" w:space="0" w:color="auto"/>
        <w:left w:val="none" w:sz="0" w:space="0" w:color="auto"/>
        <w:bottom w:val="none" w:sz="0" w:space="0" w:color="auto"/>
        <w:right w:val="none" w:sz="0" w:space="0" w:color="auto"/>
      </w:divBdr>
    </w:div>
    <w:div w:id="1757748634">
      <w:bodyDiv w:val="1"/>
      <w:marLeft w:val="0"/>
      <w:marRight w:val="0"/>
      <w:marTop w:val="0"/>
      <w:marBottom w:val="0"/>
      <w:divBdr>
        <w:top w:val="none" w:sz="0" w:space="0" w:color="auto"/>
        <w:left w:val="none" w:sz="0" w:space="0" w:color="auto"/>
        <w:bottom w:val="none" w:sz="0" w:space="0" w:color="auto"/>
        <w:right w:val="none" w:sz="0" w:space="0" w:color="auto"/>
      </w:divBdr>
    </w:div>
    <w:div w:id="1928152776">
      <w:bodyDiv w:val="1"/>
      <w:marLeft w:val="0"/>
      <w:marRight w:val="0"/>
      <w:marTop w:val="0"/>
      <w:marBottom w:val="0"/>
      <w:divBdr>
        <w:top w:val="none" w:sz="0" w:space="0" w:color="auto"/>
        <w:left w:val="none" w:sz="0" w:space="0" w:color="auto"/>
        <w:bottom w:val="none" w:sz="0" w:space="0" w:color="auto"/>
        <w:right w:val="none" w:sz="0" w:space="0" w:color="auto"/>
      </w:divBdr>
    </w:div>
    <w:div w:id="2015107988">
      <w:bodyDiv w:val="1"/>
      <w:marLeft w:val="0"/>
      <w:marRight w:val="0"/>
      <w:marTop w:val="0"/>
      <w:marBottom w:val="0"/>
      <w:divBdr>
        <w:top w:val="none" w:sz="0" w:space="0" w:color="auto"/>
        <w:left w:val="none" w:sz="0" w:space="0" w:color="auto"/>
        <w:bottom w:val="none" w:sz="0" w:space="0" w:color="auto"/>
        <w:right w:val="none" w:sz="0" w:space="0" w:color="auto"/>
      </w:divBdr>
    </w:div>
    <w:div w:id="2083406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754-9434.2010.01231.x" TargetMode="External"/><Relationship Id="rId13" Type="http://schemas.openxmlformats.org/officeDocument/2006/relationships/hyperlink" Target="https://doi.org/10.2307/2666999" TargetMode="External"/><Relationship Id="rId18" Type="http://schemas.openxmlformats.org/officeDocument/2006/relationships/hyperlink" Target="https://doi.org/10.1037/a0017190"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007/s10551-008-0017-5" TargetMode="External"/><Relationship Id="rId7" Type="http://schemas.openxmlformats.org/officeDocument/2006/relationships/hyperlink" Target="https://doi.org/10.1016/j.leaqua.2006.10.004" TargetMode="External"/><Relationship Id="rId12" Type="http://schemas.openxmlformats.org/officeDocument/2006/relationships/hyperlink" Target="https://doi.org/10.1287/orsc.12.4.450.10640" TargetMode="External"/><Relationship Id="rId17" Type="http://schemas.openxmlformats.org/officeDocument/2006/relationships/hyperlink" Target="https://doi.org/10.1111/1748-8583.12038"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77/0018726700538001" TargetMode="External"/><Relationship Id="rId20" Type="http://schemas.openxmlformats.org/officeDocument/2006/relationships/hyperlink" Target="https://doi.org/10.1007/BF00055564" TargetMode="External"/><Relationship Id="rId1" Type="http://schemas.openxmlformats.org/officeDocument/2006/relationships/numbering" Target="numbering.xml"/><Relationship Id="rId6" Type="http://schemas.openxmlformats.org/officeDocument/2006/relationships/hyperlink" Target="https://doi.org/10.1006/jvbe.2001.1815" TargetMode="External"/><Relationship Id="rId11" Type="http://schemas.openxmlformats.org/officeDocument/2006/relationships/hyperlink" Target="https://doi.org/10.5465/amj.2007.26279183" TargetMode="External"/><Relationship Id="rId24" Type="http://schemas.openxmlformats.org/officeDocument/2006/relationships/hyperlink" Target="https://doi.org/10.1126/science.185.4157.1124" TargetMode="External"/><Relationship Id="rId5" Type="http://schemas.openxmlformats.org/officeDocument/2006/relationships/hyperlink" Target="https://doi.org/10.1016/j.leaqua.2005.03.001" TargetMode="External"/><Relationship Id="rId15" Type="http://schemas.openxmlformats.org/officeDocument/2006/relationships/hyperlink" Target="https://www.engc.org.uk/ethics" TargetMode="External"/><Relationship Id="rId23" Type="http://schemas.openxmlformats.org/officeDocument/2006/relationships/hyperlink" Target="https://doi.org/10.1177/0149206306294258" TargetMode="External"/><Relationship Id="rId10" Type="http://schemas.openxmlformats.org/officeDocument/2006/relationships/hyperlink" Target="https://doi.org/10.1348/014466610X525280" TargetMode="External"/><Relationship Id="rId19" Type="http://schemas.openxmlformats.org/officeDocument/2006/relationships/hyperlink" Target="https://doi.org/10.1111/j.1468-0432.2008.00406.x" TargetMode="External"/><Relationship Id="rId4" Type="http://schemas.openxmlformats.org/officeDocument/2006/relationships/webSettings" Target="webSettings.xml"/><Relationship Id="rId9" Type="http://schemas.openxmlformats.org/officeDocument/2006/relationships/hyperlink" Target="https://www.forbes.com/sites/stevedenning/2019/03/21/what-went-wrong-at-boeing" TargetMode="External"/><Relationship Id="rId14" Type="http://schemas.openxmlformats.org/officeDocument/2006/relationships/hyperlink" Target="https://doi.org/10.5465/amle.2010.0046" TargetMode="External"/><Relationship Id="rId22" Type="http://schemas.openxmlformats.org/officeDocument/2006/relationships/hyperlink" Target="https://doi.org/10.1016/S0065-2601(02)8000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4666</Words>
  <Characters>30801</Characters>
  <Application>Microsoft Office Word</Application>
  <DocSecurity>0</DocSecurity>
  <Lines>684</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Davies (2430162)</dc:creator>
  <cp:keywords/>
  <dc:description/>
  <cp:lastModifiedBy>Ross Davies (2430162)</cp:lastModifiedBy>
  <cp:revision>2</cp:revision>
  <dcterms:created xsi:type="dcterms:W3CDTF">2025-09-29T11:32:00Z</dcterms:created>
  <dcterms:modified xsi:type="dcterms:W3CDTF">2025-09-29T11:32:00Z</dcterms:modified>
</cp:coreProperties>
</file>