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2178B" w14:textId="77777777" w:rsidR="006868F8" w:rsidRDefault="006868F8">
      <w:pPr>
        <w:rPr>
          <w:rFonts w:ascii="Arial" w:hAnsi="Arial" w:cs="Arial"/>
          <w:color w:val="000000"/>
          <w:sz w:val="22"/>
          <w:szCs w:val="22"/>
        </w:rPr>
      </w:pPr>
    </w:p>
    <w:p w14:paraId="3AFD5953" w14:textId="77777777" w:rsidR="006868F8" w:rsidRDefault="006868F8">
      <w:pPr>
        <w:rPr>
          <w:rFonts w:ascii="Arial" w:hAnsi="Arial" w:cs="Arial"/>
          <w:color w:val="000000"/>
          <w:sz w:val="22"/>
          <w:szCs w:val="22"/>
        </w:rPr>
      </w:pPr>
    </w:p>
    <w:p w14:paraId="765F8D60" w14:textId="77777777" w:rsidR="006868F8" w:rsidRDefault="006868F8">
      <w:pPr>
        <w:rPr>
          <w:rFonts w:ascii="Arial" w:hAnsi="Arial" w:cs="Arial"/>
          <w:color w:val="000000"/>
          <w:sz w:val="22"/>
          <w:szCs w:val="22"/>
        </w:rPr>
      </w:pPr>
    </w:p>
    <w:p w14:paraId="30F39E1F" w14:textId="77777777" w:rsidR="006868F8" w:rsidRDefault="006868F8">
      <w:pPr>
        <w:rPr>
          <w:rFonts w:ascii="Arial" w:hAnsi="Arial" w:cs="Arial"/>
          <w:color w:val="000000"/>
          <w:sz w:val="22"/>
          <w:szCs w:val="22"/>
        </w:rPr>
      </w:pPr>
    </w:p>
    <w:p w14:paraId="344D1DF9" w14:textId="77777777" w:rsidR="006868F8" w:rsidRDefault="006868F8">
      <w:pPr>
        <w:rPr>
          <w:rFonts w:ascii="Arial" w:hAnsi="Arial" w:cs="Arial"/>
          <w:color w:val="000000"/>
          <w:sz w:val="22"/>
          <w:szCs w:val="22"/>
        </w:rPr>
      </w:pPr>
    </w:p>
    <w:p w14:paraId="115412D8" w14:textId="77777777" w:rsidR="006868F8" w:rsidRDefault="006868F8">
      <w:pPr>
        <w:rPr>
          <w:rFonts w:ascii="Arial" w:hAnsi="Arial" w:cs="Arial"/>
          <w:color w:val="000000"/>
          <w:sz w:val="22"/>
          <w:szCs w:val="22"/>
        </w:rPr>
      </w:pPr>
    </w:p>
    <w:p w14:paraId="4639FAE3" w14:textId="77777777" w:rsidR="006868F8" w:rsidRDefault="006868F8">
      <w:pPr>
        <w:rPr>
          <w:rFonts w:ascii="Arial" w:hAnsi="Arial" w:cs="Arial"/>
          <w:color w:val="000000"/>
          <w:sz w:val="22"/>
          <w:szCs w:val="22"/>
        </w:rPr>
      </w:pPr>
    </w:p>
    <w:p w14:paraId="66C5D688" w14:textId="77777777" w:rsidR="006868F8" w:rsidRDefault="006868F8">
      <w:pPr>
        <w:rPr>
          <w:rFonts w:ascii="Arial" w:hAnsi="Arial" w:cs="Arial"/>
          <w:color w:val="000000"/>
          <w:sz w:val="22"/>
          <w:szCs w:val="22"/>
        </w:rPr>
      </w:pPr>
    </w:p>
    <w:p w14:paraId="538AA607" w14:textId="77777777" w:rsidR="006868F8" w:rsidRDefault="006868F8">
      <w:pPr>
        <w:rPr>
          <w:rFonts w:ascii="Arial" w:hAnsi="Arial" w:cs="Arial"/>
          <w:color w:val="000000"/>
          <w:sz w:val="22"/>
          <w:szCs w:val="22"/>
        </w:rPr>
      </w:pPr>
    </w:p>
    <w:p w14:paraId="4CD34F7D" w14:textId="77777777" w:rsidR="006868F8" w:rsidRDefault="006868F8">
      <w:pPr>
        <w:rPr>
          <w:rFonts w:ascii="Arial" w:hAnsi="Arial" w:cs="Arial"/>
          <w:color w:val="000000"/>
          <w:sz w:val="22"/>
          <w:szCs w:val="22"/>
        </w:rPr>
      </w:pPr>
    </w:p>
    <w:p w14:paraId="6CA4117E" w14:textId="77777777" w:rsidR="006868F8" w:rsidRDefault="006868F8">
      <w:pPr>
        <w:rPr>
          <w:rFonts w:ascii="Arial" w:hAnsi="Arial" w:cs="Arial"/>
          <w:color w:val="000000"/>
          <w:sz w:val="22"/>
          <w:szCs w:val="22"/>
        </w:rPr>
      </w:pPr>
    </w:p>
    <w:p w14:paraId="4CE1C61F" w14:textId="77777777" w:rsidR="006868F8" w:rsidRDefault="006868F8">
      <w:pPr>
        <w:rPr>
          <w:rFonts w:ascii="Arial" w:hAnsi="Arial" w:cs="Arial"/>
          <w:color w:val="000000"/>
          <w:sz w:val="22"/>
          <w:szCs w:val="22"/>
        </w:rPr>
      </w:pPr>
    </w:p>
    <w:p w14:paraId="519B3A64" w14:textId="77777777" w:rsidR="006868F8" w:rsidRDefault="006868F8">
      <w:pPr>
        <w:rPr>
          <w:rFonts w:ascii="Arial" w:hAnsi="Arial" w:cs="Arial"/>
          <w:color w:val="000000"/>
          <w:sz w:val="22"/>
          <w:szCs w:val="22"/>
        </w:rPr>
      </w:pPr>
    </w:p>
    <w:p w14:paraId="08504F2D" w14:textId="77777777" w:rsidR="006868F8" w:rsidRDefault="006868F8">
      <w:pPr>
        <w:rPr>
          <w:rFonts w:ascii="Arial" w:hAnsi="Arial" w:cs="Arial"/>
          <w:color w:val="000000"/>
          <w:sz w:val="22"/>
          <w:szCs w:val="22"/>
        </w:rPr>
      </w:pPr>
    </w:p>
    <w:p w14:paraId="1799F65C" w14:textId="77777777" w:rsidR="006868F8" w:rsidRDefault="006868F8">
      <w:pPr>
        <w:rPr>
          <w:rFonts w:ascii="Arial" w:hAnsi="Arial" w:cs="Arial"/>
          <w:color w:val="000000"/>
          <w:sz w:val="22"/>
          <w:szCs w:val="22"/>
        </w:rPr>
      </w:pPr>
    </w:p>
    <w:p w14:paraId="3FF36110" w14:textId="77777777" w:rsidR="00CC22FF" w:rsidRDefault="00CC22FF">
      <w:pPr>
        <w:rPr>
          <w:rFonts w:ascii="Arial" w:hAnsi="Arial" w:cs="Arial"/>
          <w:color w:val="000000"/>
          <w:sz w:val="22"/>
          <w:szCs w:val="22"/>
        </w:rPr>
      </w:pPr>
    </w:p>
    <w:p w14:paraId="76DAA30B" w14:textId="77777777" w:rsidR="00CC22FF" w:rsidRDefault="00CC22FF">
      <w:pPr>
        <w:rPr>
          <w:rFonts w:ascii="Arial" w:hAnsi="Arial" w:cs="Arial"/>
          <w:color w:val="000000"/>
          <w:sz w:val="22"/>
          <w:szCs w:val="22"/>
        </w:rPr>
      </w:pPr>
    </w:p>
    <w:p w14:paraId="748D44F6" w14:textId="77777777" w:rsidR="00CC22FF" w:rsidRDefault="00CC22FF">
      <w:pPr>
        <w:rPr>
          <w:rFonts w:ascii="Arial" w:hAnsi="Arial" w:cs="Arial"/>
          <w:color w:val="000000"/>
          <w:sz w:val="22"/>
          <w:szCs w:val="22"/>
        </w:rPr>
      </w:pPr>
    </w:p>
    <w:p w14:paraId="6C940690" w14:textId="77777777" w:rsidR="00CC22FF" w:rsidRPr="00CC22FF" w:rsidRDefault="00CC22FF">
      <w:pPr>
        <w:rPr>
          <w:rFonts w:ascii="Arial" w:hAnsi="Arial" w:cs="Arial"/>
          <w:b/>
          <w:bCs/>
          <w:color w:val="000000"/>
          <w:sz w:val="32"/>
          <w:szCs w:val="32"/>
        </w:rPr>
      </w:pPr>
    </w:p>
    <w:p w14:paraId="20EFA19F" w14:textId="77777777" w:rsidR="006868F8" w:rsidRPr="00CC22FF" w:rsidRDefault="006868F8">
      <w:pPr>
        <w:rPr>
          <w:rFonts w:ascii="Arial" w:hAnsi="Arial" w:cs="Arial"/>
          <w:b/>
          <w:bCs/>
          <w:color w:val="000000"/>
          <w:sz w:val="32"/>
          <w:szCs w:val="32"/>
        </w:rPr>
      </w:pPr>
    </w:p>
    <w:p w14:paraId="4C893A3D" w14:textId="056FE285" w:rsidR="006868F8" w:rsidRDefault="00000000" w:rsidP="00CC22FF">
      <w:pPr>
        <w:jc w:val="center"/>
        <w:rPr>
          <w:rFonts w:ascii="Arial" w:hAnsi="Arial" w:cs="Arial"/>
          <w:b/>
          <w:bCs/>
          <w:color w:val="000000"/>
          <w:sz w:val="36"/>
          <w:szCs w:val="36"/>
        </w:rPr>
      </w:pPr>
      <w:r>
        <w:rPr>
          <w:rFonts w:ascii="Arial" w:hAnsi="Arial" w:cs="Arial"/>
          <w:b/>
          <w:bCs/>
          <w:color w:val="000000"/>
          <w:sz w:val="36"/>
          <w:szCs w:val="36"/>
        </w:rPr>
        <w:t>Assignment</w:t>
      </w:r>
      <w:r w:rsidR="00F47C6C">
        <w:rPr>
          <w:rFonts w:ascii="Arial" w:hAnsi="Arial" w:cs="Arial"/>
          <w:b/>
          <w:bCs/>
          <w:color w:val="000000"/>
          <w:sz w:val="36"/>
          <w:szCs w:val="36"/>
        </w:rPr>
        <w:t xml:space="preserve"> 2</w:t>
      </w:r>
      <w:r>
        <w:rPr>
          <w:rFonts w:ascii="Arial" w:hAnsi="Arial" w:cs="Arial"/>
          <w:b/>
          <w:bCs/>
          <w:color w:val="000000"/>
          <w:sz w:val="36"/>
          <w:szCs w:val="36"/>
        </w:rPr>
        <w:t xml:space="preserve">: </w:t>
      </w:r>
      <w:r w:rsidR="00F47C6C">
        <w:rPr>
          <w:rFonts w:ascii="Arial" w:hAnsi="Arial" w:cs="Arial"/>
          <w:b/>
          <w:bCs/>
          <w:color w:val="000000"/>
          <w:sz w:val="36"/>
          <w:szCs w:val="36"/>
        </w:rPr>
        <w:t>Written Task</w:t>
      </w:r>
    </w:p>
    <w:p w14:paraId="679CCDD6" w14:textId="54804399" w:rsidR="00CC22FF" w:rsidRDefault="00000000" w:rsidP="00CC22FF">
      <w:pPr>
        <w:jc w:val="center"/>
        <w:rPr>
          <w:rFonts w:ascii="Arial" w:hAnsi="Arial" w:cs="Arial"/>
          <w:b/>
          <w:bCs/>
          <w:color w:val="000000"/>
          <w:sz w:val="28"/>
          <w:szCs w:val="28"/>
        </w:rPr>
      </w:pPr>
      <w:r w:rsidRPr="00CC22FF">
        <w:rPr>
          <w:rFonts w:ascii="Arial" w:hAnsi="Arial" w:cs="Arial"/>
          <w:b/>
          <w:bCs/>
          <w:color w:val="000000"/>
          <w:sz w:val="28"/>
          <w:szCs w:val="28"/>
        </w:rPr>
        <w:t>Nazish Zeb</w:t>
      </w:r>
    </w:p>
    <w:p w14:paraId="0AB63D19" w14:textId="5387F5E8" w:rsidR="008A1D19" w:rsidRDefault="00000000" w:rsidP="00CC22FF">
      <w:pPr>
        <w:jc w:val="center"/>
        <w:rPr>
          <w:rFonts w:ascii="Arial" w:hAnsi="Arial" w:cs="Arial"/>
          <w:b/>
          <w:bCs/>
          <w:color w:val="000000"/>
          <w:sz w:val="28"/>
          <w:szCs w:val="28"/>
        </w:rPr>
      </w:pPr>
      <w:r>
        <w:rPr>
          <w:rFonts w:ascii="Arial" w:hAnsi="Arial" w:cs="Arial"/>
          <w:b/>
          <w:bCs/>
          <w:color w:val="000000"/>
          <w:sz w:val="28"/>
          <w:szCs w:val="28"/>
        </w:rPr>
        <w:t>2427071</w:t>
      </w:r>
    </w:p>
    <w:p w14:paraId="510170F0" w14:textId="391F1712" w:rsidR="008A1D19" w:rsidRDefault="00F47C6C" w:rsidP="00CC22FF">
      <w:pPr>
        <w:jc w:val="center"/>
        <w:rPr>
          <w:rFonts w:ascii="Arial" w:hAnsi="Arial" w:cs="Arial"/>
          <w:b/>
          <w:bCs/>
          <w:color w:val="000000"/>
          <w:sz w:val="28"/>
          <w:szCs w:val="28"/>
        </w:rPr>
      </w:pPr>
      <w:r>
        <w:rPr>
          <w:rFonts w:ascii="Arial" w:hAnsi="Arial" w:cs="Arial"/>
          <w:b/>
          <w:bCs/>
          <w:color w:val="000000"/>
          <w:sz w:val="28"/>
          <w:szCs w:val="28"/>
        </w:rPr>
        <w:t>Psychology in Health</w:t>
      </w:r>
      <w:r w:rsidR="00C24E49">
        <w:rPr>
          <w:rFonts w:ascii="Arial" w:hAnsi="Arial" w:cs="Arial"/>
          <w:b/>
          <w:bCs/>
          <w:color w:val="000000"/>
          <w:sz w:val="28"/>
          <w:szCs w:val="28"/>
        </w:rPr>
        <w:t xml:space="preserve"> &amp; Social Care</w:t>
      </w:r>
    </w:p>
    <w:p w14:paraId="76F3F49E" w14:textId="0D4532FD" w:rsidR="008A1D19" w:rsidRDefault="00000000" w:rsidP="00CC22FF">
      <w:pPr>
        <w:jc w:val="center"/>
        <w:rPr>
          <w:rFonts w:ascii="Arial" w:hAnsi="Arial" w:cs="Arial"/>
          <w:b/>
          <w:bCs/>
          <w:color w:val="000000"/>
          <w:sz w:val="28"/>
          <w:szCs w:val="28"/>
        </w:rPr>
      </w:pPr>
      <w:r>
        <w:rPr>
          <w:rFonts w:ascii="Arial" w:hAnsi="Arial" w:cs="Arial"/>
          <w:b/>
          <w:bCs/>
          <w:color w:val="000000"/>
          <w:sz w:val="28"/>
          <w:szCs w:val="28"/>
        </w:rPr>
        <w:t>LC</w:t>
      </w:r>
      <w:r w:rsidR="008D5E4D">
        <w:rPr>
          <w:rFonts w:ascii="Arial" w:hAnsi="Arial" w:cs="Arial"/>
          <w:b/>
          <w:bCs/>
          <w:color w:val="000000"/>
          <w:sz w:val="28"/>
          <w:szCs w:val="28"/>
        </w:rPr>
        <w:t>HS40</w:t>
      </w:r>
      <w:r w:rsidR="00F47C6C">
        <w:rPr>
          <w:rFonts w:ascii="Arial" w:hAnsi="Arial" w:cs="Arial"/>
          <w:b/>
          <w:bCs/>
          <w:color w:val="000000"/>
          <w:sz w:val="28"/>
          <w:szCs w:val="28"/>
        </w:rPr>
        <w:t>10</w:t>
      </w:r>
    </w:p>
    <w:p w14:paraId="4A94D438" w14:textId="2F33407A" w:rsidR="008A1D19" w:rsidRDefault="00F47C6C" w:rsidP="00CC22FF">
      <w:pPr>
        <w:jc w:val="center"/>
        <w:rPr>
          <w:rFonts w:ascii="Arial" w:hAnsi="Arial" w:cs="Arial"/>
          <w:b/>
          <w:bCs/>
          <w:color w:val="000000"/>
          <w:sz w:val="28"/>
          <w:szCs w:val="28"/>
        </w:rPr>
      </w:pPr>
      <w:r>
        <w:rPr>
          <w:rFonts w:ascii="Arial" w:hAnsi="Arial" w:cs="Arial"/>
          <w:b/>
          <w:bCs/>
          <w:color w:val="000000"/>
          <w:sz w:val="28"/>
          <w:szCs w:val="28"/>
        </w:rPr>
        <w:t>Neale Haddon</w:t>
      </w:r>
    </w:p>
    <w:p w14:paraId="7A10EE0F" w14:textId="68DB8219" w:rsidR="008A1D19" w:rsidRDefault="00F47C6C" w:rsidP="00CC22FF">
      <w:pPr>
        <w:jc w:val="center"/>
        <w:rPr>
          <w:rFonts w:ascii="Arial" w:hAnsi="Arial" w:cs="Arial"/>
          <w:b/>
          <w:bCs/>
          <w:color w:val="000000"/>
          <w:sz w:val="28"/>
          <w:szCs w:val="28"/>
        </w:rPr>
      </w:pPr>
      <w:r>
        <w:rPr>
          <w:rFonts w:ascii="Arial" w:hAnsi="Arial" w:cs="Arial"/>
          <w:b/>
          <w:bCs/>
          <w:color w:val="000000"/>
          <w:sz w:val="28"/>
          <w:szCs w:val="28"/>
        </w:rPr>
        <w:t>18 November</w:t>
      </w:r>
      <w:r w:rsidR="008D5E4D">
        <w:rPr>
          <w:rFonts w:ascii="Arial" w:hAnsi="Arial" w:cs="Arial"/>
          <w:b/>
          <w:bCs/>
          <w:color w:val="000000"/>
          <w:sz w:val="28"/>
          <w:szCs w:val="28"/>
        </w:rPr>
        <w:t xml:space="preserve"> </w:t>
      </w:r>
      <w:r>
        <w:rPr>
          <w:rFonts w:ascii="Arial" w:hAnsi="Arial" w:cs="Arial"/>
          <w:b/>
          <w:bCs/>
          <w:color w:val="000000"/>
          <w:sz w:val="28"/>
          <w:szCs w:val="28"/>
        </w:rPr>
        <w:t>2025</w:t>
      </w:r>
    </w:p>
    <w:p w14:paraId="387ED4E1" w14:textId="5C98E2E3" w:rsidR="00037EA0" w:rsidRDefault="00037EA0" w:rsidP="00CC22FF">
      <w:pPr>
        <w:jc w:val="center"/>
        <w:rPr>
          <w:rFonts w:ascii="Arial" w:hAnsi="Arial" w:cs="Arial"/>
          <w:b/>
          <w:bCs/>
          <w:color w:val="000000"/>
          <w:sz w:val="28"/>
          <w:szCs w:val="28"/>
        </w:rPr>
      </w:pPr>
      <w:r>
        <w:rPr>
          <w:rFonts w:ascii="Arial" w:hAnsi="Arial" w:cs="Arial"/>
          <w:b/>
          <w:bCs/>
          <w:color w:val="000000"/>
          <w:sz w:val="28"/>
          <w:szCs w:val="28"/>
        </w:rPr>
        <w:t>Word Count: 1650</w:t>
      </w:r>
    </w:p>
    <w:p w14:paraId="0D39B3B0" w14:textId="77777777" w:rsidR="008A1D19" w:rsidRPr="00CC22FF" w:rsidRDefault="008A1D19" w:rsidP="00CC22FF">
      <w:pPr>
        <w:jc w:val="center"/>
        <w:rPr>
          <w:rFonts w:ascii="Arial" w:hAnsi="Arial" w:cs="Arial"/>
          <w:b/>
          <w:bCs/>
          <w:color w:val="000000"/>
        </w:rPr>
      </w:pPr>
    </w:p>
    <w:p w14:paraId="65EF4368" w14:textId="77777777" w:rsidR="006868F8" w:rsidRDefault="006868F8">
      <w:pPr>
        <w:rPr>
          <w:rFonts w:ascii="Arial" w:hAnsi="Arial" w:cs="Arial"/>
          <w:color w:val="000000"/>
          <w:sz w:val="22"/>
          <w:szCs w:val="22"/>
        </w:rPr>
      </w:pPr>
    </w:p>
    <w:p w14:paraId="6A410C21" w14:textId="77777777" w:rsidR="00CD68F8" w:rsidRDefault="00CD68F8">
      <w:pPr>
        <w:rPr>
          <w:rFonts w:ascii="Arial" w:hAnsi="Arial" w:cs="Arial"/>
          <w:color w:val="000000"/>
          <w:sz w:val="22"/>
          <w:szCs w:val="22"/>
        </w:rPr>
      </w:pPr>
    </w:p>
    <w:p w14:paraId="5C2ADB0C" w14:textId="77777777" w:rsidR="006868F8" w:rsidRDefault="006868F8">
      <w:pPr>
        <w:rPr>
          <w:rFonts w:ascii="Arial" w:hAnsi="Arial" w:cs="Arial"/>
          <w:color w:val="000000"/>
          <w:sz w:val="22"/>
          <w:szCs w:val="22"/>
        </w:rPr>
      </w:pPr>
    </w:p>
    <w:p w14:paraId="033FED1E" w14:textId="77777777" w:rsidR="006868F8" w:rsidRDefault="006868F8">
      <w:pPr>
        <w:rPr>
          <w:rFonts w:ascii="Arial" w:hAnsi="Arial" w:cs="Arial"/>
          <w:color w:val="000000"/>
          <w:sz w:val="22"/>
          <w:szCs w:val="22"/>
        </w:rPr>
      </w:pPr>
    </w:p>
    <w:p w14:paraId="0DB18D6B" w14:textId="77777777" w:rsidR="006868F8" w:rsidRDefault="006868F8">
      <w:pPr>
        <w:rPr>
          <w:rFonts w:ascii="Arial" w:hAnsi="Arial" w:cs="Arial"/>
          <w:color w:val="000000"/>
          <w:sz w:val="22"/>
          <w:szCs w:val="22"/>
        </w:rPr>
      </w:pPr>
    </w:p>
    <w:p w14:paraId="415D8438" w14:textId="77777777" w:rsidR="006868F8" w:rsidRDefault="006868F8">
      <w:pPr>
        <w:rPr>
          <w:rFonts w:ascii="Arial" w:hAnsi="Arial" w:cs="Arial"/>
          <w:color w:val="000000"/>
          <w:sz w:val="22"/>
          <w:szCs w:val="22"/>
        </w:rPr>
      </w:pPr>
    </w:p>
    <w:p w14:paraId="71F705B5" w14:textId="77777777" w:rsidR="006868F8" w:rsidRDefault="006868F8">
      <w:pPr>
        <w:rPr>
          <w:rFonts w:ascii="Arial" w:hAnsi="Arial" w:cs="Arial"/>
          <w:color w:val="000000"/>
          <w:sz w:val="22"/>
          <w:szCs w:val="22"/>
        </w:rPr>
      </w:pPr>
    </w:p>
    <w:p w14:paraId="02C07038" w14:textId="77777777" w:rsidR="006868F8" w:rsidRDefault="006868F8">
      <w:pPr>
        <w:rPr>
          <w:rFonts w:ascii="Arial" w:hAnsi="Arial" w:cs="Arial"/>
          <w:color w:val="000000"/>
          <w:sz w:val="22"/>
          <w:szCs w:val="22"/>
        </w:rPr>
      </w:pPr>
    </w:p>
    <w:p w14:paraId="5F7D6FA9" w14:textId="77777777" w:rsidR="006868F8" w:rsidRDefault="006868F8">
      <w:pPr>
        <w:rPr>
          <w:rFonts w:ascii="Arial" w:hAnsi="Arial" w:cs="Arial"/>
          <w:color w:val="000000"/>
          <w:sz w:val="22"/>
          <w:szCs w:val="22"/>
        </w:rPr>
      </w:pPr>
    </w:p>
    <w:p w14:paraId="091F8351" w14:textId="77777777" w:rsidR="006868F8" w:rsidRDefault="006868F8">
      <w:pPr>
        <w:rPr>
          <w:rFonts w:ascii="Arial" w:hAnsi="Arial" w:cs="Arial"/>
          <w:color w:val="000000"/>
          <w:sz w:val="22"/>
          <w:szCs w:val="22"/>
        </w:rPr>
      </w:pPr>
    </w:p>
    <w:p w14:paraId="4CCD0FD5" w14:textId="77777777" w:rsidR="006868F8" w:rsidRDefault="006868F8">
      <w:pPr>
        <w:rPr>
          <w:rFonts w:ascii="Arial" w:hAnsi="Arial" w:cs="Arial"/>
          <w:color w:val="000000"/>
          <w:sz w:val="22"/>
          <w:szCs w:val="22"/>
        </w:rPr>
      </w:pPr>
    </w:p>
    <w:p w14:paraId="01B04DC3" w14:textId="77777777" w:rsidR="006868F8" w:rsidRDefault="006868F8">
      <w:pPr>
        <w:rPr>
          <w:rFonts w:ascii="Arial" w:hAnsi="Arial" w:cs="Arial"/>
          <w:color w:val="000000"/>
          <w:sz w:val="22"/>
          <w:szCs w:val="22"/>
        </w:rPr>
      </w:pPr>
    </w:p>
    <w:p w14:paraId="2053B51B" w14:textId="77777777" w:rsidR="006868F8" w:rsidRDefault="006868F8">
      <w:pPr>
        <w:rPr>
          <w:rFonts w:ascii="Arial" w:hAnsi="Arial" w:cs="Arial"/>
          <w:color w:val="000000"/>
          <w:sz w:val="22"/>
          <w:szCs w:val="22"/>
        </w:rPr>
      </w:pPr>
    </w:p>
    <w:p w14:paraId="26291EF6" w14:textId="77777777" w:rsidR="006868F8" w:rsidRDefault="006868F8">
      <w:pPr>
        <w:rPr>
          <w:rFonts w:ascii="Arial" w:hAnsi="Arial" w:cs="Arial"/>
          <w:color w:val="000000"/>
          <w:sz w:val="22"/>
          <w:szCs w:val="22"/>
        </w:rPr>
      </w:pPr>
    </w:p>
    <w:p w14:paraId="0CBA9A19" w14:textId="77777777" w:rsidR="006868F8" w:rsidRDefault="006868F8">
      <w:pPr>
        <w:rPr>
          <w:rFonts w:ascii="Arial" w:hAnsi="Arial" w:cs="Arial"/>
          <w:color w:val="000000"/>
          <w:sz w:val="22"/>
          <w:szCs w:val="22"/>
        </w:rPr>
      </w:pPr>
    </w:p>
    <w:p w14:paraId="0B2DDD40" w14:textId="77777777" w:rsidR="006868F8" w:rsidRDefault="006868F8">
      <w:pPr>
        <w:rPr>
          <w:rFonts w:ascii="Arial" w:hAnsi="Arial" w:cs="Arial"/>
          <w:color w:val="000000"/>
          <w:sz w:val="22"/>
          <w:szCs w:val="22"/>
        </w:rPr>
      </w:pPr>
    </w:p>
    <w:p w14:paraId="49BEFD58" w14:textId="77777777" w:rsidR="006868F8" w:rsidRDefault="006868F8">
      <w:pPr>
        <w:rPr>
          <w:rFonts w:ascii="Arial" w:hAnsi="Arial" w:cs="Arial"/>
          <w:color w:val="000000"/>
          <w:sz w:val="22"/>
          <w:szCs w:val="22"/>
        </w:rPr>
      </w:pPr>
    </w:p>
    <w:p w14:paraId="4129D265" w14:textId="77777777" w:rsidR="004D0166" w:rsidRDefault="004D0166">
      <w:pPr>
        <w:rPr>
          <w:rFonts w:ascii="Arial" w:hAnsi="Arial" w:cs="Arial"/>
          <w:color w:val="000000"/>
          <w:sz w:val="22"/>
          <w:szCs w:val="22"/>
        </w:rPr>
      </w:pPr>
    </w:p>
    <w:p w14:paraId="5476B6DC" w14:textId="77777777" w:rsidR="004D0166" w:rsidRDefault="004D0166">
      <w:pPr>
        <w:rPr>
          <w:rFonts w:ascii="Arial" w:hAnsi="Arial" w:cs="Arial"/>
          <w:color w:val="000000"/>
          <w:sz w:val="22"/>
          <w:szCs w:val="22"/>
        </w:rPr>
      </w:pPr>
    </w:p>
    <w:p w14:paraId="0A4D7C26" w14:textId="77777777" w:rsidR="004D0166" w:rsidRDefault="004D0166">
      <w:pPr>
        <w:rPr>
          <w:rFonts w:ascii="Arial" w:hAnsi="Arial" w:cs="Arial"/>
          <w:color w:val="000000"/>
          <w:sz w:val="22"/>
          <w:szCs w:val="22"/>
        </w:rPr>
      </w:pPr>
    </w:p>
    <w:p w14:paraId="7CB916B8" w14:textId="77777777" w:rsidR="004D0166" w:rsidRDefault="004D0166">
      <w:pPr>
        <w:rPr>
          <w:rFonts w:ascii="Arial" w:hAnsi="Arial" w:cs="Arial"/>
          <w:color w:val="000000"/>
          <w:sz w:val="22"/>
          <w:szCs w:val="22"/>
        </w:rPr>
      </w:pPr>
    </w:p>
    <w:p w14:paraId="3984AC84" w14:textId="77777777" w:rsidR="006868F8" w:rsidRDefault="006868F8">
      <w:pPr>
        <w:rPr>
          <w:rFonts w:ascii="Arial" w:hAnsi="Arial" w:cs="Arial"/>
          <w:color w:val="000000"/>
          <w:sz w:val="22"/>
          <w:szCs w:val="22"/>
        </w:rPr>
      </w:pPr>
    </w:p>
    <w:p w14:paraId="564560F3" w14:textId="77777777" w:rsidR="00CD68F8" w:rsidRDefault="00CD68F8">
      <w:pPr>
        <w:rPr>
          <w:rFonts w:ascii="Arial" w:hAnsi="Arial" w:cs="Arial"/>
          <w:color w:val="000000"/>
          <w:sz w:val="22"/>
          <w:szCs w:val="22"/>
        </w:rPr>
      </w:pPr>
    </w:p>
    <w:p w14:paraId="1060BD98" w14:textId="7DDCB6A5" w:rsidR="00022EA9" w:rsidRPr="008F1E0A" w:rsidRDefault="00000000" w:rsidP="008D5E4D">
      <w:pPr>
        <w:spacing w:line="360" w:lineRule="auto"/>
        <w:jc w:val="both"/>
        <w:rPr>
          <w:rFonts w:ascii="Arial" w:hAnsi="Arial" w:cs="Arial"/>
          <w:b/>
          <w:bCs/>
          <w:color w:val="000000"/>
          <w:sz w:val="22"/>
          <w:szCs w:val="22"/>
        </w:rPr>
      </w:pPr>
      <w:r w:rsidRPr="008F1E0A">
        <w:rPr>
          <w:rFonts w:ascii="Arial" w:hAnsi="Arial" w:cs="Arial"/>
          <w:b/>
          <w:bCs/>
          <w:color w:val="000000"/>
          <w:sz w:val="22"/>
          <w:szCs w:val="22"/>
        </w:rPr>
        <w:t>Introduction</w:t>
      </w:r>
    </w:p>
    <w:p w14:paraId="7AE06931" w14:textId="513CA14F" w:rsidR="008F1E0A" w:rsidRDefault="0002642F" w:rsidP="00BA099E">
      <w:pPr>
        <w:spacing w:line="360" w:lineRule="auto"/>
        <w:jc w:val="both"/>
        <w:rPr>
          <w:rFonts w:ascii="Arial" w:hAnsi="Arial" w:cs="Arial"/>
          <w:color w:val="000000"/>
          <w:sz w:val="22"/>
          <w:szCs w:val="22"/>
        </w:rPr>
      </w:pPr>
      <w:r w:rsidRPr="0002642F">
        <w:rPr>
          <w:rFonts w:ascii="Arial" w:hAnsi="Arial" w:cs="Arial"/>
          <w:color w:val="000000"/>
          <w:sz w:val="22"/>
          <w:szCs w:val="22"/>
        </w:rPr>
        <w:t xml:space="preserve">Older adults living in dementia care homes </w:t>
      </w:r>
      <w:r>
        <w:rPr>
          <w:rFonts w:ascii="Arial" w:hAnsi="Arial" w:cs="Arial"/>
          <w:color w:val="000000"/>
          <w:sz w:val="22"/>
          <w:szCs w:val="22"/>
        </w:rPr>
        <w:t xml:space="preserve">frequently </w:t>
      </w:r>
      <w:r w:rsidRPr="0002642F">
        <w:rPr>
          <w:rFonts w:ascii="Arial" w:hAnsi="Arial" w:cs="Arial"/>
          <w:color w:val="000000"/>
          <w:sz w:val="22"/>
          <w:szCs w:val="22"/>
        </w:rPr>
        <w:t>experience significant psychological and emotional difficulties, making it essential for health and social care professionals to</w:t>
      </w:r>
      <w:r>
        <w:rPr>
          <w:rFonts w:ascii="Arial" w:hAnsi="Arial" w:cs="Arial"/>
          <w:color w:val="000000"/>
          <w:sz w:val="22"/>
          <w:szCs w:val="22"/>
        </w:rPr>
        <w:t xml:space="preserve"> acknowledge </w:t>
      </w:r>
      <w:r w:rsidRPr="0002642F">
        <w:rPr>
          <w:rFonts w:ascii="Arial" w:hAnsi="Arial" w:cs="Arial"/>
          <w:color w:val="000000"/>
          <w:sz w:val="22"/>
          <w:szCs w:val="22"/>
        </w:rPr>
        <w:t>the factors that influence their behaviour and wellbeing.</w:t>
      </w:r>
      <w:r>
        <w:rPr>
          <w:rFonts w:ascii="Arial" w:hAnsi="Arial" w:cs="Arial"/>
          <w:color w:val="000000"/>
          <w:sz w:val="22"/>
          <w:szCs w:val="22"/>
        </w:rPr>
        <w:t xml:space="preserve"> </w:t>
      </w:r>
      <w:r w:rsidR="00B85E88" w:rsidRPr="00B85E88">
        <w:rPr>
          <w:rFonts w:ascii="Arial" w:hAnsi="Arial" w:cs="Arial"/>
          <w:color w:val="000000"/>
          <w:sz w:val="22"/>
          <w:szCs w:val="22"/>
        </w:rPr>
        <w:t xml:space="preserve">National guidelines emphasise the importance of recognising the psychological needs of people living with dementia to provide effective and </w:t>
      </w:r>
      <w:r w:rsidR="00B85E88" w:rsidRPr="00B85E88">
        <w:rPr>
          <w:rFonts w:ascii="Arial" w:hAnsi="Arial" w:cs="Arial"/>
          <w:color w:val="000000"/>
          <w:sz w:val="22"/>
          <w:szCs w:val="22"/>
        </w:rPr>
        <w:t>person-centred</w:t>
      </w:r>
      <w:r w:rsidR="00B85E88" w:rsidRPr="00B85E88">
        <w:rPr>
          <w:rFonts w:ascii="Arial" w:hAnsi="Arial" w:cs="Arial"/>
          <w:color w:val="000000"/>
          <w:sz w:val="22"/>
          <w:szCs w:val="22"/>
        </w:rPr>
        <w:t xml:space="preserve"> support (National Institute for Health and Care Excellence, 2022).</w:t>
      </w:r>
      <w:r w:rsidR="00B85E88">
        <w:rPr>
          <w:rFonts w:ascii="Arial" w:hAnsi="Arial" w:cs="Arial"/>
          <w:color w:val="000000"/>
          <w:sz w:val="22"/>
          <w:szCs w:val="22"/>
        </w:rPr>
        <w:t xml:space="preserve"> </w:t>
      </w:r>
      <w:r w:rsidR="00EE5CEA" w:rsidRPr="00EE5CEA">
        <w:rPr>
          <w:rFonts w:ascii="Arial" w:hAnsi="Arial" w:cs="Arial"/>
          <w:color w:val="000000"/>
          <w:sz w:val="22"/>
          <w:szCs w:val="22"/>
        </w:rPr>
        <w:t>This report focuses on adults aged 65 and over who are living with dementia and explores how psychological theories can guide staff in providing effective support</w:t>
      </w:r>
      <w:r w:rsidR="00EE5CEA">
        <w:rPr>
          <w:rFonts w:ascii="Arial" w:hAnsi="Arial" w:cs="Arial"/>
          <w:color w:val="000000"/>
          <w:sz w:val="22"/>
          <w:szCs w:val="22"/>
        </w:rPr>
        <w:t xml:space="preserve">. </w:t>
      </w:r>
      <w:r w:rsidR="00EE5CEA" w:rsidRPr="00EE5CEA">
        <w:rPr>
          <w:rFonts w:ascii="Arial" w:hAnsi="Arial" w:cs="Arial"/>
          <w:color w:val="000000"/>
          <w:sz w:val="22"/>
          <w:szCs w:val="22"/>
        </w:rPr>
        <w:t xml:space="preserve">Professionals can better understand </w:t>
      </w:r>
      <w:r w:rsidR="00EE5CEA">
        <w:rPr>
          <w:rFonts w:ascii="Arial" w:hAnsi="Arial" w:cs="Arial"/>
          <w:color w:val="000000"/>
          <w:sz w:val="22"/>
          <w:szCs w:val="22"/>
        </w:rPr>
        <w:t>behaviour</w:t>
      </w:r>
      <w:r w:rsidR="00EE5CEA" w:rsidRPr="00EE5CEA">
        <w:rPr>
          <w:rFonts w:ascii="Arial" w:hAnsi="Arial" w:cs="Arial"/>
          <w:color w:val="000000"/>
          <w:sz w:val="22"/>
          <w:szCs w:val="22"/>
        </w:rPr>
        <w:t>, identify emotional needs, and modify care strategies to support wellnes</w:t>
      </w:r>
      <w:r w:rsidR="00450224">
        <w:rPr>
          <w:rFonts w:ascii="Arial" w:hAnsi="Arial" w:cs="Arial"/>
          <w:color w:val="000000"/>
          <w:sz w:val="22"/>
          <w:szCs w:val="22"/>
        </w:rPr>
        <w:t xml:space="preserve">s and </w:t>
      </w:r>
      <w:r w:rsidR="00EE5CEA" w:rsidRPr="00EE5CEA">
        <w:rPr>
          <w:rFonts w:ascii="Arial" w:hAnsi="Arial" w:cs="Arial"/>
          <w:color w:val="000000"/>
          <w:sz w:val="22"/>
          <w:szCs w:val="22"/>
        </w:rPr>
        <w:t>safety.</w:t>
      </w:r>
    </w:p>
    <w:p w14:paraId="046DFE39" w14:textId="77777777" w:rsidR="00EE5CEA" w:rsidRDefault="00EE5CEA" w:rsidP="00BA099E">
      <w:pPr>
        <w:spacing w:line="360" w:lineRule="auto"/>
        <w:jc w:val="both"/>
        <w:rPr>
          <w:rFonts w:ascii="Arial" w:hAnsi="Arial" w:cs="Arial"/>
          <w:color w:val="000000"/>
          <w:sz w:val="22"/>
          <w:szCs w:val="22"/>
        </w:rPr>
      </w:pPr>
    </w:p>
    <w:p w14:paraId="472B533D" w14:textId="6182539B" w:rsidR="00EE5CEA" w:rsidRDefault="00EE5CEA" w:rsidP="00BA099E">
      <w:pPr>
        <w:spacing w:line="360" w:lineRule="auto"/>
        <w:jc w:val="both"/>
        <w:rPr>
          <w:rFonts w:ascii="Arial" w:hAnsi="Arial" w:cs="Arial"/>
          <w:color w:val="000000"/>
          <w:sz w:val="22"/>
          <w:szCs w:val="22"/>
        </w:rPr>
      </w:pPr>
      <w:r>
        <w:rPr>
          <w:rFonts w:ascii="Arial" w:hAnsi="Arial" w:cs="Arial"/>
          <w:color w:val="000000"/>
          <w:sz w:val="22"/>
          <w:szCs w:val="22"/>
        </w:rPr>
        <w:t xml:space="preserve">The two key theories explored in this report are Erikson’s Psychoscial Theory, specifically the stage </w:t>
      </w:r>
      <w:r w:rsidRPr="00EE5CEA">
        <w:rPr>
          <w:rFonts w:ascii="Arial" w:hAnsi="Arial" w:cs="Arial"/>
          <w:color w:val="000000"/>
          <w:sz w:val="22"/>
          <w:szCs w:val="22"/>
        </w:rPr>
        <w:t>of Integrity versus Despair, and Maslow’s Hierarchy of Needs.</w:t>
      </w:r>
      <w:r w:rsidR="00830F88">
        <w:rPr>
          <w:rFonts w:ascii="Arial" w:hAnsi="Arial" w:cs="Arial"/>
          <w:color w:val="000000"/>
          <w:sz w:val="22"/>
          <w:szCs w:val="22"/>
        </w:rPr>
        <w:t xml:space="preserve"> </w:t>
      </w:r>
      <w:r w:rsidR="00830F88" w:rsidRPr="00830F88">
        <w:rPr>
          <w:rFonts w:ascii="Arial" w:hAnsi="Arial" w:cs="Arial"/>
          <w:color w:val="000000"/>
          <w:sz w:val="22"/>
          <w:szCs w:val="22"/>
        </w:rPr>
        <w:t>Erikson's theory sheds light on how older pe</w:t>
      </w:r>
      <w:r w:rsidR="00830F88">
        <w:rPr>
          <w:rFonts w:ascii="Arial" w:hAnsi="Arial" w:cs="Arial"/>
          <w:color w:val="000000"/>
          <w:sz w:val="22"/>
          <w:szCs w:val="22"/>
        </w:rPr>
        <w:t>ople</w:t>
      </w:r>
      <w:r w:rsidR="00830F88" w:rsidRPr="00830F88">
        <w:rPr>
          <w:rFonts w:ascii="Arial" w:hAnsi="Arial" w:cs="Arial"/>
          <w:color w:val="000000"/>
          <w:sz w:val="22"/>
          <w:szCs w:val="22"/>
        </w:rPr>
        <w:t xml:space="preserve"> consider their life experiences and how dementia could impact their sense of purpose and identity.</w:t>
      </w:r>
      <w:r w:rsidR="00830F88">
        <w:rPr>
          <w:rFonts w:ascii="Arial" w:hAnsi="Arial" w:cs="Arial"/>
          <w:color w:val="000000"/>
          <w:sz w:val="22"/>
          <w:szCs w:val="22"/>
        </w:rPr>
        <w:t xml:space="preserve"> </w:t>
      </w:r>
      <w:r w:rsidR="00830F88" w:rsidRPr="00830F88">
        <w:rPr>
          <w:rFonts w:ascii="Arial" w:hAnsi="Arial" w:cs="Arial"/>
          <w:color w:val="000000"/>
          <w:sz w:val="22"/>
          <w:szCs w:val="22"/>
        </w:rPr>
        <w:t>Maslow's theory clarifies how unfulfilled social, emotional, and physical needs can affect behaviour and mental health in later life.</w:t>
      </w:r>
    </w:p>
    <w:p w14:paraId="3E573E2A" w14:textId="77777777" w:rsidR="00830F88" w:rsidRDefault="00830F88" w:rsidP="00BA099E">
      <w:pPr>
        <w:spacing w:line="360" w:lineRule="auto"/>
        <w:jc w:val="both"/>
        <w:rPr>
          <w:rFonts w:ascii="Arial" w:hAnsi="Arial" w:cs="Arial"/>
          <w:color w:val="000000"/>
          <w:sz w:val="22"/>
          <w:szCs w:val="22"/>
        </w:rPr>
      </w:pPr>
    </w:p>
    <w:p w14:paraId="2ABE7F76" w14:textId="41F49D7F" w:rsidR="0002642F" w:rsidRDefault="00830F88" w:rsidP="00BA099E">
      <w:pPr>
        <w:spacing w:line="360" w:lineRule="auto"/>
        <w:jc w:val="both"/>
        <w:rPr>
          <w:rFonts w:ascii="Arial" w:hAnsi="Arial" w:cs="Arial"/>
          <w:color w:val="000000"/>
          <w:sz w:val="22"/>
          <w:szCs w:val="22"/>
        </w:rPr>
      </w:pPr>
      <w:r w:rsidRPr="00830F88">
        <w:rPr>
          <w:rFonts w:ascii="Arial" w:hAnsi="Arial" w:cs="Arial"/>
          <w:color w:val="000000"/>
          <w:sz w:val="22"/>
          <w:szCs w:val="22"/>
        </w:rPr>
        <w:t xml:space="preserve">The report will describe both ideas, examine how they relate to dementia in older persons, and show how either theory might be applied in a care facility. It will also </w:t>
      </w:r>
      <w:r w:rsidR="00F6362F" w:rsidRPr="00830F88">
        <w:rPr>
          <w:rFonts w:ascii="Arial" w:hAnsi="Arial" w:cs="Arial"/>
          <w:color w:val="000000"/>
          <w:sz w:val="22"/>
          <w:szCs w:val="22"/>
        </w:rPr>
        <w:t>consider</w:t>
      </w:r>
      <w:r w:rsidRPr="00830F88">
        <w:rPr>
          <w:rFonts w:ascii="Arial" w:hAnsi="Arial" w:cs="Arial"/>
          <w:color w:val="000000"/>
          <w:sz w:val="22"/>
          <w:szCs w:val="22"/>
        </w:rPr>
        <w:t xml:space="preserve"> the difficulties that professionals can encounter while putting these theories into reality and provide solutions.</w:t>
      </w:r>
    </w:p>
    <w:p w14:paraId="03B46D12" w14:textId="77777777" w:rsidR="001B0861" w:rsidRDefault="001B0861" w:rsidP="00BA099E">
      <w:pPr>
        <w:spacing w:line="360" w:lineRule="auto"/>
        <w:jc w:val="both"/>
        <w:rPr>
          <w:rFonts w:ascii="Arial" w:hAnsi="Arial" w:cs="Arial"/>
          <w:color w:val="000000"/>
          <w:sz w:val="22"/>
          <w:szCs w:val="22"/>
        </w:rPr>
      </w:pPr>
    </w:p>
    <w:p w14:paraId="74B9E6CC" w14:textId="35595951" w:rsidR="008F1E0A" w:rsidRDefault="001B0861" w:rsidP="00BA099E">
      <w:pPr>
        <w:spacing w:line="360" w:lineRule="auto"/>
        <w:jc w:val="both"/>
        <w:rPr>
          <w:rFonts w:ascii="Arial" w:hAnsi="Arial" w:cs="Arial"/>
          <w:b/>
          <w:bCs/>
          <w:color w:val="000000"/>
          <w:sz w:val="22"/>
          <w:szCs w:val="22"/>
        </w:rPr>
      </w:pPr>
      <w:r>
        <w:rPr>
          <w:rFonts w:ascii="Arial" w:hAnsi="Arial" w:cs="Arial"/>
          <w:b/>
          <w:bCs/>
          <w:color w:val="000000"/>
          <w:sz w:val="22"/>
          <w:szCs w:val="22"/>
        </w:rPr>
        <w:t>Erikson’s Psychosocial Theory</w:t>
      </w:r>
    </w:p>
    <w:p w14:paraId="69286F87" w14:textId="3C1427E9" w:rsidR="004130CD" w:rsidRDefault="00761798" w:rsidP="00BA099E">
      <w:pPr>
        <w:spacing w:line="360" w:lineRule="auto"/>
        <w:jc w:val="both"/>
        <w:rPr>
          <w:rFonts w:ascii="Arial" w:hAnsi="Arial" w:cs="Arial"/>
          <w:color w:val="000000"/>
          <w:sz w:val="22"/>
          <w:szCs w:val="22"/>
        </w:rPr>
      </w:pPr>
      <w:r w:rsidRPr="00761798">
        <w:rPr>
          <w:rFonts w:ascii="Arial" w:hAnsi="Arial" w:cs="Arial"/>
          <w:color w:val="000000"/>
          <w:sz w:val="22"/>
          <w:szCs w:val="22"/>
        </w:rPr>
        <w:t>According to Erikson's Psychosocial Theory, human development happens in eight phases, each</w:t>
      </w:r>
      <w:r w:rsidR="00D06B06">
        <w:rPr>
          <w:rFonts w:ascii="Arial" w:hAnsi="Arial" w:cs="Arial"/>
          <w:color w:val="000000"/>
          <w:sz w:val="22"/>
          <w:szCs w:val="22"/>
        </w:rPr>
        <w:t xml:space="preserve"> </w:t>
      </w:r>
      <w:r w:rsidRPr="00761798">
        <w:rPr>
          <w:rFonts w:ascii="Arial" w:hAnsi="Arial" w:cs="Arial"/>
          <w:color w:val="000000"/>
          <w:sz w:val="22"/>
          <w:szCs w:val="22"/>
        </w:rPr>
        <w:t>is characterised by a major psychological conflict that influences wellbeing and personality (Erikson, 1950).</w:t>
      </w:r>
      <w:r>
        <w:rPr>
          <w:rFonts w:ascii="Arial" w:hAnsi="Arial" w:cs="Arial"/>
          <w:color w:val="000000"/>
          <w:sz w:val="22"/>
          <w:szCs w:val="22"/>
        </w:rPr>
        <w:t xml:space="preserve"> </w:t>
      </w:r>
      <w:r w:rsidRPr="00761798">
        <w:rPr>
          <w:rFonts w:ascii="Arial" w:hAnsi="Arial" w:cs="Arial"/>
          <w:color w:val="000000"/>
          <w:sz w:val="22"/>
          <w:szCs w:val="22"/>
        </w:rPr>
        <w:t>Adults 65 years of age and older move on to the last stage, Integrity against Despair, where they consider their connections, accomplishments, and life experiences.</w:t>
      </w:r>
      <w:r>
        <w:rPr>
          <w:rFonts w:ascii="Arial" w:hAnsi="Arial" w:cs="Arial"/>
          <w:color w:val="000000"/>
          <w:sz w:val="22"/>
          <w:szCs w:val="22"/>
        </w:rPr>
        <w:t xml:space="preserve"> </w:t>
      </w:r>
      <w:r w:rsidRPr="00761798">
        <w:rPr>
          <w:rFonts w:ascii="Arial" w:hAnsi="Arial" w:cs="Arial"/>
          <w:color w:val="000000"/>
          <w:sz w:val="22"/>
          <w:szCs w:val="22"/>
        </w:rPr>
        <w:t xml:space="preserve">When older adults believe they have lived a meaningful and full life, they develop a sense of integrity; when they feel regret, disappointment, or a sense that their life was meaningless, they develop despair (Erikson, 1963). </w:t>
      </w:r>
    </w:p>
    <w:p w14:paraId="6DA30C56" w14:textId="77777777" w:rsidR="00761798" w:rsidRDefault="00761798" w:rsidP="00BA099E">
      <w:pPr>
        <w:spacing w:line="360" w:lineRule="auto"/>
        <w:jc w:val="both"/>
        <w:rPr>
          <w:rFonts w:ascii="Arial" w:hAnsi="Arial" w:cs="Arial"/>
          <w:color w:val="000000"/>
          <w:sz w:val="22"/>
          <w:szCs w:val="22"/>
        </w:rPr>
      </w:pPr>
    </w:p>
    <w:p w14:paraId="32D2F8B3" w14:textId="6C4BE97D" w:rsidR="00761798" w:rsidRDefault="00761798" w:rsidP="00BA099E">
      <w:pPr>
        <w:spacing w:line="360" w:lineRule="auto"/>
        <w:jc w:val="both"/>
        <w:rPr>
          <w:rFonts w:ascii="Arial" w:hAnsi="Arial" w:cs="Arial"/>
          <w:color w:val="000000"/>
          <w:sz w:val="22"/>
          <w:szCs w:val="22"/>
        </w:rPr>
      </w:pPr>
      <w:r w:rsidRPr="00761798">
        <w:rPr>
          <w:rFonts w:ascii="Arial" w:hAnsi="Arial" w:cs="Arial"/>
          <w:color w:val="000000"/>
          <w:sz w:val="22"/>
          <w:szCs w:val="22"/>
        </w:rPr>
        <w:t>It can be particularly difficult for older pe</w:t>
      </w:r>
      <w:r>
        <w:rPr>
          <w:rFonts w:ascii="Arial" w:hAnsi="Arial" w:cs="Arial"/>
          <w:color w:val="000000"/>
          <w:sz w:val="22"/>
          <w:szCs w:val="22"/>
        </w:rPr>
        <w:t>ople</w:t>
      </w:r>
      <w:r w:rsidRPr="00761798">
        <w:rPr>
          <w:rFonts w:ascii="Arial" w:hAnsi="Arial" w:cs="Arial"/>
          <w:color w:val="000000"/>
          <w:sz w:val="22"/>
          <w:szCs w:val="22"/>
        </w:rPr>
        <w:t xml:space="preserve"> with dementia to navigate this psychosocial stage. Memory loss may interfere with the life-review process, increasing the likelihood of distress or frustration.</w:t>
      </w:r>
      <w:r>
        <w:rPr>
          <w:rFonts w:ascii="Arial" w:hAnsi="Arial" w:cs="Arial"/>
          <w:color w:val="000000"/>
          <w:sz w:val="22"/>
          <w:szCs w:val="22"/>
        </w:rPr>
        <w:t xml:space="preserve"> </w:t>
      </w:r>
      <w:r w:rsidRPr="00761798">
        <w:rPr>
          <w:rFonts w:ascii="Arial" w:hAnsi="Arial" w:cs="Arial"/>
          <w:color w:val="000000"/>
          <w:sz w:val="22"/>
          <w:szCs w:val="22"/>
        </w:rPr>
        <w:t>Additionally, sentiments connected with despair, such as melancholy</w:t>
      </w:r>
      <w:r w:rsidR="00522580">
        <w:rPr>
          <w:rFonts w:ascii="Arial" w:hAnsi="Arial" w:cs="Arial"/>
          <w:color w:val="000000"/>
          <w:sz w:val="22"/>
          <w:szCs w:val="22"/>
        </w:rPr>
        <w:t xml:space="preserve"> or </w:t>
      </w:r>
      <w:r w:rsidRPr="00761798">
        <w:rPr>
          <w:rFonts w:ascii="Arial" w:hAnsi="Arial" w:cs="Arial"/>
          <w:color w:val="000000"/>
          <w:sz w:val="22"/>
          <w:szCs w:val="22"/>
        </w:rPr>
        <w:t>withdrawal,</w:t>
      </w:r>
      <w:r w:rsidR="00522580">
        <w:rPr>
          <w:rFonts w:ascii="Arial" w:hAnsi="Arial" w:cs="Arial"/>
          <w:color w:val="000000"/>
          <w:sz w:val="22"/>
          <w:szCs w:val="22"/>
        </w:rPr>
        <w:t xml:space="preserve"> </w:t>
      </w:r>
      <w:r w:rsidRPr="00761798">
        <w:rPr>
          <w:rFonts w:ascii="Arial" w:hAnsi="Arial" w:cs="Arial"/>
          <w:color w:val="000000"/>
          <w:sz w:val="22"/>
          <w:szCs w:val="22"/>
        </w:rPr>
        <w:t xml:space="preserve">can be exacerbated by the loss of independence, diminished autonomy, and changes in personal identity that are frequently linked to dementia (Newman and Newman, </w:t>
      </w:r>
      <w:r w:rsidRPr="00761798">
        <w:rPr>
          <w:rFonts w:ascii="Arial" w:hAnsi="Arial" w:cs="Arial"/>
          <w:color w:val="000000"/>
          <w:sz w:val="22"/>
          <w:szCs w:val="22"/>
        </w:rPr>
        <w:lastRenderedPageBreak/>
        <w:t>2017).</w:t>
      </w:r>
      <w:r>
        <w:rPr>
          <w:rFonts w:ascii="Arial" w:hAnsi="Arial" w:cs="Arial"/>
          <w:color w:val="000000"/>
          <w:sz w:val="22"/>
          <w:szCs w:val="22"/>
        </w:rPr>
        <w:t xml:space="preserve"> </w:t>
      </w:r>
      <w:r w:rsidRPr="00761798">
        <w:rPr>
          <w:rFonts w:ascii="Arial" w:hAnsi="Arial" w:cs="Arial"/>
          <w:color w:val="000000"/>
          <w:sz w:val="22"/>
          <w:szCs w:val="22"/>
        </w:rPr>
        <w:t>These challenges may have an impact on older pe</w:t>
      </w:r>
      <w:r>
        <w:rPr>
          <w:rFonts w:ascii="Arial" w:hAnsi="Arial" w:cs="Arial"/>
          <w:color w:val="000000"/>
          <w:sz w:val="22"/>
          <w:szCs w:val="22"/>
        </w:rPr>
        <w:t xml:space="preserve">ople’s </w:t>
      </w:r>
      <w:r w:rsidRPr="00761798">
        <w:rPr>
          <w:rFonts w:ascii="Arial" w:hAnsi="Arial" w:cs="Arial"/>
          <w:color w:val="000000"/>
          <w:sz w:val="22"/>
          <w:szCs w:val="22"/>
        </w:rPr>
        <w:t>capacity to develop a sense of integrity and how they interpret their life story.</w:t>
      </w:r>
    </w:p>
    <w:p w14:paraId="54470D45" w14:textId="77777777" w:rsidR="00E06949" w:rsidRDefault="00E06949" w:rsidP="00BA099E">
      <w:pPr>
        <w:spacing w:line="360" w:lineRule="auto"/>
        <w:jc w:val="both"/>
        <w:rPr>
          <w:rFonts w:ascii="Arial" w:hAnsi="Arial" w:cs="Arial"/>
          <w:color w:val="000000"/>
          <w:sz w:val="22"/>
          <w:szCs w:val="22"/>
        </w:rPr>
      </w:pPr>
    </w:p>
    <w:p w14:paraId="118728A6" w14:textId="37494411" w:rsidR="00761798" w:rsidRDefault="00E06949" w:rsidP="00BA099E">
      <w:pPr>
        <w:spacing w:line="360" w:lineRule="auto"/>
        <w:jc w:val="both"/>
        <w:rPr>
          <w:rFonts w:ascii="Arial" w:hAnsi="Arial" w:cs="Arial"/>
          <w:color w:val="000000"/>
          <w:sz w:val="22"/>
          <w:szCs w:val="22"/>
        </w:rPr>
      </w:pPr>
      <w:r w:rsidRPr="00E06949">
        <w:rPr>
          <w:rFonts w:ascii="Arial" w:hAnsi="Arial" w:cs="Arial"/>
          <w:color w:val="000000"/>
          <w:sz w:val="22"/>
          <w:szCs w:val="22"/>
        </w:rPr>
        <w:t>Despite these difficulties, health and social care workers who provide dementia care might benefit greatly from Erikson's theory. Employees are better able to interpret emotional expressions and behavioural changes when they are aware that older persons may be grappling with the tension between integrity and hopelessness.</w:t>
      </w:r>
      <w:r>
        <w:rPr>
          <w:rFonts w:ascii="Arial" w:hAnsi="Arial" w:cs="Arial"/>
          <w:color w:val="000000"/>
          <w:sz w:val="22"/>
          <w:szCs w:val="22"/>
        </w:rPr>
        <w:t xml:space="preserve"> </w:t>
      </w:r>
      <w:r w:rsidRPr="00E06949">
        <w:rPr>
          <w:rFonts w:ascii="Arial" w:hAnsi="Arial" w:cs="Arial"/>
          <w:color w:val="000000"/>
          <w:sz w:val="22"/>
          <w:szCs w:val="22"/>
        </w:rPr>
        <w:t xml:space="preserve">The theory emphasises how crucial it is to uphold identity, preserve dignity, and offer chances for deep engagement. </w:t>
      </w:r>
    </w:p>
    <w:p w14:paraId="26DC219F" w14:textId="77777777" w:rsidR="00BF5BB3" w:rsidRDefault="00BF5BB3" w:rsidP="00BA099E">
      <w:pPr>
        <w:spacing w:line="360" w:lineRule="auto"/>
        <w:jc w:val="both"/>
        <w:rPr>
          <w:rFonts w:ascii="Arial" w:hAnsi="Arial" w:cs="Arial"/>
          <w:color w:val="000000"/>
          <w:sz w:val="22"/>
          <w:szCs w:val="22"/>
        </w:rPr>
      </w:pPr>
    </w:p>
    <w:p w14:paraId="493120F7" w14:textId="77777777" w:rsidR="00BF5BB3" w:rsidRDefault="00BF5BB3" w:rsidP="00BA099E">
      <w:pPr>
        <w:spacing w:line="360" w:lineRule="auto"/>
        <w:jc w:val="both"/>
        <w:rPr>
          <w:rFonts w:ascii="Arial" w:hAnsi="Arial" w:cs="Arial"/>
          <w:b/>
          <w:bCs/>
          <w:sz w:val="22"/>
          <w:szCs w:val="22"/>
        </w:rPr>
      </w:pPr>
      <w:r w:rsidRPr="00BF5BB3">
        <w:rPr>
          <w:rFonts w:ascii="Arial" w:hAnsi="Arial" w:cs="Arial"/>
          <w:b/>
          <w:bCs/>
          <w:sz w:val="22"/>
          <w:szCs w:val="22"/>
        </w:rPr>
        <w:t>Application of Erikson’s Theory in Dementia Care</w:t>
      </w:r>
    </w:p>
    <w:p w14:paraId="62576446" w14:textId="0189E8D7" w:rsidR="00A548C2" w:rsidRDefault="00A71DF1" w:rsidP="00A71DF1">
      <w:pPr>
        <w:spacing w:line="360" w:lineRule="auto"/>
        <w:jc w:val="both"/>
        <w:rPr>
          <w:rFonts w:ascii="Arial" w:hAnsi="Arial" w:cs="Arial"/>
          <w:color w:val="000000"/>
          <w:sz w:val="22"/>
          <w:szCs w:val="22"/>
        </w:rPr>
      </w:pPr>
      <w:r w:rsidRPr="00A71DF1">
        <w:rPr>
          <w:rFonts w:ascii="Arial" w:hAnsi="Arial" w:cs="Arial"/>
          <w:color w:val="000000"/>
          <w:sz w:val="22"/>
          <w:szCs w:val="22"/>
        </w:rPr>
        <w:t>Applying Erikson’s final psychosocial stage to dementia care helps professionals understand how emotional and behavioural changes in older adults may reflect difficulties in achieving a sense of integrity.</w:t>
      </w:r>
      <w:r>
        <w:rPr>
          <w:rFonts w:ascii="Arial" w:hAnsi="Arial" w:cs="Arial"/>
          <w:color w:val="000000"/>
          <w:sz w:val="22"/>
          <w:szCs w:val="22"/>
        </w:rPr>
        <w:t xml:space="preserve"> </w:t>
      </w:r>
      <w:r w:rsidRPr="00A71DF1">
        <w:rPr>
          <w:rFonts w:ascii="Arial" w:hAnsi="Arial" w:cs="Arial"/>
          <w:color w:val="000000"/>
          <w:sz w:val="22"/>
          <w:szCs w:val="22"/>
        </w:rPr>
        <w:t>Dementia can cause memory loss, confusion, and decreased independence in older persons, which can make it difficult for them to look back on their lives in a positive light.</w:t>
      </w:r>
      <w:r>
        <w:rPr>
          <w:rFonts w:ascii="Arial" w:hAnsi="Arial" w:cs="Arial"/>
          <w:color w:val="000000"/>
          <w:sz w:val="22"/>
          <w:szCs w:val="22"/>
        </w:rPr>
        <w:t xml:space="preserve"> </w:t>
      </w:r>
      <w:r w:rsidRPr="00A71DF1">
        <w:rPr>
          <w:rFonts w:ascii="Arial" w:hAnsi="Arial" w:cs="Arial"/>
          <w:color w:val="000000"/>
          <w:sz w:val="22"/>
          <w:szCs w:val="22"/>
        </w:rPr>
        <w:t>People may feel cut off from their personal history or unsure of who they are as a result of these difficulties, which can raise the risk of depression (Newman and Newman, 2017).</w:t>
      </w:r>
      <w:r>
        <w:rPr>
          <w:rFonts w:ascii="Arial" w:hAnsi="Arial" w:cs="Arial"/>
          <w:color w:val="000000"/>
          <w:sz w:val="22"/>
          <w:szCs w:val="22"/>
        </w:rPr>
        <w:t xml:space="preserve"> </w:t>
      </w:r>
      <w:r w:rsidRPr="00A71DF1">
        <w:rPr>
          <w:rFonts w:ascii="Arial" w:hAnsi="Arial" w:cs="Arial"/>
          <w:color w:val="000000"/>
          <w:sz w:val="22"/>
          <w:szCs w:val="22"/>
        </w:rPr>
        <w:t>When staff members comprehend this psychological conflict, they are able to see actions like agitation, withdrawal, low mood, or fear as signs of suffering rather than just as signs of dementia.</w:t>
      </w:r>
    </w:p>
    <w:p w14:paraId="430A86B6" w14:textId="77777777" w:rsidR="006B27AC" w:rsidRDefault="006B27AC" w:rsidP="00A71DF1">
      <w:pPr>
        <w:spacing w:line="360" w:lineRule="auto"/>
        <w:jc w:val="both"/>
        <w:rPr>
          <w:rFonts w:ascii="Arial" w:hAnsi="Arial" w:cs="Arial"/>
          <w:color w:val="000000"/>
          <w:sz w:val="22"/>
          <w:szCs w:val="22"/>
        </w:rPr>
      </w:pPr>
    </w:p>
    <w:p w14:paraId="2A6A899F" w14:textId="22B62C77" w:rsidR="006B27AC" w:rsidRDefault="006B27AC" w:rsidP="00A71DF1">
      <w:pPr>
        <w:spacing w:line="360" w:lineRule="auto"/>
        <w:jc w:val="both"/>
        <w:rPr>
          <w:rFonts w:ascii="Arial" w:hAnsi="Arial" w:cs="Arial"/>
          <w:color w:val="000000"/>
          <w:sz w:val="22"/>
          <w:szCs w:val="22"/>
        </w:rPr>
      </w:pPr>
      <w:r w:rsidRPr="006B27AC">
        <w:rPr>
          <w:rFonts w:ascii="Arial" w:hAnsi="Arial" w:cs="Arial"/>
          <w:color w:val="000000"/>
          <w:sz w:val="22"/>
          <w:szCs w:val="22"/>
        </w:rPr>
        <w:t xml:space="preserve">By using Erikson's </w:t>
      </w:r>
      <w:r>
        <w:rPr>
          <w:rFonts w:ascii="Arial" w:hAnsi="Arial" w:cs="Arial"/>
          <w:color w:val="000000"/>
          <w:sz w:val="22"/>
          <w:szCs w:val="22"/>
        </w:rPr>
        <w:t>framework</w:t>
      </w:r>
      <w:r w:rsidRPr="006B27AC">
        <w:rPr>
          <w:rFonts w:ascii="Arial" w:hAnsi="Arial" w:cs="Arial"/>
          <w:color w:val="000000"/>
          <w:sz w:val="22"/>
          <w:szCs w:val="22"/>
        </w:rPr>
        <w:t>, health and social care workers are encouraged to provide residents with opportunities that uphold their integrity.</w:t>
      </w:r>
      <w:r>
        <w:rPr>
          <w:rFonts w:ascii="Arial" w:hAnsi="Arial" w:cs="Arial"/>
          <w:color w:val="000000"/>
          <w:sz w:val="22"/>
          <w:szCs w:val="22"/>
        </w:rPr>
        <w:t xml:space="preserve"> </w:t>
      </w:r>
      <w:r w:rsidRPr="006B27AC">
        <w:rPr>
          <w:rFonts w:ascii="Arial" w:hAnsi="Arial" w:cs="Arial"/>
          <w:color w:val="000000"/>
          <w:sz w:val="22"/>
          <w:szCs w:val="22"/>
        </w:rPr>
        <w:t>Reconnecting older persons with significant life experiences can be facilitated by activities like reminiscence therapy, looking through old photos, listening to familiar music, or talking about previous jobs.</w:t>
      </w:r>
      <w:r>
        <w:rPr>
          <w:rFonts w:ascii="Arial" w:hAnsi="Arial" w:cs="Arial"/>
          <w:color w:val="000000"/>
          <w:sz w:val="22"/>
          <w:szCs w:val="22"/>
        </w:rPr>
        <w:t xml:space="preserve"> </w:t>
      </w:r>
      <w:r w:rsidRPr="006B27AC">
        <w:rPr>
          <w:rFonts w:ascii="Arial" w:hAnsi="Arial" w:cs="Arial"/>
          <w:color w:val="000000"/>
          <w:sz w:val="22"/>
          <w:szCs w:val="22"/>
        </w:rPr>
        <w:t>For those who are unable to piece together their life story on their own, these methods support emotional security and identity maintenance (Erikson, 1950).</w:t>
      </w:r>
      <w:r>
        <w:rPr>
          <w:rFonts w:ascii="Arial" w:hAnsi="Arial" w:cs="Arial"/>
          <w:color w:val="000000"/>
          <w:sz w:val="22"/>
          <w:szCs w:val="22"/>
        </w:rPr>
        <w:t xml:space="preserve"> </w:t>
      </w:r>
      <w:r w:rsidRPr="006B27AC">
        <w:rPr>
          <w:rFonts w:ascii="Arial" w:hAnsi="Arial" w:cs="Arial"/>
          <w:color w:val="000000"/>
          <w:sz w:val="22"/>
          <w:szCs w:val="22"/>
        </w:rPr>
        <w:t>Additionally, staff members can uphold integrity by treating residents with dignity, using their preferred names, and promoting involvement in straightforward, meaningful activities.</w:t>
      </w:r>
    </w:p>
    <w:p w14:paraId="226A781D" w14:textId="77777777" w:rsidR="006B27AC" w:rsidRDefault="006B27AC" w:rsidP="00A71DF1">
      <w:pPr>
        <w:spacing w:line="360" w:lineRule="auto"/>
        <w:jc w:val="both"/>
        <w:rPr>
          <w:rFonts w:ascii="Arial" w:hAnsi="Arial" w:cs="Arial"/>
          <w:color w:val="000000"/>
          <w:sz w:val="22"/>
          <w:szCs w:val="22"/>
        </w:rPr>
      </w:pPr>
    </w:p>
    <w:p w14:paraId="15E2F412" w14:textId="4892C850" w:rsidR="007D3ED2" w:rsidRDefault="006B27AC" w:rsidP="00BA099E">
      <w:pPr>
        <w:spacing w:line="360" w:lineRule="auto"/>
        <w:jc w:val="both"/>
        <w:rPr>
          <w:rFonts w:ascii="Arial" w:hAnsi="Arial" w:cs="Arial"/>
          <w:color w:val="000000"/>
          <w:sz w:val="22"/>
          <w:szCs w:val="22"/>
        </w:rPr>
      </w:pPr>
      <w:r w:rsidRPr="006B27AC">
        <w:rPr>
          <w:rFonts w:ascii="Arial" w:hAnsi="Arial" w:cs="Arial"/>
          <w:color w:val="000000"/>
          <w:sz w:val="22"/>
          <w:szCs w:val="22"/>
        </w:rPr>
        <w:t>Nevertheless, there are difficulties in putting this theory into practice. Despite these obstacles, techniques like person-centred communication, cooperation with families, regular routines, and gentle validation can assist get past them.</w:t>
      </w:r>
      <w:r>
        <w:rPr>
          <w:rFonts w:ascii="Arial" w:hAnsi="Arial" w:cs="Arial"/>
          <w:color w:val="000000"/>
          <w:sz w:val="22"/>
          <w:szCs w:val="22"/>
        </w:rPr>
        <w:t xml:space="preserve"> </w:t>
      </w:r>
      <w:r w:rsidRPr="006B27AC">
        <w:rPr>
          <w:rFonts w:ascii="Arial" w:hAnsi="Arial" w:cs="Arial"/>
          <w:color w:val="000000"/>
          <w:sz w:val="22"/>
          <w:szCs w:val="22"/>
        </w:rPr>
        <w:t>Professionals can apply Erikson's theory to improve psychological wellbeing, lessen discomfort, and uphold dignity for older individuals with dementia by acting with empathy and support (Erikson, 1963)</w:t>
      </w:r>
      <w:r w:rsidR="00974806">
        <w:rPr>
          <w:rFonts w:ascii="Arial" w:hAnsi="Arial" w:cs="Arial"/>
          <w:color w:val="000000"/>
          <w:sz w:val="22"/>
          <w:szCs w:val="22"/>
        </w:rPr>
        <w:t>.</w:t>
      </w:r>
    </w:p>
    <w:p w14:paraId="32281065" w14:textId="77777777" w:rsidR="00974806" w:rsidRDefault="00974806" w:rsidP="00BA099E">
      <w:pPr>
        <w:spacing w:line="360" w:lineRule="auto"/>
        <w:jc w:val="both"/>
        <w:rPr>
          <w:rFonts w:ascii="Arial" w:hAnsi="Arial" w:cs="Arial"/>
          <w:color w:val="000000"/>
          <w:sz w:val="22"/>
          <w:szCs w:val="22"/>
        </w:rPr>
      </w:pPr>
    </w:p>
    <w:p w14:paraId="6FC5FFAB" w14:textId="0E60B827" w:rsidR="007D3ED2" w:rsidRDefault="00974806" w:rsidP="007D3ED2">
      <w:pPr>
        <w:spacing w:line="360" w:lineRule="auto"/>
        <w:jc w:val="both"/>
        <w:rPr>
          <w:rFonts w:ascii="Arial" w:hAnsi="Arial" w:cs="Arial"/>
          <w:b/>
          <w:bCs/>
          <w:sz w:val="22"/>
          <w:szCs w:val="22"/>
        </w:rPr>
      </w:pPr>
      <w:r>
        <w:rPr>
          <w:rFonts w:ascii="Arial" w:hAnsi="Arial" w:cs="Arial"/>
          <w:b/>
          <w:bCs/>
          <w:sz w:val="22"/>
          <w:szCs w:val="22"/>
        </w:rPr>
        <w:t>Maslow Hierarchy of Needs</w:t>
      </w:r>
    </w:p>
    <w:p w14:paraId="1705618B" w14:textId="620F56F2" w:rsidR="000718FF" w:rsidRDefault="003949C4" w:rsidP="007D3ED2">
      <w:pPr>
        <w:spacing w:line="360" w:lineRule="auto"/>
        <w:jc w:val="both"/>
        <w:rPr>
          <w:rFonts w:ascii="Arial" w:hAnsi="Arial" w:cs="Arial"/>
          <w:sz w:val="22"/>
          <w:szCs w:val="22"/>
        </w:rPr>
      </w:pPr>
      <w:r w:rsidRPr="003949C4">
        <w:rPr>
          <w:rFonts w:ascii="Arial" w:hAnsi="Arial" w:cs="Arial"/>
          <w:sz w:val="22"/>
          <w:szCs w:val="22"/>
        </w:rPr>
        <w:lastRenderedPageBreak/>
        <w:t>Maslow's Hierarchy of Needs is a model for motivation that describes how the desire to satisfy a number of structured needs in a hierarchical sequence affects human conduct. From basic survival needs to higher-level psychological development, the model outlines five categories of need: physiological, safety, love and belonging, esteem, and self-actuali</w:t>
      </w:r>
      <w:r>
        <w:rPr>
          <w:rFonts w:ascii="Arial" w:hAnsi="Arial" w:cs="Arial"/>
          <w:sz w:val="22"/>
          <w:szCs w:val="22"/>
        </w:rPr>
        <w:t xml:space="preserve">sation. </w:t>
      </w:r>
      <w:r w:rsidRPr="003949C4">
        <w:rPr>
          <w:rFonts w:ascii="Arial" w:hAnsi="Arial" w:cs="Arial"/>
          <w:sz w:val="22"/>
          <w:szCs w:val="22"/>
        </w:rPr>
        <w:t>The theory proposes that individuals are motivated to satisfy lower-level needs before they can focus on emotional, social or self-fulfilment goals (Maslow, 1943).</w:t>
      </w:r>
    </w:p>
    <w:p w14:paraId="7FEC997F" w14:textId="77777777" w:rsidR="006B79C9" w:rsidRDefault="006B79C9" w:rsidP="007D3ED2">
      <w:pPr>
        <w:spacing w:line="360" w:lineRule="auto"/>
        <w:jc w:val="both"/>
        <w:rPr>
          <w:rFonts w:ascii="Arial" w:hAnsi="Arial" w:cs="Arial"/>
          <w:sz w:val="22"/>
          <w:szCs w:val="22"/>
        </w:rPr>
      </w:pPr>
    </w:p>
    <w:p w14:paraId="793BE014" w14:textId="355D1062" w:rsidR="006B79C9" w:rsidRDefault="006B79C9" w:rsidP="007D3ED2">
      <w:pPr>
        <w:spacing w:line="360" w:lineRule="auto"/>
        <w:jc w:val="both"/>
        <w:rPr>
          <w:rFonts w:ascii="Arial" w:hAnsi="Arial" w:cs="Arial"/>
          <w:sz w:val="22"/>
          <w:szCs w:val="22"/>
        </w:rPr>
      </w:pPr>
      <w:r w:rsidRPr="006B79C9">
        <w:rPr>
          <w:rFonts w:ascii="Arial" w:hAnsi="Arial" w:cs="Arial"/>
          <w:sz w:val="22"/>
          <w:szCs w:val="22"/>
        </w:rPr>
        <w:t>Given that ageing is frequently linked to deteriorating health, decreased mobility, and shifting social responsibilities, the idea is especially pertinent to those 65 and older. Many elderly people may depend on others to take care of their physiological and safety needs, such as preserving their personal hygiene, nourishment, and sense of physical security.</w:t>
      </w:r>
      <w:r>
        <w:rPr>
          <w:rFonts w:ascii="Arial" w:hAnsi="Arial" w:cs="Arial"/>
          <w:sz w:val="22"/>
          <w:szCs w:val="22"/>
        </w:rPr>
        <w:t xml:space="preserve"> </w:t>
      </w:r>
      <w:r w:rsidRPr="006B79C9">
        <w:rPr>
          <w:rFonts w:ascii="Arial" w:hAnsi="Arial" w:cs="Arial"/>
          <w:sz w:val="22"/>
          <w:szCs w:val="22"/>
        </w:rPr>
        <w:t>People may experience distress, anxiety, or behavioural changes that indicate unfulfilled emotional or physical needs when these lower-level needs are not sufficiently satisfied.</w:t>
      </w:r>
      <w:r>
        <w:rPr>
          <w:rFonts w:ascii="Arial" w:hAnsi="Arial" w:cs="Arial"/>
          <w:sz w:val="22"/>
          <w:szCs w:val="22"/>
        </w:rPr>
        <w:t xml:space="preserve"> </w:t>
      </w:r>
      <w:r w:rsidRPr="006B79C9">
        <w:rPr>
          <w:rFonts w:ascii="Arial" w:hAnsi="Arial" w:cs="Arial"/>
          <w:sz w:val="22"/>
          <w:szCs w:val="22"/>
        </w:rPr>
        <w:t>Additionally, changes such as bereavement, social isolation and reduced independence can affect the higher-level needs relating to belonging and esteem.</w:t>
      </w:r>
      <w:r>
        <w:rPr>
          <w:rFonts w:ascii="Arial" w:hAnsi="Arial" w:cs="Arial"/>
          <w:sz w:val="22"/>
          <w:szCs w:val="22"/>
        </w:rPr>
        <w:t xml:space="preserve"> </w:t>
      </w:r>
      <w:r w:rsidRPr="006B79C9">
        <w:rPr>
          <w:rFonts w:ascii="Arial" w:hAnsi="Arial" w:cs="Arial"/>
          <w:sz w:val="22"/>
          <w:szCs w:val="22"/>
        </w:rPr>
        <w:t>Maslow’s framework therefore helps explain how disruptions in meeting core needs can influence emotional wellbeing and behaviour in later life (Neher, 1991).</w:t>
      </w:r>
    </w:p>
    <w:p w14:paraId="3B4EE207" w14:textId="77777777" w:rsidR="00FC602A" w:rsidRDefault="00FC602A" w:rsidP="007D3ED2">
      <w:pPr>
        <w:spacing w:line="360" w:lineRule="auto"/>
        <w:jc w:val="both"/>
        <w:rPr>
          <w:rFonts w:ascii="Arial" w:hAnsi="Arial" w:cs="Arial"/>
          <w:sz w:val="22"/>
          <w:szCs w:val="22"/>
        </w:rPr>
      </w:pPr>
    </w:p>
    <w:p w14:paraId="69DA06AE" w14:textId="620D0516" w:rsidR="006B2B40" w:rsidRDefault="00FC602A" w:rsidP="007D3ED2">
      <w:pPr>
        <w:spacing w:line="360" w:lineRule="auto"/>
        <w:jc w:val="both"/>
        <w:rPr>
          <w:rFonts w:ascii="Arial" w:hAnsi="Arial" w:cs="Arial"/>
          <w:sz w:val="22"/>
          <w:szCs w:val="22"/>
        </w:rPr>
      </w:pPr>
      <w:r w:rsidRPr="00FC602A">
        <w:rPr>
          <w:rFonts w:ascii="Arial" w:hAnsi="Arial" w:cs="Arial"/>
          <w:sz w:val="22"/>
          <w:szCs w:val="22"/>
        </w:rPr>
        <w:t>This hierarchy becomes much more crucial for those who have dementia. A person's capacity to communicate their needs, understand their surroundings, and feel comfortable can all be hampered by cognitive decline.</w:t>
      </w:r>
      <w:r>
        <w:rPr>
          <w:rFonts w:ascii="Arial" w:hAnsi="Arial" w:cs="Arial"/>
          <w:sz w:val="22"/>
          <w:szCs w:val="22"/>
        </w:rPr>
        <w:t xml:space="preserve"> </w:t>
      </w:r>
      <w:r w:rsidRPr="00FC602A">
        <w:rPr>
          <w:rFonts w:ascii="Arial" w:hAnsi="Arial" w:cs="Arial"/>
          <w:sz w:val="22"/>
          <w:szCs w:val="22"/>
        </w:rPr>
        <w:t xml:space="preserve">Social connection and self-esteem can also be impacted by dementia, particularly when people find it difficult to recall connections or engage in fulfilling </w:t>
      </w:r>
      <w:r w:rsidR="004C1F3B" w:rsidRPr="00FC602A">
        <w:rPr>
          <w:rFonts w:ascii="Arial" w:hAnsi="Arial" w:cs="Arial"/>
          <w:sz w:val="22"/>
          <w:szCs w:val="22"/>
        </w:rPr>
        <w:t>activities. By</w:t>
      </w:r>
      <w:r w:rsidR="004C1F3B">
        <w:rPr>
          <w:rFonts w:ascii="Arial" w:hAnsi="Arial" w:cs="Arial"/>
          <w:sz w:val="22"/>
          <w:szCs w:val="22"/>
        </w:rPr>
        <w:t xml:space="preserve"> </w:t>
      </w:r>
      <w:r w:rsidRPr="00FC602A">
        <w:rPr>
          <w:rFonts w:ascii="Arial" w:hAnsi="Arial" w:cs="Arial"/>
          <w:sz w:val="22"/>
          <w:szCs w:val="22"/>
        </w:rPr>
        <w:t>using this framework, carers can provide older persons with dementia with comfort, certainty, and emotional stability</w:t>
      </w:r>
      <w:r w:rsidR="00173E30">
        <w:rPr>
          <w:rFonts w:ascii="Arial" w:hAnsi="Arial" w:cs="Arial"/>
          <w:sz w:val="22"/>
          <w:szCs w:val="22"/>
        </w:rPr>
        <w:t>.</w:t>
      </w:r>
    </w:p>
    <w:p w14:paraId="0AAA9F22" w14:textId="77777777" w:rsidR="00173E30" w:rsidRDefault="00173E30" w:rsidP="007D3ED2">
      <w:pPr>
        <w:spacing w:line="360" w:lineRule="auto"/>
        <w:jc w:val="both"/>
        <w:rPr>
          <w:rFonts w:ascii="Arial" w:hAnsi="Arial" w:cs="Arial"/>
          <w:sz w:val="22"/>
          <w:szCs w:val="22"/>
        </w:rPr>
      </w:pPr>
    </w:p>
    <w:p w14:paraId="11E34C20" w14:textId="77777777" w:rsidR="006B2B40" w:rsidRDefault="006B2B40" w:rsidP="006B2B40">
      <w:pPr>
        <w:spacing w:line="360" w:lineRule="auto"/>
        <w:jc w:val="both"/>
        <w:rPr>
          <w:rFonts w:ascii="Arial" w:hAnsi="Arial" w:cs="Arial"/>
          <w:b/>
          <w:bCs/>
          <w:sz w:val="22"/>
          <w:szCs w:val="22"/>
        </w:rPr>
      </w:pPr>
      <w:r w:rsidRPr="006B2B40">
        <w:rPr>
          <w:rFonts w:ascii="Arial" w:hAnsi="Arial" w:cs="Arial"/>
          <w:b/>
          <w:bCs/>
          <w:sz w:val="22"/>
          <w:szCs w:val="22"/>
        </w:rPr>
        <w:t>Application of Maslow’s Theory in Dementia Care</w:t>
      </w:r>
    </w:p>
    <w:p w14:paraId="4F75CB6F" w14:textId="62533357" w:rsidR="006B2B40" w:rsidRDefault="006B2B40" w:rsidP="007D3ED2">
      <w:pPr>
        <w:spacing w:line="360" w:lineRule="auto"/>
        <w:jc w:val="both"/>
        <w:rPr>
          <w:rFonts w:ascii="Arial" w:hAnsi="Arial" w:cs="Arial"/>
          <w:sz w:val="22"/>
          <w:szCs w:val="22"/>
        </w:rPr>
      </w:pPr>
      <w:r w:rsidRPr="006B2B40">
        <w:rPr>
          <w:rFonts w:ascii="Arial" w:hAnsi="Arial" w:cs="Arial"/>
          <w:sz w:val="22"/>
          <w:szCs w:val="22"/>
        </w:rPr>
        <w:t>Applying Maslow’s Hierarchy of Needs to dementia care helps professionals understand how unmet needs can influence behaviour, emotional expression and overall wellbeing.</w:t>
      </w:r>
      <w:r>
        <w:rPr>
          <w:rFonts w:ascii="Arial" w:hAnsi="Arial" w:cs="Arial"/>
          <w:sz w:val="22"/>
          <w:szCs w:val="22"/>
        </w:rPr>
        <w:t xml:space="preserve"> </w:t>
      </w:r>
      <w:r w:rsidRPr="006B2B40">
        <w:rPr>
          <w:rFonts w:ascii="Arial" w:hAnsi="Arial" w:cs="Arial"/>
          <w:sz w:val="22"/>
          <w:szCs w:val="22"/>
        </w:rPr>
        <w:t>Making sure that the basic physiological needs are satisfied in a dementia care facility is crucial since older people may have trouble sleeping, eating, drinking, and maintaining personal hygiene</w:t>
      </w:r>
      <w:r>
        <w:rPr>
          <w:rFonts w:ascii="Arial" w:hAnsi="Arial" w:cs="Arial"/>
          <w:sz w:val="22"/>
          <w:szCs w:val="22"/>
        </w:rPr>
        <w:t xml:space="preserve">. </w:t>
      </w:r>
      <w:r w:rsidRPr="006B2B40">
        <w:rPr>
          <w:rFonts w:ascii="Arial" w:hAnsi="Arial" w:cs="Arial"/>
          <w:sz w:val="22"/>
          <w:szCs w:val="22"/>
        </w:rPr>
        <w:t>Residents may exhibit agitation, restlessness, or anxiety that indicates discomfort or confusion rather than intentional conduct when these demands are neglected (Maslow, 1943).</w:t>
      </w:r>
      <w:r>
        <w:rPr>
          <w:rFonts w:ascii="Arial" w:hAnsi="Arial" w:cs="Arial"/>
          <w:sz w:val="22"/>
          <w:szCs w:val="22"/>
        </w:rPr>
        <w:t xml:space="preserve"> </w:t>
      </w:r>
      <w:r w:rsidRPr="006B2B40">
        <w:rPr>
          <w:rFonts w:ascii="Arial" w:hAnsi="Arial" w:cs="Arial"/>
          <w:sz w:val="22"/>
          <w:szCs w:val="22"/>
        </w:rPr>
        <w:t>Effective person-centred practice is based on providing regular nutrition, water, comfortable routines, and help with personal care.</w:t>
      </w:r>
    </w:p>
    <w:p w14:paraId="7B08A85D" w14:textId="77777777" w:rsidR="006B2B40" w:rsidRDefault="006B2B40" w:rsidP="007D3ED2">
      <w:pPr>
        <w:spacing w:line="360" w:lineRule="auto"/>
        <w:jc w:val="both"/>
        <w:rPr>
          <w:rFonts w:ascii="Arial" w:hAnsi="Arial" w:cs="Arial"/>
          <w:sz w:val="22"/>
          <w:szCs w:val="22"/>
        </w:rPr>
      </w:pPr>
    </w:p>
    <w:p w14:paraId="4832A320" w14:textId="519368C7" w:rsidR="006B2B40" w:rsidRDefault="006B2B40" w:rsidP="007D3ED2">
      <w:pPr>
        <w:spacing w:line="360" w:lineRule="auto"/>
        <w:jc w:val="both"/>
        <w:rPr>
          <w:rFonts w:ascii="Arial" w:hAnsi="Arial" w:cs="Arial"/>
          <w:sz w:val="22"/>
          <w:szCs w:val="22"/>
        </w:rPr>
      </w:pPr>
      <w:r w:rsidRPr="006B2B40">
        <w:rPr>
          <w:rFonts w:ascii="Arial" w:hAnsi="Arial" w:cs="Arial"/>
          <w:sz w:val="22"/>
          <w:szCs w:val="22"/>
        </w:rPr>
        <w:t>For people with dementia, safety needs are also crucial since cognitive decline can impair direction, memory, and the capacity to identify possible threats.</w:t>
      </w:r>
      <w:r>
        <w:rPr>
          <w:rFonts w:ascii="Arial" w:hAnsi="Arial" w:cs="Arial"/>
          <w:sz w:val="22"/>
          <w:szCs w:val="22"/>
        </w:rPr>
        <w:t xml:space="preserve"> </w:t>
      </w:r>
      <w:r w:rsidRPr="006B2B40">
        <w:rPr>
          <w:rFonts w:ascii="Arial" w:hAnsi="Arial" w:cs="Arial"/>
          <w:sz w:val="22"/>
          <w:szCs w:val="22"/>
        </w:rPr>
        <w:t xml:space="preserve">Regular schedules, </w:t>
      </w:r>
      <w:r w:rsidRPr="006B2B40">
        <w:rPr>
          <w:rFonts w:ascii="Arial" w:hAnsi="Arial" w:cs="Arial"/>
          <w:sz w:val="22"/>
          <w:szCs w:val="22"/>
        </w:rPr>
        <w:lastRenderedPageBreak/>
        <w:t>comfortable surroundings, and dependable caring techniques can all help lower anxiety and foster a sense of security. Key tactics for assisting individuals in feeling safe and comfortable in their surroundings include reassurance, calm communication, and clear signs (Maslow, 1954).</w:t>
      </w:r>
      <w:r>
        <w:rPr>
          <w:rFonts w:ascii="Arial" w:hAnsi="Arial" w:cs="Arial"/>
          <w:sz w:val="22"/>
          <w:szCs w:val="22"/>
        </w:rPr>
        <w:t xml:space="preserve"> </w:t>
      </w:r>
      <w:r w:rsidRPr="006B2B40">
        <w:rPr>
          <w:rFonts w:ascii="Arial" w:hAnsi="Arial" w:cs="Arial"/>
          <w:sz w:val="22"/>
          <w:szCs w:val="22"/>
        </w:rPr>
        <w:t>When safety needs are met, individuals are more likely to remain calm and engage positively within the care home environment.</w:t>
      </w:r>
    </w:p>
    <w:p w14:paraId="46BBF83D" w14:textId="77777777" w:rsidR="006B2B40" w:rsidRDefault="006B2B40" w:rsidP="007D3ED2">
      <w:pPr>
        <w:spacing w:line="360" w:lineRule="auto"/>
        <w:jc w:val="both"/>
        <w:rPr>
          <w:rFonts w:ascii="Arial" w:hAnsi="Arial" w:cs="Arial"/>
          <w:sz w:val="22"/>
          <w:szCs w:val="22"/>
        </w:rPr>
      </w:pPr>
    </w:p>
    <w:p w14:paraId="1B4A93AC" w14:textId="27B523F7" w:rsidR="004C1F3B" w:rsidRDefault="006B2B40" w:rsidP="007D3ED2">
      <w:pPr>
        <w:spacing w:line="360" w:lineRule="auto"/>
        <w:jc w:val="both"/>
        <w:rPr>
          <w:rFonts w:ascii="Arial" w:hAnsi="Arial" w:cs="Arial"/>
          <w:sz w:val="22"/>
          <w:szCs w:val="22"/>
        </w:rPr>
      </w:pPr>
      <w:r w:rsidRPr="006B2B40">
        <w:rPr>
          <w:rFonts w:ascii="Arial" w:hAnsi="Arial" w:cs="Arial"/>
          <w:sz w:val="22"/>
          <w:szCs w:val="22"/>
        </w:rPr>
        <w:t>In dementia care settings, higher-level needs like esteem and belonging can also be fulfilled. Residents might feel appreciated and connected through social engagement, group activities, and chances to keep up relationships with staff and family</w:t>
      </w:r>
      <w:r>
        <w:rPr>
          <w:rFonts w:ascii="Arial" w:hAnsi="Arial" w:cs="Arial"/>
          <w:sz w:val="22"/>
          <w:szCs w:val="22"/>
        </w:rPr>
        <w:t xml:space="preserve">. </w:t>
      </w:r>
      <w:r w:rsidRPr="006B2B40">
        <w:rPr>
          <w:rFonts w:ascii="Arial" w:hAnsi="Arial" w:cs="Arial"/>
          <w:sz w:val="22"/>
          <w:szCs w:val="22"/>
        </w:rPr>
        <w:t xml:space="preserve">Even in situations when cognitive ability is diminished, promoting choice, respecting individual preferences, and engaging people in straightforward, meaningful tasks can foster independence and self-worth (Neher, 1991). </w:t>
      </w:r>
    </w:p>
    <w:p w14:paraId="680F175B" w14:textId="77777777" w:rsidR="00750343" w:rsidRDefault="00750343" w:rsidP="007D3ED2">
      <w:pPr>
        <w:spacing w:line="360" w:lineRule="auto"/>
        <w:jc w:val="both"/>
        <w:rPr>
          <w:rFonts w:ascii="Arial" w:hAnsi="Arial" w:cs="Arial"/>
          <w:sz w:val="22"/>
          <w:szCs w:val="22"/>
        </w:rPr>
      </w:pPr>
    </w:p>
    <w:p w14:paraId="6DB24F05" w14:textId="343671B6" w:rsidR="00E63552" w:rsidRDefault="006B2B40" w:rsidP="007D3ED2">
      <w:pPr>
        <w:spacing w:line="360" w:lineRule="auto"/>
        <w:jc w:val="both"/>
        <w:rPr>
          <w:rFonts w:ascii="Arial" w:hAnsi="Arial" w:cs="Arial"/>
          <w:sz w:val="22"/>
          <w:szCs w:val="22"/>
        </w:rPr>
      </w:pPr>
      <w:r w:rsidRPr="006B2B40">
        <w:rPr>
          <w:rFonts w:ascii="Arial" w:hAnsi="Arial" w:cs="Arial"/>
          <w:sz w:val="22"/>
          <w:szCs w:val="22"/>
        </w:rPr>
        <w:t>The fast-paced atmosphere of care homes, cognitive fluctuations, and communication issues can all make it challenging to apply the hierarchy.</w:t>
      </w:r>
    </w:p>
    <w:p w14:paraId="1EF816B5" w14:textId="77777777" w:rsidR="00E63552" w:rsidRPr="00E63552" w:rsidRDefault="00E63552" w:rsidP="007D3ED2">
      <w:pPr>
        <w:spacing w:line="360" w:lineRule="auto"/>
        <w:jc w:val="both"/>
        <w:rPr>
          <w:rFonts w:ascii="Arial" w:hAnsi="Arial" w:cs="Arial"/>
          <w:sz w:val="22"/>
          <w:szCs w:val="22"/>
        </w:rPr>
      </w:pPr>
    </w:p>
    <w:p w14:paraId="31A5F355" w14:textId="05C19E7A" w:rsidR="00F87821" w:rsidRDefault="006B2B40" w:rsidP="007D3ED2">
      <w:pPr>
        <w:spacing w:line="360" w:lineRule="auto"/>
        <w:jc w:val="both"/>
        <w:rPr>
          <w:rFonts w:ascii="Arial" w:hAnsi="Arial" w:cs="Arial"/>
          <w:b/>
          <w:bCs/>
          <w:sz w:val="22"/>
          <w:szCs w:val="22"/>
        </w:rPr>
      </w:pPr>
      <w:r>
        <w:rPr>
          <w:rFonts w:ascii="Arial" w:hAnsi="Arial" w:cs="Arial"/>
          <w:b/>
          <w:bCs/>
          <w:sz w:val="22"/>
          <w:szCs w:val="22"/>
        </w:rPr>
        <w:t>Discussion</w:t>
      </w:r>
    </w:p>
    <w:p w14:paraId="415CB489" w14:textId="2CE56D36" w:rsidR="00F87821" w:rsidRDefault="00F87821" w:rsidP="007D3ED2">
      <w:pPr>
        <w:spacing w:line="360" w:lineRule="auto"/>
        <w:jc w:val="both"/>
        <w:rPr>
          <w:rFonts w:ascii="Arial" w:hAnsi="Arial" w:cs="Arial"/>
          <w:sz w:val="22"/>
          <w:szCs w:val="22"/>
        </w:rPr>
      </w:pPr>
      <w:r w:rsidRPr="00F87821">
        <w:rPr>
          <w:rFonts w:ascii="Arial" w:hAnsi="Arial" w:cs="Arial"/>
          <w:sz w:val="22"/>
          <w:szCs w:val="22"/>
        </w:rPr>
        <w:t>Although they give distinct kinds of insight, Erikson's Psychosocial Theory and Maslow's Hierarchy of Needs both offer helpful frameworks for comprehending the psychological experiences of older persons with dementia. Erikson's theory concentrates on the emotional and developmental challenges of later life, especially the struggle between honesty and hopelessness. This viewpoint aids professionals in comprehending how distress or withdrawal may result from memory loss, disorientation, and loss of independence interfering with the life review process (Erikson, 1963).</w:t>
      </w:r>
      <w:r>
        <w:rPr>
          <w:rFonts w:ascii="Arial" w:hAnsi="Arial" w:cs="Arial"/>
          <w:sz w:val="22"/>
          <w:szCs w:val="22"/>
        </w:rPr>
        <w:t xml:space="preserve"> </w:t>
      </w:r>
      <w:r w:rsidRPr="00F87821">
        <w:rPr>
          <w:rFonts w:ascii="Arial" w:hAnsi="Arial" w:cs="Arial"/>
          <w:sz w:val="22"/>
          <w:szCs w:val="22"/>
        </w:rPr>
        <w:t>Staff members can embrace strategies that promote identity, dignity, and emotional expression by realising that many behaviours are attempts to manage this psychological conflict</w:t>
      </w:r>
      <w:r>
        <w:rPr>
          <w:rFonts w:ascii="Arial" w:hAnsi="Arial" w:cs="Arial"/>
          <w:sz w:val="22"/>
          <w:szCs w:val="22"/>
        </w:rPr>
        <w:t>.</w:t>
      </w:r>
    </w:p>
    <w:p w14:paraId="7F63DB78" w14:textId="77777777" w:rsidR="00F87821" w:rsidRDefault="00F87821" w:rsidP="007D3ED2">
      <w:pPr>
        <w:spacing w:line="360" w:lineRule="auto"/>
        <w:jc w:val="both"/>
        <w:rPr>
          <w:rFonts w:ascii="Arial" w:hAnsi="Arial" w:cs="Arial"/>
          <w:sz w:val="22"/>
          <w:szCs w:val="22"/>
        </w:rPr>
      </w:pPr>
    </w:p>
    <w:p w14:paraId="31AD86E4" w14:textId="60F0E2A1" w:rsidR="00F87821" w:rsidRDefault="00F87821" w:rsidP="007D3ED2">
      <w:pPr>
        <w:spacing w:line="360" w:lineRule="auto"/>
        <w:jc w:val="both"/>
        <w:rPr>
          <w:rFonts w:ascii="Arial" w:hAnsi="Arial" w:cs="Arial"/>
          <w:sz w:val="22"/>
          <w:szCs w:val="22"/>
        </w:rPr>
      </w:pPr>
      <w:r w:rsidRPr="00F87821">
        <w:rPr>
          <w:rFonts w:ascii="Arial" w:hAnsi="Arial" w:cs="Arial"/>
          <w:sz w:val="22"/>
          <w:szCs w:val="22"/>
        </w:rPr>
        <w:t>A more useful framework for comprehending how unfulfilled wants at various levels may affect conduct is provided by Maslow's hierarchy. The approach assists staff in determining whether discomfort, hunger, anxiety, lack of routine, or restricted social engagement may be linked to agitation, disorientation, or low mood (Maslow, 1943).</w:t>
      </w:r>
      <w:r>
        <w:rPr>
          <w:rFonts w:ascii="Arial" w:hAnsi="Arial" w:cs="Arial"/>
          <w:sz w:val="22"/>
          <w:szCs w:val="22"/>
        </w:rPr>
        <w:t xml:space="preserve"> </w:t>
      </w:r>
      <w:r w:rsidRPr="00F87821">
        <w:rPr>
          <w:rFonts w:ascii="Arial" w:hAnsi="Arial" w:cs="Arial"/>
          <w:sz w:val="22"/>
          <w:szCs w:val="22"/>
        </w:rPr>
        <w:t>It pushes practitioners to consider the entire spectrum of social, emotional, and physical requirements that must be satisfied in dementia care environments in order to preserve wellness.</w:t>
      </w:r>
      <w:r>
        <w:rPr>
          <w:rFonts w:ascii="Arial" w:hAnsi="Arial" w:cs="Arial"/>
          <w:sz w:val="22"/>
          <w:szCs w:val="22"/>
        </w:rPr>
        <w:t xml:space="preserve"> </w:t>
      </w:r>
    </w:p>
    <w:p w14:paraId="03020BB1" w14:textId="77777777" w:rsidR="00F87821" w:rsidRDefault="00F87821" w:rsidP="007D3ED2">
      <w:pPr>
        <w:spacing w:line="360" w:lineRule="auto"/>
        <w:jc w:val="both"/>
        <w:rPr>
          <w:rFonts w:ascii="Arial" w:hAnsi="Arial" w:cs="Arial"/>
          <w:sz w:val="22"/>
          <w:szCs w:val="22"/>
        </w:rPr>
      </w:pPr>
    </w:p>
    <w:p w14:paraId="5D130D8E" w14:textId="14333081" w:rsidR="00F87821" w:rsidRPr="00F87821" w:rsidRDefault="00F87821" w:rsidP="007D3ED2">
      <w:pPr>
        <w:spacing w:line="360" w:lineRule="auto"/>
        <w:jc w:val="both"/>
        <w:rPr>
          <w:rFonts w:ascii="Arial" w:hAnsi="Arial" w:cs="Arial"/>
          <w:sz w:val="22"/>
          <w:szCs w:val="22"/>
        </w:rPr>
      </w:pPr>
      <w:r w:rsidRPr="00F87821">
        <w:rPr>
          <w:rFonts w:ascii="Arial" w:hAnsi="Arial" w:cs="Arial"/>
          <w:sz w:val="22"/>
          <w:szCs w:val="22"/>
        </w:rPr>
        <w:t>Although both theories are valuable, they also have limitations.</w:t>
      </w:r>
      <w:r>
        <w:rPr>
          <w:rFonts w:ascii="Arial" w:hAnsi="Arial" w:cs="Arial"/>
          <w:sz w:val="22"/>
          <w:szCs w:val="22"/>
        </w:rPr>
        <w:t xml:space="preserve"> </w:t>
      </w:r>
      <w:r w:rsidRPr="00F87821">
        <w:rPr>
          <w:rFonts w:ascii="Arial" w:hAnsi="Arial" w:cs="Arial"/>
          <w:sz w:val="22"/>
          <w:szCs w:val="22"/>
        </w:rPr>
        <w:t>Erikson’s model may be difficult to apply for residents with advanced dementia, as cognitive decline can limit the ability to engage in reflective activities.</w:t>
      </w:r>
      <w:r>
        <w:rPr>
          <w:rFonts w:ascii="Arial" w:hAnsi="Arial" w:cs="Arial"/>
          <w:sz w:val="22"/>
          <w:szCs w:val="22"/>
        </w:rPr>
        <w:t xml:space="preserve"> </w:t>
      </w:r>
      <w:r w:rsidRPr="00F87821">
        <w:rPr>
          <w:rFonts w:ascii="Arial" w:hAnsi="Arial" w:cs="Arial"/>
          <w:sz w:val="22"/>
          <w:szCs w:val="22"/>
        </w:rPr>
        <w:t xml:space="preserve">In hectic care settings, where conflicting demands might </w:t>
      </w:r>
      <w:r w:rsidRPr="00F87821">
        <w:rPr>
          <w:rFonts w:ascii="Arial" w:hAnsi="Arial" w:cs="Arial"/>
          <w:sz w:val="22"/>
          <w:szCs w:val="22"/>
        </w:rPr>
        <w:lastRenderedPageBreak/>
        <w:t>make it difficult to satisfy requirements at every level, Maslow's hierarchy may be difficult to fully execute.</w:t>
      </w:r>
      <w:r>
        <w:rPr>
          <w:rFonts w:ascii="Arial" w:hAnsi="Arial" w:cs="Arial"/>
          <w:sz w:val="22"/>
          <w:szCs w:val="22"/>
        </w:rPr>
        <w:t xml:space="preserve"> </w:t>
      </w:r>
      <w:r w:rsidRPr="00F87821">
        <w:rPr>
          <w:rFonts w:ascii="Arial" w:hAnsi="Arial" w:cs="Arial"/>
          <w:sz w:val="22"/>
          <w:szCs w:val="22"/>
        </w:rPr>
        <w:t>However, combining both theories provides a more complete understanding of the resident.</w:t>
      </w:r>
      <w:r>
        <w:rPr>
          <w:rFonts w:ascii="Arial" w:hAnsi="Arial" w:cs="Arial"/>
          <w:sz w:val="22"/>
          <w:szCs w:val="22"/>
        </w:rPr>
        <w:t xml:space="preserve"> </w:t>
      </w:r>
      <w:r w:rsidRPr="00F87821">
        <w:rPr>
          <w:rFonts w:ascii="Arial" w:hAnsi="Arial" w:cs="Arial"/>
          <w:sz w:val="22"/>
          <w:szCs w:val="22"/>
        </w:rPr>
        <w:t>While Maslow's hierarchy guarantees that basic and psychological needs are satisfied, Erikson's theory emphasises the significance of meaning, identity, and emotional support (Neher, 1991).</w:t>
      </w:r>
      <w:r w:rsidR="00817BE4">
        <w:rPr>
          <w:rFonts w:ascii="Arial" w:hAnsi="Arial" w:cs="Arial"/>
          <w:sz w:val="22"/>
          <w:szCs w:val="22"/>
        </w:rPr>
        <w:t xml:space="preserve"> </w:t>
      </w:r>
      <w:r w:rsidR="00817BE4" w:rsidRPr="00817BE4">
        <w:rPr>
          <w:rFonts w:ascii="Arial" w:hAnsi="Arial" w:cs="Arial"/>
          <w:sz w:val="22"/>
          <w:szCs w:val="22"/>
        </w:rPr>
        <w:t>Using both perspectives together enables health and social care professionals to provide more compassionate, person-centred care for older adults living with dementia.</w:t>
      </w:r>
    </w:p>
    <w:p w14:paraId="4FDDB33A" w14:textId="77777777" w:rsidR="000718FF" w:rsidRDefault="000718FF" w:rsidP="000718FF">
      <w:pPr>
        <w:spacing w:line="360" w:lineRule="auto"/>
        <w:jc w:val="both"/>
        <w:rPr>
          <w:rFonts w:ascii="Arial" w:hAnsi="Arial" w:cs="Arial"/>
          <w:color w:val="000000"/>
          <w:sz w:val="22"/>
          <w:szCs w:val="22"/>
        </w:rPr>
      </w:pPr>
    </w:p>
    <w:p w14:paraId="07319E20" w14:textId="3930A5C6" w:rsidR="000718FF" w:rsidRDefault="00000000" w:rsidP="000718FF">
      <w:pPr>
        <w:spacing w:line="360" w:lineRule="auto"/>
        <w:jc w:val="both"/>
        <w:rPr>
          <w:rFonts w:ascii="Arial" w:hAnsi="Arial" w:cs="Arial"/>
          <w:b/>
          <w:bCs/>
          <w:sz w:val="22"/>
          <w:szCs w:val="22"/>
        </w:rPr>
      </w:pPr>
      <w:r>
        <w:rPr>
          <w:rFonts w:ascii="Arial" w:hAnsi="Arial" w:cs="Arial"/>
          <w:b/>
          <w:bCs/>
          <w:sz w:val="22"/>
          <w:szCs w:val="22"/>
        </w:rPr>
        <w:t>Conclusion</w:t>
      </w:r>
    </w:p>
    <w:p w14:paraId="5D1D80A9" w14:textId="5A2D10E1" w:rsidR="000718FF" w:rsidRDefault="00817BE4" w:rsidP="007D3ED2">
      <w:pPr>
        <w:spacing w:line="360" w:lineRule="auto"/>
        <w:jc w:val="both"/>
        <w:rPr>
          <w:rFonts w:ascii="Arial" w:hAnsi="Arial" w:cs="Arial"/>
          <w:sz w:val="22"/>
          <w:szCs w:val="22"/>
        </w:rPr>
      </w:pPr>
      <w:r w:rsidRPr="00817BE4">
        <w:rPr>
          <w:rFonts w:ascii="Arial" w:hAnsi="Arial" w:cs="Arial"/>
          <w:sz w:val="22"/>
          <w:szCs w:val="22"/>
        </w:rPr>
        <w:t>Understanding psychological theories is essential for supporting older adults living with dementia, as these frameworks help explain the emotional, behavioural and cognitive challenges associated with the condition.</w:t>
      </w:r>
      <w:r w:rsidR="004C1F3B">
        <w:rPr>
          <w:rFonts w:ascii="Arial" w:hAnsi="Arial" w:cs="Arial"/>
          <w:sz w:val="22"/>
          <w:szCs w:val="22"/>
        </w:rPr>
        <w:t xml:space="preserve"> </w:t>
      </w:r>
      <w:r w:rsidRPr="00817BE4">
        <w:rPr>
          <w:rFonts w:ascii="Arial" w:hAnsi="Arial" w:cs="Arial"/>
          <w:sz w:val="22"/>
          <w:szCs w:val="22"/>
        </w:rPr>
        <w:t>Erikson’s Psychosocial Theory illustrates how dementia can interfere with the final life stage, where individuals struggle to make meaning of their experiences and gain a feeling of integrity (Erikson, 1963). This procedure is significantly more difficult when memory or identity is compromised, and residents may experience distress or confusion.</w:t>
      </w:r>
    </w:p>
    <w:p w14:paraId="674791C2" w14:textId="77777777" w:rsidR="00817BE4" w:rsidRDefault="00817BE4" w:rsidP="007D3ED2">
      <w:pPr>
        <w:spacing w:line="360" w:lineRule="auto"/>
        <w:jc w:val="both"/>
        <w:rPr>
          <w:rFonts w:ascii="Arial" w:hAnsi="Arial" w:cs="Arial"/>
          <w:sz w:val="22"/>
          <w:szCs w:val="22"/>
        </w:rPr>
      </w:pPr>
    </w:p>
    <w:p w14:paraId="51540AAC" w14:textId="55FDE32A" w:rsidR="00817BE4" w:rsidRDefault="00817BE4" w:rsidP="007D3ED2">
      <w:pPr>
        <w:spacing w:line="360" w:lineRule="auto"/>
        <w:jc w:val="both"/>
        <w:rPr>
          <w:rFonts w:ascii="Arial" w:hAnsi="Arial" w:cs="Arial"/>
          <w:sz w:val="22"/>
          <w:szCs w:val="22"/>
        </w:rPr>
      </w:pPr>
      <w:r w:rsidRPr="00817BE4">
        <w:rPr>
          <w:rFonts w:ascii="Arial" w:hAnsi="Arial" w:cs="Arial"/>
          <w:sz w:val="22"/>
          <w:szCs w:val="22"/>
        </w:rPr>
        <w:t>A methodical approach to comprehending how unfulfilled physical, emotional, or social needs might impact wellbeing is offered by Maslow's Hierarchy of Needs (Maslow, 1943). This approach assists workers in determining whether a resident's behaviour may be influenced by discomfort, fear, or loneliness. In dementia care, where people may find it difficult to express their requirements effectively, it is particularly helpful.</w:t>
      </w:r>
    </w:p>
    <w:p w14:paraId="1C23493A" w14:textId="77777777" w:rsidR="00817BE4" w:rsidRDefault="00817BE4" w:rsidP="007D3ED2">
      <w:pPr>
        <w:spacing w:line="360" w:lineRule="auto"/>
        <w:jc w:val="both"/>
        <w:rPr>
          <w:rFonts w:ascii="Arial" w:hAnsi="Arial" w:cs="Arial"/>
          <w:sz w:val="22"/>
          <w:szCs w:val="22"/>
        </w:rPr>
      </w:pPr>
    </w:p>
    <w:p w14:paraId="3EC21EB5" w14:textId="0DED5E0F" w:rsidR="00817BE4" w:rsidRPr="007D3ED2" w:rsidRDefault="00817BE4" w:rsidP="007D3ED2">
      <w:pPr>
        <w:spacing w:line="360" w:lineRule="auto"/>
        <w:jc w:val="both"/>
        <w:rPr>
          <w:rFonts w:ascii="Arial" w:hAnsi="Arial" w:cs="Arial"/>
          <w:sz w:val="22"/>
          <w:szCs w:val="22"/>
        </w:rPr>
      </w:pPr>
      <w:r w:rsidRPr="00817BE4">
        <w:rPr>
          <w:rFonts w:ascii="Arial" w:hAnsi="Arial" w:cs="Arial"/>
          <w:sz w:val="22"/>
          <w:szCs w:val="22"/>
        </w:rPr>
        <w:t>Combining the two ideologies enables professionals to provide better person-centred</w:t>
      </w:r>
      <w:r w:rsidR="00522580">
        <w:rPr>
          <w:rFonts w:ascii="Arial" w:hAnsi="Arial" w:cs="Arial"/>
          <w:sz w:val="22"/>
          <w:szCs w:val="22"/>
        </w:rPr>
        <w:t xml:space="preserve"> </w:t>
      </w:r>
      <w:r w:rsidRPr="00817BE4">
        <w:rPr>
          <w:rFonts w:ascii="Arial" w:hAnsi="Arial" w:cs="Arial"/>
          <w:sz w:val="22"/>
          <w:szCs w:val="22"/>
        </w:rPr>
        <w:t>service. They follow Maslow's philosophy to make sure that social connections, safety, and fundamental</w:t>
      </w:r>
      <w:r w:rsidR="00522580">
        <w:rPr>
          <w:rFonts w:ascii="Arial" w:hAnsi="Arial" w:cs="Arial"/>
          <w:sz w:val="22"/>
          <w:szCs w:val="22"/>
        </w:rPr>
        <w:t xml:space="preserve"> </w:t>
      </w:r>
      <w:r w:rsidRPr="00817BE4">
        <w:rPr>
          <w:rFonts w:ascii="Arial" w:hAnsi="Arial" w:cs="Arial"/>
          <w:sz w:val="22"/>
          <w:szCs w:val="22"/>
        </w:rPr>
        <w:t>requirements are met. Combining these viewpoints results in a more comprehensive understanding of the individual and enhances the general standard of care for senior citizens with dementia.</w:t>
      </w:r>
    </w:p>
    <w:p w14:paraId="0643BD68" w14:textId="77777777" w:rsidR="007D3ED2" w:rsidRDefault="007D3ED2" w:rsidP="00BA099E">
      <w:pPr>
        <w:spacing w:line="360" w:lineRule="auto"/>
        <w:jc w:val="both"/>
        <w:rPr>
          <w:rFonts w:ascii="Arial" w:hAnsi="Arial" w:cs="Arial"/>
          <w:color w:val="000000"/>
          <w:sz w:val="22"/>
          <w:szCs w:val="22"/>
        </w:rPr>
      </w:pPr>
    </w:p>
    <w:p w14:paraId="6BDC5B3A" w14:textId="77777777" w:rsidR="00226F9C" w:rsidRDefault="00226F9C">
      <w:pPr>
        <w:rPr>
          <w:rFonts w:ascii="Arial" w:hAnsi="Arial" w:cs="Arial"/>
          <w:color w:val="000000"/>
          <w:sz w:val="22"/>
          <w:szCs w:val="22"/>
        </w:rPr>
      </w:pPr>
    </w:p>
    <w:p w14:paraId="2132EB3C" w14:textId="77777777" w:rsidR="008E705D" w:rsidRDefault="008E705D">
      <w:pPr>
        <w:rPr>
          <w:rFonts w:ascii="Arial" w:hAnsi="Arial" w:cs="Arial"/>
          <w:color w:val="000000"/>
          <w:sz w:val="22"/>
          <w:szCs w:val="22"/>
        </w:rPr>
      </w:pPr>
    </w:p>
    <w:p w14:paraId="729200AB" w14:textId="77777777" w:rsidR="00817BE4" w:rsidRDefault="00817BE4">
      <w:pPr>
        <w:rPr>
          <w:rFonts w:ascii="Arial" w:hAnsi="Arial" w:cs="Arial"/>
          <w:color w:val="000000"/>
          <w:sz w:val="22"/>
          <w:szCs w:val="22"/>
        </w:rPr>
      </w:pPr>
    </w:p>
    <w:p w14:paraId="6612814E" w14:textId="77777777" w:rsidR="00750343" w:rsidRDefault="00750343">
      <w:pPr>
        <w:rPr>
          <w:rFonts w:ascii="Arial" w:hAnsi="Arial" w:cs="Arial"/>
          <w:color w:val="000000"/>
          <w:sz w:val="22"/>
          <w:szCs w:val="22"/>
        </w:rPr>
      </w:pPr>
    </w:p>
    <w:p w14:paraId="29E6B9D7" w14:textId="77777777" w:rsidR="00750343" w:rsidRDefault="00750343">
      <w:pPr>
        <w:rPr>
          <w:rFonts w:ascii="Arial" w:hAnsi="Arial" w:cs="Arial"/>
          <w:color w:val="000000"/>
          <w:sz w:val="22"/>
          <w:szCs w:val="22"/>
        </w:rPr>
      </w:pPr>
    </w:p>
    <w:p w14:paraId="6DF24DAC" w14:textId="77777777" w:rsidR="00750343" w:rsidRDefault="00750343">
      <w:pPr>
        <w:rPr>
          <w:rFonts w:ascii="Arial" w:hAnsi="Arial" w:cs="Arial"/>
          <w:color w:val="000000"/>
          <w:sz w:val="22"/>
          <w:szCs w:val="22"/>
        </w:rPr>
      </w:pPr>
    </w:p>
    <w:p w14:paraId="6F7864DE" w14:textId="77777777" w:rsidR="00817BE4" w:rsidRDefault="00817BE4">
      <w:pPr>
        <w:rPr>
          <w:rFonts w:ascii="Arial" w:hAnsi="Arial" w:cs="Arial"/>
          <w:color w:val="000000"/>
          <w:sz w:val="22"/>
          <w:szCs w:val="22"/>
        </w:rPr>
      </w:pPr>
    </w:p>
    <w:p w14:paraId="5D014E45" w14:textId="77777777" w:rsidR="00817BE4" w:rsidRDefault="00817BE4">
      <w:pPr>
        <w:rPr>
          <w:rFonts w:ascii="Arial" w:hAnsi="Arial" w:cs="Arial"/>
          <w:color w:val="000000"/>
          <w:sz w:val="22"/>
          <w:szCs w:val="22"/>
        </w:rPr>
      </w:pPr>
    </w:p>
    <w:p w14:paraId="78BEFD36" w14:textId="77777777" w:rsidR="004C1F3B" w:rsidRDefault="004C1F3B">
      <w:pPr>
        <w:rPr>
          <w:rFonts w:ascii="Arial" w:hAnsi="Arial" w:cs="Arial"/>
          <w:color w:val="000000"/>
          <w:sz w:val="22"/>
          <w:szCs w:val="22"/>
        </w:rPr>
      </w:pPr>
    </w:p>
    <w:p w14:paraId="265BFA43" w14:textId="77777777" w:rsidR="004C1F3B" w:rsidRDefault="004C1F3B">
      <w:pPr>
        <w:rPr>
          <w:rFonts w:ascii="Arial" w:hAnsi="Arial" w:cs="Arial"/>
          <w:color w:val="000000"/>
          <w:sz w:val="22"/>
          <w:szCs w:val="22"/>
        </w:rPr>
      </w:pPr>
    </w:p>
    <w:p w14:paraId="5EA4F254" w14:textId="77777777" w:rsidR="004C1F3B" w:rsidRDefault="004C1F3B">
      <w:pPr>
        <w:rPr>
          <w:rFonts w:ascii="Arial" w:hAnsi="Arial" w:cs="Arial"/>
          <w:color w:val="000000"/>
          <w:sz w:val="22"/>
          <w:szCs w:val="22"/>
        </w:rPr>
      </w:pPr>
    </w:p>
    <w:p w14:paraId="15496213" w14:textId="77777777" w:rsidR="00817BE4" w:rsidRDefault="00817BE4">
      <w:pPr>
        <w:rPr>
          <w:rFonts w:ascii="Arial" w:hAnsi="Arial" w:cs="Arial"/>
          <w:color w:val="000000"/>
          <w:sz w:val="22"/>
          <w:szCs w:val="22"/>
        </w:rPr>
      </w:pPr>
    </w:p>
    <w:p w14:paraId="6BA23F58" w14:textId="77777777" w:rsidR="00E63552" w:rsidRDefault="00E63552">
      <w:pPr>
        <w:rPr>
          <w:rFonts w:ascii="Arial" w:hAnsi="Arial" w:cs="Arial"/>
          <w:color w:val="000000"/>
          <w:sz w:val="22"/>
          <w:szCs w:val="22"/>
        </w:rPr>
      </w:pPr>
    </w:p>
    <w:p w14:paraId="1A57428E" w14:textId="77777777" w:rsidR="004C1F3B" w:rsidRDefault="004C1F3B">
      <w:pPr>
        <w:rPr>
          <w:rFonts w:ascii="Arial" w:hAnsi="Arial" w:cs="Arial"/>
          <w:color w:val="000000"/>
          <w:sz w:val="22"/>
          <w:szCs w:val="22"/>
        </w:rPr>
      </w:pPr>
    </w:p>
    <w:p w14:paraId="57C571CD" w14:textId="77777777" w:rsidR="00817BE4" w:rsidRDefault="00817BE4">
      <w:pPr>
        <w:rPr>
          <w:rFonts w:ascii="Arial" w:hAnsi="Arial" w:cs="Arial"/>
          <w:color w:val="000000"/>
          <w:sz w:val="22"/>
          <w:szCs w:val="22"/>
        </w:rPr>
      </w:pPr>
    </w:p>
    <w:p w14:paraId="6F02F21F" w14:textId="77777777" w:rsidR="00817BE4" w:rsidRPr="002531D1" w:rsidRDefault="00817BE4">
      <w:pPr>
        <w:rPr>
          <w:rFonts w:ascii="Arial" w:hAnsi="Arial" w:cs="Arial"/>
          <w:color w:val="000000"/>
          <w:sz w:val="22"/>
          <w:szCs w:val="22"/>
        </w:rPr>
      </w:pPr>
    </w:p>
    <w:p w14:paraId="4C0E7202" w14:textId="2A378B06" w:rsidR="006D409F" w:rsidRPr="002531D1" w:rsidRDefault="00000000">
      <w:pPr>
        <w:rPr>
          <w:rFonts w:ascii="Arial" w:hAnsi="Arial" w:cs="Arial"/>
          <w:b/>
          <w:bCs/>
          <w:color w:val="000000"/>
          <w:sz w:val="22"/>
          <w:szCs w:val="22"/>
        </w:rPr>
      </w:pPr>
      <w:r w:rsidRPr="002531D1">
        <w:rPr>
          <w:rFonts w:ascii="Arial" w:hAnsi="Arial" w:cs="Arial"/>
          <w:b/>
          <w:bCs/>
          <w:color w:val="000000"/>
          <w:sz w:val="22"/>
          <w:szCs w:val="22"/>
        </w:rPr>
        <w:t>R</w:t>
      </w:r>
      <w:r w:rsidR="00FE7ED8">
        <w:rPr>
          <w:rFonts w:ascii="Arial" w:hAnsi="Arial" w:cs="Arial"/>
          <w:b/>
          <w:bCs/>
          <w:color w:val="000000"/>
          <w:sz w:val="22"/>
          <w:szCs w:val="22"/>
        </w:rPr>
        <w:t>EFERENCE LIST:</w:t>
      </w:r>
      <w:r w:rsidRPr="002531D1">
        <w:rPr>
          <w:rFonts w:ascii="Arial" w:hAnsi="Arial" w:cs="Arial"/>
          <w:b/>
          <w:bCs/>
          <w:color w:val="000000"/>
          <w:sz w:val="22"/>
          <w:szCs w:val="22"/>
        </w:rPr>
        <w:t xml:space="preserve"> </w:t>
      </w:r>
    </w:p>
    <w:p w14:paraId="21C43C7A" w14:textId="77777777" w:rsidR="00A71DF1" w:rsidRPr="00A71DF1" w:rsidRDefault="00A71DF1" w:rsidP="00A71DF1">
      <w:pPr>
        <w:spacing w:before="100" w:beforeAutospacing="1" w:after="100" w:afterAutospacing="1"/>
        <w:rPr>
          <w:rFonts w:ascii="Arial" w:hAnsi="Arial" w:cs="Arial"/>
          <w:color w:val="000000"/>
          <w:sz w:val="22"/>
          <w:szCs w:val="22"/>
        </w:rPr>
      </w:pPr>
      <w:r w:rsidRPr="00A71DF1">
        <w:rPr>
          <w:rFonts w:ascii="Arial" w:hAnsi="Arial" w:cs="Arial"/>
          <w:color w:val="000000"/>
          <w:sz w:val="22"/>
          <w:szCs w:val="22"/>
        </w:rPr>
        <w:t>Erikson, E.H. (1950) Childhood and Society. New York: W. W. Norton.</w:t>
      </w:r>
    </w:p>
    <w:p w14:paraId="0050D403" w14:textId="77777777" w:rsidR="00A71DF1" w:rsidRDefault="00A71DF1" w:rsidP="00A71DF1">
      <w:pPr>
        <w:spacing w:before="100" w:beforeAutospacing="1" w:after="100" w:afterAutospacing="1"/>
        <w:rPr>
          <w:rFonts w:ascii="Arial" w:hAnsi="Arial" w:cs="Arial"/>
          <w:color w:val="000000"/>
          <w:sz w:val="22"/>
          <w:szCs w:val="22"/>
        </w:rPr>
      </w:pPr>
      <w:r w:rsidRPr="00A71DF1">
        <w:rPr>
          <w:rFonts w:ascii="Arial" w:hAnsi="Arial" w:cs="Arial"/>
          <w:color w:val="000000"/>
          <w:sz w:val="22"/>
          <w:szCs w:val="22"/>
        </w:rPr>
        <w:t>Erikson, E.H. (1963) Youth: Change and Challenge. New York: Basic Books.</w:t>
      </w:r>
    </w:p>
    <w:p w14:paraId="2CB0F055" w14:textId="77777777" w:rsidR="0022522A" w:rsidRPr="0022522A" w:rsidRDefault="0022522A" w:rsidP="0022522A">
      <w:pPr>
        <w:spacing w:before="100" w:beforeAutospacing="1" w:after="100" w:afterAutospacing="1"/>
        <w:rPr>
          <w:rFonts w:ascii="Arial" w:hAnsi="Arial" w:cs="Arial"/>
          <w:color w:val="000000"/>
          <w:sz w:val="22"/>
          <w:szCs w:val="22"/>
        </w:rPr>
      </w:pPr>
      <w:r w:rsidRPr="0022522A">
        <w:rPr>
          <w:rFonts w:ascii="Arial" w:hAnsi="Arial" w:cs="Arial"/>
          <w:color w:val="000000"/>
          <w:sz w:val="22"/>
          <w:szCs w:val="22"/>
        </w:rPr>
        <w:t>Maslow, A.H. (1943) ‘A theory of human motivation’, Psychological Review, 50(4), pp. 370–396.</w:t>
      </w:r>
    </w:p>
    <w:p w14:paraId="1B00C5AC" w14:textId="77777777" w:rsidR="0022522A" w:rsidRDefault="0022522A" w:rsidP="0022522A">
      <w:pPr>
        <w:spacing w:before="100" w:beforeAutospacing="1" w:after="100" w:afterAutospacing="1"/>
        <w:rPr>
          <w:rFonts w:ascii="Arial" w:hAnsi="Arial" w:cs="Arial"/>
          <w:color w:val="000000"/>
          <w:sz w:val="22"/>
          <w:szCs w:val="22"/>
        </w:rPr>
      </w:pPr>
      <w:r w:rsidRPr="0022522A">
        <w:rPr>
          <w:rFonts w:ascii="Arial" w:hAnsi="Arial" w:cs="Arial"/>
          <w:color w:val="000000"/>
          <w:sz w:val="22"/>
          <w:szCs w:val="22"/>
        </w:rPr>
        <w:t>Maslow, A.H. (1954) Motivation and Personality. New York: Harper &amp; Row.</w:t>
      </w:r>
    </w:p>
    <w:p w14:paraId="47187FA9" w14:textId="3ED46BCE" w:rsidR="00B85E88" w:rsidRPr="0022522A" w:rsidRDefault="00B85E88" w:rsidP="0022522A">
      <w:pPr>
        <w:spacing w:before="100" w:beforeAutospacing="1" w:after="100" w:afterAutospacing="1"/>
        <w:rPr>
          <w:rFonts w:ascii="Arial" w:hAnsi="Arial" w:cs="Arial"/>
          <w:color w:val="000000"/>
          <w:sz w:val="22"/>
          <w:szCs w:val="22"/>
        </w:rPr>
      </w:pPr>
      <w:r w:rsidRPr="00B85E88">
        <w:rPr>
          <w:rFonts w:ascii="Arial" w:hAnsi="Arial" w:cs="Arial"/>
          <w:color w:val="000000"/>
          <w:sz w:val="22"/>
          <w:szCs w:val="22"/>
        </w:rPr>
        <w:t xml:space="preserve">National Institute for Health and Care Excellence (2022) Dementia: assessment, management and support for people living with dementia and their </w:t>
      </w:r>
      <w:proofErr w:type="spellStart"/>
      <w:r w:rsidRPr="00B85E88">
        <w:rPr>
          <w:rFonts w:ascii="Arial" w:hAnsi="Arial" w:cs="Arial"/>
          <w:color w:val="000000"/>
          <w:sz w:val="22"/>
          <w:szCs w:val="22"/>
        </w:rPr>
        <w:t>carers</w:t>
      </w:r>
      <w:proofErr w:type="spellEnd"/>
      <w:r w:rsidRPr="00B85E88">
        <w:rPr>
          <w:rFonts w:ascii="Arial" w:hAnsi="Arial" w:cs="Arial"/>
          <w:color w:val="000000"/>
          <w:sz w:val="22"/>
          <w:szCs w:val="22"/>
        </w:rPr>
        <w:t>. London: NICE.</w:t>
      </w:r>
    </w:p>
    <w:p w14:paraId="1F9EE3F4" w14:textId="07AC1454" w:rsidR="0022522A" w:rsidRPr="00A71DF1" w:rsidRDefault="0022522A" w:rsidP="0022522A">
      <w:pPr>
        <w:spacing w:before="100" w:beforeAutospacing="1" w:after="100" w:afterAutospacing="1"/>
        <w:rPr>
          <w:rFonts w:ascii="Arial" w:hAnsi="Arial" w:cs="Arial"/>
          <w:color w:val="000000"/>
          <w:sz w:val="22"/>
          <w:szCs w:val="22"/>
        </w:rPr>
      </w:pPr>
      <w:r w:rsidRPr="0022522A">
        <w:rPr>
          <w:rFonts w:ascii="Arial" w:hAnsi="Arial" w:cs="Arial"/>
          <w:color w:val="000000"/>
          <w:sz w:val="22"/>
          <w:szCs w:val="22"/>
        </w:rPr>
        <w:t>Neher, A. (1991) ‘Maslow’s theory of motivation: A critique’, Journal of Humanistic Psychology, 31(3), pp. 89–112.</w:t>
      </w:r>
    </w:p>
    <w:p w14:paraId="0FB3F4C6" w14:textId="37E239B4" w:rsidR="005F256D" w:rsidRDefault="00A71DF1" w:rsidP="00A71DF1">
      <w:pPr>
        <w:spacing w:before="100" w:beforeAutospacing="1" w:after="100" w:afterAutospacing="1"/>
        <w:rPr>
          <w:rFonts w:ascii="Arial" w:hAnsi="Arial" w:cs="Arial"/>
          <w:color w:val="000000"/>
          <w:sz w:val="22"/>
          <w:szCs w:val="22"/>
        </w:rPr>
      </w:pPr>
      <w:r w:rsidRPr="00A71DF1">
        <w:rPr>
          <w:rFonts w:ascii="Arial" w:hAnsi="Arial" w:cs="Arial"/>
          <w:color w:val="000000"/>
          <w:sz w:val="22"/>
          <w:szCs w:val="22"/>
        </w:rPr>
        <w:t xml:space="preserve">Newman, B.M. and Newman, P.R. (2017) Development Through Life: A Psychosocial Approach. 13th </w:t>
      </w:r>
      <w:proofErr w:type="spellStart"/>
      <w:r w:rsidRPr="00A71DF1">
        <w:rPr>
          <w:rFonts w:ascii="Arial" w:hAnsi="Arial" w:cs="Arial"/>
          <w:color w:val="000000"/>
          <w:sz w:val="22"/>
          <w:szCs w:val="22"/>
        </w:rPr>
        <w:t>edn</w:t>
      </w:r>
      <w:proofErr w:type="spellEnd"/>
      <w:r w:rsidRPr="00A71DF1">
        <w:rPr>
          <w:rFonts w:ascii="Arial" w:hAnsi="Arial" w:cs="Arial"/>
          <w:color w:val="000000"/>
          <w:sz w:val="22"/>
          <w:szCs w:val="22"/>
        </w:rPr>
        <w:t>. Boston: Cengage Learning.</w:t>
      </w:r>
    </w:p>
    <w:p w14:paraId="33D82D48" w14:textId="77777777" w:rsidR="00AF3EED" w:rsidRDefault="00AF3EED" w:rsidP="00BE3187">
      <w:pPr>
        <w:spacing w:before="100" w:beforeAutospacing="1" w:after="100" w:afterAutospacing="1"/>
        <w:rPr>
          <w:rFonts w:ascii="Arial" w:hAnsi="Arial" w:cs="Arial"/>
          <w:b/>
          <w:bCs/>
          <w:sz w:val="22"/>
          <w:szCs w:val="22"/>
        </w:rPr>
      </w:pPr>
    </w:p>
    <w:p w14:paraId="5368D168" w14:textId="25875429" w:rsidR="00AF3EED" w:rsidRPr="006E5EC3" w:rsidRDefault="00AF3EED" w:rsidP="00BE3187">
      <w:pPr>
        <w:spacing w:before="100" w:beforeAutospacing="1" w:after="100" w:afterAutospacing="1"/>
        <w:rPr>
          <w:rFonts w:ascii="Arial" w:hAnsi="Arial" w:cs="Arial"/>
          <w:b/>
          <w:bCs/>
          <w:sz w:val="22"/>
          <w:szCs w:val="22"/>
        </w:rPr>
      </w:pPr>
    </w:p>
    <w:sectPr w:rsidR="00AF3EED" w:rsidRPr="006E5EC3" w:rsidSect="006E5EC3">
      <w:footerReference w:type="even"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EEEE4" w14:textId="77777777" w:rsidR="00236AD1" w:rsidRDefault="00236AD1">
      <w:r>
        <w:separator/>
      </w:r>
    </w:p>
  </w:endnote>
  <w:endnote w:type="continuationSeparator" w:id="0">
    <w:p w14:paraId="5B7153B7" w14:textId="77777777" w:rsidR="00236AD1" w:rsidRDefault="00236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413682"/>
      <w:docPartObj>
        <w:docPartGallery w:val="Page Numbers (Bottom of Page)"/>
        <w:docPartUnique/>
      </w:docPartObj>
    </w:sdtPr>
    <w:sdtContent>
      <w:p w14:paraId="3E371844" w14:textId="4966BDA7" w:rsidR="006E5EC3" w:rsidRDefault="00000000" w:rsidP="00A029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B9FD83A" w14:textId="77777777" w:rsidR="006E5EC3" w:rsidRDefault="006E5EC3" w:rsidP="006E5E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7170502"/>
      <w:docPartObj>
        <w:docPartGallery w:val="Page Numbers (Bottom of Page)"/>
        <w:docPartUnique/>
      </w:docPartObj>
    </w:sdtPr>
    <w:sdtContent>
      <w:p w14:paraId="444CD49B" w14:textId="13DF9EAC" w:rsidR="006E5EC3" w:rsidRDefault="00000000" w:rsidP="00A029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6B68D06" w14:textId="77777777" w:rsidR="006E5EC3" w:rsidRDefault="006E5EC3" w:rsidP="006E5EC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FDC37" w14:textId="77777777" w:rsidR="00236AD1" w:rsidRDefault="00236AD1">
      <w:r>
        <w:separator/>
      </w:r>
    </w:p>
  </w:footnote>
  <w:footnote w:type="continuationSeparator" w:id="0">
    <w:p w14:paraId="5B6F2B0C" w14:textId="77777777" w:rsidR="00236AD1" w:rsidRDefault="00236A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9C7"/>
    <w:rsid w:val="000122ED"/>
    <w:rsid w:val="00022EA9"/>
    <w:rsid w:val="0002642F"/>
    <w:rsid w:val="00037EA0"/>
    <w:rsid w:val="000706AD"/>
    <w:rsid w:val="000718FF"/>
    <w:rsid w:val="0007296D"/>
    <w:rsid w:val="0007788B"/>
    <w:rsid w:val="000D4A6D"/>
    <w:rsid w:val="001632B4"/>
    <w:rsid w:val="00173E30"/>
    <w:rsid w:val="001B0861"/>
    <w:rsid w:val="001B1D66"/>
    <w:rsid w:val="0022522A"/>
    <w:rsid w:val="00226F9C"/>
    <w:rsid w:val="00236AD1"/>
    <w:rsid w:val="002531D1"/>
    <w:rsid w:val="002C6971"/>
    <w:rsid w:val="00322C80"/>
    <w:rsid w:val="003457D1"/>
    <w:rsid w:val="00356840"/>
    <w:rsid w:val="003949C4"/>
    <w:rsid w:val="003C23C4"/>
    <w:rsid w:val="004130CD"/>
    <w:rsid w:val="00430D42"/>
    <w:rsid w:val="00450224"/>
    <w:rsid w:val="00467277"/>
    <w:rsid w:val="00472F7C"/>
    <w:rsid w:val="004C1F3B"/>
    <w:rsid w:val="004D0166"/>
    <w:rsid w:val="00522580"/>
    <w:rsid w:val="00562B84"/>
    <w:rsid w:val="00564F16"/>
    <w:rsid w:val="00567657"/>
    <w:rsid w:val="005C6E0A"/>
    <w:rsid w:val="005D7BD6"/>
    <w:rsid w:val="005F256D"/>
    <w:rsid w:val="00605703"/>
    <w:rsid w:val="006620B4"/>
    <w:rsid w:val="006700C6"/>
    <w:rsid w:val="006859DF"/>
    <w:rsid w:val="006861BD"/>
    <w:rsid w:val="006868F8"/>
    <w:rsid w:val="006B27AC"/>
    <w:rsid w:val="006B2B40"/>
    <w:rsid w:val="006B79C9"/>
    <w:rsid w:val="006D409F"/>
    <w:rsid w:val="006E5EC3"/>
    <w:rsid w:val="007138E7"/>
    <w:rsid w:val="00731F5A"/>
    <w:rsid w:val="007415D4"/>
    <w:rsid w:val="00750343"/>
    <w:rsid w:val="00761798"/>
    <w:rsid w:val="007778ED"/>
    <w:rsid w:val="007D3ED2"/>
    <w:rsid w:val="00817BE4"/>
    <w:rsid w:val="00830F88"/>
    <w:rsid w:val="00863255"/>
    <w:rsid w:val="008679C7"/>
    <w:rsid w:val="008A1D19"/>
    <w:rsid w:val="008B05AE"/>
    <w:rsid w:val="008D4D3B"/>
    <w:rsid w:val="008D5E4D"/>
    <w:rsid w:val="008E705D"/>
    <w:rsid w:val="008F1E0A"/>
    <w:rsid w:val="008F225C"/>
    <w:rsid w:val="008F6B39"/>
    <w:rsid w:val="00907C38"/>
    <w:rsid w:val="0091601D"/>
    <w:rsid w:val="009200AB"/>
    <w:rsid w:val="00962D8A"/>
    <w:rsid w:val="00974806"/>
    <w:rsid w:val="009F2C58"/>
    <w:rsid w:val="00A029CE"/>
    <w:rsid w:val="00A17FEC"/>
    <w:rsid w:val="00A53601"/>
    <w:rsid w:val="00A548C2"/>
    <w:rsid w:val="00A70D8C"/>
    <w:rsid w:val="00A71DF1"/>
    <w:rsid w:val="00A7692C"/>
    <w:rsid w:val="00AE3CF1"/>
    <w:rsid w:val="00AF3EED"/>
    <w:rsid w:val="00B85E88"/>
    <w:rsid w:val="00BA099E"/>
    <w:rsid w:val="00BB52C9"/>
    <w:rsid w:val="00BE3187"/>
    <w:rsid w:val="00BF5BB3"/>
    <w:rsid w:val="00C24E49"/>
    <w:rsid w:val="00C32D05"/>
    <w:rsid w:val="00CC22FF"/>
    <w:rsid w:val="00CD1FB0"/>
    <w:rsid w:val="00CD68F8"/>
    <w:rsid w:val="00CE6A19"/>
    <w:rsid w:val="00D06B06"/>
    <w:rsid w:val="00D36D4E"/>
    <w:rsid w:val="00D469B7"/>
    <w:rsid w:val="00D716D6"/>
    <w:rsid w:val="00DB1F74"/>
    <w:rsid w:val="00DF0DCF"/>
    <w:rsid w:val="00DF61CF"/>
    <w:rsid w:val="00E06949"/>
    <w:rsid w:val="00E63552"/>
    <w:rsid w:val="00EE5CEA"/>
    <w:rsid w:val="00F26C3D"/>
    <w:rsid w:val="00F40496"/>
    <w:rsid w:val="00F47C6C"/>
    <w:rsid w:val="00F55927"/>
    <w:rsid w:val="00F6362F"/>
    <w:rsid w:val="00F77945"/>
    <w:rsid w:val="00F85D2A"/>
    <w:rsid w:val="00F87821"/>
    <w:rsid w:val="00FC602A"/>
    <w:rsid w:val="00FE7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95DE26"/>
  <w15:chartTrackingRefBased/>
  <w15:docId w15:val="{2173ECF1-4AB0-074E-9416-758D7894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9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79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79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9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9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9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9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9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9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9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79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79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9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9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9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9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9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9C7"/>
    <w:rPr>
      <w:rFonts w:eastAsiaTheme="majorEastAsia" w:cstheme="majorBidi"/>
      <w:color w:val="272727" w:themeColor="text1" w:themeTint="D8"/>
    </w:rPr>
  </w:style>
  <w:style w:type="paragraph" w:styleId="Title">
    <w:name w:val="Title"/>
    <w:basedOn w:val="Normal"/>
    <w:next w:val="Normal"/>
    <w:link w:val="TitleChar"/>
    <w:uiPriority w:val="10"/>
    <w:qFormat/>
    <w:rsid w:val="008679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9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9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9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9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79C7"/>
    <w:rPr>
      <w:i/>
      <w:iCs/>
      <w:color w:val="404040" w:themeColor="text1" w:themeTint="BF"/>
    </w:rPr>
  </w:style>
  <w:style w:type="paragraph" w:styleId="ListParagraph">
    <w:name w:val="List Paragraph"/>
    <w:basedOn w:val="Normal"/>
    <w:uiPriority w:val="34"/>
    <w:qFormat/>
    <w:rsid w:val="008679C7"/>
    <w:pPr>
      <w:ind w:left="720"/>
      <w:contextualSpacing/>
    </w:pPr>
  </w:style>
  <w:style w:type="character" w:styleId="IntenseEmphasis">
    <w:name w:val="Intense Emphasis"/>
    <w:basedOn w:val="DefaultParagraphFont"/>
    <w:uiPriority w:val="21"/>
    <w:qFormat/>
    <w:rsid w:val="008679C7"/>
    <w:rPr>
      <w:i/>
      <w:iCs/>
      <w:color w:val="0F4761" w:themeColor="accent1" w:themeShade="BF"/>
    </w:rPr>
  </w:style>
  <w:style w:type="paragraph" w:styleId="IntenseQuote">
    <w:name w:val="Intense Quote"/>
    <w:basedOn w:val="Normal"/>
    <w:next w:val="Normal"/>
    <w:link w:val="IntenseQuoteChar"/>
    <w:uiPriority w:val="30"/>
    <w:qFormat/>
    <w:rsid w:val="008679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9C7"/>
    <w:rPr>
      <w:i/>
      <w:iCs/>
      <w:color w:val="0F4761" w:themeColor="accent1" w:themeShade="BF"/>
    </w:rPr>
  </w:style>
  <w:style w:type="character" w:styleId="IntenseReference">
    <w:name w:val="Intense Reference"/>
    <w:basedOn w:val="DefaultParagraphFont"/>
    <w:uiPriority w:val="32"/>
    <w:qFormat/>
    <w:rsid w:val="008679C7"/>
    <w:rPr>
      <w:b/>
      <w:bCs/>
      <w:smallCaps/>
      <w:color w:val="0F4761" w:themeColor="accent1" w:themeShade="BF"/>
      <w:spacing w:val="5"/>
    </w:rPr>
  </w:style>
  <w:style w:type="character" w:customStyle="1" w:styleId="apple-converted-space">
    <w:name w:val="apple-converted-space"/>
    <w:basedOn w:val="DefaultParagraphFont"/>
    <w:rsid w:val="008679C7"/>
  </w:style>
  <w:style w:type="character" w:styleId="Strong">
    <w:name w:val="Strong"/>
    <w:basedOn w:val="DefaultParagraphFont"/>
    <w:uiPriority w:val="22"/>
    <w:qFormat/>
    <w:rsid w:val="008679C7"/>
    <w:rPr>
      <w:b/>
      <w:bCs/>
    </w:rPr>
  </w:style>
  <w:style w:type="character" w:styleId="Emphasis">
    <w:name w:val="Emphasis"/>
    <w:basedOn w:val="DefaultParagraphFont"/>
    <w:uiPriority w:val="20"/>
    <w:qFormat/>
    <w:rsid w:val="006D409F"/>
    <w:rPr>
      <w:i/>
      <w:iCs/>
    </w:rPr>
  </w:style>
  <w:style w:type="character" w:styleId="Hyperlink">
    <w:name w:val="Hyperlink"/>
    <w:basedOn w:val="DefaultParagraphFont"/>
    <w:uiPriority w:val="99"/>
    <w:unhideWhenUsed/>
    <w:rsid w:val="006D409F"/>
    <w:rPr>
      <w:color w:val="0000FF"/>
      <w:u w:val="single"/>
    </w:rPr>
  </w:style>
  <w:style w:type="paragraph" w:styleId="Footer">
    <w:name w:val="footer"/>
    <w:basedOn w:val="Normal"/>
    <w:link w:val="FooterChar"/>
    <w:uiPriority w:val="99"/>
    <w:unhideWhenUsed/>
    <w:rsid w:val="006E5EC3"/>
    <w:pPr>
      <w:tabs>
        <w:tab w:val="center" w:pos="4513"/>
        <w:tab w:val="right" w:pos="9026"/>
      </w:tabs>
    </w:pPr>
  </w:style>
  <w:style w:type="character" w:customStyle="1" w:styleId="FooterChar">
    <w:name w:val="Footer Char"/>
    <w:basedOn w:val="DefaultParagraphFont"/>
    <w:link w:val="Footer"/>
    <w:uiPriority w:val="99"/>
    <w:rsid w:val="006E5EC3"/>
  </w:style>
  <w:style w:type="character" w:styleId="PageNumber">
    <w:name w:val="page number"/>
    <w:basedOn w:val="DefaultParagraphFont"/>
    <w:uiPriority w:val="99"/>
    <w:semiHidden/>
    <w:unhideWhenUsed/>
    <w:rsid w:val="006E5EC3"/>
  </w:style>
  <w:style w:type="character" w:styleId="UnresolvedMention">
    <w:name w:val="Unresolved Mention"/>
    <w:basedOn w:val="DefaultParagraphFont"/>
    <w:uiPriority w:val="99"/>
    <w:semiHidden/>
    <w:unhideWhenUsed/>
    <w:rsid w:val="007138E7"/>
    <w:rPr>
      <w:color w:val="605E5C"/>
      <w:shd w:val="clear" w:color="auto" w:fill="E1DFDD"/>
    </w:rPr>
  </w:style>
  <w:style w:type="character" w:styleId="FollowedHyperlink">
    <w:name w:val="FollowedHyperlink"/>
    <w:basedOn w:val="DefaultParagraphFont"/>
    <w:uiPriority w:val="99"/>
    <w:semiHidden/>
    <w:unhideWhenUsed/>
    <w:rsid w:val="00A5360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253F1-FF79-B241-B5C3-DA1F66FFF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1343</TotalTime>
  <Pages>7</Pages>
  <Words>2001</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Rania Zeb</dc:creator>
  <cp:lastModifiedBy>Rania Zeb</cp:lastModifiedBy>
  <cp:revision>81</cp:revision>
  <dcterms:created xsi:type="dcterms:W3CDTF">2025-03-24T20:38:00Z</dcterms:created>
  <dcterms:modified xsi:type="dcterms:W3CDTF">2025-11-17T17:41:00Z</dcterms:modified>
</cp:coreProperties>
</file>