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4FF80" w14:textId="77777777" w:rsidR="0033518E" w:rsidRDefault="0033518E" w:rsidP="0033518E">
      <w:pPr>
        <w:pStyle w:val="NormalWeb"/>
        <w:spacing w:before="0" w:beforeAutospacing="0" w:after="0" w:afterAutospacing="0"/>
        <w:ind w:left="-180" w:right="-334"/>
      </w:pPr>
      <w:r>
        <w:rPr>
          <w:noProof/>
        </w:rPr>
        <w:drawing>
          <wp:inline distT="0" distB="0" distL="0" distR="0" wp14:anchorId="40BE846F" wp14:editId="67EB7C60">
            <wp:extent cx="1910080" cy="636905"/>
            <wp:effectExtent l="25400" t="25400" r="7620" b="1079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0080" cy="636905"/>
                    </a:xfrm>
                    <a:prstGeom prst="rect">
                      <a:avLst/>
                    </a:prstGeom>
                    <a:noFill/>
                    <a:ln w="19050" cmpd="sng">
                      <a:solidFill>
                        <a:srgbClr val="000000"/>
                      </a:solidFill>
                      <a:miter lim="800000"/>
                      <a:headEnd/>
                      <a:tailEnd/>
                    </a:ln>
                    <a:effectLst/>
                  </pic:spPr>
                </pic:pic>
              </a:graphicData>
            </a:graphic>
          </wp:inline>
        </w:drawing>
      </w:r>
    </w:p>
    <w:p w14:paraId="51EA98E8" w14:textId="77777777" w:rsidR="0033518E" w:rsidRDefault="0033518E" w:rsidP="0033518E">
      <w:pPr>
        <w:pStyle w:val="NormalWeb"/>
        <w:spacing w:before="0" w:beforeAutospacing="0" w:after="0" w:afterAutospacing="0"/>
        <w:ind w:left="-180" w:right="-334"/>
      </w:pPr>
    </w:p>
    <w:p w14:paraId="2FF8DA18" w14:textId="77777777" w:rsidR="0033518E" w:rsidRDefault="0033518E" w:rsidP="0033518E">
      <w:pPr>
        <w:pStyle w:val="NormalWeb"/>
        <w:spacing w:before="0" w:beforeAutospacing="0" w:after="0" w:afterAutospacing="0"/>
        <w:ind w:left="-180" w:right="-334"/>
      </w:pPr>
    </w:p>
    <w:p w14:paraId="78D38E13" w14:textId="77777777" w:rsidR="0033518E" w:rsidRDefault="0033518E" w:rsidP="0033518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6FE7A6B" w14:textId="77777777" w:rsidR="0033518E" w:rsidRPr="00230F35" w:rsidRDefault="0033518E" w:rsidP="0033518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BAB3D1A" w14:textId="77777777" w:rsidR="0033518E" w:rsidRDefault="0033518E" w:rsidP="0033518E">
      <w:pPr>
        <w:pStyle w:val="Heading3"/>
        <w:ind w:left="0"/>
        <w:rPr>
          <w:lang w:val="cy-GB"/>
        </w:rPr>
      </w:pPr>
    </w:p>
    <w:p w14:paraId="0353ED4F" w14:textId="77777777" w:rsidR="0033518E" w:rsidRDefault="0033518E" w:rsidP="0033518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3518E" w:rsidRPr="00230F35" w14:paraId="7D1889DD" w14:textId="77777777" w:rsidTr="00CA7D79">
        <w:trPr>
          <w:trHeight w:val="614"/>
        </w:trPr>
        <w:tc>
          <w:tcPr>
            <w:tcW w:w="8856" w:type="dxa"/>
            <w:gridSpan w:val="5"/>
          </w:tcPr>
          <w:p w14:paraId="45C3A187" w14:textId="77777777"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3518E" w:rsidRPr="00230F35" w14:paraId="0D2C53C2" w14:textId="77777777" w:rsidTr="00CA7D79">
        <w:trPr>
          <w:trHeight w:val="718"/>
        </w:trPr>
        <w:tc>
          <w:tcPr>
            <w:tcW w:w="8856" w:type="dxa"/>
            <w:gridSpan w:val="5"/>
          </w:tcPr>
          <w:p w14:paraId="316DE19E" w14:textId="77777777" w:rsidR="0033518E"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DYLAN COUTTS</w:t>
            </w:r>
          </w:p>
          <w:p w14:paraId="5F752777" w14:textId="77777777" w:rsidR="0033518E" w:rsidRPr="00230F35" w:rsidRDefault="0033518E" w:rsidP="00CA7D79">
            <w:pPr>
              <w:pStyle w:val="NormalWeb"/>
              <w:spacing w:before="0" w:beforeAutospacing="0" w:after="0" w:afterAutospacing="0"/>
              <w:ind w:right="34"/>
              <w:rPr>
                <w:rFonts w:ascii="Arial" w:hAnsi="Arial" w:cs="Arial"/>
                <w:sz w:val="22"/>
                <w:szCs w:val="22"/>
              </w:rPr>
            </w:pPr>
          </w:p>
          <w:p w14:paraId="2C77DB7F" w14:textId="77777777"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C079AF">
              <w:rPr>
                <w:rFonts w:ascii="Arial" w:hAnsi="Arial" w:cs="Arial"/>
                <w:bCs/>
                <w:sz w:val="22"/>
                <w:szCs w:val="22"/>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1907654@student.uwtsd.ac.uk</w:t>
            </w:r>
          </w:p>
        </w:tc>
      </w:tr>
      <w:tr w:rsidR="0033518E" w:rsidRPr="00230F35" w14:paraId="3EA76DF2" w14:textId="77777777" w:rsidTr="00CA7D79">
        <w:trPr>
          <w:trHeight w:val="849"/>
        </w:trPr>
        <w:tc>
          <w:tcPr>
            <w:tcW w:w="4788" w:type="dxa"/>
          </w:tcPr>
          <w:p w14:paraId="7895EAED" w14:textId="77777777"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HPCA7005</w:t>
            </w:r>
          </w:p>
          <w:p w14:paraId="2A6281CE" w14:textId="77777777" w:rsidR="0033518E" w:rsidRPr="00230F35" w:rsidRDefault="0033518E" w:rsidP="00CA7D79">
            <w:pPr>
              <w:pStyle w:val="NormalWeb"/>
              <w:spacing w:before="0" w:beforeAutospacing="0" w:after="0" w:afterAutospacing="0"/>
              <w:ind w:right="34"/>
              <w:rPr>
                <w:rFonts w:ascii="Arial" w:hAnsi="Arial" w:cs="Arial"/>
                <w:sz w:val="22"/>
                <w:szCs w:val="22"/>
              </w:rPr>
            </w:pPr>
          </w:p>
          <w:p w14:paraId="201A917B" w14:textId="77777777" w:rsidR="0033518E" w:rsidRPr="00CC43E3" w:rsidRDefault="0033518E" w:rsidP="00CA7D79">
            <w:r w:rsidRPr="00230F35">
              <w:rPr>
                <w:rFonts w:ascii="Arial" w:hAnsi="Arial" w:cs="Arial"/>
                <w:sz w:val="22"/>
                <w:szCs w:val="22"/>
              </w:rPr>
              <w:t>Module title:</w:t>
            </w:r>
            <w:r>
              <w:rPr>
                <w:rFonts w:ascii="Arial" w:hAnsi="Arial" w:cs="Arial"/>
                <w:sz w:val="22"/>
                <w:szCs w:val="22"/>
              </w:rPr>
              <w:t xml:space="preserve"> </w:t>
            </w:r>
            <w:r>
              <w:t>Cosmology, Magic and Divination</w:t>
            </w:r>
          </w:p>
          <w:p w14:paraId="364BE6C3" w14:textId="77777777" w:rsidR="0033518E" w:rsidRPr="00230F35" w:rsidRDefault="0033518E" w:rsidP="00CA7D79">
            <w:pPr>
              <w:pStyle w:val="NormalWeb"/>
              <w:spacing w:before="0" w:beforeAutospacing="0" w:after="0" w:afterAutospacing="0"/>
              <w:ind w:right="34"/>
              <w:rPr>
                <w:rFonts w:ascii="Arial" w:hAnsi="Arial" w:cs="Arial"/>
                <w:sz w:val="22"/>
                <w:szCs w:val="22"/>
              </w:rPr>
            </w:pPr>
          </w:p>
        </w:tc>
        <w:tc>
          <w:tcPr>
            <w:tcW w:w="2266" w:type="dxa"/>
            <w:gridSpan w:val="3"/>
          </w:tcPr>
          <w:p w14:paraId="18E0A0D5" w14:textId="77777777" w:rsidR="0033518E"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C86C49F" w14:textId="77777777" w:rsidR="0033518E" w:rsidRDefault="0033518E" w:rsidP="00CA7D79">
            <w:pPr>
              <w:pStyle w:val="NormalWeb"/>
              <w:spacing w:before="0" w:beforeAutospacing="0" w:after="0" w:afterAutospacing="0"/>
              <w:ind w:right="34"/>
              <w:rPr>
                <w:rFonts w:ascii="Arial" w:hAnsi="Arial" w:cs="Arial"/>
                <w:sz w:val="22"/>
                <w:szCs w:val="22"/>
              </w:rPr>
            </w:pPr>
          </w:p>
          <w:p w14:paraId="5931FF45" w14:textId="77777777" w:rsidR="0033518E" w:rsidRPr="00230F35" w:rsidRDefault="0033518E" w:rsidP="00CA7D79">
            <w:pPr>
              <w:pStyle w:val="NormalWeb"/>
              <w:spacing w:before="0" w:beforeAutospacing="0" w:after="0" w:afterAutospacing="0"/>
              <w:ind w:right="34"/>
              <w:rPr>
                <w:rFonts w:ascii="Arial" w:hAnsi="Arial" w:cs="Arial"/>
                <w:sz w:val="22"/>
                <w:szCs w:val="22"/>
              </w:rPr>
            </w:pPr>
            <w:r>
              <w:rPr>
                <w:rFonts w:ascii="Arial" w:hAnsi="Arial" w:cs="Arial"/>
                <w:sz w:val="22"/>
                <w:szCs w:val="22"/>
              </w:rPr>
              <w:t>1907654</w:t>
            </w:r>
          </w:p>
        </w:tc>
        <w:tc>
          <w:tcPr>
            <w:tcW w:w="1802" w:type="dxa"/>
          </w:tcPr>
          <w:p w14:paraId="6E1AEF7A" w14:textId="77777777"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620D5D" w14:textId="77777777"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3518E" w:rsidRPr="00230F35" w14:paraId="3CDD40F4" w14:textId="77777777" w:rsidTr="00CA7D79">
        <w:trPr>
          <w:trHeight w:val="1139"/>
        </w:trPr>
        <w:tc>
          <w:tcPr>
            <w:tcW w:w="8856" w:type="dxa"/>
            <w:gridSpan w:val="5"/>
          </w:tcPr>
          <w:p w14:paraId="3831A97E" w14:textId="4BCF48E3"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2</w:t>
            </w:r>
          </w:p>
          <w:p w14:paraId="644012AD" w14:textId="77777777" w:rsidR="0033518E" w:rsidRPr="00230F35" w:rsidRDefault="0033518E" w:rsidP="00CA7D79">
            <w:pPr>
              <w:pStyle w:val="NormalWeb"/>
              <w:spacing w:before="0" w:beforeAutospacing="0" w:after="0" w:afterAutospacing="0"/>
              <w:ind w:right="34"/>
              <w:rPr>
                <w:rFonts w:ascii="Arial" w:hAnsi="Arial" w:cs="Arial"/>
                <w:sz w:val="22"/>
                <w:szCs w:val="22"/>
              </w:rPr>
            </w:pPr>
          </w:p>
          <w:p w14:paraId="091950C4" w14:textId="77777777" w:rsidR="0033518E" w:rsidRDefault="0033518E" w:rsidP="00CA7D79">
            <w:pPr>
              <w:pStyle w:val="NormalWeb"/>
              <w:spacing w:before="0" w:beforeAutospacing="0" w:after="0" w:afterAutospacing="0"/>
              <w:ind w:right="34"/>
              <w:rPr>
                <w:rFonts w:ascii="Arial" w:hAnsi="Arial" w:cs="Arial"/>
                <w:sz w:val="22"/>
                <w:szCs w:val="22"/>
              </w:rPr>
            </w:pPr>
          </w:p>
          <w:p w14:paraId="2B3C217B" w14:textId="60754140"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6 July 2020</w:t>
            </w:r>
          </w:p>
        </w:tc>
      </w:tr>
      <w:tr w:rsidR="0033518E" w:rsidRPr="00230F35" w14:paraId="3216D5C1" w14:textId="77777777" w:rsidTr="00CA7D79">
        <w:trPr>
          <w:trHeight w:val="978"/>
        </w:trPr>
        <w:tc>
          <w:tcPr>
            <w:tcW w:w="8856" w:type="dxa"/>
            <w:gridSpan w:val="5"/>
            <w:tcBorders>
              <w:bottom w:val="single" w:sz="4" w:space="0" w:color="000000"/>
            </w:tcBorders>
          </w:tcPr>
          <w:p w14:paraId="0F119F3E" w14:textId="77777777" w:rsidR="0033518E" w:rsidRPr="00230F35" w:rsidRDefault="0033518E" w:rsidP="00CA7D7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BB7A52">
              <w:rPr>
                <w:rFonts w:ascii="Arial" w:hAnsi="Arial" w:cs="Arial"/>
                <w:sz w:val="22"/>
                <w:szCs w:val="22"/>
              </w:rPr>
            </w:r>
            <w:r w:rsidR="00BB7A52">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sidR="00BB7A52">
              <w:rPr>
                <w:rFonts w:ascii="Arial" w:hAnsi="Arial" w:cs="Arial"/>
                <w:sz w:val="22"/>
                <w:szCs w:val="22"/>
              </w:rPr>
            </w:r>
            <w:r w:rsidR="00BB7A52">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BB7A52">
              <w:rPr>
                <w:rFonts w:ascii="Arial" w:hAnsi="Arial" w:cs="Arial"/>
                <w:sz w:val="22"/>
                <w:szCs w:val="22"/>
              </w:rPr>
            </w:r>
            <w:r w:rsidR="00BB7A52">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BB7A52">
              <w:rPr>
                <w:rFonts w:ascii="Arial" w:hAnsi="Arial" w:cs="Arial"/>
                <w:sz w:val="22"/>
                <w:szCs w:val="22"/>
              </w:rPr>
            </w:r>
            <w:r w:rsidR="00BB7A52">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BB7A52">
              <w:rPr>
                <w:rFonts w:ascii="Arial" w:hAnsi="Arial" w:cs="Arial"/>
                <w:sz w:val="22"/>
                <w:szCs w:val="22"/>
              </w:rPr>
            </w:r>
            <w:r w:rsidR="00BB7A52">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BB7A52">
              <w:rPr>
                <w:rFonts w:ascii="Arial" w:hAnsi="Arial" w:cs="Arial"/>
                <w:sz w:val="22"/>
                <w:szCs w:val="22"/>
              </w:rPr>
            </w:r>
            <w:r w:rsidR="00BB7A52">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33518E" w:rsidRPr="00230F35" w14:paraId="76CF0716" w14:textId="77777777" w:rsidTr="00CA7D79">
        <w:trPr>
          <w:trHeight w:val="978"/>
        </w:trPr>
        <w:tc>
          <w:tcPr>
            <w:tcW w:w="8856" w:type="dxa"/>
            <w:gridSpan w:val="5"/>
            <w:shd w:val="clear" w:color="auto" w:fill="D9D9D9"/>
          </w:tcPr>
          <w:p w14:paraId="31132ADA" w14:textId="77777777" w:rsidR="0033518E" w:rsidRPr="00230F35"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5FA996" w14:textId="77777777" w:rsidR="0033518E" w:rsidRDefault="0033518E" w:rsidP="00CA7D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p>
          <w:p w14:paraId="3BF9C8C4" w14:textId="77777777" w:rsidR="0033518E" w:rsidRDefault="0033518E" w:rsidP="00CA7D79">
            <w:pPr>
              <w:pStyle w:val="NormalWeb"/>
              <w:spacing w:before="0" w:beforeAutospacing="0" w:after="0" w:afterAutospacing="0"/>
              <w:ind w:right="34"/>
              <w:rPr>
                <w:rFonts w:ascii="Arial" w:hAnsi="Arial" w:cs="Arial"/>
                <w:sz w:val="22"/>
                <w:szCs w:val="22"/>
              </w:rPr>
            </w:pPr>
          </w:p>
          <w:p w14:paraId="7897E8E8" w14:textId="77777777" w:rsidR="0033518E" w:rsidRPr="00C079AF" w:rsidRDefault="0033518E" w:rsidP="00CA7D79">
            <w:pPr>
              <w:pStyle w:val="NormalWeb"/>
              <w:spacing w:before="0" w:beforeAutospacing="0" w:after="0" w:afterAutospacing="0"/>
              <w:ind w:right="34"/>
              <w:rPr>
                <w:rFonts w:ascii="Arial" w:hAnsi="Arial" w:cs="Arial"/>
                <w:b/>
                <w:sz w:val="22"/>
                <w:szCs w:val="22"/>
                <w:u w:val="dotted"/>
              </w:rPr>
            </w:pPr>
            <w:r w:rsidRPr="00CC43E3">
              <w:rPr>
                <w:rFonts w:ascii="Arial" w:hAnsi="Arial" w:cs="Arial"/>
                <w:b/>
                <w:sz w:val="22"/>
                <w:szCs w:val="22"/>
                <w:u w:val="dotted"/>
              </w:rPr>
              <w:t>DYLAN COUTTS</w:t>
            </w:r>
          </w:p>
        </w:tc>
      </w:tr>
      <w:tr w:rsidR="0033518E" w:rsidRPr="00230F35" w14:paraId="39601DC1" w14:textId="77777777" w:rsidTr="00CA7D79">
        <w:trPr>
          <w:trHeight w:val="3972"/>
        </w:trPr>
        <w:tc>
          <w:tcPr>
            <w:tcW w:w="8856" w:type="dxa"/>
            <w:gridSpan w:val="5"/>
          </w:tcPr>
          <w:p w14:paraId="7F4FCC1A" w14:textId="77777777" w:rsidR="0033518E" w:rsidRDefault="0033518E" w:rsidP="00CA7D79">
            <w:pPr>
              <w:rPr>
                <w:rFonts w:ascii="Arial" w:hAnsi="Arial"/>
                <w:b/>
              </w:rPr>
            </w:pPr>
          </w:p>
          <w:p w14:paraId="3355FE0D" w14:textId="77777777" w:rsidR="0033518E" w:rsidRPr="00116CE6" w:rsidRDefault="0033518E" w:rsidP="00CA7D7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3518E" w:rsidRPr="00116CE6" w14:paraId="01195FCB" w14:textId="77777777" w:rsidTr="00CA7D79">
              <w:tc>
                <w:tcPr>
                  <w:tcW w:w="6970" w:type="dxa"/>
                </w:tcPr>
                <w:p w14:paraId="05001543" w14:textId="77777777" w:rsidR="0033518E" w:rsidRPr="00116CE6" w:rsidRDefault="0033518E" w:rsidP="00CA7D79">
                  <w:pPr>
                    <w:rPr>
                      <w:rFonts w:ascii="Arial" w:hAnsi="Arial"/>
                      <w:sz w:val="20"/>
                      <w:szCs w:val="20"/>
                    </w:rPr>
                  </w:pPr>
                </w:p>
                <w:p w14:paraId="6F3C6B53" w14:textId="77777777" w:rsidR="0033518E" w:rsidRPr="00116CE6" w:rsidRDefault="0033518E" w:rsidP="00CA7D7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BEE53FF" w14:textId="77777777" w:rsidR="0033518E" w:rsidRPr="00116CE6" w:rsidRDefault="0033518E" w:rsidP="00CA7D79">
                  <w:pPr>
                    <w:rPr>
                      <w:rFonts w:ascii="Arial" w:hAnsi="Arial"/>
                      <w:sz w:val="20"/>
                      <w:szCs w:val="20"/>
                    </w:rPr>
                  </w:pPr>
                </w:p>
              </w:tc>
            </w:tr>
            <w:tr w:rsidR="0033518E" w:rsidRPr="00116CE6" w14:paraId="3A85683C" w14:textId="77777777" w:rsidTr="00CA7D79">
              <w:tc>
                <w:tcPr>
                  <w:tcW w:w="6970" w:type="dxa"/>
                </w:tcPr>
                <w:p w14:paraId="457C8F7D" w14:textId="77777777" w:rsidR="0033518E" w:rsidRPr="00116CE6" w:rsidRDefault="0033518E" w:rsidP="00CA7D79">
                  <w:pPr>
                    <w:rPr>
                      <w:rFonts w:ascii="Arial" w:hAnsi="Arial"/>
                      <w:sz w:val="20"/>
                      <w:szCs w:val="20"/>
                    </w:rPr>
                  </w:pPr>
                </w:p>
                <w:p w14:paraId="569996B6" w14:textId="77777777" w:rsidR="0033518E" w:rsidRPr="00116CE6" w:rsidRDefault="0033518E" w:rsidP="00CA7D7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D37A36D" w14:textId="77777777" w:rsidR="0033518E" w:rsidRPr="00116CE6" w:rsidRDefault="0033518E" w:rsidP="00CA7D79">
                  <w:pPr>
                    <w:rPr>
                      <w:rFonts w:ascii="Arial" w:hAnsi="Arial"/>
                      <w:sz w:val="20"/>
                      <w:szCs w:val="20"/>
                    </w:rPr>
                  </w:pPr>
                </w:p>
              </w:tc>
            </w:tr>
            <w:tr w:rsidR="0033518E" w:rsidRPr="00116CE6" w14:paraId="388830FE" w14:textId="77777777" w:rsidTr="00CA7D79">
              <w:tc>
                <w:tcPr>
                  <w:tcW w:w="6970" w:type="dxa"/>
                </w:tcPr>
                <w:p w14:paraId="2AFCA542" w14:textId="77777777" w:rsidR="0033518E" w:rsidRPr="00116CE6" w:rsidRDefault="0033518E" w:rsidP="00CA7D79">
                  <w:pPr>
                    <w:rPr>
                      <w:rFonts w:ascii="Arial" w:hAnsi="Arial"/>
                      <w:sz w:val="20"/>
                      <w:szCs w:val="20"/>
                    </w:rPr>
                  </w:pPr>
                </w:p>
                <w:p w14:paraId="395C9830" w14:textId="77777777" w:rsidR="0033518E" w:rsidRPr="00116CE6" w:rsidRDefault="0033518E" w:rsidP="00CA7D7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04740A8" w14:textId="77777777" w:rsidR="0033518E" w:rsidRPr="00116CE6" w:rsidRDefault="0033518E" w:rsidP="00CA7D79">
                  <w:pPr>
                    <w:rPr>
                      <w:rFonts w:ascii="Arial" w:hAnsi="Arial"/>
                      <w:sz w:val="20"/>
                      <w:szCs w:val="20"/>
                    </w:rPr>
                  </w:pPr>
                </w:p>
              </w:tc>
            </w:tr>
            <w:tr w:rsidR="0033518E" w:rsidRPr="00116CE6" w14:paraId="7D7F04C6" w14:textId="77777777" w:rsidTr="00CA7D79">
              <w:tc>
                <w:tcPr>
                  <w:tcW w:w="6970" w:type="dxa"/>
                </w:tcPr>
                <w:p w14:paraId="5BCC5072" w14:textId="77777777" w:rsidR="0033518E" w:rsidRDefault="0033518E" w:rsidP="00CA7D79">
                  <w:pPr>
                    <w:rPr>
                      <w:rFonts w:ascii="Arial" w:hAnsi="Arial"/>
                      <w:sz w:val="20"/>
                      <w:szCs w:val="20"/>
                    </w:rPr>
                  </w:pPr>
                </w:p>
                <w:p w14:paraId="48370CE4" w14:textId="77777777" w:rsidR="0033518E" w:rsidRPr="00022345" w:rsidRDefault="0033518E" w:rsidP="00CA7D79">
                  <w:pPr>
                    <w:rPr>
                      <w:rFonts w:ascii="Arial" w:hAnsi="Arial"/>
                      <w:b/>
                      <w:sz w:val="20"/>
                      <w:szCs w:val="20"/>
                    </w:rPr>
                  </w:pPr>
                  <w:r w:rsidRPr="00022345">
                    <w:rPr>
                      <w:rFonts w:ascii="Arial" w:hAnsi="Arial"/>
                      <w:b/>
                      <w:sz w:val="20"/>
                      <w:szCs w:val="20"/>
                    </w:rPr>
                    <w:t>Final Mark</w:t>
                  </w:r>
                </w:p>
                <w:p w14:paraId="02F65AC0" w14:textId="77777777" w:rsidR="0033518E" w:rsidRPr="00116CE6" w:rsidRDefault="0033518E" w:rsidP="00CA7D79">
                  <w:pPr>
                    <w:rPr>
                      <w:rFonts w:ascii="Arial" w:hAnsi="Arial"/>
                      <w:sz w:val="20"/>
                      <w:szCs w:val="20"/>
                    </w:rPr>
                  </w:pPr>
                </w:p>
              </w:tc>
              <w:tc>
                <w:tcPr>
                  <w:tcW w:w="1660" w:type="dxa"/>
                </w:tcPr>
                <w:p w14:paraId="40043C03" w14:textId="77777777" w:rsidR="0033518E" w:rsidRPr="00116CE6" w:rsidRDefault="0033518E" w:rsidP="00CA7D79">
                  <w:pPr>
                    <w:rPr>
                      <w:rFonts w:ascii="Arial" w:hAnsi="Arial"/>
                      <w:sz w:val="20"/>
                      <w:szCs w:val="20"/>
                    </w:rPr>
                  </w:pPr>
                </w:p>
              </w:tc>
            </w:tr>
          </w:tbl>
          <w:p w14:paraId="0CE70DEE" w14:textId="77777777" w:rsidR="0033518E" w:rsidRDefault="0033518E" w:rsidP="00CA7D79">
            <w:pPr>
              <w:pStyle w:val="NormalWeb"/>
              <w:spacing w:before="0" w:beforeAutospacing="0" w:after="0" w:afterAutospacing="0"/>
              <w:ind w:left="142" w:right="34"/>
              <w:rPr>
                <w:rFonts w:ascii="Arial" w:hAnsi="Arial" w:cs="Arial"/>
                <w:b/>
                <w:sz w:val="22"/>
                <w:szCs w:val="22"/>
              </w:rPr>
            </w:pPr>
          </w:p>
          <w:p w14:paraId="170E0974" w14:textId="77777777" w:rsidR="0033518E" w:rsidRPr="00230F35" w:rsidRDefault="0033518E" w:rsidP="00CA7D7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08D5E24" w14:textId="77777777" w:rsidR="0033518E" w:rsidRDefault="0033518E" w:rsidP="00CA7D79">
            <w:pPr>
              <w:pStyle w:val="NormalWeb"/>
              <w:spacing w:before="0" w:beforeAutospacing="0" w:after="0" w:afterAutospacing="0"/>
              <w:rPr>
                <w:rFonts w:ascii="Arial" w:hAnsi="Arial" w:cs="Arial"/>
                <w:b/>
                <w:sz w:val="22"/>
                <w:szCs w:val="22"/>
              </w:rPr>
            </w:pPr>
          </w:p>
          <w:p w14:paraId="1A614AFF" w14:textId="77777777" w:rsidR="0033518E" w:rsidRDefault="0033518E" w:rsidP="00CA7D79">
            <w:pPr>
              <w:pStyle w:val="NormalWeb"/>
              <w:spacing w:before="0" w:beforeAutospacing="0" w:after="0" w:afterAutospacing="0"/>
              <w:rPr>
                <w:rFonts w:ascii="Arial" w:hAnsi="Arial" w:cs="Arial"/>
                <w:b/>
                <w:sz w:val="22"/>
                <w:szCs w:val="22"/>
              </w:rPr>
            </w:pPr>
          </w:p>
          <w:p w14:paraId="2186C9CB" w14:textId="77777777" w:rsidR="0033518E" w:rsidRDefault="0033518E" w:rsidP="00CA7D79">
            <w:pPr>
              <w:pStyle w:val="NormalWeb"/>
              <w:spacing w:before="0" w:beforeAutospacing="0" w:after="0" w:afterAutospacing="0"/>
              <w:rPr>
                <w:rFonts w:ascii="Arial" w:hAnsi="Arial" w:cs="Arial"/>
                <w:b/>
                <w:sz w:val="22"/>
                <w:szCs w:val="22"/>
              </w:rPr>
            </w:pPr>
          </w:p>
          <w:p w14:paraId="4AF82A37" w14:textId="77777777" w:rsidR="0033518E" w:rsidRDefault="0033518E" w:rsidP="00CA7D79">
            <w:pPr>
              <w:pStyle w:val="NormalWeb"/>
              <w:spacing w:before="0" w:beforeAutospacing="0" w:after="0" w:afterAutospacing="0"/>
              <w:rPr>
                <w:rFonts w:ascii="Arial" w:hAnsi="Arial" w:cs="Arial"/>
                <w:b/>
                <w:sz w:val="22"/>
                <w:szCs w:val="22"/>
              </w:rPr>
            </w:pPr>
          </w:p>
          <w:p w14:paraId="2D786609" w14:textId="77777777" w:rsidR="0033518E" w:rsidRPr="00230F35" w:rsidRDefault="0033518E" w:rsidP="00CA7D7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EEF29E1" w14:textId="77777777" w:rsidR="0033518E" w:rsidRDefault="0033518E" w:rsidP="00CA7D7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82688EF" w14:textId="77777777" w:rsidR="0033518E" w:rsidRPr="00001C3B" w:rsidRDefault="0033518E" w:rsidP="00CA7D79">
            <w:pPr>
              <w:pStyle w:val="NormalWeb"/>
              <w:rPr>
                <w:rFonts w:ascii="Arial" w:hAnsi="Arial" w:cs="Arial"/>
                <w:sz w:val="22"/>
                <w:szCs w:val="22"/>
              </w:rPr>
            </w:pPr>
          </w:p>
        </w:tc>
      </w:tr>
      <w:tr w:rsidR="0033518E" w:rsidRPr="00230F35" w14:paraId="45DEC6EE" w14:textId="77777777" w:rsidTr="00CA7D79">
        <w:trPr>
          <w:trHeight w:val="492"/>
        </w:trPr>
        <w:tc>
          <w:tcPr>
            <w:tcW w:w="6768" w:type="dxa"/>
            <w:gridSpan w:val="3"/>
          </w:tcPr>
          <w:p w14:paraId="3762424A" w14:textId="77777777" w:rsidR="0033518E" w:rsidRPr="00230F35" w:rsidRDefault="0033518E" w:rsidP="00CA7D7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F95EE2B" w14:textId="77777777" w:rsidR="0033518E" w:rsidRPr="00230F35" w:rsidRDefault="0033518E" w:rsidP="00CA7D79">
            <w:pPr>
              <w:pStyle w:val="NormalWeb"/>
              <w:spacing w:after="0"/>
              <w:ind w:left="142" w:right="34"/>
              <w:rPr>
                <w:rFonts w:ascii="Arial" w:hAnsi="Arial" w:cs="Arial"/>
                <w:sz w:val="22"/>
                <w:szCs w:val="22"/>
              </w:rPr>
            </w:pPr>
            <w:r w:rsidRPr="00230F35">
              <w:rPr>
                <w:rFonts w:ascii="Arial" w:hAnsi="Arial" w:cs="Arial"/>
                <w:sz w:val="22"/>
                <w:szCs w:val="22"/>
              </w:rPr>
              <w:t>Date:</w:t>
            </w:r>
          </w:p>
        </w:tc>
      </w:tr>
      <w:tr w:rsidR="0033518E" w:rsidRPr="002F467C" w14:paraId="123EEB3E" w14:textId="77777777" w:rsidTr="00CA7D79">
        <w:tc>
          <w:tcPr>
            <w:tcW w:w="8856" w:type="dxa"/>
            <w:gridSpan w:val="5"/>
          </w:tcPr>
          <w:p w14:paraId="0E82741A" w14:textId="77777777" w:rsidR="0033518E" w:rsidRPr="00230F35" w:rsidRDefault="0033518E" w:rsidP="00CA7D79">
            <w:pPr>
              <w:pStyle w:val="NormalWeb"/>
              <w:spacing w:before="0" w:beforeAutospacing="0" w:after="0" w:afterAutospacing="0"/>
              <w:ind w:right="-334"/>
              <w:rPr>
                <w:rFonts w:ascii="Arial" w:hAnsi="Arial" w:cs="Arial"/>
                <w:bCs/>
                <w:i/>
                <w:sz w:val="22"/>
                <w:szCs w:val="22"/>
              </w:rPr>
            </w:pPr>
          </w:p>
          <w:p w14:paraId="3DACC28B" w14:textId="77777777" w:rsidR="0033518E" w:rsidRPr="00230F35" w:rsidRDefault="0033518E" w:rsidP="00CA7D7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7B011B5" w14:textId="77777777" w:rsidR="0033518E" w:rsidRPr="00230F35" w:rsidRDefault="0033518E" w:rsidP="00CA7D79">
            <w:pPr>
              <w:pStyle w:val="NormalWeb"/>
              <w:spacing w:before="0" w:beforeAutospacing="0" w:after="0" w:afterAutospacing="0"/>
              <w:ind w:right="-334"/>
              <w:rPr>
                <w:rFonts w:ascii="Arial" w:hAnsi="Arial" w:cs="Arial"/>
                <w:b/>
                <w:bCs/>
                <w:sz w:val="22"/>
                <w:szCs w:val="22"/>
              </w:rPr>
            </w:pPr>
          </w:p>
          <w:p w14:paraId="28A423F9"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C04CB6B"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1EFC980C"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5B61C579"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50E186E0"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770029FF"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5C5807AF"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382B9BB7"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7C019ED5"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65374C09" w14:textId="77777777" w:rsidR="0033518E" w:rsidRDefault="0033518E" w:rsidP="00CA7D79">
            <w:pPr>
              <w:pStyle w:val="NormalWeb"/>
              <w:spacing w:before="0" w:beforeAutospacing="0" w:after="0" w:afterAutospacing="0"/>
              <w:ind w:right="-334"/>
              <w:rPr>
                <w:rFonts w:ascii="Arial" w:hAnsi="Arial" w:cs="Arial"/>
                <w:bCs/>
                <w:sz w:val="22"/>
                <w:szCs w:val="22"/>
              </w:rPr>
            </w:pPr>
          </w:p>
          <w:p w14:paraId="156CDC73"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0C51DFD4"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3C047666"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tc>
      </w:tr>
      <w:tr w:rsidR="0033518E" w:rsidRPr="002F467C" w14:paraId="29B39D7A" w14:textId="77777777" w:rsidTr="00CA7D79">
        <w:trPr>
          <w:trHeight w:val="720"/>
        </w:trPr>
        <w:tc>
          <w:tcPr>
            <w:tcW w:w="5211" w:type="dxa"/>
            <w:gridSpan w:val="2"/>
          </w:tcPr>
          <w:p w14:paraId="12D3683E"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352C746"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3518E" w:rsidRPr="002F467C" w14:paraId="2B39062C" w14:textId="77777777" w:rsidTr="00CA7D79">
        <w:trPr>
          <w:trHeight w:val="720"/>
        </w:trPr>
        <w:tc>
          <w:tcPr>
            <w:tcW w:w="8856" w:type="dxa"/>
            <w:gridSpan w:val="5"/>
          </w:tcPr>
          <w:p w14:paraId="6AAD0B03" w14:textId="77777777" w:rsidR="0033518E" w:rsidRPr="00B34964" w:rsidRDefault="0033518E" w:rsidP="00CA7D79">
            <w:pPr>
              <w:rPr>
                <w:rFonts w:ascii="Arial" w:hAnsi="Arial" w:cs="Arial"/>
                <w:b/>
                <w:sz w:val="22"/>
                <w:szCs w:val="22"/>
              </w:rPr>
            </w:pPr>
            <w:r w:rsidRPr="00B34964">
              <w:rPr>
                <w:rFonts w:ascii="Arial" w:hAnsi="Arial" w:cs="Arial"/>
                <w:b/>
                <w:sz w:val="22"/>
                <w:szCs w:val="22"/>
              </w:rPr>
              <w:t>External Examiner’s comments (if relevant)</w:t>
            </w:r>
          </w:p>
          <w:p w14:paraId="0B8C6D0D"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254041F9"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2D2FB46A"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1A2920E0"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36DEE719"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20548CFD"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66B196C1"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45F169F1" w14:textId="77777777" w:rsidR="0033518E" w:rsidRDefault="0033518E" w:rsidP="00CA7D79">
            <w:pPr>
              <w:pStyle w:val="NormalWeb"/>
              <w:spacing w:before="0" w:beforeAutospacing="0" w:after="0" w:afterAutospacing="0"/>
              <w:ind w:right="-334"/>
              <w:rPr>
                <w:rFonts w:ascii="Arial" w:hAnsi="Arial" w:cs="Arial"/>
                <w:bCs/>
                <w:sz w:val="22"/>
                <w:szCs w:val="22"/>
              </w:rPr>
            </w:pPr>
          </w:p>
          <w:p w14:paraId="597A17BE"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p w14:paraId="3BEDC205" w14:textId="77777777" w:rsidR="0033518E" w:rsidRPr="00230F35" w:rsidRDefault="0033518E" w:rsidP="00CA7D79">
            <w:pPr>
              <w:pStyle w:val="NormalWeb"/>
              <w:spacing w:before="0" w:beforeAutospacing="0" w:after="0" w:afterAutospacing="0"/>
              <w:ind w:right="-334"/>
              <w:rPr>
                <w:rFonts w:ascii="Arial" w:hAnsi="Arial" w:cs="Arial"/>
                <w:bCs/>
                <w:sz w:val="22"/>
                <w:szCs w:val="22"/>
              </w:rPr>
            </w:pPr>
          </w:p>
        </w:tc>
      </w:tr>
      <w:tr w:rsidR="0033518E" w:rsidRPr="002F467C" w14:paraId="07757963" w14:textId="77777777" w:rsidTr="00CA7D79">
        <w:trPr>
          <w:trHeight w:val="720"/>
        </w:trPr>
        <w:tc>
          <w:tcPr>
            <w:tcW w:w="5211" w:type="dxa"/>
            <w:gridSpan w:val="2"/>
          </w:tcPr>
          <w:p w14:paraId="45AE7CFB" w14:textId="77777777" w:rsidR="0033518E" w:rsidRPr="00230F35" w:rsidRDefault="0033518E" w:rsidP="00CA7D79">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1FD8F76" w14:textId="77777777" w:rsidR="0033518E" w:rsidRPr="00230F35" w:rsidRDefault="0033518E" w:rsidP="00CA7D79">
            <w:pPr>
              <w:rPr>
                <w:rFonts w:ascii="Arial" w:hAnsi="Arial" w:cs="Arial"/>
                <w:sz w:val="22"/>
                <w:szCs w:val="22"/>
              </w:rPr>
            </w:pPr>
            <w:r w:rsidRPr="00230F35">
              <w:rPr>
                <w:rFonts w:ascii="Arial" w:hAnsi="Arial" w:cs="Arial"/>
                <w:sz w:val="22"/>
                <w:szCs w:val="22"/>
              </w:rPr>
              <w:t>Date:</w:t>
            </w:r>
          </w:p>
        </w:tc>
      </w:tr>
    </w:tbl>
    <w:p w14:paraId="7853A39D" w14:textId="7E801344" w:rsidR="0033518E" w:rsidRPr="003D4693" w:rsidRDefault="0033518E" w:rsidP="0033518E">
      <w:pPr>
        <w:rPr>
          <w:b/>
          <w:u w:val="single"/>
        </w:rPr>
      </w:pPr>
      <w:r w:rsidRPr="003D4693">
        <w:rPr>
          <w:b/>
          <w:u w:val="single"/>
        </w:rPr>
        <w:lastRenderedPageBreak/>
        <w:t>4. Analyse the role of divination within the theory and practice of ancient Greek medicine.</w:t>
      </w:r>
    </w:p>
    <w:p w14:paraId="7221187E" w14:textId="564D2AD5" w:rsidR="000725C5" w:rsidRPr="003D4693" w:rsidRDefault="0057640C" w:rsidP="000725C5">
      <w:pPr>
        <w:rPr>
          <w:rStyle w:val="Strong"/>
          <w:b w:val="0"/>
          <w:color w:val="1A1A1A"/>
          <w:sz w:val="20"/>
          <w:szCs w:val="20"/>
          <w:shd w:val="clear" w:color="auto" w:fill="FFFFFF"/>
        </w:rPr>
      </w:pPr>
      <w:r w:rsidRPr="003D4693">
        <w:rPr>
          <w:rStyle w:val="Strong"/>
          <w:b w:val="0"/>
          <w:color w:val="1A1A1A"/>
          <w:sz w:val="20"/>
          <w:szCs w:val="20"/>
          <w:shd w:val="clear" w:color="auto" w:fill="FFFFFF"/>
        </w:rPr>
        <w:t xml:space="preserve">Word Count: </w:t>
      </w:r>
      <w:r w:rsidR="003D4693" w:rsidRPr="003D4693">
        <w:rPr>
          <w:rStyle w:val="Strong"/>
          <w:b w:val="0"/>
          <w:color w:val="1A1A1A"/>
          <w:sz w:val="20"/>
          <w:szCs w:val="20"/>
          <w:shd w:val="clear" w:color="auto" w:fill="FFFFFF"/>
        </w:rPr>
        <w:t>3047</w:t>
      </w:r>
    </w:p>
    <w:p w14:paraId="053E27AF" w14:textId="77777777" w:rsidR="00F70E8B" w:rsidRDefault="00F70E8B" w:rsidP="000725C5">
      <w:pPr>
        <w:rPr>
          <w:rStyle w:val="Strong"/>
          <w:rFonts w:ascii="Georgia" w:hAnsi="Georgia"/>
          <w:color w:val="1A1A1A"/>
          <w:sz w:val="30"/>
          <w:szCs w:val="30"/>
          <w:shd w:val="clear" w:color="auto" w:fill="FFFFFF"/>
        </w:rPr>
      </w:pPr>
    </w:p>
    <w:p w14:paraId="5FA90FE9" w14:textId="4C57778E" w:rsidR="0033518E" w:rsidRPr="00D2593F" w:rsidRDefault="000725C5" w:rsidP="003D4693">
      <w:pPr>
        <w:ind w:firstLine="720"/>
        <w:jc w:val="both"/>
        <w:rPr>
          <w:bCs/>
          <w:color w:val="000000" w:themeColor="text1"/>
          <w:shd w:val="clear" w:color="auto" w:fill="FFFFFF"/>
        </w:rPr>
      </w:pPr>
      <w:r w:rsidRPr="00D2593F">
        <w:rPr>
          <w:rStyle w:val="Strong"/>
          <w:b w:val="0"/>
          <w:color w:val="000000" w:themeColor="text1"/>
          <w:shd w:val="clear" w:color="auto" w:fill="FFFFFF"/>
        </w:rPr>
        <w:t xml:space="preserve">In an article on the nature of Ancient Greek medicine, Mark Cartwright notes </w:t>
      </w:r>
      <w:r w:rsidR="005730F9">
        <w:rPr>
          <w:rStyle w:val="Strong"/>
          <w:b w:val="0"/>
          <w:color w:val="000000" w:themeColor="text1"/>
          <w:shd w:val="clear" w:color="auto" w:fill="FFFFFF"/>
        </w:rPr>
        <w:t>how</w:t>
      </w:r>
      <w:r w:rsidR="00BB0E5B" w:rsidRPr="00D2593F">
        <w:rPr>
          <w:rStyle w:val="Strong"/>
          <w:b w:val="0"/>
          <w:color w:val="000000" w:themeColor="text1"/>
          <w:shd w:val="clear" w:color="auto" w:fill="FFFFFF"/>
        </w:rPr>
        <w:t xml:space="preserve"> in that era</w:t>
      </w:r>
      <w:r w:rsidR="007C1B98" w:rsidRPr="00D2593F">
        <w:rPr>
          <w:rStyle w:val="Strong"/>
          <w:b w:val="0"/>
          <w:color w:val="000000" w:themeColor="text1"/>
          <w:shd w:val="clear" w:color="auto" w:fill="FFFFFF"/>
        </w:rPr>
        <w:t xml:space="preserve"> illness was</w:t>
      </w:r>
      <w:r w:rsidR="00BB0E5B" w:rsidRPr="00D2593F">
        <w:rPr>
          <w:rStyle w:val="Strong"/>
          <w:b w:val="0"/>
          <w:color w:val="000000" w:themeColor="text1"/>
          <w:shd w:val="clear" w:color="auto" w:fill="FFFFFF"/>
        </w:rPr>
        <w:t xml:space="preserve"> largely viewed as</w:t>
      </w:r>
      <w:r w:rsidR="007C1B98" w:rsidRPr="00D2593F">
        <w:rPr>
          <w:rStyle w:val="Strong"/>
          <w:b w:val="0"/>
          <w:color w:val="000000" w:themeColor="text1"/>
          <w:shd w:val="clear" w:color="auto" w:fill="FFFFFF"/>
        </w:rPr>
        <w:t xml:space="preserve"> a manifestation of divine punishment, </w:t>
      </w:r>
      <w:r w:rsidR="00BB0E5B" w:rsidRPr="00D2593F">
        <w:rPr>
          <w:rStyle w:val="Strong"/>
          <w:b w:val="0"/>
          <w:color w:val="000000" w:themeColor="text1"/>
          <w:shd w:val="clear" w:color="auto" w:fill="FFFFFF"/>
        </w:rPr>
        <w:t xml:space="preserve">and </w:t>
      </w:r>
      <w:r w:rsidR="007C1B98" w:rsidRPr="00D2593F">
        <w:rPr>
          <w:rStyle w:val="Strong"/>
          <w:b w:val="0"/>
          <w:color w:val="000000" w:themeColor="text1"/>
          <w:shd w:val="clear" w:color="auto" w:fill="FFFFFF"/>
        </w:rPr>
        <w:t>recovery a ‘gift from the gods’.</w:t>
      </w:r>
      <w:r w:rsidR="007C1B98" w:rsidRPr="00D2593F">
        <w:rPr>
          <w:rStyle w:val="FootnoteReference"/>
          <w:b/>
          <w:bCs/>
          <w:color w:val="000000" w:themeColor="text1"/>
          <w:shd w:val="clear" w:color="auto" w:fill="FFFFFF"/>
        </w:rPr>
        <w:footnoteReference w:id="1"/>
      </w:r>
      <w:r w:rsidR="007C1B98" w:rsidRPr="00D2593F">
        <w:rPr>
          <w:rStyle w:val="Strong"/>
          <w:b w:val="0"/>
          <w:color w:val="000000" w:themeColor="text1"/>
          <w:shd w:val="clear" w:color="auto" w:fill="FFFFFF"/>
        </w:rPr>
        <w:t xml:space="preserve"> </w:t>
      </w:r>
      <w:r w:rsidR="00AC7DAF" w:rsidRPr="00D2593F">
        <w:rPr>
          <w:rStyle w:val="Strong"/>
          <w:b w:val="0"/>
          <w:color w:val="000000" w:themeColor="text1"/>
          <w:shd w:val="clear" w:color="auto" w:fill="FFFFFF"/>
        </w:rPr>
        <w:t xml:space="preserve">Following this, Lisa </w:t>
      </w:r>
      <w:proofErr w:type="spellStart"/>
      <w:r w:rsidR="00AC7DAF" w:rsidRPr="00D2593F">
        <w:rPr>
          <w:rStyle w:val="Strong"/>
          <w:b w:val="0"/>
          <w:color w:val="000000" w:themeColor="text1"/>
          <w:shd w:val="clear" w:color="auto" w:fill="FFFFFF"/>
        </w:rPr>
        <w:t>Raphals</w:t>
      </w:r>
      <w:proofErr w:type="spellEnd"/>
      <w:r w:rsidR="00AC7DAF" w:rsidRPr="00D2593F">
        <w:rPr>
          <w:rStyle w:val="Strong"/>
          <w:b w:val="0"/>
          <w:color w:val="000000" w:themeColor="text1"/>
          <w:shd w:val="clear" w:color="auto" w:fill="FFFFFF"/>
        </w:rPr>
        <w:t xml:space="preserve"> </w:t>
      </w:r>
      <w:r w:rsidR="00DA7E52" w:rsidRPr="00D2593F">
        <w:rPr>
          <w:rStyle w:val="Strong"/>
          <w:b w:val="0"/>
          <w:color w:val="000000" w:themeColor="text1"/>
          <w:shd w:val="clear" w:color="auto" w:fill="FFFFFF"/>
        </w:rPr>
        <w:t>acknowledges the underlying spiritual qualities of the medical tradition that, to the modern eye, seem more like divination than medicine.</w:t>
      </w:r>
      <w:r w:rsidR="00AC7DAF" w:rsidRPr="00D2593F">
        <w:rPr>
          <w:rStyle w:val="Strong"/>
          <w:b w:val="0"/>
          <w:color w:val="000000" w:themeColor="text1"/>
          <w:shd w:val="clear" w:color="auto" w:fill="FFFFFF"/>
        </w:rPr>
        <w:t xml:space="preserve"> She explains that </w:t>
      </w:r>
      <w:r w:rsidR="00AC7DAF" w:rsidRPr="00D2593F">
        <w:rPr>
          <w:color w:val="000000" w:themeColor="text1"/>
        </w:rPr>
        <w:t>this ‘understanding of the nature of disease called for divination to determine the source of pollution in the body or body politic, and sacrifice and purification to effect a cure.</w:t>
      </w:r>
      <w:r w:rsidR="00AC7DAF" w:rsidRPr="00D2593F">
        <w:rPr>
          <w:rStyle w:val="FootnoteReference"/>
          <w:color w:val="000000" w:themeColor="text1"/>
        </w:rPr>
        <w:footnoteReference w:id="2"/>
      </w:r>
      <w:r w:rsidR="00AC7DAF" w:rsidRPr="00D2593F">
        <w:rPr>
          <w:color w:val="000000" w:themeColor="text1"/>
        </w:rPr>
        <w:t xml:space="preserve"> </w:t>
      </w:r>
      <w:r w:rsidR="00DA7E52" w:rsidRPr="00D2593F">
        <w:rPr>
          <w:rStyle w:val="Strong"/>
          <w:b w:val="0"/>
          <w:color w:val="000000" w:themeColor="text1"/>
          <w:shd w:val="clear" w:color="auto" w:fill="FFFFFF"/>
        </w:rPr>
        <w:t xml:space="preserve">In an article for Encyclopedia Britannica, Robert Gilbert defines divination, explaining that it is </w:t>
      </w:r>
      <w:r w:rsidR="00DA7E52" w:rsidRPr="00D2593F">
        <w:rPr>
          <w:color w:val="000000" w:themeColor="text1"/>
          <w:shd w:val="clear" w:color="auto" w:fill="FFFFFF"/>
        </w:rPr>
        <w:t>the practice of ‘determining the hidden significance or cause of events [by] various natural, psychological, and other techniques.’</w:t>
      </w:r>
      <w:r w:rsidR="00DA7E52" w:rsidRPr="00D2593F">
        <w:rPr>
          <w:rStyle w:val="FootnoteReference"/>
          <w:color w:val="000000" w:themeColor="text1"/>
          <w:shd w:val="clear" w:color="auto" w:fill="FFFFFF"/>
        </w:rPr>
        <w:footnoteReference w:id="3"/>
      </w:r>
      <w:r w:rsidR="00DA7E52" w:rsidRPr="00D2593F">
        <w:rPr>
          <w:color w:val="000000" w:themeColor="text1"/>
          <w:shd w:val="clear" w:color="auto" w:fill="FFFFFF"/>
        </w:rPr>
        <w:t xml:space="preserve"> </w:t>
      </w:r>
      <w:r w:rsidR="00DA7E52" w:rsidRPr="00D2593F">
        <w:rPr>
          <w:bCs/>
          <w:color w:val="000000" w:themeColor="text1"/>
          <w:shd w:val="clear" w:color="auto" w:fill="FFFFFF"/>
        </w:rPr>
        <w:t xml:space="preserve">Under this definition, it seems inescapable to a modern perspective that the Greeks were using ‘divinatory techniques’ in their medical practice. </w:t>
      </w:r>
      <w:r w:rsidR="00FC3EAF" w:rsidRPr="00D2593F">
        <w:rPr>
          <w:rStyle w:val="Strong"/>
          <w:b w:val="0"/>
          <w:color w:val="000000" w:themeColor="text1"/>
          <w:shd w:val="clear" w:color="auto" w:fill="FFFFFF"/>
        </w:rPr>
        <w:t>For clarity</w:t>
      </w:r>
      <w:r w:rsidR="00F87FBE" w:rsidRPr="00D2593F">
        <w:rPr>
          <w:rStyle w:val="Strong"/>
          <w:b w:val="0"/>
          <w:color w:val="000000" w:themeColor="text1"/>
          <w:shd w:val="clear" w:color="auto" w:fill="FFFFFF"/>
        </w:rPr>
        <w:t xml:space="preserve"> on the particular nature of these techniques</w:t>
      </w:r>
      <w:r w:rsidR="00FC3EAF" w:rsidRPr="00D2593F">
        <w:rPr>
          <w:rStyle w:val="Strong"/>
          <w:b w:val="0"/>
          <w:color w:val="000000" w:themeColor="text1"/>
          <w:shd w:val="clear" w:color="auto" w:fill="FFFFFF"/>
        </w:rPr>
        <w:t xml:space="preserve">, </w:t>
      </w:r>
      <w:r w:rsidR="00DA7815" w:rsidRPr="00D2593F">
        <w:rPr>
          <w:rStyle w:val="Strong"/>
          <w:b w:val="0"/>
          <w:color w:val="000000" w:themeColor="text1"/>
          <w:shd w:val="clear" w:color="auto" w:fill="FFFFFF"/>
        </w:rPr>
        <w:t>Greek poet Pindar, writing in the 5</w:t>
      </w:r>
      <w:r w:rsidR="00DA7815" w:rsidRPr="00D2593F">
        <w:rPr>
          <w:rStyle w:val="Strong"/>
          <w:b w:val="0"/>
          <w:color w:val="000000" w:themeColor="text1"/>
          <w:shd w:val="clear" w:color="auto" w:fill="FFFFFF"/>
          <w:vertAlign w:val="superscript"/>
        </w:rPr>
        <w:t>th</w:t>
      </w:r>
      <w:r w:rsidR="00DA7815" w:rsidRPr="00D2593F">
        <w:rPr>
          <w:rStyle w:val="Strong"/>
          <w:b w:val="0"/>
          <w:color w:val="000000" w:themeColor="text1"/>
          <w:shd w:val="clear" w:color="auto" w:fill="FFFFFF"/>
        </w:rPr>
        <w:t xml:space="preserve"> century B.C., </w:t>
      </w:r>
      <w:r w:rsidR="00902F6C" w:rsidRPr="00D2593F">
        <w:rPr>
          <w:color w:val="000000" w:themeColor="text1"/>
        </w:rPr>
        <w:t xml:space="preserve">lists </w:t>
      </w:r>
      <w:r w:rsidR="00DA7815" w:rsidRPr="00D2593F">
        <w:rPr>
          <w:color w:val="000000" w:themeColor="text1"/>
        </w:rPr>
        <w:t xml:space="preserve">some of the </w:t>
      </w:r>
      <w:r w:rsidR="005730F9">
        <w:rPr>
          <w:color w:val="000000" w:themeColor="text1"/>
        </w:rPr>
        <w:t>practices</w:t>
      </w:r>
      <w:r w:rsidR="00DA7815" w:rsidRPr="00D2593F">
        <w:rPr>
          <w:color w:val="000000" w:themeColor="text1"/>
        </w:rPr>
        <w:t xml:space="preserve"> employed</w:t>
      </w:r>
      <w:r w:rsidR="00902F6C" w:rsidRPr="00D2593F">
        <w:rPr>
          <w:color w:val="000000" w:themeColor="text1"/>
        </w:rPr>
        <w:t xml:space="preserve"> </w:t>
      </w:r>
      <w:r w:rsidR="00DA7815" w:rsidRPr="00D2593F">
        <w:rPr>
          <w:color w:val="000000" w:themeColor="text1"/>
        </w:rPr>
        <w:t xml:space="preserve">at the time </w:t>
      </w:r>
      <w:r w:rsidR="00902F6C" w:rsidRPr="00D2593F">
        <w:rPr>
          <w:color w:val="000000" w:themeColor="text1"/>
        </w:rPr>
        <w:t>to cure patients</w:t>
      </w:r>
      <w:r w:rsidR="00DA7815" w:rsidRPr="00D2593F">
        <w:rPr>
          <w:color w:val="000000" w:themeColor="text1"/>
        </w:rPr>
        <w:t xml:space="preserve">. The list </w:t>
      </w:r>
      <w:r w:rsidR="00902F6C" w:rsidRPr="00D2593F">
        <w:rPr>
          <w:color w:val="000000" w:themeColor="text1"/>
        </w:rPr>
        <w:t>includ</w:t>
      </w:r>
      <w:r w:rsidR="00DA7815" w:rsidRPr="00D2593F">
        <w:rPr>
          <w:color w:val="000000" w:themeColor="text1"/>
        </w:rPr>
        <w:t>es</w:t>
      </w:r>
      <w:r w:rsidR="00902F6C" w:rsidRPr="00D2593F">
        <w:rPr>
          <w:color w:val="000000" w:themeColor="text1"/>
        </w:rPr>
        <w:t>:</w:t>
      </w:r>
      <w:r w:rsidR="00DA7815" w:rsidRPr="00D2593F">
        <w:rPr>
          <w:color w:val="000000" w:themeColor="text1"/>
        </w:rPr>
        <w:t xml:space="preserve"> </w:t>
      </w:r>
      <w:r w:rsidR="00902F6C" w:rsidRPr="00D2593F">
        <w:rPr>
          <w:color w:val="000000" w:themeColor="text1"/>
        </w:rPr>
        <w:t xml:space="preserve">incantations </w:t>
      </w:r>
      <w:r w:rsidR="00DA7815" w:rsidRPr="00D2593F">
        <w:rPr>
          <w:color w:val="000000" w:themeColor="text1"/>
        </w:rPr>
        <w:t>(</w:t>
      </w:r>
      <w:r w:rsidR="00DA7815" w:rsidRPr="00BD4292">
        <w:rPr>
          <w:i/>
          <w:color w:val="000000" w:themeColor="text1"/>
        </w:rPr>
        <w:t xml:space="preserve">epode / </w:t>
      </w:r>
      <w:proofErr w:type="spellStart"/>
      <w:r w:rsidR="00DA7815" w:rsidRPr="00BD4292">
        <w:rPr>
          <w:i/>
          <w:color w:val="000000" w:themeColor="text1"/>
        </w:rPr>
        <w:t>epaoide</w:t>
      </w:r>
      <w:proofErr w:type="spellEnd"/>
      <w:r w:rsidR="00DA7815" w:rsidRPr="00D2593F">
        <w:rPr>
          <w:color w:val="000000" w:themeColor="text1"/>
        </w:rPr>
        <w:t xml:space="preserve">); </w:t>
      </w:r>
      <w:r w:rsidR="00902F6C" w:rsidRPr="00D2593F">
        <w:rPr>
          <w:color w:val="000000" w:themeColor="text1"/>
        </w:rPr>
        <w:t>soothing potions</w:t>
      </w:r>
      <w:r w:rsidR="00DA7815" w:rsidRPr="00D2593F">
        <w:rPr>
          <w:color w:val="000000" w:themeColor="text1"/>
        </w:rPr>
        <w:t xml:space="preserve"> and antidotes (</w:t>
      </w:r>
      <w:proofErr w:type="spellStart"/>
      <w:r w:rsidR="00DA7815" w:rsidRPr="00BD4292">
        <w:rPr>
          <w:i/>
          <w:color w:val="000000" w:themeColor="text1"/>
        </w:rPr>
        <w:t>pharmaka</w:t>
      </w:r>
      <w:proofErr w:type="spellEnd"/>
      <w:r w:rsidR="00DA7815" w:rsidRPr="00D2593F">
        <w:rPr>
          <w:color w:val="000000" w:themeColor="text1"/>
        </w:rPr>
        <w:t xml:space="preserve">), and the </w:t>
      </w:r>
      <w:r w:rsidR="00902F6C" w:rsidRPr="00D2593F">
        <w:rPr>
          <w:color w:val="000000" w:themeColor="text1"/>
        </w:rPr>
        <w:t>wrapping</w:t>
      </w:r>
      <w:r w:rsidR="00DA7815" w:rsidRPr="00D2593F">
        <w:rPr>
          <w:color w:val="000000" w:themeColor="text1"/>
        </w:rPr>
        <w:t xml:space="preserve"> of amulets around effected</w:t>
      </w:r>
      <w:r w:rsidR="00902F6C" w:rsidRPr="00D2593F">
        <w:rPr>
          <w:color w:val="000000" w:themeColor="text1"/>
        </w:rPr>
        <w:t xml:space="preserve"> limbs</w:t>
      </w:r>
      <w:r w:rsidR="00DA7815" w:rsidRPr="00D2593F">
        <w:rPr>
          <w:color w:val="000000" w:themeColor="text1"/>
        </w:rPr>
        <w:t xml:space="preserve"> (</w:t>
      </w:r>
      <w:bookmarkStart w:id="6" w:name="_GoBack"/>
      <w:proofErr w:type="spellStart"/>
      <w:r w:rsidR="00DA7815" w:rsidRPr="00BD4292">
        <w:rPr>
          <w:i/>
          <w:color w:val="000000" w:themeColor="text1"/>
        </w:rPr>
        <w:t>periamma</w:t>
      </w:r>
      <w:proofErr w:type="spellEnd"/>
      <w:r w:rsidR="00DA7815" w:rsidRPr="00BD4292">
        <w:rPr>
          <w:i/>
          <w:color w:val="000000" w:themeColor="text1"/>
        </w:rPr>
        <w:t xml:space="preserve"> / </w:t>
      </w:r>
      <w:proofErr w:type="spellStart"/>
      <w:r w:rsidR="00DA7815" w:rsidRPr="00BD4292">
        <w:rPr>
          <w:i/>
          <w:color w:val="000000" w:themeColor="text1"/>
        </w:rPr>
        <w:t>periapton</w:t>
      </w:r>
      <w:bookmarkEnd w:id="6"/>
      <w:proofErr w:type="spellEnd"/>
      <w:r w:rsidR="00DA7815" w:rsidRPr="00D2593F">
        <w:rPr>
          <w:color w:val="000000" w:themeColor="text1"/>
        </w:rPr>
        <w:t>).</w:t>
      </w:r>
      <w:r w:rsidR="00902F6C" w:rsidRPr="00D2593F">
        <w:rPr>
          <w:rStyle w:val="FootnoteReference"/>
          <w:color w:val="000000" w:themeColor="text1"/>
        </w:rPr>
        <w:footnoteReference w:id="4"/>
      </w:r>
      <w:r w:rsidR="00DA7815" w:rsidRPr="00D2593F">
        <w:rPr>
          <w:color w:val="000000" w:themeColor="text1"/>
        </w:rPr>
        <w:t xml:space="preserve"> Additionally, </w:t>
      </w:r>
      <w:r w:rsidR="00DA7E52" w:rsidRPr="00D2593F">
        <w:rPr>
          <w:rStyle w:val="Strong"/>
          <w:b w:val="0"/>
          <w:color w:val="000000" w:themeColor="text1"/>
          <w:shd w:val="clear" w:color="auto" w:fill="FFFFFF"/>
        </w:rPr>
        <w:t xml:space="preserve">Matthew </w:t>
      </w:r>
      <w:r w:rsidR="00FC3EAF" w:rsidRPr="00D2593F">
        <w:rPr>
          <w:rStyle w:val="Strong"/>
          <w:b w:val="0"/>
          <w:color w:val="000000" w:themeColor="text1"/>
          <w:shd w:val="clear" w:color="auto" w:fill="FFFFFF"/>
        </w:rPr>
        <w:t>Dickie</w:t>
      </w:r>
      <w:r w:rsidR="00DA7E52" w:rsidRPr="00D2593F">
        <w:rPr>
          <w:rStyle w:val="Strong"/>
          <w:b w:val="0"/>
          <w:color w:val="000000" w:themeColor="text1"/>
          <w:shd w:val="clear" w:color="auto" w:fill="FFFFFF"/>
        </w:rPr>
        <w:t xml:space="preserve"> in his </w:t>
      </w:r>
      <w:r w:rsidR="00DA7E52" w:rsidRPr="003A5F5D">
        <w:rPr>
          <w:rStyle w:val="Strong"/>
          <w:b w:val="0"/>
          <w:i/>
          <w:color w:val="000000" w:themeColor="text1"/>
          <w:shd w:val="clear" w:color="auto" w:fill="FFFFFF"/>
        </w:rPr>
        <w:t>Magic and Magicians in the Greco Roman World</w:t>
      </w:r>
      <w:r w:rsidR="00FC3EAF" w:rsidRPr="003A5F5D">
        <w:rPr>
          <w:rStyle w:val="Strong"/>
          <w:b w:val="0"/>
          <w:i/>
          <w:color w:val="000000" w:themeColor="text1"/>
          <w:shd w:val="clear" w:color="auto" w:fill="FFFFFF"/>
        </w:rPr>
        <w:t xml:space="preserve"> </w:t>
      </w:r>
      <w:r w:rsidR="00DA7815" w:rsidRPr="00D2593F">
        <w:rPr>
          <w:rStyle w:val="Strong"/>
          <w:b w:val="0"/>
          <w:color w:val="000000" w:themeColor="text1"/>
          <w:shd w:val="clear" w:color="auto" w:fill="FFFFFF"/>
        </w:rPr>
        <w:t xml:space="preserve">notes the </w:t>
      </w:r>
      <w:proofErr w:type="spellStart"/>
      <w:r w:rsidR="00DA7815" w:rsidRPr="00D2593F">
        <w:rPr>
          <w:rStyle w:val="Strong"/>
          <w:b w:val="0"/>
          <w:color w:val="000000" w:themeColor="text1"/>
          <w:shd w:val="clear" w:color="auto" w:fill="FFFFFF"/>
        </w:rPr>
        <w:t>prevelance</w:t>
      </w:r>
      <w:proofErr w:type="spellEnd"/>
      <w:r w:rsidR="00DA7815" w:rsidRPr="00D2593F">
        <w:rPr>
          <w:rStyle w:val="Strong"/>
          <w:b w:val="0"/>
          <w:color w:val="000000" w:themeColor="text1"/>
          <w:shd w:val="clear" w:color="auto" w:fill="FFFFFF"/>
        </w:rPr>
        <w:t xml:space="preserve"> of </w:t>
      </w:r>
      <w:r w:rsidR="00302B2B" w:rsidRPr="00D2593F">
        <w:rPr>
          <w:rStyle w:val="Strong"/>
          <w:b w:val="0"/>
          <w:color w:val="000000" w:themeColor="text1"/>
          <w:shd w:val="clear" w:color="auto" w:fill="FFFFFF"/>
        </w:rPr>
        <w:t>oracular consultation</w:t>
      </w:r>
      <w:r w:rsidR="00DA7815" w:rsidRPr="00D2593F">
        <w:rPr>
          <w:rStyle w:val="Strong"/>
          <w:b w:val="0"/>
          <w:color w:val="000000" w:themeColor="text1"/>
          <w:shd w:val="clear" w:color="auto" w:fill="FFFFFF"/>
        </w:rPr>
        <w:t xml:space="preserve">, particularly at the </w:t>
      </w:r>
      <w:proofErr w:type="spellStart"/>
      <w:r w:rsidR="00DA7815" w:rsidRPr="00D2593F">
        <w:rPr>
          <w:rStyle w:val="Strong"/>
          <w:b w:val="0"/>
          <w:color w:val="000000" w:themeColor="text1"/>
          <w:shd w:val="clear" w:color="auto" w:fill="FFFFFF"/>
        </w:rPr>
        <w:t>Asclepian</w:t>
      </w:r>
      <w:proofErr w:type="spellEnd"/>
      <w:r w:rsidR="00DA7815" w:rsidRPr="00D2593F">
        <w:rPr>
          <w:rStyle w:val="Strong"/>
          <w:b w:val="0"/>
          <w:color w:val="000000" w:themeColor="text1"/>
          <w:shd w:val="clear" w:color="auto" w:fill="FFFFFF"/>
        </w:rPr>
        <w:t xml:space="preserve"> Oracles, in order to </w:t>
      </w:r>
      <w:r w:rsidR="00F87FBE" w:rsidRPr="00D2593F">
        <w:rPr>
          <w:rStyle w:val="Strong"/>
          <w:b w:val="0"/>
          <w:color w:val="000000" w:themeColor="text1"/>
          <w:shd w:val="clear" w:color="auto" w:fill="FFFFFF"/>
        </w:rPr>
        <w:t>diagnose</w:t>
      </w:r>
      <w:r w:rsidR="00DA7815" w:rsidRPr="00D2593F">
        <w:rPr>
          <w:rStyle w:val="Strong"/>
          <w:b w:val="0"/>
          <w:color w:val="000000" w:themeColor="text1"/>
          <w:shd w:val="clear" w:color="auto" w:fill="FFFFFF"/>
        </w:rPr>
        <w:t xml:space="preserve"> and treat a number of medical </w:t>
      </w:r>
      <w:r w:rsidR="00F87FBE" w:rsidRPr="00D2593F">
        <w:rPr>
          <w:rStyle w:val="Strong"/>
          <w:b w:val="0"/>
          <w:color w:val="000000" w:themeColor="text1"/>
          <w:shd w:val="clear" w:color="auto" w:fill="FFFFFF"/>
        </w:rPr>
        <w:t>complications</w:t>
      </w:r>
      <w:r w:rsidR="00302B2B" w:rsidRPr="00D2593F">
        <w:rPr>
          <w:rStyle w:val="Strong"/>
          <w:b w:val="0"/>
          <w:color w:val="000000" w:themeColor="text1"/>
          <w:shd w:val="clear" w:color="auto" w:fill="FFFFFF"/>
        </w:rPr>
        <w:t>.</w:t>
      </w:r>
      <w:r w:rsidR="00302B2B" w:rsidRPr="00D2593F">
        <w:rPr>
          <w:rStyle w:val="FootnoteReference"/>
          <w:bCs/>
          <w:color w:val="000000" w:themeColor="text1"/>
          <w:shd w:val="clear" w:color="auto" w:fill="FFFFFF"/>
        </w:rPr>
        <w:footnoteReference w:id="5"/>
      </w:r>
      <w:r w:rsidR="00302B2B" w:rsidRPr="00D2593F">
        <w:rPr>
          <w:rStyle w:val="Strong"/>
          <w:b w:val="0"/>
          <w:color w:val="000000" w:themeColor="text1"/>
          <w:shd w:val="clear" w:color="auto" w:fill="FFFFFF"/>
        </w:rPr>
        <w:t xml:space="preserve"> </w:t>
      </w:r>
      <w:r w:rsidR="00302B2B" w:rsidRPr="00D2593F">
        <w:rPr>
          <w:bCs/>
          <w:color w:val="000000" w:themeColor="text1"/>
          <w:shd w:val="clear" w:color="auto" w:fill="FFFFFF"/>
        </w:rPr>
        <w:t>However</w:t>
      </w:r>
      <w:r w:rsidR="008060FE" w:rsidRPr="00D2593F">
        <w:rPr>
          <w:bCs/>
          <w:color w:val="000000" w:themeColor="text1"/>
          <w:shd w:val="clear" w:color="auto" w:fill="FFFFFF"/>
        </w:rPr>
        <w:t xml:space="preserve"> it may seem as though these practices suit ‘divination’ more directly than they do ‘medicine’,</w:t>
      </w:r>
      <w:r w:rsidR="00302B2B" w:rsidRPr="00D2593F">
        <w:rPr>
          <w:bCs/>
          <w:color w:val="000000" w:themeColor="text1"/>
          <w:shd w:val="clear" w:color="auto" w:fill="FFFFFF"/>
        </w:rPr>
        <w:t xml:space="preserve"> Dickie suggest</w:t>
      </w:r>
      <w:r w:rsidR="008060FE" w:rsidRPr="00D2593F">
        <w:rPr>
          <w:bCs/>
          <w:color w:val="000000" w:themeColor="text1"/>
          <w:shd w:val="clear" w:color="auto" w:fill="FFFFFF"/>
        </w:rPr>
        <w:t>s that</w:t>
      </w:r>
      <w:r w:rsidR="0033518E" w:rsidRPr="00D2593F">
        <w:rPr>
          <w:color w:val="000000" w:themeColor="text1"/>
        </w:rPr>
        <w:t xml:space="preserve"> the distinction between </w:t>
      </w:r>
      <w:r w:rsidR="00302B2B" w:rsidRPr="00D2593F">
        <w:rPr>
          <w:color w:val="000000" w:themeColor="text1"/>
        </w:rPr>
        <w:t>medicine and divination</w:t>
      </w:r>
      <w:r w:rsidR="008060FE" w:rsidRPr="00D2593F">
        <w:rPr>
          <w:color w:val="000000" w:themeColor="text1"/>
        </w:rPr>
        <w:t xml:space="preserve"> in Ancient Greece</w:t>
      </w:r>
      <w:r w:rsidR="0033518E" w:rsidRPr="00D2593F">
        <w:rPr>
          <w:color w:val="000000" w:themeColor="text1"/>
        </w:rPr>
        <w:t xml:space="preserve"> is notoriously vague</w:t>
      </w:r>
      <w:r w:rsidR="008060FE" w:rsidRPr="00D2593F">
        <w:rPr>
          <w:color w:val="000000" w:themeColor="text1"/>
        </w:rPr>
        <w:t>.</w:t>
      </w:r>
      <w:r w:rsidR="008060FE" w:rsidRPr="00D2593F">
        <w:rPr>
          <w:rStyle w:val="FootnoteReference"/>
          <w:color w:val="000000" w:themeColor="text1"/>
        </w:rPr>
        <w:footnoteReference w:id="6"/>
      </w:r>
      <w:r w:rsidR="008060FE" w:rsidRPr="00D2593F">
        <w:rPr>
          <w:color w:val="000000" w:themeColor="text1"/>
        </w:rPr>
        <w:t xml:space="preserve"> Specifically, </w:t>
      </w:r>
      <w:r w:rsidR="005730F9">
        <w:rPr>
          <w:color w:val="000000" w:themeColor="text1"/>
        </w:rPr>
        <w:t>he explains</w:t>
      </w:r>
      <w:r w:rsidR="008060FE" w:rsidRPr="00D2593F">
        <w:rPr>
          <w:color w:val="000000" w:themeColor="text1"/>
        </w:rPr>
        <w:t xml:space="preserve"> that</w:t>
      </w:r>
      <w:r w:rsidR="0033518E" w:rsidRPr="00D2593F">
        <w:rPr>
          <w:color w:val="000000" w:themeColor="text1"/>
        </w:rPr>
        <w:t xml:space="preserve"> ancient practitioners often d</w:t>
      </w:r>
      <w:r w:rsidR="008060FE" w:rsidRPr="00D2593F">
        <w:rPr>
          <w:color w:val="000000" w:themeColor="text1"/>
        </w:rPr>
        <w:t>id</w:t>
      </w:r>
      <w:r w:rsidR="0033518E" w:rsidRPr="00D2593F">
        <w:rPr>
          <w:color w:val="000000" w:themeColor="text1"/>
        </w:rPr>
        <w:t xml:space="preserve"> not definitively categorize a distinction between what </w:t>
      </w:r>
      <w:r w:rsidR="008060FE" w:rsidRPr="00D2593F">
        <w:rPr>
          <w:color w:val="000000" w:themeColor="text1"/>
        </w:rPr>
        <w:t>wa</w:t>
      </w:r>
      <w:r w:rsidR="0033518E" w:rsidRPr="00D2593F">
        <w:rPr>
          <w:color w:val="000000" w:themeColor="text1"/>
        </w:rPr>
        <w:t xml:space="preserve">s ‘medical’ and what </w:t>
      </w:r>
      <w:r w:rsidR="008060FE" w:rsidRPr="00D2593F">
        <w:rPr>
          <w:color w:val="000000" w:themeColor="text1"/>
        </w:rPr>
        <w:t>wa</w:t>
      </w:r>
      <w:r w:rsidR="0033518E" w:rsidRPr="00D2593F">
        <w:rPr>
          <w:color w:val="000000" w:themeColor="text1"/>
        </w:rPr>
        <w:t>s ‘magical’</w:t>
      </w:r>
      <w:r w:rsidR="00BB0E5B" w:rsidRPr="00D2593F">
        <w:rPr>
          <w:color w:val="000000" w:themeColor="text1"/>
        </w:rPr>
        <w:t xml:space="preserve"> in their writings</w:t>
      </w:r>
      <w:r w:rsidR="0033518E" w:rsidRPr="00D2593F">
        <w:rPr>
          <w:color w:val="000000" w:themeColor="text1"/>
        </w:rPr>
        <w:t>.</w:t>
      </w:r>
      <w:r w:rsidRPr="00D2593F">
        <w:rPr>
          <w:rStyle w:val="FootnoteReference"/>
          <w:color w:val="000000" w:themeColor="text1"/>
        </w:rPr>
        <w:footnoteReference w:id="7"/>
      </w:r>
      <w:r w:rsidR="00BB0E5B" w:rsidRPr="00D2593F">
        <w:rPr>
          <w:color w:val="000000" w:themeColor="text1"/>
        </w:rPr>
        <w:t xml:space="preserve"> </w:t>
      </w:r>
      <w:r w:rsidR="008060FE" w:rsidRPr="00D2593F">
        <w:rPr>
          <w:color w:val="000000" w:themeColor="text1"/>
        </w:rPr>
        <w:t xml:space="preserve">And those who did, </w:t>
      </w:r>
      <w:r w:rsidR="00BB0E5B" w:rsidRPr="00D2593F">
        <w:rPr>
          <w:color w:val="000000" w:themeColor="text1"/>
        </w:rPr>
        <w:t xml:space="preserve">like Hippocrates, </w:t>
      </w:r>
      <w:r w:rsidR="008060FE" w:rsidRPr="00D2593F">
        <w:rPr>
          <w:color w:val="000000" w:themeColor="text1"/>
        </w:rPr>
        <w:t xml:space="preserve">often </w:t>
      </w:r>
      <w:r w:rsidR="00BB0E5B" w:rsidRPr="00D2593F">
        <w:rPr>
          <w:color w:val="000000" w:themeColor="text1"/>
        </w:rPr>
        <w:t>note</w:t>
      </w:r>
      <w:r w:rsidR="008060FE" w:rsidRPr="00D2593F">
        <w:rPr>
          <w:color w:val="000000" w:themeColor="text1"/>
        </w:rPr>
        <w:t>d</w:t>
      </w:r>
      <w:r w:rsidR="00BB0E5B" w:rsidRPr="00D2593F">
        <w:rPr>
          <w:color w:val="000000" w:themeColor="text1"/>
        </w:rPr>
        <w:t xml:space="preserve"> the express importance of making synthetic use of both ‘material’ and ‘spiritual’ knowledge in</w:t>
      </w:r>
      <w:r w:rsidR="008060FE" w:rsidRPr="00D2593F">
        <w:rPr>
          <w:color w:val="000000" w:themeColor="text1"/>
        </w:rPr>
        <w:t xml:space="preserve"> effective</w:t>
      </w:r>
      <w:r w:rsidR="00BB0E5B" w:rsidRPr="00D2593F">
        <w:rPr>
          <w:color w:val="000000" w:themeColor="text1"/>
        </w:rPr>
        <w:t xml:space="preserve"> medical practice.</w:t>
      </w:r>
      <w:r w:rsidR="00BB0E5B" w:rsidRPr="00D2593F">
        <w:rPr>
          <w:rStyle w:val="FootnoteReference"/>
          <w:color w:val="000000" w:themeColor="text1"/>
        </w:rPr>
        <w:footnoteReference w:id="8"/>
      </w:r>
      <w:r w:rsidR="00BB0E5B" w:rsidRPr="00D2593F">
        <w:rPr>
          <w:color w:val="000000" w:themeColor="text1"/>
        </w:rPr>
        <w:t xml:space="preserve"> </w:t>
      </w:r>
      <w:r w:rsidR="00302B2B" w:rsidRPr="00D2593F">
        <w:rPr>
          <w:color w:val="000000" w:themeColor="text1"/>
        </w:rPr>
        <w:t xml:space="preserve"> </w:t>
      </w:r>
      <w:r w:rsidR="00BB0E5B" w:rsidRPr="00D2593F">
        <w:rPr>
          <w:color w:val="000000" w:themeColor="text1"/>
        </w:rPr>
        <w:t>Relying on textual evidence provided by Ancient Greek philosophers and medical practitioners, t</w:t>
      </w:r>
      <w:r w:rsidR="00302B2B" w:rsidRPr="00D2593F">
        <w:rPr>
          <w:color w:val="000000" w:themeColor="text1"/>
        </w:rPr>
        <w:t>his paper will consider</w:t>
      </w:r>
      <w:r w:rsidR="00BB0E5B" w:rsidRPr="00D2593F">
        <w:rPr>
          <w:color w:val="000000" w:themeColor="text1"/>
        </w:rPr>
        <w:t xml:space="preserve"> the interplay between Greek medicine and divination. Ultimately, it may be clear that the perception that medicine and divination were distinct from one another in Ancient Greece is anachronistic.</w:t>
      </w:r>
    </w:p>
    <w:p w14:paraId="6CF8EB7C" w14:textId="662DD597" w:rsidR="00142296" w:rsidRPr="00D2593F" w:rsidRDefault="00142296" w:rsidP="003D4693">
      <w:pPr>
        <w:jc w:val="both"/>
        <w:rPr>
          <w:color w:val="000000" w:themeColor="text1"/>
        </w:rPr>
      </w:pPr>
    </w:p>
    <w:p w14:paraId="01CB3768" w14:textId="773178A1" w:rsidR="00167255" w:rsidRPr="00D2593F" w:rsidRDefault="00DA7815" w:rsidP="003D4693">
      <w:pPr>
        <w:jc w:val="both"/>
        <w:rPr>
          <w:b/>
          <w:color w:val="000000" w:themeColor="text1"/>
        </w:rPr>
      </w:pPr>
      <w:r w:rsidRPr="00D2593F">
        <w:rPr>
          <w:b/>
          <w:color w:val="000000" w:themeColor="text1"/>
        </w:rPr>
        <w:t xml:space="preserve">The Techniques </w:t>
      </w:r>
    </w:p>
    <w:p w14:paraId="3FEDA4C3" w14:textId="77777777" w:rsidR="00DA7815" w:rsidRPr="00D2593F" w:rsidRDefault="00DA7815" w:rsidP="003D4693">
      <w:pPr>
        <w:jc w:val="both"/>
        <w:rPr>
          <w:color w:val="000000" w:themeColor="text1"/>
        </w:rPr>
      </w:pPr>
    </w:p>
    <w:p w14:paraId="35B79F82" w14:textId="266EF082" w:rsidR="00167255" w:rsidRPr="00D2593F" w:rsidRDefault="00167255" w:rsidP="003D4693">
      <w:pPr>
        <w:jc w:val="both"/>
        <w:rPr>
          <w:color w:val="000000" w:themeColor="text1"/>
        </w:rPr>
      </w:pPr>
      <w:r w:rsidRPr="00D2593F">
        <w:rPr>
          <w:color w:val="000000" w:themeColor="text1"/>
        </w:rPr>
        <w:t xml:space="preserve">Before attempting to make further comment on the value of divination in </w:t>
      </w:r>
      <w:r w:rsidR="00AC7DAF" w:rsidRPr="00D2593F">
        <w:rPr>
          <w:color w:val="000000" w:themeColor="text1"/>
        </w:rPr>
        <w:t>A</w:t>
      </w:r>
      <w:r w:rsidRPr="00D2593F">
        <w:rPr>
          <w:color w:val="000000" w:themeColor="text1"/>
        </w:rPr>
        <w:t>ncient Greek medicine, it</w:t>
      </w:r>
      <w:r w:rsidR="00AC7DAF" w:rsidRPr="00D2593F">
        <w:rPr>
          <w:color w:val="000000" w:themeColor="text1"/>
        </w:rPr>
        <w:t xml:space="preserve"> i</w:t>
      </w:r>
      <w:r w:rsidRPr="00D2593F">
        <w:rPr>
          <w:color w:val="000000" w:themeColor="text1"/>
        </w:rPr>
        <w:t xml:space="preserve">s important to consider that the </w:t>
      </w:r>
      <w:r w:rsidR="00AC7DAF" w:rsidRPr="00D2593F">
        <w:rPr>
          <w:color w:val="000000" w:themeColor="text1"/>
        </w:rPr>
        <w:t>Greeks</w:t>
      </w:r>
      <w:r w:rsidRPr="00D2593F">
        <w:rPr>
          <w:color w:val="000000" w:themeColor="text1"/>
        </w:rPr>
        <w:t xml:space="preserve"> did not</w:t>
      </w:r>
      <w:r w:rsidR="00704906" w:rsidRPr="00D2593F">
        <w:rPr>
          <w:color w:val="000000" w:themeColor="text1"/>
        </w:rPr>
        <w:t xml:space="preserve"> obviously</w:t>
      </w:r>
      <w:r w:rsidRPr="00D2593F">
        <w:rPr>
          <w:color w:val="000000" w:themeColor="text1"/>
        </w:rPr>
        <w:t xml:space="preserve"> see much of a distinction between </w:t>
      </w:r>
      <w:r w:rsidR="00704906" w:rsidRPr="00D2593F">
        <w:rPr>
          <w:color w:val="000000" w:themeColor="text1"/>
        </w:rPr>
        <w:t>the two</w:t>
      </w:r>
      <w:r w:rsidRPr="00D2593F">
        <w:rPr>
          <w:color w:val="000000" w:themeColor="text1"/>
        </w:rPr>
        <w:t xml:space="preserve">. For clarity, this paper will consider the textual evidence for the belief that the use of amulets and incantations could serve a valid medical function. First, </w:t>
      </w:r>
      <w:r w:rsidR="00902F6C" w:rsidRPr="00D2593F">
        <w:rPr>
          <w:color w:val="000000" w:themeColor="text1"/>
        </w:rPr>
        <w:t xml:space="preserve">some </w:t>
      </w:r>
      <w:r w:rsidRPr="00D2593F">
        <w:rPr>
          <w:color w:val="000000" w:themeColor="text1"/>
        </w:rPr>
        <w:t>terms</w:t>
      </w:r>
      <w:r w:rsidR="00902F6C" w:rsidRPr="00D2593F">
        <w:rPr>
          <w:color w:val="000000" w:themeColor="text1"/>
        </w:rPr>
        <w:t xml:space="preserve"> pertaining to the particular practices should be clarified</w:t>
      </w:r>
      <w:r w:rsidRPr="00D2593F">
        <w:rPr>
          <w:color w:val="000000" w:themeColor="text1"/>
        </w:rPr>
        <w:t xml:space="preserve">: </w:t>
      </w:r>
    </w:p>
    <w:p w14:paraId="5F462FC4" w14:textId="22A35171" w:rsidR="00167255" w:rsidRPr="00D2593F" w:rsidRDefault="00167255" w:rsidP="003D4693">
      <w:pPr>
        <w:jc w:val="both"/>
        <w:rPr>
          <w:color w:val="000000" w:themeColor="text1"/>
        </w:rPr>
      </w:pPr>
    </w:p>
    <w:p w14:paraId="6E78215B" w14:textId="7ADEC0B8" w:rsidR="00167255" w:rsidRPr="00D2593F" w:rsidRDefault="00167255" w:rsidP="003D4693">
      <w:pPr>
        <w:jc w:val="both"/>
        <w:rPr>
          <w:i/>
          <w:color w:val="000000" w:themeColor="text1"/>
        </w:rPr>
      </w:pPr>
      <w:r w:rsidRPr="00D2593F">
        <w:rPr>
          <w:i/>
          <w:color w:val="000000" w:themeColor="text1"/>
        </w:rPr>
        <w:lastRenderedPageBreak/>
        <w:t xml:space="preserve">Incantations (epode / </w:t>
      </w:r>
      <w:proofErr w:type="spellStart"/>
      <w:r w:rsidRPr="00D2593F">
        <w:rPr>
          <w:i/>
          <w:color w:val="000000" w:themeColor="text1"/>
        </w:rPr>
        <w:t>epaoide</w:t>
      </w:r>
      <w:proofErr w:type="spellEnd"/>
      <w:r w:rsidRPr="00D2593F">
        <w:rPr>
          <w:i/>
          <w:color w:val="000000" w:themeColor="text1"/>
        </w:rPr>
        <w:t>)</w:t>
      </w:r>
    </w:p>
    <w:p w14:paraId="0A41A0B4" w14:textId="12BED855" w:rsidR="00167255" w:rsidRPr="00D2593F" w:rsidRDefault="00167255" w:rsidP="003D4693">
      <w:pPr>
        <w:jc w:val="both"/>
        <w:rPr>
          <w:color w:val="000000" w:themeColor="text1"/>
        </w:rPr>
      </w:pPr>
    </w:p>
    <w:p w14:paraId="4AE53D2D" w14:textId="5BB63229" w:rsidR="00167255" w:rsidRPr="00D2593F" w:rsidRDefault="00902F6C" w:rsidP="003D4693">
      <w:pPr>
        <w:jc w:val="both"/>
        <w:rPr>
          <w:color w:val="000000" w:themeColor="text1"/>
        </w:rPr>
      </w:pPr>
      <w:r w:rsidRPr="00D2593F">
        <w:rPr>
          <w:color w:val="000000" w:themeColor="text1"/>
        </w:rPr>
        <w:t>Notably, the same word, epode/</w:t>
      </w:r>
      <w:proofErr w:type="spellStart"/>
      <w:r w:rsidRPr="00D2593F">
        <w:rPr>
          <w:color w:val="000000" w:themeColor="text1"/>
        </w:rPr>
        <w:t>epaoide</w:t>
      </w:r>
      <w:proofErr w:type="spellEnd"/>
      <w:r w:rsidRPr="00D2593F">
        <w:rPr>
          <w:color w:val="000000" w:themeColor="text1"/>
        </w:rPr>
        <w:t xml:space="preserve"> referred to any general incantation </w:t>
      </w:r>
      <w:r w:rsidR="005730F9">
        <w:rPr>
          <w:color w:val="000000" w:themeColor="text1"/>
        </w:rPr>
        <w:t>in equal proportion</w:t>
      </w:r>
      <w:r w:rsidRPr="00D2593F">
        <w:rPr>
          <w:color w:val="000000" w:themeColor="text1"/>
        </w:rPr>
        <w:t xml:space="preserve"> as it was used to refer to a song that was used in healing rituals. Dickie explains that the ‘epode’ were sung over the effected body part in order to relieve pain, or to stop bleeding</w:t>
      </w:r>
      <w:r w:rsidR="00167255" w:rsidRPr="00D2593F">
        <w:rPr>
          <w:color w:val="000000" w:themeColor="text1"/>
        </w:rPr>
        <w:t>.</w:t>
      </w:r>
      <w:r w:rsidR="00B54661" w:rsidRPr="00D2593F">
        <w:rPr>
          <w:rStyle w:val="FootnoteReference"/>
          <w:color w:val="000000" w:themeColor="text1"/>
        </w:rPr>
        <w:footnoteReference w:id="9"/>
      </w:r>
    </w:p>
    <w:p w14:paraId="3E7DFE89" w14:textId="4E944363" w:rsidR="00167255" w:rsidRPr="00D2593F" w:rsidRDefault="00167255" w:rsidP="003D4693">
      <w:pPr>
        <w:jc w:val="both"/>
        <w:rPr>
          <w:color w:val="000000" w:themeColor="text1"/>
        </w:rPr>
      </w:pPr>
    </w:p>
    <w:p w14:paraId="28EA0036" w14:textId="325F81D7" w:rsidR="00167255" w:rsidRPr="00D2593F" w:rsidRDefault="00167255" w:rsidP="003D4693">
      <w:pPr>
        <w:jc w:val="both"/>
        <w:rPr>
          <w:i/>
          <w:color w:val="000000" w:themeColor="text1"/>
        </w:rPr>
      </w:pPr>
      <w:r w:rsidRPr="00D2593F">
        <w:rPr>
          <w:i/>
          <w:color w:val="000000" w:themeColor="text1"/>
        </w:rPr>
        <w:t>Wrapping of Effected Are</w:t>
      </w:r>
      <w:r w:rsidR="00E52627" w:rsidRPr="00D2593F">
        <w:rPr>
          <w:i/>
          <w:color w:val="000000" w:themeColor="text1"/>
        </w:rPr>
        <w:t xml:space="preserve">a </w:t>
      </w:r>
      <w:r w:rsidR="00D2593F">
        <w:rPr>
          <w:i/>
          <w:color w:val="000000" w:themeColor="text1"/>
        </w:rPr>
        <w:t>with</w:t>
      </w:r>
      <w:r w:rsidR="00E52627" w:rsidRPr="00D2593F">
        <w:rPr>
          <w:i/>
          <w:color w:val="000000" w:themeColor="text1"/>
        </w:rPr>
        <w:t xml:space="preserve"> </w:t>
      </w:r>
      <w:r w:rsidRPr="00D2593F">
        <w:rPr>
          <w:i/>
          <w:color w:val="000000" w:themeColor="text1"/>
        </w:rPr>
        <w:t>Amulets (</w:t>
      </w:r>
      <w:proofErr w:type="spellStart"/>
      <w:r w:rsidR="00E52627" w:rsidRPr="00D2593F">
        <w:rPr>
          <w:i/>
          <w:color w:val="000000" w:themeColor="text1"/>
        </w:rPr>
        <w:t>periamma</w:t>
      </w:r>
      <w:proofErr w:type="spellEnd"/>
      <w:r w:rsidR="00E52627" w:rsidRPr="00D2593F">
        <w:rPr>
          <w:i/>
          <w:color w:val="000000" w:themeColor="text1"/>
        </w:rPr>
        <w:t xml:space="preserve"> / </w:t>
      </w:r>
      <w:proofErr w:type="spellStart"/>
      <w:r w:rsidR="00E52627" w:rsidRPr="00D2593F">
        <w:rPr>
          <w:i/>
          <w:color w:val="000000" w:themeColor="text1"/>
        </w:rPr>
        <w:t>periapton</w:t>
      </w:r>
      <w:proofErr w:type="spellEnd"/>
      <w:r w:rsidR="00E52627" w:rsidRPr="00D2593F">
        <w:rPr>
          <w:i/>
          <w:color w:val="000000" w:themeColor="text1"/>
        </w:rPr>
        <w:t>)</w:t>
      </w:r>
    </w:p>
    <w:p w14:paraId="30C5E20D" w14:textId="77777777" w:rsidR="00E52627" w:rsidRPr="00D2593F" w:rsidRDefault="00E52627" w:rsidP="003D4693">
      <w:pPr>
        <w:jc w:val="both"/>
        <w:rPr>
          <w:color w:val="000000" w:themeColor="text1"/>
        </w:rPr>
      </w:pPr>
    </w:p>
    <w:p w14:paraId="4CAB5991" w14:textId="77AF4188" w:rsidR="00B669F2" w:rsidRPr="00D2593F" w:rsidRDefault="00B669F2" w:rsidP="003D4693">
      <w:pPr>
        <w:jc w:val="both"/>
        <w:rPr>
          <w:color w:val="000000" w:themeColor="text1"/>
        </w:rPr>
      </w:pPr>
      <w:r w:rsidRPr="00D2593F">
        <w:rPr>
          <w:color w:val="000000" w:themeColor="text1"/>
        </w:rPr>
        <w:t>Also notable was the use of amulets and wrappings in order to soothe a number of illnesses an</w:t>
      </w:r>
      <w:r w:rsidR="005730F9">
        <w:rPr>
          <w:color w:val="000000" w:themeColor="text1"/>
        </w:rPr>
        <w:t>d</w:t>
      </w:r>
      <w:r w:rsidRPr="00D2593F">
        <w:rPr>
          <w:color w:val="000000" w:themeColor="text1"/>
        </w:rPr>
        <w:t xml:space="preserve"> injuries. This technique, employed by ‘magical’ and ‘medical’ traditions alike, saw the placement of a particular curative substance (either </w:t>
      </w:r>
      <w:r w:rsidR="00167255" w:rsidRPr="00D2593F">
        <w:rPr>
          <w:color w:val="000000" w:themeColor="text1"/>
        </w:rPr>
        <w:t>animal, vegetable</w:t>
      </w:r>
      <w:r w:rsidRPr="00D2593F">
        <w:rPr>
          <w:color w:val="000000" w:themeColor="text1"/>
        </w:rPr>
        <w:t>,</w:t>
      </w:r>
      <w:r w:rsidR="00167255" w:rsidRPr="00D2593F">
        <w:rPr>
          <w:color w:val="000000" w:themeColor="text1"/>
        </w:rPr>
        <w:t xml:space="preserve"> mineral</w:t>
      </w:r>
      <w:r w:rsidRPr="00D2593F">
        <w:rPr>
          <w:color w:val="000000" w:themeColor="text1"/>
        </w:rPr>
        <w:t>, or a combination of these)</w:t>
      </w:r>
      <w:r w:rsidR="00167255" w:rsidRPr="00D2593F">
        <w:rPr>
          <w:color w:val="000000" w:themeColor="text1"/>
        </w:rPr>
        <w:t xml:space="preserve"> around a limb of the patient</w:t>
      </w:r>
      <w:r w:rsidRPr="00D2593F">
        <w:rPr>
          <w:color w:val="000000" w:themeColor="text1"/>
        </w:rPr>
        <w:t xml:space="preserve"> for a diverse range of what were considered medical effects. </w:t>
      </w:r>
    </w:p>
    <w:p w14:paraId="22301AE4" w14:textId="2A845D91" w:rsidR="00F87FBE" w:rsidRPr="00D2593F" w:rsidRDefault="00F87FBE" w:rsidP="003D4693">
      <w:pPr>
        <w:jc w:val="both"/>
        <w:rPr>
          <w:color w:val="000000" w:themeColor="text1"/>
        </w:rPr>
      </w:pPr>
    </w:p>
    <w:p w14:paraId="33065B1E" w14:textId="0F06A539" w:rsidR="00F87FBE" w:rsidRPr="00D2593F" w:rsidRDefault="00F87FBE" w:rsidP="003D4693">
      <w:pPr>
        <w:jc w:val="both"/>
        <w:rPr>
          <w:i/>
          <w:color w:val="000000" w:themeColor="text1"/>
        </w:rPr>
      </w:pPr>
      <w:r w:rsidRPr="00D2593F">
        <w:rPr>
          <w:i/>
          <w:color w:val="000000" w:themeColor="text1"/>
        </w:rPr>
        <w:t>Textual Examples</w:t>
      </w:r>
    </w:p>
    <w:p w14:paraId="66582556" w14:textId="2D01DDB3" w:rsidR="00167255" w:rsidRPr="00D2593F" w:rsidRDefault="00167255" w:rsidP="003D4693">
      <w:pPr>
        <w:jc w:val="both"/>
        <w:rPr>
          <w:color w:val="000000" w:themeColor="text1"/>
        </w:rPr>
      </w:pPr>
    </w:p>
    <w:p w14:paraId="0B66DC66" w14:textId="5848EF4B" w:rsidR="009F24A7" w:rsidRPr="00D2593F" w:rsidRDefault="00B669F2" w:rsidP="003D4693">
      <w:pPr>
        <w:jc w:val="both"/>
        <w:rPr>
          <w:color w:val="000000" w:themeColor="text1"/>
        </w:rPr>
      </w:pPr>
      <w:r w:rsidRPr="00D2593F">
        <w:rPr>
          <w:color w:val="000000" w:themeColor="text1"/>
        </w:rPr>
        <w:t xml:space="preserve">One </w:t>
      </w:r>
      <w:r w:rsidR="004666E9" w:rsidRPr="00D2593F">
        <w:rPr>
          <w:color w:val="000000" w:themeColor="text1"/>
        </w:rPr>
        <w:t>of the earliest docume</w:t>
      </w:r>
      <w:r w:rsidR="001A3305" w:rsidRPr="00D2593F">
        <w:rPr>
          <w:color w:val="000000" w:themeColor="text1"/>
        </w:rPr>
        <w:t xml:space="preserve">nted examples of both of these techniques being employed for their medical effects exists within Homer’s </w:t>
      </w:r>
      <w:r w:rsidR="001A3305" w:rsidRPr="005730F9">
        <w:rPr>
          <w:i/>
          <w:color w:val="000000" w:themeColor="text1"/>
        </w:rPr>
        <w:t>The Odyssey</w:t>
      </w:r>
      <w:r w:rsidR="005730F9">
        <w:rPr>
          <w:color w:val="000000" w:themeColor="text1"/>
        </w:rPr>
        <w:t>.</w:t>
      </w:r>
      <w:r w:rsidR="001A3305" w:rsidRPr="00D2593F">
        <w:rPr>
          <w:color w:val="000000" w:themeColor="text1"/>
        </w:rPr>
        <w:t xml:space="preserve"> </w:t>
      </w:r>
      <w:r w:rsidR="005730F9">
        <w:rPr>
          <w:color w:val="000000" w:themeColor="text1"/>
        </w:rPr>
        <w:t>F</w:t>
      </w:r>
      <w:r w:rsidR="001A3305" w:rsidRPr="00D2593F">
        <w:rPr>
          <w:color w:val="000000" w:themeColor="text1"/>
        </w:rPr>
        <w:t>ollowing Odysseus having been struck by a wild boar</w:t>
      </w:r>
      <w:r w:rsidR="005730F9">
        <w:rPr>
          <w:color w:val="000000" w:themeColor="text1"/>
        </w:rPr>
        <w:t xml:space="preserve">, </w:t>
      </w:r>
      <w:r w:rsidR="001A3305" w:rsidRPr="00D2593F">
        <w:rPr>
          <w:color w:val="000000" w:themeColor="text1"/>
        </w:rPr>
        <w:t>Homer writes that ‘the sons of Autolycus, working over Odysseus, skillfully binding up his open wound – the gallant, godlike prince – chanted an old spell that stanched the blood and quickly bore him home to their father’s palace.’</w:t>
      </w:r>
      <w:r w:rsidR="001A3305" w:rsidRPr="00D2593F">
        <w:rPr>
          <w:rStyle w:val="FootnoteReference"/>
          <w:color w:val="000000" w:themeColor="text1"/>
        </w:rPr>
        <w:footnoteReference w:id="10"/>
      </w:r>
      <w:r w:rsidR="00CA7D79" w:rsidRPr="00D2593F">
        <w:rPr>
          <w:color w:val="000000" w:themeColor="text1"/>
        </w:rPr>
        <w:t xml:space="preserve"> Here, </w:t>
      </w:r>
      <w:r w:rsidR="003A5F5D">
        <w:rPr>
          <w:color w:val="000000" w:themeColor="text1"/>
        </w:rPr>
        <w:t>the possibility</w:t>
      </w:r>
      <w:r w:rsidR="00CA7D79" w:rsidRPr="00D2593F">
        <w:rPr>
          <w:color w:val="000000" w:themeColor="text1"/>
        </w:rPr>
        <w:t xml:space="preserve"> </w:t>
      </w:r>
      <w:r w:rsidR="005730F9">
        <w:rPr>
          <w:color w:val="000000" w:themeColor="text1"/>
        </w:rPr>
        <w:t>that</w:t>
      </w:r>
      <w:r w:rsidR="00CA7D79" w:rsidRPr="00D2593F">
        <w:rPr>
          <w:color w:val="000000" w:themeColor="text1"/>
        </w:rPr>
        <w:t xml:space="preserve"> the medical applications of both incantations and amulets in the Ancient Greek world </w:t>
      </w:r>
      <w:r w:rsidR="005730F9">
        <w:rPr>
          <w:color w:val="000000" w:themeColor="text1"/>
        </w:rPr>
        <w:t>are</w:t>
      </w:r>
      <w:r w:rsidR="00CA7D79" w:rsidRPr="00D2593F">
        <w:rPr>
          <w:color w:val="000000" w:themeColor="text1"/>
        </w:rPr>
        <w:t xml:space="preserve"> clarified</w:t>
      </w:r>
      <w:r w:rsidR="005730F9">
        <w:rPr>
          <w:color w:val="000000" w:themeColor="text1"/>
        </w:rPr>
        <w:t xml:space="preserve">. This </w:t>
      </w:r>
      <w:r w:rsidR="00BF55C8">
        <w:rPr>
          <w:color w:val="000000" w:themeColor="text1"/>
        </w:rPr>
        <w:t>owes to</w:t>
      </w:r>
      <w:r w:rsidR="00CA7D79" w:rsidRPr="00D2593F">
        <w:rPr>
          <w:color w:val="000000" w:themeColor="text1"/>
        </w:rPr>
        <w:t xml:space="preserve"> Homer</w:t>
      </w:r>
      <w:r w:rsidR="00BF55C8">
        <w:rPr>
          <w:color w:val="000000" w:themeColor="text1"/>
        </w:rPr>
        <w:t>’s</w:t>
      </w:r>
      <w:r w:rsidR="00CA7D79" w:rsidRPr="00D2593F">
        <w:rPr>
          <w:color w:val="000000" w:themeColor="text1"/>
        </w:rPr>
        <w:t xml:space="preserve"> unequivocal note</w:t>
      </w:r>
      <w:r w:rsidR="00BF55C8">
        <w:rPr>
          <w:color w:val="000000" w:themeColor="text1"/>
        </w:rPr>
        <w:t xml:space="preserve"> of</w:t>
      </w:r>
      <w:r w:rsidR="00CA7D79" w:rsidRPr="00D2593F">
        <w:rPr>
          <w:color w:val="000000" w:themeColor="text1"/>
        </w:rPr>
        <w:t xml:space="preserve"> their efficacy in treating Odysseus’ wound</w:t>
      </w:r>
      <w:r w:rsidR="00FA02DF" w:rsidRPr="00D2593F">
        <w:rPr>
          <w:color w:val="000000" w:themeColor="text1"/>
        </w:rPr>
        <w:t xml:space="preserve"> without any evident criticism or inquisition into the validity of the practice</w:t>
      </w:r>
      <w:r w:rsidR="00CA7D79" w:rsidRPr="00D2593F">
        <w:rPr>
          <w:color w:val="000000" w:themeColor="text1"/>
        </w:rPr>
        <w:t xml:space="preserve">. Another notable example that is useful in this clarification is found in Plato’s </w:t>
      </w:r>
      <w:proofErr w:type="spellStart"/>
      <w:r w:rsidR="00CA7D79" w:rsidRPr="003A5F5D">
        <w:rPr>
          <w:i/>
          <w:color w:val="000000" w:themeColor="text1"/>
        </w:rPr>
        <w:t>Charmides</w:t>
      </w:r>
      <w:proofErr w:type="spellEnd"/>
      <w:r w:rsidR="00F87FBE" w:rsidRPr="00D2593F">
        <w:rPr>
          <w:color w:val="000000" w:themeColor="text1"/>
        </w:rPr>
        <w:t>. Within that text, Plato addresses a case wherein an inquisitor asks Socrates about the most effective cure for a headache. Plato writes that ‘I (Socrates) told him that the thing itself was a certain leaf</w:t>
      </w:r>
      <w:r w:rsidR="00FA02DF" w:rsidRPr="00D2593F">
        <w:rPr>
          <w:color w:val="000000" w:themeColor="text1"/>
        </w:rPr>
        <w:t>.</w:t>
      </w:r>
      <w:r w:rsidR="00F87FBE" w:rsidRPr="00D2593F">
        <w:rPr>
          <w:color w:val="000000" w:themeColor="text1"/>
        </w:rPr>
        <w:t>’</w:t>
      </w:r>
      <w:r w:rsidR="00F87FBE" w:rsidRPr="00D2593F">
        <w:rPr>
          <w:rStyle w:val="FootnoteReference"/>
          <w:color w:val="000000" w:themeColor="text1"/>
        </w:rPr>
        <w:t xml:space="preserve"> </w:t>
      </w:r>
      <w:r w:rsidR="00F87FBE" w:rsidRPr="00D2593F">
        <w:rPr>
          <w:rStyle w:val="FootnoteReference"/>
          <w:color w:val="000000" w:themeColor="text1"/>
        </w:rPr>
        <w:footnoteReference w:id="11"/>
      </w:r>
      <w:r w:rsidR="00F87FBE" w:rsidRPr="00D2593F">
        <w:rPr>
          <w:color w:val="000000" w:themeColor="text1"/>
        </w:rPr>
        <w:t xml:space="preserve"> </w:t>
      </w:r>
      <w:r w:rsidR="00BF55C8">
        <w:rPr>
          <w:color w:val="000000" w:themeColor="text1"/>
        </w:rPr>
        <w:t>In addition to</w:t>
      </w:r>
      <w:r w:rsidR="00FA02DF" w:rsidRPr="00D2593F">
        <w:rPr>
          <w:color w:val="000000" w:themeColor="text1"/>
        </w:rPr>
        <w:t xml:space="preserve"> </w:t>
      </w:r>
      <w:r w:rsidR="00F87FBE" w:rsidRPr="00D2593F">
        <w:rPr>
          <w:color w:val="000000" w:themeColor="text1"/>
        </w:rPr>
        <w:t xml:space="preserve">acknowledging the appropriate ‘amulet’ to be used in the medical treatment, </w:t>
      </w:r>
      <w:r w:rsidR="00FA02DF" w:rsidRPr="00D2593F">
        <w:rPr>
          <w:color w:val="000000" w:themeColor="text1"/>
        </w:rPr>
        <w:t>Plato (via Socrates) makes an interesting caveat; that ‘there was a charm to go with the remedy; and if one uttered the charm at the moment of its application, the remedy made one perfectly well.’</w:t>
      </w:r>
      <w:r w:rsidR="00FA02DF" w:rsidRPr="00D2593F">
        <w:rPr>
          <w:rStyle w:val="FootnoteReference"/>
          <w:color w:val="000000" w:themeColor="text1"/>
        </w:rPr>
        <w:footnoteReference w:id="12"/>
      </w:r>
      <w:r w:rsidR="00FA02DF" w:rsidRPr="00D2593F">
        <w:rPr>
          <w:color w:val="000000" w:themeColor="text1"/>
        </w:rPr>
        <w:t xml:space="preserve"> Here, it is plain that, for Plato at the very least, the most appropriate medical treatment for the inquisitor’s headache was the joint use of the </w:t>
      </w:r>
      <w:r w:rsidR="00BF55C8">
        <w:rPr>
          <w:color w:val="000000" w:themeColor="text1"/>
        </w:rPr>
        <w:t>‘</w:t>
      </w:r>
      <w:r w:rsidR="00FA02DF" w:rsidRPr="00D2593F">
        <w:rPr>
          <w:color w:val="000000" w:themeColor="text1"/>
        </w:rPr>
        <w:t>leaf</w:t>
      </w:r>
      <w:r w:rsidR="00BF55C8">
        <w:rPr>
          <w:color w:val="000000" w:themeColor="text1"/>
        </w:rPr>
        <w:t>’</w:t>
      </w:r>
      <w:r w:rsidR="00FA02DF" w:rsidRPr="00D2593F">
        <w:rPr>
          <w:color w:val="000000" w:themeColor="text1"/>
        </w:rPr>
        <w:t xml:space="preserve"> (</w:t>
      </w:r>
      <w:r w:rsidR="00FA02DF" w:rsidRPr="003A5F5D">
        <w:rPr>
          <w:i/>
          <w:color w:val="000000" w:themeColor="text1"/>
        </w:rPr>
        <w:t xml:space="preserve">an amulet / </w:t>
      </w:r>
      <w:proofErr w:type="spellStart"/>
      <w:r w:rsidR="00FA02DF" w:rsidRPr="003A5F5D">
        <w:rPr>
          <w:i/>
          <w:color w:val="000000" w:themeColor="text1"/>
        </w:rPr>
        <w:t>periapton</w:t>
      </w:r>
      <w:proofErr w:type="spellEnd"/>
      <w:r w:rsidR="00FA02DF" w:rsidRPr="003A5F5D">
        <w:rPr>
          <w:i/>
          <w:color w:val="000000" w:themeColor="text1"/>
        </w:rPr>
        <w:t>)</w:t>
      </w:r>
      <w:r w:rsidR="00FA02DF" w:rsidRPr="00D2593F">
        <w:rPr>
          <w:color w:val="000000" w:themeColor="text1"/>
        </w:rPr>
        <w:t xml:space="preserve"> and an </w:t>
      </w:r>
      <w:r w:rsidR="00BF55C8">
        <w:rPr>
          <w:color w:val="000000" w:themeColor="text1"/>
        </w:rPr>
        <w:t>‘</w:t>
      </w:r>
      <w:r w:rsidR="00FA02DF" w:rsidRPr="00D2593F">
        <w:rPr>
          <w:color w:val="000000" w:themeColor="text1"/>
        </w:rPr>
        <w:t>incantation</w:t>
      </w:r>
      <w:r w:rsidR="00BF55C8">
        <w:rPr>
          <w:color w:val="000000" w:themeColor="text1"/>
        </w:rPr>
        <w:t>’</w:t>
      </w:r>
      <w:r w:rsidR="00FA02DF" w:rsidRPr="00D2593F">
        <w:rPr>
          <w:color w:val="000000" w:themeColor="text1"/>
        </w:rPr>
        <w:t xml:space="preserve"> (</w:t>
      </w:r>
      <w:r w:rsidR="00FA02DF" w:rsidRPr="003A5F5D">
        <w:rPr>
          <w:i/>
          <w:color w:val="000000" w:themeColor="text1"/>
        </w:rPr>
        <w:t>epode</w:t>
      </w:r>
      <w:r w:rsidR="00FA02DF" w:rsidRPr="00D2593F">
        <w:rPr>
          <w:color w:val="000000" w:themeColor="text1"/>
        </w:rPr>
        <w:t>). In the same text, Plato goes even further to note that ‘</w:t>
      </w:r>
      <w:r w:rsidR="00F87FBE" w:rsidRPr="00D2593F">
        <w:rPr>
          <w:color w:val="000000" w:themeColor="text1"/>
        </w:rPr>
        <w:t>without the charm there was no efficacy in the leaf</w:t>
      </w:r>
      <w:r w:rsidR="00FA02DF" w:rsidRPr="00D2593F">
        <w:rPr>
          <w:color w:val="000000" w:themeColor="text1"/>
        </w:rPr>
        <w:t xml:space="preserve">;’ implicitly supposing that both techniques were necessary to enact </w:t>
      </w:r>
      <w:r w:rsidR="00833830" w:rsidRPr="00D2593F">
        <w:rPr>
          <w:color w:val="000000" w:themeColor="text1"/>
        </w:rPr>
        <w:t>what he consider</w:t>
      </w:r>
      <w:r w:rsidR="00BF55C8">
        <w:rPr>
          <w:color w:val="000000" w:themeColor="text1"/>
        </w:rPr>
        <w:t>ed</w:t>
      </w:r>
      <w:r w:rsidR="00833830" w:rsidRPr="00D2593F">
        <w:rPr>
          <w:color w:val="000000" w:themeColor="text1"/>
        </w:rPr>
        <w:t xml:space="preserve"> to be a</w:t>
      </w:r>
      <w:r w:rsidR="00FA02DF" w:rsidRPr="00D2593F">
        <w:rPr>
          <w:color w:val="000000" w:themeColor="text1"/>
        </w:rPr>
        <w:t xml:space="preserve"> decisivel</w:t>
      </w:r>
      <w:r w:rsidR="00833830" w:rsidRPr="00D2593F">
        <w:rPr>
          <w:color w:val="000000" w:themeColor="text1"/>
        </w:rPr>
        <w:t xml:space="preserve">y </w:t>
      </w:r>
      <w:r w:rsidR="00FA02DF" w:rsidRPr="00D2593F">
        <w:rPr>
          <w:color w:val="000000" w:themeColor="text1"/>
        </w:rPr>
        <w:t>effective medical solution.</w:t>
      </w:r>
      <w:r w:rsidR="00F87FBE" w:rsidRPr="00D2593F">
        <w:rPr>
          <w:rStyle w:val="FootnoteReference"/>
          <w:color w:val="000000" w:themeColor="text1"/>
        </w:rPr>
        <w:footnoteReference w:id="13"/>
      </w:r>
      <w:r w:rsidR="00F87FBE" w:rsidRPr="00D2593F">
        <w:rPr>
          <w:color w:val="000000" w:themeColor="text1"/>
        </w:rPr>
        <w:t xml:space="preserve"> </w:t>
      </w:r>
      <w:r w:rsidR="00FA02DF" w:rsidRPr="00D2593F">
        <w:rPr>
          <w:color w:val="000000" w:themeColor="text1"/>
        </w:rPr>
        <w:t>It is also worth mentioning that there is a</w:t>
      </w:r>
      <w:r w:rsidR="00833830" w:rsidRPr="00D2593F">
        <w:rPr>
          <w:color w:val="000000" w:themeColor="text1"/>
        </w:rPr>
        <w:t>n explicitly</w:t>
      </w:r>
      <w:r w:rsidR="00FA02DF" w:rsidRPr="00D2593F">
        <w:rPr>
          <w:color w:val="000000" w:themeColor="text1"/>
        </w:rPr>
        <w:t xml:space="preserve"> magical tradition that operated during the </w:t>
      </w:r>
      <w:r w:rsidR="00833830" w:rsidRPr="00D2593F">
        <w:rPr>
          <w:color w:val="000000" w:themeColor="text1"/>
        </w:rPr>
        <w:t xml:space="preserve">Ancient </w:t>
      </w:r>
      <w:r w:rsidR="00FA02DF" w:rsidRPr="00D2593F">
        <w:rPr>
          <w:color w:val="000000" w:themeColor="text1"/>
        </w:rPr>
        <w:t xml:space="preserve">era that advocated the use of spells for medical effects. In </w:t>
      </w:r>
      <w:r w:rsidR="00FA02DF" w:rsidRPr="003A5F5D">
        <w:rPr>
          <w:i/>
          <w:color w:val="000000" w:themeColor="text1"/>
        </w:rPr>
        <w:t>the Greek Magical Papyri</w:t>
      </w:r>
      <w:r w:rsidR="00FA02DF" w:rsidRPr="00D2593F">
        <w:rPr>
          <w:color w:val="000000" w:themeColor="text1"/>
        </w:rPr>
        <w:t>, for example</w:t>
      </w:r>
      <w:r w:rsidR="00833830" w:rsidRPr="00D2593F">
        <w:rPr>
          <w:color w:val="000000" w:themeColor="text1"/>
        </w:rPr>
        <w:t>,</w:t>
      </w:r>
      <w:r w:rsidR="00FA02DF" w:rsidRPr="00D2593F">
        <w:rPr>
          <w:color w:val="000000" w:themeColor="text1"/>
        </w:rPr>
        <w:t xml:space="preserve"> </w:t>
      </w:r>
      <w:r w:rsidR="00833830" w:rsidRPr="00D2593F">
        <w:rPr>
          <w:color w:val="000000" w:themeColor="text1"/>
        </w:rPr>
        <w:t>there are instructions for a number of spells that were said to aid and abet physical healing related to a number of different injuries. They include spells for</w:t>
      </w:r>
      <w:r w:rsidR="00FA02DF" w:rsidRPr="00D2593F">
        <w:rPr>
          <w:color w:val="000000" w:themeColor="text1"/>
        </w:rPr>
        <w:t xml:space="preserve"> curing scorpion stings, dog bites, discharge of the eyes, migraine headache</w:t>
      </w:r>
      <w:r w:rsidR="003A5F5D">
        <w:rPr>
          <w:color w:val="000000" w:themeColor="text1"/>
        </w:rPr>
        <w:t>s</w:t>
      </w:r>
      <w:r w:rsidR="00FA02DF" w:rsidRPr="00D2593F">
        <w:rPr>
          <w:color w:val="000000" w:themeColor="text1"/>
        </w:rPr>
        <w:t xml:space="preserve">, coughs, hardening of the breasts, fever, shivering fits, </w:t>
      </w:r>
      <w:r w:rsidR="00833830" w:rsidRPr="00D2593F">
        <w:rPr>
          <w:color w:val="000000" w:themeColor="text1"/>
        </w:rPr>
        <w:t>and gout among others</w:t>
      </w:r>
      <w:r w:rsidR="00FA02DF" w:rsidRPr="00D2593F">
        <w:rPr>
          <w:color w:val="000000" w:themeColor="text1"/>
        </w:rPr>
        <w:t>.</w:t>
      </w:r>
      <w:r w:rsidR="00FA02DF" w:rsidRPr="00D2593F">
        <w:rPr>
          <w:rStyle w:val="FootnoteReference"/>
          <w:color w:val="000000" w:themeColor="text1"/>
        </w:rPr>
        <w:footnoteReference w:id="14"/>
      </w:r>
      <w:r w:rsidR="00833830" w:rsidRPr="00D2593F">
        <w:rPr>
          <w:color w:val="000000" w:themeColor="text1"/>
        </w:rPr>
        <w:t xml:space="preserve"> One particular example notes the use of what must </w:t>
      </w:r>
      <w:r w:rsidR="00833830" w:rsidRPr="00D2593F">
        <w:rPr>
          <w:color w:val="000000" w:themeColor="text1"/>
        </w:rPr>
        <w:lastRenderedPageBreak/>
        <w:t>be an amulet (</w:t>
      </w:r>
      <w:proofErr w:type="spellStart"/>
      <w:r w:rsidR="00833830" w:rsidRPr="003A5F5D">
        <w:rPr>
          <w:i/>
          <w:color w:val="000000" w:themeColor="text1"/>
          <w:u w:val="single"/>
        </w:rPr>
        <w:t>periapton</w:t>
      </w:r>
      <w:proofErr w:type="spellEnd"/>
      <w:r w:rsidR="00833830" w:rsidRPr="00D2593F">
        <w:rPr>
          <w:color w:val="000000" w:themeColor="text1"/>
        </w:rPr>
        <w:t>) to cure a scorpion sting: ‘</w:t>
      </w:r>
      <w:r w:rsidR="00FA02DF" w:rsidRPr="00D2593F">
        <w:rPr>
          <w:color w:val="000000" w:themeColor="text1"/>
        </w:rPr>
        <w:t>On a clean piece of papyrus, write the characters and place it on the part which has the sting; wrap / the papyrus around it, and the sting will lose its pain immediately</w:t>
      </w:r>
      <w:r w:rsidR="00833830" w:rsidRPr="00D2593F">
        <w:rPr>
          <w:color w:val="000000" w:themeColor="text1"/>
        </w:rPr>
        <w:t>.’</w:t>
      </w:r>
      <w:r w:rsidR="00FA02DF" w:rsidRPr="00D2593F">
        <w:rPr>
          <w:rStyle w:val="FootnoteReference"/>
          <w:color w:val="000000" w:themeColor="text1"/>
        </w:rPr>
        <w:footnoteReference w:id="15"/>
      </w:r>
      <w:r w:rsidR="00342361" w:rsidRPr="00D2593F">
        <w:rPr>
          <w:color w:val="000000" w:themeColor="text1"/>
        </w:rPr>
        <w:t xml:space="preserve"> Here, the distinction between ‘magic’ and ‘medicine’ becomes increasingly unclear as the </w:t>
      </w:r>
      <w:r w:rsidR="00BF55C8" w:rsidRPr="00D2593F">
        <w:rPr>
          <w:color w:val="000000" w:themeColor="text1"/>
        </w:rPr>
        <w:t>stately</w:t>
      </w:r>
      <w:r w:rsidR="00342361" w:rsidRPr="00D2593F">
        <w:rPr>
          <w:color w:val="000000" w:themeColor="text1"/>
        </w:rPr>
        <w:t xml:space="preserve"> ‘magical’ text provides ‘medical’ solutions that seem almost </w:t>
      </w:r>
      <w:r w:rsidR="00BF55C8">
        <w:rPr>
          <w:color w:val="000000" w:themeColor="text1"/>
        </w:rPr>
        <w:t>indistinguishable</w:t>
      </w:r>
      <w:r w:rsidR="00342361" w:rsidRPr="00D2593F">
        <w:rPr>
          <w:color w:val="000000" w:themeColor="text1"/>
        </w:rPr>
        <w:t xml:space="preserve"> from the aforementioned medical procedures described by Pindar, Homer and Plato in their respective texts. Attempting to clarify what a modern perspective might consider a confusion or conflagration of magical and medical practices, Dickie expressly states that ‘</w:t>
      </w:r>
      <w:proofErr w:type="spellStart"/>
      <w:r w:rsidR="00342361" w:rsidRPr="00D2593F">
        <w:rPr>
          <w:color w:val="000000" w:themeColor="text1"/>
        </w:rPr>
        <w:t>i</w:t>
      </w:r>
      <w:proofErr w:type="spellEnd"/>
      <w:r w:rsidR="00342361" w:rsidRPr="00D2593F">
        <w:rPr>
          <w:rFonts w:eastAsiaTheme="minorHAnsi"/>
          <w:color w:val="000000" w:themeColor="text1"/>
          <w:lang w:val="en-US"/>
        </w:rPr>
        <w:t xml:space="preserve">t cannot </w:t>
      </w:r>
      <w:r w:rsidR="00574D1F" w:rsidRPr="00D2593F">
        <w:rPr>
          <w:rFonts w:eastAsiaTheme="minorHAnsi"/>
          <w:color w:val="000000" w:themeColor="text1"/>
          <w:lang w:val="en-US"/>
        </w:rPr>
        <w:t>s</w:t>
      </w:r>
      <w:r w:rsidR="00342361" w:rsidRPr="00D2593F">
        <w:rPr>
          <w:rFonts w:eastAsiaTheme="minorHAnsi"/>
          <w:color w:val="000000" w:themeColor="text1"/>
          <w:lang w:val="en-US"/>
        </w:rPr>
        <w:t>afely be assumed that actions we would classify as magical seem</w:t>
      </w:r>
      <w:r w:rsidR="00BF55C8">
        <w:rPr>
          <w:rFonts w:eastAsiaTheme="minorHAnsi"/>
          <w:color w:val="000000" w:themeColor="text1"/>
          <w:lang w:val="en-US"/>
        </w:rPr>
        <w:t>ed</w:t>
      </w:r>
      <w:r w:rsidR="00342361" w:rsidRPr="00D2593F">
        <w:rPr>
          <w:rFonts w:eastAsiaTheme="minorHAnsi"/>
          <w:color w:val="000000" w:themeColor="text1"/>
          <w:lang w:val="en-US"/>
        </w:rPr>
        <w:t xml:space="preserve"> so to an Athenian of the fifth or fourth century BC.’</w:t>
      </w:r>
      <w:r w:rsidR="00342361" w:rsidRPr="00D2593F">
        <w:rPr>
          <w:rStyle w:val="FootnoteReference"/>
          <w:rFonts w:eastAsiaTheme="minorHAnsi"/>
          <w:color w:val="000000" w:themeColor="text1"/>
          <w:lang w:val="en-US"/>
        </w:rPr>
        <w:footnoteReference w:id="16"/>
      </w:r>
      <w:r w:rsidR="00D2593F" w:rsidRPr="00D2593F">
        <w:rPr>
          <w:rFonts w:eastAsiaTheme="minorHAnsi"/>
          <w:color w:val="000000" w:themeColor="text1"/>
          <w:lang w:val="en-US"/>
        </w:rPr>
        <w:t xml:space="preserve"> Doing so, under Dickie’s view at the very least, would be to deny the practical reality that, to these authors, the distinction between magic and medicine was not an active part of their consideration .</w:t>
      </w:r>
    </w:p>
    <w:p w14:paraId="1B3FBC56" w14:textId="77777777" w:rsidR="00B24322" w:rsidRPr="00D2593F" w:rsidRDefault="00B24322" w:rsidP="003D4693">
      <w:pPr>
        <w:jc w:val="both"/>
        <w:rPr>
          <w:color w:val="000000" w:themeColor="text1"/>
        </w:rPr>
      </w:pPr>
    </w:p>
    <w:p w14:paraId="2C27135C" w14:textId="05636C74" w:rsidR="00C22612" w:rsidRPr="00D2593F" w:rsidRDefault="00D2593F" w:rsidP="003D4693">
      <w:pPr>
        <w:jc w:val="both"/>
        <w:rPr>
          <w:color w:val="000000" w:themeColor="text1"/>
        </w:rPr>
      </w:pPr>
      <w:r w:rsidRPr="00D2593F">
        <w:rPr>
          <w:color w:val="000000" w:themeColor="text1"/>
        </w:rPr>
        <w:t xml:space="preserve">In conclusion to this point, it is important to </w:t>
      </w:r>
      <w:r w:rsidR="00BF55C8">
        <w:rPr>
          <w:color w:val="000000" w:themeColor="text1"/>
        </w:rPr>
        <w:t>re</w:t>
      </w:r>
      <w:r w:rsidRPr="00D2593F">
        <w:rPr>
          <w:color w:val="000000" w:themeColor="text1"/>
        </w:rPr>
        <w:t>consider the premise of this paper</w:t>
      </w:r>
      <w:r w:rsidR="00B24322" w:rsidRPr="00D2593F">
        <w:rPr>
          <w:color w:val="000000" w:themeColor="text1"/>
        </w:rPr>
        <w:t xml:space="preserve">: to what extent does divination impact the application of ancient Greek medicine? Owing to the textual evidence offered by a number of preeminent ancient Greek authors, it might in fact be the case that there is an anachronistic flaw in the question being asked here. According to Homer’s appropriation of what must have been an accepted medical practice in </w:t>
      </w:r>
      <w:r w:rsidR="003A5F5D" w:rsidRPr="003A5F5D">
        <w:rPr>
          <w:i/>
          <w:color w:val="000000" w:themeColor="text1"/>
        </w:rPr>
        <w:t>T</w:t>
      </w:r>
      <w:r w:rsidR="00B24322" w:rsidRPr="003A5F5D">
        <w:rPr>
          <w:i/>
          <w:color w:val="000000" w:themeColor="text1"/>
        </w:rPr>
        <w:t>he Odyssey</w:t>
      </w:r>
      <w:r w:rsidR="00B24322" w:rsidRPr="00D2593F">
        <w:rPr>
          <w:color w:val="000000" w:themeColor="text1"/>
        </w:rPr>
        <w:t xml:space="preserve">, the numerous </w:t>
      </w:r>
      <w:r w:rsidRPr="00D2593F">
        <w:rPr>
          <w:color w:val="000000" w:themeColor="text1"/>
        </w:rPr>
        <w:t>delineations</w:t>
      </w:r>
      <w:r w:rsidR="00B24322" w:rsidRPr="00D2593F">
        <w:rPr>
          <w:color w:val="000000" w:themeColor="text1"/>
        </w:rPr>
        <w:t xml:space="preserve"> of the healing powers associated with divinatory practices in both Plato and Pindar’s works,</w:t>
      </w:r>
      <w:r w:rsidRPr="00D2593F">
        <w:rPr>
          <w:color w:val="000000" w:themeColor="text1"/>
        </w:rPr>
        <w:t xml:space="preserve"> </w:t>
      </w:r>
      <w:r w:rsidR="00AB42B8">
        <w:rPr>
          <w:color w:val="000000" w:themeColor="text1"/>
        </w:rPr>
        <w:t>and</w:t>
      </w:r>
      <w:r w:rsidRPr="00D2593F">
        <w:rPr>
          <w:color w:val="000000" w:themeColor="text1"/>
        </w:rPr>
        <w:t xml:space="preserve"> the medical claims outlined in the </w:t>
      </w:r>
      <w:r w:rsidRPr="00916C94">
        <w:rPr>
          <w:i/>
          <w:color w:val="000000" w:themeColor="text1"/>
        </w:rPr>
        <w:t>Greek Magical Papyri</w:t>
      </w:r>
      <w:r w:rsidRPr="00D2593F">
        <w:rPr>
          <w:color w:val="000000" w:themeColor="text1"/>
        </w:rPr>
        <w:t>,</w:t>
      </w:r>
      <w:r w:rsidR="00B24322" w:rsidRPr="00D2593F">
        <w:rPr>
          <w:color w:val="000000" w:themeColor="text1"/>
        </w:rPr>
        <w:t xml:space="preserve"> it might be more effective to ask if there is an intelligible difference between divinatory and medical practices in Ancient Greece at all. </w:t>
      </w:r>
    </w:p>
    <w:p w14:paraId="1827CBAC" w14:textId="49BD3DD5" w:rsidR="00263098" w:rsidRDefault="00263098" w:rsidP="003D4693">
      <w:pPr>
        <w:jc w:val="both"/>
        <w:rPr>
          <w:i/>
          <w:color w:val="FF0000"/>
        </w:rPr>
      </w:pPr>
    </w:p>
    <w:p w14:paraId="7BF9DEA1" w14:textId="4B8D14D6" w:rsidR="00263098" w:rsidRPr="00007392" w:rsidRDefault="00263098" w:rsidP="003D4693">
      <w:pPr>
        <w:jc w:val="both"/>
        <w:rPr>
          <w:b/>
          <w:color w:val="000000" w:themeColor="text1"/>
        </w:rPr>
      </w:pPr>
      <w:r w:rsidRPr="00007392">
        <w:rPr>
          <w:b/>
          <w:color w:val="000000" w:themeColor="text1"/>
        </w:rPr>
        <w:t xml:space="preserve">The Hippocratic </w:t>
      </w:r>
      <w:r w:rsidR="005730F9" w:rsidRPr="00007392">
        <w:rPr>
          <w:b/>
          <w:color w:val="000000" w:themeColor="text1"/>
        </w:rPr>
        <w:t>Corpus</w:t>
      </w:r>
    </w:p>
    <w:p w14:paraId="226E8A69" w14:textId="05C0A39B" w:rsidR="00704906" w:rsidRPr="00007392" w:rsidRDefault="00704906" w:rsidP="003D4693">
      <w:pPr>
        <w:jc w:val="both"/>
        <w:rPr>
          <w:color w:val="000000" w:themeColor="text1"/>
        </w:rPr>
      </w:pPr>
    </w:p>
    <w:p w14:paraId="7CC16FBF" w14:textId="21670177" w:rsidR="005730F9" w:rsidRPr="0022498F" w:rsidRDefault="00704906" w:rsidP="003D4693">
      <w:pPr>
        <w:jc w:val="both"/>
        <w:rPr>
          <w:color w:val="000000" w:themeColor="text1"/>
        </w:rPr>
      </w:pPr>
      <w:r w:rsidRPr="0022498F">
        <w:rPr>
          <w:color w:val="000000" w:themeColor="text1"/>
        </w:rPr>
        <w:t xml:space="preserve">To </w:t>
      </w:r>
      <w:r w:rsidR="005730F9" w:rsidRPr="0022498F">
        <w:rPr>
          <w:color w:val="000000" w:themeColor="text1"/>
        </w:rPr>
        <w:t>comment effectively on</w:t>
      </w:r>
      <w:r w:rsidRPr="0022498F">
        <w:rPr>
          <w:color w:val="000000" w:themeColor="text1"/>
        </w:rPr>
        <w:t xml:space="preserve"> </w:t>
      </w:r>
      <w:r w:rsidR="00916C94" w:rsidRPr="0022498F">
        <w:rPr>
          <w:color w:val="000000" w:themeColor="text1"/>
        </w:rPr>
        <w:t>the inherent interconnectedness of divination and medicine</w:t>
      </w:r>
      <w:r w:rsidRPr="0022498F">
        <w:rPr>
          <w:color w:val="000000" w:themeColor="text1"/>
        </w:rPr>
        <w:t xml:space="preserve"> further, it is compelling to consider the output of the Hippocratic school of medicine that dominated during the Hellenistic era.</w:t>
      </w:r>
      <w:r w:rsidR="005730F9" w:rsidRPr="0022498F">
        <w:rPr>
          <w:color w:val="000000" w:themeColor="text1"/>
        </w:rPr>
        <w:t xml:space="preserve"> </w:t>
      </w:r>
      <w:r w:rsidR="00916C94" w:rsidRPr="0022498F">
        <w:rPr>
          <w:color w:val="000000" w:themeColor="text1"/>
        </w:rPr>
        <w:t>Despite the tendency of the Hippocratic corpus to highlight the</w:t>
      </w:r>
      <w:r w:rsidR="005E126D" w:rsidRPr="0022498F">
        <w:rPr>
          <w:color w:val="000000" w:themeColor="text1"/>
        </w:rPr>
        <w:t xml:space="preserve"> physical causes of illnesses, a number of critics, including the authors writing within the tradition itself, still found value in the more spiritual elements of medical practice. Following the cosmological foundations laid by Aristotelian and Platonic philosophy, Hippocratic physicians were known to consider physical effects (those of coldness, warmth, sun, air and climate) on the human body</w:t>
      </w:r>
      <w:r w:rsidR="00BF55C8" w:rsidRPr="0022498F">
        <w:rPr>
          <w:color w:val="000000" w:themeColor="text1"/>
        </w:rPr>
        <w:t xml:space="preserve"> in proportion with </w:t>
      </w:r>
      <w:r w:rsidR="003A5F5D">
        <w:rPr>
          <w:color w:val="000000" w:themeColor="text1"/>
        </w:rPr>
        <w:t xml:space="preserve">their </w:t>
      </w:r>
      <w:r w:rsidR="00BF55C8" w:rsidRPr="0022498F">
        <w:rPr>
          <w:color w:val="000000" w:themeColor="text1"/>
        </w:rPr>
        <w:t>divine influence</w:t>
      </w:r>
      <w:r w:rsidR="003A5F5D">
        <w:rPr>
          <w:color w:val="000000" w:themeColor="text1"/>
        </w:rPr>
        <w:t>s</w:t>
      </w:r>
      <w:r w:rsidR="005E126D" w:rsidRPr="0022498F">
        <w:rPr>
          <w:color w:val="000000" w:themeColor="text1"/>
        </w:rPr>
        <w:t>.</w:t>
      </w:r>
      <w:r w:rsidR="004977EF" w:rsidRPr="0022498F">
        <w:rPr>
          <w:rStyle w:val="FootnoteReference"/>
          <w:color w:val="000000" w:themeColor="text1"/>
        </w:rPr>
        <w:footnoteReference w:id="17"/>
      </w:r>
      <w:r w:rsidR="005E126D" w:rsidRPr="0022498F">
        <w:rPr>
          <w:color w:val="000000" w:themeColor="text1"/>
        </w:rPr>
        <w:t xml:space="preserve"> </w:t>
      </w:r>
    </w:p>
    <w:p w14:paraId="375F62AE" w14:textId="79F65565" w:rsidR="005730F9" w:rsidRPr="0022498F" w:rsidRDefault="005730F9" w:rsidP="003D4693">
      <w:pPr>
        <w:jc w:val="both"/>
        <w:rPr>
          <w:color w:val="000000" w:themeColor="text1"/>
        </w:rPr>
      </w:pPr>
    </w:p>
    <w:p w14:paraId="7A36FB6C" w14:textId="2A5868A1" w:rsidR="005730F9" w:rsidRPr="0022498F" w:rsidRDefault="005730F9" w:rsidP="003D4693">
      <w:pPr>
        <w:jc w:val="both"/>
        <w:rPr>
          <w:i/>
          <w:color w:val="000000" w:themeColor="text1"/>
        </w:rPr>
      </w:pPr>
      <w:r w:rsidRPr="0022498F">
        <w:rPr>
          <w:i/>
          <w:color w:val="000000" w:themeColor="text1"/>
        </w:rPr>
        <w:t>On the Sacred Disease</w:t>
      </w:r>
    </w:p>
    <w:p w14:paraId="40C484BC" w14:textId="77777777" w:rsidR="005730F9" w:rsidRPr="0022498F" w:rsidRDefault="005730F9" w:rsidP="003D4693">
      <w:pPr>
        <w:jc w:val="both"/>
        <w:rPr>
          <w:color w:val="000000" w:themeColor="text1"/>
        </w:rPr>
      </w:pPr>
    </w:p>
    <w:p w14:paraId="246661EB" w14:textId="2A61A956" w:rsidR="005730F9" w:rsidRPr="0022498F" w:rsidRDefault="005E126D" w:rsidP="003D4693">
      <w:pPr>
        <w:jc w:val="both"/>
        <w:rPr>
          <w:color w:val="000000" w:themeColor="text1"/>
        </w:rPr>
      </w:pPr>
      <w:r w:rsidRPr="0022498F">
        <w:rPr>
          <w:color w:val="000000" w:themeColor="text1"/>
        </w:rPr>
        <w:t xml:space="preserve">In a Hippocratic treatise, </w:t>
      </w:r>
      <w:r w:rsidRPr="003A5F5D">
        <w:rPr>
          <w:i/>
          <w:color w:val="000000" w:themeColor="text1"/>
        </w:rPr>
        <w:t>On the Sacred Diseas</w:t>
      </w:r>
      <w:r w:rsidR="005730F9" w:rsidRPr="003A5F5D">
        <w:rPr>
          <w:i/>
          <w:color w:val="000000" w:themeColor="text1"/>
        </w:rPr>
        <w:t>e</w:t>
      </w:r>
      <w:r w:rsidRPr="0022498F">
        <w:rPr>
          <w:color w:val="000000" w:themeColor="text1"/>
        </w:rPr>
        <w:t xml:space="preserve"> (which refers to epilepsy), the</w:t>
      </w:r>
      <w:r w:rsidR="00BF55C8" w:rsidRPr="0022498F">
        <w:rPr>
          <w:color w:val="000000" w:themeColor="text1"/>
        </w:rPr>
        <w:t xml:space="preserve"> unknown</w:t>
      </w:r>
      <w:r w:rsidRPr="0022498F">
        <w:rPr>
          <w:color w:val="000000" w:themeColor="text1"/>
        </w:rPr>
        <w:t xml:space="preserve"> author claims that the ‘sacred disease’</w:t>
      </w:r>
      <w:r w:rsidR="003A5F5D">
        <w:rPr>
          <w:color w:val="000000" w:themeColor="text1"/>
        </w:rPr>
        <w:t xml:space="preserve"> (epilepsy)</w:t>
      </w:r>
      <w:r w:rsidRPr="0022498F">
        <w:rPr>
          <w:color w:val="000000" w:themeColor="text1"/>
        </w:rPr>
        <w:t xml:space="preserve"> can ultimately be no more divine than any other disease—a move that </w:t>
      </w:r>
      <w:r w:rsidR="00BF55C8" w:rsidRPr="0022498F">
        <w:rPr>
          <w:color w:val="000000" w:themeColor="text1"/>
        </w:rPr>
        <w:t>seems to</w:t>
      </w:r>
      <w:r w:rsidRPr="0022498F">
        <w:rPr>
          <w:color w:val="000000" w:themeColor="text1"/>
        </w:rPr>
        <w:t xml:space="preserve"> affirm the inherent divinity of medical issues and their treatments</w:t>
      </w:r>
      <w:r w:rsidR="00BF55C8" w:rsidRPr="0022498F">
        <w:rPr>
          <w:color w:val="000000" w:themeColor="text1"/>
        </w:rPr>
        <w:t xml:space="preserve"> within the Hippocratic tradition</w:t>
      </w:r>
      <w:r w:rsidRPr="0022498F">
        <w:rPr>
          <w:color w:val="000000" w:themeColor="text1"/>
        </w:rPr>
        <w:t>.</w:t>
      </w:r>
      <w:r w:rsidRPr="0022498F">
        <w:rPr>
          <w:rStyle w:val="FootnoteReference"/>
          <w:color w:val="000000" w:themeColor="text1"/>
        </w:rPr>
        <w:footnoteReference w:id="18"/>
      </w:r>
      <w:r w:rsidRPr="0022498F">
        <w:rPr>
          <w:color w:val="000000" w:themeColor="text1"/>
        </w:rPr>
        <w:t xml:space="preserve"> </w:t>
      </w:r>
      <w:r w:rsidR="004977EF" w:rsidRPr="0022498F">
        <w:rPr>
          <w:color w:val="000000" w:themeColor="text1"/>
        </w:rPr>
        <w:t>Specifically, at the outset of the text, the unknown author enacts a criti</w:t>
      </w:r>
      <w:r w:rsidR="00BF55C8" w:rsidRPr="0022498F">
        <w:rPr>
          <w:color w:val="000000" w:themeColor="text1"/>
        </w:rPr>
        <w:t>que</w:t>
      </w:r>
      <w:r w:rsidR="004977EF" w:rsidRPr="0022498F">
        <w:rPr>
          <w:color w:val="000000" w:themeColor="text1"/>
        </w:rPr>
        <w:t xml:space="preserve"> of practitioners that sought to attribute the causes of epilepsy to any one particular god or religious principle</w:t>
      </w:r>
      <w:r w:rsidR="00BF55C8" w:rsidRPr="0022498F">
        <w:rPr>
          <w:color w:val="000000" w:themeColor="text1"/>
        </w:rPr>
        <w:t>—</w:t>
      </w:r>
      <w:r w:rsidR="004977EF" w:rsidRPr="0022498F">
        <w:rPr>
          <w:color w:val="000000" w:themeColor="text1"/>
        </w:rPr>
        <w:t>a common practice among some Greek practitioners.</w:t>
      </w:r>
      <w:r w:rsidR="004977EF" w:rsidRPr="0022498F">
        <w:rPr>
          <w:rStyle w:val="FootnoteReference"/>
          <w:color w:val="000000" w:themeColor="text1"/>
        </w:rPr>
        <w:footnoteReference w:id="19"/>
      </w:r>
      <w:r w:rsidR="004977EF" w:rsidRPr="0022498F">
        <w:rPr>
          <w:color w:val="000000" w:themeColor="text1"/>
        </w:rPr>
        <w:t xml:space="preserve"> Instead, the author </w:t>
      </w:r>
      <w:r w:rsidR="004977EF" w:rsidRPr="0022498F">
        <w:rPr>
          <w:color w:val="000000" w:themeColor="text1"/>
        </w:rPr>
        <w:lastRenderedPageBreak/>
        <w:t xml:space="preserve">claimed that this rationale for the illness was merely a cover for medical ignorance </w:t>
      </w:r>
      <w:r w:rsidR="00BF55C8" w:rsidRPr="0022498F">
        <w:rPr>
          <w:color w:val="000000" w:themeColor="text1"/>
        </w:rPr>
        <w:t>and a lack of understanding</w:t>
      </w:r>
      <w:r w:rsidR="004977EF" w:rsidRPr="0022498F">
        <w:rPr>
          <w:color w:val="000000" w:themeColor="text1"/>
        </w:rPr>
        <w:t xml:space="preserve"> how to effectively treat it. Following Hippocratic physical logic, the author attribute</w:t>
      </w:r>
      <w:r w:rsidR="00001537" w:rsidRPr="0022498F">
        <w:rPr>
          <w:color w:val="000000" w:themeColor="text1"/>
        </w:rPr>
        <w:t>d</w:t>
      </w:r>
      <w:r w:rsidR="004977EF" w:rsidRPr="0022498F">
        <w:rPr>
          <w:color w:val="000000" w:themeColor="text1"/>
        </w:rPr>
        <w:t xml:space="preserve"> a more direct physical relation between epilepsy and an excess of white phlegm</w:t>
      </w:r>
      <w:r w:rsidR="00001537" w:rsidRPr="0022498F">
        <w:rPr>
          <w:color w:val="000000" w:themeColor="text1"/>
        </w:rPr>
        <w:t>.</w:t>
      </w:r>
      <w:r w:rsidR="00001537" w:rsidRPr="0022498F">
        <w:rPr>
          <w:rStyle w:val="FootnoteReference"/>
          <w:color w:val="000000" w:themeColor="text1"/>
        </w:rPr>
        <w:footnoteReference w:id="20"/>
      </w:r>
      <w:r w:rsidR="00001537" w:rsidRPr="0022498F">
        <w:rPr>
          <w:color w:val="000000" w:themeColor="text1"/>
        </w:rPr>
        <w:t xml:space="preserve"> However, despite offering what may be epilepsy’s physical root, the author of the text did not in </w:t>
      </w:r>
      <w:r w:rsidR="00BF55C8" w:rsidRPr="0022498F">
        <w:rPr>
          <w:color w:val="000000" w:themeColor="text1"/>
        </w:rPr>
        <w:t>their</w:t>
      </w:r>
      <w:r w:rsidR="00001537" w:rsidRPr="0022498F">
        <w:rPr>
          <w:color w:val="000000" w:themeColor="text1"/>
        </w:rPr>
        <w:t xml:space="preserve"> criticism make the claim that knowledge of the physical cause of the ‘sacred disease’ overwrote the </w:t>
      </w:r>
      <w:r w:rsidR="00BF55C8" w:rsidRPr="0022498F">
        <w:rPr>
          <w:color w:val="000000" w:themeColor="text1"/>
        </w:rPr>
        <w:t>divin</w:t>
      </w:r>
      <w:r w:rsidR="003A5F5D">
        <w:rPr>
          <w:color w:val="000000" w:themeColor="text1"/>
        </w:rPr>
        <w:t>ity</w:t>
      </w:r>
      <w:r w:rsidR="00001537" w:rsidRPr="0022498F">
        <w:rPr>
          <w:color w:val="000000" w:themeColor="text1"/>
        </w:rPr>
        <w:t xml:space="preserve"> of the disease</w:t>
      </w:r>
      <w:r w:rsidR="00BF55C8" w:rsidRPr="0022498F">
        <w:rPr>
          <w:color w:val="000000" w:themeColor="text1"/>
        </w:rPr>
        <w:t>.</w:t>
      </w:r>
      <w:r w:rsidR="00BF55C8" w:rsidRPr="0022498F">
        <w:rPr>
          <w:rStyle w:val="FootnoteReference"/>
          <w:color w:val="000000" w:themeColor="text1"/>
        </w:rPr>
        <w:footnoteReference w:id="21"/>
      </w:r>
      <w:r w:rsidR="00001537" w:rsidRPr="0022498F">
        <w:rPr>
          <w:color w:val="000000" w:themeColor="text1"/>
        </w:rPr>
        <w:t xml:space="preserve"> Instead the author claimed that ‘t</w:t>
      </w:r>
      <w:r w:rsidRPr="0022498F">
        <w:rPr>
          <w:color w:val="000000" w:themeColor="text1"/>
        </w:rPr>
        <w:t>his disease seems to me to be no more divine than any other disease:</w:t>
      </w:r>
      <w:r w:rsidR="00001537" w:rsidRPr="0022498F">
        <w:rPr>
          <w:color w:val="000000" w:themeColor="text1"/>
        </w:rPr>
        <w:t>…</w:t>
      </w:r>
      <w:r w:rsidRPr="0022498F">
        <w:rPr>
          <w:color w:val="000000" w:themeColor="text1"/>
        </w:rPr>
        <w:t>there is no need to put it in a special category and to consider it more divine than other diseases; they are all divine, and all human.</w:t>
      </w:r>
      <w:r w:rsidRPr="0022498F">
        <w:rPr>
          <w:rStyle w:val="FootnoteReference"/>
          <w:color w:val="000000" w:themeColor="text1"/>
        </w:rPr>
        <w:footnoteReference w:id="22"/>
      </w:r>
      <w:r w:rsidRPr="0022498F">
        <w:rPr>
          <w:color w:val="000000" w:themeColor="text1"/>
        </w:rPr>
        <w:t xml:space="preserve"> </w:t>
      </w:r>
      <w:r w:rsidR="00001537" w:rsidRPr="0022498F">
        <w:rPr>
          <w:color w:val="000000" w:themeColor="text1"/>
        </w:rPr>
        <w:t>Within this, the author exposes that</w:t>
      </w:r>
      <w:r w:rsidR="00BF55C8" w:rsidRPr="0022498F">
        <w:rPr>
          <w:color w:val="000000" w:themeColor="text1"/>
        </w:rPr>
        <w:t>, for the Hippocratic perspective at least,</w:t>
      </w:r>
      <w:r w:rsidR="00001537" w:rsidRPr="0022498F">
        <w:rPr>
          <w:color w:val="000000" w:themeColor="text1"/>
        </w:rPr>
        <w:t xml:space="preserve"> physical knowledge of an illness’ cause did not mean that there were not divine elements at play within it. To the contrary, it is the author’s opinion (that may be extended to a broad strata of Hippocratic medical philosophy) that all diseases were simultaneously natural and divine. </w:t>
      </w:r>
      <w:r w:rsidR="00DA2CC0" w:rsidRPr="0022498F">
        <w:rPr>
          <w:color w:val="000000" w:themeColor="text1"/>
        </w:rPr>
        <w:t>As mentioned previously t</w:t>
      </w:r>
      <w:r w:rsidR="00977FA6" w:rsidRPr="0022498F">
        <w:rPr>
          <w:color w:val="000000" w:themeColor="text1"/>
        </w:rPr>
        <w:t xml:space="preserve">his conception follows </w:t>
      </w:r>
      <w:r w:rsidR="00DA2CC0" w:rsidRPr="0022498F">
        <w:rPr>
          <w:color w:val="000000" w:themeColor="text1"/>
        </w:rPr>
        <w:t xml:space="preserve">the </w:t>
      </w:r>
      <w:r w:rsidR="00BF55C8" w:rsidRPr="0022498F">
        <w:rPr>
          <w:color w:val="000000" w:themeColor="text1"/>
        </w:rPr>
        <w:t>P</w:t>
      </w:r>
      <w:r w:rsidR="00DA2CC0" w:rsidRPr="0022498F">
        <w:rPr>
          <w:color w:val="000000" w:themeColor="text1"/>
        </w:rPr>
        <w:t>latonic</w:t>
      </w:r>
      <w:r w:rsidR="00BF55C8" w:rsidRPr="0022498F">
        <w:rPr>
          <w:color w:val="000000" w:themeColor="text1"/>
        </w:rPr>
        <w:t>/Aristotelian</w:t>
      </w:r>
      <w:r w:rsidR="00DA2CC0" w:rsidRPr="0022498F">
        <w:rPr>
          <w:color w:val="000000" w:themeColor="text1"/>
        </w:rPr>
        <w:t xml:space="preserve"> idea that everything, at least to some degree, maintained an inherent connection with the divine principle.</w:t>
      </w:r>
      <w:r w:rsidR="005730F9" w:rsidRPr="0022498F">
        <w:rPr>
          <w:rStyle w:val="FootnoteReference"/>
          <w:color w:val="000000" w:themeColor="text1"/>
        </w:rPr>
        <w:footnoteReference w:id="23"/>
      </w:r>
      <w:r w:rsidR="00DA2CC0" w:rsidRPr="0022498F">
        <w:rPr>
          <w:color w:val="000000" w:themeColor="text1"/>
        </w:rPr>
        <w:t xml:space="preserve"> </w:t>
      </w:r>
    </w:p>
    <w:p w14:paraId="2386C807" w14:textId="04B487B8" w:rsidR="005730F9" w:rsidRPr="0022498F" w:rsidRDefault="005730F9" w:rsidP="003D4693">
      <w:pPr>
        <w:jc w:val="both"/>
        <w:rPr>
          <w:color w:val="000000" w:themeColor="text1"/>
        </w:rPr>
      </w:pPr>
    </w:p>
    <w:p w14:paraId="1CC742C9" w14:textId="1CB2AED9" w:rsidR="005730F9" w:rsidRPr="0022498F" w:rsidRDefault="005730F9" w:rsidP="003D4693">
      <w:pPr>
        <w:jc w:val="both"/>
        <w:rPr>
          <w:i/>
          <w:color w:val="000000" w:themeColor="text1"/>
        </w:rPr>
      </w:pPr>
      <w:r w:rsidRPr="0022498F">
        <w:rPr>
          <w:i/>
          <w:color w:val="000000" w:themeColor="text1"/>
        </w:rPr>
        <w:t>The Importance of ‘Both’</w:t>
      </w:r>
    </w:p>
    <w:p w14:paraId="0DEA83D1" w14:textId="77777777" w:rsidR="005730F9" w:rsidRPr="0022498F" w:rsidRDefault="005730F9" w:rsidP="003D4693">
      <w:pPr>
        <w:jc w:val="both"/>
        <w:rPr>
          <w:color w:val="000000" w:themeColor="text1"/>
        </w:rPr>
      </w:pPr>
    </w:p>
    <w:p w14:paraId="6FA9FC62" w14:textId="3CF0110B" w:rsidR="0044494F" w:rsidRPr="0022498F" w:rsidRDefault="00DA2CC0" w:rsidP="003D4693">
      <w:pPr>
        <w:jc w:val="both"/>
        <w:rPr>
          <w:color w:val="000000" w:themeColor="text1"/>
        </w:rPr>
      </w:pPr>
      <w:r w:rsidRPr="0022498F">
        <w:rPr>
          <w:color w:val="000000" w:themeColor="text1"/>
        </w:rPr>
        <w:t>Th</w:t>
      </w:r>
      <w:r w:rsidR="00BF55C8" w:rsidRPr="0022498F">
        <w:rPr>
          <w:color w:val="000000" w:themeColor="text1"/>
        </w:rPr>
        <w:t>e inherent divinity of all things</w:t>
      </w:r>
      <w:r w:rsidRPr="0022498F">
        <w:rPr>
          <w:color w:val="000000" w:themeColor="text1"/>
        </w:rPr>
        <w:t xml:space="preserve"> is a point made clearly evident in Plato’s </w:t>
      </w:r>
      <w:r w:rsidRPr="003A5F5D">
        <w:rPr>
          <w:i/>
          <w:color w:val="000000" w:themeColor="text1"/>
        </w:rPr>
        <w:t>Laws</w:t>
      </w:r>
      <w:r w:rsidR="00BF55C8" w:rsidRPr="0022498F">
        <w:rPr>
          <w:color w:val="000000" w:themeColor="text1"/>
        </w:rPr>
        <w:t xml:space="preserve">. Through a dialogue, Plato </w:t>
      </w:r>
      <w:r w:rsidRPr="0022498F">
        <w:rPr>
          <w:color w:val="000000" w:themeColor="text1"/>
        </w:rPr>
        <w:t>explains that ‘</w:t>
      </w:r>
      <w:r w:rsidR="003A5F5D">
        <w:rPr>
          <w:color w:val="000000" w:themeColor="text1"/>
        </w:rPr>
        <w:t>c</w:t>
      </w:r>
      <w:r w:rsidRPr="0022498F">
        <w:rPr>
          <w:color w:val="000000" w:themeColor="text1"/>
        </w:rPr>
        <w:t>oncerning all the stars and the moon, and concerning the years and months and all seasons, what other account shall we give than this very same,—namely, that, inasmuch as it has been shown that they are all caused by one or more souls.’</w:t>
      </w:r>
      <w:r w:rsidRPr="0022498F">
        <w:rPr>
          <w:rStyle w:val="FootnoteReference"/>
          <w:color w:val="000000" w:themeColor="text1"/>
        </w:rPr>
        <w:footnoteReference w:id="24"/>
      </w:r>
      <w:r w:rsidRPr="0022498F">
        <w:rPr>
          <w:color w:val="000000" w:themeColor="text1"/>
        </w:rPr>
        <w:t xml:space="preserve"> Further, Plato asks </w:t>
      </w:r>
      <w:r w:rsidR="00BF55C8" w:rsidRPr="0022498F">
        <w:rPr>
          <w:color w:val="000000" w:themeColor="text1"/>
        </w:rPr>
        <w:t xml:space="preserve">the following question </w:t>
      </w:r>
      <w:r w:rsidRPr="0022498F">
        <w:rPr>
          <w:color w:val="000000" w:themeColor="text1"/>
        </w:rPr>
        <w:t xml:space="preserve">later </w:t>
      </w:r>
      <w:r w:rsidR="00BF55C8" w:rsidRPr="0022498F">
        <w:rPr>
          <w:color w:val="000000" w:themeColor="text1"/>
        </w:rPr>
        <w:t xml:space="preserve">on </w:t>
      </w:r>
      <w:r w:rsidRPr="0022498F">
        <w:rPr>
          <w:color w:val="000000" w:themeColor="text1"/>
        </w:rPr>
        <w:t>in the same passage, ‘Is there any man that agrees with this view who will stand hearing it denied that all things are full of gods?’</w:t>
      </w:r>
      <w:r w:rsidRPr="0022498F">
        <w:rPr>
          <w:rStyle w:val="FootnoteReference"/>
          <w:color w:val="000000" w:themeColor="text1"/>
        </w:rPr>
        <w:footnoteReference w:id="25"/>
      </w:r>
      <w:r w:rsidRPr="0022498F">
        <w:rPr>
          <w:color w:val="000000" w:themeColor="text1"/>
        </w:rPr>
        <w:t xml:space="preserve"> If, according to this Platonic ideal (that is similarly expressed in Aristotle’s </w:t>
      </w:r>
      <w:r w:rsidRPr="003D4693">
        <w:rPr>
          <w:i/>
          <w:color w:val="000000" w:themeColor="text1"/>
        </w:rPr>
        <w:t>On the Heavens</w:t>
      </w:r>
      <w:r w:rsidRPr="0022498F">
        <w:rPr>
          <w:color w:val="000000" w:themeColor="text1"/>
        </w:rPr>
        <w:t xml:space="preserve">) all things maintain a level of divinity, it is clear </w:t>
      </w:r>
      <w:r w:rsidR="00BF55C8" w:rsidRPr="0022498F">
        <w:rPr>
          <w:color w:val="000000" w:themeColor="text1"/>
        </w:rPr>
        <w:t>how</w:t>
      </w:r>
      <w:r w:rsidRPr="0022498F">
        <w:rPr>
          <w:color w:val="000000" w:themeColor="text1"/>
        </w:rPr>
        <w:t xml:space="preserve"> Hippocratic physicians—who were likely participating in the same cosmological system—felt duty bound to incorporate both into their practice. They stem from the pantheistic cosmological model that was dominant at the time when Hippocratic medicine was being codified. For additional proof of the equal importance of natural and divine </w:t>
      </w:r>
      <w:r w:rsidR="00BF55C8" w:rsidRPr="0022498F">
        <w:rPr>
          <w:color w:val="000000" w:themeColor="text1"/>
        </w:rPr>
        <w:t>considerations,</w:t>
      </w:r>
      <w:r w:rsidR="00A77F94" w:rsidRPr="0022498F">
        <w:rPr>
          <w:color w:val="000000" w:themeColor="text1"/>
        </w:rPr>
        <w:t xml:space="preserve"> in </w:t>
      </w:r>
      <w:r w:rsidR="00A77F94" w:rsidRPr="003D4693">
        <w:rPr>
          <w:i/>
          <w:color w:val="000000" w:themeColor="text1"/>
        </w:rPr>
        <w:t>Airs, Waters, and Places</w:t>
      </w:r>
      <w:r w:rsidR="00A77F94" w:rsidRPr="0022498F">
        <w:rPr>
          <w:color w:val="000000" w:themeColor="text1"/>
        </w:rPr>
        <w:t xml:space="preserve">, Hippocrates himself expresses the same principle expounded upon in </w:t>
      </w:r>
      <w:r w:rsidR="00A77F94" w:rsidRPr="003D4693">
        <w:rPr>
          <w:i/>
          <w:color w:val="000000" w:themeColor="text1"/>
        </w:rPr>
        <w:t>On the Sacred Disease</w:t>
      </w:r>
      <w:r w:rsidR="00A77F94" w:rsidRPr="0022498F">
        <w:rPr>
          <w:color w:val="000000" w:themeColor="text1"/>
        </w:rPr>
        <w:t>. He says that ‘</w:t>
      </w:r>
      <w:r w:rsidR="005730F9" w:rsidRPr="0022498F">
        <w:rPr>
          <w:color w:val="000000" w:themeColor="text1"/>
        </w:rPr>
        <w:t>I too think that these diseases are divine, and so are all others, no one being more divine or more human than any other; all are alike, and all divine, but each of them has a nature of its own, and none arises without its nature.</w:t>
      </w:r>
      <w:r w:rsidR="005730F9" w:rsidRPr="0022498F">
        <w:rPr>
          <w:rStyle w:val="FootnoteReference"/>
          <w:color w:val="000000" w:themeColor="text1"/>
        </w:rPr>
        <w:footnoteReference w:id="26"/>
      </w:r>
      <w:r w:rsidR="005409CC" w:rsidRPr="0022498F">
        <w:rPr>
          <w:color w:val="000000" w:themeColor="text1"/>
        </w:rPr>
        <w:t xml:space="preserve"> Following the Hippocratic perception that effective medical treatment resulted in proportionate consideration of both physical and divine elements of the illness being treated, it was necessary that physicians be learned in both the natural and divine elements of health and wellness. Hippocrates even goes as far in </w:t>
      </w:r>
      <w:r w:rsidR="005409CC" w:rsidRPr="003D4693">
        <w:rPr>
          <w:i/>
          <w:color w:val="000000" w:themeColor="text1"/>
        </w:rPr>
        <w:t xml:space="preserve">Prognostic </w:t>
      </w:r>
      <w:r w:rsidR="005409CC" w:rsidRPr="0022498F">
        <w:rPr>
          <w:color w:val="000000" w:themeColor="text1"/>
        </w:rPr>
        <w:t>I to suggest that</w:t>
      </w:r>
      <w:r w:rsidR="005730F9" w:rsidRPr="0022498F">
        <w:rPr>
          <w:color w:val="000000" w:themeColor="text1"/>
        </w:rPr>
        <w:t xml:space="preserve"> [doctors should] ‘…learn the natures of such diseases, how much they exceed the </w:t>
      </w:r>
      <w:r w:rsidR="005730F9" w:rsidRPr="0022498F">
        <w:rPr>
          <w:color w:val="000000" w:themeColor="text1"/>
        </w:rPr>
        <w:lastRenderedPageBreak/>
        <w:t xml:space="preserve">strength of </w:t>
      </w:r>
      <w:proofErr w:type="spellStart"/>
      <w:r w:rsidR="005730F9" w:rsidRPr="0022498F">
        <w:rPr>
          <w:color w:val="000000" w:themeColor="text1"/>
        </w:rPr>
        <w:t>mens</w:t>
      </w:r>
      <w:proofErr w:type="spellEnd"/>
      <w:r w:rsidR="005730F9" w:rsidRPr="0022498F">
        <w:rPr>
          <w:color w:val="000000" w:themeColor="text1"/>
        </w:rPr>
        <w:t>’ bodies, besides whether there is any divine influence in them and to learn how to forecast them.’</w:t>
      </w:r>
      <w:r w:rsidR="005730F9" w:rsidRPr="0022498F">
        <w:rPr>
          <w:rStyle w:val="FootnoteReference"/>
          <w:color w:val="000000" w:themeColor="text1"/>
        </w:rPr>
        <w:footnoteReference w:id="27"/>
      </w:r>
      <w:r w:rsidR="0044494F" w:rsidRPr="0022498F">
        <w:rPr>
          <w:color w:val="000000" w:themeColor="text1"/>
        </w:rPr>
        <w:t xml:space="preserve"> </w:t>
      </w:r>
    </w:p>
    <w:p w14:paraId="4083367A" w14:textId="77777777" w:rsidR="0044494F" w:rsidRPr="0022498F" w:rsidRDefault="0044494F" w:rsidP="003D4693">
      <w:pPr>
        <w:jc w:val="both"/>
        <w:rPr>
          <w:color w:val="000000" w:themeColor="text1"/>
        </w:rPr>
      </w:pPr>
    </w:p>
    <w:p w14:paraId="62BC68CD" w14:textId="02A775EC" w:rsidR="0044494F" w:rsidRPr="0022498F" w:rsidRDefault="0044494F" w:rsidP="003D4693">
      <w:pPr>
        <w:jc w:val="both"/>
        <w:rPr>
          <w:i/>
          <w:color w:val="000000" w:themeColor="text1"/>
        </w:rPr>
      </w:pPr>
      <w:r w:rsidRPr="0022498F">
        <w:rPr>
          <w:i/>
          <w:color w:val="000000" w:themeColor="text1"/>
        </w:rPr>
        <w:t>The Hippocratic Oath</w:t>
      </w:r>
    </w:p>
    <w:p w14:paraId="6D63997A" w14:textId="77777777" w:rsidR="0044494F" w:rsidRPr="0022498F" w:rsidRDefault="0044494F" w:rsidP="003D4693">
      <w:pPr>
        <w:jc w:val="both"/>
        <w:rPr>
          <w:color w:val="000000" w:themeColor="text1"/>
        </w:rPr>
      </w:pPr>
    </w:p>
    <w:p w14:paraId="26A7E862" w14:textId="512D0C2E" w:rsidR="004977EF" w:rsidRPr="0022498F" w:rsidRDefault="0044494F" w:rsidP="003D4693">
      <w:pPr>
        <w:jc w:val="both"/>
        <w:rPr>
          <w:color w:val="000000" w:themeColor="text1"/>
        </w:rPr>
      </w:pPr>
      <w:r w:rsidRPr="0022498F">
        <w:rPr>
          <w:color w:val="000000" w:themeColor="text1"/>
        </w:rPr>
        <w:t xml:space="preserve">The equal emphasis placed on both natural and physical causes in the varying texts presented by the Hippocratic school seem to highlight and affirm the assumption that divine causes, and subsequent divine solutions were an important, if not at least a valid, part of the Ancient Greek medical tradition. For further evidence, </w:t>
      </w:r>
      <w:proofErr w:type="spellStart"/>
      <w:r w:rsidR="004977EF" w:rsidRPr="0022498F">
        <w:rPr>
          <w:color w:val="000000" w:themeColor="text1"/>
        </w:rPr>
        <w:t>Raphals</w:t>
      </w:r>
      <w:proofErr w:type="spellEnd"/>
      <w:r w:rsidR="004977EF" w:rsidRPr="0022498F">
        <w:rPr>
          <w:color w:val="000000" w:themeColor="text1"/>
        </w:rPr>
        <w:t xml:space="preserve"> notes a crucial point in the</w:t>
      </w:r>
      <w:r w:rsidRPr="0022498F">
        <w:rPr>
          <w:color w:val="000000" w:themeColor="text1"/>
        </w:rPr>
        <w:t xml:space="preserve"> already</w:t>
      </w:r>
      <w:r w:rsidR="004977EF" w:rsidRPr="0022498F">
        <w:rPr>
          <w:color w:val="000000" w:themeColor="text1"/>
        </w:rPr>
        <w:t xml:space="preserve"> </w:t>
      </w:r>
      <w:r w:rsidRPr="0022498F">
        <w:rPr>
          <w:color w:val="000000" w:themeColor="text1"/>
        </w:rPr>
        <w:t xml:space="preserve">stated </w:t>
      </w:r>
      <w:r w:rsidR="004977EF" w:rsidRPr="0022498F">
        <w:rPr>
          <w:color w:val="000000" w:themeColor="text1"/>
        </w:rPr>
        <w:t>notion that much of the</w:t>
      </w:r>
      <w:r w:rsidRPr="0022498F">
        <w:rPr>
          <w:color w:val="000000" w:themeColor="text1"/>
        </w:rPr>
        <w:t xml:space="preserve"> medical material that came out of the era was written in honour of </w:t>
      </w:r>
      <w:r w:rsidR="004977EF" w:rsidRPr="0022498F">
        <w:rPr>
          <w:color w:val="000000" w:themeColor="text1"/>
        </w:rPr>
        <w:t xml:space="preserve">the gods. </w:t>
      </w:r>
      <w:r w:rsidRPr="0022498F">
        <w:rPr>
          <w:color w:val="000000" w:themeColor="text1"/>
        </w:rPr>
        <w:t>Specifically here, t</w:t>
      </w:r>
      <w:r w:rsidR="004977EF" w:rsidRPr="0022498F">
        <w:rPr>
          <w:color w:val="000000" w:themeColor="text1"/>
        </w:rPr>
        <w:t xml:space="preserve">he </w:t>
      </w:r>
      <w:r w:rsidR="004977EF" w:rsidRPr="003D4693">
        <w:rPr>
          <w:i/>
          <w:color w:val="000000" w:themeColor="text1"/>
        </w:rPr>
        <w:t>Hippocratic Oat</w:t>
      </w:r>
      <w:r w:rsidRPr="003D4693">
        <w:rPr>
          <w:i/>
          <w:color w:val="000000" w:themeColor="text1"/>
        </w:rPr>
        <w:t>h</w:t>
      </w:r>
      <w:r w:rsidRPr="0022498F">
        <w:rPr>
          <w:color w:val="000000" w:themeColor="text1"/>
        </w:rPr>
        <w:t>, a vow taken by physicians trained in the Hippocratic school</w:t>
      </w:r>
      <w:r w:rsidR="004977EF" w:rsidRPr="0022498F">
        <w:rPr>
          <w:color w:val="000000" w:themeColor="text1"/>
        </w:rPr>
        <w:t xml:space="preserve"> </w:t>
      </w:r>
      <w:r w:rsidR="003D4693">
        <w:rPr>
          <w:color w:val="000000" w:themeColor="text1"/>
        </w:rPr>
        <w:t xml:space="preserve">(and still to this day) </w:t>
      </w:r>
      <w:r w:rsidR="004977EF" w:rsidRPr="0022498F">
        <w:rPr>
          <w:color w:val="000000" w:themeColor="text1"/>
        </w:rPr>
        <w:t>was sworn to Apollo</w:t>
      </w:r>
      <w:r w:rsidRPr="0022498F">
        <w:rPr>
          <w:color w:val="000000" w:themeColor="text1"/>
        </w:rPr>
        <w:t>, among other gods of health including</w:t>
      </w:r>
      <w:r w:rsidR="00007392" w:rsidRPr="0022498F">
        <w:rPr>
          <w:color w:val="000000" w:themeColor="text1"/>
        </w:rPr>
        <w:t xml:space="preserve"> Asclepius, </w:t>
      </w:r>
      <w:r w:rsidRPr="0022498F">
        <w:rPr>
          <w:color w:val="000000" w:themeColor="text1"/>
        </w:rPr>
        <w:t xml:space="preserve"> Panacea and Hygeia.</w:t>
      </w:r>
      <w:r w:rsidR="000A7A67" w:rsidRPr="0022498F">
        <w:rPr>
          <w:rStyle w:val="FootnoteReference"/>
          <w:color w:val="000000" w:themeColor="text1"/>
        </w:rPr>
        <w:footnoteReference w:id="28"/>
      </w:r>
      <w:r w:rsidR="004977EF" w:rsidRPr="0022498F">
        <w:rPr>
          <w:color w:val="000000" w:themeColor="text1"/>
        </w:rPr>
        <w:t xml:space="preserve"> </w:t>
      </w:r>
      <w:r w:rsidR="000A7A67" w:rsidRPr="0022498F">
        <w:rPr>
          <w:color w:val="000000" w:themeColor="text1"/>
        </w:rPr>
        <w:t xml:space="preserve">As </w:t>
      </w:r>
      <w:proofErr w:type="spellStart"/>
      <w:r w:rsidR="000A7A67" w:rsidRPr="0022498F">
        <w:rPr>
          <w:color w:val="000000" w:themeColor="text1"/>
        </w:rPr>
        <w:t>Raphals</w:t>
      </w:r>
      <w:proofErr w:type="spellEnd"/>
      <w:r w:rsidR="000A7A67" w:rsidRPr="0022498F">
        <w:rPr>
          <w:color w:val="000000" w:themeColor="text1"/>
        </w:rPr>
        <w:t xml:space="preserve"> explains, the Hippocratic school saw </w:t>
      </w:r>
      <w:r w:rsidR="004977EF" w:rsidRPr="0022498F">
        <w:rPr>
          <w:color w:val="000000" w:themeColor="text1"/>
        </w:rPr>
        <w:t>Apollo as the link between divination and medicine</w:t>
      </w:r>
      <w:r w:rsidR="000A7A67" w:rsidRPr="0022498F">
        <w:rPr>
          <w:color w:val="000000" w:themeColor="text1"/>
        </w:rPr>
        <w:t xml:space="preserve">, </w:t>
      </w:r>
      <w:r w:rsidR="002200A5" w:rsidRPr="0022498F">
        <w:rPr>
          <w:color w:val="000000" w:themeColor="text1"/>
        </w:rPr>
        <w:t>stating</w:t>
      </w:r>
      <w:r w:rsidR="000A7A67" w:rsidRPr="0022498F">
        <w:rPr>
          <w:color w:val="000000" w:themeColor="text1"/>
        </w:rPr>
        <w:t xml:space="preserve"> that </w:t>
      </w:r>
      <w:r w:rsidR="004977EF" w:rsidRPr="0022498F">
        <w:rPr>
          <w:color w:val="000000" w:themeColor="text1"/>
        </w:rPr>
        <w:t xml:space="preserve">medical and </w:t>
      </w:r>
      <w:r w:rsidR="000A7A67" w:rsidRPr="0022498F">
        <w:rPr>
          <w:color w:val="000000" w:themeColor="text1"/>
        </w:rPr>
        <w:t xml:space="preserve">magical </w:t>
      </w:r>
      <w:r w:rsidR="004977EF" w:rsidRPr="0022498F">
        <w:rPr>
          <w:color w:val="000000" w:themeColor="text1"/>
        </w:rPr>
        <w:t xml:space="preserve">arts are of the same lineage, </w:t>
      </w:r>
      <w:r w:rsidR="000A7A67" w:rsidRPr="0022498F">
        <w:rPr>
          <w:color w:val="000000" w:themeColor="text1"/>
        </w:rPr>
        <w:t>‘</w:t>
      </w:r>
      <w:r w:rsidR="004977EF" w:rsidRPr="0022498F">
        <w:rPr>
          <w:color w:val="000000" w:themeColor="text1"/>
        </w:rPr>
        <w:t>since these are two children of one father, Apollo</w:t>
      </w:r>
      <w:r w:rsidR="000A7A67" w:rsidRPr="0022498F">
        <w:rPr>
          <w:color w:val="000000" w:themeColor="text1"/>
        </w:rPr>
        <w:t>.’</w:t>
      </w:r>
      <w:r w:rsidR="004977EF" w:rsidRPr="0022498F">
        <w:rPr>
          <w:rStyle w:val="FootnoteReference"/>
          <w:color w:val="000000" w:themeColor="text1"/>
        </w:rPr>
        <w:footnoteReference w:id="29"/>
      </w:r>
      <w:r w:rsidR="000A7A67" w:rsidRPr="0022498F">
        <w:rPr>
          <w:color w:val="000000" w:themeColor="text1"/>
        </w:rPr>
        <w:t xml:space="preserve"> Within this, there is yet another unavoidable suggestion that the idea that medicine and divination were distinct practices is primarily</w:t>
      </w:r>
      <w:r w:rsidR="002200A5" w:rsidRPr="0022498F">
        <w:rPr>
          <w:color w:val="000000" w:themeColor="text1"/>
        </w:rPr>
        <w:t xml:space="preserve"> a</w:t>
      </w:r>
      <w:r w:rsidR="000A7A67" w:rsidRPr="0022498F">
        <w:rPr>
          <w:color w:val="000000" w:themeColor="text1"/>
        </w:rPr>
        <w:t xml:space="preserve"> modern</w:t>
      </w:r>
      <w:r w:rsidR="002200A5" w:rsidRPr="0022498F">
        <w:rPr>
          <w:color w:val="000000" w:themeColor="text1"/>
        </w:rPr>
        <w:t xml:space="preserve"> one</w:t>
      </w:r>
      <w:r w:rsidR="000A7A67" w:rsidRPr="0022498F">
        <w:rPr>
          <w:color w:val="000000" w:themeColor="text1"/>
        </w:rPr>
        <w:t xml:space="preserve">. It would seem apparent throughout the Hippocratic medical writings that both </w:t>
      </w:r>
      <w:r w:rsidR="002200A5" w:rsidRPr="0022498F">
        <w:rPr>
          <w:color w:val="000000" w:themeColor="text1"/>
        </w:rPr>
        <w:t xml:space="preserve">material causes and divinatory techniques </w:t>
      </w:r>
      <w:r w:rsidR="000A7A67" w:rsidRPr="0022498F">
        <w:rPr>
          <w:color w:val="000000" w:themeColor="text1"/>
        </w:rPr>
        <w:t>were required in equal proportion to practice medicine effectively.</w:t>
      </w:r>
    </w:p>
    <w:p w14:paraId="73BDAD3A" w14:textId="77777777" w:rsidR="004977EF" w:rsidRPr="0022498F" w:rsidRDefault="004977EF" w:rsidP="003D4693">
      <w:pPr>
        <w:jc w:val="both"/>
        <w:rPr>
          <w:color w:val="000000" w:themeColor="text1"/>
        </w:rPr>
      </w:pPr>
    </w:p>
    <w:p w14:paraId="438F1F0E" w14:textId="62CA2154" w:rsidR="005E126D" w:rsidRPr="0022498F" w:rsidRDefault="002200A5" w:rsidP="003D4693">
      <w:pPr>
        <w:jc w:val="both"/>
        <w:rPr>
          <w:b/>
          <w:color w:val="000000" w:themeColor="text1"/>
        </w:rPr>
      </w:pPr>
      <w:r w:rsidRPr="0022498F">
        <w:rPr>
          <w:b/>
          <w:color w:val="000000" w:themeColor="text1"/>
        </w:rPr>
        <w:t>The Oracles</w:t>
      </w:r>
    </w:p>
    <w:p w14:paraId="7E900DF9" w14:textId="77777777" w:rsidR="005E126D" w:rsidRPr="0022498F" w:rsidRDefault="005E126D" w:rsidP="003D4693">
      <w:pPr>
        <w:jc w:val="both"/>
        <w:rPr>
          <w:color w:val="000000" w:themeColor="text1"/>
        </w:rPr>
      </w:pPr>
    </w:p>
    <w:p w14:paraId="4A96CCB0" w14:textId="70662EF0" w:rsidR="00DA260F" w:rsidRPr="0022498F" w:rsidRDefault="00690F82" w:rsidP="003D4693">
      <w:pPr>
        <w:jc w:val="both"/>
        <w:rPr>
          <w:color w:val="000000" w:themeColor="text1"/>
        </w:rPr>
      </w:pPr>
      <w:r w:rsidRPr="0022498F">
        <w:rPr>
          <w:color w:val="000000" w:themeColor="text1"/>
        </w:rPr>
        <w:t xml:space="preserve">In one final consideration relating to the interconnectedness of medicine and divination in Ancient Greece, it is worth noting the </w:t>
      </w:r>
      <w:r w:rsidR="00EE3E13" w:rsidRPr="0022498F">
        <w:rPr>
          <w:color w:val="000000" w:themeColor="text1"/>
        </w:rPr>
        <w:t xml:space="preserve">reality and intentions behind the then popular use of </w:t>
      </w:r>
      <w:r w:rsidR="003D4693">
        <w:rPr>
          <w:color w:val="000000" w:themeColor="text1"/>
        </w:rPr>
        <w:t>o</w:t>
      </w:r>
      <w:r w:rsidR="00EE3E13" w:rsidRPr="0022498F">
        <w:rPr>
          <w:color w:val="000000" w:themeColor="text1"/>
        </w:rPr>
        <w:t>racle</w:t>
      </w:r>
      <w:r w:rsidR="003D4693">
        <w:rPr>
          <w:color w:val="000000" w:themeColor="text1"/>
        </w:rPr>
        <w:t>s</w:t>
      </w:r>
      <w:r w:rsidR="00EE3E13" w:rsidRPr="0022498F">
        <w:rPr>
          <w:color w:val="000000" w:themeColor="text1"/>
        </w:rPr>
        <w:t xml:space="preserve">. Following the established preconception that a pantheistic theology dominated medical practice, </w:t>
      </w:r>
      <w:r w:rsidR="002200A5" w:rsidRPr="0022498F">
        <w:rPr>
          <w:color w:val="000000" w:themeColor="text1"/>
        </w:rPr>
        <w:t xml:space="preserve">Vivian </w:t>
      </w:r>
      <w:proofErr w:type="spellStart"/>
      <w:r w:rsidR="002200A5" w:rsidRPr="0022498F">
        <w:rPr>
          <w:color w:val="000000" w:themeColor="text1"/>
        </w:rPr>
        <w:t>Nutton</w:t>
      </w:r>
      <w:proofErr w:type="spellEnd"/>
      <w:r w:rsidR="00EE3E13" w:rsidRPr="0022498F">
        <w:rPr>
          <w:color w:val="000000" w:themeColor="text1"/>
        </w:rPr>
        <w:t xml:space="preserve"> makes the claim that for the Greeks ‘</w:t>
      </w:r>
      <w:r w:rsidR="002200A5" w:rsidRPr="0022498F">
        <w:rPr>
          <w:color w:val="000000" w:themeColor="text1"/>
        </w:rPr>
        <w:t>any divinity had the power to protect and to heal, and that sufferers from illness had a very wide choice of divinities to whom they could appeal for assistance.</w:t>
      </w:r>
      <w:r w:rsidR="00EE3E13" w:rsidRPr="0022498F">
        <w:rPr>
          <w:color w:val="000000" w:themeColor="text1"/>
        </w:rPr>
        <w:t>’</w:t>
      </w:r>
      <w:r w:rsidR="002200A5" w:rsidRPr="0022498F">
        <w:rPr>
          <w:rStyle w:val="FootnoteReference"/>
          <w:color w:val="000000" w:themeColor="text1"/>
        </w:rPr>
        <w:footnoteReference w:id="30"/>
      </w:r>
      <w:r w:rsidR="002200A5" w:rsidRPr="0022498F">
        <w:rPr>
          <w:color w:val="000000" w:themeColor="text1"/>
        </w:rPr>
        <w:t xml:space="preserve"> </w:t>
      </w:r>
      <w:r w:rsidR="00EE3E13" w:rsidRPr="0022498F">
        <w:rPr>
          <w:color w:val="000000" w:themeColor="text1"/>
        </w:rPr>
        <w:t>Perhaps most popular of these gods was Asclepius, the Greek and Roman god of healing, and the patron deity of doctors, physicians and medicine.</w:t>
      </w:r>
      <w:r w:rsidR="00EE3E13" w:rsidRPr="0022498F">
        <w:rPr>
          <w:rStyle w:val="FootnoteReference"/>
          <w:color w:val="000000" w:themeColor="text1"/>
        </w:rPr>
        <w:footnoteReference w:id="31"/>
      </w:r>
      <w:r w:rsidR="00EE3E13" w:rsidRPr="0022498F">
        <w:rPr>
          <w:color w:val="000000" w:themeColor="text1"/>
        </w:rPr>
        <w:t xml:space="preserve"> Importantly, Asclepius was seen both as the first doctor, and also the god of doctors, a dual role that further confuses the distinction between medicine and theology</w:t>
      </w:r>
      <w:r w:rsidR="00D73162" w:rsidRPr="0022498F">
        <w:rPr>
          <w:color w:val="000000" w:themeColor="text1"/>
        </w:rPr>
        <w:t xml:space="preserve"> in the Ancient Greek medical canon</w:t>
      </w:r>
      <w:r w:rsidR="00EE3E13" w:rsidRPr="0022498F">
        <w:rPr>
          <w:color w:val="000000" w:themeColor="text1"/>
        </w:rPr>
        <w:t xml:space="preserve">. </w:t>
      </w:r>
      <w:proofErr w:type="spellStart"/>
      <w:r w:rsidR="002200A5" w:rsidRPr="0022498F">
        <w:rPr>
          <w:color w:val="000000" w:themeColor="text1"/>
        </w:rPr>
        <w:t>Asclepian</w:t>
      </w:r>
      <w:proofErr w:type="spellEnd"/>
      <w:r w:rsidR="002200A5" w:rsidRPr="0022498F">
        <w:rPr>
          <w:color w:val="000000" w:themeColor="text1"/>
        </w:rPr>
        <w:t xml:space="preserve"> sanctuaries </w:t>
      </w:r>
      <w:r w:rsidR="00EE3E13" w:rsidRPr="0022498F">
        <w:rPr>
          <w:color w:val="000000" w:themeColor="text1"/>
        </w:rPr>
        <w:t xml:space="preserve">(oracles) were popular </w:t>
      </w:r>
      <w:r w:rsidR="002200A5" w:rsidRPr="0022498F">
        <w:rPr>
          <w:color w:val="000000" w:themeColor="text1"/>
        </w:rPr>
        <w:t xml:space="preserve">throughout the Graeco-Roman World, </w:t>
      </w:r>
      <w:r w:rsidR="00EE3E13" w:rsidRPr="0022498F">
        <w:rPr>
          <w:color w:val="000000" w:themeColor="text1"/>
        </w:rPr>
        <w:t xml:space="preserve">and </w:t>
      </w:r>
      <w:r w:rsidR="002200A5" w:rsidRPr="0022498F">
        <w:rPr>
          <w:color w:val="000000" w:themeColor="text1"/>
        </w:rPr>
        <w:t>were well-known for their incubation procedures</w:t>
      </w:r>
      <w:r w:rsidR="00EE3E13" w:rsidRPr="0022498F">
        <w:rPr>
          <w:color w:val="000000" w:themeColor="text1"/>
        </w:rPr>
        <w:t xml:space="preserve"> which sought to ascertain medical advice/treatment by a ritualized dreaming process called incubation</w:t>
      </w:r>
      <w:r w:rsidR="002200A5" w:rsidRPr="0022498F">
        <w:rPr>
          <w:color w:val="000000" w:themeColor="text1"/>
        </w:rPr>
        <w:t xml:space="preserve">. </w:t>
      </w:r>
      <w:r w:rsidR="00803334" w:rsidRPr="0022498F">
        <w:rPr>
          <w:color w:val="000000" w:themeColor="text1"/>
        </w:rPr>
        <w:t>During the i</w:t>
      </w:r>
      <w:r w:rsidR="002200A5" w:rsidRPr="0022498F">
        <w:rPr>
          <w:color w:val="000000" w:themeColor="text1"/>
        </w:rPr>
        <w:t>ncubation</w:t>
      </w:r>
      <w:r w:rsidR="00803334" w:rsidRPr="0022498F">
        <w:rPr>
          <w:color w:val="000000" w:themeColor="text1"/>
        </w:rPr>
        <w:t xml:space="preserve"> process, a patient would attend one of many sanctuaries where they would spend a number of days and nights sleeping next to a statue of Asclepius </w:t>
      </w:r>
      <w:r w:rsidR="00D73162" w:rsidRPr="0022498F">
        <w:rPr>
          <w:color w:val="000000" w:themeColor="text1"/>
        </w:rPr>
        <w:t>expecting</w:t>
      </w:r>
      <w:r w:rsidR="00803334" w:rsidRPr="0022498F">
        <w:rPr>
          <w:color w:val="000000" w:themeColor="text1"/>
        </w:rPr>
        <w:t xml:space="preserve"> to receive an oracular message from the god pertaining to their illness. Fascinatingly, and in a way that again confuses the distinction between divination and medical practice, </w:t>
      </w:r>
      <w:r w:rsidR="002200A5" w:rsidRPr="0022498F">
        <w:rPr>
          <w:color w:val="000000" w:themeColor="text1"/>
        </w:rPr>
        <w:t xml:space="preserve">Asclepius was </w:t>
      </w:r>
      <w:r w:rsidR="00803334" w:rsidRPr="0022498F">
        <w:rPr>
          <w:color w:val="000000" w:themeColor="text1"/>
        </w:rPr>
        <w:t>expected to cure the patient’s illness within the dream state, a phenomena that has been recounted in a number of testimonials f</w:t>
      </w:r>
      <w:r w:rsidR="00D73162" w:rsidRPr="0022498F">
        <w:rPr>
          <w:color w:val="000000" w:themeColor="text1"/>
        </w:rPr>
        <w:t>ro</w:t>
      </w:r>
      <w:r w:rsidR="00803334" w:rsidRPr="0022498F">
        <w:rPr>
          <w:color w:val="000000" w:themeColor="text1"/>
        </w:rPr>
        <w:t>m attending patients</w:t>
      </w:r>
      <w:r w:rsidR="00DA260F" w:rsidRPr="0022498F">
        <w:rPr>
          <w:color w:val="000000" w:themeColor="text1"/>
        </w:rPr>
        <w:t>.</w:t>
      </w:r>
      <w:r w:rsidR="00DA260F" w:rsidRPr="0022498F">
        <w:rPr>
          <w:rStyle w:val="FootnoteReference"/>
          <w:color w:val="000000" w:themeColor="text1"/>
        </w:rPr>
        <w:footnoteReference w:id="32"/>
      </w:r>
      <w:r w:rsidR="00D73162" w:rsidRPr="0022498F">
        <w:rPr>
          <w:color w:val="000000" w:themeColor="text1"/>
        </w:rPr>
        <w:t xml:space="preserve"> Importantly,</w:t>
      </w:r>
      <w:r w:rsidR="0022498F" w:rsidRPr="0022498F">
        <w:rPr>
          <w:color w:val="000000" w:themeColor="text1"/>
        </w:rPr>
        <w:t xml:space="preserve"> it seems </w:t>
      </w:r>
      <w:r w:rsidR="0022498F" w:rsidRPr="0022498F">
        <w:rPr>
          <w:color w:val="000000" w:themeColor="text1"/>
        </w:rPr>
        <w:lastRenderedPageBreak/>
        <w:t>impossible from a modern perspective to engage wit</w:t>
      </w:r>
      <w:r w:rsidR="003D4693">
        <w:rPr>
          <w:color w:val="000000" w:themeColor="text1"/>
        </w:rPr>
        <w:t xml:space="preserve">h </w:t>
      </w:r>
      <w:r w:rsidR="0022498F" w:rsidRPr="0022498F">
        <w:rPr>
          <w:color w:val="000000" w:themeColor="text1"/>
        </w:rPr>
        <w:t xml:space="preserve">the Greek oracular tradition without supposing that it was highly divinatory and nature, and perhaps devoid of medical value. However, what is equally impossible is to deny the practical reality that many Ancients seriously consulted these oracles with serious intentions. This ultimately, and again, leads to the suggestion that it in the context of Ancient Greek medical practice, divination was less a force of influence, and more appropriately an inherent condition. </w:t>
      </w:r>
    </w:p>
    <w:p w14:paraId="27920DF3" w14:textId="292DEE5B" w:rsidR="0022498F" w:rsidRDefault="0022498F" w:rsidP="003D4693">
      <w:pPr>
        <w:jc w:val="both"/>
      </w:pPr>
    </w:p>
    <w:p w14:paraId="621DF30C" w14:textId="4134DDEE" w:rsidR="0022498F" w:rsidRDefault="0022498F" w:rsidP="003D4693">
      <w:pPr>
        <w:jc w:val="both"/>
        <w:rPr>
          <w:b/>
        </w:rPr>
      </w:pPr>
      <w:r>
        <w:rPr>
          <w:b/>
        </w:rPr>
        <w:t>Conclusion</w:t>
      </w:r>
    </w:p>
    <w:p w14:paraId="2432CF53" w14:textId="4C487127" w:rsidR="0022498F" w:rsidRDefault="0022498F" w:rsidP="003D4693">
      <w:pPr>
        <w:jc w:val="both"/>
        <w:rPr>
          <w:b/>
        </w:rPr>
      </w:pPr>
    </w:p>
    <w:p w14:paraId="1229C262" w14:textId="475F25B1" w:rsidR="0022498F" w:rsidRPr="0022498F" w:rsidRDefault="0022498F" w:rsidP="003D4693">
      <w:pPr>
        <w:jc w:val="both"/>
      </w:pPr>
      <w:r w:rsidRPr="0022498F">
        <w:t>Follow</w:t>
      </w:r>
      <w:r>
        <w:t xml:space="preserve">ing the sheer amount of evidence to be found within Ancient Greek literature on the subject, the question as to whether or not divination had a decisive impact on medical practice seems short. It is apparent that Greek medical philosophy owes much of its operation and technical practices to, what may seem in modernity, divination. </w:t>
      </w:r>
      <w:r w:rsidR="0057640C">
        <w:t xml:space="preserve">In review, this paper has addressed how </w:t>
      </w:r>
      <w:r>
        <w:t xml:space="preserve">Homer, </w:t>
      </w:r>
      <w:proofErr w:type="spellStart"/>
      <w:r w:rsidR="003D4693">
        <w:t>Pinder</w:t>
      </w:r>
      <w:proofErr w:type="spellEnd"/>
      <w:r w:rsidR="003D4693">
        <w:t xml:space="preserve">, </w:t>
      </w:r>
      <w:r>
        <w:t>and Plato unquestionably not</w:t>
      </w:r>
      <w:r w:rsidR="0057640C">
        <w:t xml:space="preserve">e </w:t>
      </w:r>
      <w:r>
        <w:t>the techniques practiced in normal Greek medicine (</w:t>
      </w:r>
      <w:r w:rsidRPr="003D4693">
        <w:rPr>
          <w:i/>
        </w:rPr>
        <w:t>epod</w:t>
      </w:r>
      <w:r w:rsidR="0057640C" w:rsidRPr="003D4693">
        <w:rPr>
          <w:i/>
        </w:rPr>
        <w:t>e</w:t>
      </w:r>
      <w:r>
        <w:t xml:space="preserve"> and </w:t>
      </w:r>
      <w:proofErr w:type="spellStart"/>
      <w:r w:rsidRPr="003D4693">
        <w:rPr>
          <w:i/>
        </w:rPr>
        <w:t>periapton</w:t>
      </w:r>
      <w:proofErr w:type="spellEnd"/>
      <w:r>
        <w:t xml:space="preserve">), the Hippocratic appropriation of the Aristotelian maxim that all things contain a level of </w:t>
      </w:r>
      <w:r w:rsidR="0057640C">
        <w:t>divinity that must be acknowledged in effective treatment</w:t>
      </w:r>
      <w:r w:rsidR="003D4693">
        <w:t xml:space="preserve"> of them</w:t>
      </w:r>
      <w:r w:rsidR="0057640C">
        <w:t>, and the popularity of oracular consultation as a valid medical practice based on knowledge derived from dream states. The reality of this evidence suggests that the assumption that magic and medicine are distinct in the context of Greek medicine is an ineffective anachronism. To reiterate Dickies’ point in summation, ‘</w:t>
      </w:r>
      <w:proofErr w:type="spellStart"/>
      <w:r w:rsidR="0057640C" w:rsidRPr="00D2593F">
        <w:rPr>
          <w:color w:val="000000" w:themeColor="text1"/>
        </w:rPr>
        <w:t>i</w:t>
      </w:r>
      <w:proofErr w:type="spellEnd"/>
      <w:r w:rsidR="0057640C" w:rsidRPr="00D2593F">
        <w:rPr>
          <w:rFonts w:eastAsiaTheme="minorHAnsi"/>
          <w:color w:val="000000" w:themeColor="text1"/>
          <w:lang w:val="en-US"/>
        </w:rPr>
        <w:t>t cannot safely be assumed that actions we would classify as magical seem</w:t>
      </w:r>
      <w:r w:rsidR="0057640C">
        <w:rPr>
          <w:rFonts w:eastAsiaTheme="minorHAnsi"/>
          <w:color w:val="000000" w:themeColor="text1"/>
          <w:lang w:val="en-US"/>
        </w:rPr>
        <w:t>ed</w:t>
      </w:r>
      <w:r w:rsidR="0057640C" w:rsidRPr="00D2593F">
        <w:rPr>
          <w:rFonts w:eastAsiaTheme="minorHAnsi"/>
          <w:color w:val="000000" w:themeColor="text1"/>
          <w:lang w:val="en-US"/>
        </w:rPr>
        <w:t xml:space="preserve"> so to an Athenian of the fifth or fourth century BC</w:t>
      </w:r>
      <w:r w:rsidR="0057640C">
        <w:rPr>
          <w:rFonts w:eastAsiaTheme="minorHAnsi"/>
          <w:color w:val="000000" w:themeColor="text1"/>
          <w:lang w:val="en-US"/>
        </w:rPr>
        <w:t>.’</w:t>
      </w:r>
      <w:r w:rsidR="0057640C">
        <w:rPr>
          <w:rStyle w:val="FootnoteReference"/>
          <w:rFonts w:eastAsiaTheme="minorHAnsi"/>
          <w:color w:val="000000" w:themeColor="text1"/>
          <w:lang w:val="en-US"/>
        </w:rPr>
        <w:footnoteReference w:id="33"/>
      </w:r>
      <w:r w:rsidR="0057640C">
        <w:rPr>
          <w:rFonts w:eastAsiaTheme="minorHAnsi"/>
          <w:color w:val="000000" w:themeColor="text1"/>
          <w:lang w:val="en-US"/>
        </w:rPr>
        <w:t xml:space="preserve"> It is likely, that </w:t>
      </w:r>
      <w:r w:rsidR="003D4693">
        <w:rPr>
          <w:rFonts w:eastAsiaTheme="minorHAnsi"/>
          <w:color w:val="000000" w:themeColor="text1"/>
          <w:lang w:val="en-US"/>
        </w:rPr>
        <w:t>medicine and its divinatory techniques were inseparable.</w:t>
      </w:r>
    </w:p>
    <w:p w14:paraId="50D44C80" w14:textId="77777777" w:rsidR="00DA260F" w:rsidRDefault="00DA260F" w:rsidP="0080176E"/>
    <w:p w14:paraId="1299211E" w14:textId="2288540D" w:rsidR="0033518E" w:rsidRDefault="0033518E"/>
    <w:p w14:paraId="28019C53" w14:textId="77777777" w:rsidR="00916C94" w:rsidRDefault="00916C94"/>
    <w:p w14:paraId="2D58149C" w14:textId="77777777" w:rsidR="00916C94" w:rsidRDefault="00916C94"/>
    <w:p w14:paraId="2D704327" w14:textId="77777777" w:rsidR="0057640C" w:rsidRDefault="0057640C">
      <w:pPr>
        <w:rPr>
          <w:i/>
        </w:rPr>
      </w:pPr>
    </w:p>
    <w:p w14:paraId="3F6A0B3B" w14:textId="77777777" w:rsidR="0057640C" w:rsidRDefault="0057640C">
      <w:pPr>
        <w:rPr>
          <w:i/>
        </w:rPr>
      </w:pPr>
    </w:p>
    <w:p w14:paraId="740D7A2F" w14:textId="77777777" w:rsidR="0057640C" w:rsidRDefault="0057640C">
      <w:pPr>
        <w:rPr>
          <w:i/>
        </w:rPr>
      </w:pPr>
    </w:p>
    <w:p w14:paraId="021E44C0" w14:textId="77777777" w:rsidR="0057640C" w:rsidRDefault="0057640C">
      <w:pPr>
        <w:rPr>
          <w:i/>
        </w:rPr>
      </w:pPr>
    </w:p>
    <w:p w14:paraId="60F3E625" w14:textId="77777777" w:rsidR="0057640C" w:rsidRDefault="0057640C">
      <w:pPr>
        <w:rPr>
          <w:i/>
        </w:rPr>
      </w:pPr>
    </w:p>
    <w:p w14:paraId="79CC37E4" w14:textId="77777777" w:rsidR="0057640C" w:rsidRDefault="0057640C">
      <w:pPr>
        <w:rPr>
          <w:i/>
        </w:rPr>
      </w:pPr>
    </w:p>
    <w:p w14:paraId="66A23F66" w14:textId="77777777" w:rsidR="0057640C" w:rsidRDefault="0057640C">
      <w:pPr>
        <w:rPr>
          <w:i/>
        </w:rPr>
      </w:pPr>
    </w:p>
    <w:p w14:paraId="024B3D7E" w14:textId="77777777" w:rsidR="0057640C" w:rsidRDefault="0057640C">
      <w:pPr>
        <w:rPr>
          <w:i/>
        </w:rPr>
      </w:pPr>
    </w:p>
    <w:p w14:paraId="041F5407" w14:textId="77777777" w:rsidR="0057640C" w:rsidRDefault="0057640C">
      <w:pPr>
        <w:rPr>
          <w:i/>
        </w:rPr>
      </w:pPr>
    </w:p>
    <w:p w14:paraId="04909554" w14:textId="77777777" w:rsidR="0057640C" w:rsidRDefault="0057640C">
      <w:pPr>
        <w:rPr>
          <w:i/>
        </w:rPr>
      </w:pPr>
    </w:p>
    <w:p w14:paraId="3037A10B" w14:textId="77777777" w:rsidR="0057640C" w:rsidRDefault="0057640C">
      <w:pPr>
        <w:rPr>
          <w:i/>
        </w:rPr>
      </w:pPr>
    </w:p>
    <w:p w14:paraId="23BE44F1" w14:textId="77777777" w:rsidR="0057640C" w:rsidRDefault="0057640C">
      <w:pPr>
        <w:rPr>
          <w:i/>
        </w:rPr>
      </w:pPr>
    </w:p>
    <w:p w14:paraId="010DBC35" w14:textId="77777777" w:rsidR="0057640C" w:rsidRDefault="0057640C">
      <w:pPr>
        <w:rPr>
          <w:i/>
        </w:rPr>
      </w:pPr>
    </w:p>
    <w:p w14:paraId="3EB75A8C" w14:textId="77777777" w:rsidR="0057640C" w:rsidRDefault="0057640C">
      <w:pPr>
        <w:rPr>
          <w:i/>
        </w:rPr>
      </w:pPr>
    </w:p>
    <w:p w14:paraId="3A16E7D8" w14:textId="77777777" w:rsidR="0057640C" w:rsidRDefault="0057640C">
      <w:pPr>
        <w:rPr>
          <w:i/>
        </w:rPr>
      </w:pPr>
    </w:p>
    <w:p w14:paraId="0D1A6DDC" w14:textId="77777777" w:rsidR="0057640C" w:rsidRDefault="0057640C">
      <w:pPr>
        <w:rPr>
          <w:i/>
        </w:rPr>
      </w:pPr>
    </w:p>
    <w:p w14:paraId="616A8D6E" w14:textId="77777777" w:rsidR="0057640C" w:rsidRDefault="0057640C">
      <w:pPr>
        <w:rPr>
          <w:i/>
        </w:rPr>
      </w:pPr>
    </w:p>
    <w:p w14:paraId="2E74639F" w14:textId="77777777" w:rsidR="0057640C" w:rsidRDefault="0057640C">
      <w:pPr>
        <w:rPr>
          <w:i/>
        </w:rPr>
      </w:pPr>
    </w:p>
    <w:p w14:paraId="2AF9CC80" w14:textId="23D4E7B9" w:rsidR="0057640C" w:rsidRPr="0057640C" w:rsidRDefault="0057640C">
      <w:pPr>
        <w:rPr>
          <w:b/>
        </w:rPr>
      </w:pPr>
      <w:r w:rsidRPr="0057640C">
        <w:rPr>
          <w:b/>
        </w:rPr>
        <w:lastRenderedPageBreak/>
        <w:t>Bibliography</w:t>
      </w:r>
    </w:p>
    <w:p w14:paraId="12C70502" w14:textId="77777777" w:rsidR="0057640C" w:rsidRPr="0057640C" w:rsidRDefault="0057640C">
      <w:pPr>
        <w:rPr>
          <w:i/>
        </w:rPr>
      </w:pPr>
    </w:p>
    <w:p w14:paraId="630D4E76" w14:textId="4C2717C0" w:rsidR="00D2593F" w:rsidRPr="0057640C" w:rsidRDefault="00D2593F">
      <w:pPr>
        <w:rPr>
          <w:i/>
        </w:rPr>
      </w:pPr>
      <w:r w:rsidRPr="0057640C">
        <w:rPr>
          <w:i/>
        </w:rPr>
        <w:t>Primary Sources</w:t>
      </w:r>
    </w:p>
    <w:p w14:paraId="790211DF" w14:textId="7ABA411C" w:rsidR="00D2593F" w:rsidRDefault="00D2593F"/>
    <w:p w14:paraId="18CC2DBF" w14:textId="77777777" w:rsidR="00F70E8B" w:rsidRPr="0057640C" w:rsidRDefault="00F70E8B" w:rsidP="00F70E8B">
      <w:pPr>
        <w:rPr>
          <w:sz w:val="20"/>
          <w:szCs w:val="20"/>
        </w:rPr>
      </w:pPr>
      <w:r w:rsidRPr="0057640C">
        <w:rPr>
          <w:sz w:val="20"/>
          <w:szCs w:val="20"/>
        </w:rPr>
        <w:t xml:space="preserve">Dieter Betz, Hans. </w:t>
      </w:r>
      <w:r w:rsidRPr="0057640C">
        <w:rPr>
          <w:i/>
          <w:sz w:val="20"/>
          <w:szCs w:val="20"/>
        </w:rPr>
        <w:t>The Greek magical papyri in translation, including the Demotic spells</w:t>
      </w:r>
      <w:r w:rsidRPr="0057640C">
        <w:rPr>
          <w:sz w:val="20"/>
          <w:szCs w:val="20"/>
        </w:rPr>
        <w:t xml:space="preserve">, </w:t>
      </w:r>
    </w:p>
    <w:p w14:paraId="59CFB554" w14:textId="6C03B2E7" w:rsidR="00F70E8B" w:rsidRPr="0057640C" w:rsidRDefault="00F70E8B" w:rsidP="00F70E8B">
      <w:pPr>
        <w:ind w:firstLine="720"/>
        <w:rPr>
          <w:sz w:val="20"/>
          <w:szCs w:val="20"/>
        </w:rPr>
      </w:pPr>
      <w:r w:rsidRPr="0057640C">
        <w:rPr>
          <w:sz w:val="20"/>
          <w:szCs w:val="20"/>
        </w:rPr>
        <w:t>Chicago: Chicago University Press, 1992.</w:t>
      </w:r>
    </w:p>
    <w:p w14:paraId="54D46982" w14:textId="77777777" w:rsidR="00007392" w:rsidRPr="0057640C" w:rsidRDefault="00007392">
      <w:pPr>
        <w:rPr>
          <w:sz w:val="20"/>
          <w:szCs w:val="20"/>
        </w:rPr>
      </w:pPr>
    </w:p>
    <w:p w14:paraId="1AB3E8DB" w14:textId="77777777" w:rsidR="00007392" w:rsidRPr="0057640C" w:rsidRDefault="00007392">
      <w:pPr>
        <w:rPr>
          <w:i/>
          <w:sz w:val="20"/>
          <w:szCs w:val="20"/>
        </w:rPr>
      </w:pPr>
      <w:r w:rsidRPr="0057640C">
        <w:rPr>
          <w:sz w:val="20"/>
          <w:szCs w:val="20"/>
        </w:rPr>
        <w:t xml:space="preserve">Hippocrates. “Airs, Waters and Places,” in </w:t>
      </w:r>
      <w:r w:rsidRPr="0057640C">
        <w:rPr>
          <w:i/>
          <w:sz w:val="20"/>
          <w:szCs w:val="20"/>
        </w:rPr>
        <w:t xml:space="preserve">Ancient Medicine: selected papers of Ludwig </w:t>
      </w:r>
    </w:p>
    <w:p w14:paraId="5660C76E" w14:textId="459C5D4B" w:rsidR="00F70E8B" w:rsidRPr="0057640C" w:rsidRDefault="00007392" w:rsidP="00007392">
      <w:pPr>
        <w:ind w:firstLine="720"/>
        <w:rPr>
          <w:sz w:val="20"/>
          <w:szCs w:val="20"/>
        </w:rPr>
      </w:pPr>
      <w:r w:rsidRPr="0057640C">
        <w:rPr>
          <w:i/>
          <w:sz w:val="20"/>
          <w:szCs w:val="20"/>
        </w:rPr>
        <w:t>Edelstein</w:t>
      </w:r>
      <w:r w:rsidRPr="0057640C">
        <w:rPr>
          <w:sz w:val="20"/>
          <w:szCs w:val="20"/>
        </w:rPr>
        <w:t>, Baltimore: John Hopkins Press, 1967.</w:t>
      </w:r>
    </w:p>
    <w:p w14:paraId="1516E4F9" w14:textId="2A5AE978" w:rsidR="00007392" w:rsidRPr="0057640C" w:rsidRDefault="00007392">
      <w:pPr>
        <w:rPr>
          <w:sz w:val="20"/>
          <w:szCs w:val="20"/>
        </w:rPr>
      </w:pPr>
    </w:p>
    <w:p w14:paraId="1E18215B" w14:textId="77777777" w:rsidR="00007392" w:rsidRPr="0057640C" w:rsidRDefault="00007392">
      <w:pPr>
        <w:rPr>
          <w:sz w:val="20"/>
          <w:szCs w:val="20"/>
        </w:rPr>
      </w:pPr>
      <w:r w:rsidRPr="0057640C">
        <w:rPr>
          <w:sz w:val="20"/>
          <w:szCs w:val="20"/>
        </w:rPr>
        <w:t xml:space="preserve">Hippocrates. “The Hippocratic Oath.” U.S. National Library of Medicine, National Institutes of </w:t>
      </w:r>
    </w:p>
    <w:p w14:paraId="7CBB5F3B" w14:textId="02F8CE89" w:rsidR="00007392" w:rsidRPr="0057640C" w:rsidRDefault="00007392" w:rsidP="00007392">
      <w:pPr>
        <w:ind w:left="720"/>
        <w:rPr>
          <w:sz w:val="20"/>
          <w:szCs w:val="20"/>
        </w:rPr>
      </w:pPr>
      <w:r w:rsidRPr="0057640C">
        <w:rPr>
          <w:sz w:val="20"/>
          <w:szCs w:val="20"/>
        </w:rPr>
        <w:t>Health. 7 Feb. 2012. www.nlm.nih.gov/hmd/greek/greek_oath.html. [accessed 20 June 2020]</w:t>
      </w:r>
    </w:p>
    <w:p w14:paraId="0F00663B" w14:textId="77777777" w:rsidR="00007392" w:rsidRPr="0057640C" w:rsidRDefault="00007392">
      <w:pPr>
        <w:rPr>
          <w:sz w:val="20"/>
          <w:szCs w:val="20"/>
        </w:rPr>
      </w:pPr>
    </w:p>
    <w:p w14:paraId="698674B3" w14:textId="77777777" w:rsidR="000E5C3A" w:rsidRPr="0057640C" w:rsidRDefault="000E5C3A" w:rsidP="000E5C3A">
      <w:pPr>
        <w:rPr>
          <w:color w:val="323232"/>
          <w:sz w:val="20"/>
          <w:szCs w:val="20"/>
          <w:shd w:val="clear" w:color="auto" w:fill="FFFFFF"/>
        </w:rPr>
      </w:pPr>
      <w:r w:rsidRPr="0057640C">
        <w:rPr>
          <w:color w:val="323232"/>
          <w:sz w:val="20"/>
          <w:szCs w:val="20"/>
          <w:shd w:val="clear" w:color="auto" w:fill="FFFFFF"/>
        </w:rPr>
        <w:t>Hippocrates. “On the Sacred Disease.” Translated by Francis Adams, </w:t>
      </w:r>
      <w:r w:rsidRPr="0057640C">
        <w:rPr>
          <w:i/>
          <w:iCs/>
          <w:color w:val="323232"/>
          <w:sz w:val="20"/>
          <w:szCs w:val="20"/>
        </w:rPr>
        <w:t>MIT Classics</w:t>
      </w:r>
      <w:r w:rsidRPr="0057640C">
        <w:rPr>
          <w:color w:val="323232"/>
          <w:sz w:val="20"/>
          <w:szCs w:val="20"/>
          <w:shd w:val="clear" w:color="auto" w:fill="FFFFFF"/>
        </w:rPr>
        <w:t xml:space="preserve">, </w:t>
      </w:r>
    </w:p>
    <w:p w14:paraId="2FB9157D" w14:textId="7E1A9B8B" w:rsidR="000E5C3A" w:rsidRPr="0057640C" w:rsidRDefault="000E5C3A" w:rsidP="000E5C3A">
      <w:pPr>
        <w:ind w:firstLine="720"/>
        <w:rPr>
          <w:sz w:val="20"/>
          <w:szCs w:val="20"/>
        </w:rPr>
      </w:pPr>
      <w:r w:rsidRPr="0057640C">
        <w:rPr>
          <w:color w:val="323232"/>
          <w:sz w:val="20"/>
          <w:szCs w:val="20"/>
          <w:shd w:val="clear" w:color="auto" w:fill="FFFFFF"/>
        </w:rPr>
        <w:t xml:space="preserve">classics.mit.edu/Hippocrates/sacred.html. </w:t>
      </w:r>
      <w:r w:rsidRPr="0057640C">
        <w:rPr>
          <w:sz w:val="20"/>
          <w:szCs w:val="20"/>
        </w:rPr>
        <w:t>[accessed 20 June 2020]</w:t>
      </w:r>
    </w:p>
    <w:p w14:paraId="3CC0E812" w14:textId="4F93DD5E" w:rsidR="00007392" w:rsidRPr="0057640C" w:rsidRDefault="00007392" w:rsidP="00007392">
      <w:pPr>
        <w:rPr>
          <w:sz w:val="20"/>
          <w:szCs w:val="20"/>
        </w:rPr>
      </w:pPr>
    </w:p>
    <w:p w14:paraId="027F8D1E" w14:textId="77777777" w:rsidR="00007392" w:rsidRPr="0057640C" w:rsidRDefault="00007392" w:rsidP="00007392">
      <w:pPr>
        <w:rPr>
          <w:sz w:val="20"/>
          <w:szCs w:val="20"/>
        </w:rPr>
      </w:pPr>
      <w:r w:rsidRPr="0057640C">
        <w:rPr>
          <w:sz w:val="20"/>
          <w:szCs w:val="20"/>
        </w:rPr>
        <w:t>Hippocrates. “Prognostic I”, in</w:t>
      </w:r>
      <w:r w:rsidRPr="0057640C">
        <w:rPr>
          <w:i/>
          <w:sz w:val="20"/>
          <w:szCs w:val="20"/>
        </w:rPr>
        <w:t xml:space="preserve"> Ancient Medicine: Selected Papers of Ludwig Edelstein</w:t>
      </w:r>
      <w:r w:rsidRPr="0057640C">
        <w:rPr>
          <w:sz w:val="20"/>
          <w:szCs w:val="20"/>
        </w:rPr>
        <w:t xml:space="preserve">. </w:t>
      </w:r>
    </w:p>
    <w:p w14:paraId="76A04F63" w14:textId="1EE21E55" w:rsidR="00007392" w:rsidRPr="0057640C" w:rsidRDefault="00007392" w:rsidP="00007392">
      <w:pPr>
        <w:ind w:firstLine="720"/>
        <w:rPr>
          <w:sz w:val="20"/>
          <w:szCs w:val="20"/>
        </w:rPr>
      </w:pPr>
      <w:r w:rsidRPr="0057640C">
        <w:rPr>
          <w:sz w:val="20"/>
          <w:szCs w:val="20"/>
        </w:rPr>
        <w:t>Baltimore: Johns Hopkins Press, 1967.</w:t>
      </w:r>
    </w:p>
    <w:p w14:paraId="162C5971" w14:textId="77777777" w:rsidR="00007392" w:rsidRPr="0057640C" w:rsidRDefault="00007392" w:rsidP="00F70E8B">
      <w:pPr>
        <w:rPr>
          <w:sz w:val="20"/>
          <w:szCs w:val="20"/>
        </w:rPr>
      </w:pPr>
    </w:p>
    <w:p w14:paraId="7573BCFC" w14:textId="2FE59906" w:rsidR="00F70E8B" w:rsidRPr="0057640C" w:rsidRDefault="00F70E8B" w:rsidP="00F70E8B">
      <w:pPr>
        <w:rPr>
          <w:sz w:val="20"/>
          <w:szCs w:val="20"/>
        </w:rPr>
      </w:pPr>
      <w:r w:rsidRPr="0057640C">
        <w:rPr>
          <w:sz w:val="20"/>
          <w:szCs w:val="20"/>
        </w:rPr>
        <w:t xml:space="preserve">Homer, </w:t>
      </w:r>
      <w:r w:rsidRPr="0057640C">
        <w:rPr>
          <w:i/>
          <w:sz w:val="20"/>
          <w:szCs w:val="20"/>
        </w:rPr>
        <w:t>Odyssey</w:t>
      </w:r>
      <w:r w:rsidRPr="0057640C">
        <w:rPr>
          <w:sz w:val="20"/>
          <w:szCs w:val="20"/>
        </w:rPr>
        <w:t xml:space="preserve">. trans. Robert </w:t>
      </w:r>
      <w:proofErr w:type="spellStart"/>
      <w:r w:rsidRPr="0057640C">
        <w:rPr>
          <w:sz w:val="20"/>
          <w:szCs w:val="20"/>
        </w:rPr>
        <w:t>Fagles</w:t>
      </w:r>
      <w:proofErr w:type="spellEnd"/>
      <w:r w:rsidRPr="0057640C">
        <w:rPr>
          <w:sz w:val="20"/>
          <w:szCs w:val="20"/>
        </w:rPr>
        <w:t>. New York: Viking Penguin, 1996.</w:t>
      </w:r>
    </w:p>
    <w:p w14:paraId="59E30640" w14:textId="77777777" w:rsidR="00F70E8B" w:rsidRPr="0057640C" w:rsidRDefault="00F70E8B">
      <w:pPr>
        <w:rPr>
          <w:sz w:val="20"/>
          <w:szCs w:val="20"/>
        </w:rPr>
      </w:pPr>
    </w:p>
    <w:p w14:paraId="2E1FB039" w14:textId="10B848EF" w:rsidR="00F70E8B" w:rsidRPr="0057640C" w:rsidRDefault="00D2593F" w:rsidP="00D2593F">
      <w:pPr>
        <w:rPr>
          <w:sz w:val="20"/>
          <w:szCs w:val="20"/>
        </w:rPr>
      </w:pPr>
      <w:r w:rsidRPr="0057640C">
        <w:rPr>
          <w:sz w:val="20"/>
          <w:szCs w:val="20"/>
        </w:rPr>
        <w:t xml:space="preserve">Pindar, Pythian Ode, </w:t>
      </w:r>
      <w:r w:rsidRPr="0057640C">
        <w:rPr>
          <w:i/>
          <w:sz w:val="20"/>
          <w:szCs w:val="20"/>
        </w:rPr>
        <w:t>Pindar: The Odes and Selected Fragments</w:t>
      </w:r>
      <w:r w:rsidRPr="0057640C">
        <w:rPr>
          <w:sz w:val="20"/>
          <w:szCs w:val="20"/>
        </w:rPr>
        <w:t xml:space="preserve">, trans. G.S. Conway and R. </w:t>
      </w:r>
    </w:p>
    <w:p w14:paraId="172885EB" w14:textId="30E30F9C" w:rsidR="00D2593F" w:rsidRPr="0057640C" w:rsidRDefault="00D2593F" w:rsidP="00F70E8B">
      <w:pPr>
        <w:ind w:firstLine="720"/>
        <w:rPr>
          <w:sz w:val="20"/>
          <w:szCs w:val="20"/>
        </w:rPr>
      </w:pPr>
      <w:r w:rsidRPr="0057640C">
        <w:rPr>
          <w:sz w:val="20"/>
          <w:szCs w:val="20"/>
        </w:rPr>
        <w:t>Stoneman London: Everyman, 1997.</w:t>
      </w:r>
    </w:p>
    <w:p w14:paraId="26F76D1B" w14:textId="2893BC9A" w:rsidR="00916C94" w:rsidRPr="0057640C" w:rsidRDefault="00916C94" w:rsidP="00916C94">
      <w:pPr>
        <w:rPr>
          <w:sz w:val="20"/>
          <w:szCs w:val="20"/>
        </w:rPr>
      </w:pPr>
    </w:p>
    <w:p w14:paraId="694FA7CF" w14:textId="77777777" w:rsidR="00007392" w:rsidRPr="0057640C" w:rsidRDefault="00007392" w:rsidP="00916C94">
      <w:pPr>
        <w:rPr>
          <w:color w:val="000000"/>
          <w:sz w:val="20"/>
          <w:szCs w:val="20"/>
        </w:rPr>
      </w:pPr>
      <w:r w:rsidRPr="0057640C">
        <w:rPr>
          <w:color w:val="000000"/>
          <w:sz w:val="20"/>
          <w:szCs w:val="20"/>
        </w:rPr>
        <w:t xml:space="preserve">Plato. “Laws.” </w:t>
      </w:r>
      <w:r w:rsidRPr="0057640C">
        <w:rPr>
          <w:i/>
          <w:color w:val="000000"/>
          <w:sz w:val="20"/>
          <w:szCs w:val="20"/>
        </w:rPr>
        <w:t>Plato in Twelve Volumes, Vols. 10 &amp; 11</w:t>
      </w:r>
      <w:r w:rsidRPr="0057640C">
        <w:rPr>
          <w:color w:val="000000"/>
          <w:sz w:val="20"/>
          <w:szCs w:val="20"/>
        </w:rPr>
        <w:t xml:space="preserve"> trans. R.G. Bury. Cambridge, MA, Harvard University </w:t>
      </w:r>
    </w:p>
    <w:p w14:paraId="46B7307E" w14:textId="725606CC" w:rsidR="00007392" w:rsidRPr="0057640C" w:rsidRDefault="00007392" w:rsidP="00007392">
      <w:pPr>
        <w:ind w:firstLine="720"/>
        <w:rPr>
          <w:color w:val="000000"/>
          <w:sz w:val="20"/>
          <w:szCs w:val="20"/>
        </w:rPr>
      </w:pPr>
      <w:r w:rsidRPr="0057640C">
        <w:rPr>
          <w:color w:val="000000"/>
          <w:sz w:val="20"/>
          <w:szCs w:val="20"/>
        </w:rPr>
        <w:t>Press. 1967. 899b</w:t>
      </w:r>
    </w:p>
    <w:p w14:paraId="509A8B75" w14:textId="77777777" w:rsidR="00007392" w:rsidRPr="0057640C" w:rsidRDefault="00007392" w:rsidP="00916C94">
      <w:pPr>
        <w:rPr>
          <w:sz w:val="20"/>
          <w:szCs w:val="20"/>
        </w:rPr>
      </w:pPr>
    </w:p>
    <w:p w14:paraId="3E94AC34" w14:textId="689F1587" w:rsidR="00916C94" w:rsidRPr="0057640C" w:rsidRDefault="00916C94" w:rsidP="00916C94">
      <w:pPr>
        <w:rPr>
          <w:sz w:val="20"/>
          <w:szCs w:val="20"/>
        </w:rPr>
      </w:pPr>
      <w:r w:rsidRPr="0057640C">
        <w:rPr>
          <w:sz w:val="20"/>
          <w:szCs w:val="20"/>
        </w:rPr>
        <w:t xml:space="preserve">Scarborough, John. 'The Pharmacology of Sacred Plants, Herbs and Roots'. </w:t>
      </w:r>
      <w:proofErr w:type="spellStart"/>
      <w:r w:rsidRPr="0057640C">
        <w:rPr>
          <w:i/>
          <w:sz w:val="20"/>
          <w:szCs w:val="20"/>
        </w:rPr>
        <w:t>Magika</w:t>
      </w:r>
      <w:proofErr w:type="spellEnd"/>
      <w:r w:rsidRPr="0057640C">
        <w:rPr>
          <w:i/>
          <w:sz w:val="20"/>
          <w:szCs w:val="20"/>
        </w:rPr>
        <w:t xml:space="preserve"> </w:t>
      </w:r>
      <w:proofErr w:type="spellStart"/>
      <w:r w:rsidRPr="0057640C">
        <w:rPr>
          <w:i/>
          <w:sz w:val="20"/>
          <w:szCs w:val="20"/>
        </w:rPr>
        <w:t>Hiera</w:t>
      </w:r>
      <w:proofErr w:type="spellEnd"/>
      <w:r w:rsidRPr="0057640C">
        <w:rPr>
          <w:i/>
          <w:sz w:val="20"/>
          <w:szCs w:val="20"/>
        </w:rPr>
        <w:t>,</w:t>
      </w:r>
      <w:r w:rsidRPr="0057640C">
        <w:rPr>
          <w:sz w:val="20"/>
          <w:szCs w:val="20"/>
        </w:rPr>
        <w:t xml:space="preserve"> edited </w:t>
      </w:r>
    </w:p>
    <w:p w14:paraId="089FDC82" w14:textId="268B06E8" w:rsidR="00916C94" w:rsidRPr="0057640C" w:rsidRDefault="00916C94" w:rsidP="00916C94">
      <w:pPr>
        <w:ind w:left="720"/>
        <w:rPr>
          <w:sz w:val="20"/>
          <w:szCs w:val="20"/>
        </w:rPr>
      </w:pPr>
      <w:r w:rsidRPr="0057640C">
        <w:rPr>
          <w:sz w:val="20"/>
          <w:szCs w:val="20"/>
        </w:rPr>
        <w:t xml:space="preserve">by Christopher </w:t>
      </w:r>
      <w:proofErr w:type="spellStart"/>
      <w:r w:rsidRPr="0057640C">
        <w:rPr>
          <w:sz w:val="20"/>
          <w:szCs w:val="20"/>
        </w:rPr>
        <w:t>Faraone</w:t>
      </w:r>
      <w:proofErr w:type="spellEnd"/>
      <w:r w:rsidRPr="0057640C">
        <w:rPr>
          <w:sz w:val="20"/>
          <w:szCs w:val="20"/>
        </w:rPr>
        <w:t xml:space="preserve"> and Dirk </w:t>
      </w:r>
      <w:proofErr w:type="spellStart"/>
      <w:r w:rsidRPr="0057640C">
        <w:rPr>
          <w:sz w:val="20"/>
          <w:szCs w:val="20"/>
        </w:rPr>
        <w:t>Obbink</w:t>
      </w:r>
      <w:proofErr w:type="spellEnd"/>
      <w:r w:rsidRPr="0057640C">
        <w:rPr>
          <w:sz w:val="20"/>
          <w:szCs w:val="20"/>
        </w:rPr>
        <w:t>, 138-74, Oxford: Oxford University Press, 1991.</w:t>
      </w:r>
    </w:p>
    <w:p w14:paraId="44AFC422" w14:textId="77777777" w:rsidR="00D2593F" w:rsidRDefault="00D2593F" w:rsidP="00D2593F"/>
    <w:p w14:paraId="0949A00E" w14:textId="6C28AD0A" w:rsidR="00AC7DAF" w:rsidRPr="00007392" w:rsidRDefault="00AC7DAF">
      <w:pPr>
        <w:rPr>
          <w:i/>
        </w:rPr>
      </w:pPr>
      <w:r w:rsidRPr="00007392">
        <w:rPr>
          <w:i/>
        </w:rPr>
        <w:t>Secondary Sources</w:t>
      </w:r>
    </w:p>
    <w:p w14:paraId="6F834786" w14:textId="1A5BD94A" w:rsidR="00AC7DAF" w:rsidRDefault="00AC7DAF"/>
    <w:p w14:paraId="3404067F" w14:textId="1979F933" w:rsidR="00AC7DAF" w:rsidRPr="0057640C" w:rsidRDefault="00AC7DAF">
      <w:pPr>
        <w:rPr>
          <w:sz w:val="20"/>
          <w:szCs w:val="20"/>
        </w:rPr>
      </w:pPr>
      <w:r w:rsidRPr="0057640C">
        <w:rPr>
          <w:sz w:val="20"/>
          <w:szCs w:val="20"/>
        </w:rPr>
        <w:t xml:space="preserve">Cartwright, Mark. “Ancient Greek Medicine.” </w:t>
      </w:r>
      <w:r w:rsidRPr="0057640C">
        <w:rPr>
          <w:i/>
          <w:sz w:val="20"/>
          <w:szCs w:val="20"/>
        </w:rPr>
        <w:t>Ancient History Encycl</w:t>
      </w:r>
      <w:r w:rsidRPr="0057640C">
        <w:rPr>
          <w:sz w:val="20"/>
          <w:szCs w:val="20"/>
        </w:rPr>
        <w:t>o</w:t>
      </w:r>
      <w:r w:rsidRPr="0057640C">
        <w:rPr>
          <w:i/>
          <w:sz w:val="20"/>
          <w:szCs w:val="20"/>
        </w:rPr>
        <w:t>pedia</w:t>
      </w:r>
      <w:r w:rsidRPr="0057640C">
        <w:rPr>
          <w:sz w:val="20"/>
          <w:szCs w:val="20"/>
        </w:rPr>
        <w:t xml:space="preserve">, Ancient History </w:t>
      </w:r>
    </w:p>
    <w:p w14:paraId="50ABBE3A" w14:textId="046FAC7A" w:rsidR="00AC7DAF" w:rsidRPr="0057640C" w:rsidRDefault="00AC7DAF" w:rsidP="00AC7DAF">
      <w:pPr>
        <w:ind w:firstLine="720"/>
        <w:rPr>
          <w:sz w:val="20"/>
          <w:szCs w:val="20"/>
        </w:rPr>
      </w:pPr>
      <w:r w:rsidRPr="0057640C">
        <w:rPr>
          <w:sz w:val="20"/>
          <w:szCs w:val="20"/>
        </w:rPr>
        <w:t>Encyclopedia, 11 Apr. 2018, www.ancient.eu/Greek_Medicine/. [accessed 20 June 2020]</w:t>
      </w:r>
    </w:p>
    <w:p w14:paraId="1F492105" w14:textId="53848160" w:rsidR="00AC7DAF" w:rsidRPr="0057640C" w:rsidRDefault="00AC7DAF" w:rsidP="00AC7DAF">
      <w:pPr>
        <w:rPr>
          <w:sz w:val="20"/>
          <w:szCs w:val="20"/>
        </w:rPr>
      </w:pPr>
    </w:p>
    <w:p w14:paraId="1D64216F" w14:textId="75B33222" w:rsidR="00AC7DAF" w:rsidRPr="0057640C" w:rsidRDefault="00AC7DAF" w:rsidP="00AC7DAF">
      <w:pPr>
        <w:rPr>
          <w:sz w:val="20"/>
          <w:szCs w:val="20"/>
        </w:rPr>
      </w:pPr>
      <w:r w:rsidRPr="0057640C">
        <w:rPr>
          <w:sz w:val="20"/>
          <w:szCs w:val="20"/>
        </w:rPr>
        <w:t xml:space="preserve">Dickie, Matthew. </w:t>
      </w:r>
      <w:r w:rsidRPr="0057640C">
        <w:rPr>
          <w:i/>
          <w:sz w:val="20"/>
          <w:szCs w:val="20"/>
        </w:rPr>
        <w:t>Magic and Magicians in the Greco-Roman World</w:t>
      </w:r>
      <w:r w:rsidRPr="0057640C">
        <w:rPr>
          <w:sz w:val="20"/>
          <w:szCs w:val="20"/>
        </w:rPr>
        <w:t>. Routledge, 2003.</w:t>
      </w:r>
    </w:p>
    <w:p w14:paraId="769728C7" w14:textId="45D274DA" w:rsidR="00D2593F" w:rsidRPr="0057640C" w:rsidRDefault="00D2593F" w:rsidP="00AC7DAF">
      <w:pPr>
        <w:rPr>
          <w:sz w:val="20"/>
          <w:szCs w:val="20"/>
        </w:rPr>
      </w:pPr>
    </w:p>
    <w:p w14:paraId="7B5EEC7B" w14:textId="77777777" w:rsidR="0022498F" w:rsidRPr="0057640C" w:rsidRDefault="0022498F" w:rsidP="00AC7DAF">
      <w:pPr>
        <w:rPr>
          <w:sz w:val="20"/>
          <w:szCs w:val="20"/>
        </w:rPr>
      </w:pPr>
      <w:r w:rsidRPr="0057640C">
        <w:rPr>
          <w:sz w:val="20"/>
          <w:szCs w:val="20"/>
        </w:rPr>
        <w:t xml:space="preserve">Ludwig Edelstein, Asclepius: A Collection and Interpretation of the Testimonies, Volume 1. </w:t>
      </w:r>
    </w:p>
    <w:p w14:paraId="35D9AC08" w14:textId="4B52C3F8" w:rsidR="0022498F" w:rsidRPr="0057640C" w:rsidRDefault="0022498F" w:rsidP="0022498F">
      <w:pPr>
        <w:ind w:firstLine="720"/>
        <w:rPr>
          <w:sz w:val="20"/>
          <w:szCs w:val="20"/>
        </w:rPr>
      </w:pPr>
      <w:r w:rsidRPr="0057640C">
        <w:rPr>
          <w:sz w:val="20"/>
          <w:szCs w:val="20"/>
        </w:rPr>
        <w:t>Baltimore: John Hopkins Press, 1945.</w:t>
      </w:r>
    </w:p>
    <w:p w14:paraId="31D418F6" w14:textId="77777777" w:rsidR="0022498F" w:rsidRPr="0057640C" w:rsidRDefault="0022498F" w:rsidP="00AC7DAF">
      <w:pPr>
        <w:rPr>
          <w:sz w:val="20"/>
          <w:szCs w:val="20"/>
        </w:rPr>
      </w:pPr>
    </w:p>
    <w:p w14:paraId="77B99BD9" w14:textId="269CDAC8" w:rsidR="00D2593F" w:rsidRPr="0057640C" w:rsidRDefault="00D2593F" w:rsidP="00AC7DAF">
      <w:pPr>
        <w:rPr>
          <w:sz w:val="20"/>
          <w:szCs w:val="20"/>
        </w:rPr>
      </w:pPr>
      <w:r w:rsidRPr="0057640C">
        <w:rPr>
          <w:sz w:val="20"/>
          <w:szCs w:val="20"/>
        </w:rPr>
        <w:t xml:space="preserve">Edelstein, Ludwig. </w:t>
      </w:r>
      <w:r w:rsidRPr="0057640C">
        <w:rPr>
          <w:i/>
          <w:sz w:val="20"/>
          <w:szCs w:val="20"/>
        </w:rPr>
        <w:t>Ancient Medicine: Selected Papers of Ludwig Edelstein</w:t>
      </w:r>
      <w:r w:rsidRPr="0057640C">
        <w:rPr>
          <w:sz w:val="20"/>
          <w:szCs w:val="20"/>
        </w:rPr>
        <w:t xml:space="preserve">. Baltimore: Johns </w:t>
      </w:r>
    </w:p>
    <w:p w14:paraId="5E1139EC" w14:textId="280F8DA4" w:rsidR="00D2593F" w:rsidRPr="0057640C" w:rsidRDefault="00D2593F" w:rsidP="00D2593F">
      <w:pPr>
        <w:ind w:firstLine="720"/>
        <w:rPr>
          <w:sz w:val="20"/>
          <w:szCs w:val="20"/>
        </w:rPr>
      </w:pPr>
      <w:r w:rsidRPr="0057640C">
        <w:rPr>
          <w:sz w:val="20"/>
          <w:szCs w:val="20"/>
        </w:rPr>
        <w:t>Hopkins Press, 1967.</w:t>
      </w:r>
    </w:p>
    <w:p w14:paraId="1B22DCC0" w14:textId="237B721E" w:rsidR="00AC7DAF" w:rsidRPr="0057640C" w:rsidRDefault="00AC7DAF">
      <w:pPr>
        <w:rPr>
          <w:sz w:val="20"/>
          <w:szCs w:val="20"/>
        </w:rPr>
      </w:pPr>
    </w:p>
    <w:p w14:paraId="0C2057CE" w14:textId="4E5EEB67" w:rsidR="00AC7DAF" w:rsidRPr="0057640C" w:rsidRDefault="00AC7DAF">
      <w:pPr>
        <w:rPr>
          <w:sz w:val="20"/>
          <w:szCs w:val="20"/>
        </w:rPr>
      </w:pPr>
      <w:r w:rsidRPr="0057640C">
        <w:rPr>
          <w:sz w:val="20"/>
          <w:szCs w:val="20"/>
        </w:rPr>
        <w:t xml:space="preserve">Gilbert, Robert Andrew, and George </w:t>
      </w:r>
      <w:proofErr w:type="spellStart"/>
      <w:r w:rsidRPr="0057640C">
        <w:rPr>
          <w:sz w:val="20"/>
          <w:szCs w:val="20"/>
        </w:rPr>
        <w:t>Kerlin</w:t>
      </w:r>
      <w:proofErr w:type="spellEnd"/>
      <w:r w:rsidRPr="0057640C">
        <w:rPr>
          <w:sz w:val="20"/>
          <w:szCs w:val="20"/>
        </w:rPr>
        <w:t xml:space="preserve"> Park. “Divination.” </w:t>
      </w:r>
      <w:r w:rsidRPr="0057640C">
        <w:rPr>
          <w:i/>
          <w:sz w:val="20"/>
          <w:szCs w:val="20"/>
        </w:rPr>
        <w:t>Encyclopedia Britannica</w:t>
      </w:r>
      <w:r w:rsidRPr="0057640C">
        <w:rPr>
          <w:sz w:val="20"/>
          <w:szCs w:val="20"/>
        </w:rPr>
        <w:t xml:space="preserve">, </w:t>
      </w:r>
    </w:p>
    <w:p w14:paraId="51D59D7F" w14:textId="4FCEA4FD" w:rsidR="00AC7DAF" w:rsidRPr="0057640C" w:rsidRDefault="00AC7DAF" w:rsidP="00AC7DAF">
      <w:pPr>
        <w:ind w:left="720"/>
        <w:rPr>
          <w:sz w:val="20"/>
          <w:szCs w:val="20"/>
        </w:rPr>
      </w:pPr>
      <w:r w:rsidRPr="0057640C">
        <w:rPr>
          <w:sz w:val="20"/>
          <w:szCs w:val="20"/>
        </w:rPr>
        <w:t>Encyclopedia Britannica, Inc., 16 Feb. 2001, www.britannica.com/topic/divination. [accessed 20 June 2020]</w:t>
      </w:r>
    </w:p>
    <w:p w14:paraId="32827C6C" w14:textId="52EC0C28" w:rsidR="00AC7DAF" w:rsidRPr="0057640C" w:rsidRDefault="00AC7DAF" w:rsidP="00AC7DAF">
      <w:pPr>
        <w:rPr>
          <w:sz w:val="20"/>
          <w:szCs w:val="20"/>
        </w:rPr>
      </w:pPr>
    </w:p>
    <w:p w14:paraId="598ED5C5" w14:textId="57ABC773" w:rsidR="00902F6C" w:rsidRPr="0057640C" w:rsidRDefault="00AC7DAF" w:rsidP="00AC7DAF">
      <w:pPr>
        <w:rPr>
          <w:sz w:val="20"/>
          <w:szCs w:val="20"/>
        </w:rPr>
      </w:pPr>
      <w:proofErr w:type="spellStart"/>
      <w:r w:rsidRPr="0057640C">
        <w:rPr>
          <w:sz w:val="20"/>
          <w:szCs w:val="20"/>
        </w:rPr>
        <w:t>Raphals</w:t>
      </w:r>
      <w:proofErr w:type="spellEnd"/>
      <w:r w:rsidRPr="0057640C">
        <w:rPr>
          <w:sz w:val="20"/>
          <w:szCs w:val="20"/>
        </w:rPr>
        <w:t xml:space="preserve">, Lisa. “Divination and Medicine in China and Greece: A Comparative Perspective on </w:t>
      </w:r>
    </w:p>
    <w:p w14:paraId="449B3AF7" w14:textId="01529E48" w:rsidR="00AC7DAF" w:rsidRPr="0057640C" w:rsidRDefault="00AC7DAF" w:rsidP="00902F6C">
      <w:pPr>
        <w:ind w:left="720"/>
        <w:rPr>
          <w:sz w:val="20"/>
          <w:szCs w:val="20"/>
        </w:rPr>
      </w:pPr>
      <w:r w:rsidRPr="0057640C">
        <w:rPr>
          <w:sz w:val="20"/>
          <w:szCs w:val="20"/>
        </w:rPr>
        <w:t xml:space="preserve">the </w:t>
      </w:r>
      <w:proofErr w:type="spellStart"/>
      <w:r w:rsidRPr="0057640C">
        <w:rPr>
          <w:sz w:val="20"/>
          <w:szCs w:val="20"/>
        </w:rPr>
        <w:t>Baoshan</w:t>
      </w:r>
      <w:proofErr w:type="spellEnd"/>
      <w:r w:rsidRPr="0057640C">
        <w:rPr>
          <w:sz w:val="20"/>
          <w:szCs w:val="20"/>
        </w:rPr>
        <w:t xml:space="preserve"> Illness Divinations.” </w:t>
      </w:r>
      <w:r w:rsidRPr="0057640C">
        <w:rPr>
          <w:i/>
          <w:sz w:val="20"/>
          <w:szCs w:val="20"/>
        </w:rPr>
        <w:t>East Asian Science, Technology, and Medicine</w:t>
      </w:r>
      <w:r w:rsidRPr="0057640C">
        <w:rPr>
          <w:sz w:val="20"/>
          <w:szCs w:val="20"/>
        </w:rPr>
        <w:t>, vol. 24, no. 1, 2005, pp. 78–103., doi:10.1163/26669323-02401008. [accessed 20 June 2020]</w:t>
      </w:r>
    </w:p>
    <w:sectPr w:rsidR="00AC7DAF" w:rsidRPr="0057640C" w:rsidSect="0059667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F1C91" w14:textId="77777777" w:rsidR="00BB7A52" w:rsidRDefault="00BB7A52" w:rsidP="0033518E">
      <w:r>
        <w:separator/>
      </w:r>
    </w:p>
  </w:endnote>
  <w:endnote w:type="continuationSeparator" w:id="0">
    <w:p w14:paraId="30B18B4A" w14:textId="77777777" w:rsidR="00BB7A52" w:rsidRDefault="00BB7A52" w:rsidP="00335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9DB6F" w14:textId="77777777" w:rsidR="00BB7A52" w:rsidRDefault="00BB7A52" w:rsidP="0033518E">
      <w:r>
        <w:separator/>
      </w:r>
    </w:p>
  </w:footnote>
  <w:footnote w:type="continuationSeparator" w:id="0">
    <w:p w14:paraId="0BE18BE6" w14:textId="77777777" w:rsidR="00BB7A52" w:rsidRDefault="00BB7A52" w:rsidP="0033518E">
      <w:r>
        <w:continuationSeparator/>
      </w:r>
    </w:p>
  </w:footnote>
  <w:footnote w:id="1">
    <w:p w14:paraId="0B22AE16" w14:textId="2D631B33" w:rsidR="00803334" w:rsidRPr="00902F6C" w:rsidRDefault="00803334" w:rsidP="007C1B98">
      <w:pPr>
        <w:rPr>
          <w:sz w:val="20"/>
          <w:szCs w:val="20"/>
        </w:rPr>
      </w:pPr>
      <w:r w:rsidRPr="00902F6C">
        <w:rPr>
          <w:rStyle w:val="FootnoteReference"/>
          <w:sz w:val="20"/>
          <w:szCs w:val="20"/>
        </w:rPr>
        <w:footnoteRef/>
      </w:r>
      <w:r w:rsidRPr="00902F6C">
        <w:rPr>
          <w:sz w:val="20"/>
          <w:szCs w:val="20"/>
        </w:rPr>
        <w:t xml:space="preserve"> Mark Cartwright. “Ancient Greek Medicine.” </w:t>
      </w:r>
      <w:r w:rsidRPr="00902F6C">
        <w:rPr>
          <w:i/>
          <w:sz w:val="20"/>
          <w:szCs w:val="20"/>
        </w:rPr>
        <w:t>Ancient History Encyclopedia</w:t>
      </w:r>
      <w:r w:rsidRPr="00902F6C">
        <w:rPr>
          <w:sz w:val="20"/>
          <w:szCs w:val="20"/>
        </w:rPr>
        <w:t>, 11 Apr. 2018.</w:t>
      </w:r>
    </w:p>
  </w:footnote>
  <w:footnote w:id="2">
    <w:p w14:paraId="46094010" w14:textId="3ED1B663" w:rsidR="00803334" w:rsidRPr="00902F6C" w:rsidRDefault="00803334" w:rsidP="00902F6C">
      <w:pPr>
        <w:rPr>
          <w:sz w:val="20"/>
          <w:szCs w:val="20"/>
        </w:rPr>
      </w:pPr>
      <w:r w:rsidRPr="00902F6C">
        <w:rPr>
          <w:rStyle w:val="FootnoteReference"/>
          <w:sz w:val="20"/>
          <w:szCs w:val="20"/>
        </w:rPr>
        <w:footnoteRef/>
      </w:r>
      <w:r w:rsidRPr="00902F6C">
        <w:rPr>
          <w:sz w:val="20"/>
          <w:szCs w:val="20"/>
        </w:rPr>
        <w:t xml:space="preserve"> </w:t>
      </w:r>
      <w:r>
        <w:rPr>
          <w:sz w:val="20"/>
          <w:szCs w:val="20"/>
        </w:rPr>
        <w:t xml:space="preserve">Lisa </w:t>
      </w:r>
      <w:proofErr w:type="spellStart"/>
      <w:r w:rsidRPr="00902F6C">
        <w:rPr>
          <w:sz w:val="20"/>
          <w:szCs w:val="20"/>
        </w:rPr>
        <w:t>Raphals</w:t>
      </w:r>
      <w:proofErr w:type="spellEnd"/>
      <w:r w:rsidRPr="00902F6C">
        <w:rPr>
          <w:sz w:val="20"/>
          <w:szCs w:val="20"/>
        </w:rPr>
        <w:t xml:space="preserve">. “Divination and Medicine in China and Greece: A Comparative Perspective on </w:t>
      </w:r>
    </w:p>
    <w:p w14:paraId="12080B80" w14:textId="2C37B60B" w:rsidR="00803334" w:rsidRPr="00902F6C" w:rsidRDefault="00803334" w:rsidP="00D2593F">
      <w:pPr>
        <w:rPr>
          <w:sz w:val="20"/>
          <w:szCs w:val="20"/>
        </w:rPr>
      </w:pPr>
      <w:r w:rsidRPr="00902F6C">
        <w:rPr>
          <w:sz w:val="20"/>
          <w:szCs w:val="20"/>
        </w:rPr>
        <w:t xml:space="preserve">the </w:t>
      </w:r>
      <w:proofErr w:type="spellStart"/>
      <w:r w:rsidRPr="00902F6C">
        <w:rPr>
          <w:sz w:val="20"/>
          <w:szCs w:val="20"/>
        </w:rPr>
        <w:t>Baoshan</w:t>
      </w:r>
      <w:proofErr w:type="spellEnd"/>
      <w:r w:rsidRPr="00902F6C">
        <w:rPr>
          <w:sz w:val="20"/>
          <w:szCs w:val="20"/>
        </w:rPr>
        <w:t xml:space="preserve"> Illness Divinations.” </w:t>
      </w:r>
      <w:r w:rsidRPr="00902F6C">
        <w:rPr>
          <w:i/>
          <w:sz w:val="20"/>
          <w:szCs w:val="20"/>
        </w:rPr>
        <w:t>East Asian Science, Technology, and Medicine</w:t>
      </w:r>
      <w:r w:rsidRPr="00902F6C">
        <w:rPr>
          <w:sz w:val="20"/>
          <w:szCs w:val="20"/>
        </w:rPr>
        <w:t>, vol. 24, no. 1, 2005, pp. 91.</w:t>
      </w:r>
    </w:p>
  </w:footnote>
  <w:footnote w:id="3">
    <w:p w14:paraId="6DE42570" w14:textId="4E173A69" w:rsidR="00803334" w:rsidRPr="00902F6C" w:rsidRDefault="00803334" w:rsidP="00DA7E52">
      <w:pPr>
        <w:rPr>
          <w:sz w:val="20"/>
          <w:szCs w:val="20"/>
        </w:rPr>
      </w:pPr>
      <w:r w:rsidRPr="00902F6C">
        <w:rPr>
          <w:rStyle w:val="FootnoteReference"/>
          <w:sz w:val="20"/>
          <w:szCs w:val="20"/>
        </w:rPr>
        <w:footnoteRef/>
      </w:r>
      <w:r w:rsidRPr="00902F6C">
        <w:rPr>
          <w:sz w:val="20"/>
          <w:szCs w:val="20"/>
        </w:rPr>
        <w:t xml:space="preserve"> Robert Andrew Gilbert and George </w:t>
      </w:r>
      <w:proofErr w:type="spellStart"/>
      <w:r w:rsidRPr="00902F6C">
        <w:rPr>
          <w:sz w:val="20"/>
          <w:szCs w:val="20"/>
        </w:rPr>
        <w:t>Kerlin</w:t>
      </w:r>
      <w:proofErr w:type="spellEnd"/>
      <w:r w:rsidRPr="00902F6C">
        <w:rPr>
          <w:sz w:val="20"/>
          <w:szCs w:val="20"/>
        </w:rPr>
        <w:t xml:space="preserve"> Park. “Divination.” </w:t>
      </w:r>
      <w:proofErr w:type="spellStart"/>
      <w:r w:rsidRPr="00902F6C">
        <w:rPr>
          <w:i/>
          <w:sz w:val="20"/>
          <w:szCs w:val="20"/>
        </w:rPr>
        <w:t>Encyclopædia</w:t>
      </w:r>
      <w:proofErr w:type="spellEnd"/>
      <w:r w:rsidRPr="00902F6C">
        <w:rPr>
          <w:i/>
          <w:sz w:val="20"/>
          <w:szCs w:val="20"/>
        </w:rPr>
        <w:t xml:space="preserve"> Britannica</w:t>
      </w:r>
      <w:r w:rsidRPr="00902F6C">
        <w:rPr>
          <w:sz w:val="20"/>
          <w:szCs w:val="20"/>
        </w:rPr>
        <w:t xml:space="preserve">, 16 Feb. 2001. </w:t>
      </w:r>
    </w:p>
  </w:footnote>
  <w:footnote w:id="4">
    <w:p w14:paraId="3D6080C4" w14:textId="77777777" w:rsidR="00803334" w:rsidRPr="00D2593F" w:rsidRDefault="00803334" w:rsidP="00902F6C">
      <w:pPr>
        <w:rPr>
          <w:sz w:val="20"/>
          <w:szCs w:val="20"/>
        </w:rPr>
      </w:pPr>
      <w:r w:rsidRPr="00D2593F">
        <w:rPr>
          <w:rStyle w:val="FootnoteReference"/>
          <w:sz w:val="20"/>
          <w:szCs w:val="20"/>
        </w:rPr>
        <w:footnoteRef/>
      </w:r>
      <w:r w:rsidRPr="00D2593F">
        <w:rPr>
          <w:sz w:val="20"/>
          <w:szCs w:val="20"/>
        </w:rPr>
        <w:t xml:space="preserve"> Pindar, Pythian Ode, </w:t>
      </w:r>
      <w:r w:rsidRPr="00D2593F">
        <w:rPr>
          <w:i/>
          <w:sz w:val="20"/>
          <w:szCs w:val="20"/>
        </w:rPr>
        <w:t>Pindar: The Odes and Selected Fragments</w:t>
      </w:r>
      <w:r w:rsidRPr="00D2593F">
        <w:rPr>
          <w:sz w:val="20"/>
          <w:szCs w:val="20"/>
        </w:rPr>
        <w:t xml:space="preserve">, trans. G.S. Conway and R. </w:t>
      </w:r>
    </w:p>
    <w:p w14:paraId="039E1172" w14:textId="4D67CF4B" w:rsidR="00803334" w:rsidRDefault="00803334" w:rsidP="00D2593F">
      <w:r w:rsidRPr="00D2593F">
        <w:rPr>
          <w:sz w:val="20"/>
          <w:szCs w:val="20"/>
        </w:rPr>
        <w:t>Stoneman London: Everyman, 1997. 3.47-53.</w:t>
      </w:r>
    </w:p>
  </w:footnote>
  <w:footnote w:id="5">
    <w:p w14:paraId="1755B154" w14:textId="2EBAD86A" w:rsidR="00803334" w:rsidRPr="00902F6C" w:rsidRDefault="00803334">
      <w:pPr>
        <w:pStyle w:val="FootnoteText"/>
      </w:pPr>
      <w:r w:rsidRPr="00902F6C">
        <w:rPr>
          <w:rStyle w:val="FootnoteReference"/>
        </w:rPr>
        <w:footnoteRef/>
      </w:r>
      <w:r w:rsidRPr="00902F6C">
        <w:t xml:space="preserve"> Matthew Dickie. </w:t>
      </w:r>
      <w:r w:rsidRPr="00902F6C">
        <w:rPr>
          <w:i/>
        </w:rPr>
        <w:t>Magic and Magicians in the Greco-Roman World</w:t>
      </w:r>
      <w:r w:rsidRPr="00902F6C">
        <w:t>. Routledge, 2003. pp. 31.</w:t>
      </w:r>
    </w:p>
  </w:footnote>
  <w:footnote w:id="6">
    <w:p w14:paraId="7F3C4D4A" w14:textId="7D03F80D" w:rsidR="00803334" w:rsidRPr="00902F6C" w:rsidRDefault="00803334">
      <w:pPr>
        <w:pStyle w:val="FootnoteText"/>
      </w:pPr>
      <w:r w:rsidRPr="00902F6C">
        <w:rPr>
          <w:rStyle w:val="FootnoteReference"/>
        </w:rPr>
        <w:footnoteRef/>
      </w:r>
      <w:r w:rsidRPr="00902F6C">
        <w:t xml:space="preserve"> Dickie. </w:t>
      </w:r>
      <w:r w:rsidRPr="00902F6C">
        <w:rPr>
          <w:i/>
        </w:rPr>
        <w:t>Magic and Magicians</w:t>
      </w:r>
      <w:r w:rsidRPr="00902F6C">
        <w:t>. pp. 31.</w:t>
      </w:r>
    </w:p>
  </w:footnote>
  <w:footnote w:id="7">
    <w:p w14:paraId="0D92860A" w14:textId="75C1C0AA" w:rsidR="00803334" w:rsidRDefault="00803334">
      <w:pPr>
        <w:pStyle w:val="FootnoteText"/>
      </w:pPr>
      <w:r w:rsidRPr="00902F6C">
        <w:rPr>
          <w:rStyle w:val="FootnoteReference"/>
        </w:rPr>
        <w:footnoteRef/>
      </w:r>
      <w:r w:rsidRPr="00902F6C">
        <w:t xml:space="preserve"> Dickie. </w:t>
      </w:r>
      <w:r w:rsidRPr="00902F6C">
        <w:rPr>
          <w:i/>
        </w:rPr>
        <w:t>Magic and Magicians</w:t>
      </w:r>
      <w:r w:rsidRPr="00902F6C">
        <w:t>. pp. 32.</w:t>
      </w:r>
    </w:p>
  </w:footnote>
  <w:footnote w:id="8">
    <w:p w14:paraId="31080843" w14:textId="66B445BE" w:rsidR="00803334" w:rsidRDefault="00803334">
      <w:pPr>
        <w:pStyle w:val="FootnoteText"/>
      </w:pPr>
      <w:r>
        <w:rPr>
          <w:rStyle w:val="FootnoteReference"/>
        </w:rPr>
        <w:footnoteRef/>
      </w:r>
      <w:r>
        <w:t xml:space="preserve"> Ludwig Edelstein. </w:t>
      </w:r>
      <w:r w:rsidRPr="00D2593F">
        <w:rPr>
          <w:i/>
        </w:rPr>
        <w:t>Ancient Medicine: Selected Papers of Ludwig Edelstein</w:t>
      </w:r>
      <w:r>
        <w:t>. Baltimore: Johns Hopkins Press, 1967.</w:t>
      </w:r>
    </w:p>
  </w:footnote>
  <w:footnote w:id="9">
    <w:p w14:paraId="6FB10F26" w14:textId="24ED86D3" w:rsidR="00803334" w:rsidRDefault="00803334">
      <w:pPr>
        <w:pStyle w:val="FootnoteText"/>
      </w:pPr>
      <w:r>
        <w:rPr>
          <w:rStyle w:val="FootnoteReference"/>
        </w:rPr>
        <w:footnoteRef/>
      </w:r>
      <w:r>
        <w:t xml:space="preserve"> </w:t>
      </w:r>
      <w:r w:rsidRPr="00902F6C">
        <w:t xml:space="preserve">Dickie. </w:t>
      </w:r>
      <w:r w:rsidRPr="00902F6C">
        <w:rPr>
          <w:i/>
        </w:rPr>
        <w:t>Magic and Magicians</w:t>
      </w:r>
      <w:r w:rsidRPr="00902F6C">
        <w:t>. pp. 31.</w:t>
      </w:r>
    </w:p>
  </w:footnote>
  <w:footnote w:id="10">
    <w:p w14:paraId="6AC56628" w14:textId="65338798" w:rsidR="00803334" w:rsidRPr="00F70E8B" w:rsidRDefault="00803334" w:rsidP="001A3305">
      <w:pPr>
        <w:rPr>
          <w:sz w:val="20"/>
          <w:szCs w:val="20"/>
        </w:rPr>
      </w:pPr>
      <w:r w:rsidRPr="00F70E8B">
        <w:rPr>
          <w:rStyle w:val="FootnoteReference"/>
          <w:sz w:val="20"/>
          <w:szCs w:val="20"/>
        </w:rPr>
        <w:footnoteRef/>
      </w:r>
      <w:r w:rsidRPr="00F70E8B">
        <w:rPr>
          <w:sz w:val="20"/>
          <w:szCs w:val="20"/>
        </w:rPr>
        <w:t xml:space="preserve"> Homer, Odyssey. trans. Robert </w:t>
      </w:r>
      <w:proofErr w:type="spellStart"/>
      <w:r w:rsidRPr="00F70E8B">
        <w:rPr>
          <w:sz w:val="20"/>
          <w:szCs w:val="20"/>
        </w:rPr>
        <w:t>Fagles</w:t>
      </w:r>
      <w:proofErr w:type="spellEnd"/>
      <w:r w:rsidRPr="00F70E8B">
        <w:rPr>
          <w:sz w:val="20"/>
          <w:szCs w:val="20"/>
        </w:rPr>
        <w:t>. New York: Viking Penguin, 1996 19.449-58 pp. 404-5.</w:t>
      </w:r>
    </w:p>
  </w:footnote>
  <w:footnote w:id="11">
    <w:p w14:paraId="10B957B6" w14:textId="47F9BE8E" w:rsidR="00803334" w:rsidRPr="00F70E8B" w:rsidRDefault="00803334" w:rsidP="00F87FBE">
      <w:pPr>
        <w:rPr>
          <w:sz w:val="20"/>
          <w:szCs w:val="20"/>
        </w:rPr>
      </w:pPr>
      <w:r w:rsidRPr="00F70E8B">
        <w:rPr>
          <w:rStyle w:val="FootnoteReference"/>
          <w:sz w:val="20"/>
          <w:szCs w:val="20"/>
        </w:rPr>
        <w:footnoteRef/>
      </w:r>
      <w:r w:rsidRPr="00F70E8B">
        <w:rPr>
          <w:sz w:val="20"/>
          <w:szCs w:val="20"/>
        </w:rPr>
        <w:t xml:space="preserve"> Plato. </w:t>
      </w:r>
      <w:proofErr w:type="spellStart"/>
      <w:r w:rsidRPr="00F70E8B">
        <w:rPr>
          <w:sz w:val="20"/>
          <w:szCs w:val="20"/>
        </w:rPr>
        <w:t>Charmides</w:t>
      </w:r>
      <w:proofErr w:type="spellEnd"/>
      <w:r w:rsidRPr="00F70E8B">
        <w:rPr>
          <w:sz w:val="20"/>
          <w:szCs w:val="20"/>
        </w:rPr>
        <w:t xml:space="preserve">. In </w:t>
      </w:r>
      <w:r w:rsidRPr="00F70E8B">
        <w:rPr>
          <w:i/>
          <w:sz w:val="20"/>
          <w:szCs w:val="20"/>
        </w:rPr>
        <w:t>Plato XII</w:t>
      </w:r>
      <w:r w:rsidRPr="00F70E8B">
        <w:rPr>
          <w:sz w:val="20"/>
          <w:szCs w:val="20"/>
        </w:rPr>
        <w:t>, trans. W. R. M. Lamb. Harvard University Press, 1955. 155e.</w:t>
      </w:r>
    </w:p>
  </w:footnote>
  <w:footnote w:id="12">
    <w:p w14:paraId="56C11EB3" w14:textId="150E95CA" w:rsidR="00803334" w:rsidRPr="00F70E8B" w:rsidRDefault="00803334" w:rsidP="00FA02DF">
      <w:pPr>
        <w:rPr>
          <w:sz w:val="20"/>
          <w:szCs w:val="20"/>
        </w:rPr>
      </w:pPr>
      <w:r w:rsidRPr="00F70E8B">
        <w:rPr>
          <w:rStyle w:val="FootnoteReference"/>
          <w:sz w:val="20"/>
          <w:szCs w:val="20"/>
        </w:rPr>
        <w:footnoteRef/>
      </w:r>
      <w:r w:rsidRPr="00F70E8B">
        <w:rPr>
          <w:sz w:val="20"/>
          <w:szCs w:val="20"/>
        </w:rPr>
        <w:t xml:space="preserve"> Plato. </w:t>
      </w:r>
      <w:proofErr w:type="spellStart"/>
      <w:r w:rsidRPr="00F70E8B">
        <w:rPr>
          <w:sz w:val="20"/>
          <w:szCs w:val="20"/>
        </w:rPr>
        <w:t>Charmides</w:t>
      </w:r>
      <w:proofErr w:type="spellEnd"/>
      <w:r w:rsidRPr="00F70E8B">
        <w:rPr>
          <w:sz w:val="20"/>
          <w:szCs w:val="20"/>
        </w:rPr>
        <w:t>. 155e.</w:t>
      </w:r>
    </w:p>
  </w:footnote>
  <w:footnote w:id="13">
    <w:p w14:paraId="065BCA88" w14:textId="1BDE9DF8" w:rsidR="00803334" w:rsidRDefault="00803334" w:rsidP="00F87FBE">
      <w:r w:rsidRPr="00F70E8B">
        <w:rPr>
          <w:rStyle w:val="FootnoteReference"/>
          <w:sz w:val="20"/>
          <w:szCs w:val="20"/>
        </w:rPr>
        <w:footnoteRef/>
      </w:r>
      <w:r w:rsidRPr="00F70E8B">
        <w:rPr>
          <w:sz w:val="20"/>
          <w:szCs w:val="20"/>
        </w:rPr>
        <w:t xml:space="preserve"> Plato. </w:t>
      </w:r>
      <w:proofErr w:type="spellStart"/>
      <w:r w:rsidRPr="00F70E8B">
        <w:rPr>
          <w:sz w:val="20"/>
          <w:szCs w:val="20"/>
        </w:rPr>
        <w:t>Charmides</w:t>
      </w:r>
      <w:proofErr w:type="spellEnd"/>
      <w:r>
        <w:rPr>
          <w:sz w:val="20"/>
          <w:szCs w:val="20"/>
        </w:rPr>
        <w:t xml:space="preserve">. </w:t>
      </w:r>
      <w:r w:rsidRPr="00F70E8B">
        <w:rPr>
          <w:sz w:val="20"/>
          <w:szCs w:val="20"/>
        </w:rPr>
        <w:t>155e.</w:t>
      </w:r>
    </w:p>
  </w:footnote>
  <w:footnote w:id="14">
    <w:p w14:paraId="3FD3178C" w14:textId="09B0B1FB" w:rsidR="00803334" w:rsidRPr="00F70E8B" w:rsidRDefault="00803334" w:rsidP="00FA02DF">
      <w:pPr>
        <w:rPr>
          <w:sz w:val="20"/>
          <w:szCs w:val="20"/>
        </w:rPr>
      </w:pPr>
      <w:r w:rsidRPr="00F70E8B">
        <w:rPr>
          <w:rStyle w:val="FootnoteReference"/>
          <w:sz w:val="20"/>
          <w:szCs w:val="20"/>
        </w:rPr>
        <w:footnoteRef/>
      </w:r>
      <w:r w:rsidRPr="00F70E8B">
        <w:rPr>
          <w:sz w:val="20"/>
          <w:szCs w:val="20"/>
        </w:rPr>
        <w:t xml:space="preserve"> Hans Dieter Betz, The Greek magical papyri in translation, including the Demotic spells, Chicago: Chicago University Press, 1992.</w:t>
      </w:r>
    </w:p>
    <w:p w14:paraId="203B2A28" w14:textId="77777777" w:rsidR="00803334" w:rsidRDefault="00803334" w:rsidP="00FA02DF">
      <w:pPr>
        <w:pStyle w:val="FootnoteText"/>
      </w:pPr>
    </w:p>
  </w:footnote>
  <w:footnote w:id="15">
    <w:p w14:paraId="54ECF954" w14:textId="4083EC93" w:rsidR="00803334" w:rsidRPr="000E5C3A" w:rsidRDefault="00803334" w:rsidP="00FA02DF">
      <w:pPr>
        <w:rPr>
          <w:color w:val="000000" w:themeColor="text1"/>
          <w:sz w:val="20"/>
          <w:szCs w:val="20"/>
        </w:rPr>
      </w:pPr>
      <w:r w:rsidRPr="000E5C3A">
        <w:rPr>
          <w:rStyle w:val="FootnoteReference"/>
          <w:color w:val="000000" w:themeColor="text1"/>
          <w:sz w:val="20"/>
          <w:szCs w:val="20"/>
        </w:rPr>
        <w:footnoteRef/>
      </w:r>
      <w:r w:rsidRPr="000E5C3A">
        <w:rPr>
          <w:color w:val="000000" w:themeColor="text1"/>
          <w:sz w:val="20"/>
          <w:szCs w:val="20"/>
        </w:rPr>
        <w:t xml:space="preserve"> John Scarborough. 'The Pharmacology of Sacred Plants, Herbs and Roots'. </w:t>
      </w:r>
      <w:proofErr w:type="spellStart"/>
      <w:r w:rsidRPr="000E5C3A">
        <w:rPr>
          <w:i/>
          <w:color w:val="000000" w:themeColor="text1"/>
          <w:sz w:val="20"/>
          <w:szCs w:val="20"/>
        </w:rPr>
        <w:t>Magika</w:t>
      </w:r>
      <w:proofErr w:type="spellEnd"/>
      <w:r w:rsidRPr="000E5C3A">
        <w:rPr>
          <w:i/>
          <w:color w:val="000000" w:themeColor="text1"/>
          <w:sz w:val="20"/>
          <w:szCs w:val="20"/>
        </w:rPr>
        <w:t xml:space="preserve"> </w:t>
      </w:r>
      <w:proofErr w:type="spellStart"/>
      <w:r w:rsidRPr="000E5C3A">
        <w:rPr>
          <w:i/>
          <w:color w:val="000000" w:themeColor="text1"/>
          <w:sz w:val="20"/>
          <w:szCs w:val="20"/>
        </w:rPr>
        <w:t>Hiera</w:t>
      </w:r>
      <w:proofErr w:type="spellEnd"/>
      <w:r w:rsidRPr="000E5C3A">
        <w:rPr>
          <w:i/>
          <w:color w:val="000000" w:themeColor="text1"/>
          <w:sz w:val="20"/>
          <w:szCs w:val="20"/>
        </w:rPr>
        <w:t>,</w:t>
      </w:r>
      <w:r w:rsidRPr="000E5C3A">
        <w:rPr>
          <w:color w:val="000000" w:themeColor="text1"/>
          <w:sz w:val="20"/>
          <w:szCs w:val="20"/>
        </w:rPr>
        <w:t xml:space="preserve"> edited by Christopher </w:t>
      </w:r>
      <w:proofErr w:type="spellStart"/>
      <w:r w:rsidRPr="000E5C3A">
        <w:rPr>
          <w:color w:val="000000" w:themeColor="text1"/>
          <w:sz w:val="20"/>
          <w:szCs w:val="20"/>
        </w:rPr>
        <w:t>Faraone</w:t>
      </w:r>
      <w:proofErr w:type="spellEnd"/>
      <w:r w:rsidRPr="000E5C3A">
        <w:rPr>
          <w:color w:val="000000" w:themeColor="text1"/>
          <w:sz w:val="20"/>
          <w:szCs w:val="20"/>
        </w:rPr>
        <w:t xml:space="preserve"> and Dirk </w:t>
      </w:r>
      <w:proofErr w:type="spellStart"/>
      <w:r w:rsidRPr="000E5C3A">
        <w:rPr>
          <w:color w:val="000000" w:themeColor="text1"/>
          <w:sz w:val="20"/>
          <w:szCs w:val="20"/>
        </w:rPr>
        <w:t>Obbink</w:t>
      </w:r>
      <w:proofErr w:type="spellEnd"/>
      <w:r w:rsidRPr="000E5C3A">
        <w:rPr>
          <w:color w:val="000000" w:themeColor="text1"/>
          <w:sz w:val="20"/>
          <w:szCs w:val="20"/>
        </w:rPr>
        <w:t>, 138-74, Oxford: Oxford University Press, 1991. PGM VII.193-96.</w:t>
      </w:r>
    </w:p>
  </w:footnote>
  <w:footnote w:id="16">
    <w:p w14:paraId="0A90B8C9" w14:textId="474E4B95" w:rsidR="00803334" w:rsidRPr="000E5C3A" w:rsidRDefault="00803334">
      <w:pPr>
        <w:pStyle w:val="FootnoteText"/>
        <w:rPr>
          <w:color w:val="000000" w:themeColor="text1"/>
        </w:rPr>
      </w:pPr>
      <w:r w:rsidRPr="000E5C3A">
        <w:rPr>
          <w:rStyle w:val="FootnoteReference"/>
          <w:color w:val="000000" w:themeColor="text1"/>
        </w:rPr>
        <w:footnoteRef/>
      </w:r>
      <w:r w:rsidRPr="000E5C3A">
        <w:rPr>
          <w:color w:val="000000" w:themeColor="text1"/>
        </w:rPr>
        <w:t xml:space="preserve"> Dickie. </w:t>
      </w:r>
      <w:r w:rsidRPr="000E5C3A">
        <w:rPr>
          <w:i/>
          <w:color w:val="000000" w:themeColor="text1"/>
        </w:rPr>
        <w:t>Magic and Magicians</w:t>
      </w:r>
      <w:r w:rsidRPr="000E5C3A">
        <w:rPr>
          <w:color w:val="000000" w:themeColor="text1"/>
        </w:rPr>
        <w:t>. pp. 31.</w:t>
      </w:r>
    </w:p>
  </w:footnote>
  <w:footnote w:id="17">
    <w:p w14:paraId="5333B67D" w14:textId="77968E43" w:rsidR="00803334" w:rsidRPr="000E5C3A" w:rsidRDefault="00803334" w:rsidP="002200A5">
      <w:pPr>
        <w:rPr>
          <w:color w:val="000000" w:themeColor="text1"/>
          <w:sz w:val="20"/>
          <w:szCs w:val="20"/>
        </w:rPr>
      </w:pPr>
      <w:r w:rsidRPr="000E5C3A">
        <w:rPr>
          <w:rStyle w:val="FootnoteReference"/>
          <w:color w:val="000000" w:themeColor="text1"/>
          <w:sz w:val="20"/>
          <w:szCs w:val="20"/>
        </w:rPr>
        <w:footnoteRef/>
      </w:r>
      <w:r w:rsidRPr="000E5C3A">
        <w:rPr>
          <w:color w:val="000000" w:themeColor="text1"/>
          <w:sz w:val="20"/>
          <w:szCs w:val="20"/>
        </w:rPr>
        <w:t xml:space="preserve"> </w:t>
      </w:r>
      <w:proofErr w:type="spellStart"/>
      <w:r w:rsidRPr="000E5C3A">
        <w:rPr>
          <w:color w:val="000000" w:themeColor="text1"/>
          <w:sz w:val="20"/>
          <w:szCs w:val="20"/>
        </w:rPr>
        <w:t>Raphals</w:t>
      </w:r>
      <w:proofErr w:type="spellEnd"/>
      <w:r w:rsidRPr="000E5C3A">
        <w:rPr>
          <w:color w:val="000000" w:themeColor="text1"/>
          <w:sz w:val="20"/>
          <w:szCs w:val="20"/>
        </w:rPr>
        <w:t>. “Divination and Medicine”, pp. 91.</w:t>
      </w:r>
    </w:p>
  </w:footnote>
  <w:footnote w:id="18">
    <w:p w14:paraId="2939D793" w14:textId="326EA960" w:rsidR="00803334" w:rsidRPr="000E5C3A" w:rsidRDefault="00803334" w:rsidP="000E5C3A">
      <w:pPr>
        <w:rPr>
          <w:color w:val="000000" w:themeColor="text1"/>
          <w:sz w:val="20"/>
          <w:szCs w:val="20"/>
        </w:rPr>
      </w:pPr>
      <w:r w:rsidRPr="000E5C3A">
        <w:rPr>
          <w:rStyle w:val="FootnoteReference"/>
          <w:color w:val="000000" w:themeColor="text1"/>
          <w:sz w:val="20"/>
          <w:szCs w:val="20"/>
        </w:rPr>
        <w:footnoteRef/>
      </w:r>
      <w:r w:rsidRPr="000E5C3A">
        <w:rPr>
          <w:color w:val="000000" w:themeColor="text1"/>
          <w:sz w:val="20"/>
          <w:szCs w:val="20"/>
        </w:rPr>
        <w:t xml:space="preserve"> </w:t>
      </w:r>
      <w:r w:rsidRPr="000E5C3A">
        <w:rPr>
          <w:color w:val="000000" w:themeColor="text1"/>
          <w:sz w:val="20"/>
          <w:szCs w:val="20"/>
          <w:shd w:val="clear" w:color="auto" w:fill="FFFFFF"/>
        </w:rPr>
        <w:t>Hippocrates. “On the Sacred Disease.” trans. by Francis Adams, </w:t>
      </w:r>
      <w:r w:rsidRPr="000E5C3A">
        <w:rPr>
          <w:i/>
          <w:iCs/>
          <w:color w:val="000000" w:themeColor="text1"/>
          <w:sz w:val="20"/>
          <w:szCs w:val="20"/>
        </w:rPr>
        <w:t>MIT Classics</w:t>
      </w:r>
      <w:r w:rsidRPr="000E5C3A">
        <w:rPr>
          <w:color w:val="000000" w:themeColor="text1"/>
          <w:sz w:val="20"/>
          <w:szCs w:val="20"/>
          <w:shd w:val="clear" w:color="auto" w:fill="FFFFFF"/>
        </w:rPr>
        <w:t>.</w:t>
      </w:r>
    </w:p>
  </w:footnote>
  <w:footnote w:id="19">
    <w:p w14:paraId="2468B945" w14:textId="51236C86" w:rsidR="00803334" w:rsidRPr="000E5C3A" w:rsidRDefault="00803334" w:rsidP="004977EF">
      <w:pPr>
        <w:pStyle w:val="FootnoteText"/>
        <w:rPr>
          <w:color w:val="000000" w:themeColor="text1"/>
        </w:rPr>
      </w:pPr>
      <w:r w:rsidRPr="000E5C3A">
        <w:rPr>
          <w:rStyle w:val="FootnoteReference"/>
          <w:color w:val="000000" w:themeColor="text1"/>
        </w:rPr>
        <w:footnoteRef/>
      </w:r>
      <w:r w:rsidRPr="000E5C3A">
        <w:rPr>
          <w:color w:val="000000" w:themeColor="text1"/>
        </w:rPr>
        <w:t xml:space="preserve"> </w:t>
      </w:r>
      <w:proofErr w:type="spellStart"/>
      <w:r w:rsidRPr="000E5C3A">
        <w:rPr>
          <w:color w:val="000000" w:themeColor="text1"/>
        </w:rPr>
        <w:t>Raphals</w:t>
      </w:r>
      <w:proofErr w:type="spellEnd"/>
      <w:r w:rsidRPr="000E5C3A">
        <w:rPr>
          <w:color w:val="000000" w:themeColor="text1"/>
        </w:rPr>
        <w:t>. “Divination and Medicine”, pp. 92.</w:t>
      </w:r>
    </w:p>
    <w:p w14:paraId="23F24F8C" w14:textId="098E1A70" w:rsidR="00803334" w:rsidRDefault="00803334">
      <w:pPr>
        <w:pStyle w:val="FootnoteText"/>
      </w:pPr>
    </w:p>
  </w:footnote>
  <w:footnote w:id="20">
    <w:p w14:paraId="50146639" w14:textId="4B4136E9" w:rsidR="00803334" w:rsidRPr="00007392" w:rsidRDefault="00803334">
      <w:pPr>
        <w:pStyle w:val="FootnoteText"/>
      </w:pPr>
      <w:r w:rsidRPr="00007392">
        <w:rPr>
          <w:rStyle w:val="FootnoteReference"/>
        </w:rPr>
        <w:footnoteRef/>
      </w:r>
      <w:r w:rsidRPr="00007392">
        <w:t xml:space="preserve"> </w:t>
      </w:r>
      <w:r w:rsidRPr="00007392">
        <w:rPr>
          <w:color w:val="000000" w:themeColor="text1"/>
          <w:shd w:val="clear" w:color="auto" w:fill="FFFFFF"/>
        </w:rPr>
        <w:t xml:space="preserve">Hippocrates. “On the Sacred Disease.” </w:t>
      </w:r>
    </w:p>
  </w:footnote>
  <w:footnote w:id="21">
    <w:p w14:paraId="2A2710C6" w14:textId="1FE4785D" w:rsidR="00803334" w:rsidRPr="00007392" w:rsidRDefault="00803334">
      <w:pPr>
        <w:pStyle w:val="FootnoteText"/>
      </w:pPr>
      <w:r w:rsidRPr="00007392">
        <w:rPr>
          <w:rStyle w:val="FootnoteReference"/>
        </w:rPr>
        <w:footnoteRef/>
      </w:r>
      <w:r w:rsidRPr="00007392">
        <w:t xml:space="preserve"> </w:t>
      </w:r>
      <w:r w:rsidRPr="00007392">
        <w:rPr>
          <w:color w:val="000000" w:themeColor="text1"/>
          <w:shd w:val="clear" w:color="auto" w:fill="FFFFFF"/>
        </w:rPr>
        <w:t>Hippocrates. “On the Sacred Disease.”.</w:t>
      </w:r>
    </w:p>
  </w:footnote>
  <w:footnote w:id="22">
    <w:p w14:paraId="554BFCD0" w14:textId="21D3833B" w:rsidR="00803334" w:rsidRPr="00007392" w:rsidRDefault="00803334" w:rsidP="002200A5">
      <w:pPr>
        <w:rPr>
          <w:sz w:val="20"/>
          <w:szCs w:val="20"/>
        </w:rPr>
      </w:pPr>
      <w:r w:rsidRPr="00007392">
        <w:rPr>
          <w:rStyle w:val="FootnoteReference"/>
          <w:sz w:val="20"/>
          <w:szCs w:val="20"/>
        </w:rPr>
        <w:footnoteRef/>
      </w:r>
      <w:r w:rsidRPr="00007392">
        <w:rPr>
          <w:sz w:val="20"/>
          <w:szCs w:val="20"/>
        </w:rPr>
        <w:t xml:space="preserve"> </w:t>
      </w:r>
      <w:r w:rsidRPr="00007392">
        <w:rPr>
          <w:color w:val="000000" w:themeColor="text1"/>
          <w:sz w:val="20"/>
          <w:szCs w:val="20"/>
          <w:shd w:val="clear" w:color="auto" w:fill="FFFFFF"/>
        </w:rPr>
        <w:t>Hippocrates. “On the Sacred Disease.” t</w:t>
      </w:r>
    </w:p>
  </w:footnote>
  <w:footnote w:id="23">
    <w:p w14:paraId="16CB9919" w14:textId="4B7AE505" w:rsidR="00803334" w:rsidRPr="00007392" w:rsidRDefault="00803334">
      <w:pPr>
        <w:pStyle w:val="FootnoteText"/>
      </w:pPr>
      <w:r w:rsidRPr="00007392">
        <w:rPr>
          <w:rStyle w:val="FootnoteReference"/>
        </w:rPr>
        <w:footnoteRef/>
      </w:r>
      <w:r w:rsidRPr="00007392">
        <w:t xml:space="preserve"> </w:t>
      </w:r>
      <w:proofErr w:type="spellStart"/>
      <w:r w:rsidRPr="00007392">
        <w:t>Raphals</w:t>
      </w:r>
      <w:proofErr w:type="spellEnd"/>
      <w:r w:rsidRPr="00007392">
        <w:t>. “Divination and Medicine”, pp. 91.</w:t>
      </w:r>
    </w:p>
  </w:footnote>
  <w:footnote w:id="24">
    <w:p w14:paraId="5A9CA698" w14:textId="756B3B9A" w:rsidR="00803334" w:rsidRPr="00007392" w:rsidRDefault="00803334" w:rsidP="002200A5">
      <w:pPr>
        <w:rPr>
          <w:sz w:val="20"/>
          <w:szCs w:val="20"/>
        </w:rPr>
      </w:pPr>
      <w:r w:rsidRPr="00007392">
        <w:rPr>
          <w:rStyle w:val="FootnoteReference"/>
          <w:sz w:val="20"/>
          <w:szCs w:val="20"/>
        </w:rPr>
        <w:footnoteRef/>
      </w:r>
      <w:r w:rsidRPr="00007392">
        <w:rPr>
          <w:sz w:val="20"/>
          <w:szCs w:val="20"/>
        </w:rPr>
        <w:t xml:space="preserve"> </w:t>
      </w:r>
      <w:r w:rsidRPr="00007392">
        <w:rPr>
          <w:color w:val="000000"/>
          <w:sz w:val="20"/>
          <w:szCs w:val="20"/>
        </w:rPr>
        <w:t xml:space="preserve">Plato. “Laws.” </w:t>
      </w:r>
      <w:r w:rsidRPr="00007392">
        <w:rPr>
          <w:i/>
          <w:color w:val="000000"/>
          <w:sz w:val="20"/>
          <w:szCs w:val="20"/>
        </w:rPr>
        <w:t>Plato in Twelve Volumes, Vols. 10 &amp; 11</w:t>
      </w:r>
      <w:r w:rsidRPr="00007392">
        <w:rPr>
          <w:color w:val="000000"/>
          <w:sz w:val="20"/>
          <w:szCs w:val="20"/>
        </w:rPr>
        <w:t xml:space="preserve"> trans. R.G. Bury. Cambridge, MA, Harvard University Press. 1967. 899b</w:t>
      </w:r>
    </w:p>
  </w:footnote>
  <w:footnote w:id="25">
    <w:p w14:paraId="412849A4" w14:textId="2858D1F1" w:rsidR="00803334" w:rsidRPr="00007392" w:rsidRDefault="00803334">
      <w:pPr>
        <w:pStyle w:val="FootnoteText"/>
      </w:pPr>
      <w:r w:rsidRPr="00007392">
        <w:rPr>
          <w:rStyle w:val="FootnoteReference"/>
        </w:rPr>
        <w:footnoteRef/>
      </w:r>
      <w:r w:rsidRPr="00007392">
        <w:t xml:space="preserve"> Plato. “Laws.” 899b.</w:t>
      </w:r>
    </w:p>
  </w:footnote>
  <w:footnote w:id="26">
    <w:p w14:paraId="0325BDC2" w14:textId="3C8DD608" w:rsidR="00803334" w:rsidRPr="00007392" w:rsidRDefault="00803334" w:rsidP="005730F9">
      <w:pPr>
        <w:rPr>
          <w:sz w:val="20"/>
          <w:szCs w:val="20"/>
        </w:rPr>
      </w:pPr>
      <w:r w:rsidRPr="00007392">
        <w:rPr>
          <w:rStyle w:val="FootnoteReference"/>
          <w:sz w:val="20"/>
          <w:szCs w:val="20"/>
        </w:rPr>
        <w:footnoteRef/>
      </w:r>
      <w:r w:rsidRPr="00007392">
        <w:rPr>
          <w:sz w:val="20"/>
          <w:szCs w:val="20"/>
        </w:rPr>
        <w:t xml:space="preserve"> Hippocrates. “Airs, Waters and Places,” in </w:t>
      </w:r>
      <w:r w:rsidRPr="00007392">
        <w:rPr>
          <w:i/>
          <w:sz w:val="20"/>
          <w:szCs w:val="20"/>
        </w:rPr>
        <w:t>Ancient Medicine: selected papers of Ludwig Edelstein</w:t>
      </w:r>
      <w:r w:rsidRPr="00007392">
        <w:rPr>
          <w:sz w:val="20"/>
          <w:szCs w:val="20"/>
        </w:rPr>
        <w:t xml:space="preserve">, Baltimore: John Hopkins Press, 1967, pp. 213. </w:t>
      </w:r>
    </w:p>
    <w:p w14:paraId="59ED7DB6" w14:textId="77777777" w:rsidR="00803334" w:rsidRDefault="00803334" w:rsidP="005730F9">
      <w:pPr>
        <w:pStyle w:val="FootnoteText"/>
      </w:pPr>
    </w:p>
  </w:footnote>
  <w:footnote w:id="27">
    <w:p w14:paraId="79B149E5" w14:textId="727AC6A4" w:rsidR="00803334" w:rsidRDefault="00803334" w:rsidP="005409CC">
      <w:r>
        <w:rPr>
          <w:rStyle w:val="FootnoteReference"/>
        </w:rPr>
        <w:footnoteRef/>
      </w:r>
      <w:r>
        <w:t xml:space="preserve"> Hippocrates. “Prognostic I”, in</w:t>
      </w:r>
      <w:r w:rsidRPr="005409CC">
        <w:rPr>
          <w:i/>
        </w:rPr>
        <w:t xml:space="preserve"> Ancient Medicine: Selected Papers of Ludwig Edelstein</w:t>
      </w:r>
      <w:r>
        <w:t>. Baltimore: Johns Hopkins Press, 1967. pp.</w:t>
      </w:r>
      <w:r w:rsidRPr="005409CC">
        <w:t xml:space="preserve"> </w:t>
      </w:r>
      <w:r>
        <w:t>216.</w:t>
      </w:r>
    </w:p>
  </w:footnote>
  <w:footnote w:id="28">
    <w:p w14:paraId="6DFCFD60" w14:textId="7DBA399C" w:rsidR="00803334" w:rsidRDefault="00803334">
      <w:pPr>
        <w:pStyle w:val="FootnoteText"/>
      </w:pPr>
      <w:r>
        <w:rPr>
          <w:rStyle w:val="FootnoteReference"/>
        </w:rPr>
        <w:footnoteRef/>
      </w:r>
      <w:r>
        <w:t xml:space="preserve"> </w:t>
      </w:r>
      <w:r w:rsidRPr="00007392">
        <w:t xml:space="preserve">Hippocrates. “The Hippocratic Oath.” </w:t>
      </w:r>
      <w:r w:rsidRPr="00007392">
        <w:rPr>
          <w:i/>
        </w:rPr>
        <w:t>U.S. National Library of Medicine</w:t>
      </w:r>
      <w:r w:rsidRPr="00007392">
        <w:t>, National Institutes of Health</w:t>
      </w:r>
      <w:r>
        <w:t>.</w:t>
      </w:r>
      <w:r w:rsidRPr="00007392">
        <w:t>.</w:t>
      </w:r>
    </w:p>
  </w:footnote>
  <w:footnote w:id="29">
    <w:p w14:paraId="128ACC46" w14:textId="22A6FA30" w:rsidR="00803334" w:rsidRDefault="00803334" w:rsidP="004977EF">
      <w:pPr>
        <w:pStyle w:val="FootnoteText"/>
      </w:pPr>
      <w:r>
        <w:rPr>
          <w:rStyle w:val="FootnoteReference"/>
        </w:rPr>
        <w:footnoteRef/>
      </w:r>
      <w:r>
        <w:t xml:space="preserve"> </w:t>
      </w:r>
      <w:proofErr w:type="spellStart"/>
      <w:r w:rsidRPr="00902F6C">
        <w:t>Raphals</w:t>
      </w:r>
      <w:proofErr w:type="spellEnd"/>
      <w:r w:rsidRPr="00902F6C">
        <w:t xml:space="preserve">. “Divination and Medicine”, pp. </w:t>
      </w:r>
      <w:r>
        <w:t>94.</w:t>
      </w:r>
    </w:p>
  </w:footnote>
  <w:footnote w:id="30">
    <w:p w14:paraId="35A2B863" w14:textId="4E492FAE" w:rsidR="00803334" w:rsidRDefault="00803334" w:rsidP="00EE3E13">
      <w:r>
        <w:rPr>
          <w:rStyle w:val="FootnoteReference"/>
        </w:rPr>
        <w:footnoteRef/>
      </w:r>
      <w:r>
        <w:t xml:space="preserve"> Vivian </w:t>
      </w:r>
      <w:proofErr w:type="spellStart"/>
      <w:r>
        <w:t>Nutton</w:t>
      </w:r>
      <w:proofErr w:type="spellEnd"/>
      <w:r>
        <w:t xml:space="preserve">, Ancient Medicine, London: Routledge, 2004, 108. </w:t>
      </w:r>
    </w:p>
  </w:footnote>
  <w:footnote w:id="31">
    <w:p w14:paraId="52E690EE" w14:textId="77777777" w:rsidR="00803334" w:rsidRDefault="00803334" w:rsidP="00EE3E13">
      <w:pPr>
        <w:pStyle w:val="FootnoteText"/>
      </w:pPr>
      <w:r>
        <w:rPr>
          <w:rStyle w:val="FootnoteReference"/>
        </w:rPr>
        <w:footnoteRef/>
      </w:r>
      <w:r>
        <w:t xml:space="preserve"> </w:t>
      </w:r>
      <w:proofErr w:type="spellStart"/>
      <w:r>
        <w:t>Raphals</w:t>
      </w:r>
      <w:proofErr w:type="spellEnd"/>
      <w:r>
        <w:t xml:space="preserve"> 92</w:t>
      </w:r>
    </w:p>
  </w:footnote>
  <w:footnote w:id="32">
    <w:p w14:paraId="3CF06CFA" w14:textId="2A96D9C3" w:rsidR="00803334" w:rsidRDefault="00803334" w:rsidP="00DA260F">
      <w:r>
        <w:rPr>
          <w:rStyle w:val="FootnoteReference"/>
        </w:rPr>
        <w:footnoteRef/>
      </w:r>
      <w:r>
        <w:t xml:space="preserve"> Ludwig Edelstein, Asclepius: A Collection and Interpretation of the Testimonies, Volume 1. Baltimore: John Hopkins Press, 1945. 1.235, no. 27.</w:t>
      </w:r>
    </w:p>
    <w:p w14:paraId="393812C6" w14:textId="407E54DF" w:rsidR="00803334" w:rsidRDefault="00803334">
      <w:pPr>
        <w:pStyle w:val="FootnoteText"/>
      </w:pPr>
    </w:p>
  </w:footnote>
  <w:footnote w:id="33">
    <w:p w14:paraId="6FA1D398" w14:textId="7CF5826E" w:rsidR="0057640C" w:rsidRDefault="0057640C">
      <w:pPr>
        <w:pStyle w:val="FootnoteText"/>
      </w:pPr>
      <w:r>
        <w:rPr>
          <w:rStyle w:val="FootnoteReference"/>
        </w:rPr>
        <w:footnoteRef/>
      </w:r>
      <w:r>
        <w:t xml:space="preserve"> </w:t>
      </w:r>
      <w:r w:rsidRPr="000E5C3A">
        <w:rPr>
          <w:color w:val="000000" w:themeColor="text1"/>
        </w:rPr>
        <w:t xml:space="preserve">Dickie. </w:t>
      </w:r>
      <w:r w:rsidRPr="000E5C3A">
        <w:rPr>
          <w:i/>
          <w:color w:val="000000" w:themeColor="text1"/>
        </w:rPr>
        <w:t>Magic and Magicians</w:t>
      </w:r>
      <w:r w:rsidRPr="000E5C3A">
        <w:rPr>
          <w:color w:val="000000" w:themeColor="text1"/>
        </w:rPr>
        <w:t>. pp.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2DE47" w14:textId="651460AE" w:rsidR="00803334" w:rsidRDefault="00803334">
    <w:pPr>
      <w:pStyle w:val="Header"/>
    </w:pPr>
    <w:r>
      <w:t>Coutts (1907654)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F1C3F"/>
    <w:multiLevelType w:val="hybridMultilevel"/>
    <w:tmpl w:val="9E9062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D74ED1"/>
    <w:multiLevelType w:val="hybridMultilevel"/>
    <w:tmpl w:val="5DBA29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18E"/>
    <w:rsid w:val="00001537"/>
    <w:rsid w:val="00007392"/>
    <w:rsid w:val="000725C5"/>
    <w:rsid w:val="000A7A67"/>
    <w:rsid w:val="000B73DB"/>
    <w:rsid w:val="000E5C3A"/>
    <w:rsid w:val="000F4B59"/>
    <w:rsid w:val="00142296"/>
    <w:rsid w:val="00167255"/>
    <w:rsid w:val="001A3305"/>
    <w:rsid w:val="001B4B68"/>
    <w:rsid w:val="002200A5"/>
    <w:rsid w:val="0022498F"/>
    <w:rsid w:val="00225A62"/>
    <w:rsid w:val="00251FCA"/>
    <w:rsid w:val="00263098"/>
    <w:rsid w:val="00302B2B"/>
    <w:rsid w:val="0033518E"/>
    <w:rsid w:val="00342361"/>
    <w:rsid w:val="003A5F5D"/>
    <w:rsid w:val="003D4693"/>
    <w:rsid w:val="0044494F"/>
    <w:rsid w:val="004666E9"/>
    <w:rsid w:val="004969AE"/>
    <w:rsid w:val="004977EF"/>
    <w:rsid w:val="004A5953"/>
    <w:rsid w:val="004E6529"/>
    <w:rsid w:val="005409CC"/>
    <w:rsid w:val="005730F9"/>
    <w:rsid w:val="00574D1F"/>
    <w:rsid w:val="0057640C"/>
    <w:rsid w:val="00596675"/>
    <w:rsid w:val="005E126D"/>
    <w:rsid w:val="00690F82"/>
    <w:rsid w:val="006A7771"/>
    <w:rsid w:val="006F28D5"/>
    <w:rsid w:val="00704906"/>
    <w:rsid w:val="007C1B98"/>
    <w:rsid w:val="0080176E"/>
    <w:rsid w:val="00803334"/>
    <w:rsid w:val="008060FE"/>
    <w:rsid w:val="00833830"/>
    <w:rsid w:val="00902F6C"/>
    <w:rsid w:val="00916C94"/>
    <w:rsid w:val="00935639"/>
    <w:rsid w:val="00977FA6"/>
    <w:rsid w:val="009F24A7"/>
    <w:rsid w:val="00A2430A"/>
    <w:rsid w:val="00A77F94"/>
    <w:rsid w:val="00AB42B8"/>
    <w:rsid w:val="00AC7DAF"/>
    <w:rsid w:val="00B24322"/>
    <w:rsid w:val="00B54661"/>
    <w:rsid w:val="00B669F2"/>
    <w:rsid w:val="00BB0E5B"/>
    <w:rsid w:val="00BB7A52"/>
    <w:rsid w:val="00BD4292"/>
    <w:rsid w:val="00BF55C8"/>
    <w:rsid w:val="00C22612"/>
    <w:rsid w:val="00C85B32"/>
    <w:rsid w:val="00CA7D79"/>
    <w:rsid w:val="00CC14DC"/>
    <w:rsid w:val="00D2593F"/>
    <w:rsid w:val="00D73162"/>
    <w:rsid w:val="00D85C7B"/>
    <w:rsid w:val="00DA260F"/>
    <w:rsid w:val="00DA2CC0"/>
    <w:rsid w:val="00DA7815"/>
    <w:rsid w:val="00DA7E52"/>
    <w:rsid w:val="00E0537A"/>
    <w:rsid w:val="00E52627"/>
    <w:rsid w:val="00E679FF"/>
    <w:rsid w:val="00E91A82"/>
    <w:rsid w:val="00E94AEB"/>
    <w:rsid w:val="00EB3578"/>
    <w:rsid w:val="00EB47D8"/>
    <w:rsid w:val="00EE3E13"/>
    <w:rsid w:val="00EF639A"/>
    <w:rsid w:val="00F330A9"/>
    <w:rsid w:val="00F70E8B"/>
    <w:rsid w:val="00F7121B"/>
    <w:rsid w:val="00F87FBE"/>
    <w:rsid w:val="00FA02DF"/>
    <w:rsid w:val="00FC3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5683E2"/>
  <w14:defaultImageDpi w14:val="32767"/>
  <w15:chartTrackingRefBased/>
  <w15:docId w15:val="{5C7E0ED2-34D7-D743-8E58-973CA55AE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04906"/>
    <w:rPr>
      <w:rFonts w:ascii="Times New Roman" w:eastAsia="Times New Roman" w:hAnsi="Times New Roman" w:cs="Times New Roman"/>
      <w:lang w:val="en-CA"/>
    </w:rPr>
  </w:style>
  <w:style w:type="paragraph" w:styleId="Heading3">
    <w:name w:val="heading 3"/>
    <w:basedOn w:val="Normal"/>
    <w:link w:val="Heading3Char"/>
    <w:qFormat/>
    <w:rsid w:val="0033518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3518E"/>
    <w:rPr>
      <w:rFonts w:ascii="Tahoma" w:eastAsia="Times New Roman" w:hAnsi="Tahoma" w:cs="Tahoma"/>
      <w:b/>
      <w:bCs/>
      <w:sz w:val="20"/>
      <w:szCs w:val="20"/>
      <w:lang w:val="en-CA"/>
    </w:rPr>
  </w:style>
  <w:style w:type="paragraph" w:styleId="NormalWeb">
    <w:name w:val="Normal (Web)"/>
    <w:basedOn w:val="Normal"/>
    <w:uiPriority w:val="99"/>
    <w:rsid w:val="0033518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33518E"/>
    <w:pPr>
      <w:tabs>
        <w:tab w:val="center" w:pos="4680"/>
        <w:tab w:val="right" w:pos="9360"/>
      </w:tabs>
    </w:pPr>
  </w:style>
  <w:style w:type="character" w:customStyle="1" w:styleId="HeaderChar">
    <w:name w:val="Header Char"/>
    <w:basedOn w:val="DefaultParagraphFont"/>
    <w:link w:val="Header"/>
    <w:uiPriority w:val="99"/>
    <w:rsid w:val="0033518E"/>
    <w:rPr>
      <w:rFonts w:ascii="Times New Roman" w:eastAsia="Times New Roman" w:hAnsi="Times New Roman" w:cs="Times New Roman"/>
      <w:lang w:val="en-CA"/>
    </w:rPr>
  </w:style>
  <w:style w:type="paragraph" w:styleId="Footer">
    <w:name w:val="footer"/>
    <w:basedOn w:val="Normal"/>
    <w:link w:val="FooterChar"/>
    <w:uiPriority w:val="99"/>
    <w:unhideWhenUsed/>
    <w:rsid w:val="0033518E"/>
    <w:pPr>
      <w:tabs>
        <w:tab w:val="center" w:pos="4680"/>
        <w:tab w:val="right" w:pos="9360"/>
      </w:tabs>
    </w:pPr>
  </w:style>
  <w:style w:type="character" w:customStyle="1" w:styleId="FooterChar">
    <w:name w:val="Footer Char"/>
    <w:basedOn w:val="DefaultParagraphFont"/>
    <w:link w:val="Footer"/>
    <w:uiPriority w:val="99"/>
    <w:rsid w:val="0033518E"/>
    <w:rPr>
      <w:rFonts w:ascii="Times New Roman" w:eastAsia="Times New Roman" w:hAnsi="Times New Roman" w:cs="Times New Roman"/>
      <w:lang w:val="en-CA"/>
    </w:rPr>
  </w:style>
  <w:style w:type="paragraph" w:styleId="ListParagraph">
    <w:name w:val="List Paragraph"/>
    <w:basedOn w:val="Normal"/>
    <w:uiPriority w:val="34"/>
    <w:qFormat/>
    <w:rsid w:val="00142296"/>
    <w:pPr>
      <w:ind w:left="720"/>
      <w:contextualSpacing/>
    </w:pPr>
  </w:style>
  <w:style w:type="paragraph" w:styleId="FootnoteText">
    <w:name w:val="footnote text"/>
    <w:basedOn w:val="Normal"/>
    <w:link w:val="FootnoteTextChar"/>
    <w:uiPriority w:val="99"/>
    <w:semiHidden/>
    <w:unhideWhenUsed/>
    <w:rsid w:val="00E52627"/>
    <w:rPr>
      <w:sz w:val="20"/>
      <w:szCs w:val="20"/>
    </w:rPr>
  </w:style>
  <w:style w:type="character" w:customStyle="1" w:styleId="FootnoteTextChar">
    <w:name w:val="Footnote Text Char"/>
    <w:basedOn w:val="DefaultParagraphFont"/>
    <w:link w:val="FootnoteText"/>
    <w:uiPriority w:val="99"/>
    <w:semiHidden/>
    <w:rsid w:val="00E52627"/>
    <w:rPr>
      <w:rFonts w:ascii="Times New Roman" w:eastAsia="Times New Roman" w:hAnsi="Times New Roman" w:cs="Times New Roman"/>
      <w:sz w:val="20"/>
      <w:szCs w:val="20"/>
      <w:lang w:val="en-CA"/>
    </w:rPr>
  </w:style>
  <w:style w:type="character" w:styleId="FootnoteReference">
    <w:name w:val="footnote reference"/>
    <w:basedOn w:val="DefaultParagraphFont"/>
    <w:uiPriority w:val="99"/>
    <w:semiHidden/>
    <w:unhideWhenUsed/>
    <w:rsid w:val="00E52627"/>
    <w:rPr>
      <w:vertAlign w:val="superscript"/>
    </w:rPr>
  </w:style>
  <w:style w:type="character" w:styleId="Hyperlink">
    <w:name w:val="Hyperlink"/>
    <w:basedOn w:val="DefaultParagraphFont"/>
    <w:uiPriority w:val="99"/>
    <w:unhideWhenUsed/>
    <w:rsid w:val="00704906"/>
    <w:rPr>
      <w:color w:val="0000FF"/>
      <w:u w:val="single"/>
    </w:rPr>
  </w:style>
  <w:style w:type="character" w:styleId="Strong">
    <w:name w:val="Strong"/>
    <w:basedOn w:val="DefaultParagraphFont"/>
    <w:uiPriority w:val="22"/>
    <w:qFormat/>
    <w:rsid w:val="000725C5"/>
    <w:rPr>
      <w:b/>
      <w:bCs/>
    </w:rPr>
  </w:style>
  <w:style w:type="character" w:styleId="UnresolvedMention">
    <w:name w:val="Unresolved Mention"/>
    <w:basedOn w:val="DefaultParagraphFont"/>
    <w:uiPriority w:val="99"/>
    <w:rsid w:val="00AC7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877">
      <w:bodyDiv w:val="1"/>
      <w:marLeft w:val="0"/>
      <w:marRight w:val="0"/>
      <w:marTop w:val="0"/>
      <w:marBottom w:val="0"/>
      <w:divBdr>
        <w:top w:val="none" w:sz="0" w:space="0" w:color="auto"/>
        <w:left w:val="none" w:sz="0" w:space="0" w:color="auto"/>
        <w:bottom w:val="none" w:sz="0" w:space="0" w:color="auto"/>
        <w:right w:val="none" w:sz="0" w:space="0" w:color="auto"/>
      </w:divBdr>
    </w:div>
    <w:div w:id="23603837">
      <w:bodyDiv w:val="1"/>
      <w:marLeft w:val="0"/>
      <w:marRight w:val="0"/>
      <w:marTop w:val="0"/>
      <w:marBottom w:val="0"/>
      <w:divBdr>
        <w:top w:val="none" w:sz="0" w:space="0" w:color="auto"/>
        <w:left w:val="none" w:sz="0" w:space="0" w:color="auto"/>
        <w:bottom w:val="none" w:sz="0" w:space="0" w:color="auto"/>
        <w:right w:val="none" w:sz="0" w:space="0" w:color="auto"/>
      </w:divBdr>
    </w:div>
    <w:div w:id="57096309">
      <w:bodyDiv w:val="1"/>
      <w:marLeft w:val="0"/>
      <w:marRight w:val="0"/>
      <w:marTop w:val="0"/>
      <w:marBottom w:val="0"/>
      <w:divBdr>
        <w:top w:val="none" w:sz="0" w:space="0" w:color="auto"/>
        <w:left w:val="none" w:sz="0" w:space="0" w:color="auto"/>
        <w:bottom w:val="none" w:sz="0" w:space="0" w:color="auto"/>
        <w:right w:val="none" w:sz="0" w:space="0" w:color="auto"/>
      </w:divBdr>
    </w:div>
    <w:div w:id="60099385">
      <w:bodyDiv w:val="1"/>
      <w:marLeft w:val="0"/>
      <w:marRight w:val="0"/>
      <w:marTop w:val="0"/>
      <w:marBottom w:val="0"/>
      <w:divBdr>
        <w:top w:val="none" w:sz="0" w:space="0" w:color="auto"/>
        <w:left w:val="none" w:sz="0" w:space="0" w:color="auto"/>
        <w:bottom w:val="none" w:sz="0" w:space="0" w:color="auto"/>
        <w:right w:val="none" w:sz="0" w:space="0" w:color="auto"/>
      </w:divBdr>
    </w:div>
    <w:div w:id="101195909">
      <w:bodyDiv w:val="1"/>
      <w:marLeft w:val="0"/>
      <w:marRight w:val="0"/>
      <w:marTop w:val="0"/>
      <w:marBottom w:val="0"/>
      <w:divBdr>
        <w:top w:val="none" w:sz="0" w:space="0" w:color="auto"/>
        <w:left w:val="none" w:sz="0" w:space="0" w:color="auto"/>
        <w:bottom w:val="none" w:sz="0" w:space="0" w:color="auto"/>
        <w:right w:val="none" w:sz="0" w:space="0" w:color="auto"/>
      </w:divBdr>
    </w:div>
    <w:div w:id="147478536">
      <w:bodyDiv w:val="1"/>
      <w:marLeft w:val="0"/>
      <w:marRight w:val="0"/>
      <w:marTop w:val="0"/>
      <w:marBottom w:val="0"/>
      <w:divBdr>
        <w:top w:val="none" w:sz="0" w:space="0" w:color="auto"/>
        <w:left w:val="none" w:sz="0" w:space="0" w:color="auto"/>
        <w:bottom w:val="none" w:sz="0" w:space="0" w:color="auto"/>
        <w:right w:val="none" w:sz="0" w:space="0" w:color="auto"/>
      </w:divBdr>
    </w:div>
    <w:div w:id="229079569">
      <w:bodyDiv w:val="1"/>
      <w:marLeft w:val="0"/>
      <w:marRight w:val="0"/>
      <w:marTop w:val="0"/>
      <w:marBottom w:val="0"/>
      <w:divBdr>
        <w:top w:val="none" w:sz="0" w:space="0" w:color="auto"/>
        <w:left w:val="none" w:sz="0" w:space="0" w:color="auto"/>
        <w:bottom w:val="none" w:sz="0" w:space="0" w:color="auto"/>
        <w:right w:val="none" w:sz="0" w:space="0" w:color="auto"/>
      </w:divBdr>
    </w:div>
    <w:div w:id="234172761">
      <w:bodyDiv w:val="1"/>
      <w:marLeft w:val="0"/>
      <w:marRight w:val="0"/>
      <w:marTop w:val="0"/>
      <w:marBottom w:val="0"/>
      <w:divBdr>
        <w:top w:val="none" w:sz="0" w:space="0" w:color="auto"/>
        <w:left w:val="none" w:sz="0" w:space="0" w:color="auto"/>
        <w:bottom w:val="none" w:sz="0" w:space="0" w:color="auto"/>
        <w:right w:val="none" w:sz="0" w:space="0" w:color="auto"/>
      </w:divBdr>
    </w:div>
    <w:div w:id="235290029">
      <w:bodyDiv w:val="1"/>
      <w:marLeft w:val="0"/>
      <w:marRight w:val="0"/>
      <w:marTop w:val="0"/>
      <w:marBottom w:val="0"/>
      <w:divBdr>
        <w:top w:val="none" w:sz="0" w:space="0" w:color="auto"/>
        <w:left w:val="none" w:sz="0" w:space="0" w:color="auto"/>
        <w:bottom w:val="none" w:sz="0" w:space="0" w:color="auto"/>
        <w:right w:val="none" w:sz="0" w:space="0" w:color="auto"/>
      </w:divBdr>
    </w:div>
    <w:div w:id="238292423">
      <w:bodyDiv w:val="1"/>
      <w:marLeft w:val="0"/>
      <w:marRight w:val="0"/>
      <w:marTop w:val="0"/>
      <w:marBottom w:val="0"/>
      <w:divBdr>
        <w:top w:val="none" w:sz="0" w:space="0" w:color="auto"/>
        <w:left w:val="none" w:sz="0" w:space="0" w:color="auto"/>
        <w:bottom w:val="none" w:sz="0" w:space="0" w:color="auto"/>
        <w:right w:val="none" w:sz="0" w:space="0" w:color="auto"/>
      </w:divBdr>
    </w:div>
    <w:div w:id="352923226">
      <w:bodyDiv w:val="1"/>
      <w:marLeft w:val="0"/>
      <w:marRight w:val="0"/>
      <w:marTop w:val="0"/>
      <w:marBottom w:val="0"/>
      <w:divBdr>
        <w:top w:val="none" w:sz="0" w:space="0" w:color="auto"/>
        <w:left w:val="none" w:sz="0" w:space="0" w:color="auto"/>
        <w:bottom w:val="none" w:sz="0" w:space="0" w:color="auto"/>
        <w:right w:val="none" w:sz="0" w:space="0" w:color="auto"/>
      </w:divBdr>
    </w:div>
    <w:div w:id="432091145">
      <w:bodyDiv w:val="1"/>
      <w:marLeft w:val="0"/>
      <w:marRight w:val="0"/>
      <w:marTop w:val="0"/>
      <w:marBottom w:val="0"/>
      <w:divBdr>
        <w:top w:val="none" w:sz="0" w:space="0" w:color="auto"/>
        <w:left w:val="none" w:sz="0" w:space="0" w:color="auto"/>
        <w:bottom w:val="none" w:sz="0" w:space="0" w:color="auto"/>
        <w:right w:val="none" w:sz="0" w:space="0" w:color="auto"/>
      </w:divBdr>
    </w:div>
    <w:div w:id="456415066">
      <w:bodyDiv w:val="1"/>
      <w:marLeft w:val="0"/>
      <w:marRight w:val="0"/>
      <w:marTop w:val="0"/>
      <w:marBottom w:val="0"/>
      <w:divBdr>
        <w:top w:val="none" w:sz="0" w:space="0" w:color="auto"/>
        <w:left w:val="none" w:sz="0" w:space="0" w:color="auto"/>
        <w:bottom w:val="none" w:sz="0" w:space="0" w:color="auto"/>
        <w:right w:val="none" w:sz="0" w:space="0" w:color="auto"/>
      </w:divBdr>
    </w:div>
    <w:div w:id="501703099">
      <w:bodyDiv w:val="1"/>
      <w:marLeft w:val="0"/>
      <w:marRight w:val="0"/>
      <w:marTop w:val="0"/>
      <w:marBottom w:val="0"/>
      <w:divBdr>
        <w:top w:val="none" w:sz="0" w:space="0" w:color="auto"/>
        <w:left w:val="none" w:sz="0" w:space="0" w:color="auto"/>
        <w:bottom w:val="none" w:sz="0" w:space="0" w:color="auto"/>
        <w:right w:val="none" w:sz="0" w:space="0" w:color="auto"/>
      </w:divBdr>
    </w:div>
    <w:div w:id="578371361">
      <w:bodyDiv w:val="1"/>
      <w:marLeft w:val="0"/>
      <w:marRight w:val="0"/>
      <w:marTop w:val="0"/>
      <w:marBottom w:val="0"/>
      <w:divBdr>
        <w:top w:val="none" w:sz="0" w:space="0" w:color="auto"/>
        <w:left w:val="none" w:sz="0" w:space="0" w:color="auto"/>
        <w:bottom w:val="none" w:sz="0" w:space="0" w:color="auto"/>
        <w:right w:val="none" w:sz="0" w:space="0" w:color="auto"/>
      </w:divBdr>
    </w:div>
    <w:div w:id="615912721">
      <w:bodyDiv w:val="1"/>
      <w:marLeft w:val="0"/>
      <w:marRight w:val="0"/>
      <w:marTop w:val="0"/>
      <w:marBottom w:val="0"/>
      <w:divBdr>
        <w:top w:val="none" w:sz="0" w:space="0" w:color="auto"/>
        <w:left w:val="none" w:sz="0" w:space="0" w:color="auto"/>
        <w:bottom w:val="none" w:sz="0" w:space="0" w:color="auto"/>
        <w:right w:val="none" w:sz="0" w:space="0" w:color="auto"/>
      </w:divBdr>
    </w:div>
    <w:div w:id="663357621">
      <w:bodyDiv w:val="1"/>
      <w:marLeft w:val="0"/>
      <w:marRight w:val="0"/>
      <w:marTop w:val="0"/>
      <w:marBottom w:val="0"/>
      <w:divBdr>
        <w:top w:val="none" w:sz="0" w:space="0" w:color="auto"/>
        <w:left w:val="none" w:sz="0" w:space="0" w:color="auto"/>
        <w:bottom w:val="none" w:sz="0" w:space="0" w:color="auto"/>
        <w:right w:val="none" w:sz="0" w:space="0" w:color="auto"/>
      </w:divBdr>
    </w:div>
    <w:div w:id="687827477">
      <w:bodyDiv w:val="1"/>
      <w:marLeft w:val="0"/>
      <w:marRight w:val="0"/>
      <w:marTop w:val="0"/>
      <w:marBottom w:val="0"/>
      <w:divBdr>
        <w:top w:val="none" w:sz="0" w:space="0" w:color="auto"/>
        <w:left w:val="none" w:sz="0" w:space="0" w:color="auto"/>
        <w:bottom w:val="none" w:sz="0" w:space="0" w:color="auto"/>
        <w:right w:val="none" w:sz="0" w:space="0" w:color="auto"/>
      </w:divBdr>
    </w:div>
    <w:div w:id="730814570">
      <w:bodyDiv w:val="1"/>
      <w:marLeft w:val="0"/>
      <w:marRight w:val="0"/>
      <w:marTop w:val="0"/>
      <w:marBottom w:val="0"/>
      <w:divBdr>
        <w:top w:val="none" w:sz="0" w:space="0" w:color="auto"/>
        <w:left w:val="none" w:sz="0" w:space="0" w:color="auto"/>
        <w:bottom w:val="none" w:sz="0" w:space="0" w:color="auto"/>
        <w:right w:val="none" w:sz="0" w:space="0" w:color="auto"/>
      </w:divBdr>
    </w:div>
    <w:div w:id="768039227">
      <w:bodyDiv w:val="1"/>
      <w:marLeft w:val="0"/>
      <w:marRight w:val="0"/>
      <w:marTop w:val="0"/>
      <w:marBottom w:val="0"/>
      <w:divBdr>
        <w:top w:val="none" w:sz="0" w:space="0" w:color="auto"/>
        <w:left w:val="none" w:sz="0" w:space="0" w:color="auto"/>
        <w:bottom w:val="none" w:sz="0" w:space="0" w:color="auto"/>
        <w:right w:val="none" w:sz="0" w:space="0" w:color="auto"/>
      </w:divBdr>
    </w:div>
    <w:div w:id="782729158">
      <w:bodyDiv w:val="1"/>
      <w:marLeft w:val="0"/>
      <w:marRight w:val="0"/>
      <w:marTop w:val="0"/>
      <w:marBottom w:val="0"/>
      <w:divBdr>
        <w:top w:val="none" w:sz="0" w:space="0" w:color="auto"/>
        <w:left w:val="none" w:sz="0" w:space="0" w:color="auto"/>
        <w:bottom w:val="none" w:sz="0" w:space="0" w:color="auto"/>
        <w:right w:val="none" w:sz="0" w:space="0" w:color="auto"/>
      </w:divBdr>
    </w:div>
    <w:div w:id="838888363">
      <w:bodyDiv w:val="1"/>
      <w:marLeft w:val="0"/>
      <w:marRight w:val="0"/>
      <w:marTop w:val="0"/>
      <w:marBottom w:val="0"/>
      <w:divBdr>
        <w:top w:val="none" w:sz="0" w:space="0" w:color="auto"/>
        <w:left w:val="none" w:sz="0" w:space="0" w:color="auto"/>
        <w:bottom w:val="none" w:sz="0" w:space="0" w:color="auto"/>
        <w:right w:val="none" w:sz="0" w:space="0" w:color="auto"/>
      </w:divBdr>
    </w:div>
    <w:div w:id="856574654">
      <w:bodyDiv w:val="1"/>
      <w:marLeft w:val="0"/>
      <w:marRight w:val="0"/>
      <w:marTop w:val="0"/>
      <w:marBottom w:val="0"/>
      <w:divBdr>
        <w:top w:val="none" w:sz="0" w:space="0" w:color="auto"/>
        <w:left w:val="none" w:sz="0" w:space="0" w:color="auto"/>
        <w:bottom w:val="none" w:sz="0" w:space="0" w:color="auto"/>
        <w:right w:val="none" w:sz="0" w:space="0" w:color="auto"/>
      </w:divBdr>
    </w:div>
    <w:div w:id="857306532">
      <w:bodyDiv w:val="1"/>
      <w:marLeft w:val="0"/>
      <w:marRight w:val="0"/>
      <w:marTop w:val="0"/>
      <w:marBottom w:val="0"/>
      <w:divBdr>
        <w:top w:val="none" w:sz="0" w:space="0" w:color="auto"/>
        <w:left w:val="none" w:sz="0" w:space="0" w:color="auto"/>
        <w:bottom w:val="none" w:sz="0" w:space="0" w:color="auto"/>
        <w:right w:val="none" w:sz="0" w:space="0" w:color="auto"/>
      </w:divBdr>
    </w:div>
    <w:div w:id="881671294">
      <w:bodyDiv w:val="1"/>
      <w:marLeft w:val="0"/>
      <w:marRight w:val="0"/>
      <w:marTop w:val="0"/>
      <w:marBottom w:val="0"/>
      <w:divBdr>
        <w:top w:val="none" w:sz="0" w:space="0" w:color="auto"/>
        <w:left w:val="none" w:sz="0" w:space="0" w:color="auto"/>
        <w:bottom w:val="none" w:sz="0" w:space="0" w:color="auto"/>
        <w:right w:val="none" w:sz="0" w:space="0" w:color="auto"/>
      </w:divBdr>
    </w:div>
    <w:div w:id="918637181">
      <w:bodyDiv w:val="1"/>
      <w:marLeft w:val="0"/>
      <w:marRight w:val="0"/>
      <w:marTop w:val="0"/>
      <w:marBottom w:val="0"/>
      <w:divBdr>
        <w:top w:val="none" w:sz="0" w:space="0" w:color="auto"/>
        <w:left w:val="none" w:sz="0" w:space="0" w:color="auto"/>
        <w:bottom w:val="none" w:sz="0" w:space="0" w:color="auto"/>
        <w:right w:val="none" w:sz="0" w:space="0" w:color="auto"/>
      </w:divBdr>
    </w:div>
    <w:div w:id="930892740">
      <w:bodyDiv w:val="1"/>
      <w:marLeft w:val="0"/>
      <w:marRight w:val="0"/>
      <w:marTop w:val="0"/>
      <w:marBottom w:val="0"/>
      <w:divBdr>
        <w:top w:val="none" w:sz="0" w:space="0" w:color="auto"/>
        <w:left w:val="none" w:sz="0" w:space="0" w:color="auto"/>
        <w:bottom w:val="none" w:sz="0" w:space="0" w:color="auto"/>
        <w:right w:val="none" w:sz="0" w:space="0" w:color="auto"/>
      </w:divBdr>
    </w:div>
    <w:div w:id="941375888">
      <w:bodyDiv w:val="1"/>
      <w:marLeft w:val="0"/>
      <w:marRight w:val="0"/>
      <w:marTop w:val="0"/>
      <w:marBottom w:val="0"/>
      <w:divBdr>
        <w:top w:val="none" w:sz="0" w:space="0" w:color="auto"/>
        <w:left w:val="none" w:sz="0" w:space="0" w:color="auto"/>
        <w:bottom w:val="none" w:sz="0" w:space="0" w:color="auto"/>
        <w:right w:val="none" w:sz="0" w:space="0" w:color="auto"/>
      </w:divBdr>
    </w:div>
    <w:div w:id="953558759">
      <w:bodyDiv w:val="1"/>
      <w:marLeft w:val="0"/>
      <w:marRight w:val="0"/>
      <w:marTop w:val="0"/>
      <w:marBottom w:val="0"/>
      <w:divBdr>
        <w:top w:val="none" w:sz="0" w:space="0" w:color="auto"/>
        <w:left w:val="none" w:sz="0" w:space="0" w:color="auto"/>
        <w:bottom w:val="none" w:sz="0" w:space="0" w:color="auto"/>
        <w:right w:val="none" w:sz="0" w:space="0" w:color="auto"/>
      </w:divBdr>
    </w:div>
    <w:div w:id="1038116869">
      <w:bodyDiv w:val="1"/>
      <w:marLeft w:val="0"/>
      <w:marRight w:val="0"/>
      <w:marTop w:val="0"/>
      <w:marBottom w:val="0"/>
      <w:divBdr>
        <w:top w:val="none" w:sz="0" w:space="0" w:color="auto"/>
        <w:left w:val="none" w:sz="0" w:space="0" w:color="auto"/>
        <w:bottom w:val="none" w:sz="0" w:space="0" w:color="auto"/>
        <w:right w:val="none" w:sz="0" w:space="0" w:color="auto"/>
      </w:divBdr>
    </w:div>
    <w:div w:id="1040474699">
      <w:bodyDiv w:val="1"/>
      <w:marLeft w:val="0"/>
      <w:marRight w:val="0"/>
      <w:marTop w:val="0"/>
      <w:marBottom w:val="0"/>
      <w:divBdr>
        <w:top w:val="none" w:sz="0" w:space="0" w:color="auto"/>
        <w:left w:val="none" w:sz="0" w:space="0" w:color="auto"/>
        <w:bottom w:val="none" w:sz="0" w:space="0" w:color="auto"/>
        <w:right w:val="none" w:sz="0" w:space="0" w:color="auto"/>
      </w:divBdr>
    </w:div>
    <w:div w:id="1040594785">
      <w:bodyDiv w:val="1"/>
      <w:marLeft w:val="0"/>
      <w:marRight w:val="0"/>
      <w:marTop w:val="0"/>
      <w:marBottom w:val="0"/>
      <w:divBdr>
        <w:top w:val="none" w:sz="0" w:space="0" w:color="auto"/>
        <w:left w:val="none" w:sz="0" w:space="0" w:color="auto"/>
        <w:bottom w:val="none" w:sz="0" w:space="0" w:color="auto"/>
        <w:right w:val="none" w:sz="0" w:space="0" w:color="auto"/>
      </w:divBdr>
    </w:div>
    <w:div w:id="1046685803">
      <w:bodyDiv w:val="1"/>
      <w:marLeft w:val="0"/>
      <w:marRight w:val="0"/>
      <w:marTop w:val="0"/>
      <w:marBottom w:val="0"/>
      <w:divBdr>
        <w:top w:val="none" w:sz="0" w:space="0" w:color="auto"/>
        <w:left w:val="none" w:sz="0" w:space="0" w:color="auto"/>
        <w:bottom w:val="none" w:sz="0" w:space="0" w:color="auto"/>
        <w:right w:val="none" w:sz="0" w:space="0" w:color="auto"/>
      </w:divBdr>
    </w:div>
    <w:div w:id="1055860754">
      <w:bodyDiv w:val="1"/>
      <w:marLeft w:val="0"/>
      <w:marRight w:val="0"/>
      <w:marTop w:val="0"/>
      <w:marBottom w:val="0"/>
      <w:divBdr>
        <w:top w:val="none" w:sz="0" w:space="0" w:color="auto"/>
        <w:left w:val="none" w:sz="0" w:space="0" w:color="auto"/>
        <w:bottom w:val="none" w:sz="0" w:space="0" w:color="auto"/>
        <w:right w:val="none" w:sz="0" w:space="0" w:color="auto"/>
      </w:divBdr>
    </w:div>
    <w:div w:id="1103526008">
      <w:bodyDiv w:val="1"/>
      <w:marLeft w:val="0"/>
      <w:marRight w:val="0"/>
      <w:marTop w:val="0"/>
      <w:marBottom w:val="0"/>
      <w:divBdr>
        <w:top w:val="none" w:sz="0" w:space="0" w:color="auto"/>
        <w:left w:val="none" w:sz="0" w:space="0" w:color="auto"/>
        <w:bottom w:val="none" w:sz="0" w:space="0" w:color="auto"/>
        <w:right w:val="none" w:sz="0" w:space="0" w:color="auto"/>
      </w:divBdr>
    </w:div>
    <w:div w:id="1104571407">
      <w:bodyDiv w:val="1"/>
      <w:marLeft w:val="0"/>
      <w:marRight w:val="0"/>
      <w:marTop w:val="0"/>
      <w:marBottom w:val="0"/>
      <w:divBdr>
        <w:top w:val="none" w:sz="0" w:space="0" w:color="auto"/>
        <w:left w:val="none" w:sz="0" w:space="0" w:color="auto"/>
        <w:bottom w:val="none" w:sz="0" w:space="0" w:color="auto"/>
        <w:right w:val="none" w:sz="0" w:space="0" w:color="auto"/>
      </w:divBdr>
    </w:div>
    <w:div w:id="1136874107">
      <w:bodyDiv w:val="1"/>
      <w:marLeft w:val="0"/>
      <w:marRight w:val="0"/>
      <w:marTop w:val="0"/>
      <w:marBottom w:val="0"/>
      <w:divBdr>
        <w:top w:val="none" w:sz="0" w:space="0" w:color="auto"/>
        <w:left w:val="none" w:sz="0" w:space="0" w:color="auto"/>
        <w:bottom w:val="none" w:sz="0" w:space="0" w:color="auto"/>
        <w:right w:val="none" w:sz="0" w:space="0" w:color="auto"/>
      </w:divBdr>
    </w:div>
    <w:div w:id="1174417583">
      <w:bodyDiv w:val="1"/>
      <w:marLeft w:val="0"/>
      <w:marRight w:val="0"/>
      <w:marTop w:val="0"/>
      <w:marBottom w:val="0"/>
      <w:divBdr>
        <w:top w:val="none" w:sz="0" w:space="0" w:color="auto"/>
        <w:left w:val="none" w:sz="0" w:space="0" w:color="auto"/>
        <w:bottom w:val="none" w:sz="0" w:space="0" w:color="auto"/>
        <w:right w:val="none" w:sz="0" w:space="0" w:color="auto"/>
      </w:divBdr>
    </w:div>
    <w:div w:id="1198272817">
      <w:bodyDiv w:val="1"/>
      <w:marLeft w:val="0"/>
      <w:marRight w:val="0"/>
      <w:marTop w:val="0"/>
      <w:marBottom w:val="0"/>
      <w:divBdr>
        <w:top w:val="none" w:sz="0" w:space="0" w:color="auto"/>
        <w:left w:val="none" w:sz="0" w:space="0" w:color="auto"/>
        <w:bottom w:val="none" w:sz="0" w:space="0" w:color="auto"/>
        <w:right w:val="none" w:sz="0" w:space="0" w:color="auto"/>
      </w:divBdr>
    </w:div>
    <w:div w:id="1234002455">
      <w:bodyDiv w:val="1"/>
      <w:marLeft w:val="0"/>
      <w:marRight w:val="0"/>
      <w:marTop w:val="0"/>
      <w:marBottom w:val="0"/>
      <w:divBdr>
        <w:top w:val="none" w:sz="0" w:space="0" w:color="auto"/>
        <w:left w:val="none" w:sz="0" w:space="0" w:color="auto"/>
        <w:bottom w:val="none" w:sz="0" w:space="0" w:color="auto"/>
        <w:right w:val="none" w:sz="0" w:space="0" w:color="auto"/>
      </w:divBdr>
    </w:div>
    <w:div w:id="1263612030">
      <w:bodyDiv w:val="1"/>
      <w:marLeft w:val="0"/>
      <w:marRight w:val="0"/>
      <w:marTop w:val="0"/>
      <w:marBottom w:val="0"/>
      <w:divBdr>
        <w:top w:val="none" w:sz="0" w:space="0" w:color="auto"/>
        <w:left w:val="none" w:sz="0" w:space="0" w:color="auto"/>
        <w:bottom w:val="none" w:sz="0" w:space="0" w:color="auto"/>
        <w:right w:val="none" w:sz="0" w:space="0" w:color="auto"/>
      </w:divBdr>
    </w:div>
    <w:div w:id="1378823049">
      <w:bodyDiv w:val="1"/>
      <w:marLeft w:val="0"/>
      <w:marRight w:val="0"/>
      <w:marTop w:val="0"/>
      <w:marBottom w:val="0"/>
      <w:divBdr>
        <w:top w:val="none" w:sz="0" w:space="0" w:color="auto"/>
        <w:left w:val="none" w:sz="0" w:space="0" w:color="auto"/>
        <w:bottom w:val="none" w:sz="0" w:space="0" w:color="auto"/>
        <w:right w:val="none" w:sz="0" w:space="0" w:color="auto"/>
      </w:divBdr>
    </w:div>
    <w:div w:id="1383750798">
      <w:bodyDiv w:val="1"/>
      <w:marLeft w:val="0"/>
      <w:marRight w:val="0"/>
      <w:marTop w:val="0"/>
      <w:marBottom w:val="0"/>
      <w:divBdr>
        <w:top w:val="none" w:sz="0" w:space="0" w:color="auto"/>
        <w:left w:val="none" w:sz="0" w:space="0" w:color="auto"/>
        <w:bottom w:val="none" w:sz="0" w:space="0" w:color="auto"/>
        <w:right w:val="none" w:sz="0" w:space="0" w:color="auto"/>
      </w:divBdr>
    </w:div>
    <w:div w:id="1444690210">
      <w:bodyDiv w:val="1"/>
      <w:marLeft w:val="0"/>
      <w:marRight w:val="0"/>
      <w:marTop w:val="0"/>
      <w:marBottom w:val="0"/>
      <w:divBdr>
        <w:top w:val="none" w:sz="0" w:space="0" w:color="auto"/>
        <w:left w:val="none" w:sz="0" w:space="0" w:color="auto"/>
        <w:bottom w:val="none" w:sz="0" w:space="0" w:color="auto"/>
        <w:right w:val="none" w:sz="0" w:space="0" w:color="auto"/>
      </w:divBdr>
    </w:div>
    <w:div w:id="1516772475">
      <w:bodyDiv w:val="1"/>
      <w:marLeft w:val="0"/>
      <w:marRight w:val="0"/>
      <w:marTop w:val="0"/>
      <w:marBottom w:val="0"/>
      <w:divBdr>
        <w:top w:val="none" w:sz="0" w:space="0" w:color="auto"/>
        <w:left w:val="none" w:sz="0" w:space="0" w:color="auto"/>
        <w:bottom w:val="none" w:sz="0" w:space="0" w:color="auto"/>
        <w:right w:val="none" w:sz="0" w:space="0" w:color="auto"/>
      </w:divBdr>
    </w:div>
    <w:div w:id="1544319449">
      <w:bodyDiv w:val="1"/>
      <w:marLeft w:val="0"/>
      <w:marRight w:val="0"/>
      <w:marTop w:val="0"/>
      <w:marBottom w:val="0"/>
      <w:divBdr>
        <w:top w:val="none" w:sz="0" w:space="0" w:color="auto"/>
        <w:left w:val="none" w:sz="0" w:space="0" w:color="auto"/>
        <w:bottom w:val="none" w:sz="0" w:space="0" w:color="auto"/>
        <w:right w:val="none" w:sz="0" w:space="0" w:color="auto"/>
      </w:divBdr>
    </w:div>
    <w:div w:id="1561817748">
      <w:bodyDiv w:val="1"/>
      <w:marLeft w:val="0"/>
      <w:marRight w:val="0"/>
      <w:marTop w:val="0"/>
      <w:marBottom w:val="0"/>
      <w:divBdr>
        <w:top w:val="none" w:sz="0" w:space="0" w:color="auto"/>
        <w:left w:val="none" w:sz="0" w:space="0" w:color="auto"/>
        <w:bottom w:val="none" w:sz="0" w:space="0" w:color="auto"/>
        <w:right w:val="none" w:sz="0" w:space="0" w:color="auto"/>
      </w:divBdr>
    </w:div>
    <w:div w:id="1573393406">
      <w:bodyDiv w:val="1"/>
      <w:marLeft w:val="0"/>
      <w:marRight w:val="0"/>
      <w:marTop w:val="0"/>
      <w:marBottom w:val="0"/>
      <w:divBdr>
        <w:top w:val="none" w:sz="0" w:space="0" w:color="auto"/>
        <w:left w:val="none" w:sz="0" w:space="0" w:color="auto"/>
        <w:bottom w:val="none" w:sz="0" w:space="0" w:color="auto"/>
        <w:right w:val="none" w:sz="0" w:space="0" w:color="auto"/>
      </w:divBdr>
    </w:div>
    <w:div w:id="1611544705">
      <w:bodyDiv w:val="1"/>
      <w:marLeft w:val="0"/>
      <w:marRight w:val="0"/>
      <w:marTop w:val="0"/>
      <w:marBottom w:val="0"/>
      <w:divBdr>
        <w:top w:val="none" w:sz="0" w:space="0" w:color="auto"/>
        <w:left w:val="none" w:sz="0" w:space="0" w:color="auto"/>
        <w:bottom w:val="none" w:sz="0" w:space="0" w:color="auto"/>
        <w:right w:val="none" w:sz="0" w:space="0" w:color="auto"/>
      </w:divBdr>
    </w:div>
    <w:div w:id="1614748196">
      <w:bodyDiv w:val="1"/>
      <w:marLeft w:val="0"/>
      <w:marRight w:val="0"/>
      <w:marTop w:val="0"/>
      <w:marBottom w:val="0"/>
      <w:divBdr>
        <w:top w:val="none" w:sz="0" w:space="0" w:color="auto"/>
        <w:left w:val="none" w:sz="0" w:space="0" w:color="auto"/>
        <w:bottom w:val="none" w:sz="0" w:space="0" w:color="auto"/>
        <w:right w:val="none" w:sz="0" w:space="0" w:color="auto"/>
      </w:divBdr>
    </w:div>
    <w:div w:id="1690332018">
      <w:bodyDiv w:val="1"/>
      <w:marLeft w:val="0"/>
      <w:marRight w:val="0"/>
      <w:marTop w:val="0"/>
      <w:marBottom w:val="0"/>
      <w:divBdr>
        <w:top w:val="none" w:sz="0" w:space="0" w:color="auto"/>
        <w:left w:val="none" w:sz="0" w:space="0" w:color="auto"/>
        <w:bottom w:val="none" w:sz="0" w:space="0" w:color="auto"/>
        <w:right w:val="none" w:sz="0" w:space="0" w:color="auto"/>
      </w:divBdr>
    </w:div>
    <w:div w:id="1777477772">
      <w:bodyDiv w:val="1"/>
      <w:marLeft w:val="0"/>
      <w:marRight w:val="0"/>
      <w:marTop w:val="0"/>
      <w:marBottom w:val="0"/>
      <w:divBdr>
        <w:top w:val="none" w:sz="0" w:space="0" w:color="auto"/>
        <w:left w:val="none" w:sz="0" w:space="0" w:color="auto"/>
        <w:bottom w:val="none" w:sz="0" w:space="0" w:color="auto"/>
        <w:right w:val="none" w:sz="0" w:space="0" w:color="auto"/>
      </w:divBdr>
    </w:div>
    <w:div w:id="1879079873">
      <w:bodyDiv w:val="1"/>
      <w:marLeft w:val="0"/>
      <w:marRight w:val="0"/>
      <w:marTop w:val="0"/>
      <w:marBottom w:val="0"/>
      <w:divBdr>
        <w:top w:val="none" w:sz="0" w:space="0" w:color="auto"/>
        <w:left w:val="none" w:sz="0" w:space="0" w:color="auto"/>
        <w:bottom w:val="none" w:sz="0" w:space="0" w:color="auto"/>
        <w:right w:val="none" w:sz="0" w:space="0" w:color="auto"/>
      </w:divBdr>
    </w:div>
    <w:div w:id="1974169066">
      <w:bodyDiv w:val="1"/>
      <w:marLeft w:val="0"/>
      <w:marRight w:val="0"/>
      <w:marTop w:val="0"/>
      <w:marBottom w:val="0"/>
      <w:divBdr>
        <w:top w:val="none" w:sz="0" w:space="0" w:color="auto"/>
        <w:left w:val="none" w:sz="0" w:space="0" w:color="auto"/>
        <w:bottom w:val="none" w:sz="0" w:space="0" w:color="auto"/>
        <w:right w:val="none" w:sz="0" w:space="0" w:color="auto"/>
      </w:divBdr>
    </w:div>
    <w:div w:id="1982492800">
      <w:bodyDiv w:val="1"/>
      <w:marLeft w:val="0"/>
      <w:marRight w:val="0"/>
      <w:marTop w:val="0"/>
      <w:marBottom w:val="0"/>
      <w:divBdr>
        <w:top w:val="none" w:sz="0" w:space="0" w:color="auto"/>
        <w:left w:val="none" w:sz="0" w:space="0" w:color="auto"/>
        <w:bottom w:val="none" w:sz="0" w:space="0" w:color="auto"/>
        <w:right w:val="none" w:sz="0" w:space="0" w:color="auto"/>
      </w:divBdr>
    </w:div>
    <w:div w:id="206780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3079</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Mac</dc:creator>
  <cp:keywords/>
  <dc:description/>
  <cp:lastModifiedBy>Dylan Mac</cp:lastModifiedBy>
  <cp:revision>3</cp:revision>
  <dcterms:created xsi:type="dcterms:W3CDTF">2020-07-06T21:35:00Z</dcterms:created>
  <dcterms:modified xsi:type="dcterms:W3CDTF">2020-07-06T21:37:00Z</dcterms:modified>
</cp:coreProperties>
</file>