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6">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c>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7">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trHeight w:val="439" w:hRule="atLeast"/>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Gaurav janakbhai patel</w:t>
            </w:r>
          </w:p>
        </w:tc>
      </w:tr>
      <w:tr>
        <w:trPr>
          <w:trHeight w:val="472" w:hRule="atLeast"/>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72" w:hRule="atLeast"/>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trHeight w:val="334" w:hRule="atLeast"/>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UWTSD (institute of inner city learning)</w:t>
            </w:r>
          </w:p>
        </w:tc>
      </w:tr>
      <w:tr>
        <w:trPr>
          <w:trHeight w:val="340" w:hRule="atLeast"/>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London</w:t>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tc>
      </w:tr>
      <w:tr>
        <w:trPr>
          <w:trHeight w:val="340" w:hRule="atLeast"/>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2318687@student.uwtsd.ac.uk</w:t>
            </w:r>
          </w:p>
        </w:tc>
      </w:tr>
      <w:tr>
        <w:trPr>
          <w:trHeight w:val="340" w:hRule="atLeast"/>
        </w:trPr>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07362515638</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c>
          <w:tcPr>
            <w:shd w:fill="bfbfbf" w:val="clear"/>
            <w:vAlign w:val="center"/>
          </w:tcPr>
          <w:p w:rsidR="00000000" w:rsidDel="00000000" w:rsidP="00000000" w:rsidRDefault="00000000" w:rsidRPr="00000000" w14:paraId="00000044">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trHeight w:val="513" w:hRule="atLeast"/>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2318687</w:t>
            </w:r>
          </w:p>
        </w:tc>
      </w:tr>
      <w:tr>
        <w:trPr>
          <w:trHeight w:val="549" w:hRule="atLeast"/>
        </w:trPr>
        <w:tc>
          <w:tcPr>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Msc  public health and social care in practice</w:t>
            </w:r>
          </w:p>
        </w:tc>
      </w:tr>
      <w:tr>
        <w:trPr>
          <w:trHeight w:val="557" w:hRule="atLeast"/>
        </w:trPr>
        <w:tc>
          <w:tcPr>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Dr Diola bijlhout</w:t>
            </w:r>
          </w:p>
        </w:tc>
      </w:tr>
    </w:tbl>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c>
          <w:tcPr>
            <w:shd w:fill="f2f2f2" w:val="clea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59">
            <w:pPr>
              <w:jc w:val="center"/>
              <w:rPr>
                <w:rFonts w:ascii="Arial" w:cs="Arial" w:eastAsia="Arial" w:hAnsi="Arial"/>
                <w:b w:val="1"/>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5C">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1">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trHeight w:val="437" w:hRule="atLeast"/>
        </w:trPr>
        <w:tc>
          <w:tcPr>
            <w:vMerge w:val="restart"/>
            <w:shd w:fill="f2f2f2" w:val="clear"/>
          </w:tcPr>
          <w:p w:rsidR="00000000" w:rsidDel="00000000" w:rsidP="00000000" w:rsidRDefault="00000000" w:rsidRPr="00000000" w14:paraId="0000006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tl w:val="0"/>
              </w:rPr>
            </w:r>
          </w:p>
        </w:tc>
      </w:tr>
      <w:tr>
        <w:trPr>
          <w:trHeight w:val="415" w:hRule="atLeast"/>
        </w:trPr>
        <w:tc>
          <w:tcPr>
            <w:vMerge w:val="continue"/>
            <w:shd w:fill="f2f2f2" w:val="clear"/>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F">
            <w:pPr>
              <w:jc w:val="center"/>
              <w:rPr>
                <w:rFonts w:ascii="Arial" w:cs="Arial" w:eastAsia="Arial" w:hAnsi="Arial"/>
                <w:b w:val="1"/>
                <w:sz w:val="22"/>
                <w:szCs w:val="22"/>
              </w:rPr>
            </w:pPr>
            <w:r w:rsidDel="00000000" w:rsidR="00000000" w:rsidRPr="00000000">
              <w:rPr>
                <w:rtl w:val="0"/>
              </w:rPr>
            </w:r>
          </w:p>
        </w:tc>
      </w:tr>
      <w:tr>
        <w:tc>
          <w:tcPr>
            <w:vMerge w:val="continue"/>
            <w:shd w:fill="f2f2f2" w:val="clear"/>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77">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7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c>
          <w:tcPr>
            <w:shd w:fill="f2f2f2" w:val="clear"/>
          </w:tcPr>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7F">
            <w:pPr>
              <w:rPr>
                <w:rFonts w:ascii="Arial" w:cs="Arial" w:eastAsia="Arial" w:hAnsi="Arial"/>
                <w:b w:val="1"/>
                <w:sz w:val="22"/>
                <w:szCs w:val="22"/>
              </w:rPr>
            </w:pPr>
            <w:hyperlink r:id="rId8">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17" w:hRule="atLeast"/>
        </w:trPr>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82">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i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9" w:hRule="atLeast"/>
        </w:trPr>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86">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8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9">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trHeight w:val="227" w:hRule="atLeast"/>
        </w:trPr>
        <w:tc>
          <w:tcPr>
            <w:shd w:fill="f2f2f2" w:val="clea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rPr>
                <w:rFonts w:ascii="Arial" w:cs="Arial" w:eastAsia="Arial" w:hAnsi="Arial"/>
                <w:sz w:val="22"/>
                <w:szCs w:val="22"/>
              </w:rPr>
            </w:pP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E">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c>
          <w:tcPr>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386" w:hRule="atLeast"/>
        </w:trPr>
        <w:tc>
          <w:tcPr>
            <w:shd w:fill="f2f2f2" w:val="cle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386" w:hRule="atLeast"/>
        </w:trPr>
        <w:tc>
          <w:tcPr>
            <w:shd w:fill="f2f2f2" w:val="cle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D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trHeight w:val="507" w:hRule="atLeast"/>
        </w:trPr>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c>
          <w:tcPr/>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2">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trHeight w:val="454"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Advancements in neurorehabilitation technologies, specifically virtual reality (VR) and mirror box therapy (MT), on the recovery and quality of life for adults with phantom limb pain and amputation in the UK : A systematic review</w:t>
            </w:r>
          </w:p>
        </w:tc>
      </w:tr>
      <w:tr>
        <w:trPr>
          <w:trHeight w:val="454"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October 2024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February 2025</w:t>
            </w:r>
          </w:p>
        </w:tc>
      </w:tr>
      <w:tr>
        <w:trPr>
          <w:trHeight w:val="454" w:hRule="atLeast"/>
        </w:trPr>
        <w:tc>
          <w:tcPr>
            <w:tcBorders>
              <w:top w:color="000000" w:space="0" w:sz="4" w:val="single"/>
            </w:tcBorders>
            <w:shd w:fill="f2f2f2" w:val="clear"/>
            <w:vAlign w:val="center"/>
          </w:tcPr>
          <w:p w:rsidR="00000000" w:rsidDel="00000000" w:rsidP="00000000" w:rsidRDefault="00000000" w:rsidRPr="00000000" w14:paraId="000000F3">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trHeight w:val="454" w:hRule="atLeast"/>
        </w:trPr>
        <w:tc>
          <w:tcPr>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10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rtl w:val="0"/>
              </w:rPr>
              <w:t xml:space="preserve">The reasons for obtaining this research are to facilitate neuroplasticity through multisensory (not just visual), to broaden the diversity and severity of available training duties, and to enhance patient enthusiasm and involvement (Darbois, Guillaud, and Pinsault, 2018; Karim et al, 2021).</w:t>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rtl w:val="0"/>
              </w:rPr>
              <w:t xml:space="preserve">PLP (phantom limb pain) impacts a substantial majority of amputees, but our understanding of the cause is limited. For this endeavour, we employ advanced virtual reality technology to capture the perceived arm position of the phantom limb (Rogers et al, 2016).</w:t>
            </w:r>
          </w:p>
          <w:p w:rsidR="00000000" w:rsidDel="00000000" w:rsidP="00000000" w:rsidRDefault="00000000" w:rsidRPr="00000000" w14:paraId="00000106">
            <w:pPr>
              <w:rPr>
                <w:rFonts w:ascii="Arial" w:cs="Arial" w:eastAsia="Arial" w:hAnsi="Arial"/>
              </w:rPr>
            </w:pPr>
            <w:r w:rsidDel="00000000" w:rsidR="00000000" w:rsidRPr="00000000">
              <w:rPr>
                <w:rtl w:val="0"/>
              </w:rPr>
            </w:r>
          </w:p>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rtl w:val="0"/>
              </w:rPr>
              <w:t xml:space="preserve">Combining traditional rehabilitation approaches with the use of modern technology (which includes robotics, brain-computer interactions, neuro prostheses, and wearable gadgets for mobility monitoring) (Massetti et al, 2018).</w:t>
            </w:r>
          </w:p>
          <w:p w:rsidR="00000000" w:rsidDel="00000000" w:rsidP="00000000" w:rsidRDefault="00000000" w:rsidRPr="00000000" w14:paraId="00000108">
            <w:pPr>
              <w:rPr>
                <w:rFonts w:ascii="Arial" w:cs="Arial" w:eastAsia="Arial" w:hAnsi="Arial"/>
              </w:rPr>
            </w:pP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rFonts w:ascii="Arial" w:cs="Arial" w:eastAsia="Arial" w:hAnsi="Arial"/>
                <w:rtl w:val="0"/>
              </w:rPr>
              <w:t xml:space="preserve">VR applications in rehabilitation are rapidly developing, with a wide range of systems and programs currently in use and development; The motivation for this review arises from the lack of information on the most recent developments (Weiss et al, 2006).</w:t>
            </w:r>
          </w:p>
          <w:p w:rsidR="00000000" w:rsidDel="00000000" w:rsidP="00000000" w:rsidRDefault="00000000" w:rsidRPr="00000000" w14:paraId="0000010A">
            <w:pPr>
              <w:rPr>
                <w:rFonts w:ascii="Arial" w:cs="Arial" w:eastAsia="Arial" w:hAnsi="Arial"/>
              </w:rPr>
            </w:pPr>
            <w:r w:rsidDel="00000000" w:rsidR="00000000" w:rsidRPr="00000000">
              <w:rPr>
                <w:rtl w:val="0"/>
              </w:rPr>
            </w:r>
          </w:p>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rtl w:val="0"/>
              </w:rPr>
              <w:t xml:space="preserve">The full-scale war between Russia and Ukraine is connected with guns; bullet injuries usually damage the arms and legs, producing extensive joint trauma of connective tissue and catastrophic amputation of lower and upper limbs; so, this review could help those victims receiving treatment earlier (Lurin et al,2024).</w:t>
            </w:r>
          </w:p>
          <w:p w:rsidR="00000000" w:rsidDel="00000000" w:rsidP="00000000" w:rsidRDefault="00000000" w:rsidRPr="00000000" w14:paraId="0000010C">
            <w:pPr>
              <w:rPr>
                <w:rFonts w:ascii="Arial" w:cs="Arial" w:eastAsia="Arial" w:hAnsi="Arial"/>
              </w:rPr>
            </w:pPr>
            <w:r w:rsidDel="00000000" w:rsidR="00000000" w:rsidRPr="00000000">
              <w:rPr>
                <w:rtl w:val="0"/>
              </w:rPr>
            </w:r>
          </w:p>
          <w:p w:rsidR="00000000" w:rsidDel="00000000" w:rsidP="00000000" w:rsidRDefault="00000000" w:rsidRPr="00000000" w14:paraId="0000010D">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1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13">
            <w:pPr>
              <w:rPr>
                <w:rFonts w:ascii="Arial" w:cs="Arial" w:eastAsia="Arial" w:hAnsi="Arial"/>
              </w:rPr>
            </w:pPr>
            <w:r w:rsidDel="00000000" w:rsidR="00000000" w:rsidRPr="00000000">
              <w:rPr>
                <w:rtl w:val="0"/>
              </w:rPr>
            </w:r>
          </w:p>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How do advancements in neurorehabilitation technologies, specifically VR and MT, impact the recovery outcomes and quality of life for adults (22 years &gt;) with phantom limb pain and amputation in the UK?</w:t>
            </w:r>
          </w:p>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trHeight w:val="454" w:hRule="atLeast"/>
        </w:trPr>
        <w:tc>
          <w:tcP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1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rPr>
                <w:rFonts w:ascii="Arial" w:cs="Arial" w:eastAsia="Arial" w:hAnsi="Arial"/>
              </w:rPr>
            </w:pPr>
            <w:r w:rsidDel="00000000" w:rsidR="00000000" w:rsidRPr="00000000">
              <w:rPr>
                <w:rFonts w:ascii="Arial" w:cs="Arial" w:eastAsia="Arial" w:hAnsi="Arial"/>
                <w:rtl w:val="0"/>
              </w:rPr>
              <w:t xml:space="preserve">To evaluate the effectiveness of virtual reality (VR) and mirror box therapy (MT) based neurorehabilitation technologies in improving recovery outcomes and enhancing the quality of life for patients with phantom limb pain and amputation.</w:t>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vAlign w:val="center"/>
          </w:tcPr>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2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2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examine the impact of VR and MT-based rehabilitation on patients with phantom limb pain and amputation.</w:t>
            </w:r>
          </w:p>
          <w:p w:rsidR="00000000" w:rsidDel="00000000" w:rsidP="00000000" w:rsidRDefault="00000000" w:rsidRPr="00000000" w14:paraId="00000126">
            <w:pPr>
              <w:rPr>
                <w:rFonts w:ascii="Arial" w:cs="Arial" w:eastAsia="Arial" w:hAnsi="Arial"/>
              </w:rPr>
            </w:pPr>
            <w:r w:rsidDel="00000000" w:rsidR="00000000" w:rsidRPr="00000000">
              <w:rPr>
                <w:rFonts w:ascii="Arial" w:cs="Arial" w:eastAsia="Arial" w:hAnsi="Arial"/>
                <w:rtl w:val="0"/>
              </w:rPr>
              <w:t xml:space="preserve">       (2)  To analyse the long-term effects of VR-based rehabilitation on patients' psychological well-being, social    interaction, and daily living activities.</w:t>
            </w:r>
          </w:p>
          <w:p w:rsidR="00000000" w:rsidDel="00000000" w:rsidP="00000000" w:rsidRDefault="00000000" w:rsidRPr="00000000" w14:paraId="00000127">
            <w:pPr>
              <w:rPr>
                <w:rFonts w:ascii="Arial" w:cs="Arial" w:eastAsia="Arial" w:hAnsi="Arial"/>
              </w:rPr>
            </w:pPr>
            <w:r w:rsidDel="00000000" w:rsidR="00000000" w:rsidRPr="00000000">
              <w:rPr>
                <w:rFonts w:ascii="Arial" w:cs="Arial" w:eastAsia="Arial" w:hAnsi="Arial"/>
                <w:rtl w:val="0"/>
              </w:rPr>
              <w:t xml:space="preserve">      (3). To identify current trends and future directions in VR and MT technology development for neurorehabilitation.</w:t>
            </w:r>
          </w:p>
          <w:p w:rsidR="00000000" w:rsidDel="00000000" w:rsidP="00000000" w:rsidRDefault="00000000" w:rsidRPr="00000000" w14:paraId="00000128">
            <w:pPr>
              <w:rPr>
                <w:rFonts w:ascii="Arial" w:cs="Arial" w:eastAsia="Arial" w:hAnsi="Arial"/>
              </w:rPr>
            </w:pPr>
            <w:r w:rsidDel="00000000" w:rsidR="00000000" w:rsidRPr="00000000">
              <w:rPr>
                <w:rFonts w:ascii="Arial" w:cs="Arial" w:eastAsia="Arial" w:hAnsi="Arial"/>
                <w:rtl w:val="0"/>
              </w:rPr>
              <w:t xml:space="preserve">      (4). To evaluate the cost-effectiveness of integrating VR and MT technologies into standard neurorehabilitation programs</w:t>
            </w:r>
          </w:p>
          <w:p w:rsidR="00000000" w:rsidDel="00000000" w:rsidP="00000000" w:rsidRDefault="00000000" w:rsidRPr="00000000" w14:paraId="000001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12F">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0">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vAlign w:val="center"/>
          </w:tcPr>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7">
            <w:pPr>
              <w:pStyle w:val="Heading2"/>
              <w:jc w:val="both"/>
              <w:rPr>
                <w:rFonts w:ascii="Arial" w:cs="Arial" w:eastAsia="Arial" w:hAnsi="Arial"/>
                <w:b w:val="1"/>
                <w:color w:val="000000"/>
                <w:sz w:val="22"/>
                <w:szCs w:val="22"/>
              </w:rPr>
            </w:pPr>
            <w:bookmarkStart w:colFirst="0" w:colLast="0" w:name="_gjdgxs" w:id="0"/>
            <w:bookmarkEnd w:id="0"/>
            <w:r w:rsidDel="00000000" w:rsidR="00000000" w:rsidRPr="00000000">
              <w:rPr>
                <w:rFonts w:ascii="Arial" w:cs="Arial" w:eastAsia="Arial" w:hAnsi="Arial"/>
                <w:b w:val="1"/>
                <w:color w:val="000000"/>
                <w:sz w:val="22"/>
                <w:szCs w:val="22"/>
                <w:rtl w:val="0"/>
              </w:rPr>
              <w:t xml:space="preserve">Research Design</w:t>
            </w:r>
          </w:p>
          <w:p w:rsidR="00000000" w:rsidDel="00000000" w:rsidP="00000000" w:rsidRDefault="00000000" w:rsidRPr="00000000" w14:paraId="00000138">
            <w:pPr>
              <w:jc w:val="both"/>
              <w:rPr>
                <w:rFonts w:ascii="Arial" w:cs="Arial" w:eastAsia="Arial" w:hAnsi="Arial"/>
                <w:color w:val="000000"/>
              </w:rPr>
            </w:pPr>
            <w:r w:rsidDel="00000000" w:rsidR="00000000" w:rsidRPr="00000000">
              <w:rPr>
                <w:rFonts w:ascii="Arial" w:cs="Arial" w:eastAsia="Arial" w:hAnsi="Arial"/>
                <w:color w:val="000000"/>
                <w:rtl w:val="0"/>
              </w:rPr>
              <w:t xml:space="preserve">The research design for this systematic review is centred on synthesising qualitative and quantitative studies that investigate the effects of virtual reality (VR) and mirror box therapy (MT) on phantom limb pain (PLP) in amputees. The primary goal is to gather in-depth insights into the subjective experiences and outcomes of patients who have undergone these neurorehabilitation interventions. By focusing on qualitative research, the review aims to provide a detailed understanding of how VR and MT impact both the physical and psychological aspects of PLP (Esteban et al., 2018). This approach enables the exploration of patients’ personal experiences, challenges, and perceived benefits, which quantitative methods might overlook (Esteban et al., 2018). The systematic review will adhere to a structured methodology for identifying, selecting, and analysing relevant studies, ensuring a comprehensive, unbiased assessment of the evidence (Shaheen et al., 2023). It will include the selection of approximately 10 to 12 qualitative and quantitative articles that meet the inclusion criteria. This process aims to offer a nuanced evaluation of the effectiveness and implications of VR and MT in managing PLP.</w:t>
            </w:r>
          </w:p>
          <w:p w:rsidR="00000000" w:rsidDel="00000000" w:rsidP="00000000" w:rsidRDefault="00000000" w:rsidRPr="00000000" w14:paraId="00000139">
            <w:pPr>
              <w:pStyle w:val="Heading2"/>
              <w:jc w:val="both"/>
              <w:rPr>
                <w:rFonts w:ascii="Arial" w:cs="Arial" w:eastAsia="Arial" w:hAnsi="Arial"/>
                <w:b w:val="1"/>
                <w:color w:val="000000"/>
                <w:sz w:val="22"/>
                <w:szCs w:val="22"/>
              </w:rPr>
            </w:pPr>
            <w:bookmarkStart w:colFirst="0" w:colLast="0" w:name="_30j0zll" w:id="1"/>
            <w:bookmarkEnd w:id="1"/>
            <w:r w:rsidDel="00000000" w:rsidR="00000000" w:rsidRPr="00000000">
              <w:rPr>
                <w:rFonts w:ascii="Arial" w:cs="Arial" w:eastAsia="Arial" w:hAnsi="Arial"/>
                <w:b w:val="1"/>
                <w:color w:val="000000"/>
                <w:sz w:val="22"/>
                <w:szCs w:val="22"/>
                <w:rtl w:val="0"/>
              </w:rPr>
              <w:t xml:space="preserve">Inclusion and exclusion criteria</w:t>
            </w:r>
          </w:p>
          <w:p w:rsidR="00000000" w:rsidDel="00000000" w:rsidP="00000000" w:rsidRDefault="00000000" w:rsidRPr="00000000" w14:paraId="0000013A">
            <w:pPr>
              <w:jc w:val="both"/>
              <w:rPr>
                <w:rFonts w:ascii="Arial" w:cs="Arial" w:eastAsia="Arial" w:hAnsi="Arial"/>
                <w:color w:val="000000"/>
              </w:rPr>
            </w:pPr>
            <w:r w:rsidDel="00000000" w:rsidR="00000000" w:rsidRPr="00000000">
              <w:rPr>
                <w:rFonts w:ascii="Arial" w:cs="Arial" w:eastAsia="Arial" w:hAnsi="Arial"/>
                <w:color w:val="000000"/>
                <w:rtl w:val="0"/>
              </w:rPr>
              <w:t xml:space="preserve">Studies will be selected based on specific inclusion criteria to ensure relevance and quality. These criteria include a focus on adult amputees residing in the UK who have undergone virtual reality (VR) or mirror box therapy (MT) for the treatment of phantom limb pain (PLP). This ensures the population studied is relevant to the UK context and captures adult experiences with these therapies. Both quantitative and qualitative studies will be included as they provide detailed descriptions of patient experiences and outcomes, essential for understanding the nuanced effects of these interventions. Additionally, to ensure the inclusion of the most recent and relevant research, only studies published within the last 10 years will be considered.</w:t>
            </w:r>
          </w:p>
          <w:p w:rsidR="00000000" w:rsidDel="00000000" w:rsidP="00000000" w:rsidRDefault="00000000" w:rsidRPr="00000000" w14:paraId="0000013B">
            <w:pPr>
              <w:jc w:val="both"/>
              <w:rPr>
                <w:rFonts w:ascii="Arial" w:cs="Arial" w:eastAsia="Arial" w:hAnsi="Arial"/>
                <w:color w:val="000000"/>
              </w:rPr>
            </w:pPr>
            <w:r w:rsidDel="00000000" w:rsidR="00000000" w:rsidRPr="00000000">
              <w:rPr>
                <w:rFonts w:ascii="Arial" w:cs="Arial" w:eastAsia="Arial" w:hAnsi="Arial"/>
                <w:color w:val="000000"/>
                <w:rtl w:val="0"/>
              </w:rPr>
              <w:t xml:space="preserve">Studies will be excluded based on the following criteria to ensure the focus remains on the target population and interventions. Any study that does not specifically focus on adult amputees residing in the UK will be excluded, including studies on children (individuals below 18 years old) or people without amputations. Studies that do not evaluate the use of virtual reality (VR) or mirror box therapy (MT) for the treatment of phantom limb pain (PLP) will be excluded. Additionally, studies that were published more than 10 years ago will not be considered. Studies that lack either quantitative or qualitative data that can provide detailed descriptions of patient experiences and outcomes will also be excluded. This approach ensures that the research included is current and directly relevant to the experiences of adults in the UK using these specific therapies for PLP.</w:t>
            </w:r>
          </w:p>
          <w:p w:rsidR="00000000" w:rsidDel="00000000" w:rsidP="00000000" w:rsidRDefault="00000000" w:rsidRPr="00000000" w14:paraId="0000013C">
            <w:pPr>
              <w:pStyle w:val="Heading2"/>
              <w:jc w:val="both"/>
              <w:rPr>
                <w:rFonts w:ascii="Arial" w:cs="Arial" w:eastAsia="Arial" w:hAnsi="Arial"/>
                <w:b w:val="1"/>
                <w:color w:val="000000"/>
                <w:sz w:val="22"/>
                <w:szCs w:val="22"/>
              </w:rPr>
            </w:pPr>
            <w:bookmarkStart w:colFirst="0" w:colLast="0" w:name="_1fob9te" w:id="2"/>
            <w:bookmarkEnd w:id="2"/>
            <w:r w:rsidDel="00000000" w:rsidR="00000000" w:rsidRPr="00000000">
              <w:rPr>
                <w:rFonts w:ascii="Arial" w:cs="Arial" w:eastAsia="Arial" w:hAnsi="Arial"/>
                <w:b w:val="1"/>
                <w:color w:val="000000"/>
                <w:sz w:val="22"/>
                <w:szCs w:val="22"/>
                <w:rtl w:val="0"/>
              </w:rPr>
              <w:t xml:space="preserve">Data Collection Procedure</w:t>
            </w:r>
          </w:p>
          <w:p w:rsidR="00000000" w:rsidDel="00000000" w:rsidP="00000000" w:rsidRDefault="00000000" w:rsidRPr="00000000" w14:paraId="0000013D">
            <w:pPr>
              <w:jc w:val="both"/>
              <w:rPr>
                <w:rFonts w:ascii="Arial" w:cs="Arial" w:eastAsia="Arial" w:hAnsi="Arial"/>
                <w:color w:val="000000"/>
              </w:rPr>
            </w:pPr>
            <w:r w:rsidDel="00000000" w:rsidR="00000000" w:rsidRPr="00000000">
              <w:rPr>
                <w:rFonts w:ascii="Arial" w:cs="Arial" w:eastAsia="Arial" w:hAnsi="Arial"/>
                <w:color w:val="000000"/>
                <w:rtl w:val="0"/>
              </w:rPr>
              <w:t xml:space="preserve">The systematic review will encompass a thorough search across multiple databases to identify studies that fit the inclusion criteria. The databases to be searched are PubMed, Cochrane Library, PsycINFO, and CINAHL (Guémann et al, 2023). The search strategy will involve a combination of relevant terms and phrases, including "phantom limb pain," "virtual reality," "mirror box therapy," "amputation," "neurorehabilitation," "quality of life" and “Adults”. Each search will be tailored to the specific database to optimise the retrieval of pertinent studies. Boolean operators (AND, OR) will be used to effectively combine search terms and refine results, ensuring a comprehensive collection of studies addressing the impact of VR and MT on PLP (Guémann et al, 2023).</w:t>
            </w:r>
          </w:p>
          <w:p w:rsidR="00000000" w:rsidDel="00000000" w:rsidP="00000000" w:rsidRDefault="00000000" w:rsidRPr="00000000" w14:paraId="0000013E">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3F">
            <w:pPr>
              <w:pStyle w:val="Heading1"/>
              <w:tabs>
                <w:tab w:val="left" w:pos="5103"/>
              </w:tabs>
              <w:jc w:val="both"/>
              <w:rPr>
                <w:rFonts w:ascii="Arial" w:cs="Arial" w:eastAsia="Arial" w:hAnsi="Arial"/>
                <w:b w:val="0"/>
                <w:color w:val="000000"/>
              </w:rPr>
            </w:pPr>
            <w:bookmarkStart w:colFirst="0" w:colLast="0" w:name="_3znysh7" w:id="3"/>
            <w:bookmarkEnd w:id="3"/>
            <w:r w:rsidDel="00000000" w:rsidR="00000000" w:rsidRPr="00000000">
              <w:rPr>
                <w:rFonts w:ascii="Arial" w:cs="Arial" w:eastAsia="Arial" w:hAnsi="Arial"/>
                <w:color w:val="000000"/>
                <w:rtl w:val="0"/>
              </w:rPr>
              <w:t xml:space="preserve">Data Analysis</w:t>
            </w:r>
            <w:r w:rsidDel="00000000" w:rsidR="00000000" w:rsidRPr="00000000">
              <w:rPr>
                <w:rtl w:val="0"/>
              </w:rPr>
            </w:r>
          </w:p>
          <w:p w:rsidR="00000000" w:rsidDel="00000000" w:rsidP="00000000" w:rsidRDefault="00000000" w:rsidRPr="00000000" w14:paraId="00000140">
            <w:pPr>
              <w:jc w:val="both"/>
              <w:rPr>
                <w:rFonts w:ascii="Arial" w:cs="Arial" w:eastAsia="Arial" w:hAnsi="Arial"/>
                <w:color w:val="000000"/>
              </w:rPr>
            </w:pPr>
            <w:r w:rsidDel="00000000" w:rsidR="00000000" w:rsidRPr="00000000">
              <w:rPr>
                <w:rFonts w:ascii="Arial" w:cs="Arial" w:eastAsia="Arial" w:hAnsi="Arial"/>
                <w:color w:val="000000"/>
                <w:rtl w:val="0"/>
              </w:rPr>
              <w:t xml:space="preserve">Thematic analysis will be employed to analyse the data extracted from the selected qualitative and quantitative studies (Riger et al., 2016; Clarke and Braun, 2017). This method is well-suited for identifying, analysing, and reporting patterns (themes) within the data, enabling a rich, detailed understanding of the impact of virtual reality (VR) and mirror box therapy (MT) on phantom limb pain (PLP) in amputees (Riger et al., 2016; Clarke and Braun, 2017). The process begins with familiarization, where the data from each study is read and re-read to gain an in-depth understanding of its content. This initial phase ensures that the researcher becomes intimately acquainted with the nuances of the data, which is crucial for subsequent coding and theme development (Riger et al., 2016; Clarke and Braun, 2017). For quantitative data, thematic analysis will involve extracting key themes and patterns from numerical results, ensuring a comprehensive synthesis of findings that reflect both qualitative and quantitative perspectives (Clarke and Braun, 2017).</w:t>
            </w:r>
          </w:p>
          <w:p w:rsidR="00000000" w:rsidDel="00000000" w:rsidP="00000000" w:rsidRDefault="00000000" w:rsidRPr="00000000" w14:paraId="00000141">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42">
            <w:pPr>
              <w:jc w:val="both"/>
              <w:rPr>
                <w:rFonts w:ascii="Arial" w:cs="Arial" w:eastAsia="Arial" w:hAnsi="Arial"/>
                <w:color w:val="000000"/>
              </w:rPr>
            </w:pPr>
            <w:r w:rsidDel="00000000" w:rsidR="00000000" w:rsidRPr="00000000">
              <w:rPr>
                <w:rFonts w:ascii="Arial" w:cs="Arial" w:eastAsia="Arial" w:hAnsi="Arial"/>
                <w:color w:val="000000"/>
                <w:rtl w:val="0"/>
              </w:rPr>
              <w:t xml:space="preserve">In the coding phase, initial codes are generated from the data, capturing key concepts and patterns (Neuendorf, 2018). These codes are then organised into meaningful groups, which help in identifying broader themes. Theme development involves collating these codes into potential themes, which are then reviewed and refined to ensure they accurately represent the data (Neuendorf, 2018). This step is crucial for ensuring that the themes are both relevant and comprehensive. The final stage, refining themes, involves defining and naming these themes to capture their essence and provide a clear, coherent understanding of how VR and MT influence recovery outcomes and quality of life for individuals with PLP (Neuendorf, 2018). PRISMA (Preferred Reporting Items for Systematic Reviews and Meta-Analyses) guidelines will be followed to ensure a systematic and transparent approach to reporting the selection process and findings from these qualitative and quantitative studies (Page et al, 2021). This thematic analysis will offer a detailed exploration of the qualitative impacts of these neurorehabilitation technologies (Neuendorf, 2018).</w:t>
            </w:r>
          </w:p>
          <w:p w:rsidR="00000000" w:rsidDel="00000000" w:rsidP="00000000" w:rsidRDefault="00000000" w:rsidRPr="00000000" w14:paraId="000001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We are going to look at systemic literature review which is released you our topic ,focus group discussion, diagnostic accuracy studies to evaluate effectiveness and economic evaluation studies to find cost effectiveness of MT and VI therapy, these are the critical appraisal tool we will use for our research.</w:t>
            </w:r>
          </w:p>
          <w:p w:rsidR="00000000" w:rsidDel="00000000" w:rsidP="00000000" w:rsidRDefault="00000000" w:rsidRPr="00000000" w14:paraId="000001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14B">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4C">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trHeight w:val="454" w:hRule="atLeast"/>
        </w:trPr>
        <w:tc>
          <w:tcP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UK</w:t>
            </w:r>
          </w:p>
          <w:p w:rsidR="00000000" w:rsidDel="00000000" w:rsidP="00000000" w:rsidRDefault="00000000" w:rsidRPr="00000000" w14:paraId="0000015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158">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59">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trHeight w:val="454" w:hRule="atLeast"/>
        </w:trPr>
        <w:tc>
          <w:tcPr>
            <w:vAlign w:val="center"/>
          </w:tcPr>
          <w:p w:rsidR="00000000" w:rsidDel="00000000" w:rsidP="00000000" w:rsidRDefault="00000000" w:rsidRPr="00000000" w14:paraId="0000015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2">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6">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trHeight w:val="383" w:hRule="atLeast"/>
        </w:trPr>
        <w:tc>
          <w:tcPr>
            <w:vMerge w:val="restart"/>
            <w:shd w:fill="f2f2f2" w:val="clear"/>
            <w:vAlign w:val="center"/>
          </w:tcPr>
          <w:p w:rsidR="00000000" w:rsidDel="00000000" w:rsidP="00000000" w:rsidRDefault="00000000" w:rsidRPr="00000000" w14:paraId="00000167">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69">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218" w:hRule="atLeast"/>
        </w:trPr>
        <w:tc>
          <w:tcPr>
            <w:vMerge w:val="continue"/>
            <w:shd w:fill="f2f2f2" w:val="clear"/>
            <w:vAlign w:val="center"/>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c>
          <w:tcPr>
            <w:shd w:fill="ffffff" w:val="clear"/>
            <w:vAlign w:val="cente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8">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c>
          <w:tcPr>
            <w:shd w:fill="f2f2f2" w:val="clear"/>
            <w:vAlign w:val="center"/>
          </w:tcPr>
          <w:p w:rsidR="00000000" w:rsidDel="00000000" w:rsidP="00000000" w:rsidRDefault="00000000" w:rsidRPr="00000000" w14:paraId="00000179">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7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7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7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80">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88">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9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trHeight w:val="403" w:hRule="atLeast"/>
        </w:trPr>
        <w:tc>
          <w:tcP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A0">
            <w:pPr>
              <w:rPr>
                <w:rFonts w:ascii="Arial" w:cs="Arial" w:eastAsia="Arial" w:hAnsi="Arial"/>
              </w:rPr>
            </w:pPr>
            <w:r w:rsidDel="00000000" w:rsidR="00000000" w:rsidRPr="00000000">
              <w:rPr>
                <w:rtl w:val="0"/>
              </w:rPr>
            </w:r>
          </w:p>
          <w:p w:rsidR="00000000" w:rsidDel="00000000" w:rsidP="00000000" w:rsidRDefault="00000000" w:rsidRPr="00000000" w14:paraId="000001A1">
            <w:pPr>
              <w:rPr>
                <w:rFonts w:ascii="Arial" w:cs="Arial" w:eastAsia="Arial" w:hAnsi="Arial"/>
              </w:rPr>
            </w:pP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A6">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7">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trHeight w:val="558" w:hRule="atLeast"/>
        </w:trPr>
        <w:tc>
          <w:tcPr>
            <w:shd w:fill="f2f2f2" w:val="clear"/>
            <w:vAlign w:val="center"/>
          </w:tcPr>
          <w:p w:rsidR="00000000" w:rsidDel="00000000" w:rsidP="00000000" w:rsidRDefault="00000000" w:rsidRPr="00000000" w14:paraId="000001A8">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A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A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A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B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B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B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B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C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D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D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D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vAlign w:val="center"/>
          </w:tcPr>
          <w:p w:rsidR="00000000" w:rsidDel="00000000" w:rsidP="00000000" w:rsidRDefault="00000000" w:rsidRPr="00000000" w14:paraId="000001F0">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F1">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F2">
            <w:pPr>
              <w:rPr>
                <w:rFonts w:ascii="Arial" w:cs="Arial" w:eastAsia="Arial" w:hAnsi="Arial"/>
              </w:rPr>
            </w:pPr>
            <w:r w:rsidDel="00000000" w:rsidR="00000000" w:rsidRPr="00000000">
              <w:rPr>
                <w:rtl w:val="0"/>
              </w:rPr>
            </w:r>
          </w:p>
          <w:p w:rsidR="00000000" w:rsidDel="00000000" w:rsidP="00000000" w:rsidRDefault="00000000" w:rsidRPr="00000000" w14:paraId="000001F3">
            <w:pPr>
              <w:rPr>
                <w:rFonts w:ascii="Arial" w:cs="Arial" w:eastAsia="Arial" w:hAnsi="Arial"/>
              </w:rPr>
            </w:pPr>
            <w:r w:rsidDel="00000000" w:rsidR="00000000" w:rsidRPr="00000000">
              <w:rPr>
                <w:rtl w:val="0"/>
              </w:rPr>
            </w:r>
          </w:p>
          <w:p w:rsidR="00000000" w:rsidDel="00000000" w:rsidP="00000000" w:rsidRDefault="00000000" w:rsidRPr="00000000" w14:paraId="000001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F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FD">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FE">
      <w:pPr>
        <w:rPr>
          <w:rFonts w:ascii="Arial" w:cs="Arial" w:eastAsia="Arial" w:hAnsi="Arial"/>
          <w:sz w:val="24"/>
          <w:szCs w:val="24"/>
        </w:rPr>
      </w:pPr>
      <w:r w:rsidDel="00000000" w:rsidR="00000000" w:rsidRPr="00000000">
        <w:rPr>
          <w:rtl w:val="0"/>
        </w:rPr>
      </w:r>
    </w:p>
    <w:tbl>
      <w:tblPr>
        <w:tblStyle w:val="Table12"/>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c>
          <w:tcPr>
            <w:shd w:fill="f2f2f2" w:val="clear"/>
            <w:vAlign w:val="center"/>
          </w:tcPr>
          <w:p w:rsidR="00000000" w:rsidDel="00000000" w:rsidP="00000000" w:rsidRDefault="00000000" w:rsidRPr="00000000" w14:paraId="000001FF">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20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201">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20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0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2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06">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0A">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20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0E">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20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16">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1A">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2">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27">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2C">
            <w:pPr>
              <w:rPr>
                <w:rFonts w:ascii="Arial" w:cs="Arial" w:eastAsia="Arial" w:hAnsi="Arial"/>
              </w:rPr>
            </w:pPr>
            <w:r w:rsidDel="00000000" w:rsidR="00000000" w:rsidRPr="00000000">
              <w:rPr>
                <w:rtl w:val="0"/>
              </w:rPr>
            </w:r>
          </w:p>
          <w:p w:rsidR="00000000" w:rsidDel="00000000" w:rsidP="00000000" w:rsidRDefault="00000000" w:rsidRPr="00000000" w14:paraId="0000022D">
            <w:pPr>
              <w:rPr>
                <w:rFonts w:ascii="Arial" w:cs="Arial" w:eastAsia="Arial" w:hAnsi="Arial"/>
              </w:rPr>
            </w:pPr>
            <w:r w:rsidDel="00000000" w:rsidR="00000000" w:rsidRPr="00000000">
              <w:rPr>
                <w:rtl w:val="0"/>
              </w:rPr>
            </w:r>
          </w:p>
          <w:p w:rsidR="00000000" w:rsidDel="00000000" w:rsidP="00000000" w:rsidRDefault="00000000" w:rsidRPr="00000000" w14:paraId="000002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32">
      <w:pPr>
        <w:rPr>
          <w:rFonts w:ascii="Arial" w:cs="Arial" w:eastAsia="Arial" w:hAnsi="Arial"/>
          <w:sz w:val="24"/>
          <w:szCs w:val="24"/>
        </w:rPr>
      </w:pPr>
      <w:r w:rsidDel="00000000" w:rsidR="00000000" w:rsidRPr="00000000">
        <w:rPr>
          <w:rtl w:val="0"/>
        </w:rPr>
      </w:r>
    </w:p>
    <w:tbl>
      <w:tblPr>
        <w:tblStyle w:val="Table13"/>
        <w:tblW w:w="104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trHeight w:val="403" w:hRule="atLeast"/>
        </w:trPr>
        <w:tc>
          <w:tcPr>
            <w:tcBorders>
              <w:bottom w:color="000000" w:space="0" w:sz="4" w:val="single"/>
            </w:tcBorders>
            <w:shd w:fill="f2f2f2" w:val="clear"/>
          </w:tcPr>
          <w:p w:rsidR="00000000" w:rsidDel="00000000" w:rsidP="00000000" w:rsidRDefault="00000000" w:rsidRPr="00000000" w14:paraId="00000233">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3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8">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3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D">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F">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4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4">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trHeight w:val="403" w:hRule="atLeast"/>
        </w:trPr>
        <w:tc>
          <w:tcPr>
            <w:tcBorders>
              <w:top w:color="000000" w:space="0" w:sz="4" w:val="single"/>
            </w:tcBorders>
            <w:shd w:fill="f2f2f2"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A">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C">
      <w:pPr>
        <w:rPr>
          <w:rFonts w:ascii="Arial" w:cs="Arial" w:eastAsia="Arial" w:hAnsi="Arial"/>
        </w:rPr>
      </w:pPr>
      <w:r w:rsidDel="00000000" w:rsidR="00000000" w:rsidRPr="00000000">
        <w:rPr>
          <w:rtl w:val="0"/>
        </w:rPr>
      </w:r>
    </w:p>
    <w:tbl>
      <w:tblPr>
        <w:tblStyle w:val="Table14"/>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c>
          <w:tcPr>
            <w:shd w:fill="f2f2f2"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4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4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5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5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52">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5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7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7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tcBorders>
              <w:bottom w:color="000000" w:space="0" w:sz="4" w:val="single"/>
            </w:tcBorders>
            <w:shd w:fill="f2f2f2"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trHeight w:val="403" w:hRule="atLeast"/>
        </w:trPr>
        <w:tc>
          <w:tcP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A">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8E">
      <w:pPr>
        <w:rPr>
          <w:rFonts w:ascii="Arial" w:cs="Arial" w:eastAsia="Arial" w:hAnsi="Arial"/>
        </w:rPr>
      </w:pPr>
      <w:r w:rsidDel="00000000" w:rsidR="00000000" w:rsidRPr="00000000">
        <w:rPr>
          <w:rtl w:val="0"/>
        </w:rPr>
      </w:r>
    </w:p>
    <w:tbl>
      <w:tblPr>
        <w:tblStyle w:val="Table15"/>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c>
          <w:tcPr>
            <w:shd w:fill="f2f2f2" w:val="clear"/>
          </w:tcPr>
          <w:p w:rsidR="00000000" w:rsidDel="00000000" w:rsidP="00000000" w:rsidRDefault="00000000" w:rsidRPr="00000000" w14:paraId="0000028F">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9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9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9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94">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97">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9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9C">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9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A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trHeight w:val="403" w:hRule="atLeast"/>
        </w:trPr>
        <w:tc>
          <w:tcP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3">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B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B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B9">
      <w:pPr>
        <w:rPr>
          <w:rFonts w:ascii="Arial" w:cs="Arial" w:eastAsia="Arial" w:hAnsi="Arial"/>
          <w:b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c>
          <w:tcPr>
            <w:tcBorders>
              <w:bottom w:color="000000" w:space="0" w:sz="4" w:val="single"/>
            </w:tcBorders>
            <w:shd w:fill="f2f2f2" w:val="clear"/>
          </w:tcPr>
          <w:p w:rsidR="00000000" w:rsidDel="00000000" w:rsidP="00000000" w:rsidRDefault="00000000" w:rsidRPr="00000000" w14:paraId="000002BA">
            <w:pPr>
              <w:pStyle w:val="Heading1"/>
              <w:tabs>
                <w:tab w:val="left"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BB">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BC">
            <w:pPr>
              <w:rPr>
                <w:rFonts w:ascii="Arial" w:cs="Arial" w:eastAsia="Arial" w:hAnsi="Arial"/>
              </w:rPr>
            </w:pPr>
            <w:r w:rsidDel="00000000" w:rsidR="00000000" w:rsidRPr="00000000">
              <w:rPr>
                <w:rtl w:val="0"/>
              </w:rPr>
            </w:r>
          </w:p>
          <w:p w:rsidR="00000000" w:rsidDel="00000000" w:rsidP="00000000" w:rsidRDefault="00000000" w:rsidRPr="00000000" w14:paraId="000002BD">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c>
          <w:tcPr>
            <w:vMerge w:val="restart"/>
            <w:shd w:fill="f2f2f2" w:val="clear"/>
            <w:vAlign w:val="center"/>
          </w:tcPr>
          <w:p w:rsidR="00000000" w:rsidDel="00000000" w:rsidP="00000000" w:rsidRDefault="00000000" w:rsidRPr="00000000" w14:paraId="000002C1">
            <w:pPr>
              <w:pStyle w:val="Heading1"/>
              <w:tabs>
                <w:tab w:val="left"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C2">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C4">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C5">
            <w:pPr>
              <w:pStyle w:val="Heading1"/>
              <w:tabs>
                <w:tab w:val="left" w:pos="5103"/>
              </w:tabs>
              <w:rPr>
                <w:rFonts w:ascii="Arial" w:cs="Arial" w:eastAsia="Arial" w:hAnsi="Arial"/>
                <w:sz w:val="20"/>
                <w:szCs w:val="20"/>
              </w:rPr>
            </w:pPr>
            <w:r w:rsidDel="00000000" w:rsidR="00000000" w:rsidRPr="00000000">
              <w:rPr>
                <w:rFonts w:ascii="Quattrocento Sans" w:cs="Quattrocento Sans" w:eastAsia="Quattrocento Sans" w:hAnsi="Quattrocento Sans"/>
                <w:b w:val="0"/>
                <w:rtl w:val="0"/>
              </w:rPr>
              <w:t xml:space="preserve">☐</w:t>
            </w:r>
            <w:r w:rsidDel="00000000" w:rsidR="00000000" w:rsidRPr="00000000">
              <w:rPr>
                <w:rtl w:val="0"/>
              </w:rPr>
            </w:r>
          </w:p>
        </w:tc>
      </w:tr>
      <w:tr>
        <w:tc>
          <w:tcPr>
            <w:vMerge w:val="continue"/>
            <w:shd w:fill="f2f2f2" w:val="clear"/>
            <w:vAlign w:val="center"/>
          </w:tcPr>
          <w:p w:rsidR="00000000" w:rsidDel="00000000" w:rsidP="00000000" w:rsidRDefault="00000000" w:rsidRPr="00000000" w14:paraId="000002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C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C9">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CA">
            <w:pPr>
              <w:pStyle w:val="Heading1"/>
              <w:tabs>
                <w:tab w:val="left" w:pos="5103"/>
              </w:tabs>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c>
          <w:tcPr>
            <w:tcBorders>
              <w:bottom w:color="000000" w:space="0" w:sz="4" w:val="single"/>
            </w:tcBorders>
            <w:shd w:fill="f2f2f2"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C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c>
          <w:tcPr>
            <w:tcBorders>
              <w:top w:color="000000" w:space="0" w:sz="4" w:val="single"/>
              <w:bottom w:color="000000" w:space="0" w:sz="4" w:val="single"/>
            </w:tcBorders>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2">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6">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A">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bottom w:color="000000" w:space="0" w:sz="4" w:val="single"/>
            </w:tcBorders>
            <w:shd w:fill="f2f2f2"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c>
          <w:tcPr>
            <w:tcBorders>
              <w:top w:color="000000" w:space="0" w:sz="4" w:val="single"/>
              <w:bottom w:color="000000" w:space="0" w:sz="4" w:val="single"/>
            </w:tcBorders>
            <w:vAlign w:val="center"/>
          </w:tcPr>
          <w:p w:rsidR="00000000" w:rsidDel="00000000" w:rsidP="00000000" w:rsidRDefault="00000000" w:rsidRPr="00000000" w14:paraId="000002E2">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E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6">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E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c>
          <w:tcPr>
            <w:tcBorders>
              <w:top w:color="000000" w:space="0" w:sz="4" w:val="single"/>
              <w:bottom w:color="000000" w:space="0" w:sz="4" w:val="single"/>
            </w:tcBorders>
            <w:vAlign w:val="center"/>
          </w:tcPr>
          <w:p w:rsidR="00000000" w:rsidDel="00000000" w:rsidP="00000000" w:rsidRDefault="00000000" w:rsidRPr="00000000" w14:paraId="000002F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Level of emotional distress </w:t>
            </w:r>
          </w:p>
          <w:p w:rsidR="00000000" w:rsidDel="00000000" w:rsidP="00000000" w:rsidRDefault="00000000" w:rsidRPr="00000000" w14:paraId="000002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6">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Regular contact movement with supervisor</w:t>
            </w:r>
          </w:p>
          <w:p w:rsidR="00000000" w:rsidDel="00000000" w:rsidP="00000000" w:rsidRDefault="00000000" w:rsidRPr="00000000" w14:paraId="000002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A">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vAlign w:val="center"/>
          </w:tcPr>
          <w:p w:rsidR="00000000" w:rsidDel="00000000" w:rsidP="00000000" w:rsidRDefault="00000000" w:rsidRPr="00000000" w14:paraId="000002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FE">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c>
          <w:tcPr>
            <w:tcBorders>
              <w:top w:color="000000" w:space="0" w:sz="4" w:val="single"/>
              <w:bottom w:color="000000" w:space="0" w:sz="4" w:val="single"/>
            </w:tcBorders>
            <w:vAlign w:val="center"/>
          </w:tcPr>
          <w:p w:rsidR="00000000" w:rsidDel="00000000" w:rsidP="00000000" w:rsidRDefault="00000000" w:rsidRPr="00000000" w14:paraId="00000303">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4">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3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6">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09">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3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D">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vAlign w:val="center"/>
          </w:tcPr>
          <w:p w:rsidR="00000000" w:rsidDel="00000000" w:rsidP="00000000" w:rsidRDefault="00000000" w:rsidRPr="00000000" w14:paraId="000003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1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31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c>
          <w:tcPr>
            <w:tcBorders>
              <w:top w:color="000000" w:space="0" w:sz="4" w:val="single"/>
              <w:bottom w:color="000000" w:space="0" w:sz="4" w:val="single"/>
            </w:tcBorders>
            <w:vAlign w:val="center"/>
          </w:tcPr>
          <w:p w:rsidR="00000000" w:rsidDel="00000000" w:rsidP="00000000" w:rsidRDefault="00000000" w:rsidRPr="00000000" w14:paraId="0000031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3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9">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1C">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3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23">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trHeight w:val="483" w:hRule="atLeast"/>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24">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2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c>
          <w:tcPr>
            <w:tcBorders>
              <w:top w:color="000000" w:space="0" w:sz="4" w:val="single"/>
              <w:bottom w:color="000000" w:space="0" w:sz="4" w:val="single"/>
            </w:tcBorders>
            <w:shd w:fill="f2f2f2" w:val="clear"/>
            <w:vAlign w:val="center"/>
          </w:tcPr>
          <w:p w:rsidR="00000000" w:rsidDel="00000000" w:rsidP="00000000" w:rsidRDefault="00000000" w:rsidRPr="00000000" w14:paraId="00000329">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2A">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2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2C">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2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2E">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2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30">
            <w:pPr>
              <w:jc w:val="center"/>
              <w:rPr>
                <w:rFonts w:ascii="Arial" w:cs="Arial" w:eastAsia="Arial" w:hAnsi="Arial"/>
                <w:b w:val="1"/>
                <w:sz w:val="22"/>
                <w:szCs w:val="22"/>
              </w:rPr>
            </w:pPr>
            <w:r w:rsidDel="00000000" w:rsidR="00000000" w:rsidRPr="00000000">
              <w:rPr>
                <w:rtl w:val="0"/>
              </w:rPr>
            </w:r>
          </w:p>
        </w:tc>
      </w:tr>
      <w:tr>
        <w:trPr>
          <w:trHeight w:val="492" w:hRule="atLeast"/>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32">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33">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34">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35">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92" w:hRule="atLeast"/>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3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38">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33B">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3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3D">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c>
          <w:tcPr>
            <w:tcBorders>
              <w:top w:color="000000" w:space="0" w:sz="4" w:val="single"/>
              <w:bottom w:color="000000" w:space="0" w:sz="4" w:val="single"/>
            </w:tcBorders>
            <w:shd w:fill="f2f2f2" w:val="clear"/>
          </w:tcPr>
          <w:p w:rsidR="00000000" w:rsidDel="00000000" w:rsidP="00000000" w:rsidRDefault="00000000" w:rsidRPr="00000000" w14:paraId="0000033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3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40">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c>
          <w:tcPr>
            <w:tcBorders>
              <w:top w:color="000000" w:space="0" w:sz="4" w:val="single"/>
              <w:bottom w:color="000000" w:space="0" w:sz="4" w:val="single"/>
            </w:tcBorders>
          </w:tcPr>
          <w:p w:rsidR="00000000" w:rsidDel="00000000" w:rsidP="00000000" w:rsidRDefault="00000000" w:rsidRPr="00000000" w14:paraId="0000034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3">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34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4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Borders>
              <w:top w:color="000000" w:space="0" w:sz="4" w:val="single"/>
              <w:bottom w:color="000000" w:space="0" w:sz="4" w:val="single"/>
            </w:tcBorders>
          </w:tcPr>
          <w:p w:rsidR="00000000" w:rsidDel="00000000" w:rsidP="00000000" w:rsidRDefault="00000000" w:rsidRPr="00000000" w14:paraId="0000034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C">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4D">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34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4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50">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c>
          <w:tcPr>
            <w:tcBorders>
              <w:top w:color="000000" w:space="0" w:sz="4" w:val="single"/>
              <w:bottom w:color="000000" w:space="0" w:sz="4" w:val="single"/>
            </w:tcBorders>
          </w:tcPr>
          <w:p w:rsidR="00000000" w:rsidDel="00000000" w:rsidP="00000000" w:rsidRDefault="00000000" w:rsidRPr="00000000" w14:paraId="0000035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3">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58">
      <w:pPr>
        <w:rPr>
          <w:rFonts w:ascii="Arial" w:cs="Arial" w:eastAsia="Arial" w:hAnsi="Arial"/>
          <w:b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trHeight w:val="403" w:hRule="atLeast"/>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trHeight w:val="403" w:hRule="atLeast"/>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highlight w:val="black"/>
                <w:u w:val="none"/>
                <w:vertAlign w:val="baseline"/>
                <w:rtl w:val="0"/>
              </w:rPr>
              <w:t xml:space="preserve">☐</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9">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highlight w:val="black"/>
                <w:u w:val="none"/>
                <w:vertAlign w:val="baseline"/>
                <w:rtl w:val="0"/>
              </w:rPr>
              <w:t xml:space="preserve">☐</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87">
      <w:pPr>
        <w:rPr>
          <w:rFonts w:ascii="Arial" w:cs="Arial" w:eastAsia="Arial" w:hAnsi="Arial"/>
        </w:rPr>
      </w:pPr>
      <w:r w:rsidDel="00000000" w:rsidR="00000000" w:rsidRPr="00000000">
        <w:rPr>
          <w:rtl w:val="0"/>
        </w:rPr>
      </w:r>
    </w:p>
    <w:tbl>
      <w:tblPr>
        <w:tblStyle w:val="Table20"/>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trHeight w:val="439" w:hRule="atLeast"/>
        </w:trPr>
        <w:tc>
          <w:tcPr>
            <w:shd w:fill="f2f2f2"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8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8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8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3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8D">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91">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9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9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95">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9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9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99">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9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9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9D">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9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9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A1">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A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A6">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A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trHeight w:val="403" w:hRule="atLeast"/>
        </w:trPr>
        <w:tc>
          <w:tcPr>
            <w:vAlign w:val="center"/>
          </w:tcPr>
          <w:p w:rsidR="00000000" w:rsidDel="00000000" w:rsidP="00000000" w:rsidRDefault="00000000" w:rsidRPr="00000000" w14:paraId="000003AD">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AE">
            <w:pPr>
              <w:rPr>
                <w:rFonts w:ascii="Arial" w:cs="Arial" w:eastAsia="Arial" w:hAnsi="Arial"/>
                <w:sz w:val="22"/>
                <w:szCs w:val="22"/>
              </w:rPr>
            </w:pPr>
            <w:r w:rsidDel="00000000" w:rsidR="00000000" w:rsidRPr="00000000">
              <w:rPr>
                <w:rFonts w:ascii="Arial" w:cs="Arial" w:eastAsia="Arial" w:hAnsi="Arial"/>
                <w:sz w:val="22"/>
                <w:szCs w:val="22"/>
                <w:rtl w:val="0"/>
              </w:rPr>
              <w:t xml:space="preserve">It will be password protected to save my data and encrypted file</w:t>
            </w:r>
          </w:p>
          <w:p w:rsidR="00000000" w:rsidDel="00000000" w:rsidP="00000000" w:rsidRDefault="00000000" w:rsidRPr="00000000" w14:paraId="000003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0">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B3">
      <w:pPr>
        <w:rPr>
          <w:rFonts w:ascii="Arial" w:cs="Arial" w:eastAsia="Arial" w:hAnsi="Arial"/>
        </w:rPr>
      </w:pPr>
      <w:r w:rsidDel="00000000" w:rsidR="00000000" w:rsidRPr="00000000">
        <w:rPr>
          <w:rtl w:val="0"/>
        </w:rPr>
      </w:r>
    </w:p>
    <w:tbl>
      <w:tblPr>
        <w:tblStyle w:val="Table21"/>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trHeight w:val="439" w:hRule="atLeast"/>
        </w:trPr>
        <w:tc>
          <w:tcPr>
            <w:shd w:fill="f2f2f2" w:val="clear"/>
          </w:tcPr>
          <w:p w:rsidR="00000000" w:rsidDel="00000000" w:rsidP="00000000" w:rsidRDefault="00000000" w:rsidRPr="00000000" w14:paraId="000003B4">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B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trHeight w:val="439" w:hRule="atLeast"/>
        </w:trPr>
        <w:tc>
          <w:tcPr>
            <w:shd w:fill="f2f2f2" w:val="clear"/>
            <w:vAlign w:val="center"/>
          </w:tcPr>
          <w:p w:rsidR="00000000" w:rsidDel="00000000" w:rsidP="00000000" w:rsidRDefault="00000000" w:rsidRPr="00000000" w14:paraId="000003B8">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B9">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B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3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BD">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B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C1">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C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C5">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C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C9">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C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C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C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D1">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D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D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D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D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D9">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D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DC">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D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trHeight w:val="403" w:hRule="atLeast"/>
        </w:trPr>
        <w:tc>
          <w:tcPr>
            <w:vAlign w:val="center"/>
          </w:tcPr>
          <w:p w:rsidR="00000000" w:rsidDel="00000000" w:rsidP="00000000" w:rsidRDefault="00000000" w:rsidRPr="00000000" w14:paraId="000003E0">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E1">
            <w:pPr>
              <w:rPr>
                <w:rFonts w:ascii="Arial" w:cs="Arial" w:eastAsia="Arial" w:hAnsi="Arial"/>
                <w:sz w:val="22"/>
                <w:szCs w:val="22"/>
              </w:rPr>
            </w:pPr>
            <w:r w:rsidDel="00000000" w:rsidR="00000000" w:rsidRPr="00000000">
              <w:rPr>
                <w:rFonts w:ascii="Arial" w:cs="Arial" w:eastAsia="Arial" w:hAnsi="Arial"/>
                <w:sz w:val="22"/>
                <w:szCs w:val="22"/>
                <w:rtl w:val="0"/>
              </w:rPr>
              <w:t xml:space="preserve">Excel will be use to store and manage my data</w:t>
            </w:r>
          </w:p>
          <w:p w:rsidR="00000000" w:rsidDel="00000000" w:rsidP="00000000" w:rsidRDefault="00000000" w:rsidRPr="00000000" w14:paraId="000003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E8">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trHeight w:val="403" w:hRule="atLeast"/>
        </w:trPr>
        <w:tc>
          <w:tcPr>
            <w:vAlign w:val="center"/>
          </w:tcPr>
          <w:p w:rsidR="00000000" w:rsidDel="00000000" w:rsidP="00000000" w:rsidRDefault="00000000" w:rsidRPr="00000000" w14:paraId="000003EB">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D">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and supervisor</w:t>
            </w:r>
          </w:p>
          <w:p w:rsidR="00000000" w:rsidDel="00000000" w:rsidP="00000000" w:rsidRDefault="00000000" w:rsidRPr="00000000" w14:paraId="000003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F3">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trHeight w:val="403" w:hRule="atLeast"/>
        </w:trPr>
        <w:tc>
          <w:tcP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researcher </w:t>
            </w:r>
          </w:p>
          <w:p w:rsidR="00000000" w:rsidDel="00000000" w:rsidP="00000000" w:rsidRDefault="00000000" w:rsidRPr="00000000" w14:paraId="000003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3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FE">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vAlign w:val="center"/>
          </w:tcPr>
          <w:p w:rsidR="00000000" w:rsidDel="00000000" w:rsidP="00000000" w:rsidRDefault="00000000" w:rsidRPr="00000000" w14:paraId="0000040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3">
            <w:pPr>
              <w:rPr>
                <w:rFonts w:ascii="Arial" w:cs="Arial" w:eastAsia="Arial" w:hAnsi="Arial"/>
                <w:sz w:val="22"/>
                <w:szCs w:val="22"/>
              </w:rPr>
            </w:pPr>
            <w:r w:rsidDel="00000000" w:rsidR="00000000" w:rsidRPr="00000000">
              <w:rPr>
                <w:rFonts w:ascii="Arial" w:cs="Arial" w:eastAsia="Arial" w:hAnsi="Arial"/>
                <w:sz w:val="22"/>
                <w:szCs w:val="22"/>
                <w:rtl w:val="0"/>
              </w:rPr>
              <w:t xml:space="preserve">It will be password protected  and encrypted file and saved in the university cloud</w:t>
            </w:r>
          </w:p>
          <w:p w:rsidR="00000000" w:rsidDel="00000000" w:rsidP="00000000" w:rsidRDefault="00000000" w:rsidRPr="00000000" w14:paraId="000004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40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9">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trHeight w:val="403" w:hRule="atLeast"/>
        </w:trPr>
        <w:tc>
          <w:tcPr>
            <w:vAlign w:val="center"/>
          </w:tcPr>
          <w:p w:rsidR="00000000" w:rsidDel="00000000" w:rsidP="00000000" w:rsidRDefault="00000000" w:rsidRPr="00000000" w14:paraId="0000040C">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E">
            <w:pP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4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606" w:hRule="atLeast"/>
        </w:trPr>
        <w:tc>
          <w:tcPr>
            <w:shd w:fill="f2f2f2" w:val="clear"/>
            <w:vAlign w:val="center"/>
          </w:tcPr>
          <w:p w:rsidR="00000000" w:rsidDel="00000000" w:rsidP="00000000" w:rsidRDefault="00000000" w:rsidRPr="00000000" w14:paraId="000004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414">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0">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41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416">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r>
        <w:trPr>
          <w:trHeight w:val="632" w:hRule="atLeast"/>
        </w:trPr>
        <w:tc>
          <w:tcPr>
            <w:shd w:fill="f2f2f2" w:val="clear"/>
            <w:vAlign w:val="center"/>
          </w:tcPr>
          <w:p w:rsidR="00000000" w:rsidDel="00000000" w:rsidP="00000000" w:rsidRDefault="00000000" w:rsidRPr="00000000" w14:paraId="000004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418">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1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41A">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41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1C">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trHeight w:val="1807" w:hRule="atLeast"/>
        </w:trPr>
        <w:tc>
          <w:tcPr>
            <w:shd w:fill="f2f2f2" w:val="clear"/>
            <w:vAlign w:val="center"/>
          </w:tcPr>
          <w:p w:rsidR="00000000" w:rsidDel="00000000" w:rsidP="00000000" w:rsidRDefault="00000000" w:rsidRPr="00000000" w14:paraId="0000041E">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41F">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420">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421">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trHeight w:val="657" w:hRule="atLeast"/>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2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26">
            <w:pPr>
              <w:rPr>
                <w:rFonts w:ascii="Arial" w:cs="Arial" w:eastAsia="Arial" w:hAnsi="Arial"/>
                <w:sz w:val="22"/>
                <w:szCs w:val="22"/>
              </w:rPr>
            </w:pPr>
            <w:r w:rsidDel="00000000" w:rsidR="00000000" w:rsidRPr="00000000">
              <w:rPr>
                <w:rFonts w:ascii="Arial" w:cs="Arial" w:eastAsia="Arial" w:hAnsi="Arial"/>
                <w:sz w:val="22"/>
                <w:szCs w:val="22"/>
                <w:rtl w:val="0"/>
              </w:rPr>
              <w:t xml:space="preserve">Gaurav j patel</w:t>
            </w:r>
          </w:p>
        </w:tc>
        <w:tc>
          <w:tcPr>
            <w:vAlign w:val="center"/>
          </w:tcPr>
          <w:p w:rsidR="00000000" w:rsidDel="00000000" w:rsidP="00000000" w:rsidRDefault="00000000" w:rsidRPr="00000000" w14:paraId="00000427">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 22/08/24</w:t>
            </w:r>
          </w:p>
          <w:p w:rsidR="00000000" w:rsidDel="00000000" w:rsidP="00000000" w:rsidRDefault="00000000" w:rsidRPr="00000000" w14:paraId="00000428">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A">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trHeight w:val="346" w:hRule="atLeast"/>
        </w:trPr>
        <w:tc>
          <w:tcPr>
            <w:shd w:fill="f2f2f2" w:val="clear"/>
            <w:vAlign w:val="center"/>
          </w:tcPr>
          <w:p w:rsidR="00000000" w:rsidDel="00000000" w:rsidP="00000000" w:rsidRDefault="00000000" w:rsidRPr="00000000" w14:paraId="000004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 Diola bijlhout</w:t>
            </w:r>
          </w:p>
        </w:tc>
        <w:tc>
          <w:tcPr>
            <w:vMerge w:val="restart"/>
          </w:tcPr>
          <w:p w:rsidR="00000000" w:rsidDel="00000000" w:rsidP="00000000" w:rsidRDefault="00000000" w:rsidRPr="00000000" w14:paraId="000004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 </w:t>
            </w: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4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35">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trHeight w:val="346" w:hRule="atLeast"/>
        </w:trPr>
        <w:tc>
          <w:tcPr>
            <w:shd w:fill="f2f2f2" w:val="clear"/>
            <w:vAlign w:val="center"/>
          </w:tcPr>
          <w:p w:rsidR="00000000" w:rsidDel="00000000" w:rsidP="00000000" w:rsidRDefault="00000000" w:rsidRPr="00000000" w14:paraId="000004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4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3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40">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trHeight w:val="491" w:hRule="atLeast"/>
        </w:trPr>
        <w:tc>
          <w:tcPr>
            <w:shd w:fill="bfbfbf" w:val="clear"/>
            <w:vAlign w:val="center"/>
          </w:tcPr>
          <w:p w:rsidR="00000000" w:rsidDel="00000000" w:rsidP="00000000" w:rsidRDefault="00000000" w:rsidRPr="00000000" w14:paraId="00000441">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42">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trHeight w:val="413" w:hRule="atLeast"/>
        </w:trPr>
        <w:tc>
          <w:tcPr>
            <w:shd w:fill="bfbfbf" w:val="clear"/>
            <w:vAlign w:val="center"/>
          </w:tcPr>
          <w:p w:rsidR="00000000" w:rsidDel="00000000" w:rsidP="00000000" w:rsidRDefault="00000000" w:rsidRPr="00000000" w14:paraId="00000443">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4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trHeight w:val="419" w:hRule="atLeast"/>
        </w:trPr>
        <w:tc>
          <w:tcPr>
            <w:shd w:fill="bfbfbf" w:val="clear"/>
            <w:vAlign w:val="center"/>
          </w:tcPr>
          <w:p w:rsidR="00000000" w:rsidDel="00000000" w:rsidP="00000000" w:rsidRDefault="00000000" w:rsidRPr="00000000" w14:paraId="00000445">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vAlign w:val="center"/>
          </w:tcPr>
          <w:p w:rsidR="00000000" w:rsidDel="00000000" w:rsidP="00000000" w:rsidRDefault="00000000" w:rsidRPr="00000000" w14:paraId="00000446">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trHeight w:val="492" w:hRule="atLeast"/>
        </w:trPr>
        <w:tc>
          <w:tcPr>
            <w:shd w:fill="bfbfbf" w:val="clear"/>
            <w:vAlign w:val="center"/>
          </w:tcPr>
          <w:p w:rsidR="00000000" w:rsidDel="00000000" w:rsidP="00000000" w:rsidRDefault="00000000" w:rsidRPr="00000000" w14:paraId="00000447">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vAlign w:val="center"/>
          </w:tcPr>
          <w:p w:rsidR="00000000" w:rsidDel="00000000" w:rsidP="00000000" w:rsidRDefault="00000000" w:rsidRPr="00000000" w14:paraId="00000448">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trHeight w:val="720" w:hRule="atLeast"/>
        </w:trPr>
        <w:tc>
          <w:tcPr>
            <w:shd w:fill="bfbfbf" w:val="clear"/>
            <w:vAlign w:val="center"/>
          </w:tcPr>
          <w:p w:rsidR="00000000" w:rsidDel="00000000" w:rsidP="00000000" w:rsidRDefault="00000000" w:rsidRPr="00000000" w14:paraId="0000044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vAlign w:val="center"/>
          </w:tcPr>
          <w:p w:rsidR="00000000" w:rsidDel="00000000" w:rsidP="00000000" w:rsidRDefault="00000000" w:rsidRPr="00000000" w14:paraId="0000044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trHeight w:val="858" w:hRule="atLeast"/>
        </w:trPr>
        <w:tc>
          <w:tcPr>
            <w:shd w:fill="bfbfbf" w:val="clear"/>
            <w:vAlign w:val="center"/>
          </w:tcPr>
          <w:p w:rsidR="00000000" w:rsidDel="00000000" w:rsidP="00000000" w:rsidRDefault="00000000" w:rsidRPr="00000000" w14:paraId="0000044B">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4C">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trHeight w:val="969" w:hRule="atLeast"/>
        </w:trPr>
        <w:tc>
          <w:tcPr>
            <w:shd w:fill="bfbfbf" w:val="clear"/>
            <w:vAlign w:val="center"/>
          </w:tcPr>
          <w:p w:rsidR="00000000" w:rsidDel="00000000" w:rsidP="00000000" w:rsidRDefault="00000000" w:rsidRPr="00000000" w14:paraId="0000044D">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4E">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4F">
      <w:pPr>
        <w:tabs>
          <w:tab w:val="left" w:pos="5103"/>
        </w:tabs>
        <w:rPr>
          <w:rFonts w:ascii="Arial" w:cs="Arial" w:eastAsia="Arial" w:hAnsi="Arial"/>
          <w:b w:val="1"/>
          <w:sz w:val="22"/>
          <w:szCs w:val="22"/>
        </w:rPr>
      </w:pPr>
      <w:r w:rsidDel="00000000" w:rsidR="00000000" w:rsidRPr="00000000">
        <w:rPr>
          <w:rtl w:val="0"/>
        </w:rPr>
      </w:r>
    </w:p>
    <w:tbl>
      <w:tblPr>
        <w:tblStyle w:val="Table26"/>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c>
          <w:tcPr>
            <w:shd w:fill="d9d9d9" w:val="clear"/>
          </w:tcPr>
          <w:p w:rsidR="00000000" w:rsidDel="00000000" w:rsidP="00000000" w:rsidRDefault="00000000" w:rsidRPr="00000000" w14:paraId="0000045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51">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2">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52">
            <w:pPr>
              <w:rPr>
                <w:rFonts w:ascii="Arial" w:cs="Arial" w:eastAsia="Arial" w:hAnsi="Arial"/>
                <w:sz w:val="22"/>
                <w:szCs w:val="22"/>
              </w:rPr>
            </w:pPr>
            <w:r w:rsidDel="00000000" w:rsidR="00000000" w:rsidRPr="00000000">
              <w:rPr>
                <w:rtl w:val="0"/>
              </w:rPr>
            </w:r>
          </w:p>
        </w:tc>
      </w:tr>
      <w:tr>
        <w:tc>
          <w:tcPr>
            <w:shd w:fill="d9d9d9" w:val="clear"/>
          </w:tcPr>
          <w:p w:rsidR="00000000" w:rsidDel="00000000" w:rsidP="00000000" w:rsidRDefault="00000000" w:rsidRPr="00000000" w14:paraId="0000045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54">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3">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55">
            <w:pPr>
              <w:rPr>
                <w:rFonts w:ascii="Arial" w:cs="Arial" w:eastAsia="Arial" w:hAnsi="Arial"/>
                <w:sz w:val="22"/>
                <w:szCs w:val="22"/>
              </w:rPr>
            </w:pPr>
            <w:r w:rsidDel="00000000" w:rsidR="00000000" w:rsidRPr="00000000">
              <w:rPr>
                <w:rtl w:val="0"/>
              </w:rPr>
            </w:r>
          </w:p>
        </w:tc>
      </w:tr>
      <w:tr>
        <w:tc>
          <w:tcPr>
            <w:shd w:fill="d9d9d9" w:val="clear"/>
          </w:tcPr>
          <w:p w:rsidR="00000000" w:rsidDel="00000000" w:rsidP="00000000" w:rsidRDefault="00000000" w:rsidRPr="00000000" w14:paraId="00000456">
            <w:pPr>
              <w:pBdr>
                <w:top w:color="000000" w:space="1" w:sz="4" w:val="single"/>
                <w:left w:color="000000" w:space="4" w:sz="4" w:val="single"/>
                <w:bottom w:color="000000" w:space="1" w:sz="4" w:val="single"/>
                <w:right w:color="000000" w:space="21" w:sz="4" w:val="single"/>
                <w:between w:color="000000" w:space="1" w:sz="4" w:val="single"/>
              </w:pBdr>
              <w:tabs>
                <w:tab w:val="left"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57">
      <w:pPr>
        <w:tabs>
          <w:tab w:val="left" w:pos="5103"/>
        </w:tabs>
        <w:rPr>
          <w:rFonts w:ascii="Arial" w:cs="Arial" w:eastAsia="Arial" w:hAnsi="Arial"/>
          <w:sz w:val="22"/>
          <w:szCs w:val="22"/>
        </w:rPr>
      </w:pPr>
      <w:r w:rsidDel="00000000" w:rsidR="00000000" w:rsidRPr="00000000">
        <w:rPr>
          <w:rtl w:val="0"/>
        </w:rPr>
      </w:r>
    </w:p>
    <w:sectPr>
      <w:headerReference r:id="rId14" w:type="default"/>
      <w:footerReference r:id="rId15"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Arial"/>
  <w:font w:name="Quattrocento Sans"/>
  <w:font w:name="MS Gothic"/>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spacing w:before="40" w:line="259"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mailto:pgresearch@uwtsd.ac.uk" TargetMode="External"/><Relationship Id="rId12" Type="http://schemas.openxmlformats.org/officeDocument/2006/relationships/hyperlink" Target="https://mytsd.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mytsd.uwtsd.ac.uk" TargetMode="External"/><Relationship Id="rId7" Type="http://schemas.openxmlformats.org/officeDocument/2006/relationships/hyperlink" Target="mailto:pgresearch@uwtsd.ac.uk" TargetMode="External"/><Relationship Id="rId8"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