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5943600" cy="3340100"/>
            <wp:effectExtent b="0" l="0" r="0" t="0"/>
            <wp:docPr id="9" name="image11.png"/>
            <a:graphic>
              <a:graphicData uri="http://schemas.openxmlformats.org/drawingml/2006/picture">
                <pic:pic>
                  <pic:nvPicPr>
                    <pic:cNvPr id="0" name="image11.pn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drawing>
          <wp:inline distB="114300" distT="114300" distL="114300" distR="114300">
            <wp:extent cx="5943600" cy="3340100"/>
            <wp:effectExtent b="0" l="0" r="0" t="0"/>
            <wp:docPr id="5"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Why would we turn off ping the remote host option?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Disabling the "ping the remote host" option can have both security and network monitoring implications. While it may provide some security benefits, it can also impact network monitoring and troubleshooting.</w:t>
      </w:r>
    </w:p>
    <w:p w:rsidR="00000000" w:rsidDel="00000000" w:rsidP="00000000" w:rsidRDefault="00000000" w:rsidRPr="00000000" w14:paraId="0000000D">
      <w:pPr>
        <w:rPr/>
      </w:pPr>
      <w:r w:rsidDel="00000000" w:rsidR="00000000" w:rsidRPr="00000000">
        <w:rPr>
          <w:rtl w:val="0"/>
        </w:rPr>
        <w:t xml:space="preserve">Here are some key points from the search results:</w:t>
      </w:r>
    </w:p>
    <w:p w:rsidR="00000000" w:rsidDel="00000000" w:rsidP="00000000" w:rsidRDefault="00000000" w:rsidRPr="00000000" w14:paraId="0000000E">
      <w:pPr>
        <w:rPr/>
      </w:pPr>
      <w:r w:rsidDel="00000000" w:rsidR="00000000" w:rsidRPr="00000000">
        <w:rPr>
          <w:rtl w:val="0"/>
        </w:rPr>
        <w:t xml:space="preserve">Security Implications: Disabling ping responses can prevent attackers from using ping to map out your network and identify potential targets. It can also help protect against certain types of denial-of-service (DoS) attacks, such as ping floods, which can overwhelm a network with an excessive amount of ping requests</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Network Monitoring Impact: Disabling ping responses can make troubleshooting and network monitoring more difficult. Ping is a fundamental network administration tool used to test the reachability of a host on an IP network. Disabling it can impact the ability to monitor and troubleshoot network connectivity</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Visibility and Privacy: When the ping response is disabled, the machine becomes less visible on the network, reducing the likelihood of being targeted by unauthorized scans or attacks. This can enhance privacy and security by making the system less visible to potential attackers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Preventing Ping of Death Attacks: Disabling ping responses can help protect against "ping of death" attacks, which exploit vulnerabilities in the way certain systems handle oversized ping packets. By turning off ping responses, you can mitigate the risk of such attacks</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Impact on ESXi Hosts: There are specific cases, such as in ESXi hosts, where users may need to disable ICMP, at a minimum ping/echo, responses from the management IP to all non-local subnets. This can be a complex task and may require detailed configuration to achieve the desired outcome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drawing>
          <wp:inline distB="114300" distT="114300" distL="114300" distR="114300">
            <wp:extent cx="5943600" cy="3340100"/>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drawing>
          <wp:inline distB="114300" distT="114300" distL="114300" distR="114300">
            <wp:extent cx="5943600" cy="3340100"/>
            <wp:effectExtent b="0" l="0" r="0" t="0"/>
            <wp:docPr id="8"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drawing>
          <wp:inline distB="114300" distT="114300" distL="114300" distR="114300">
            <wp:extent cx="5943600" cy="3340100"/>
            <wp:effectExtent b="0" l="0" r="0" t="0"/>
            <wp:docPr id="6"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Why should we set them to maximum?</w:t>
        <w:br w:type="textWrapping"/>
        <w:br w:type="textWrapping"/>
        <w:t xml:space="preserve">Optimizing Scan Performance: Allowing unlimited concurrent TCP sessions per host and per scan can optimize scan performance, especially in large and complex network environments. It can help ensure that the scan completes efficiently by allowing the scanner to establish as many concurrent TCP sessions as necessary to scan multiple hosts simultaneously</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Enhancing Scan Efficiency: Unlimited concurrent TCP sessions can enhance the efficiency of the scanning process, particularly when scanning a large number of hosts or when dealing with hosts that have a high number of open ports. This setting can help expedite the scanning process by maximizing the use of available resources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Handling High Traffic Load: In environments where there is a need to handle a high traffic load during scanning, setting the maximum number of concurrent TCP sessions to unlimited can help ensure that the scanning process is not bottlenecked by session limitations. This is particularly relevant for large-scale network assessments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Flexibility and Scalability: Allowing unlimited concurrent TCP sessions provides flexibility and scalability, enabling the scanner to adapt to varying network conditions and scan requirements. It ensures that the scanning process is not constrained by predefined session limits, allowing for more comprehensive and efficient scanning.</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drawing>
          <wp:inline distB="114300" distT="114300" distL="114300" distR="114300">
            <wp:extent cx="5943600" cy="3340100"/>
            <wp:effectExtent b="0" l="0" r="0" t="0"/>
            <wp:docPr id="7"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drawing>
          <wp:inline distB="114300" distT="114300" distL="114300" distR="114300">
            <wp:extent cx="5943600" cy="3340100"/>
            <wp:effectExtent b="0" l="0" r="0" t="0"/>
            <wp:docPr id="1"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Vulnerability Mitigation Strategies:</w:t>
      </w:r>
    </w:p>
    <w:p w:rsidR="00000000" w:rsidDel="00000000" w:rsidP="00000000" w:rsidRDefault="00000000" w:rsidRPr="00000000" w14:paraId="0000002E">
      <w:pPr>
        <w:rPr/>
      </w:pPr>
      <w:r w:rsidDel="00000000" w:rsidR="00000000" w:rsidRPr="00000000">
        <w:rPr>
          <w:rtl w:val="0"/>
        </w:rPr>
        <w:t xml:space="preserve">Vulnerability mitigation is a critical element of information security, especially in the context of increasing cyber threats and risks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w:t>
      </w:r>
    </w:p>
    <w:p w:rsidR="00000000" w:rsidDel="00000000" w:rsidP="00000000" w:rsidRDefault="00000000" w:rsidRPr="00000000" w14:paraId="00000031">
      <w:pPr>
        <w:rPr/>
      </w:pPr>
      <w:r w:rsidDel="00000000" w:rsidR="00000000" w:rsidRPr="00000000">
        <w:rPr>
          <w:rtl w:val="0"/>
        </w:rPr>
        <w:t xml:space="preserve">It involves identifying vulnerabilities and implementing strategies to reduce the overall risk or harm posed by cybersecurity threats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Vulnerability management is a cyclical process that requires continuous attention and a solid plan to manage vulnerabilities effectively</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Hazard Mitigation Planning:</w:t>
      </w:r>
    </w:p>
    <w:p w:rsidR="00000000" w:rsidDel="00000000" w:rsidP="00000000" w:rsidRDefault="00000000" w:rsidRPr="00000000" w14:paraId="00000036">
      <w:pPr>
        <w:rPr/>
      </w:pPr>
      <w:r w:rsidDel="00000000" w:rsidR="00000000" w:rsidRPr="00000000">
        <w:rPr>
          <w:rtl w:val="0"/>
        </w:rPr>
        <w:t xml:space="preserve">Hazard mitigation planning aims to reduce the loss of life and property by minimizing the impact of disasters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It involves identifying natural disaster risks and vulnerabilities, developing long-term strategies for protecting people and property, and breaking the cycle of disaster damage and reconstruction</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Vulnerability Remediation vs. Mitigation:</w:t>
      </w:r>
    </w:p>
    <w:p w:rsidR="00000000" w:rsidDel="00000000" w:rsidP="00000000" w:rsidRDefault="00000000" w:rsidRPr="00000000" w14:paraId="0000003B">
      <w:pPr>
        <w:rPr/>
      </w:pPr>
      <w:r w:rsidDel="00000000" w:rsidR="00000000" w:rsidRPr="00000000">
        <w:rPr>
          <w:rtl w:val="0"/>
        </w:rPr>
        <w:t xml:space="preserve">Vulnerability mitigation involves investing in a vulnerability management solution to automatically implement temporary or permanent measures to address vulnerabilities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Remediation focuses on fixing or patching vulnerabilities before they become security threats, while mitigation involves addressing vulnerabilities when remediation is not immediately possible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b w:val="1"/>
        </w:rPr>
      </w:pPr>
      <w:r w:rsidDel="00000000" w:rsidR="00000000" w:rsidRPr="00000000">
        <w:rPr>
          <w:b w:val="1"/>
          <w:rtl w:val="0"/>
        </w:rPr>
        <w:t xml:space="preserve">Document your report and Mitigation plan with proper/adequate citations</w:t>
      </w:r>
    </w:p>
    <w:p w:rsidR="00000000" w:rsidDel="00000000" w:rsidP="00000000" w:rsidRDefault="00000000" w:rsidRPr="00000000" w14:paraId="00000040">
      <w:pPr>
        <w:rPr>
          <w:b w:val="1"/>
        </w:rPr>
      </w:pPr>
      <w:r w:rsidDel="00000000" w:rsidR="00000000" w:rsidRPr="00000000">
        <w:rPr>
          <w:rtl w:val="0"/>
        </w:rPr>
      </w:r>
    </w:p>
    <w:p w:rsidR="00000000" w:rsidDel="00000000" w:rsidP="00000000" w:rsidRDefault="00000000" w:rsidRPr="00000000" w14:paraId="00000041">
      <w:pPr>
        <w:jc w:val="center"/>
        <w:rPr>
          <w:b w:val="1"/>
        </w:rPr>
      </w:pPr>
      <w:r w:rsidDel="00000000" w:rsidR="00000000" w:rsidRPr="00000000">
        <w:rPr>
          <w:b w:val="1"/>
          <w:rtl w:val="0"/>
        </w:rPr>
        <w:t xml:space="preserve">Task 2</w:t>
      </w:r>
    </w:p>
    <w:p w:rsidR="00000000" w:rsidDel="00000000" w:rsidP="00000000" w:rsidRDefault="00000000" w:rsidRPr="00000000" w14:paraId="00000042">
      <w:pPr>
        <w:jc w:val="center"/>
        <w:rPr>
          <w:b w:val="1"/>
        </w:rPr>
      </w:pPr>
      <w:r w:rsidDel="00000000" w:rsidR="00000000" w:rsidRPr="00000000">
        <w:rPr>
          <w:rtl w:val="0"/>
        </w:rPr>
      </w:r>
    </w:p>
    <w:p w:rsidR="00000000" w:rsidDel="00000000" w:rsidP="00000000" w:rsidRDefault="00000000" w:rsidRPr="00000000" w14:paraId="00000043">
      <w:pPr>
        <w:rPr>
          <w:b w:val="1"/>
        </w:rPr>
      </w:pPr>
      <w:r w:rsidDel="00000000" w:rsidR="00000000" w:rsidRPr="00000000">
        <w:rPr>
          <w:b w:val="1"/>
        </w:rPr>
        <w:drawing>
          <wp:inline distB="114300" distT="114300" distL="114300" distR="114300">
            <wp:extent cx="5943600" cy="3340100"/>
            <wp:effectExtent b="0" l="0" r="0" t="0"/>
            <wp:docPr id="10"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b w:val="1"/>
        </w:rPr>
      </w:pPr>
      <w:r w:rsidDel="00000000" w:rsidR="00000000" w:rsidRPr="00000000">
        <w:rPr>
          <w:b w:val="1"/>
        </w:rPr>
        <w:drawing>
          <wp:inline distB="114300" distT="114300" distL="114300" distR="114300">
            <wp:extent cx="5943600" cy="3340100"/>
            <wp:effectExtent b="0" l="0" r="0" t="0"/>
            <wp:docPr id="2"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rPr>
          <w:b w:val="1"/>
        </w:rPr>
      </w:pPr>
      <w:r w:rsidDel="00000000" w:rsidR="00000000" w:rsidRPr="00000000">
        <w:rPr>
          <w:rtl w:val="0"/>
        </w:rPr>
      </w:r>
    </w:p>
    <w:p w:rsidR="00000000" w:rsidDel="00000000" w:rsidP="00000000" w:rsidRDefault="00000000" w:rsidRPr="00000000" w14:paraId="00000046">
      <w:pPr>
        <w:rPr>
          <w:b w:val="1"/>
        </w:rPr>
      </w:pPr>
      <w:r w:rsidDel="00000000" w:rsidR="00000000" w:rsidRPr="00000000">
        <w:rPr>
          <w:b w:val="1"/>
        </w:rPr>
        <w:drawing>
          <wp:inline distB="114300" distT="114300" distL="114300" distR="114300">
            <wp:extent cx="5943600" cy="3340100"/>
            <wp:effectExtent b="0" l="0" r="0" t="0"/>
            <wp:docPr id="3"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b w:val="1"/>
        </w:rPr>
      </w:pPr>
      <w:r w:rsidDel="00000000" w:rsidR="00000000" w:rsidRPr="00000000">
        <w:rPr>
          <w:rtl w:val="0"/>
        </w:rPr>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rtl w:val="0"/>
        </w:rPr>
      </w:r>
    </w:p>
    <w:p w:rsidR="00000000" w:rsidDel="00000000" w:rsidP="00000000" w:rsidRDefault="00000000" w:rsidRPr="00000000" w14:paraId="0000004A">
      <w:pPr>
        <w:rPr>
          <w:b w:val="1"/>
        </w:rPr>
      </w:pPr>
      <w:r w:rsidDel="00000000" w:rsidR="00000000" w:rsidRPr="00000000">
        <w:rPr>
          <w:rtl w:val="0"/>
        </w:rPr>
      </w:r>
    </w:p>
    <w:p w:rsidR="00000000" w:rsidDel="00000000" w:rsidP="00000000" w:rsidRDefault="00000000" w:rsidRPr="00000000" w14:paraId="0000004B">
      <w:pPr>
        <w:rPr>
          <w:b w:val="1"/>
        </w:rPr>
      </w:pPr>
      <w:r w:rsidDel="00000000" w:rsidR="00000000" w:rsidRPr="00000000">
        <w:rPr>
          <w:rtl w:val="0"/>
        </w:rPr>
      </w:r>
    </w:p>
    <w:p w:rsidR="00000000" w:rsidDel="00000000" w:rsidP="00000000" w:rsidRDefault="00000000" w:rsidRPr="00000000" w14:paraId="0000004C">
      <w:pPr>
        <w:rPr>
          <w:b w:val="1"/>
        </w:rPr>
      </w:pPr>
      <w:r w:rsidDel="00000000" w:rsidR="00000000" w:rsidRPr="00000000">
        <w:rPr>
          <w:rtl w:val="0"/>
        </w:rPr>
      </w:r>
    </w:p>
    <w:p w:rsidR="00000000" w:rsidDel="00000000" w:rsidP="00000000" w:rsidRDefault="00000000" w:rsidRPr="00000000" w14:paraId="0000004D">
      <w:pPr>
        <w:rPr>
          <w:b w:val="1"/>
        </w:rPr>
      </w:pPr>
      <w:r w:rsidDel="00000000" w:rsidR="00000000" w:rsidRPr="00000000">
        <w:rPr>
          <w:b w:val="1"/>
        </w:rPr>
        <w:drawing>
          <wp:inline distB="114300" distT="114300" distL="114300" distR="114300">
            <wp:extent cx="5943600" cy="3340100"/>
            <wp:effectExtent b="0" l="0" r="0" t="0"/>
            <wp:docPr id="11"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8.png"/><Relationship Id="rId13" Type="http://schemas.openxmlformats.org/officeDocument/2006/relationships/image" Target="media/image9.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3.png"/><Relationship Id="rId14" Type="http://schemas.openxmlformats.org/officeDocument/2006/relationships/image" Target="media/image4.png"/><Relationship Id="rId16" Type="http://schemas.openxmlformats.org/officeDocument/2006/relationships/image" Target="media/image10.png"/><Relationship Id="rId5" Type="http://schemas.openxmlformats.org/officeDocument/2006/relationships/styles" Target="styles.xml"/><Relationship Id="rId6" Type="http://schemas.openxmlformats.org/officeDocument/2006/relationships/image" Target="media/image11.png"/><Relationship Id="rId7" Type="http://schemas.openxmlformats.org/officeDocument/2006/relationships/image" Target="media/image5.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