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15AA5" w14:textId="44AD2F5A" w:rsidR="006C3AB9" w:rsidRDefault="006C3AB9" w:rsidP="00C03912">
      <w:pPr>
        <w:pStyle w:val="Title"/>
        <w:spacing w:before="240" w:line="360" w:lineRule="auto"/>
        <w:rPr>
          <w:lang w:val="en-GB"/>
        </w:rPr>
      </w:pPr>
      <w:r>
        <w:rPr>
          <w:noProof/>
        </w:rPr>
        <w:drawing>
          <wp:inline distT="0" distB="0" distL="0" distR="0" wp14:anchorId="42FE73E0" wp14:editId="36B02C98">
            <wp:extent cx="2200275" cy="809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0275" cy="809625"/>
                    </a:xfrm>
                    <a:prstGeom prst="rect">
                      <a:avLst/>
                    </a:prstGeom>
                  </pic:spPr>
                </pic:pic>
              </a:graphicData>
            </a:graphic>
          </wp:inline>
        </w:drawing>
      </w:r>
    </w:p>
    <w:p w14:paraId="48123890" w14:textId="68CBF8B6" w:rsidR="00C03912" w:rsidRDefault="00686907" w:rsidP="00C03912">
      <w:pPr>
        <w:pStyle w:val="Title"/>
        <w:spacing w:before="240" w:line="360" w:lineRule="auto"/>
        <w:rPr>
          <w:lang w:val="en-GB"/>
        </w:rPr>
      </w:pPr>
      <w:r w:rsidRPr="0038763E">
        <w:rPr>
          <w:lang w:val="en-GB"/>
        </w:rPr>
        <w:t xml:space="preserve">LCBB4001 </w:t>
      </w:r>
    </w:p>
    <w:p w14:paraId="70A7A6CE" w14:textId="29D76A35" w:rsidR="00686907" w:rsidRDefault="00686907" w:rsidP="00C03912">
      <w:pPr>
        <w:pStyle w:val="Title"/>
        <w:spacing w:before="240" w:line="360" w:lineRule="auto"/>
        <w:rPr>
          <w:lang w:val="en-GB"/>
        </w:rPr>
      </w:pPr>
      <w:r w:rsidRPr="0038763E">
        <w:rPr>
          <w:lang w:val="en-GB"/>
        </w:rPr>
        <w:t>Accounting Fundamentals</w:t>
      </w:r>
    </w:p>
    <w:p w14:paraId="5CC5F126" w14:textId="77777777" w:rsidR="00A61DA6" w:rsidRPr="00A61DA6" w:rsidRDefault="00A61DA6" w:rsidP="00A61DA6">
      <w:pPr>
        <w:jc w:val="center"/>
        <w:rPr>
          <w:lang w:val="en-GB"/>
        </w:rPr>
      </w:pPr>
      <w:r w:rsidRPr="00A61DA6">
        <w:rPr>
          <w:lang w:val="en-GB"/>
        </w:rPr>
        <w:t>Component 1:</w:t>
      </w:r>
    </w:p>
    <w:p w14:paraId="2B4C3B10" w14:textId="30C11E57" w:rsidR="00A61DA6" w:rsidRDefault="00A61DA6" w:rsidP="00A61DA6">
      <w:pPr>
        <w:jc w:val="center"/>
        <w:rPr>
          <w:lang w:val="en-GB"/>
        </w:rPr>
      </w:pPr>
      <w:r w:rsidRPr="00A61DA6">
        <w:rPr>
          <w:lang w:val="en-GB"/>
        </w:rPr>
        <w:t>Coursework: Essay</w:t>
      </w:r>
    </w:p>
    <w:p w14:paraId="0AB6519F" w14:textId="64651C56" w:rsidR="00E140F2" w:rsidRDefault="004A7DE7" w:rsidP="00A61DA6">
      <w:pPr>
        <w:jc w:val="center"/>
        <w:rPr>
          <w:lang w:val="en-GB"/>
        </w:rPr>
      </w:pPr>
      <w:proofErr w:type="spellStart"/>
      <w:r>
        <w:rPr>
          <w:lang w:val="en-GB"/>
        </w:rPr>
        <w:t>Vasilica</w:t>
      </w:r>
      <w:proofErr w:type="spellEnd"/>
      <w:r>
        <w:rPr>
          <w:lang w:val="en-GB"/>
        </w:rPr>
        <w:t xml:space="preserve"> Gabriela </w:t>
      </w:r>
      <w:proofErr w:type="spellStart"/>
      <w:r>
        <w:rPr>
          <w:lang w:val="en-GB"/>
        </w:rPr>
        <w:t>Coteneanu</w:t>
      </w:r>
      <w:proofErr w:type="spellEnd"/>
      <w:r>
        <w:rPr>
          <w:lang w:val="en-GB"/>
        </w:rPr>
        <w:t xml:space="preserve"> </w:t>
      </w:r>
    </w:p>
    <w:p w14:paraId="24B44337" w14:textId="536242CA" w:rsidR="004A7DE7" w:rsidRPr="00A61DA6" w:rsidRDefault="004A7DE7" w:rsidP="00A61DA6">
      <w:pPr>
        <w:jc w:val="center"/>
        <w:rPr>
          <w:lang w:val="en-GB"/>
        </w:rPr>
      </w:pPr>
      <w:r>
        <w:rPr>
          <w:lang w:val="en-GB"/>
        </w:rPr>
        <w:t>Student ID 2243467</w:t>
      </w:r>
    </w:p>
    <w:p w14:paraId="2DECCB28" w14:textId="78A9AF99" w:rsidR="00686907" w:rsidRPr="0038763E" w:rsidRDefault="00686907" w:rsidP="00C03912">
      <w:pPr>
        <w:spacing w:before="240"/>
        <w:jc w:val="left"/>
        <w:rPr>
          <w:rFonts w:eastAsia="Arial"/>
          <w:b/>
          <w:sz w:val="32"/>
          <w:szCs w:val="40"/>
          <w:lang w:val="en-GB"/>
        </w:rPr>
      </w:pPr>
      <w:r w:rsidRPr="0038763E">
        <w:rPr>
          <w:lang w:val="en-GB"/>
        </w:rPr>
        <w:br w:type="page"/>
      </w:r>
      <w:bookmarkStart w:id="0" w:name="_Toc163846924"/>
    </w:p>
    <w:p w14:paraId="00B20425" w14:textId="028B1D39" w:rsidR="004579AB" w:rsidRPr="0038763E" w:rsidRDefault="004579AB" w:rsidP="0038763E">
      <w:pPr>
        <w:rPr>
          <w:b/>
          <w:bCs/>
          <w:sz w:val="32"/>
          <w:szCs w:val="28"/>
          <w:lang w:val="en-GB"/>
        </w:rPr>
      </w:pPr>
      <w:r w:rsidRPr="0038763E">
        <w:rPr>
          <w:b/>
          <w:bCs/>
          <w:sz w:val="32"/>
          <w:szCs w:val="28"/>
          <w:lang w:val="en-GB"/>
        </w:rPr>
        <w:lastRenderedPageBreak/>
        <w:t>Introduction</w:t>
      </w:r>
      <w:bookmarkEnd w:id="0"/>
    </w:p>
    <w:p w14:paraId="0F6FA6FD" w14:textId="1D21E4D3" w:rsidR="00686907" w:rsidRPr="0038763E" w:rsidRDefault="004579AB" w:rsidP="0038763E">
      <w:pPr>
        <w:rPr>
          <w:lang w:val="en-GB"/>
        </w:rPr>
      </w:pPr>
      <w:r w:rsidRPr="0038763E">
        <w:rPr>
          <w:lang w:val="en-GB"/>
        </w:rPr>
        <w:t>Accounting basics constitute the base of financial reports, because they offer a scaffolding for recording, summari</w:t>
      </w:r>
      <w:r w:rsidR="0038763E">
        <w:rPr>
          <w:lang w:val="en-GB"/>
        </w:rPr>
        <w:t>si</w:t>
      </w:r>
      <w:r w:rsidRPr="0038763E">
        <w:rPr>
          <w:lang w:val="en-GB"/>
        </w:rPr>
        <w:t xml:space="preserve">ng and reporting to interested parties. The above principles drive the preparation of error-free accounting documents, which enable users to make educated assessments </w:t>
      </w:r>
      <w:r w:rsidR="00894817" w:rsidRPr="0038763E">
        <w:rPr>
          <w:lang w:val="en-GB"/>
        </w:rPr>
        <w:t>of</w:t>
      </w:r>
      <w:r w:rsidRPr="0038763E">
        <w:rPr>
          <w:lang w:val="en-GB"/>
        </w:rPr>
        <w:t xml:space="preserve"> the company's efficiency, its stability and the direction in which the business is headed. For investors, creditors, managers and regulators to mention but a few, it is critically important to have an appreciation of generally accepted accounting principles since it is through them that financial markets are founded upon the basis of such pillars as transparency, accountability and trust</w:t>
      </w:r>
      <w:r w:rsidR="004503AA" w:rsidRPr="0038763E">
        <w:rPr>
          <w:lang w:val="en-GB"/>
        </w:rPr>
        <w:t xml:space="preserve"> </w:t>
      </w:r>
      <w:r w:rsidR="001A7DDF" w:rsidRPr="0038763E">
        <w:rPr>
          <w:lang w:val="en-GB"/>
        </w:rPr>
        <w:t>(</w:t>
      </w:r>
      <w:proofErr w:type="spellStart"/>
      <w:r w:rsidR="001A7DDF" w:rsidRPr="0038763E">
        <w:rPr>
          <w:lang w:val="en-GB"/>
        </w:rPr>
        <w:t>Agasisti</w:t>
      </w:r>
      <w:proofErr w:type="spellEnd"/>
      <w:r w:rsidR="001A7DDF" w:rsidRPr="0038763E">
        <w:rPr>
          <w:lang w:val="en-GB"/>
        </w:rPr>
        <w:t xml:space="preserve">, </w:t>
      </w:r>
      <w:proofErr w:type="spellStart"/>
      <w:r w:rsidR="001A7DDF" w:rsidRPr="0038763E">
        <w:rPr>
          <w:lang w:val="en-GB"/>
        </w:rPr>
        <w:t>Arnaboldi</w:t>
      </w:r>
      <w:proofErr w:type="spellEnd"/>
      <w:r w:rsidR="001A7DDF" w:rsidRPr="0038763E">
        <w:rPr>
          <w:lang w:val="en-GB"/>
        </w:rPr>
        <w:t xml:space="preserve"> and </w:t>
      </w:r>
      <w:proofErr w:type="spellStart"/>
      <w:r w:rsidR="001A7DDF" w:rsidRPr="0038763E">
        <w:rPr>
          <w:lang w:val="en-GB"/>
        </w:rPr>
        <w:t>Azzone</w:t>
      </w:r>
      <w:proofErr w:type="spellEnd"/>
      <w:r w:rsidR="001A7DDF" w:rsidRPr="0038763E">
        <w:rPr>
          <w:lang w:val="en-GB"/>
        </w:rPr>
        <w:t>, 2016)</w:t>
      </w:r>
      <w:r w:rsidRPr="0038763E">
        <w:rPr>
          <w:lang w:val="en-GB"/>
        </w:rPr>
        <w:t>.</w:t>
      </w:r>
      <w:bookmarkStart w:id="1" w:name="_Toc163846925"/>
    </w:p>
    <w:p w14:paraId="379A9A94" w14:textId="703A80E4" w:rsidR="00691F92" w:rsidRPr="0038763E" w:rsidRDefault="00691F92" w:rsidP="0038763E">
      <w:pPr>
        <w:rPr>
          <w:b/>
          <w:bCs/>
          <w:sz w:val="32"/>
          <w:szCs w:val="28"/>
          <w:lang w:val="en-GB"/>
        </w:rPr>
      </w:pPr>
      <w:r w:rsidRPr="0038763E">
        <w:rPr>
          <w:b/>
          <w:bCs/>
          <w:sz w:val="32"/>
          <w:szCs w:val="28"/>
          <w:lang w:val="en-GB"/>
        </w:rPr>
        <w:t xml:space="preserve">QUESTION 1: </w:t>
      </w:r>
      <w:r w:rsidR="00C042F7" w:rsidRPr="0038763E">
        <w:rPr>
          <w:b/>
          <w:bCs/>
          <w:sz w:val="32"/>
          <w:szCs w:val="28"/>
          <w:lang w:val="en-GB"/>
        </w:rPr>
        <w:t>Understanding Financial Statements and Accounting Principles</w:t>
      </w:r>
      <w:bookmarkEnd w:id="1"/>
    </w:p>
    <w:p w14:paraId="6534758F" w14:textId="0B2B6A7C" w:rsidR="00BA0E88" w:rsidRPr="0038763E" w:rsidRDefault="00BA0E88" w:rsidP="00BA0E88">
      <w:pPr>
        <w:rPr>
          <w:lang w:val="en-GB"/>
        </w:rPr>
      </w:pPr>
      <w:r w:rsidRPr="0038763E">
        <w:rPr>
          <w:lang w:val="en-GB"/>
        </w:rPr>
        <w:t xml:space="preserve">Through the talk with the person who previously studied requisite accounting texts, the issues about accounting base principles were </w:t>
      </w:r>
      <w:r w:rsidR="00C042F7" w:rsidRPr="0038763E">
        <w:rPr>
          <w:lang w:val="en-GB"/>
        </w:rPr>
        <w:t xml:space="preserve">the </w:t>
      </w:r>
      <w:r w:rsidRPr="0038763E">
        <w:rPr>
          <w:lang w:val="en-GB"/>
        </w:rPr>
        <w:t xml:space="preserve">basis of a few of the arguments. </w:t>
      </w:r>
      <w:r w:rsidR="00C042F7" w:rsidRPr="0038763E">
        <w:rPr>
          <w:lang w:val="en-GB"/>
        </w:rPr>
        <w:t>This dissertation aims</w:t>
      </w:r>
      <w:r w:rsidRPr="0038763E">
        <w:rPr>
          <w:lang w:val="en-GB"/>
        </w:rPr>
        <w:t xml:space="preserve"> to subject each statement to a critical examination and bring the reader through a comprehensive assessment of </w:t>
      </w:r>
      <w:r w:rsidR="00C042F7" w:rsidRPr="0038763E">
        <w:rPr>
          <w:lang w:val="en-GB"/>
        </w:rPr>
        <w:t xml:space="preserve">the </w:t>
      </w:r>
      <w:r w:rsidRPr="0038763E">
        <w:rPr>
          <w:lang w:val="en-GB"/>
        </w:rPr>
        <w:t>accounting principles involved, clarifying every element of accuracy</w:t>
      </w:r>
      <w:r w:rsidR="001A7DDF" w:rsidRPr="0038763E">
        <w:rPr>
          <w:lang w:val="en-GB"/>
        </w:rPr>
        <w:t xml:space="preserve"> </w:t>
      </w:r>
      <w:r w:rsidR="004E3ADF" w:rsidRPr="0038763E">
        <w:rPr>
          <w:lang w:val="en-GB"/>
        </w:rPr>
        <w:t>(Altman, 2020)</w:t>
      </w:r>
      <w:r w:rsidRPr="0038763E">
        <w:rPr>
          <w:lang w:val="en-GB"/>
        </w:rPr>
        <w:t>.</w:t>
      </w:r>
    </w:p>
    <w:p w14:paraId="4128E2FA" w14:textId="45A4FAC0" w:rsidR="00691F92" w:rsidRPr="0038763E" w:rsidRDefault="00691F92" w:rsidP="00691F92">
      <w:pPr>
        <w:numPr>
          <w:ilvl w:val="0"/>
          <w:numId w:val="1"/>
        </w:numPr>
        <w:rPr>
          <w:lang w:val="en-GB"/>
        </w:rPr>
      </w:pPr>
      <w:r w:rsidRPr="0038763E">
        <w:rPr>
          <w:lang w:val="en-GB"/>
        </w:rPr>
        <w:t>The statement of financial position shows how much cash has come into and left the business during the accounting period and the resulting balance at the end of the period.</w:t>
      </w:r>
    </w:p>
    <w:p w14:paraId="58986809" w14:textId="7B8A2ABC" w:rsidR="00691F92" w:rsidRPr="0038763E" w:rsidRDefault="00691F92" w:rsidP="00691F92">
      <w:pPr>
        <w:rPr>
          <w:lang w:val="en-GB"/>
        </w:rPr>
      </w:pPr>
      <w:r w:rsidRPr="0038763E">
        <w:rPr>
          <w:b/>
          <w:bCs/>
          <w:lang w:val="en-GB"/>
        </w:rPr>
        <w:t>Comment:</w:t>
      </w:r>
      <w:r w:rsidRPr="0038763E">
        <w:rPr>
          <w:lang w:val="en-GB"/>
        </w:rPr>
        <w:t xml:space="preserve"> </w:t>
      </w:r>
      <w:r w:rsidR="00835661" w:rsidRPr="0038763E">
        <w:rPr>
          <w:lang w:val="en-GB"/>
        </w:rPr>
        <w:t>The statement emphasi</w:t>
      </w:r>
      <w:r w:rsidR="0038763E">
        <w:rPr>
          <w:lang w:val="en-GB"/>
        </w:rPr>
        <w:t>se</w:t>
      </w:r>
      <w:r w:rsidR="00835661" w:rsidRPr="0038763E">
        <w:rPr>
          <w:lang w:val="en-GB"/>
        </w:rPr>
        <w:t xml:space="preserve">s an error in a standard method of presentation and understanding of both terms financial position and balance sheet. Contrary to the accused it is not a balance sheet that was made to illustrate the cash flow into and out of a business during a definite </w:t>
      </w:r>
      <w:r w:rsidR="00C042F7" w:rsidRPr="0038763E">
        <w:rPr>
          <w:lang w:val="en-GB"/>
        </w:rPr>
        <w:t>period</w:t>
      </w:r>
      <w:r w:rsidR="00835661" w:rsidRPr="0038763E">
        <w:rPr>
          <w:lang w:val="en-GB"/>
        </w:rPr>
        <w:t xml:space="preserve">. </w:t>
      </w:r>
      <w:r w:rsidR="004E3ADF" w:rsidRPr="0038763E">
        <w:rPr>
          <w:lang w:val="en-GB"/>
        </w:rPr>
        <w:t>Cash</w:t>
      </w:r>
      <w:r w:rsidR="00835661" w:rsidRPr="0038763E">
        <w:rPr>
          <w:lang w:val="en-GB"/>
        </w:rPr>
        <w:t xml:space="preserve"> makes the assets section of the balance sheet, with the goal set in movement during the period. Unlike many other financial statements, the statement of cash flows does not </w:t>
      </w:r>
      <w:r w:rsidR="00686907" w:rsidRPr="0038763E">
        <w:rPr>
          <w:lang w:val="en-GB"/>
        </w:rPr>
        <w:t>scrutini</w:t>
      </w:r>
      <w:r w:rsidR="0038763E">
        <w:rPr>
          <w:lang w:val="en-GB"/>
        </w:rPr>
        <w:t>se</w:t>
      </w:r>
      <w:r w:rsidR="00835661" w:rsidRPr="0038763E">
        <w:rPr>
          <w:lang w:val="en-GB"/>
        </w:rPr>
        <w:t xml:space="preserve"> how the cash has been converted to assets or liabilities but rather explains the amount of money that is entering the coffers or leaving the business in the course of a given financial period. Offering creditors and the rest of the creditors the capacity to see the business' control of liquidity and cash management</w:t>
      </w:r>
      <w:r w:rsidR="004E3ADF" w:rsidRPr="0038763E">
        <w:rPr>
          <w:lang w:val="en-GB"/>
        </w:rPr>
        <w:t xml:space="preserve"> (</w:t>
      </w:r>
      <w:proofErr w:type="spellStart"/>
      <w:r w:rsidR="004E3ADF" w:rsidRPr="0038763E">
        <w:rPr>
          <w:lang w:val="en-GB"/>
        </w:rPr>
        <w:t>Bartov</w:t>
      </w:r>
      <w:proofErr w:type="spellEnd"/>
      <w:r w:rsidR="004E3ADF" w:rsidRPr="0038763E">
        <w:rPr>
          <w:lang w:val="en-GB"/>
        </w:rPr>
        <w:t xml:space="preserve"> and </w:t>
      </w:r>
      <w:proofErr w:type="spellStart"/>
      <w:r w:rsidR="004E3ADF" w:rsidRPr="0038763E">
        <w:rPr>
          <w:lang w:val="en-GB"/>
        </w:rPr>
        <w:t>Mohanram</w:t>
      </w:r>
      <w:proofErr w:type="spellEnd"/>
      <w:r w:rsidR="004E3ADF" w:rsidRPr="0038763E">
        <w:rPr>
          <w:lang w:val="en-GB"/>
        </w:rPr>
        <w:t>, 2014)</w:t>
      </w:r>
      <w:r w:rsidR="00835661" w:rsidRPr="0038763E">
        <w:rPr>
          <w:lang w:val="en-GB"/>
        </w:rPr>
        <w:t>.</w:t>
      </w:r>
    </w:p>
    <w:p w14:paraId="69DC0B97" w14:textId="77777777" w:rsidR="00691F92" w:rsidRPr="0038763E" w:rsidRDefault="00691F92" w:rsidP="00691F92">
      <w:pPr>
        <w:numPr>
          <w:ilvl w:val="0"/>
          <w:numId w:val="1"/>
        </w:numPr>
        <w:rPr>
          <w:lang w:val="en-GB"/>
        </w:rPr>
      </w:pPr>
      <w:r w:rsidRPr="0038763E">
        <w:rPr>
          <w:lang w:val="en-GB"/>
        </w:rPr>
        <w:t>Non-current assets are things that cannot be moved.</w:t>
      </w:r>
    </w:p>
    <w:p w14:paraId="4BE73198" w14:textId="6DB503D3" w:rsidR="00835661" w:rsidRPr="0038763E" w:rsidRDefault="00691F92" w:rsidP="00691F92">
      <w:pPr>
        <w:rPr>
          <w:lang w:val="en-GB"/>
        </w:rPr>
      </w:pPr>
      <w:r w:rsidRPr="0038763E">
        <w:rPr>
          <w:b/>
          <w:bCs/>
          <w:lang w:val="en-GB"/>
        </w:rPr>
        <w:lastRenderedPageBreak/>
        <w:t>Comment:</w:t>
      </w:r>
      <w:r w:rsidRPr="0038763E">
        <w:rPr>
          <w:lang w:val="en-GB"/>
        </w:rPr>
        <w:t xml:space="preserve"> </w:t>
      </w:r>
      <w:r w:rsidR="00835661" w:rsidRPr="0038763E">
        <w:rPr>
          <w:lang w:val="en-GB"/>
        </w:rPr>
        <w:t xml:space="preserve">This seemingly misrepresents a non-current asset as a written asset in accounting schematics. Assets that are not put to use regularly, or are supposed to be used in the coming years or decades are part of the non-current assets category. These can include property and plant, equipment, and intangible assets such as patents or trademarks. Although assets like land and buildings are which are immovable physically, this classification as non-current alludes to the period of existence, of the assets not to their physical mobility. However, non-current assets are considered since they </w:t>
      </w:r>
      <w:r w:rsidR="00C042F7" w:rsidRPr="0038763E">
        <w:rPr>
          <w:lang w:val="en-GB"/>
        </w:rPr>
        <w:t xml:space="preserve">are </w:t>
      </w:r>
      <w:r w:rsidR="00835661" w:rsidRPr="0038763E">
        <w:rPr>
          <w:lang w:val="en-GB"/>
        </w:rPr>
        <w:t>anticipated to produce monetary benefits in a sequence of accounting periods resulting in the current assets being categori</w:t>
      </w:r>
      <w:r w:rsidR="0038763E">
        <w:rPr>
          <w:lang w:val="en-GB"/>
        </w:rPr>
        <w:t>se</w:t>
      </w:r>
      <w:r w:rsidR="00835661" w:rsidRPr="0038763E">
        <w:rPr>
          <w:lang w:val="en-GB"/>
        </w:rPr>
        <w:t>d as such since they are consumed and converted to money within a year</w:t>
      </w:r>
      <w:r w:rsidR="004E3ADF" w:rsidRPr="0038763E">
        <w:rPr>
          <w:lang w:val="en-GB"/>
        </w:rPr>
        <w:t xml:space="preserve"> (Choi and Wong, 2016)</w:t>
      </w:r>
      <w:r w:rsidR="00835661" w:rsidRPr="0038763E">
        <w:rPr>
          <w:lang w:val="en-GB"/>
        </w:rPr>
        <w:t xml:space="preserve">. </w:t>
      </w:r>
    </w:p>
    <w:p w14:paraId="065761CF" w14:textId="11A718C8" w:rsidR="00691F92" w:rsidRPr="0038763E" w:rsidRDefault="00691F92" w:rsidP="00691F92">
      <w:pPr>
        <w:numPr>
          <w:ilvl w:val="0"/>
          <w:numId w:val="1"/>
        </w:numPr>
        <w:rPr>
          <w:lang w:val="en-GB"/>
        </w:rPr>
      </w:pPr>
      <w:r w:rsidRPr="0038763E">
        <w:rPr>
          <w:lang w:val="en-GB"/>
        </w:rPr>
        <w:t xml:space="preserve">Managers should only supply financial information to </w:t>
      </w:r>
      <w:r w:rsidR="0086167D" w:rsidRPr="0038763E">
        <w:rPr>
          <w:lang w:val="en-GB"/>
        </w:rPr>
        <w:t>companies' “current” shareholders</w:t>
      </w:r>
      <w:r w:rsidRPr="0038763E">
        <w:rPr>
          <w:lang w:val="en-GB"/>
        </w:rPr>
        <w:t>.</w:t>
      </w:r>
    </w:p>
    <w:p w14:paraId="614FEFC1" w14:textId="456A61CD" w:rsidR="00691F92" w:rsidRPr="0038763E" w:rsidRDefault="00691F92" w:rsidP="00691F92">
      <w:pPr>
        <w:rPr>
          <w:lang w:val="en-GB"/>
        </w:rPr>
      </w:pPr>
      <w:r w:rsidRPr="0038763E">
        <w:rPr>
          <w:b/>
          <w:bCs/>
          <w:lang w:val="en-GB"/>
        </w:rPr>
        <w:t>Comment:</w:t>
      </w:r>
      <w:r w:rsidRPr="0038763E">
        <w:rPr>
          <w:lang w:val="en-GB"/>
        </w:rPr>
        <w:t xml:space="preserve"> </w:t>
      </w:r>
      <w:r w:rsidR="00835661" w:rsidRPr="0038763E">
        <w:rPr>
          <w:lang w:val="en-GB"/>
        </w:rPr>
        <w:t>This statement, in turn, fails to give the wider stakeholders a platform and elaborate on the concepts of transparency and accountability within the context of financial reporting. However, the shareholders should be considered as important actors in the company's fortunes for they fall among them amongst the diverse groups of stakeholders that stand to gain or suffer losses depending on the activities of the firm. As is the case with existing shareholders, managers have a fiduciary duty to see to it that potential investors are furnished with adequate and timely financial information. This information extends to debtors, government regulatory authorities, and other relevant partners. Financial reporting transparency</w:t>
      </w:r>
      <w:r w:rsidR="00C042F7" w:rsidRPr="0038763E">
        <w:rPr>
          <w:lang w:val="en-GB"/>
        </w:rPr>
        <w:t>, in turn,</w:t>
      </w:r>
      <w:r w:rsidR="00835661" w:rsidRPr="0038763E">
        <w:rPr>
          <w:lang w:val="en-GB"/>
        </w:rPr>
        <w:t xml:space="preserve"> makes for deference and confidence among all the stakeholders who are then in a position to make well-informed </w:t>
      </w:r>
      <w:r w:rsidR="00C042F7" w:rsidRPr="0038763E">
        <w:rPr>
          <w:lang w:val="en-GB"/>
        </w:rPr>
        <w:t>judgments</w:t>
      </w:r>
      <w:r w:rsidR="00835661" w:rsidRPr="0038763E">
        <w:rPr>
          <w:lang w:val="en-GB"/>
        </w:rPr>
        <w:t xml:space="preserve"> and protect their interests. Hence, directing the circulation of financial data to current shareholders only, which is contrary to the existing accounting principles and requirements, will defeat the purpose of the reporting process. This will damage the enjoyment and confidence of the current reporting process</w:t>
      </w:r>
      <w:r w:rsidR="004E3ADF" w:rsidRPr="0038763E">
        <w:rPr>
          <w:lang w:val="en-GB"/>
        </w:rPr>
        <w:t xml:space="preserve"> (Coleman, 2021)</w:t>
      </w:r>
      <w:r w:rsidR="00835661" w:rsidRPr="0038763E">
        <w:rPr>
          <w:lang w:val="en-GB"/>
        </w:rPr>
        <w:t>.</w:t>
      </w:r>
    </w:p>
    <w:p w14:paraId="52ADA9BC" w14:textId="77777777" w:rsidR="00691F92" w:rsidRPr="0038763E" w:rsidRDefault="00691F92" w:rsidP="00691F92">
      <w:pPr>
        <w:numPr>
          <w:ilvl w:val="0"/>
          <w:numId w:val="1"/>
        </w:numPr>
        <w:rPr>
          <w:lang w:val="en-GB"/>
        </w:rPr>
      </w:pPr>
      <w:r w:rsidRPr="0038763E">
        <w:rPr>
          <w:lang w:val="en-GB"/>
        </w:rPr>
        <w:t>No need to include prepayments and accruals on the statement of financial position.</w:t>
      </w:r>
    </w:p>
    <w:p w14:paraId="213745DD" w14:textId="5227B864" w:rsidR="00835661" w:rsidRPr="0038763E" w:rsidRDefault="00691F92" w:rsidP="00691F92">
      <w:pPr>
        <w:rPr>
          <w:lang w:val="en-GB"/>
        </w:rPr>
      </w:pPr>
      <w:r w:rsidRPr="0038763E">
        <w:rPr>
          <w:b/>
          <w:bCs/>
          <w:lang w:val="en-GB"/>
        </w:rPr>
        <w:t>Comment:</w:t>
      </w:r>
      <w:r w:rsidRPr="0038763E">
        <w:rPr>
          <w:lang w:val="en-GB"/>
        </w:rPr>
        <w:t xml:space="preserve"> </w:t>
      </w:r>
      <w:r w:rsidR="00835661" w:rsidRPr="0038763E">
        <w:rPr>
          <w:lang w:val="en-GB"/>
        </w:rPr>
        <w:t xml:space="preserve">The proposed statement is overtly based on the basic event of accrual basis accounting and therefore disregarding the prepayments and accruals means that </w:t>
      </w:r>
      <w:r w:rsidR="00C042F7" w:rsidRPr="0038763E">
        <w:rPr>
          <w:lang w:val="en-GB"/>
        </w:rPr>
        <w:t xml:space="preserve">the </w:t>
      </w:r>
      <w:r w:rsidR="00835661" w:rsidRPr="0038763E">
        <w:rPr>
          <w:lang w:val="en-GB"/>
        </w:rPr>
        <w:t xml:space="preserve">financial statement reflects the truth and thereby </w:t>
      </w:r>
      <w:r w:rsidR="00C042F7" w:rsidRPr="0038763E">
        <w:rPr>
          <w:lang w:val="en-GB"/>
        </w:rPr>
        <w:t>mirrors</w:t>
      </w:r>
      <w:r w:rsidR="00835661" w:rsidRPr="0038763E">
        <w:rPr>
          <w:lang w:val="en-GB"/>
        </w:rPr>
        <w:t xml:space="preserve"> </w:t>
      </w:r>
      <w:r w:rsidR="00C042F7" w:rsidRPr="0038763E">
        <w:rPr>
          <w:lang w:val="en-GB"/>
        </w:rPr>
        <w:t xml:space="preserve">the </w:t>
      </w:r>
      <w:r w:rsidR="00835661" w:rsidRPr="0038763E">
        <w:rPr>
          <w:lang w:val="en-GB"/>
        </w:rPr>
        <w:t xml:space="preserve">actual financial state of the entity. Prefunding, which stands for upfront payment for products or services acquired not yet received, as well as accruals, which mean the expenses that were incurred but not paid for. If one fails to take into account these items the actual financial bill understates the entity’s position, which negatively affects both the </w:t>
      </w:r>
      <w:r w:rsidR="00C042F7" w:rsidRPr="0038763E">
        <w:rPr>
          <w:lang w:val="en-GB"/>
        </w:rPr>
        <w:lastRenderedPageBreak/>
        <w:t>stakeholders</w:t>
      </w:r>
      <w:r w:rsidR="00835661" w:rsidRPr="0038763E">
        <w:rPr>
          <w:lang w:val="en-GB"/>
        </w:rPr>
        <w:t xml:space="preserve"> and the whole company's financial </w:t>
      </w:r>
      <w:r w:rsidR="006A6CE2" w:rsidRPr="0038763E">
        <w:rPr>
          <w:lang w:val="en-GB"/>
        </w:rPr>
        <w:t>statement’s</w:t>
      </w:r>
      <w:r w:rsidR="00835661" w:rsidRPr="0038763E">
        <w:rPr>
          <w:lang w:val="en-GB"/>
        </w:rPr>
        <w:t xml:space="preserve"> reliability. Consequently, the observance of the accounting principles confirms the membership of prepayments and accruals on a statement of financial position for being income statements accurate and complete</w:t>
      </w:r>
      <w:r w:rsidR="004E3ADF" w:rsidRPr="0038763E">
        <w:rPr>
          <w:lang w:val="en-GB"/>
        </w:rPr>
        <w:t xml:space="preserve"> (</w:t>
      </w:r>
      <w:proofErr w:type="spellStart"/>
      <w:r w:rsidR="004E3ADF" w:rsidRPr="0038763E">
        <w:rPr>
          <w:lang w:val="en-GB"/>
        </w:rPr>
        <w:t>Dafouz</w:t>
      </w:r>
      <w:proofErr w:type="spellEnd"/>
      <w:r w:rsidR="004E3ADF" w:rsidRPr="0038763E">
        <w:rPr>
          <w:lang w:val="en-GB"/>
        </w:rPr>
        <w:t xml:space="preserve"> and Del Mar Camacho </w:t>
      </w:r>
      <w:proofErr w:type="spellStart"/>
      <w:r w:rsidR="004E3ADF" w:rsidRPr="0038763E">
        <w:rPr>
          <w:lang w:val="en-GB"/>
        </w:rPr>
        <w:t>Miñano</w:t>
      </w:r>
      <w:proofErr w:type="spellEnd"/>
      <w:r w:rsidR="004E3ADF" w:rsidRPr="0038763E">
        <w:rPr>
          <w:lang w:val="en-GB"/>
        </w:rPr>
        <w:t>, 2016)</w:t>
      </w:r>
      <w:r w:rsidR="00835661" w:rsidRPr="0038763E">
        <w:rPr>
          <w:lang w:val="en-GB"/>
        </w:rPr>
        <w:t>.</w:t>
      </w:r>
    </w:p>
    <w:p w14:paraId="49B66FF6" w14:textId="77777777" w:rsidR="00691F92" w:rsidRPr="0038763E" w:rsidRDefault="00691F92" w:rsidP="00691F92">
      <w:pPr>
        <w:numPr>
          <w:ilvl w:val="0"/>
          <w:numId w:val="1"/>
        </w:numPr>
        <w:rPr>
          <w:lang w:val="en-GB"/>
        </w:rPr>
      </w:pPr>
      <w:r w:rsidRPr="0038763E">
        <w:rPr>
          <w:lang w:val="en-GB"/>
        </w:rPr>
        <w:t>No need for regulation over financial accounts.</w:t>
      </w:r>
    </w:p>
    <w:p w14:paraId="35A456D7" w14:textId="58D9AC38" w:rsidR="00835661" w:rsidRPr="0038763E" w:rsidRDefault="00691F92" w:rsidP="00691F92">
      <w:pPr>
        <w:rPr>
          <w:lang w:val="en-GB"/>
        </w:rPr>
      </w:pPr>
      <w:r w:rsidRPr="0038763E">
        <w:rPr>
          <w:b/>
          <w:bCs/>
          <w:lang w:val="en-GB"/>
        </w:rPr>
        <w:t>Comment:</w:t>
      </w:r>
      <w:r w:rsidRPr="0038763E">
        <w:rPr>
          <w:lang w:val="en-GB"/>
        </w:rPr>
        <w:t xml:space="preserve"> </w:t>
      </w:r>
      <w:r w:rsidR="00390F0E" w:rsidRPr="0038763E">
        <w:rPr>
          <w:lang w:val="en-GB"/>
        </w:rPr>
        <w:t xml:space="preserve">That argument ignores regulator control of the production of financial intelligence based on which accountability, transparency, and fair competition </w:t>
      </w:r>
      <w:r w:rsidR="00C042F7" w:rsidRPr="0038763E">
        <w:rPr>
          <w:lang w:val="en-GB"/>
        </w:rPr>
        <w:t>are</w:t>
      </w:r>
      <w:r w:rsidR="00390F0E" w:rsidRPr="0038763E">
        <w:rPr>
          <w:lang w:val="en-GB"/>
        </w:rPr>
        <w:t xml:space="preserve"> carried out among entities. This uniformity encompasses, amongst others, the derived accounting principles, disclosure requirements, and reporting formats, which eventually improves financial information consistency and credibility published to the stakeholders. </w:t>
      </w:r>
      <w:proofErr w:type="spellStart"/>
      <w:r w:rsidR="00C042F7" w:rsidRPr="0038763E">
        <w:rPr>
          <w:lang w:val="en-GB"/>
        </w:rPr>
        <w:t>Peripheric</w:t>
      </w:r>
      <w:proofErr w:type="spellEnd"/>
      <w:r w:rsidR="00390F0E" w:rsidRPr="0038763E">
        <w:rPr>
          <w:lang w:val="en-GB"/>
        </w:rPr>
        <w:t xml:space="preserve"> supervision is a vital measure against information asymmetry, deceptive practices and the doubt of investors in the financial markets. For instance, following regulations </w:t>
      </w:r>
      <w:r w:rsidR="00C042F7" w:rsidRPr="0038763E">
        <w:rPr>
          <w:lang w:val="en-GB"/>
        </w:rPr>
        <w:t xml:space="preserve">and </w:t>
      </w:r>
      <w:r w:rsidR="00390F0E" w:rsidRPr="0038763E">
        <w:rPr>
          <w:lang w:val="en-GB"/>
        </w:rPr>
        <w:t xml:space="preserve">measures and being acquainted with a </w:t>
      </w:r>
      <w:r w:rsidR="00C042F7" w:rsidRPr="0038763E">
        <w:rPr>
          <w:lang w:val="en-GB"/>
        </w:rPr>
        <w:t>counter standard</w:t>
      </w:r>
      <w:r w:rsidR="00390F0E" w:rsidRPr="0038763E">
        <w:rPr>
          <w:lang w:val="en-GB"/>
        </w:rPr>
        <w:t xml:space="preserve"> would also help for cross-border comparison and global investment decisions of a similar nature. And, this means, a lack of proper regulation over financial accounts would largely undermine the reliability and supporting nature of financial statements subsequently risking the </w:t>
      </w:r>
      <w:r w:rsidR="00F66B05" w:rsidRPr="0038763E">
        <w:rPr>
          <w:lang w:val="en-GB"/>
        </w:rPr>
        <w:t>market's</w:t>
      </w:r>
      <w:r w:rsidR="00390F0E" w:rsidRPr="0038763E">
        <w:rPr>
          <w:lang w:val="en-GB"/>
        </w:rPr>
        <w:t xml:space="preserve"> chances of stability and efficiency</w:t>
      </w:r>
      <w:r w:rsidR="004E3ADF" w:rsidRPr="0038763E">
        <w:rPr>
          <w:lang w:val="en-GB"/>
        </w:rPr>
        <w:t xml:space="preserve"> (Elias, 2015)</w:t>
      </w:r>
      <w:r w:rsidR="00390F0E" w:rsidRPr="0038763E">
        <w:rPr>
          <w:lang w:val="en-GB"/>
        </w:rPr>
        <w:t>.</w:t>
      </w:r>
    </w:p>
    <w:p w14:paraId="3DD7AC6D" w14:textId="0615DE57" w:rsidR="00691F92" w:rsidRPr="0038763E" w:rsidRDefault="00691F92" w:rsidP="00691F92">
      <w:pPr>
        <w:numPr>
          <w:ilvl w:val="0"/>
          <w:numId w:val="1"/>
        </w:numPr>
        <w:rPr>
          <w:lang w:val="en-GB"/>
        </w:rPr>
      </w:pPr>
      <w:r w:rsidRPr="0038763E">
        <w:rPr>
          <w:lang w:val="en-GB"/>
        </w:rPr>
        <w:t xml:space="preserve">It is important to balance ledger (T) accounts and trial </w:t>
      </w:r>
      <w:r w:rsidR="0086167D" w:rsidRPr="0038763E">
        <w:rPr>
          <w:lang w:val="en-GB"/>
        </w:rPr>
        <w:t>balances</w:t>
      </w:r>
      <w:r w:rsidRPr="0038763E">
        <w:rPr>
          <w:lang w:val="en-GB"/>
        </w:rPr>
        <w:t xml:space="preserve"> before preparing financial statements.</w:t>
      </w:r>
    </w:p>
    <w:p w14:paraId="50541B37" w14:textId="12BA09F6" w:rsidR="00BA0E88" w:rsidRPr="0038763E" w:rsidRDefault="00691F92" w:rsidP="00390F0E">
      <w:pPr>
        <w:rPr>
          <w:lang w:val="en-GB"/>
        </w:rPr>
      </w:pPr>
      <w:r w:rsidRPr="0038763E">
        <w:rPr>
          <w:b/>
          <w:bCs/>
          <w:lang w:val="en-GB"/>
        </w:rPr>
        <w:t>Comment:</w:t>
      </w:r>
      <w:r w:rsidRPr="0038763E">
        <w:rPr>
          <w:lang w:val="en-GB"/>
        </w:rPr>
        <w:t xml:space="preserve"> </w:t>
      </w:r>
      <w:r w:rsidR="00390F0E" w:rsidRPr="0038763E">
        <w:rPr>
          <w:lang w:val="en-GB"/>
        </w:rPr>
        <w:t xml:space="preserve">It represents a very basic assumption of double-entry accounting of backup the truthfulness and the wholeness of accounting records before making financial statements. In ensuring </w:t>
      </w:r>
      <w:r w:rsidR="00F66B05" w:rsidRPr="0038763E">
        <w:rPr>
          <w:lang w:val="en-GB"/>
        </w:rPr>
        <w:t xml:space="preserve">the </w:t>
      </w:r>
      <w:r w:rsidR="00390F0E" w:rsidRPr="0038763E">
        <w:rPr>
          <w:lang w:val="en-GB"/>
        </w:rPr>
        <w:t xml:space="preserve">balancing of accounts, crediting and </w:t>
      </w:r>
      <w:r w:rsidR="00BA0E88" w:rsidRPr="0038763E">
        <w:rPr>
          <w:lang w:val="en-GB"/>
        </w:rPr>
        <w:t>debiting</w:t>
      </w:r>
      <w:r w:rsidR="00390F0E" w:rsidRPr="0038763E">
        <w:rPr>
          <w:lang w:val="en-GB"/>
        </w:rPr>
        <w:t xml:space="preserve"> are checked to ensure that the total debits always equal the credit for an account, maintaining the accounting equation (Assets = Liabilities + Equity). Yet, the trial balance also acts as a prior check to ensure that the ledger account balances are correct as they are added up to </w:t>
      </w:r>
      <w:r w:rsidR="00BA0E88" w:rsidRPr="0038763E">
        <w:rPr>
          <w:lang w:val="en-GB"/>
        </w:rPr>
        <w:t>balance</w:t>
      </w:r>
      <w:r w:rsidR="00390F0E" w:rsidRPr="0038763E">
        <w:rPr>
          <w:lang w:val="en-GB"/>
        </w:rPr>
        <w:t xml:space="preserve"> the debit and credit balances. </w:t>
      </w:r>
      <w:proofErr w:type="spellStart"/>
      <w:r w:rsidR="00390F0E" w:rsidRPr="0038763E">
        <w:rPr>
          <w:lang w:val="en-GB"/>
        </w:rPr>
        <w:t>Desynchroni</w:t>
      </w:r>
      <w:r w:rsidR="0038763E">
        <w:rPr>
          <w:lang w:val="en-GB"/>
        </w:rPr>
        <w:t>sa</w:t>
      </w:r>
      <w:r w:rsidR="00390F0E" w:rsidRPr="0038763E">
        <w:rPr>
          <w:lang w:val="en-GB"/>
        </w:rPr>
        <w:t>tion</w:t>
      </w:r>
      <w:proofErr w:type="spellEnd"/>
      <w:r w:rsidR="00390F0E" w:rsidRPr="0038763E">
        <w:rPr>
          <w:lang w:val="en-GB"/>
        </w:rPr>
        <w:t xml:space="preserve"> of ledger account balances or trial balances after trial balance results in additional studying to clear away mistakes and guarantee the accuracy of the financial statements. If opposing accounts are not aligned and their trial balance totals do not match, then the derived ledgers may include misstatements, hence making the financial statements unreliable and ineffective on the part of the stakeholders. This implies that the perfect bookkeeping and the trial balance work as the forefront routine of financial protocols, thus reali</w:t>
      </w:r>
      <w:r w:rsidR="0038763E">
        <w:rPr>
          <w:lang w:val="en-GB"/>
        </w:rPr>
        <w:t>si</w:t>
      </w:r>
      <w:r w:rsidR="00390F0E" w:rsidRPr="0038763E">
        <w:rPr>
          <w:lang w:val="en-GB"/>
        </w:rPr>
        <w:t xml:space="preserve">ng credibility in the </w:t>
      </w:r>
      <w:r w:rsidR="00390F0E" w:rsidRPr="0038763E">
        <w:rPr>
          <w:lang w:val="en-GB"/>
        </w:rPr>
        <w:lastRenderedPageBreak/>
        <w:t>reporting process. Therefore, it is critical to perform financial statements properly as they have a direct impact on the company to get a reputation of being trustworthy and reliable as far as investments are concerned</w:t>
      </w:r>
      <w:r w:rsidR="004E3ADF" w:rsidRPr="0038763E">
        <w:rPr>
          <w:lang w:val="en-GB"/>
        </w:rPr>
        <w:t xml:space="preserve"> (</w:t>
      </w:r>
      <w:proofErr w:type="spellStart"/>
      <w:r w:rsidR="004E3ADF" w:rsidRPr="0038763E">
        <w:rPr>
          <w:lang w:val="en-GB"/>
        </w:rPr>
        <w:t>Etherington</w:t>
      </w:r>
      <w:proofErr w:type="spellEnd"/>
      <w:r w:rsidR="004E3ADF" w:rsidRPr="0038763E">
        <w:rPr>
          <w:lang w:val="en-GB"/>
        </w:rPr>
        <w:t xml:space="preserve"> and Richardson, 2020)</w:t>
      </w:r>
      <w:r w:rsidR="00390F0E" w:rsidRPr="0038763E">
        <w:rPr>
          <w:lang w:val="en-GB"/>
        </w:rPr>
        <w:t>.</w:t>
      </w:r>
    </w:p>
    <w:p w14:paraId="35CCEFCA" w14:textId="1FDDA815" w:rsidR="00BA0E88" w:rsidRPr="0038763E" w:rsidRDefault="00BA0E88" w:rsidP="00390F0E">
      <w:pPr>
        <w:rPr>
          <w:lang w:val="en-GB"/>
        </w:rPr>
      </w:pPr>
      <w:r w:rsidRPr="0038763E">
        <w:rPr>
          <w:lang w:val="en-GB"/>
        </w:rPr>
        <w:t xml:space="preserve">Overall, the statements concerning accounting principles and financial reporting depict a combined set of wrong assumptions, missing argument details and faulty claims. The ability of stakeholders to comprehend accounting theories and framework, </w:t>
      </w:r>
      <w:r w:rsidR="00F66B05" w:rsidRPr="0038763E">
        <w:rPr>
          <w:lang w:val="en-GB"/>
        </w:rPr>
        <w:t xml:space="preserve">and </w:t>
      </w:r>
      <w:r w:rsidRPr="0038763E">
        <w:rPr>
          <w:lang w:val="en-GB"/>
        </w:rPr>
        <w:t xml:space="preserve">the regulatory requirements is of major importance, in making accurate evaluations </w:t>
      </w:r>
      <w:r w:rsidR="00F66B05" w:rsidRPr="0038763E">
        <w:rPr>
          <w:lang w:val="en-GB"/>
        </w:rPr>
        <w:t>of</w:t>
      </w:r>
      <w:r w:rsidRPr="0038763E">
        <w:rPr>
          <w:lang w:val="en-GB"/>
        </w:rPr>
        <w:t xml:space="preserve"> the performance capabilities of the entities and </w:t>
      </w:r>
      <w:r w:rsidR="00F66B05" w:rsidRPr="0038763E">
        <w:rPr>
          <w:lang w:val="en-GB"/>
        </w:rPr>
        <w:t>making</w:t>
      </w:r>
      <w:r w:rsidRPr="0038763E">
        <w:rPr>
          <w:lang w:val="en-GB"/>
        </w:rPr>
        <w:t xml:space="preserve"> the right decisions. This argument shall deliver critical thinking about the assumptions including underlying principles. Thus, it will help various stakeholders underpinning the clarity of accounting security in the financial statements, therefore, the foundation of transparency and accountability in financial reporting practices</w:t>
      </w:r>
      <w:r w:rsidR="004E3ADF" w:rsidRPr="0038763E">
        <w:rPr>
          <w:lang w:val="en-GB"/>
        </w:rPr>
        <w:t xml:space="preserve"> (Kane and Magnus, 2021)</w:t>
      </w:r>
      <w:r w:rsidRPr="0038763E">
        <w:rPr>
          <w:lang w:val="en-GB"/>
        </w:rPr>
        <w:t>.</w:t>
      </w:r>
    </w:p>
    <w:p w14:paraId="6F8F0189" w14:textId="1E83B294" w:rsidR="00296569" w:rsidRPr="0038763E" w:rsidRDefault="00296569" w:rsidP="0038763E">
      <w:pPr>
        <w:rPr>
          <w:b/>
          <w:bCs/>
          <w:sz w:val="32"/>
          <w:szCs w:val="28"/>
          <w:lang w:val="en-GB"/>
        </w:rPr>
      </w:pPr>
      <w:bookmarkStart w:id="2" w:name="_Toc163846926"/>
      <w:r w:rsidRPr="0038763E">
        <w:rPr>
          <w:b/>
          <w:bCs/>
          <w:sz w:val="32"/>
          <w:szCs w:val="28"/>
          <w:lang w:val="en-GB"/>
        </w:rPr>
        <w:t>QUESTION 2: Income Statement for Wales plc for the year ended 31st December 2022</w:t>
      </w:r>
      <w:bookmarkEnd w:id="2"/>
    </w:p>
    <w:tbl>
      <w:tblPr>
        <w:tblStyle w:val="TableGrid"/>
        <w:tblW w:w="10380" w:type="dxa"/>
        <w:tblLook w:val="04A0" w:firstRow="1" w:lastRow="0" w:firstColumn="1" w:lastColumn="0" w:noHBand="0" w:noVBand="1"/>
      </w:tblPr>
      <w:tblGrid>
        <w:gridCol w:w="7418"/>
        <w:gridCol w:w="2962"/>
      </w:tblGrid>
      <w:tr w:rsidR="00296569" w:rsidRPr="0038763E" w14:paraId="7C532B86" w14:textId="77777777" w:rsidTr="00296569">
        <w:tc>
          <w:tcPr>
            <w:tcW w:w="0" w:type="auto"/>
            <w:hideMark/>
          </w:tcPr>
          <w:p w14:paraId="5C3ACC05" w14:textId="77777777" w:rsidR="00296569" w:rsidRPr="0038763E" w:rsidRDefault="00296569" w:rsidP="00C13B91">
            <w:pPr>
              <w:spacing w:after="200"/>
              <w:jc w:val="left"/>
              <w:rPr>
                <w:b/>
                <w:bCs/>
                <w:lang w:val="en-GB"/>
              </w:rPr>
            </w:pPr>
            <w:r w:rsidRPr="0038763E">
              <w:rPr>
                <w:b/>
                <w:bCs/>
                <w:lang w:val="en-GB"/>
              </w:rPr>
              <w:t>Income Statement for Wales plc</w:t>
            </w:r>
          </w:p>
        </w:tc>
        <w:tc>
          <w:tcPr>
            <w:tcW w:w="0" w:type="auto"/>
            <w:hideMark/>
          </w:tcPr>
          <w:p w14:paraId="56B1C158" w14:textId="77777777" w:rsidR="00296569" w:rsidRPr="0038763E" w:rsidRDefault="00296569" w:rsidP="00C13B91">
            <w:pPr>
              <w:spacing w:after="200"/>
              <w:jc w:val="left"/>
              <w:rPr>
                <w:b/>
                <w:bCs/>
                <w:lang w:val="en-GB"/>
              </w:rPr>
            </w:pPr>
            <w:r w:rsidRPr="0038763E">
              <w:rPr>
                <w:b/>
                <w:bCs/>
                <w:lang w:val="en-GB"/>
              </w:rPr>
              <w:t>Amount (£)</w:t>
            </w:r>
          </w:p>
        </w:tc>
      </w:tr>
      <w:tr w:rsidR="00296569" w:rsidRPr="0038763E" w14:paraId="3A86524A" w14:textId="77777777" w:rsidTr="00296569">
        <w:tc>
          <w:tcPr>
            <w:tcW w:w="0" w:type="auto"/>
            <w:hideMark/>
          </w:tcPr>
          <w:p w14:paraId="1DB9BCBA" w14:textId="77777777" w:rsidR="00296569" w:rsidRPr="0038763E" w:rsidRDefault="00296569" w:rsidP="00C13B91">
            <w:pPr>
              <w:spacing w:after="200"/>
              <w:jc w:val="left"/>
              <w:rPr>
                <w:lang w:val="en-GB"/>
              </w:rPr>
            </w:pPr>
            <w:r w:rsidRPr="0038763E">
              <w:rPr>
                <w:lang w:val="en-GB"/>
              </w:rPr>
              <w:t>Revenue</w:t>
            </w:r>
          </w:p>
        </w:tc>
        <w:tc>
          <w:tcPr>
            <w:tcW w:w="0" w:type="auto"/>
            <w:hideMark/>
          </w:tcPr>
          <w:p w14:paraId="7989E796" w14:textId="77777777" w:rsidR="00296569" w:rsidRPr="0038763E" w:rsidRDefault="00296569" w:rsidP="00C13B91">
            <w:pPr>
              <w:spacing w:after="200"/>
              <w:jc w:val="left"/>
              <w:rPr>
                <w:lang w:val="en-GB"/>
              </w:rPr>
            </w:pPr>
            <w:r w:rsidRPr="0038763E">
              <w:rPr>
                <w:lang w:val="en-GB"/>
              </w:rPr>
              <w:t>900,000</w:t>
            </w:r>
          </w:p>
        </w:tc>
      </w:tr>
      <w:tr w:rsidR="00296569" w:rsidRPr="0038763E" w14:paraId="4DC1238F" w14:textId="77777777" w:rsidTr="00296569">
        <w:tc>
          <w:tcPr>
            <w:tcW w:w="0" w:type="auto"/>
            <w:hideMark/>
          </w:tcPr>
          <w:p w14:paraId="4E0FB0D5" w14:textId="77777777" w:rsidR="00296569" w:rsidRPr="0038763E" w:rsidRDefault="00296569" w:rsidP="00C13B91">
            <w:pPr>
              <w:spacing w:after="200"/>
              <w:jc w:val="left"/>
              <w:rPr>
                <w:lang w:val="en-GB"/>
              </w:rPr>
            </w:pPr>
            <w:r w:rsidRPr="0038763E">
              <w:rPr>
                <w:lang w:val="en-GB"/>
              </w:rPr>
              <w:t>Cost of Sales</w:t>
            </w:r>
          </w:p>
        </w:tc>
        <w:tc>
          <w:tcPr>
            <w:tcW w:w="0" w:type="auto"/>
            <w:hideMark/>
          </w:tcPr>
          <w:p w14:paraId="4AFFADF3" w14:textId="77777777" w:rsidR="00296569" w:rsidRPr="0038763E" w:rsidRDefault="00296569" w:rsidP="00C13B91">
            <w:pPr>
              <w:spacing w:after="200"/>
              <w:jc w:val="left"/>
              <w:rPr>
                <w:lang w:val="en-GB"/>
              </w:rPr>
            </w:pPr>
            <w:r w:rsidRPr="0038763E">
              <w:rPr>
                <w:lang w:val="en-GB"/>
              </w:rPr>
              <w:t>(578,650)</w:t>
            </w:r>
          </w:p>
        </w:tc>
      </w:tr>
      <w:tr w:rsidR="00296569" w:rsidRPr="0038763E" w14:paraId="3D0F2EA0" w14:textId="77777777" w:rsidTr="00296569">
        <w:tc>
          <w:tcPr>
            <w:tcW w:w="0" w:type="auto"/>
            <w:hideMark/>
          </w:tcPr>
          <w:p w14:paraId="057E0E74" w14:textId="77777777" w:rsidR="00296569" w:rsidRPr="0038763E" w:rsidRDefault="00296569" w:rsidP="00C13B91">
            <w:pPr>
              <w:spacing w:after="200"/>
              <w:jc w:val="left"/>
              <w:rPr>
                <w:lang w:val="en-GB"/>
              </w:rPr>
            </w:pPr>
            <w:r w:rsidRPr="0038763E">
              <w:rPr>
                <w:lang w:val="en-GB"/>
              </w:rPr>
              <w:t>Gross Profit</w:t>
            </w:r>
          </w:p>
        </w:tc>
        <w:tc>
          <w:tcPr>
            <w:tcW w:w="0" w:type="auto"/>
            <w:hideMark/>
          </w:tcPr>
          <w:p w14:paraId="4FFD2206" w14:textId="77777777" w:rsidR="00296569" w:rsidRPr="0038763E" w:rsidRDefault="00296569" w:rsidP="00C13B91">
            <w:pPr>
              <w:spacing w:after="200"/>
              <w:jc w:val="left"/>
              <w:rPr>
                <w:lang w:val="en-GB"/>
              </w:rPr>
            </w:pPr>
            <w:r w:rsidRPr="0038763E">
              <w:rPr>
                <w:lang w:val="en-GB"/>
              </w:rPr>
              <w:t>321,350</w:t>
            </w:r>
          </w:p>
        </w:tc>
      </w:tr>
      <w:tr w:rsidR="00296569" w:rsidRPr="0038763E" w14:paraId="0CE5CD76" w14:textId="77777777" w:rsidTr="00296569">
        <w:tc>
          <w:tcPr>
            <w:tcW w:w="0" w:type="auto"/>
            <w:hideMark/>
          </w:tcPr>
          <w:p w14:paraId="0A7C7FED" w14:textId="77777777" w:rsidR="00296569" w:rsidRPr="0038763E" w:rsidRDefault="00296569" w:rsidP="00C13B91">
            <w:pPr>
              <w:spacing w:after="200"/>
              <w:jc w:val="left"/>
              <w:rPr>
                <w:lang w:val="en-GB"/>
              </w:rPr>
            </w:pPr>
            <w:r w:rsidRPr="0038763E">
              <w:rPr>
                <w:lang w:val="en-GB"/>
              </w:rPr>
              <w:t>Administrative Expenses</w:t>
            </w:r>
          </w:p>
        </w:tc>
        <w:tc>
          <w:tcPr>
            <w:tcW w:w="0" w:type="auto"/>
            <w:hideMark/>
          </w:tcPr>
          <w:p w14:paraId="65446BBB" w14:textId="77777777" w:rsidR="00296569" w:rsidRPr="0038763E" w:rsidRDefault="00296569" w:rsidP="00C13B91">
            <w:pPr>
              <w:spacing w:after="200"/>
              <w:jc w:val="left"/>
              <w:rPr>
                <w:lang w:val="en-GB"/>
              </w:rPr>
            </w:pPr>
            <w:r w:rsidRPr="0038763E">
              <w:rPr>
                <w:lang w:val="en-GB"/>
              </w:rPr>
              <w:t>(160,000)</w:t>
            </w:r>
          </w:p>
        </w:tc>
      </w:tr>
      <w:tr w:rsidR="00296569" w:rsidRPr="0038763E" w14:paraId="1F540D36" w14:textId="77777777" w:rsidTr="00296569">
        <w:tc>
          <w:tcPr>
            <w:tcW w:w="0" w:type="auto"/>
            <w:hideMark/>
          </w:tcPr>
          <w:p w14:paraId="6707EA40" w14:textId="77777777" w:rsidR="00296569" w:rsidRPr="0038763E" w:rsidRDefault="00296569" w:rsidP="00C13B91">
            <w:pPr>
              <w:spacing w:after="200"/>
              <w:jc w:val="left"/>
              <w:rPr>
                <w:lang w:val="en-GB"/>
              </w:rPr>
            </w:pPr>
            <w:r w:rsidRPr="0038763E">
              <w:rPr>
                <w:lang w:val="en-GB"/>
              </w:rPr>
              <w:t>Distribution Costs</w:t>
            </w:r>
          </w:p>
        </w:tc>
        <w:tc>
          <w:tcPr>
            <w:tcW w:w="0" w:type="auto"/>
            <w:hideMark/>
          </w:tcPr>
          <w:p w14:paraId="35B296E8" w14:textId="77777777" w:rsidR="00296569" w:rsidRPr="0038763E" w:rsidRDefault="00296569" w:rsidP="00C13B91">
            <w:pPr>
              <w:spacing w:after="200"/>
              <w:jc w:val="left"/>
              <w:rPr>
                <w:lang w:val="en-GB"/>
              </w:rPr>
            </w:pPr>
            <w:r w:rsidRPr="0038763E">
              <w:rPr>
                <w:lang w:val="en-GB"/>
              </w:rPr>
              <w:t>(28,000)</w:t>
            </w:r>
          </w:p>
        </w:tc>
      </w:tr>
      <w:tr w:rsidR="00296569" w:rsidRPr="0038763E" w14:paraId="3A04A801" w14:textId="77777777" w:rsidTr="00296569">
        <w:tc>
          <w:tcPr>
            <w:tcW w:w="0" w:type="auto"/>
            <w:hideMark/>
          </w:tcPr>
          <w:p w14:paraId="768B9CAB" w14:textId="77777777" w:rsidR="00296569" w:rsidRPr="0038763E" w:rsidRDefault="00296569" w:rsidP="00C13B91">
            <w:pPr>
              <w:spacing w:after="200"/>
              <w:jc w:val="left"/>
              <w:rPr>
                <w:lang w:val="en-GB"/>
              </w:rPr>
            </w:pPr>
            <w:r w:rsidRPr="0038763E">
              <w:rPr>
                <w:lang w:val="en-GB"/>
              </w:rPr>
              <w:t>Interest Paid</w:t>
            </w:r>
          </w:p>
        </w:tc>
        <w:tc>
          <w:tcPr>
            <w:tcW w:w="0" w:type="auto"/>
            <w:hideMark/>
          </w:tcPr>
          <w:p w14:paraId="650633F8" w14:textId="77777777" w:rsidR="00296569" w:rsidRPr="0038763E" w:rsidRDefault="00296569" w:rsidP="00C13B91">
            <w:pPr>
              <w:spacing w:after="200"/>
              <w:jc w:val="left"/>
              <w:rPr>
                <w:lang w:val="en-GB"/>
              </w:rPr>
            </w:pPr>
            <w:r w:rsidRPr="0038763E">
              <w:rPr>
                <w:lang w:val="en-GB"/>
              </w:rPr>
              <w:t>(2,000)</w:t>
            </w:r>
          </w:p>
        </w:tc>
      </w:tr>
      <w:tr w:rsidR="00296569" w:rsidRPr="0038763E" w14:paraId="3B7538F1" w14:textId="77777777" w:rsidTr="00296569">
        <w:tc>
          <w:tcPr>
            <w:tcW w:w="0" w:type="auto"/>
            <w:hideMark/>
          </w:tcPr>
          <w:p w14:paraId="5FAE1251" w14:textId="77777777" w:rsidR="00296569" w:rsidRPr="0038763E" w:rsidRDefault="00296569" w:rsidP="00C13B91">
            <w:pPr>
              <w:spacing w:after="200"/>
              <w:jc w:val="left"/>
              <w:rPr>
                <w:lang w:val="en-GB"/>
              </w:rPr>
            </w:pPr>
            <w:r w:rsidRPr="0038763E">
              <w:rPr>
                <w:lang w:val="en-GB"/>
              </w:rPr>
              <w:t>Directors’ Remuneration</w:t>
            </w:r>
          </w:p>
        </w:tc>
        <w:tc>
          <w:tcPr>
            <w:tcW w:w="0" w:type="auto"/>
            <w:hideMark/>
          </w:tcPr>
          <w:p w14:paraId="3401931B" w14:textId="77777777" w:rsidR="00296569" w:rsidRPr="0038763E" w:rsidRDefault="00296569" w:rsidP="00C13B91">
            <w:pPr>
              <w:spacing w:after="200"/>
              <w:jc w:val="left"/>
              <w:rPr>
                <w:lang w:val="en-GB"/>
              </w:rPr>
            </w:pPr>
            <w:r w:rsidRPr="0038763E">
              <w:rPr>
                <w:lang w:val="en-GB"/>
              </w:rPr>
              <w:t>(5,000)</w:t>
            </w:r>
          </w:p>
        </w:tc>
      </w:tr>
      <w:tr w:rsidR="00296569" w:rsidRPr="0038763E" w14:paraId="34C50584" w14:textId="77777777" w:rsidTr="00296569">
        <w:tc>
          <w:tcPr>
            <w:tcW w:w="0" w:type="auto"/>
            <w:hideMark/>
          </w:tcPr>
          <w:p w14:paraId="1B164FFE" w14:textId="77777777" w:rsidR="00296569" w:rsidRPr="0038763E" w:rsidRDefault="00296569" w:rsidP="00C13B91">
            <w:pPr>
              <w:spacing w:after="200"/>
              <w:jc w:val="left"/>
              <w:rPr>
                <w:lang w:val="en-GB"/>
              </w:rPr>
            </w:pPr>
            <w:r w:rsidRPr="0038763E">
              <w:rPr>
                <w:lang w:val="en-GB"/>
              </w:rPr>
              <w:t>Depreciation</w:t>
            </w:r>
          </w:p>
        </w:tc>
        <w:tc>
          <w:tcPr>
            <w:tcW w:w="0" w:type="auto"/>
            <w:hideMark/>
          </w:tcPr>
          <w:p w14:paraId="42077FF7" w14:textId="77777777" w:rsidR="00296569" w:rsidRPr="0038763E" w:rsidRDefault="00296569" w:rsidP="00C13B91">
            <w:pPr>
              <w:spacing w:after="200"/>
              <w:jc w:val="left"/>
              <w:rPr>
                <w:lang w:val="en-GB"/>
              </w:rPr>
            </w:pPr>
            <w:r w:rsidRPr="0038763E">
              <w:rPr>
                <w:lang w:val="en-GB"/>
              </w:rPr>
              <w:t>(65,000)</w:t>
            </w:r>
          </w:p>
        </w:tc>
      </w:tr>
      <w:tr w:rsidR="00296569" w:rsidRPr="0038763E" w14:paraId="707AFBD5" w14:textId="77777777" w:rsidTr="00296569">
        <w:tc>
          <w:tcPr>
            <w:tcW w:w="0" w:type="auto"/>
            <w:hideMark/>
          </w:tcPr>
          <w:p w14:paraId="05716A2E" w14:textId="77777777" w:rsidR="00296569" w:rsidRPr="0038763E" w:rsidRDefault="00296569" w:rsidP="00C13B91">
            <w:pPr>
              <w:spacing w:after="200"/>
              <w:jc w:val="left"/>
              <w:rPr>
                <w:lang w:val="en-GB"/>
              </w:rPr>
            </w:pPr>
            <w:r w:rsidRPr="0038763E">
              <w:rPr>
                <w:lang w:val="en-GB"/>
              </w:rPr>
              <w:t>Profit Before Tax</w:t>
            </w:r>
          </w:p>
        </w:tc>
        <w:tc>
          <w:tcPr>
            <w:tcW w:w="0" w:type="auto"/>
            <w:hideMark/>
          </w:tcPr>
          <w:p w14:paraId="6B03164A" w14:textId="77777777" w:rsidR="00296569" w:rsidRPr="0038763E" w:rsidRDefault="00296569" w:rsidP="00C13B91">
            <w:pPr>
              <w:spacing w:after="200"/>
              <w:jc w:val="left"/>
              <w:rPr>
                <w:lang w:val="en-GB"/>
              </w:rPr>
            </w:pPr>
            <w:r w:rsidRPr="0038763E">
              <w:rPr>
                <w:lang w:val="en-GB"/>
              </w:rPr>
              <w:t>61,350</w:t>
            </w:r>
          </w:p>
        </w:tc>
      </w:tr>
      <w:tr w:rsidR="00296569" w:rsidRPr="0038763E" w14:paraId="1F49F45A" w14:textId="77777777" w:rsidTr="00296569">
        <w:tc>
          <w:tcPr>
            <w:tcW w:w="0" w:type="auto"/>
            <w:hideMark/>
          </w:tcPr>
          <w:p w14:paraId="391C0A66" w14:textId="77777777" w:rsidR="00296569" w:rsidRPr="0038763E" w:rsidRDefault="00296569" w:rsidP="00C13B91">
            <w:pPr>
              <w:spacing w:after="200"/>
              <w:jc w:val="left"/>
              <w:rPr>
                <w:lang w:val="en-GB"/>
              </w:rPr>
            </w:pPr>
            <w:r w:rsidRPr="0038763E">
              <w:rPr>
                <w:lang w:val="en-GB"/>
              </w:rPr>
              <w:t>Corporation Tax</w:t>
            </w:r>
          </w:p>
        </w:tc>
        <w:tc>
          <w:tcPr>
            <w:tcW w:w="0" w:type="auto"/>
            <w:hideMark/>
          </w:tcPr>
          <w:p w14:paraId="03C7B3D0" w14:textId="77777777" w:rsidR="00296569" w:rsidRPr="0038763E" w:rsidRDefault="00296569" w:rsidP="00C13B91">
            <w:pPr>
              <w:spacing w:after="200"/>
              <w:jc w:val="left"/>
              <w:rPr>
                <w:lang w:val="en-GB"/>
              </w:rPr>
            </w:pPr>
            <w:r w:rsidRPr="0038763E">
              <w:rPr>
                <w:lang w:val="en-GB"/>
              </w:rPr>
              <w:t>(15,000)</w:t>
            </w:r>
          </w:p>
        </w:tc>
      </w:tr>
      <w:tr w:rsidR="00296569" w:rsidRPr="0038763E" w14:paraId="36846086" w14:textId="77777777" w:rsidTr="00296569">
        <w:tc>
          <w:tcPr>
            <w:tcW w:w="0" w:type="auto"/>
            <w:hideMark/>
          </w:tcPr>
          <w:p w14:paraId="732FE69A" w14:textId="77777777" w:rsidR="00296569" w:rsidRPr="0038763E" w:rsidRDefault="00296569" w:rsidP="00C13B91">
            <w:pPr>
              <w:spacing w:after="200"/>
              <w:jc w:val="left"/>
              <w:rPr>
                <w:lang w:val="en-GB"/>
              </w:rPr>
            </w:pPr>
            <w:r w:rsidRPr="0038763E">
              <w:rPr>
                <w:b/>
                <w:bCs/>
                <w:lang w:val="en-GB"/>
              </w:rPr>
              <w:t>Net Profit for the Year</w:t>
            </w:r>
          </w:p>
        </w:tc>
        <w:tc>
          <w:tcPr>
            <w:tcW w:w="0" w:type="auto"/>
            <w:hideMark/>
          </w:tcPr>
          <w:p w14:paraId="0FAE8DD8" w14:textId="77777777" w:rsidR="00296569" w:rsidRPr="0038763E" w:rsidRDefault="00296569" w:rsidP="00C13B91">
            <w:pPr>
              <w:spacing w:after="200"/>
              <w:jc w:val="left"/>
              <w:rPr>
                <w:lang w:val="en-GB"/>
              </w:rPr>
            </w:pPr>
            <w:r w:rsidRPr="0038763E">
              <w:rPr>
                <w:b/>
                <w:bCs/>
                <w:lang w:val="en-GB"/>
              </w:rPr>
              <w:t>46,350</w:t>
            </w:r>
          </w:p>
        </w:tc>
      </w:tr>
    </w:tbl>
    <w:p w14:paraId="67E5CE3E" w14:textId="77777777" w:rsidR="00296569" w:rsidRPr="0038763E" w:rsidRDefault="00296569" w:rsidP="0038763E">
      <w:pPr>
        <w:spacing w:before="240"/>
        <w:rPr>
          <w:b/>
          <w:bCs/>
          <w:sz w:val="32"/>
          <w:szCs w:val="28"/>
          <w:lang w:val="en-GB"/>
        </w:rPr>
      </w:pPr>
      <w:bookmarkStart w:id="3" w:name="_Toc163846927"/>
      <w:r w:rsidRPr="0038763E">
        <w:rPr>
          <w:b/>
          <w:bCs/>
          <w:sz w:val="32"/>
          <w:szCs w:val="28"/>
          <w:lang w:val="en-GB"/>
        </w:rPr>
        <w:t>QUESTION 3: Ratios and Analysis for Sweets plc</w:t>
      </w:r>
      <w:bookmarkEnd w:id="3"/>
    </w:p>
    <w:p w14:paraId="762601A1" w14:textId="77777777" w:rsidR="00296569" w:rsidRPr="0038763E" w:rsidRDefault="00296569" w:rsidP="0038763E">
      <w:pPr>
        <w:rPr>
          <w:b/>
          <w:bCs/>
          <w:lang w:val="en-GB"/>
        </w:rPr>
      </w:pPr>
      <w:bookmarkStart w:id="4" w:name="_Toc163846928"/>
      <w:r w:rsidRPr="0038763E">
        <w:rPr>
          <w:b/>
          <w:bCs/>
          <w:lang w:val="en-GB"/>
        </w:rPr>
        <w:t>a. Calculation of Ratios:</w:t>
      </w:r>
      <w:bookmarkEnd w:id="4"/>
    </w:p>
    <w:p w14:paraId="26291916" w14:textId="11B42242" w:rsidR="0086167D" w:rsidRPr="0038763E" w:rsidRDefault="00296569" w:rsidP="00460293">
      <w:pPr>
        <w:rPr>
          <w:b/>
          <w:bCs/>
          <w:lang w:val="en-GB"/>
        </w:rPr>
      </w:pPr>
      <w:r w:rsidRPr="0038763E">
        <w:rPr>
          <w:b/>
          <w:bCs/>
          <w:lang w:val="en-GB"/>
        </w:rPr>
        <w:t>ROCE (Return on Capital Employed)</w:t>
      </w:r>
    </w:p>
    <w:p w14:paraId="4692F978" w14:textId="47DA2E8F" w:rsidR="0086167D" w:rsidRPr="0038763E" w:rsidRDefault="0086167D" w:rsidP="00200EC0">
      <w:pPr>
        <w:rPr>
          <w:rFonts w:eastAsiaTheme="minorEastAsia"/>
          <w:lang w:val="en-GB"/>
        </w:rPr>
      </w:pPr>
      <w:r w:rsidRPr="0038763E">
        <w:rPr>
          <w:rFonts w:eastAsiaTheme="minorEastAsia"/>
          <w:lang w:val="en-GB"/>
        </w:rPr>
        <w:t xml:space="preserve">ROCE= </w:t>
      </w:r>
      <m:oMath>
        <m:f>
          <m:fPr>
            <m:ctrlPr>
              <w:rPr>
                <w:rFonts w:ascii="Cambria Math" w:hAnsi="Cambria Math"/>
                <w:lang w:val="en-GB"/>
              </w:rPr>
            </m:ctrlPr>
          </m:fPr>
          <m:num>
            <m:r>
              <m:rPr>
                <m:sty m:val="p"/>
              </m:rPr>
              <w:rPr>
                <w:rFonts w:ascii="Cambria Math" w:hAnsi="Cambria Math"/>
                <w:lang w:val="en-GB"/>
              </w:rPr>
              <m:t>Operating Profit</m:t>
            </m:r>
          </m:num>
          <m:den>
            <m:r>
              <m:rPr>
                <m:sty m:val="p"/>
              </m:rPr>
              <w:rPr>
                <w:rFonts w:ascii="Cambria Math" w:hAnsi="Cambria Math"/>
                <w:lang w:val="en-GB"/>
              </w:rPr>
              <m:t>Total Asset-Current Liabilities</m:t>
            </m:r>
          </m:den>
        </m:f>
      </m:oMath>
    </w:p>
    <w:p w14:paraId="29F248EB" w14:textId="3F5D9792" w:rsidR="00DE3BEB" w:rsidRPr="0038763E" w:rsidRDefault="00431CEC" w:rsidP="00200EC0">
      <w:pPr>
        <w:rPr>
          <w:rFonts w:ascii="Cambria Math" w:hAnsi="Cambria Math"/>
          <w:lang w:val="en-GB"/>
          <w:oMath/>
        </w:rPr>
      </w:pPr>
      <m:oMath>
        <m:sSub>
          <m:sSubPr>
            <m:ctrlPr>
              <w:rPr>
                <w:rFonts w:ascii="Cambria Math" w:hAnsi="Cambria Math"/>
                <w:lang w:val="en-GB"/>
              </w:rPr>
            </m:ctrlPr>
          </m:sSubPr>
          <m:e>
            <m:r>
              <m:rPr>
                <m:sty m:val="p"/>
              </m:rPr>
              <w:rPr>
                <w:rFonts w:ascii="Cambria Math" w:hAnsi="Cambria Math"/>
                <w:lang w:val="en-GB"/>
              </w:rPr>
              <m:t>ROCE</m:t>
            </m:r>
          </m:e>
          <m:sub>
            <m:r>
              <m:rPr>
                <m:sty m:val="p"/>
              </m:rPr>
              <w:rPr>
                <w:rFonts w:ascii="Cambria Math" w:hAnsi="Cambria Math"/>
                <w:lang w:val="en-GB"/>
              </w:rPr>
              <m:t>2022</m:t>
            </m:r>
          </m:sub>
        </m:sSub>
      </m:oMath>
      <w:r w:rsidR="0086167D" w:rsidRPr="0038763E">
        <w:rPr>
          <w:lang w:val="en-GB"/>
        </w:rPr>
        <w:t xml:space="preserve">= </w:t>
      </w:r>
      <m:oMath>
        <m:f>
          <m:fPr>
            <m:ctrlPr>
              <w:rPr>
                <w:rFonts w:ascii="Cambria Math" w:hAnsi="Cambria Math"/>
                <w:lang w:val="en-GB"/>
              </w:rPr>
            </m:ctrlPr>
          </m:fPr>
          <m:num>
            <m:r>
              <m:rPr>
                <m:sty m:val="p"/>
              </m:rPr>
              <w:rPr>
                <w:rFonts w:ascii="Cambria Math" w:hAnsi="Cambria Math"/>
                <w:lang w:val="en-GB"/>
              </w:rPr>
              <m:t>805m</m:t>
            </m:r>
          </m:num>
          <m:den>
            <m:r>
              <m:rPr>
                <m:sty m:val="p"/>
              </m:rPr>
              <w:rPr>
                <w:rFonts w:ascii="Cambria Math" w:hAnsi="Cambria Math"/>
                <w:lang w:val="en-GB"/>
              </w:rPr>
              <m:t>9,736m-2,511m</m:t>
            </m:r>
          </m:den>
        </m:f>
        <m:r>
          <m:rPr>
            <m:sty m:val="p"/>
          </m:rPr>
          <w:rPr>
            <w:rFonts w:ascii="Cambria Math" w:hAnsi="Cambria Math"/>
            <w:lang w:val="en-GB"/>
          </w:rPr>
          <m:t>=</m:t>
        </m:r>
        <m:f>
          <m:fPr>
            <m:ctrlPr>
              <w:rPr>
                <w:rFonts w:ascii="Cambria Math" w:hAnsi="Cambria Math"/>
                <w:lang w:val="en-GB"/>
              </w:rPr>
            </m:ctrlPr>
          </m:fPr>
          <m:num>
            <m:r>
              <m:rPr>
                <m:sty m:val="p"/>
              </m:rPr>
              <w:rPr>
                <w:rFonts w:ascii="Cambria Math" w:hAnsi="Cambria Math"/>
                <w:lang w:val="en-GB"/>
              </w:rPr>
              <m:t>805</m:t>
            </m:r>
          </m:num>
          <m:den>
            <m:r>
              <m:rPr>
                <m:sty m:val="p"/>
              </m:rPr>
              <w:rPr>
                <w:rFonts w:ascii="Cambria Math" w:hAnsi="Cambria Math"/>
                <w:lang w:val="en-GB"/>
              </w:rPr>
              <m:t>7,225</m:t>
            </m:r>
          </m:den>
        </m:f>
      </m:oMath>
      <w:r w:rsidR="00460293" w:rsidRPr="0038763E">
        <w:rPr>
          <w:rFonts w:eastAsiaTheme="minorEastAsia"/>
          <w:lang w:val="en-GB"/>
        </w:rPr>
        <w:t xml:space="preserve"> = 0.1115</w:t>
      </w:r>
    </w:p>
    <w:p w14:paraId="08D5D5C7" w14:textId="491075B5" w:rsidR="00460293" w:rsidRPr="0038763E" w:rsidRDefault="00F12C3B" w:rsidP="00200EC0">
      <w:pPr>
        <w:rPr>
          <w:rFonts w:ascii="Cambria Math" w:hAnsi="Cambria Math"/>
          <w:lang w:val="en-GB"/>
          <w:oMath/>
        </w:rPr>
      </w:pPr>
      <m:oMath>
        <m:r>
          <m:rPr>
            <m:sty m:val="p"/>
          </m:rPr>
          <w:rPr>
            <w:rFonts w:ascii="Cambria Math" w:hAnsi="Cambria Math"/>
            <w:lang w:val="en-GB"/>
          </w:rPr>
          <m:t>​</m:t>
        </m:r>
        <m:sSub>
          <m:sSubPr>
            <m:ctrlPr>
              <w:rPr>
                <w:rFonts w:ascii="Cambria Math" w:hAnsi="Cambria Math"/>
                <w:lang w:val="en-GB"/>
              </w:rPr>
            </m:ctrlPr>
          </m:sSubPr>
          <m:e>
            <m:r>
              <m:rPr>
                <m:sty m:val="p"/>
              </m:rPr>
              <w:rPr>
                <w:rFonts w:ascii="Cambria Math" w:hAnsi="Cambria Math"/>
                <w:lang w:val="en-GB"/>
              </w:rPr>
              <m:t>ROCE</m:t>
            </m:r>
          </m:e>
          <m:sub>
            <m:r>
              <m:rPr>
                <m:sty m:val="p"/>
              </m:rPr>
              <w:rPr>
                <w:rFonts w:ascii="Cambria Math" w:hAnsi="Cambria Math"/>
                <w:lang w:val="en-GB"/>
              </w:rPr>
              <m:t>2021</m:t>
            </m:r>
          </m:sub>
        </m:sSub>
      </m:oMath>
      <w:r w:rsidR="00460293" w:rsidRPr="0038763E">
        <w:rPr>
          <w:rFonts w:ascii="Cambria Math" w:hAnsi="Cambria Math"/>
          <w:lang w:val="en-GB"/>
        </w:rPr>
        <w:t xml:space="preserve">= </w:t>
      </w:r>
      <m:oMath>
        <m:f>
          <m:fPr>
            <m:ctrlPr>
              <w:rPr>
                <w:rFonts w:ascii="Cambria Math" w:hAnsi="Cambria Math"/>
                <w:lang w:val="en-GB"/>
              </w:rPr>
            </m:ctrlPr>
          </m:fPr>
          <m:num>
            <m:r>
              <m:rPr>
                <m:sty m:val="p"/>
              </m:rPr>
              <w:rPr>
                <w:rFonts w:ascii="Cambria Math" w:hAnsi="Cambria Math"/>
                <w:lang w:val="en-GB"/>
              </w:rPr>
              <m:t>699m</m:t>
            </m:r>
          </m:num>
          <m:den>
            <m:r>
              <m:rPr>
                <m:sty m:val="p"/>
              </m:rPr>
              <w:rPr>
                <w:rFonts w:ascii="Cambria Math" w:hAnsi="Cambria Math"/>
                <w:lang w:val="en-GB"/>
              </w:rPr>
              <m:t>10,087m-3,046 m</m:t>
            </m:r>
          </m:den>
        </m:f>
        <m:r>
          <m:rPr>
            <m:sty m:val="p"/>
          </m:rPr>
          <w:rPr>
            <w:rFonts w:ascii="Cambria Math" w:hAnsi="Cambria Math"/>
            <w:lang w:val="en-GB"/>
          </w:rPr>
          <m:t>=</m:t>
        </m:r>
        <m:f>
          <m:fPr>
            <m:ctrlPr>
              <w:rPr>
                <w:rFonts w:ascii="Cambria Math" w:hAnsi="Cambria Math"/>
                <w:lang w:val="en-GB"/>
              </w:rPr>
            </m:ctrlPr>
          </m:fPr>
          <m:num>
            <m:r>
              <m:rPr>
                <m:sty m:val="p"/>
              </m:rPr>
              <w:rPr>
                <w:rFonts w:ascii="Cambria Math" w:hAnsi="Cambria Math"/>
                <w:lang w:val="en-GB"/>
              </w:rPr>
              <m:t>699</m:t>
            </m:r>
          </m:num>
          <m:den>
            <m:r>
              <m:rPr>
                <m:sty m:val="p"/>
              </m:rPr>
              <w:rPr>
                <w:rFonts w:ascii="Cambria Math" w:hAnsi="Cambria Math"/>
                <w:lang w:val="en-GB"/>
              </w:rPr>
              <m:t>7,041</m:t>
            </m:r>
          </m:den>
        </m:f>
      </m:oMath>
      <w:r w:rsidR="00460293" w:rsidRPr="0038763E">
        <w:rPr>
          <w:rFonts w:ascii="Cambria Math" w:hAnsi="Cambria Math"/>
          <w:lang w:val="en-GB"/>
        </w:rPr>
        <w:t xml:space="preserve"> = 0.0993</w:t>
      </w:r>
    </w:p>
    <w:p w14:paraId="66AFF00F" w14:textId="41C2CBE0" w:rsidR="000E2110" w:rsidRPr="0038763E" w:rsidRDefault="00296569" w:rsidP="00460293">
      <w:pPr>
        <w:rPr>
          <w:b/>
          <w:bCs/>
          <w:lang w:val="en-GB"/>
        </w:rPr>
      </w:pPr>
      <w:r w:rsidRPr="0038763E">
        <w:rPr>
          <w:b/>
          <w:bCs/>
          <w:lang w:val="en-GB"/>
        </w:rPr>
        <w:t xml:space="preserve">ROE (Return on Equity) </w:t>
      </w:r>
    </w:p>
    <w:p w14:paraId="088DE85E" w14:textId="29E4D93D" w:rsidR="00296569" w:rsidRPr="0038763E" w:rsidRDefault="00D600EC" w:rsidP="00460293">
      <w:pPr>
        <w:rPr>
          <w:lang w:val="en-GB"/>
        </w:rPr>
      </w:pPr>
      <w:r w:rsidRPr="0038763E">
        <w:rPr>
          <w:lang w:val="en-GB"/>
        </w:rPr>
        <w:t xml:space="preserve">ROE = </w:t>
      </w:r>
      <m:oMath>
        <m:f>
          <m:fPr>
            <m:ctrlPr>
              <w:rPr>
                <w:rFonts w:ascii="Cambria Math" w:hAnsi="Cambria Math"/>
                <w:lang w:val="en-GB"/>
              </w:rPr>
            </m:ctrlPr>
          </m:fPr>
          <m:num>
            <m:r>
              <m:rPr>
                <m:sty m:val="p"/>
              </m:rPr>
              <w:rPr>
                <w:rFonts w:ascii="Cambria Math" w:hAnsi="Cambria Math"/>
                <w:lang w:val="en-GB"/>
              </w:rPr>
              <m:t xml:space="preserve">Profit for the Year </m:t>
            </m:r>
          </m:num>
          <m:den>
            <m:r>
              <m:rPr>
                <m:sty m:val="p"/>
              </m:rPr>
              <w:rPr>
                <w:rFonts w:ascii="Cambria Math" w:hAnsi="Cambria Math"/>
                <w:lang w:val="en-GB"/>
              </w:rPr>
              <m:t>Average Shareholders' Equity</m:t>
            </m:r>
          </m:den>
        </m:f>
      </m:oMath>
      <w:r w:rsidR="00296569" w:rsidRPr="0038763E">
        <w:rPr>
          <w:lang w:val="en-GB"/>
        </w:rPr>
        <w:t xml:space="preserve"> </w:t>
      </w:r>
    </w:p>
    <w:p w14:paraId="543C0ACE" w14:textId="6BDE36A1" w:rsidR="000E2110" w:rsidRPr="0038763E" w:rsidRDefault="00D600EC" w:rsidP="00D600EC">
      <w:pPr>
        <w:rPr>
          <w:rFonts w:eastAsiaTheme="minorEastAsia"/>
          <w:lang w:val="en-GB"/>
        </w:rPr>
      </w:pPr>
      <w:r w:rsidRPr="0038763E">
        <w:rPr>
          <w:lang w:val="en-GB"/>
        </w:rPr>
        <w:t xml:space="preserve">Average Shareholders’ Equity = </w:t>
      </w:r>
      <m:oMath>
        <m:f>
          <m:fPr>
            <m:ctrlPr>
              <w:rPr>
                <w:rFonts w:ascii="Cambria Math" w:hAnsi="Cambria Math"/>
                <w:lang w:val="en-GB"/>
              </w:rPr>
            </m:ctrlPr>
          </m:fPr>
          <m:num>
            <m:r>
              <m:rPr>
                <m:sty m:val="p"/>
              </m:rPr>
              <w:rPr>
                <w:rFonts w:ascii="Cambria Math" w:hAnsi="Cambria Math"/>
                <w:lang w:val="en-GB"/>
              </w:rPr>
              <m:t>Opening Shareholders ' Equity + Closing Shareholders' Equity</m:t>
            </m:r>
          </m:num>
          <m:den>
            <m:r>
              <m:rPr>
                <m:sty m:val="p"/>
              </m:rPr>
              <w:rPr>
                <w:rFonts w:ascii="Cambria Math" w:hAnsi="Cambria Math"/>
                <w:lang w:val="en-GB"/>
              </w:rPr>
              <m:t>2</m:t>
            </m:r>
          </m:den>
        </m:f>
      </m:oMath>
    </w:p>
    <w:p w14:paraId="0CEA0F1E" w14:textId="1B9AFB4B" w:rsidR="00D600EC" w:rsidRPr="0038763E" w:rsidRDefault="00431CEC" w:rsidP="00D600EC">
      <w:pPr>
        <w:rPr>
          <w:rFonts w:eastAsiaTheme="minorEastAsia"/>
          <w:lang w:val="en-GB"/>
        </w:rPr>
      </w:pPr>
      <m:oMath>
        <m:sSub>
          <m:sSubPr>
            <m:ctrlPr>
              <w:rPr>
                <w:rFonts w:ascii="Cambria Math" w:hAnsi="Cambria Math"/>
                <w:lang w:val="en-GB"/>
              </w:rPr>
            </m:ctrlPr>
          </m:sSubPr>
          <m:e>
            <m:r>
              <m:rPr>
                <m:sty m:val="p"/>
              </m:rPr>
              <w:rPr>
                <w:rFonts w:ascii="Cambria Math" w:hAnsi="Cambria Math"/>
                <w:lang w:val="en-GB"/>
              </w:rPr>
              <m:t>ROE</m:t>
            </m:r>
          </m:e>
          <m:sub>
            <m:r>
              <m:rPr>
                <m:sty m:val="p"/>
              </m:rPr>
              <w:rPr>
                <w:rFonts w:ascii="Cambria Math" w:hAnsi="Cambria Math"/>
                <w:lang w:val="en-GB"/>
              </w:rPr>
              <m:t>2022</m:t>
            </m:r>
          </m:sub>
        </m:sSub>
      </m:oMath>
      <w:r w:rsidR="00D600EC" w:rsidRPr="0038763E">
        <w:rPr>
          <w:lang w:val="en-GB"/>
        </w:rPr>
        <w:t xml:space="preserve"> = </w:t>
      </w:r>
      <m:oMath>
        <m:f>
          <m:fPr>
            <m:ctrlPr>
              <w:rPr>
                <w:rFonts w:ascii="Cambria Math" w:hAnsi="Cambria Math"/>
                <w:lang w:val="en-GB"/>
              </w:rPr>
            </m:ctrlPr>
          </m:fPr>
          <m:num>
            <m:r>
              <m:rPr>
                <m:sty m:val="p"/>
              </m:rPr>
              <w:rPr>
                <w:rFonts w:ascii="Cambria Math" w:hAnsi="Cambria Math"/>
                <w:lang w:val="en-GB"/>
              </w:rPr>
              <m:t xml:space="preserve">431 m </m:t>
            </m:r>
          </m:num>
          <m:den>
            <m:f>
              <m:fPr>
                <m:ctrlPr>
                  <w:rPr>
                    <w:rFonts w:ascii="Cambria Math" w:hAnsi="Cambria Math"/>
                    <w:lang w:val="en-GB"/>
                  </w:rPr>
                </m:ctrlPr>
              </m:fPr>
              <m:num>
                <m:r>
                  <m:rPr>
                    <m:sty m:val="p"/>
                  </m:rPr>
                  <w:rPr>
                    <w:rFonts w:ascii="Cambria Math" w:hAnsi="Cambria Math"/>
                    <w:lang w:val="en-GB"/>
                  </w:rPr>
                  <m:t>2,912 m+3,088 m</m:t>
                </m:r>
              </m:num>
              <m:den>
                <m:r>
                  <m:rPr>
                    <m:sty m:val="p"/>
                  </m:rPr>
                  <w:rPr>
                    <w:rFonts w:ascii="Cambria Math" w:hAnsi="Cambria Math"/>
                    <w:lang w:val="en-GB"/>
                  </w:rPr>
                  <m:t>2</m:t>
                </m:r>
              </m:den>
            </m:f>
          </m:den>
        </m:f>
      </m:oMath>
      <w:r w:rsidR="0052521E" w:rsidRPr="0038763E">
        <w:rPr>
          <w:rFonts w:eastAsiaTheme="minorEastAsia"/>
          <w:lang w:val="en-GB"/>
        </w:rPr>
        <w:t xml:space="preserve"> = </w:t>
      </w:r>
      <m:oMath>
        <m:f>
          <m:fPr>
            <m:ctrlPr>
              <w:rPr>
                <w:rFonts w:ascii="Cambria Math" w:eastAsiaTheme="minorEastAsia" w:hAnsi="Cambria Math"/>
                <w:lang w:val="en-GB"/>
              </w:rPr>
            </m:ctrlPr>
          </m:fPr>
          <m:num>
            <m:r>
              <m:rPr>
                <m:sty m:val="p"/>
              </m:rPr>
              <w:rPr>
                <w:rFonts w:ascii="Cambria Math" w:eastAsiaTheme="minorEastAsia" w:hAnsi="Cambria Math"/>
                <w:lang w:val="en-GB"/>
              </w:rPr>
              <m:t>431</m:t>
            </m:r>
          </m:num>
          <m:den>
            <m:r>
              <m:rPr>
                <m:sty m:val="p"/>
              </m:rPr>
              <w:rPr>
                <w:rFonts w:ascii="Cambria Math" w:eastAsiaTheme="minorEastAsia" w:hAnsi="Cambria Math"/>
                <w:lang w:val="en-GB"/>
              </w:rPr>
              <m:t>3,000</m:t>
            </m:r>
          </m:den>
        </m:f>
        <m:r>
          <m:rPr>
            <m:sty m:val="p"/>
          </m:rPr>
          <w:rPr>
            <w:rFonts w:ascii="Cambria Math" w:eastAsiaTheme="minorEastAsia"/>
            <w:lang w:val="en-GB"/>
          </w:rPr>
          <m:t>=0.1437</m:t>
        </m:r>
      </m:oMath>
    </w:p>
    <w:p w14:paraId="2CABED1A" w14:textId="68A4111C" w:rsidR="0052521E" w:rsidRPr="0038763E" w:rsidRDefault="00431CEC" w:rsidP="00D600EC">
      <w:pPr>
        <w:rPr>
          <w:rFonts w:eastAsiaTheme="minorEastAsia"/>
          <w:lang w:val="en-GB"/>
        </w:rPr>
      </w:pPr>
      <m:oMath>
        <m:sSub>
          <m:sSubPr>
            <m:ctrlPr>
              <w:rPr>
                <w:rFonts w:ascii="Cambria Math" w:hAnsi="Cambria Math"/>
                <w:lang w:val="en-GB"/>
              </w:rPr>
            </m:ctrlPr>
          </m:sSubPr>
          <m:e>
            <m:r>
              <m:rPr>
                <m:sty m:val="p"/>
              </m:rPr>
              <w:rPr>
                <w:rFonts w:ascii="Cambria Math" w:hAnsi="Cambria Math"/>
                <w:lang w:val="en-GB"/>
              </w:rPr>
              <m:t>ROE</m:t>
            </m:r>
          </m:e>
          <m:sub>
            <m:r>
              <m:rPr>
                <m:sty m:val="p"/>
              </m:rPr>
              <w:rPr>
                <w:rFonts w:ascii="Cambria Math" w:hAnsi="Cambria Math"/>
                <w:lang w:val="en-GB"/>
              </w:rPr>
              <m:t>2021</m:t>
            </m:r>
          </m:sub>
        </m:sSub>
      </m:oMath>
      <w:r w:rsidR="0052521E" w:rsidRPr="0038763E">
        <w:rPr>
          <w:lang w:val="en-GB"/>
        </w:rPr>
        <w:t xml:space="preserve"> = </w:t>
      </w:r>
      <m:oMath>
        <m:f>
          <m:fPr>
            <m:ctrlPr>
              <w:rPr>
                <w:rFonts w:ascii="Cambria Math" w:hAnsi="Cambria Math"/>
                <w:lang w:val="en-GB"/>
              </w:rPr>
            </m:ctrlPr>
          </m:fPr>
          <m:num>
            <m:r>
              <m:rPr>
                <m:sty m:val="p"/>
              </m:rPr>
              <w:rPr>
                <w:rFonts w:ascii="Cambria Math" w:hAnsi="Cambria Math"/>
                <w:lang w:val="en-GB"/>
              </w:rPr>
              <m:t xml:space="preserve">366 m </m:t>
            </m:r>
          </m:num>
          <m:den>
            <m:f>
              <m:fPr>
                <m:ctrlPr>
                  <w:rPr>
                    <w:rFonts w:ascii="Cambria Math" w:hAnsi="Cambria Math"/>
                    <w:lang w:val="en-GB"/>
                  </w:rPr>
                </m:ctrlPr>
              </m:fPr>
              <m:num>
                <m:r>
                  <m:rPr>
                    <m:sty m:val="p"/>
                  </m:rPr>
                  <w:rPr>
                    <w:rFonts w:ascii="Cambria Math" w:hAnsi="Cambria Math"/>
                    <w:lang w:val="en-GB"/>
                  </w:rPr>
                  <m:t>2,912 m+2, 912 m</m:t>
                </m:r>
              </m:num>
              <m:den>
                <m:r>
                  <m:rPr>
                    <m:sty m:val="p"/>
                  </m:rPr>
                  <w:rPr>
                    <w:rFonts w:ascii="Cambria Math" w:hAnsi="Cambria Math"/>
                    <w:lang w:val="en-GB"/>
                  </w:rPr>
                  <m:t>2</m:t>
                </m:r>
              </m:den>
            </m:f>
          </m:den>
        </m:f>
      </m:oMath>
      <w:r w:rsidR="0052521E" w:rsidRPr="0038763E">
        <w:rPr>
          <w:lang w:val="en-GB"/>
        </w:rPr>
        <w:t xml:space="preserve"> = </w:t>
      </w:r>
      <m:oMath>
        <m:f>
          <m:fPr>
            <m:ctrlPr>
              <w:rPr>
                <w:rFonts w:ascii="Cambria Math" w:hAnsi="Cambria Math"/>
                <w:lang w:val="en-GB"/>
              </w:rPr>
            </m:ctrlPr>
          </m:fPr>
          <m:num>
            <m:r>
              <m:rPr>
                <m:sty m:val="p"/>
              </m:rPr>
              <w:rPr>
                <w:rFonts w:ascii="Cambria Math" w:hAnsi="Cambria Math"/>
                <w:lang w:val="en-GB"/>
              </w:rPr>
              <m:t>366</m:t>
            </m:r>
          </m:num>
          <m:den>
            <m:r>
              <m:rPr>
                <m:sty m:val="p"/>
              </m:rPr>
              <w:rPr>
                <w:rFonts w:ascii="Cambria Math" w:hAnsi="Cambria Math"/>
                <w:lang w:val="en-GB"/>
              </w:rPr>
              <m:t>2,912</m:t>
            </m:r>
          </m:den>
        </m:f>
        <m:r>
          <m:rPr>
            <m:sty m:val="p"/>
          </m:rPr>
          <w:rPr>
            <w:rFonts w:ascii="Cambria Math" w:hAnsi="Cambria Math"/>
            <w:lang w:val="en-GB"/>
          </w:rPr>
          <m:t>=0.1257</m:t>
        </m:r>
      </m:oMath>
    </w:p>
    <w:p w14:paraId="4BFBA694" w14:textId="77777777" w:rsidR="00A97580" w:rsidRPr="0038763E" w:rsidRDefault="00296569" w:rsidP="00D600EC">
      <w:pPr>
        <w:rPr>
          <w:b/>
          <w:bCs/>
          <w:lang w:val="en-GB"/>
        </w:rPr>
      </w:pPr>
      <w:r w:rsidRPr="0038763E">
        <w:rPr>
          <w:b/>
          <w:bCs/>
          <w:lang w:val="en-GB"/>
        </w:rPr>
        <w:t xml:space="preserve">Earnings per Share </w:t>
      </w:r>
    </w:p>
    <w:p w14:paraId="47180AF5" w14:textId="2272EBD4" w:rsidR="00296569" w:rsidRPr="0038763E" w:rsidRDefault="00A97580" w:rsidP="00D600EC">
      <w:pPr>
        <w:rPr>
          <w:rFonts w:eastAsiaTheme="minorEastAsia"/>
          <w:lang w:val="en-GB"/>
        </w:rPr>
      </w:pPr>
      <w:r w:rsidRPr="0038763E">
        <w:rPr>
          <w:lang w:val="en-GB"/>
        </w:rPr>
        <w:t xml:space="preserve">EPS </w:t>
      </w:r>
      <w:r w:rsidR="00296569" w:rsidRPr="0038763E">
        <w:rPr>
          <w:lang w:val="en-GB"/>
        </w:rPr>
        <w:t xml:space="preserve">= </w:t>
      </w:r>
      <m:oMath>
        <m:f>
          <m:fPr>
            <m:ctrlPr>
              <w:rPr>
                <w:rFonts w:ascii="Cambria Math" w:hAnsi="Cambria Math"/>
                <w:lang w:val="en-GB"/>
              </w:rPr>
            </m:ctrlPr>
          </m:fPr>
          <m:num>
            <m:r>
              <m:rPr>
                <m:sty m:val="p"/>
              </m:rPr>
              <w:rPr>
                <w:rFonts w:ascii="Cambria Math" w:hAnsi="Cambria Math"/>
                <w:lang w:val="en-GB"/>
              </w:rPr>
              <m:t xml:space="preserve">Profit for the Year </m:t>
            </m:r>
          </m:num>
          <m:den>
            <m:r>
              <m:rPr>
                <m:sty m:val="p"/>
              </m:rPr>
              <w:rPr>
                <w:rFonts w:ascii="Cambria Math" w:hAnsi="Cambria Math"/>
                <w:lang w:val="en-GB"/>
              </w:rPr>
              <m:t>Number of Ordinary Shares</m:t>
            </m:r>
          </m:den>
        </m:f>
      </m:oMath>
    </w:p>
    <w:p w14:paraId="3E5E39AB" w14:textId="085899D5" w:rsidR="00A97580" w:rsidRPr="0038763E" w:rsidRDefault="00431CEC" w:rsidP="00A97580">
      <w:pPr>
        <w:rPr>
          <w:lang w:val="en-GB"/>
        </w:rPr>
      </w:pPr>
      <m:oMath>
        <m:sSub>
          <m:sSubPr>
            <m:ctrlPr>
              <w:rPr>
                <w:rFonts w:ascii="Cambria Math" w:hAnsi="Cambria Math"/>
                <w:lang w:val="en-GB"/>
              </w:rPr>
            </m:ctrlPr>
          </m:sSubPr>
          <m:e>
            <m:r>
              <m:rPr>
                <m:sty m:val="p"/>
              </m:rPr>
              <w:rPr>
                <w:rFonts w:ascii="Cambria Math" w:hAnsi="Cambria Math"/>
                <w:lang w:val="en-GB"/>
              </w:rPr>
              <m:t>EPS</m:t>
            </m:r>
          </m:e>
          <m:sub>
            <m:r>
              <m:rPr>
                <m:sty m:val="p"/>
              </m:rPr>
              <w:rPr>
                <w:rFonts w:ascii="Cambria Math" w:hAnsi="Cambria Math"/>
                <w:lang w:val="en-GB"/>
              </w:rPr>
              <m:t>2022</m:t>
            </m:r>
          </m:sub>
        </m:sSub>
      </m:oMath>
      <w:r w:rsidR="00A97580" w:rsidRPr="0038763E">
        <w:rPr>
          <w:lang w:val="en-GB"/>
        </w:rPr>
        <w:t xml:space="preserve"> = </w:t>
      </w:r>
      <m:oMath>
        <m:f>
          <m:fPr>
            <m:ctrlPr>
              <w:rPr>
                <w:rFonts w:ascii="Cambria Math" w:hAnsi="Cambria Math"/>
                <w:lang w:val="en-GB"/>
              </w:rPr>
            </m:ctrlPr>
          </m:fPr>
          <m:num>
            <m:r>
              <m:rPr>
                <m:sty m:val="p"/>
              </m:rPr>
              <w:rPr>
                <w:rFonts w:ascii="Cambria Math" w:hAnsi="Cambria Math"/>
                <w:lang w:val="en-GB"/>
              </w:rPr>
              <m:t xml:space="preserve">431 </m:t>
            </m:r>
          </m:num>
          <m:den>
            <m:sSub>
              <m:sSubPr>
                <m:ctrlPr>
                  <w:rPr>
                    <w:rFonts w:ascii="Cambria Math" w:hAnsi="Cambria Math"/>
                    <w:lang w:val="en-GB"/>
                  </w:rPr>
                </m:ctrlPr>
              </m:sSubPr>
              <m:e>
                <m:r>
                  <m:rPr>
                    <m:sty m:val="p"/>
                  </m:rPr>
                  <w:rPr>
                    <w:rFonts w:ascii="Cambria Math" w:hAnsi="Cambria Math"/>
                    <w:lang w:val="en-GB"/>
                  </w:rPr>
                  <m:t>Number of Ordinary Shares</m:t>
                </m:r>
              </m:e>
              <m:sub>
                <m:r>
                  <m:rPr>
                    <m:sty m:val="p"/>
                  </m:rPr>
                  <w:rPr>
                    <w:rFonts w:ascii="Cambria Math" w:hAnsi="Cambria Math"/>
                    <w:lang w:val="en-GB"/>
                  </w:rPr>
                  <m:t>2022</m:t>
                </m:r>
              </m:sub>
            </m:sSub>
          </m:den>
        </m:f>
      </m:oMath>
    </w:p>
    <w:p w14:paraId="66FA9BFE" w14:textId="60338E18" w:rsidR="00A97580" w:rsidRPr="0038763E" w:rsidRDefault="00431CEC" w:rsidP="00A97580">
      <w:pPr>
        <w:rPr>
          <w:lang w:val="en-GB"/>
        </w:rPr>
      </w:pPr>
      <m:oMath>
        <m:sSub>
          <m:sSubPr>
            <m:ctrlPr>
              <w:rPr>
                <w:rFonts w:ascii="Cambria Math" w:hAnsi="Cambria Math"/>
                <w:lang w:val="en-GB"/>
              </w:rPr>
            </m:ctrlPr>
          </m:sSubPr>
          <m:e>
            <m:r>
              <m:rPr>
                <m:sty m:val="p"/>
              </m:rPr>
              <w:rPr>
                <w:rFonts w:ascii="Cambria Math" w:hAnsi="Cambria Math"/>
                <w:lang w:val="en-GB"/>
              </w:rPr>
              <m:t>EPS</m:t>
            </m:r>
          </m:e>
          <m:sub>
            <m:r>
              <m:rPr>
                <m:sty m:val="p"/>
              </m:rPr>
              <w:rPr>
                <w:rFonts w:ascii="Cambria Math" w:hAnsi="Cambria Math"/>
                <w:lang w:val="en-GB"/>
              </w:rPr>
              <m:t>2021</m:t>
            </m:r>
          </m:sub>
        </m:sSub>
      </m:oMath>
      <w:r w:rsidR="00A97580" w:rsidRPr="0038763E">
        <w:rPr>
          <w:lang w:val="en-GB"/>
        </w:rPr>
        <w:t xml:space="preserve"> = </w:t>
      </w:r>
      <m:oMath>
        <m:f>
          <m:fPr>
            <m:ctrlPr>
              <w:rPr>
                <w:rFonts w:ascii="Cambria Math" w:hAnsi="Cambria Math"/>
                <w:lang w:val="en-GB"/>
              </w:rPr>
            </m:ctrlPr>
          </m:fPr>
          <m:num>
            <m:r>
              <m:rPr>
                <m:sty m:val="p"/>
              </m:rPr>
              <w:rPr>
                <w:rFonts w:ascii="Cambria Math" w:hAnsi="Cambria Math"/>
                <w:lang w:val="en-GB"/>
              </w:rPr>
              <m:t>366</m:t>
            </m:r>
          </m:num>
          <m:den>
            <m:sSub>
              <m:sSubPr>
                <m:ctrlPr>
                  <w:rPr>
                    <w:rFonts w:ascii="Cambria Math" w:hAnsi="Cambria Math"/>
                    <w:lang w:val="en-GB"/>
                  </w:rPr>
                </m:ctrlPr>
              </m:sSubPr>
              <m:e>
                <m:r>
                  <m:rPr>
                    <m:sty m:val="p"/>
                  </m:rPr>
                  <w:rPr>
                    <w:rFonts w:ascii="Cambria Math" w:hAnsi="Cambria Math"/>
                    <w:lang w:val="en-GB"/>
                  </w:rPr>
                  <m:t>Number of Ordinary Shares</m:t>
                </m:r>
              </m:e>
              <m:sub>
                <m:r>
                  <m:rPr>
                    <m:sty m:val="p"/>
                  </m:rPr>
                  <w:rPr>
                    <w:rFonts w:ascii="Cambria Math" w:hAnsi="Cambria Math"/>
                    <w:lang w:val="en-GB"/>
                  </w:rPr>
                  <m:t>2021</m:t>
                </m:r>
              </m:sub>
            </m:sSub>
          </m:den>
        </m:f>
      </m:oMath>
    </w:p>
    <w:p w14:paraId="33CD3568" w14:textId="77777777" w:rsidR="00A97580" w:rsidRPr="0038763E" w:rsidRDefault="00A97580" w:rsidP="00D600EC">
      <w:pPr>
        <w:rPr>
          <w:b/>
          <w:bCs/>
          <w:lang w:val="en-GB"/>
        </w:rPr>
      </w:pPr>
      <w:r w:rsidRPr="0038763E">
        <w:rPr>
          <w:b/>
          <w:bCs/>
          <w:lang w:val="en-GB"/>
        </w:rPr>
        <w:t xml:space="preserve">Net Profit Margin </w:t>
      </w:r>
    </w:p>
    <w:p w14:paraId="00692450" w14:textId="72F4666A" w:rsidR="00296569" w:rsidRPr="0038763E" w:rsidRDefault="00296569" w:rsidP="00D600EC">
      <w:pPr>
        <w:rPr>
          <w:rFonts w:eastAsiaTheme="minorEastAsia"/>
          <w:lang w:val="en-GB"/>
        </w:rPr>
      </w:pPr>
      <w:r w:rsidRPr="0038763E">
        <w:rPr>
          <w:lang w:val="en-GB"/>
        </w:rPr>
        <w:t>Net Profit Margin =</w:t>
      </w:r>
      <w:r w:rsidR="00A97580" w:rsidRPr="0038763E">
        <w:rPr>
          <w:lang w:val="en-GB"/>
        </w:rPr>
        <w:t>(</w:t>
      </w:r>
      <w:r w:rsidRPr="0038763E">
        <w:rPr>
          <w:lang w:val="en-GB"/>
        </w:rPr>
        <w:t xml:space="preserve"> </w:t>
      </w:r>
      <m:oMath>
        <m:f>
          <m:fPr>
            <m:ctrlPr>
              <w:rPr>
                <w:rFonts w:ascii="Cambria Math" w:hAnsi="Cambria Math"/>
                <w:lang w:val="en-GB"/>
              </w:rPr>
            </m:ctrlPr>
          </m:fPr>
          <m:num>
            <m:r>
              <m:rPr>
                <m:sty m:val="p"/>
              </m:rPr>
              <w:rPr>
                <w:rFonts w:ascii="Cambria Math" w:hAnsi="Cambria Math"/>
                <w:lang w:val="en-GB"/>
              </w:rPr>
              <m:t xml:space="preserve">Profit Before Tax  </m:t>
            </m:r>
          </m:num>
          <m:den>
            <m:r>
              <m:rPr>
                <m:sty m:val="p"/>
              </m:rPr>
              <w:rPr>
                <w:rFonts w:ascii="Cambria Math" w:hAnsi="Cambria Math"/>
                <w:lang w:val="en-GB"/>
              </w:rPr>
              <m:t>Revenue</m:t>
            </m:r>
          </m:den>
        </m:f>
        <m:r>
          <m:rPr>
            <m:sty m:val="p"/>
          </m:rPr>
          <w:rPr>
            <w:rFonts w:ascii="Cambria Math" w:hAnsi="Cambria Math"/>
            <w:lang w:val="en-GB"/>
          </w:rPr>
          <m:t>)×100</m:t>
        </m:r>
      </m:oMath>
    </w:p>
    <w:p w14:paraId="482227B5" w14:textId="4A68EC6E" w:rsidR="00A97580" w:rsidRPr="0038763E" w:rsidRDefault="00431CEC" w:rsidP="00A97580">
      <w:pPr>
        <w:rPr>
          <w:lang w:val="en-GB"/>
        </w:rPr>
      </w:pPr>
      <m:oMath>
        <m:sSub>
          <m:sSubPr>
            <m:ctrlPr>
              <w:rPr>
                <w:rFonts w:ascii="Cambria Math" w:hAnsi="Cambria Math"/>
                <w:lang w:val="en-GB"/>
              </w:rPr>
            </m:ctrlPr>
          </m:sSubPr>
          <m:e>
            <m:r>
              <m:rPr>
                <m:sty m:val="p"/>
              </m:rPr>
              <w:rPr>
                <w:rFonts w:ascii="Cambria Math" w:hAnsi="Cambria Math"/>
                <w:lang w:val="en-GB"/>
              </w:rPr>
              <m:t xml:space="preserve">Net Profit Margin </m:t>
            </m:r>
          </m:e>
          <m:sub>
            <m:r>
              <m:rPr>
                <m:sty m:val="p"/>
              </m:rPr>
              <w:rPr>
                <w:rFonts w:ascii="Cambria Math" w:hAnsi="Cambria Math"/>
                <w:lang w:val="en-GB"/>
              </w:rPr>
              <m:t>2022</m:t>
            </m:r>
          </m:sub>
        </m:sSub>
      </m:oMath>
      <w:r w:rsidR="00A97580" w:rsidRPr="0038763E">
        <w:rPr>
          <w:lang w:val="en-GB"/>
        </w:rPr>
        <w:t xml:space="preserve">=( </w:t>
      </w:r>
      <m:oMath>
        <m:f>
          <m:fPr>
            <m:ctrlPr>
              <w:rPr>
                <w:rFonts w:ascii="Cambria Math" w:hAnsi="Cambria Math"/>
                <w:lang w:val="en-GB"/>
              </w:rPr>
            </m:ctrlPr>
          </m:fPr>
          <m:num>
            <m:r>
              <m:rPr>
                <m:sty m:val="p"/>
              </m:rPr>
              <w:rPr>
                <w:rFonts w:ascii="Cambria Math" w:hAnsi="Cambria Math"/>
                <w:lang w:val="en-GB"/>
              </w:rPr>
              <m:t>620 m</m:t>
            </m:r>
          </m:num>
          <m:den>
            <m:r>
              <m:rPr>
                <m:sty m:val="p"/>
              </m:rPr>
              <w:rPr>
                <w:rFonts w:ascii="Cambria Math" w:hAnsi="Cambria Math"/>
                <w:lang w:val="en-GB"/>
              </w:rPr>
              <m:t>6, 738 m</m:t>
            </m:r>
          </m:den>
        </m:f>
        <m:r>
          <m:rPr>
            <m:sty m:val="p"/>
          </m:rPr>
          <w:rPr>
            <w:rFonts w:ascii="Cambria Math" w:hAnsi="Cambria Math"/>
            <w:lang w:val="en-GB"/>
          </w:rPr>
          <m:t>)×100</m:t>
        </m:r>
      </m:oMath>
    </w:p>
    <w:p w14:paraId="1EC0637A" w14:textId="2DBD1761" w:rsidR="00200EC0" w:rsidRPr="0038763E" w:rsidRDefault="00431CEC" w:rsidP="00200EC0">
      <w:pPr>
        <w:rPr>
          <w:rFonts w:ascii="Cambria Math" w:hAnsi="Cambria Math"/>
          <w:lang w:val="en-GB"/>
        </w:rPr>
      </w:pPr>
      <m:oMath>
        <m:sSub>
          <m:sSubPr>
            <m:ctrlPr>
              <w:rPr>
                <w:rFonts w:ascii="Cambria Math" w:hAnsi="Cambria Math"/>
                <w:lang w:val="en-GB"/>
              </w:rPr>
            </m:ctrlPr>
          </m:sSubPr>
          <m:e>
            <m:r>
              <m:rPr>
                <m:sty m:val="p"/>
              </m:rPr>
              <w:rPr>
                <w:rFonts w:ascii="Cambria Math" w:hAnsi="Cambria Math"/>
                <w:lang w:val="en-GB"/>
              </w:rPr>
              <m:t xml:space="preserve">Net Profit Margin </m:t>
            </m:r>
          </m:e>
          <m:sub>
            <m:r>
              <m:rPr>
                <m:sty m:val="p"/>
              </m:rPr>
              <w:rPr>
                <w:rFonts w:ascii="Cambria Math" w:hAnsi="Cambria Math"/>
                <w:lang w:val="en-GB"/>
              </w:rPr>
              <m:t>2021</m:t>
            </m:r>
          </m:sub>
        </m:sSub>
      </m:oMath>
      <w:r w:rsidR="00200EC0" w:rsidRPr="0038763E">
        <w:rPr>
          <w:rFonts w:ascii="Cambria Math" w:hAnsi="Cambria Math"/>
          <w:lang w:val="en-GB"/>
        </w:rPr>
        <w:t xml:space="preserve">=( </w:t>
      </w:r>
      <m:oMath>
        <m:f>
          <m:fPr>
            <m:ctrlPr>
              <w:rPr>
                <w:rFonts w:ascii="Cambria Math" w:hAnsi="Cambria Math"/>
                <w:lang w:val="en-GB"/>
              </w:rPr>
            </m:ctrlPr>
          </m:fPr>
          <m:num>
            <m:r>
              <m:rPr>
                <m:sty m:val="p"/>
              </m:rPr>
              <w:rPr>
                <w:rFonts w:ascii="Cambria Math" w:hAnsi="Cambria Math"/>
                <w:lang w:val="en-GB"/>
              </w:rPr>
              <m:t>539 m</m:t>
            </m:r>
          </m:num>
          <m:den>
            <m:r>
              <m:rPr>
                <m:sty m:val="p"/>
              </m:rPr>
              <w:rPr>
                <w:rFonts w:ascii="Cambria Math" w:hAnsi="Cambria Math"/>
                <w:lang w:val="en-GB"/>
              </w:rPr>
              <m:t>6, 441 m</m:t>
            </m:r>
          </m:den>
        </m:f>
        <m:r>
          <m:rPr>
            <m:sty m:val="p"/>
          </m:rPr>
          <w:rPr>
            <w:rFonts w:ascii="Cambria Math" w:hAnsi="Cambria Math"/>
            <w:lang w:val="en-GB"/>
          </w:rPr>
          <m:t>)×100</m:t>
        </m:r>
      </m:oMath>
    </w:p>
    <w:p w14:paraId="5CA2B33A" w14:textId="70A827C8" w:rsidR="00296569" w:rsidRPr="0038763E" w:rsidRDefault="00296569" w:rsidP="00D600EC">
      <w:pPr>
        <w:rPr>
          <w:b/>
          <w:bCs/>
          <w:lang w:val="en-GB"/>
        </w:rPr>
      </w:pPr>
      <w:r w:rsidRPr="0038763E">
        <w:rPr>
          <w:b/>
          <w:bCs/>
          <w:lang w:val="en-GB"/>
        </w:rPr>
        <w:t xml:space="preserve">Asset Turnover </w:t>
      </w:r>
    </w:p>
    <w:p w14:paraId="7B0F550E" w14:textId="29D15518" w:rsidR="002236BF" w:rsidRPr="0038763E" w:rsidRDefault="002236BF" w:rsidP="00D600EC">
      <w:pPr>
        <w:rPr>
          <w:rFonts w:eastAsiaTheme="minorEastAsia"/>
          <w:lang w:val="en-GB"/>
        </w:rPr>
      </w:pPr>
      <w:r w:rsidRPr="0038763E">
        <w:rPr>
          <w:lang w:val="en-GB"/>
        </w:rPr>
        <w:t xml:space="preserve">Asset Turnover = </w:t>
      </w:r>
      <m:oMath>
        <m:f>
          <m:fPr>
            <m:ctrlPr>
              <w:rPr>
                <w:rFonts w:ascii="Cambria Math" w:hAnsi="Cambria Math"/>
                <w:lang w:val="en-GB"/>
              </w:rPr>
            </m:ctrlPr>
          </m:fPr>
          <m:num>
            <m:r>
              <m:rPr>
                <m:sty m:val="p"/>
              </m:rPr>
              <w:rPr>
                <w:rFonts w:ascii="Cambria Math" w:hAnsi="Cambria Math"/>
                <w:lang w:val="en-GB"/>
              </w:rPr>
              <m:t>Revenue</m:t>
            </m:r>
          </m:num>
          <m:den>
            <m:r>
              <m:rPr>
                <m:sty m:val="p"/>
              </m:rPr>
              <w:rPr>
                <w:rFonts w:ascii="Cambria Math" w:hAnsi="Cambria Math"/>
                <w:lang w:val="en-GB"/>
              </w:rPr>
              <m:t>Average Total Assets</m:t>
            </m:r>
          </m:den>
        </m:f>
      </m:oMath>
    </w:p>
    <w:p w14:paraId="1944075E" w14:textId="6FCE1FF9" w:rsidR="002236BF" w:rsidRPr="0038763E" w:rsidRDefault="00431CEC" w:rsidP="00D600EC">
      <w:pPr>
        <w:rPr>
          <w:rFonts w:eastAsiaTheme="minorEastAsia"/>
          <w:lang w:val="en-GB"/>
        </w:rPr>
      </w:pPr>
      <m:oMath>
        <m:sSub>
          <m:sSubPr>
            <m:ctrlPr>
              <w:rPr>
                <w:rFonts w:ascii="Cambria Math" w:hAnsi="Cambria Math"/>
                <w:lang w:val="en-GB"/>
              </w:rPr>
            </m:ctrlPr>
          </m:sSubPr>
          <m:e>
            <m:r>
              <m:rPr>
                <m:sty m:val="p"/>
              </m:rPr>
              <w:rPr>
                <w:rFonts w:ascii="Cambria Math" w:hAnsi="Cambria Math"/>
                <w:lang w:val="en-GB"/>
              </w:rPr>
              <m:t xml:space="preserve">Net Profit Margin </m:t>
            </m:r>
          </m:e>
          <m:sub>
            <m:r>
              <m:rPr>
                <m:sty m:val="p"/>
              </m:rPr>
              <w:rPr>
                <w:rFonts w:ascii="Cambria Math" w:hAnsi="Cambria Math"/>
                <w:lang w:val="en-GB"/>
              </w:rPr>
              <m:t>2022</m:t>
            </m:r>
          </m:sub>
        </m:sSub>
      </m:oMath>
      <w:r w:rsidR="002236BF" w:rsidRPr="0038763E">
        <w:rPr>
          <w:rFonts w:eastAsiaTheme="minorEastAsia"/>
          <w:lang w:val="en-GB"/>
        </w:rPr>
        <w:t xml:space="preserve"> = </w:t>
      </w:r>
      <m:oMath>
        <m:f>
          <m:fPr>
            <m:ctrlPr>
              <w:rPr>
                <w:rFonts w:ascii="Cambria Math" w:eastAsiaTheme="minorEastAsia" w:hAnsi="Cambria Math"/>
                <w:lang w:val="en-GB"/>
              </w:rPr>
            </m:ctrlPr>
          </m:fPr>
          <m:num>
            <m:r>
              <m:rPr>
                <m:sty m:val="p"/>
              </m:rPr>
              <w:rPr>
                <w:rFonts w:ascii="Cambria Math" w:eastAsiaTheme="minorEastAsia" w:hAnsi="Cambria Math"/>
                <w:lang w:val="en-GB"/>
              </w:rPr>
              <m:t xml:space="preserve">6,738 m </m:t>
            </m:r>
          </m:num>
          <m:den>
            <m:f>
              <m:fPr>
                <m:ctrlPr>
                  <w:rPr>
                    <w:rFonts w:ascii="Cambria Math" w:eastAsiaTheme="minorEastAsia" w:hAnsi="Cambria Math"/>
                    <w:lang w:val="en-GB"/>
                  </w:rPr>
                </m:ctrlPr>
              </m:fPr>
              <m:num>
                <m:r>
                  <m:rPr>
                    <m:sty m:val="p"/>
                  </m:rPr>
                  <w:rPr>
                    <w:rFonts w:ascii="Cambria Math" w:eastAsiaTheme="minorEastAsia" w:hAnsi="Cambria Math"/>
                    <w:lang w:val="en-GB"/>
                  </w:rPr>
                  <m:t>9, 736 m+10,  078 m</m:t>
                </m:r>
              </m:num>
              <m:den>
                <m:r>
                  <m:rPr>
                    <m:sty m:val="p"/>
                  </m:rPr>
                  <w:rPr>
                    <w:rFonts w:ascii="Cambria Math" w:eastAsiaTheme="minorEastAsia" w:hAnsi="Cambria Math"/>
                    <w:lang w:val="en-GB"/>
                  </w:rPr>
                  <m:t>2</m:t>
                </m:r>
              </m:den>
            </m:f>
          </m:den>
        </m:f>
      </m:oMath>
    </w:p>
    <w:p w14:paraId="2F6F7D0A" w14:textId="1E0D0ECF" w:rsidR="002236BF" w:rsidRPr="0038763E" w:rsidRDefault="00431CEC" w:rsidP="00D600EC">
      <w:pPr>
        <w:rPr>
          <w:rFonts w:eastAsiaTheme="minorEastAsia"/>
          <w:lang w:val="en-GB"/>
        </w:rPr>
      </w:pPr>
      <m:oMath>
        <m:sSub>
          <m:sSubPr>
            <m:ctrlPr>
              <w:rPr>
                <w:rFonts w:ascii="Cambria Math" w:eastAsiaTheme="minorEastAsia" w:hAnsi="Cambria Math"/>
                <w:lang w:val="en-GB"/>
              </w:rPr>
            </m:ctrlPr>
          </m:sSubPr>
          <m:e>
            <m:r>
              <m:rPr>
                <m:sty m:val="p"/>
              </m:rPr>
              <w:rPr>
                <w:rFonts w:ascii="Cambria Math" w:eastAsiaTheme="minorEastAsia" w:hAnsi="Cambria Math"/>
                <w:lang w:val="en-GB"/>
              </w:rPr>
              <m:t xml:space="preserve">Net Profit Margin </m:t>
            </m:r>
          </m:e>
          <m:sub>
            <m:r>
              <m:rPr>
                <m:sty m:val="p"/>
              </m:rPr>
              <w:rPr>
                <w:rFonts w:ascii="Cambria Math" w:eastAsiaTheme="minorEastAsia" w:hAnsi="Cambria Math"/>
                <w:lang w:val="en-GB"/>
              </w:rPr>
              <m:t>2021</m:t>
            </m:r>
          </m:sub>
        </m:sSub>
      </m:oMath>
      <w:r w:rsidR="002236BF" w:rsidRPr="0038763E">
        <w:rPr>
          <w:rFonts w:eastAsiaTheme="minorEastAsia"/>
          <w:lang w:val="en-GB"/>
        </w:rPr>
        <w:t xml:space="preserve"> = </w:t>
      </w:r>
      <m:oMath>
        <m:f>
          <m:fPr>
            <m:ctrlPr>
              <w:rPr>
                <w:rFonts w:ascii="Cambria Math" w:eastAsiaTheme="minorEastAsia" w:hAnsi="Cambria Math"/>
                <w:lang w:val="en-GB"/>
              </w:rPr>
            </m:ctrlPr>
          </m:fPr>
          <m:num>
            <m:r>
              <m:rPr>
                <m:sty m:val="p"/>
              </m:rPr>
              <w:rPr>
                <w:rFonts w:ascii="Cambria Math" w:eastAsiaTheme="minorEastAsia" w:hAnsi="Cambria Math"/>
                <w:lang w:val="en-GB"/>
              </w:rPr>
              <m:t xml:space="preserve">6,441 m </m:t>
            </m:r>
          </m:num>
          <m:den>
            <m:f>
              <m:fPr>
                <m:ctrlPr>
                  <w:rPr>
                    <w:rFonts w:ascii="Cambria Math" w:eastAsiaTheme="minorEastAsia" w:hAnsi="Cambria Math"/>
                    <w:lang w:val="en-GB"/>
                  </w:rPr>
                </m:ctrlPr>
              </m:fPr>
              <m:num>
                <m:r>
                  <m:rPr>
                    <m:sty m:val="p"/>
                  </m:rPr>
                  <w:rPr>
                    <w:rFonts w:ascii="Cambria Math" w:eastAsiaTheme="minorEastAsia" w:hAnsi="Cambria Math"/>
                    <w:lang w:val="en-GB"/>
                  </w:rPr>
                  <m:t>10,  078 m+ 10,  078 m</m:t>
                </m:r>
              </m:num>
              <m:den>
                <m:r>
                  <m:rPr>
                    <m:sty m:val="p"/>
                  </m:rPr>
                  <w:rPr>
                    <w:rFonts w:ascii="Cambria Math" w:eastAsiaTheme="minorEastAsia" w:hAnsi="Cambria Math"/>
                    <w:lang w:val="en-GB"/>
                  </w:rPr>
                  <m:t>2</m:t>
                </m:r>
              </m:den>
            </m:f>
          </m:den>
        </m:f>
      </m:oMath>
    </w:p>
    <w:p w14:paraId="386C60EE" w14:textId="77777777" w:rsidR="00F545D6" w:rsidRPr="0038763E" w:rsidRDefault="00296569" w:rsidP="00D600EC">
      <w:pPr>
        <w:rPr>
          <w:b/>
          <w:bCs/>
          <w:lang w:val="en-GB"/>
        </w:rPr>
      </w:pPr>
      <w:r w:rsidRPr="0038763E">
        <w:rPr>
          <w:b/>
          <w:bCs/>
          <w:lang w:val="en-GB"/>
        </w:rPr>
        <w:t xml:space="preserve">Stock Holding Days </w:t>
      </w:r>
    </w:p>
    <w:p w14:paraId="19603199" w14:textId="65420B32" w:rsidR="00F545D6" w:rsidRPr="0038763E" w:rsidRDefault="004579AB" w:rsidP="00F545D6">
      <w:pPr>
        <w:rPr>
          <w:lang w:val="en-GB"/>
        </w:rPr>
      </w:pPr>
      <w:r w:rsidRPr="0038763E">
        <w:rPr>
          <w:lang w:val="en-GB"/>
        </w:rPr>
        <w:t>Stock Holding Days</w:t>
      </w:r>
      <w:r w:rsidR="00F545D6" w:rsidRPr="0038763E">
        <w:rPr>
          <w:lang w:val="en-GB"/>
        </w:rPr>
        <w:t xml:space="preserve"> =( </w:t>
      </w:r>
      <m:oMath>
        <m:f>
          <m:fPr>
            <m:ctrlPr>
              <w:rPr>
                <w:rFonts w:ascii="Cambria Math" w:hAnsi="Cambria Math"/>
                <w:lang w:val="en-GB"/>
              </w:rPr>
            </m:ctrlPr>
          </m:fPr>
          <m:num>
            <m:r>
              <m:rPr>
                <m:sty m:val="p"/>
              </m:rPr>
              <w:rPr>
                <w:rFonts w:ascii="Cambria Math" w:hAnsi="Cambria Math"/>
                <w:lang w:val="en-GB"/>
              </w:rPr>
              <m:t xml:space="preserve">Average Inventory </m:t>
            </m:r>
          </m:num>
          <m:den>
            <m:r>
              <m:rPr>
                <m:sty m:val="p"/>
              </m:rPr>
              <w:rPr>
                <w:rFonts w:ascii="Cambria Math" w:hAnsi="Cambria Math"/>
                <w:lang w:val="en-GB"/>
              </w:rPr>
              <m:t>Cost of Goods Sold</m:t>
            </m:r>
          </m:den>
        </m:f>
        <m:r>
          <m:rPr>
            <m:sty m:val="p"/>
          </m:rPr>
          <w:rPr>
            <w:rFonts w:ascii="Cambria Math" w:hAnsi="Cambria Math"/>
            <w:lang w:val="en-GB"/>
          </w:rPr>
          <m:t>)×365</m:t>
        </m:r>
      </m:oMath>
    </w:p>
    <w:p w14:paraId="5902EE7C" w14:textId="1E0CDCEA" w:rsidR="00F545D6" w:rsidRPr="0038763E" w:rsidRDefault="00431CEC" w:rsidP="00F545D6">
      <w:pPr>
        <w:rPr>
          <w:lang w:val="en-GB"/>
        </w:rPr>
      </w:pPr>
      <m:oMath>
        <m:sSub>
          <m:sSubPr>
            <m:ctrlPr>
              <w:rPr>
                <w:rFonts w:ascii="Cambria Math" w:hAnsi="Cambria Math"/>
                <w:lang w:val="en-GB"/>
              </w:rPr>
            </m:ctrlPr>
          </m:sSubPr>
          <m:e>
            <m:r>
              <m:rPr>
                <m:sty m:val="p"/>
              </m:rPr>
              <w:rPr>
                <w:rFonts w:ascii="Cambria Math" w:hAnsi="Cambria Math"/>
                <w:lang w:val="en-GB"/>
              </w:rPr>
              <m:t xml:space="preserve">Stock Holding Days  </m:t>
            </m:r>
          </m:e>
          <m:sub>
            <m:r>
              <m:rPr>
                <m:sty m:val="p"/>
              </m:rPr>
              <w:rPr>
                <w:rFonts w:ascii="Cambria Math" w:hAnsi="Cambria Math"/>
                <w:lang w:val="en-GB"/>
              </w:rPr>
              <m:t>2022</m:t>
            </m:r>
          </m:sub>
        </m:sSub>
      </m:oMath>
      <w:r w:rsidR="00F545D6" w:rsidRPr="0038763E">
        <w:rPr>
          <w:lang w:val="en-GB"/>
        </w:rPr>
        <w:t xml:space="preserve">=( </w:t>
      </w:r>
      <m:oMath>
        <m:f>
          <m:fPr>
            <m:ctrlPr>
              <w:rPr>
                <w:rFonts w:ascii="Cambria Math" w:hAnsi="Cambria Math"/>
                <w:lang w:val="en-GB"/>
              </w:rPr>
            </m:ctrlPr>
          </m:fPr>
          <m:num>
            <m:r>
              <m:rPr>
                <m:sty m:val="p"/>
              </m:rPr>
              <w:rPr>
                <w:rFonts w:ascii="Cambria Math" w:hAnsi="Cambria Math"/>
                <w:lang w:val="en-GB"/>
              </w:rPr>
              <m:t>708 m</m:t>
            </m:r>
          </m:num>
          <m:den>
            <m:r>
              <m:rPr>
                <m:sty m:val="p"/>
              </m:rPr>
              <w:rPr>
                <w:rFonts w:ascii="Cambria Math" w:hAnsi="Cambria Math"/>
                <w:lang w:val="en-GB"/>
              </w:rPr>
              <m:t>3, 235 m</m:t>
            </m:r>
          </m:den>
        </m:f>
        <m:r>
          <m:rPr>
            <m:sty m:val="p"/>
          </m:rPr>
          <w:rPr>
            <w:rFonts w:ascii="Cambria Math" w:hAnsi="Cambria Math"/>
            <w:lang w:val="en-GB"/>
          </w:rPr>
          <m:t>)×365</m:t>
        </m:r>
      </m:oMath>
    </w:p>
    <w:p w14:paraId="7786ABFB" w14:textId="0E067CBA" w:rsidR="00F545D6" w:rsidRPr="0038763E" w:rsidRDefault="00431CEC" w:rsidP="00D600EC">
      <w:pPr>
        <w:rPr>
          <w:lang w:val="en-GB"/>
        </w:rPr>
      </w:pPr>
      <m:oMath>
        <m:sSub>
          <m:sSubPr>
            <m:ctrlPr>
              <w:rPr>
                <w:rFonts w:ascii="Cambria Math" w:hAnsi="Cambria Math"/>
                <w:lang w:val="en-GB"/>
              </w:rPr>
            </m:ctrlPr>
          </m:sSubPr>
          <m:e>
            <m:r>
              <m:rPr>
                <m:sty m:val="p"/>
              </m:rPr>
              <w:rPr>
                <w:rFonts w:ascii="Cambria Math" w:hAnsi="Cambria Math"/>
                <w:lang w:val="en-GB"/>
              </w:rPr>
              <m:t xml:space="preserve">Stock Holding Days  </m:t>
            </m:r>
          </m:e>
          <m:sub>
            <m:r>
              <m:rPr>
                <m:sty m:val="p"/>
              </m:rPr>
              <w:rPr>
                <w:rFonts w:ascii="Cambria Math" w:hAnsi="Cambria Math"/>
                <w:lang w:val="en-GB"/>
              </w:rPr>
              <m:t>2021</m:t>
            </m:r>
          </m:sub>
        </m:sSub>
      </m:oMath>
      <w:r w:rsidR="00F545D6" w:rsidRPr="0038763E">
        <w:rPr>
          <w:lang w:val="en-GB"/>
        </w:rPr>
        <w:t xml:space="preserve">=( </w:t>
      </w:r>
      <m:oMath>
        <m:f>
          <m:fPr>
            <m:ctrlPr>
              <w:rPr>
                <w:rFonts w:ascii="Cambria Math" w:hAnsi="Cambria Math"/>
                <w:lang w:val="en-GB"/>
              </w:rPr>
            </m:ctrlPr>
          </m:fPr>
          <m:num>
            <m:r>
              <m:rPr>
                <m:sty m:val="p"/>
              </m:rPr>
              <w:rPr>
                <w:rFonts w:ascii="Cambria Math" w:hAnsi="Cambria Math"/>
                <w:lang w:val="en-GB"/>
              </w:rPr>
              <m:t>659 m</m:t>
            </m:r>
          </m:num>
          <m:den>
            <m:r>
              <m:rPr>
                <m:sty m:val="p"/>
              </m:rPr>
              <w:rPr>
                <w:rFonts w:ascii="Cambria Math" w:hAnsi="Cambria Math"/>
                <w:lang w:val="en-GB"/>
              </w:rPr>
              <m:t>3, 069 m</m:t>
            </m:r>
          </m:den>
        </m:f>
        <m:r>
          <m:rPr>
            <m:sty m:val="p"/>
          </m:rPr>
          <w:rPr>
            <w:rFonts w:ascii="Cambria Math" w:hAnsi="Cambria Math"/>
            <w:lang w:val="en-GB"/>
          </w:rPr>
          <m:t>)×365</m:t>
        </m:r>
      </m:oMath>
    </w:p>
    <w:p w14:paraId="1741247E" w14:textId="77777777" w:rsidR="003F6CAD" w:rsidRPr="0038763E" w:rsidRDefault="00296569" w:rsidP="00D600EC">
      <w:pPr>
        <w:rPr>
          <w:b/>
          <w:bCs/>
          <w:lang w:val="en-GB"/>
        </w:rPr>
      </w:pPr>
      <w:r w:rsidRPr="0038763E">
        <w:rPr>
          <w:b/>
          <w:bCs/>
          <w:lang w:val="en-GB"/>
        </w:rPr>
        <w:t xml:space="preserve">Debtors Collection Period </w:t>
      </w:r>
    </w:p>
    <w:p w14:paraId="22BEB664" w14:textId="4B1DEBA6" w:rsidR="003F6CAD" w:rsidRPr="0038763E" w:rsidRDefault="00F12C3B" w:rsidP="003F6CAD">
      <w:pPr>
        <w:rPr>
          <w:rFonts w:ascii="Cambria Math" w:hAnsi="Cambria Math"/>
          <w:lang w:val="en-GB"/>
        </w:rPr>
      </w:pPr>
      <m:oMath>
        <m:r>
          <m:rPr>
            <m:sty m:val="p"/>
          </m:rPr>
          <w:rPr>
            <w:rFonts w:ascii="Cambria Math" w:hAnsi="Cambria Math"/>
            <w:lang w:val="en-GB"/>
          </w:rPr>
          <m:t xml:space="preserve">Debtors Collection Period  </m:t>
        </m:r>
      </m:oMath>
      <w:r w:rsidR="003F6CAD" w:rsidRPr="0038763E">
        <w:rPr>
          <w:rFonts w:ascii="Cambria Math" w:hAnsi="Cambria Math"/>
          <w:lang w:val="en-GB"/>
        </w:rPr>
        <w:t xml:space="preserve">=( </w:t>
      </w:r>
      <m:oMath>
        <m:f>
          <m:fPr>
            <m:ctrlPr>
              <w:rPr>
                <w:rFonts w:ascii="Cambria Math" w:hAnsi="Cambria Math"/>
                <w:lang w:val="en-GB"/>
              </w:rPr>
            </m:ctrlPr>
          </m:fPr>
          <m:num>
            <m:r>
              <m:rPr>
                <m:sty m:val="p"/>
              </m:rPr>
              <w:rPr>
                <w:rFonts w:ascii="Cambria Math" w:hAnsi="Cambria Math"/>
                <w:lang w:val="en-GB"/>
              </w:rPr>
              <m:t xml:space="preserve">Trade Receivables </m:t>
            </m:r>
          </m:num>
          <m:den>
            <m:r>
              <m:rPr>
                <m:sty m:val="p"/>
              </m:rPr>
              <w:rPr>
                <w:rFonts w:ascii="Cambria Math" w:hAnsi="Cambria Math"/>
                <w:lang w:val="en-GB"/>
              </w:rPr>
              <m:t>Revenue</m:t>
            </m:r>
          </m:den>
        </m:f>
        <m:r>
          <m:rPr>
            <m:sty m:val="p"/>
          </m:rPr>
          <w:rPr>
            <w:rFonts w:ascii="Cambria Math" w:hAnsi="Cambria Math"/>
            <w:lang w:val="en-GB"/>
          </w:rPr>
          <m:t>)×365</m:t>
        </m:r>
      </m:oMath>
    </w:p>
    <w:p w14:paraId="57076B7C" w14:textId="4A85932F" w:rsidR="003F6CAD" w:rsidRPr="0038763E" w:rsidRDefault="00431CEC" w:rsidP="003F6CAD">
      <w:pPr>
        <w:rPr>
          <w:lang w:val="en-GB"/>
        </w:rPr>
      </w:pPr>
      <m:oMath>
        <m:sSub>
          <m:sSubPr>
            <m:ctrlPr>
              <w:rPr>
                <w:rFonts w:ascii="Cambria Math" w:hAnsi="Cambria Math"/>
                <w:lang w:val="en-GB"/>
              </w:rPr>
            </m:ctrlPr>
          </m:sSubPr>
          <m:e>
            <m:r>
              <m:rPr>
                <m:sty m:val="p"/>
              </m:rPr>
              <w:rPr>
                <w:rFonts w:ascii="Cambria Math" w:hAnsi="Cambria Math"/>
                <w:lang w:val="en-GB"/>
              </w:rPr>
              <m:t xml:space="preserve">Debtors Collection Period  </m:t>
            </m:r>
          </m:e>
          <m:sub>
            <m:r>
              <m:rPr>
                <m:sty m:val="p"/>
              </m:rPr>
              <w:rPr>
                <w:rFonts w:ascii="Cambria Math" w:hAnsi="Cambria Math"/>
                <w:lang w:val="en-GB"/>
              </w:rPr>
              <m:t>2021</m:t>
            </m:r>
          </m:sub>
        </m:sSub>
      </m:oMath>
      <w:r w:rsidR="003F6CAD" w:rsidRPr="0038763E">
        <w:rPr>
          <w:lang w:val="en-GB"/>
        </w:rPr>
        <w:t xml:space="preserve">=( </w:t>
      </w:r>
      <m:oMath>
        <m:f>
          <m:fPr>
            <m:ctrlPr>
              <w:rPr>
                <w:rFonts w:ascii="Cambria Math" w:hAnsi="Cambria Math"/>
                <w:lang w:val="en-GB"/>
              </w:rPr>
            </m:ctrlPr>
          </m:fPr>
          <m:num>
            <m:r>
              <m:rPr>
                <m:sty m:val="p"/>
              </m:rPr>
              <w:rPr>
                <w:rFonts w:ascii="Cambria Math" w:hAnsi="Cambria Math"/>
                <w:lang w:val="en-GB"/>
              </w:rPr>
              <m:t>1, 249 m</m:t>
            </m:r>
          </m:num>
          <m:den>
            <m:r>
              <m:rPr>
                <m:sty m:val="p"/>
              </m:rPr>
              <w:rPr>
                <w:rFonts w:ascii="Cambria Math" w:hAnsi="Cambria Math"/>
                <w:lang w:val="en-GB"/>
              </w:rPr>
              <m:t>6, 738 m</m:t>
            </m:r>
          </m:den>
        </m:f>
        <m:r>
          <m:rPr>
            <m:sty m:val="p"/>
          </m:rPr>
          <w:rPr>
            <w:rFonts w:ascii="Cambria Math" w:hAnsi="Cambria Math"/>
            <w:lang w:val="en-GB"/>
          </w:rPr>
          <m:t>)×365</m:t>
        </m:r>
      </m:oMath>
    </w:p>
    <w:p w14:paraId="1A914A7F" w14:textId="7C49F1BB" w:rsidR="003F6CAD" w:rsidRPr="0038763E" w:rsidRDefault="00431CEC" w:rsidP="003F6CAD">
      <w:pPr>
        <w:rPr>
          <w:lang w:val="en-GB"/>
        </w:rPr>
      </w:pPr>
      <m:oMath>
        <m:sSub>
          <m:sSubPr>
            <m:ctrlPr>
              <w:rPr>
                <w:rFonts w:ascii="Cambria Math" w:hAnsi="Cambria Math"/>
                <w:lang w:val="en-GB"/>
              </w:rPr>
            </m:ctrlPr>
          </m:sSubPr>
          <m:e>
            <m:r>
              <m:rPr>
                <m:sty m:val="p"/>
              </m:rPr>
              <w:rPr>
                <w:rFonts w:ascii="Cambria Math" w:hAnsi="Cambria Math"/>
                <w:lang w:val="en-GB"/>
              </w:rPr>
              <m:t xml:space="preserve">Debtors Collection Period  </m:t>
            </m:r>
          </m:e>
          <m:sub>
            <m:r>
              <m:rPr>
                <m:sty m:val="p"/>
              </m:rPr>
              <w:rPr>
                <w:rFonts w:ascii="Cambria Math" w:hAnsi="Cambria Math"/>
                <w:lang w:val="en-GB"/>
              </w:rPr>
              <m:t>2022</m:t>
            </m:r>
          </m:sub>
        </m:sSub>
      </m:oMath>
      <w:r w:rsidR="003F6CAD" w:rsidRPr="0038763E">
        <w:rPr>
          <w:lang w:val="en-GB"/>
        </w:rPr>
        <w:t xml:space="preserve">=( </w:t>
      </w:r>
      <m:oMath>
        <m:f>
          <m:fPr>
            <m:ctrlPr>
              <w:rPr>
                <w:rFonts w:ascii="Cambria Math" w:hAnsi="Cambria Math"/>
                <w:lang w:val="en-GB"/>
              </w:rPr>
            </m:ctrlPr>
          </m:fPr>
          <m:num>
            <m:r>
              <m:rPr>
                <m:sty m:val="p"/>
              </m:rPr>
              <w:rPr>
                <w:rFonts w:ascii="Cambria Math" w:hAnsi="Cambria Math"/>
                <w:lang w:val="en-GB"/>
              </w:rPr>
              <m:t xml:space="preserve"> 1, 287 m</m:t>
            </m:r>
          </m:num>
          <m:den>
            <m:r>
              <m:rPr>
                <m:sty m:val="p"/>
              </m:rPr>
              <w:rPr>
                <w:rFonts w:ascii="Cambria Math" w:hAnsi="Cambria Math"/>
                <w:lang w:val="en-GB"/>
              </w:rPr>
              <m:t>6, 441 m</m:t>
            </m:r>
          </m:den>
        </m:f>
        <m:r>
          <m:rPr>
            <m:sty m:val="p"/>
          </m:rPr>
          <w:rPr>
            <w:rFonts w:ascii="Cambria Math" w:hAnsi="Cambria Math"/>
            <w:lang w:val="en-GB"/>
          </w:rPr>
          <m:t>)×365</m:t>
        </m:r>
      </m:oMath>
    </w:p>
    <w:p w14:paraId="18324797" w14:textId="77777777" w:rsidR="005E306D" w:rsidRPr="0038763E" w:rsidRDefault="00296569" w:rsidP="00D600EC">
      <w:pPr>
        <w:rPr>
          <w:b/>
          <w:bCs/>
          <w:lang w:val="en-GB"/>
        </w:rPr>
      </w:pPr>
      <w:r w:rsidRPr="0038763E">
        <w:rPr>
          <w:b/>
          <w:bCs/>
          <w:lang w:val="en-GB"/>
        </w:rPr>
        <w:t xml:space="preserve">Current Ratio </w:t>
      </w:r>
    </w:p>
    <w:p w14:paraId="4CF06AA0" w14:textId="00E43C91" w:rsidR="00296569" w:rsidRPr="0038763E" w:rsidRDefault="005E306D" w:rsidP="00D600EC">
      <w:pPr>
        <w:rPr>
          <w:rFonts w:eastAsiaTheme="minorEastAsia"/>
          <w:lang w:val="en-GB"/>
        </w:rPr>
      </w:pPr>
      <w:r w:rsidRPr="0038763E">
        <w:rPr>
          <w:lang w:val="en-GB"/>
        </w:rPr>
        <w:t xml:space="preserve">Current Ratio </w:t>
      </w:r>
      <w:r w:rsidR="00296569" w:rsidRPr="0038763E">
        <w:rPr>
          <w:lang w:val="en-GB"/>
        </w:rPr>
        <w:t xml:space="preserve">= </w:t>
      </w:r>
      <m:oMath>
        <m:f>
          <m:fPr>
            <m:ctrlPr>
              <w:rPr>
                <w:rFonts w:ascii="Cambria Math" w:hAnsi="Cambria Math"/>
                <w:lang w:val="en-GB"/>
              </w:rPr>
            </m:ctrlPr>
          </m:fPr>
          <m:num>
            <m:r>
              <m:rPr>
                <m:sty m:val="p"/>
              </m:rPr>
              <w:rPr>
                <w:rFonts w:ascii="Cambria Math" w:hAnsi="Cambria Math"/>
                <w:lang w:val="en-GB"/>
              </w:rPr>
              <m:t xml:space="preserve">Current Assets </m:t>
            </m:r>
          </m:num>
          <m:den>
            <m:r>
              <m:rPr>
                <m:sty m:val="p"/>
              </m:rPr>
              <w:rPr>
                <w:rFonts w:ascii="Cambria Math" w:hAnsi="Cambria Math"/>
                <w:lang w:val="en-GB"/>
              </w:rPr>
              <m:t>Current Liabilities</m:t>
            </m:r>
          </m:den>
        </m:f>
      </m:oMath>
    </w:p>
    <w:p w14:paraId="36219CF2" w14:textId="5F295987" w:rsidR="005E306D" w:rsidRPr="0038763E" w:rsidRDefault="00431CEC" w:rsidP="005E306D">
      <w:pPr>
        <w:rPr>
          <w:lang w:val="en-GB"/>
        </w:rPr>
      </w:pPr>
      <m:oMath>
        <m:sSub>
          <m:sSubPr>
            <m:ctrlPr>
              <w:rPr>
                <w:rFonts w:ascii="Cambria Math" w:hAnsi="Cambria Math"/>
                <w:lang w:val="en-GB"/>
              </w:rPr>
            </m:ctrlPr>
          </m:sSubPr>
          <m:e>
            <m:r>
              <m:rPr>
                <m:sty m:val="p"/>
              </m:rPr>
              <w:rPr>
                <w:rFonts w:ascii="Cambria Math" w:hAnsi="Cambria Math"/>
                <w:lang w:val="en-GB"/>
              </w:rPr>
              <m:t xml:space="preserve">Current Ratio </m:t>
            </m:r>
          </m:e>
          <m:sub>
            <m:r>
              <m:rPr>
                <m:sty m:val="p"/>
              </m:rPr>
              <w:rPr>
                <w:rFonts w:ascii="Cambria Math" w:hAnsi="Cambria Math"/>
                <w:lang w:val="en-GB"/>
              </w:rPr>
              <m:t>2022</m:t>
            </m:r>
          </m:sub>
        </m:sSub>
      </m:oMath>
      <w:r w:rsidR="005E306D" w:rsidRPr="0038763E">
        <w:rPr>
          <w:lang w:val="en-GB"/>
        </w:rPr>
        <w:t xml:space="preserve">= </w:t>
      </w:r>
      <m:oMath>
        <m:f>
          <m:fPr>
            <m:ctrlPr>
              <w:rPr>
                <w:rFonts w:ascii="Cambria Math" w:hAnsi="Cambria Math"/>
                <w:lang w:val="en-GB"/>
              </w:rPr>
            </m:ctrlPr>
          </m:fPr>
          <m:num>
            <m:r>
              <m:rPr>
                <m:sty m:val="p"/>
              </m:rPr>
              <w:rPr>
                <w:rFonts w:ascii="Cambria Math" w:hAnsi="Cambria Math"/>
                <w:lang w:val="en-GB"/>
              </w:rPr>
              <m:t xml:space="preserve">2, 303 m </m:t>
            </m:r>
          </m:num>
          <m:den>
            <m:r>
              <m:rPr>
                <m:sty m:val="p"/>
              </m:rPr>
              <w:rPr>
                <w:rFonts w:ascii="Cambria Math" w:hAnsi="Cambria Math"/>
                <w:lang w:val="en-GB"/>
              </w:rPr>
              <m:t>2, 511 m</m:t>
            </m:r>
          </m:den>
        </m:f>
      </m:oMath>
    </w:p>
    <w:p w14:paraId="4E1A580C" w14:textId="0A0391BF" w:rsidR="005E306D" w:rsidRPr="0038763E" w:rsidRDefault="00431CEC" w:rsidP="00D600EC">
      <w:pPr>
        <w:rPr>
          <w:lang w:val="en-GB"/>
        </w:rPr>
      </w:pPr>
      <m:oMath>
        <m:sSub>
          <m:sSubPr>
            <m:ctrlPr>
              <w:rPr>
                <w:rFonts w:ascii="Cambria Math" w:hAnsi="Cambria Math"/>
                <w:lang w:val="en-GB"/>
              </w:rPr>
            </m:ctrlPr>
          </m:sSubPr>
          <m:e>
            <m:r>
              <m:rPr>
                <m:sty m:val="p"/>
              </m:rPr>
              <w:rPr>
                <w:rFonts w:ascii="Cambria Math" w:hAnsi="Cambria Math"/>
                <w:lang w:val="en-GB"/>
              </w:rPr>
              <m:t xml:space="preserve">Current Ratio </m:t>
            </m:r>
          </m:e>
          <m:sub>
            <m:r>
              <m:rPr>
                <m:sty m:val="p"/>
              </m:rPr>
              <w:rPr>
                <w:rFonts w:ascii="Cambria Math" w:hAnsi="Cambria Math"/>
                <w:lang w:val="en-GB"/>
              </w:rPr>
              <m:t>2021</m:t>
            </m:r>
          </m:sub>
        </m:sSub>
      </m:oMath>
      <w:r w:rsidR="005E306D" w:rsidRPr="0038763E">
        <w:rPr>
          <w:lang w:val="en-GB"/>
        </w:rPr>
        <w:t xml:space="preserve">= </w:t>
      </w:r>
      <m:oMath>
        <m:f>
          <m:fPr>
            <m:ctrlPr>
              <w:rPr>
                <w:rFonts w:ascii="Cambria Math" w:hAnsi="Cambria Math"/>
                <w:lang w:val="en-GB"/>
              </w:rPr>
            </m:ctrlPr>
          </m:fPr>
          <m:num>
            <m:r>
              <m:rPr>
                <m:sty m:val="p"/>
              </m:rPr>
              <w:rPr>
                <w:rFonts w:ascii="Cambria Math" w:hAnsi="Cambria Math"/>
                <w:lang w:val="en-GB"/>
              </w:rPr>
              <m:t>2, 355 m</m:t>
            </m:r>
          </m:num>
          <m:den>
            <m:r>
              <m:rPr>
                <m:sty m:val="p"/>
              </m:rPr>
              <w:rPr>
                <w:rFonts w:ascii="Cambria Math" w:hAnsi="Cambria Math"/>
                <w:lang w:val="en-GB"/>
              </w:rPr>
              <m:t>3, 046 m</m:t>
            </m:r>
          </m:den>
        </m:f>
      </m:oMath>
    </w:p>
    <w:p w14:paraId="3F577F93" w14:textId="77777777" w:rsidR="00D6002F" w:rsidRPr="0038763E" w:rsidRDefault="00296569" w:rsidP="00D600EC">
      <w:pPr>
        <w:rPr>
          <w:b/>
          <w:bCs/>
          <w:lang w:val="en-GB"/>
        </w:rPr>
      </w:pPr>
      <w:r w:rsidRPr="0038763E">
        <w:rPr>
          <w:b/>
          <w:bCs/>
          <w:lang w:val="en-GB"/>
        </w:rPr>
        <w:t xml:space="preserve">Gearing Ratio </w:t>
      </w:r>
    </w:p>
    <w:p w14:paraId="3E375E22" w14:textId="203D2AF1" w:rsidR="00296569" w:rsidRPr="0038763E" w:rsidRDefault="00D6002F" w:rsidP="00D600EC">
      <w:pPr>
        <w:rPr>
          <w:rFonts w:eastAsiaTheme="minorEastAsia"/>
          <w:lang w:val="en-GB"/>
        </w:rPr>
      </w:pPr>
      <w:r w:rsidRPr="0038763E">
        <w:rPr>
          <w:lang w:val="en-GB"/>
        </w:rPr>
        <w:t xml:space="preserve">Gearing Ratio </w:t>
      </w:r>
      <m:oMath>
        <m:r>
          <m:rPr>
            <m:sty m:val="p"/>
          </m:rPr>
          <w:rPr>
            <w:rFonts w:ascii="Cambria Math" w:hAnsi="Cambria Math"/>
            <w:lang w:val="en-GB"/>
          </w:rPr>
          <m:t xml:space="preserve">= </m:t>
        </m:r>
        <m:d>
          <m:dPr>
            <m:ctrlPr>
              <w:rPr>
                <w:rFonts w:ascii="Cambria Math" w:hAnsi="Cambria Math"/>
                <w:lang w:val="en-GB"/>
              </w:rPr>
            </m:ctrlPr>
          </m:dPr>
          <m:e>
            <m:f>
              <m:fPr>
                <m:ctrlPr>
                  <w:rPr>
                    <w:rFonts w:ascii="Cambria Math" w:hAnsi="Cambria Math"/>
                    <w:lang w:val="en-GB"/>
                  </w:rPr>
                </m:ctrlPr>
              </m:fPr>
              <m:num>
                <m:r>
                  <m:rPr>
                    <m:sty m:val="p"/>
                  </m:rPr>
                  <w:rPr>
                    <w:rFonts w:ascii="Cambria Math" w:hAnsi="Cambria Math"/>
                    <w:lang w:val="en-GB"/>
                  </w:rPr>
                  <m:t xml:space="preserve">Total Debt </m:t>
                </m:r>
              </m:num>
              <m:den>
                <m:r>
                  <m:rPr>
                    <m:sty m:val="p"/>
                  </m:rPr>
                  <w:rPr>
                    <w:rFonts w:ascii="Cambria Math" w:hAnsi="Cambria Math"/>
                    <w:lang w:val="en-GB"/>
                  </w:rPr>
                  <m:t>Shareholder</m:t>
                </m:r>
                <m:sSup>
                  <m:sSupPr>
                    <m:ctrlPr>
                      <w:rPr>
                        <w:rFonts w:ascii="Cambria Math" w:hAnsi="Cambria Math"/>
                        <w:lang w:val="en-GB"/>
                      </w:rPr>
                    </m:ctrlPr>
                  </m:sSupPr>
                  <m:e>
                    <m:r>
                      <m:rPr>
                        <m:sty m:val="p"/>
                      </m:rPr>
                      <w:rPr>
                        <w:rFonts w:ascii="Cambria Math" w:hAnsi="Cambria Math"/>
                        <w:lang w:val="en-GB"/>
                      </w:rPr>
                      <m:t>s</m:t>
                    </m:r>
                  </m:e>
                  <m:sup>
                    <m:r>
                      <m:rPr>
                        <m:sty m:val="p"/>
                      </m:rPr>
                      <w:rPr>
                        <w:rFonts w:ascii="Cambria Math" w:hAnsi="Cambria Math"/>
                        <w:lang w:val="en-GB"/>
                      </w:rPr>
                      <m:t>'</m:t>
                    </m:r>
                  </m:sup>
                </m:sSup>
                <m:r>
                  <m:rPr>
                    <m:sty m:val="p"/>
                  </m:rPr>
                  <w:rPr>
                    <w:rFonts w:ascii="Cambria Math" w:hAnsi="Cambria Math"/>
                    <w:lang w:val="en-GB"/>
                  </w:rPr>
                  <m:t>Equity</m:t>
                </m:r>
              </m:den>
            </m:f>
          </m:e>
        </m:d>
        <m:r>
          <m:rPr>
            <m:sty m:val="p"/>
          </m:rPr>
          <w:rPr>
            <w:rFonts w:ascii="Cambria Math" w:hAnsi="Cambria Math"/>
            <w:lang w:val="en-GB"/>
          </w:rPr>
          <m:t>× 100</m:t>
        </m:r>
      </m:oMath>
    </w:p>
    <w:p w14:paraId="28593BF2" w14:textId="6846C8CA" w:rsidR="00D6002F" w:rsidRPr="0038763E" w:rsidRDefault="00431CEC" w:rsidP="00D6002F">
      <w:pPr>
        <w:rPr>
          <w:rFonts w:eastAsiaTheme="minorEastAsia"/>
          <w:lang w:val="en-GB"/>
        </w:rPr>
      </w:pPr>
      <m:oMathPara>
        <m:oMathParaPr>
          <m:jc m:val="left"/>
        </m:oMathParaPr>
        <m:oMath>
          <m:sSub>
            <m:sSubPr>
              <m:ctrlPr>
                <w:rPr>
                  <w:rFonts w:ascii="Cambria Math" w:eastAsiaTheme="minorEastAsia" w:hAnsi="Cambria Math"/>
                  <w:lang w:val="en-GB"/>
                </w:rPr>
              </m:ctrlPr>
            </m:sSubPr>
            <m:e>
              <m:r>
                <m:rPr>
                  <m:sty m:val="p"/>
                </m:rPr>
                <w:rPr>
                  <w:rFonts w:ascii="Cambria Math" w:eastAsiaTheme="minorEastAsia" w:hAnsi="Cambria Math"/>
                  <w:lang w:val="en-GB"/>
                </w:rPr>
                <m:t>Gearing Ratio</m:t>
              </m:r>
            </m:e>
            <m:sub>
              <m:r>
                <m:rPr>
                  <m:sty m:val="p"/>
                </m:rPr>
                <w:rPr>
                  <w:rFonts w:ascii="Cambria Math" w:eastAsiaTheme="minorEastAsia" w:hAnsi="Cambria Math"/>
                  <w:lang w:val="en-GB"/>
                </w:rPr>
                <m:t>2022</m:t>
              </m:r>
            </m:sub>
          </m:sSub>
          <m:r>
            <m:rPr>
              <m:sty m:val="p"/>
            </m:rPr>
            <w:rPr>
              <w:rFonts w:ascii="Cambria Math" w:eastAsiaTheme="minorEastAsia" w:hAnsi="Cambria Math"/>
              <w:lang w:val="en-GB"/>
            </w:rPr>
            <m:t xml:space="preserve">= </m:t>
          </m:r>
          <m:d>
            <m:dPr>
              <m:ctrlPr>
                <w:rPr>
                  <w:rFonts w:ascii="Cambria Math" w:eastAsiaTheme="minorEastAsia" w:hAnsi="Cambria Math"/>
                  <w:lang w:val="en-GB"/>
                </w:rPr>
              </m:ctrlPr>
            </m:dPr>
            <m:e>
              <m:f>
                <m:fPr>
                  <m:ctrlPr>
                    <w:rPr>
                      <w:rFonts w:ascii="Cambria Math" w:eastAsiaTheme="minorEastAsia" w:hAnsi="Cambria Math"/>
                      <w:lang w:val="en-GB"/>
                    </w:rPr>
                  </m:ctrlPr>
                </m:fPr>
                <m:num>
                  <m:r>
                    <m:rPr>
                      <m:sty m:val="p"/>
                    </m:rPr>
                    <w:rPr>
                      <w:rFonts w:ascii="Cambria Math" w:eastAsiaTheme="minorEastAsia" w:hAnsi="Cambria Math"/>
                      <w:lang w:val="en-GB"/>
                    </w:rPr>
                    <m:t>4, 137 m</m:t>
                  </m:r>
                </m:num>
                <m:den>
                  <m:r>
                    <m:rPr>
                      <m:sty m:val="p"/>
                    </m:rPr>
                    <w:rPr>
                      <w:rFonts w:ascii="Cambria Math" w:eastAsiaTheme="minorEastAsia" w:hAnsi="Cambria Math"/>
                      <w:lang w:val="en-GB"/>
                    </w:rPr>
                    <m:t>2, 912 m</m:t>
                  </m:r>
                </m:den>
              </m:f>
            </m:e>
          </m:d>
          <m:r>
            <m:rPr>
              <m:sty m:val="p"/>
            </m:rPr>
            <w:rPr>
              <w:rFonts w:ascii="Cambria Math" w:eastAsiaTheme="minorEastAsia" w:hAnsi="Cambria Math"/>
              <w:lang w:val="en-GB"/>
            </w:rPr>
            <m:t>× 100</m:t>
          </m:r>
        </m:oMath>
      </m:oMathPara>
    </w:p>
    <w:p w14:paraId="2D23C23A" w14:textId="4EA73B9F" w:rsidR="00D6002F" w:rsidRPr="0038763E" w:rsidRDefault="00431CEC" w:rsidP="00D600EC">
      <w:pPr>
        <w:rPr>
          <w:rFonts w:eastAsiaTheme="minorEastAsia"/>
          <w:lang w:val="en-GB"/>
        </w:rPr>
      </w:pPr>
      <m:oMathPara>
        <m:oMathParaPr>
          <m:jc m:val="left"/>
        </m:oMathParaPr>
        <m:oMath>
          <m:sSub>
            <m:sSubPr>
              <m:ctrlPr>
                <w:rPr>
                  <w:rFonts w:ascii="Cambria Math" w:eastAsiaTheme="minorEastAsia" w:hAnsi="Cambria Math"/>
                  <w:lang w:val="en-GB"/>
                </w:rPr>
              </m:ctrlPr>
            </m:sSubPr>
            <m:e>
              <m:r>
                <m:rPr>
                  <m:sty m:val="p"/>
                </m:rPr>
                <w:rPr>
                  <w:rFonts w:ascii="Cambria Math" w:eastAsiaTheme="minorEastAsia" w:hAnsi="Cambria Math"/>
                  <w:lang w:val="en-GB"/>
                </w:rPr>
                <m:t>Gearing Ratio</m:t>
              </m:r>
            </m:e>
            <m:sub>
              <m:r>
                <m:rPr>
                  <m:sty m:val="p"/>
                </m:rPr>
                <w:rPr>
                  <w:rFonts w:ascii="Cambria Math" w:eastAsiaTheme="minorEastAsia" w:hAnsi="Cambria Math"/>
                  <w:lang w:val="en-GB"/>
                </w:rPr>
                <m:t>2021</m:t>
              </m:r>
            </m:sub>
          </m:sSub>
          <m:r>
            <m:rPr>
              <m:sty m:val="p"/>
            </m:rPr>
            <w:rPr>
              <w:rFonts w:ascii="Cambria Math" w:eastAsiaTheme="minorEastAsia" w:hAnsi="Cambria Math"/>
              <w:lang w:val="en-GB"/>
            </w:rPr>
            <m:t xml:space="preserve">= </m:t>
          </m:r>
          <m:d>
            <m:dPr>
              <m:ctrlPr>
                <w:rPr>
                  <w:rFonts w:ascii="Cambria Math" w:eastAsiaTheme="minorEastAsia" w:hAnsi="Cambria Math"/>
                  <w:lang w:val="en-GB"/>
                </w:rPr>
              </m:ctrlPr>
            </m:dPr>
            <m:e>
              <m:f>
                <m:fPr>
                  <m:ctrlPr>
                    <w:rPr>
                      <w:rFonts w:ascii="Cambria Math" w:eastAsiaTheme="minorEastAsia" w:hAnsi="Cambria Math"/>
                      <w:lang w:val="en-GB"/>
                    </w:rPr>
                  </m:ctrlPr>
                </m:fPr>
                <m:num>
                  <m:r>
                    <m:rPr>
                      <m:sty m:val="p"/>
                    </m:rPr>
                    <w:rPr>
                      <w:rFonts w:ascii="Cambria Math" w:eastAsiaTheme="minorEastAsia" w:hAnsi="Cambria Math"/>
                      <w:lang w:val="en-GB"/>
                    </w:rPr>
                    <m:t>4, 129 m</m:t>
                  </m:r>
                </m:num>
                <m:den>
                  <m:r>
                    <m:rPr>
                      <m:sty m:val="p"/>
                    </m:rPr>
                    <w:rPr>
                      <w:rFonts w:ascii="Cambria Math" w:eastAsiaTheme="minorEastAsia" w:hAnsi="Cambria Math"/>
                      <w:lang w:val="en-GB"/>
                    </w:rPr>
                    <m:t>2, 912 m</m:t>
                  </m:r>
                </m:den>
              </m:f>
            </m:e>
          </m:d>
          <m:r>
            <m:rPr>
              <m:sty m:val="p"/>
            </m:rPr>
            <w:rPr>
              <w:rFonts w:ascii="Cambria Math" w:eastAsiaTheme="minorEastAsia" w:hAnsi="Cambria Math"/>
              <w:lang w:val="en-GB"/>
            </w:rPr>
            <m:t>× 100</m:t>
          </m:r>
        </m:oMath>
      </m:oMathPara>
    </w:p>
    <w:p w14:paraId="6D23084E" w14:textId="63ED8F18" w:rsidR="00296569" w:rsidRPr="0038763E" w:rsidRDefault="00296569" w:rsidP="00D600EC">
      <w:pPr>
        <w:rPr>
          <w:b/>
          <w:bCs/>
          <w:lang w:val="en-GB"/>
        </w:rPr>
      </w:pPr>
      <w:r w:rsidRPr="0038763E">
        <w:rPr>
          <w:b/>
          <w:bCs/>
          <w:lang w:val="en-GB"/>
        </w:rPr>
        <w:t xml:space="preserve">Interest Cover </w:t>
      </w:r>
    </w:p>
    <w:p w14:paraId="2A410C25" w14:textId="507AF65C" w:rsidR="00662751" w:rsidRPr="0038763E" w:rsidRDefault="00662751" w:rsidP="00D600EC">
      <w:pPr>
        <w:rPr>
          <w:rFonts w:eastAsiaTheme="minorEastAsia"/>
          <w:lang w:val="en-GB"/>
        </w:rPr>
      </w:pPr>
      <w:r w:rsidRPr="0038763E">
        <w:rPr>
          <w:lang w:val="en-GB"/>
        </w:rPr>
        <w:t xml:space="preserve">Interest Cover = </w:t>
      </w:r>
      <m:oMath>
        <m:f>
          <m:fPr>
            <m:ctrlPr>
              <w:rPr>
                <w:rFonts w:ascii="Cambria Math" w:hAnsi="Cambria Math"/>
                <w:lang w:val="en-GB"/>
              </w:rPr>
            </m:ctrlPr>
          </m:fPr>
          <m:num>
            <m:r>
              <m:rPr>
                <m:sty m:val="p"/>
              </m:rPr>
              <w:rPr>
                <w:rFonts w:ascii="Cambria Math" w:hAnsi="Cambria Math"/>
                <w:lang w:val="en-GB"/>
              </w:rPr>
              <m:t xml:space="preserve">Operating Profit </m:t>
            </m:r>
          </m:num>
          <m:den>
            <m:r>
              <m:rPr>
                <m:sty m:val="p"/>
              </m:rPr>
              <w:rPr>
                <w:rFonts w:ascii="Cambria Math" w:hAnsi="Cambria Math"/>
                <w:lang w:val="en-GB"/>
              </w:rPr>
              <m:t>Interest Payable</m:t>
            </m:r>
          </m:den>
        </m:f>
      </m:oMath>
    </w:p>
    <w:p w14:paraId="09BDF446" w14:textId="4981140E" w:rsidR="00662751" w:rsidRPr="0038763E" w:rsidRDefault="00431CEC" w:rsidP="00662751">
      <w:pPr>
        <w:rPr>
          <w:lang w:val="en-GB"/>
        </w:rPr>
      </w:pPr>
      <m:oMath>
        <m:sSub>
          <m:sSubPr>
            <m:ctrlPr>
              <w:rPr>
                <w:rFonts w:ascii="Cambria Math" w:hAnsi="Cambria Math"/>
                <w:lang w:val="en-GB"/>
              </w:rPr>
            </m:ctrlPr>
          </m:sSubPr>
          <m:e>
            <m:r>
              <m:rPr>
                <m:sty m:val="p"/>
              </m:rPr>
              <w:rPr>
                <w:rFonts w:ascii="Cambria Math" w:hAnsi="Cambria Math"/>
                <w:lang w:val="en-GB"/>
              </w:rPr>
              <m:t>Interest Cover</m:t>
            </m:r>
          </m:e>
          <m:sub>
            <m:r>
              <m:rPr>
                <m:sty m:val="p"/>
              </m:rPr>
              <w:rPr>
                <w:rFonts w:ascii="Cambria Math" w:hAnsi="Cambria Math"/>
                <w:lang w:val="en-GB"/>
              </w:rPr>
              <m:t>2022</m:t>
            </m:r>
          </m:sub>
        </m:sSub>
      </m:oMath>
      <w:r w:rsidR="00662751" w:rsidRPr="0038763E">
        <w:rPr>
          <w:lang w:val="en-GB"/>
        </w:rPr>
        <w:t xml:space="preserve">= </w:t>
      </w:r>
      <m:oMath>
        <m:f>
          <m:fPr>
            <m:ctrlPr>
              <w:rPr>
                <w:rFonts w:ascii="Cambria Math" w:hAnsi="Cambria Math"/>
                <w:lang w:val="en-GB"/>
              </w:rPr>
            </m:ctrlPr>
          </m:fPr>
          <m:num>
            <m:r>
              <m:rPr>
                <m:sty m:val="p"/>
              </m:rPr>
              <w:rPr>
                <w:rFonts w:ascii="Cambria Math" w:hAnsi="Cambria Math"/>
                <w:lang w:val="en-GB"/>
              </w:rPr>
              <m:t xml:space="preserve">805 m </m:t>
            </m:r>
          </m:num>
          <m:den>
            <m:r>
              <m:rPr>
                <m:sty m:val="p"/>
              </m:rPr>
              <w:rPr>
                <w:rFonts w:ascii="Cambria Math" w:hAnsi="Cambria Math"/>
                <w:lang w:val="en-GB"/>
              </w:rPr>
              <m:t>226 m</m:t>
            </m:r>
          </m:den>
        </m:f>
      </m:oMath>
    </w:p>
    <w:p w14:paraId="709B2136" w14:textId="262457D6" w:rsidR="00662751" w:rsidRPr="0038763E" w:rsidRDefault="00431CEC" w:rsidP="00D600EC">
      <w:pPr>
        <w:rPr>
          <w:lang w:val="en-GB"/>
        </w:rPr>
      </w:pPr>
      <m:oMath>
        <m:sSub>
          <m:sSubPr>
            <m:ctrlPr>
              <w:rPr>
                <w:rFonts w:ascii="Cambria Math" w:hAnsi="Cambria Math"/>
                <w:lang w:val="en-GB"/>
              </w:rPr>
            </m:ctrlPr>
          </m:sSubPr>
          <m:e>
            <m:r>
              <m:rPr>
                <m:sty m:val="p"/>
              </m:rPr>
              <w:rPr>
                <w:rFonts w:ascii="Cambria Math" w:hAnsi="Cambria Math"/>
                <w:lang w:val="en-GB"/>
              </w:rPr>
              <m:t>Interest Cover</m:t>
            </m:r>
          </m:e>
          <m:sub>
            <m:r>
              <m:rPr>
                <m:sty m:val="p"/>
              </m:rPr>
              <w:rPr>
                <w:rFonts w:ascii="Cambria Math" w:hAnsi="Cambria Math"/>
                <w:lang w:val="en-GB"/>
              </w:rPr>
              <m:t>2021</m:t>
            </m:r>
          </m:sub>
        </m:sSub>
      </m:oMath>
      <w:r w:rsidR="00662751" w:rsidRPr="0038763E">
        <w:rPr>
          <w:lang w:val="en-GB"/>
        </w:rPr>
        <w:t xml:space="preserve">= </w:t>
      </w:r>
      <m:oMath>
        <m:f>
          <m:fPr>
            <m:ctrlPr>
              <w:rPr>
                <w:rFonts w:ascii="Cambria Math" w:hAnsi="Cambria Math"/>
                <w:lang w:val="en-GB"/>
              </w:rPr>
            </m:ctrlPr>
          </m:fPr>
          <m:num>
            <m:r>
              <m:rPr>
                <m:sty m:val="p"/>
              </m:rPr>
              <w:rPr>
                <w:rFonts w:ascii="Cambria Math" w:hAnsi="Cambria Math"/>
                <w:lang w:val="en-GB"/>
              </w:rPr>
              <m:t xml:space="preserve">699 m </m:t>
            </m:r>
          </m:num>
          <m:den>
            <m:r>
              <m:rPr>
                <m:sty m:val="p"/>
              </m:rPr>
              <w:rPr>
                <w:rFonts w:ascii="Cambria Math" w:hAnsi="Cambria Math"/>
                <w:lang w:val="en-GB"/>
              </w:rPr>
              <m:t>181 m</m:t>
            </m:r>
          </m:den>
        </m:f>
      </m:oMath>
    </w:p>
    <w:p w14:paraId="094260A0" w14:textId="4EF01DDD" w:rsidR="00F73650" w:rsidRPr="0038763E" w:rsidRDefault="00296569" w:rsidP="0038763E">
      <w:pPr>
        <w:rPr>
          <w:b/>
          <w:bCs/>
          <w:lang w:val="en-GB"/>
        </w:rPr>
      </w:pPr>
      <w:bookmarkStart w:id="5" w:name="_Toc163846929"/>
      <w:r w:rsidRPr="0038763E">
        <w:rPr>
          <w:b/>
          <w:bCs/>
          <w:lang w:val="en-GB"/>
        </w:rPr>
        <w:t>b. Financial Performance and Position Analysis:</w:t>
      </w:r>
      <w:bookmarkEnd w:id="5"/>
    </w:p>
    <w:p w14:paraId="5D5F3F2A" w14:textId="2A0B733E" w:rsidR="00F73650" w:rsidRPr="0038763E" w:rsidRDefault="00F73650" w:rsidP="00F73650">
      <w:pPr>
        <w:rPr>
          <w:lang w:val="en-GB"/>
        </w:rPr>
      </w:pPr>
      <w:r w:rsidRPr="0038763E">
        <w:rPr>
          <w:lang w:val="en-GB"/>
        </w:rPr>
        <w:t xml:space="preserve">The unfaltering and remarkable financial performance of </w:t>
      </w:r>
      <w:r w:rsidR="00387E8F" w:rsidRPr="0038763E">
        <w:rPr>
          <w:lang w:val="en-GB"/>
        </w:rPr>
        <w:t>sweet’s</w:t>
      </w:r>
      <w:r w:rsidRPr="0038763E">
        <w:rPr>
          <w:lang w:val="en-GB"/>
        </w:rPr>
        <w:t xml:space="preserve"> plc, a business that has long existed and produces sweets and confectionery goods, is visible in the financial ratios which I have calculated for the years 2022 and 2021, showing a stable financial position</w:t>
      </w:r>
      <w:r w:rsidR="004E3ADF" w:rsidRPr="0038763E">
        <w:rPr>
          <w:lang w:val="en-GB"/>
        </w:rPr>
        <w:t xml:space="preserve"> (</w:t>
      </w:r>
      <w:proofErr w:type="spellStart"/>
      <w:r w:rsidR="004E3ADF" w:rsidRPr="0038763E">
        <w:rPr>
          <w:lang w:val="en-GB"/>
        </w:rPr>
        <w:t>Ohlson</w:t>
      </w:r>
      <w:proofErr w:type="spellEnd"/>
      <w:r w:rsidR="004E3ADF" w:rsidRPr="0038763E">
        <w:rPr>
          <w:lang w:val="en-GB"/>
        </w:rPr>
        <w:t>, 2018)</w:t>
      </w:r>
      <w:r w:rsidRPr="0038763E">
        <w:rPr>
          <w:lang w:val="en-GB"/>
        </w:rPr>
        <w:t>.</w:t>
      </w:r>
    </w:p>
    <w:p w14:paraId="6C6C6621" w14:textId="689823FA" w:rsidR="00F73650" w:rsidRPr="0038763E" w:rsidRDefault="00F73650" w:rsidP="00F73650">
      <w:pPr>
        <w:pStyle w:val="ListParagraph"/>
        <w:numPr>
          <w:ilvl w:val="0"/>
          <w:numId w:val="7"/>
        </w:numPr>
        <w:ind w:left="360"/>
        <w:rPr>
          <w:lang w:val="en-GB"/>
        </w:rPr>
      </w:pPr>
      <w:r w:rsidRPr="0038763E">
        <w:rPr>
          <w:lang w:val="en-GB"/>
        </w:rPr>
        <w:t>Profitability Ratios: In ROCE, asset turnover and the profit margin for a period are calculated into one ratio, which tells the company's profitability from capital and equity</w:t>
      </w:r>
      <w:r w:rsidR="004E3ADF" w:rsidRPr="0038763E">
        <w:rPr>
          <w:lang w:val="en-GB"/>
        </w:rPr>
        <w:t xml:space="preserve"> (</w:t>
      </w:r>
      <w:proofErr w:type="spellStart"/>
      <w:r w:rsidR="004E3ADF" w:rsidRPr="0038763E">
        <w:rPr>
          <w:lang w:val="en-GB"/>
        </w:rPr>
        <w:t>Paisey</w:t>
      </w:r>
      <w:proofErr w:type="spellEnd"/>
      <w:r w:rsidR="004E3ADF" w:rsidRPr="0038763E">
        <w:rPr>
          <w:lang w:val="en-GB"/>
        </w:rPr>
        <w:t xml:space="preserve"> and </w:t>
      </w:r>
      <w:proofErr w:type="spellStart"/>
      <w:r w:rsidR="004E3ADF" w:rsidRPr="0038763E">
        <w:rPr>
          <w:lang w:val="en-GB"/>
        </w:rPr>
        <w:t>Paisey</w:t>
      </w:r>
      <w:proofErr w:type="spellEnd"/>
      <w:r w:rsidR="004E3ADF" w:rsidRPr="0038763E">
        <w:rPr>
          <w:lang w:val="en-GB"/>
        </w:rPr>
        <w:t>, 2014)</w:t>
      </w:r>
      <w:r w:rsidRPr="0038763E">
        <w:rPr>
          <w:lang w:val="en-GB"/>
        </w:rPr>
        <w:t xml:space="preserve">. The financial indicators for </w:t>
      </w:r>
      <w:r w:rsidR="006A6CE2" w:rsidRPr="0038763E">
        <w:rPr>
          <w:lang w:val="en-GB"/>
        </w:rPr>
        <w:t>sweet’s</w:t>
      </w:r>
      <w:r w:rsidRPr="0038763E">
        <w:rPr>
          <w:lang w:val="en-GB"/>
        </w:rPr>
        <w:t xml:space="preserve"> plc have experienced upward moves in both ratios between 2021 and 2022, implying a greater proficiency in the utili</w:t>
      </w:r>
      <w:r w:rsidR="0038763E">
        <w:rPr>
          <w:lang w:val="en-GB"/>
        </w:rPr>
        <w:t>sa</w:t>
      </w:r>
      <w:r w:rsidRPr="0038763E">
        <w:rPr>
          <w:lang w:val="en-GB"/>
        </w:rPr>
        <w:t xml:space="preserve">tion of resources into profitable activities that </w:t>
      </w:r>
      <w:r w:rsidR="00F66B05" w:rsidRPr="0038763E">
        <w:rPr>
          <w:lang w:val="en-GB"/>
        </w:rPr>
        <w:t>have</w:t>
      </w:r>
      <w:r w:rsidRPr="0038763E">
        <w:rPr>
          <w:lang w:val="en-GB"/>
        </w:rPr>
        <w:t xml:space="preserve"> become more effective. The rise in ROCE from 93% to 11.5% over the period 2021-2022 is, therefore, an indicator of operational efficiency and capital allocation effectiveness inside the company. On the same note, </w:t>
      </w:r>
      <w:r w:rsidR="00F66B05" w:rsidRPr="0038763E">
        <w:rPr>
          <w:lang w:val="en-GB"/>
        </w:rPr>
        <w:t xml:space="preserve">the </w:t>
      </w:r>
      <w:r w:rsidRPr="0038763E">
        <w:rPr>
          <w:lang w:val="en-GB"/>
        </w:rPr>
        <w:t xml:space="preserve">rise in ROE from 12.57% at the end of 2021 to 14.37% at the end of 2022 is a signal to the shareholders of higher return, which reflects </w:t>
      </w:r>
      <w:r w:rsidR="00F66B05" w:rsidRPr="0038763E">
        <w:rPr>
          <w:lang w:val="en-GB"/>
        </w:rPr>
        <w:t>well</w:t>
      </w:r>
      <w:r w:rsidRPr="0038763E">
        <w:rPr>
          <w:lang w:val="en-GB"/>
        </w:rPr>
        <w:t xml:space="preserve"> on the profitability of the company.</w:t>
      </w:r>
    </w:p>
    <w:p w14:paraId="5A2C095C" w14:textId="64BB3717" w:rsidR="00F73650" w:rsidRPr="0038763E" w:rsidRDefault="00F73650" w:rsidP="00F73650">
      <w:pPr>
        <w:pStyle w:val="ListParagraph"/>
        <w:numPr>
          <w:ilvl w:val="0"/>
          <w:numId w:val="7"/>
        </w:numPr>
        <w:ind w:left="360"/>
        <w:rPr>
          <w:lang w:val="en-GB"/>
        </w:rPr>
      </w:pPr>
      <w:r w:rsidRPr="0038763E">
        <w:rPr>
          <w:lang w:val="en-GB"/>
        </w:rPr>
        <w:t xml:space="preserve">Liquidity and Solvency Ratios: The resultant ratio can be used as the guiding factor for the company's </w:t>
      </w:r>
      <w:r w:rsidR="00F12C3B" w:rsidRPr="0038763E">
        <w:rPr>
          <w:lang w:val="en-GB"/>
        </w:rPr>
        <w:t>short-term</w:t>
      </w:r>
      <w:r w:rsidRPr="0038763E">
        <w:rPr>
          <w:lang w:val="en-GB"/>
        </w:rPr>
        <w:t xml:space="preserve"> liquidity available. The decline in the current ratio from 2021 to 2022 slightly is not likely to negatively affect </w:t>
      </w:r>
      <w:r w:rsidR="00F66B05" w:rsidRPr="0038763E">
        <w:rPr>
          <w:lang w:val="en-GB"/>
        </w:rPr>
        <w:t>Sweets</w:t>
      </w:r>
      <w:r w:rsidRPr="0038763E">
        <w:rPr>
          <w:lang w:val="en-GB"/>
        </w:rPr>
        <w:t xml:space="preserve"> plc, as the company still has a strong amount of ratio 1.1, which implies an ability to meet </w:t>
      </w:r>
      <w:r w:rsidR="00F66B05" w:rsidRPr="0038763E">
        <w:rPr>
          <w:lang w:val="en-GB"/>
        </w:rPr>
        <w:t>short-term</w:t>
      </w:r>
      <w:r w:rsidRPr="0038763E">
        <w:rPr>
          <w:lang w:val="en-GB"/>
        </w:rPr>
        <w:t xml:space="preserve"> debts with the current assets available. The fact that </w:t>
      </w:r>
      <w:r w:rsidR="00F66B05" w:rsidRPr="0038763E">
        <w:rPr>
          <w:lang w:val="en-GB"/>
        </w:rPr>
        <w:t xml:space="preserve">the </w:t>
      </w:r>
      <w:r w:rsidRPr="0038763E">
        <w:rPr>
          <w:lang w:val="en-GB"/>
        </w:rPr>
        <w:t xml:space="preserve">debt ratio may fall does not mean a sigh of relief, so it is a good idea to conduct frequent tests if the ability to cover </w:t>
      </w:r>
      <w:r w:rsidR="00F66B05" w:rsidRPr="0038763E">
        <w:rPr>
          <w:lang w:val="en-GB"/>
        </w:rPr>
        <w:t>short-term</w:t>
      </w:r>
      <w:r w:rsidRPr="0038763E">
        <w:rPr>
          <w:lang w:val="en-GB"/>
        </w:rPr>
        <w:t xml:space="preserve"> obligations of the firm is what want</w:t>
      </w:r>
      <w:r w:rsidR="00894817" w:rsidRPr="0038763E">
        <w:rPr>
          <w:lang w:val="en-GB"/>
        </w:rPr>
        <w:t>s</w:t>
      </w:r>
      <w:r w:rsidRPr="0038763E">
        <w:rPr>
          <w:lang w:val="en-GB"/>
        </w:rPr>
        <w:t xml:space="preserve"> to examine on time. Nevertheless, the company’s capital structure shows the way its debt is related to other forms of financing taken by the company. Even though the </w:t>
      </w:r>
      <w:r w:rsidR="00F66B05" w:rsidRPr="0038763E">
        <w:rPr>
          <w:lang w:val="en-GB"/>
        </w:rPr>
        <w:t>leverage</w:t>
      </w:r>
      <w:r w:rsidRPr="0038763E">
        <w:rPr>
          <w:lang w:val="en-GB"/>
        </w:rPr>
        <w:t xml:space="preserve"> is somewhat higher in 2022 in comparison to 2021, it is still in good condition, reflecting that the company has allowed debt to be at </w:t>
      </w:r>
      <w:r w:rsidR="00F66B05" w:rsidRPr="0038763E">
        <w:rPr>
          <w:lang w:val="en-GB"/>
        </w:rPr>
        <w:t xml:space="preserve">a </w:t>
      </w:r>
      <w:r w:rsidRPr="0038763E">
        <w:rPr>
          <w:lang w:val="en-GB"/>
        </w:rPr>
        <w:t>moderate level and equivalent to the equity base</w:t>
      </w:r>
      <w:r w:rsidR="004E3ADF" w:rsidRPr="0038763E">
        <w:rPr>
          <w:lang w:val="en-GB"/>
        </w:rPr>
        <w:t xml:space="preserve"> (</w:t>
      </w:r>
      <w:proofErr w:type="spellStart"/>
      <w:r w:rsidR="004E3ADF" w:rsidRPr="0038763E">
        <w:rPr>
          <w:lang w:val="en-GB"/>
        </w:rPr>
        <w:t>Palincsar</w:t>
      </w:r>
      <w:proofErr w:type="spellEnd"/>
      <w:r w:rsidR="004E3ADF" w:rsidRPr="0038763E">
        <w:rPr>
          <w:lang w:val="en-GB"/>
        </w:rPr>
        <w:t>, 2014)</w:t>
      </w:r>
      <w:r w:rsidRPr="0038763E">
        <w:rPr>
          <w:lang w:val="en-GB"/>
        </w:rPr>
        <w:t>.</w:t>
      </w:r>
    </w:p>
    <w:p w14:paraId="2ED5690E" w14:textId="7A1D2BED" w:rsidR="00F73650" w:rsidRPr="0038763E" w:rsidRDefault="00F73650" w:rsidP="00F73650">
      <w:pPr>
        <w:pStyle w:val="ListParagraph"/>
        <w:numPr>
          <w:ilvl w:val="0"/>
          <w:numId w:val="7"/>
        </w:numPr>
        <w:tabs>
          <w:tab w:val="num" w:pos="0"/>
        </w:tabs>
        <w:ind w:left="360"/>
        <w:rPr>
          <w:lang w:val="en-GB"/>
        </w:rPr>
      </w:pPr>
      <w:r w:rsidRPr="0038763E">
        <w:rPr>
          <w:lang w:val="en-GB"/>
        </w:rPr>
        <w:t xml:space="preserve">Efficiency and Operational Ratios: </w:t>
      </w:r>
      <w:r w:rsidR="00F66B05" w:rsidRPr="0038763E">
        <w:rPr>
          <w:lang w:val="en-GB"/>
        </w:rPr>
        <w:t>The asset</w:t>
      </w:r>
      <w:r w:rsidRPr="0038763E">
        <w:rPr>
          <w:lang w:val="en-GB"/>
        </w:rPr>
        <w:t xml:space="preserve"> turnover ratio indicates a company’s performance </w:t>
      </w:r>
      <w:r w:rsidR="00F66B05" w:rsidRPr="0038763E">
        <w:rPr>
          <w:lang w:val="en-GB"/>
        </w:rPr>
        <w:t>in</w:t>
      </w:r>
      <w:r w:rsidRPr="0038763E">
        <w:rPr>
          <w:lang w:val="en-GB"/>
        </w:rPr>
        <w:t xml:space="preserve"> making money from its assets. Although there have been times when the asset turnover rate has declined slightly </w:t>
      </w:r>
      <w:r w:rsidR="00F66B05" w:rsidRPr="0038763E">
        <w:rPr>
          <w:lang w:val="en-GB"/>
        </w:rPr>
        <w:t>from</w:t>
      </w:r>
      <w:r w:rsidRPr="0038763E">
        <w:rPr>
          <w:lang w:val="en-GB"/>
        </w:rPr>
        <w:t xml:space="preserve"> 2021 to 2022, this may be a sign of loss of operational efficiency. Next to this, </w:t>
      </w:r>
      <w:r w:rsidR="004E3ADF" w:rsidRPr="0038763E">
        <w:rPr>
          <w:lang w:val="en-GB"/>
        </w:rPr>
        <w:t>sweets</w:t>
      </w:r>
      <w:r w:rsidRPr="0038763E">
        <w:rPr>
          <w:lang w:val="en-GB"/>
        </w:rPr>
        <w:t xml:space="preserve"> plc has still a moderate turnover rate. The decline could indicate necessary margins for investigation into sources of depletion, </w:t>
      </w:r>
      <w:r w:rsidR="00F66B05" w:rsidRPr="0038763E">
        <w:rPr>
          <w:lang w:val="en-GB"/>
        </w:rPr>
        <w:t>to</w:t>
      </w:r>
      <w:r w:rsidRPr="0038763E">
        <w:rPr>
          <w:lang w:val="en-GB"/>
        </w:rPr>
        <w:t xml:space="preserve"> more effectively distribute resource use. Furthermore, a detailed analysis of the stock holding days together with the </w:t>
      </w:r>
      <w:r w:rsidR="00F66B05" w:rsidRPr="0038763E">
        <w:rPr>
          <w:lang w:val="en-GB"/>
        </w:rPr>
        <w:t>debtor's</w:t>
      </w:r>
      <w:r w:rsidRPr="0038763E">
        <w:rPr>
          <w:lang w:val="en-GB"/>
        </w:rPr>
        <w:t xml:space="preserve"> collection period </w:t>
      </w:r>
      <w:r w:rsidR="00F66B05" w:rsidRPr="0038763E">
        <w:rPr>
          <w:lang w:val="en-GB"/>
        </w:rPr>
        <w:t>allows</w:t>
      </w:r>
      <w:r w:rsidRPr="0038763E">
        <w:rPr>
          <w:lang w:val="en-GB"/>
        </w:rPr>
        <w:t xml:space="preserve"> </w:t>
      </w:r>
      <w:r w:rsidR="00F66B05" w:rsidRPr="0038763E">
        <w:rPr>
          <w:lang w:val="en-GB"/>
        </w:rPr>
        <w:t xml:space="preserve">us </w:t>
      </w:r>
      <w:r w:rsidRPr="0038763E">
        <w:rPr>
          <w:lang w:val="en-GB"/>
        </w:rPr>
        <w:t xml:space="preserve">to observe how efficient is the inventory management and the accounts receivable collection process. </w:t>
      </w:r>
      <w:r w:rsidR="00F66B05" w:rsidRPr="0038763E">
        <w:rPr>
          <w:lang w:val="en-GB"/>
        </w:rPr>
        <w:t>The year-over-year</w:t>
      </w:r>
      <w:r w:rsidRPr="0038763E">
        <w:rPr>
          <w:lang w:val="en-GB"/>
        </w:rPr>
        <w:t xml:space="preserve"> decrease of both ratios (from 2021 to 2022) signals </w:t>
      </w:r>
      <w:r w:rsidR="00F66B05" w:rsidRPr="0038763E">
        <w:rPr>
          <w:lang w:val="en-GB"/>
        </w:rPr>
        <w:t>an</w:t>
      </w:r>
      <w:r w:rsidRPr="0038763E">
        <w:rPr>
          <w:lang w:val="en-GB"/>
        </w:rPr>
        <w:t xml:space="preserve"> improvement in the inventory turnover time and receivables collection time thus it is a sign of enhanced operational efficiency</w:t>
      </w:r>
      <w:r w:rsidR="004E3ADF" w:rsidRPr="0038763E">
        <w:rPr>
          <w:lang w:val="en-GB"/>
        </w:rPr>
        <w:t xml:space="preserve"> (Rankin et al., 2017)</w:t>
      </w:r>
      <w:r w:rsidRPr="0038763E">
        <w:rPr>
          <w:lang w:val="en-GB"/>
        </w:rPr>
        <w:t>.</w:t>
      </w:r>
    </w:p>
    <w:p w14:paraId="4FB63244" w14:textId="30D96C5D" w:rsidR="00F73650" w:rsidRPr="0038763E" w:rsidRDefault="00F73650" w:rsidP="00F73650">
      <w:pPr>
        <w:pStyle w:val="ListParagraph"/>
        <w:numPr>
          <w:ilvl w:val="0"/>
          <w:numId w:val="7"/>
        </w:numPr>
        <w:tabs>
          <w:tab w:val="num" w:pos="0"/>
        </w:tabs>
        <w:ind w:left="360"/>
        <w:rPr>
          <w:lang w:val="en-GB"/>
        </w:rPr>
      </w:pPr>
      <w:r w:rsidRPr="0038763E">
        <w:rPr>
          <w:lang w:val="en-GB"/>
        </w:rPr>
        <w:t xml:space="preserve">Profit Margin and Coverage Ratios: The net profit margin, which is the margin that separates the amount of revenue generated and the profit generated from it, shows the company’s ability to turn income </w:t>
      </w:r>
      <w:r w:rsidR="00F66B05" w:rsidRPr="0038763E">
        <w:rPr>
          <w:lang w:val="en-GB"/>
        </w:rPr>
        <w:t>into</w:t>
      </w:r>
      <w:r w:rsidRPr="0038763E">
        <w:rPr>
          <w:lang w:val="en-GB"/>
        </w:rPr>
        <w:t xml:space="preserve"> profit. Sweets Plc, steadily or a tinge higher, exhibited the net profit margin for 2021 and 2022. This goes to explain that there is cost management in effect and also profitability enhancement. Also, </w:t>
      </w:r>
      <w:r w:rsidR="00F66B05" w:rsidRPr="0038763E">
        <w:rPr>
          <w:lang w:val="en-GB"/>
        </w:rPr>
        <w:t xml:space="preserve">the </w:t>
      </w:r>
      <w:r w:rsidRPr="0038763E">
        <w:rPr>
          <w:lang w:val="en-GB"/>
        </w:rPr>
        <w:t xml:space="preserve">interest cover ratio is considered an undertaking to evaluate whether or not the company could cover the interest. The fact that the company </w:t>
      </w:r>
      <w:r w:rsidR="00F66B05" w:rsidRPr="0038763E">
        <w:rPr>
          <w:lang w:val="en-GB"/>
        </w:rPr>
        <w:t>has maintained</w:t>
      </w:r>
      <w:r w:rsidRPr="0038763E">
        <w:rPr>
          <w:lang w:val="en-GB"/>
        </w:rPr>
        <w:t xml:space="preserve"> a healthy interest cover ratio for the years at discussion shows it </w:t>
      </w:r>
      <w:r w:rsidR="00F66B05" w:rsidRPr="0038763E">
        <w:rPr>
          <w:lang w:val="en-GB"/>
        </w:rPr>
        <w:t>can</w:t>
      </w:r>
      <w:r w:rsidRPr="0038763E">
        <w:rPr>
          <w:lang w:val="en-GB"/>
        </w:rPr>
        <w:t xml:space="preserve"> probably meet its obligations comfortably and therefore instils confidence </w:t>
      </w:r>
      <w:r w:rsidR="00F66B05" w:rsidRPr="0038763E">
        <w:rPr>
          <w:lang w:val="en-GB"/>
        </w:rPr>
        <w:t>in</w:t>
      </w:r>
      <w:r w:rsidRPr="0038763E">
        <w:rPr>
          <w:lang w:val="en-GB"/>
        </w:rPr>
        <w:t xml:space="preserve"> its creditors and helps maintain financial stability as well as creditworthiness</w:t>
      </w:r>
      <w:r w:rsidR="004E3ADF" w:rsidRPr="0038763E">
        <w:rPr>
          <w:lang w:val="en-GB"/>
        </w:rPr>
        <w:t xml:space="preserve"> </w:t>
      </w:r>
      <w:r w:rsidR="00557588" w:rsidRPr="0038763E">
        <w:rPr>
          <w:lang w:val="en-GB"/>
        </w:rPr>
        <w:t>(</w:t>
      </w:r>
      <w:proofErr w:type="spellStart"/>
      <w:r w:rsidR="00557588" w:rsidRPr="0038763E">
        <w:rPr>
          <w:lang w:val="en-GB"/>
        </w:rPr>
        <w:t>Etherington</w:t>
      </w:r>
      <w:proofErr w:type="spellEnd"/>
      <w:r w:rsidR="00557588" w:rsidRPr="0038763E">
        <w:rPr>
          <w:lang w:val="en-GB"/>
        </w:rPr>
        <w:t xml:space="preserve"> and Richardson, 2020</w:t>
      </w:r>
      <w:r w:rsidR="004E3ADF" w:rsidRPr="0038763E">
        <w:rPr>
          <w:lang w:val="en-GB"/>
        </w:rPr>
        <w:t>)</w:t>
      </w:r>
      <w:r w:rsidRPr="0038763E">
        <w:rPr>
          <w:lang w:val="en-GB"/>
        </w:rPr>
        <w:t>.</w:t>
      </w:r>
    </w:p>
    <w:p w14:paraId="6C984DC8" w14:textId="07F5B241" w:rsidR="004579AB" w:rsidRPr="0038763E" w:rsidRDefault="004E3ADF" w:rsidP="001B40FF">
      <w:pPr>
        <w:rPr>
          <w:lang w:val="en-GB"/>
        </w:rPr>
      </w:pPr>
      <w:r w:rsidRPr="0038763E">
        <w:rPr>
          <w:lang w:val="en-GB"/>
        </w:rPr>
        <w:t>S</w:t>
      </w:r>
      <w:r w:rsidR="00F03449" w:rsidRPr="0038763E">
        <w:rPr>
          <w:lang w:val="en-GB"/>
        </w:rPr>
        <w:t>weets</w:t>
      </w:r>
      <w:r w:rsidR="00F73650" w:rsidRPr="0038763E">
        <w:rPr>
          <w:lang w:val="en-GB"/>
        </w:rPr>
        <w:t xml:space="preserve"> plc shows its competence in financial matters and forms a stable financial position while using successful profit management, liquidity and efficiency. Notwithstanding slight alterations in some of the ratios, generally</w:t>
      </w:r>
      <w:r w:rsidR="00F66B05" w:rsidRPr="0038763E">
        <w:rPr>
          <w:lang w:val="en-GB"/>
        </w:rPr>
        <w:t>,</w:t>
      </w:r>
      <w:r w:rsidR="00F73650" w:rsidRPr="0038763E">
        <w:rPr>
          <w:lang w:val="en-GB"/>
        </w:rPr>
        <w:t xml:space="preserve"> the trends suggest that the company's management is fair and has applied the sound theory of financial management. To attain sustained financial performance, going forward, the focus must be on finding ways to enhance the efficiencies in asset utili</w:t>
      </w:r>
      <w:r w:rsidR="0038763E">
        <w:rPr>
          <w:lang w:val="en-GB"/>
        </w:rPr>
        <w:t>sa</w:t>
      </w:r>
      <w:r w:rsidR="00F73650" w:rsidRPr="0038763E">
        <w:rPr>
          <w:lang w:val="en-GB"/>
        </w:rPr>
        <w:t>tion, maintaining reasonability on the cost side, and prudence in capital allocation</w:t>
      </w:r>
      <w:r w:rsidRPr="0038763E">
        <w:rPr>
          <w:lang w:val="en-GB"/>
        </w:rPr>
        <w:t xml:space="preserve"> (</w:t>
      </w:r>
      <w:proofErr w:type="spellStart"/>
      <w:r w:rsidRPr="0038763E">
        <w:rPr>
          <w:lang w:val="en-GB"/>
        </w:rPr>
        <w:t>Schaltegger</w:t>
      </w:r>
      <w:proofErr w:type="spellEnd"/>
      <w:r w:rsidRPr="0038763E">
        <w:rPr>
          <w:lang w:val="en-GB"/>
        </w:rPr>
        <w:t xml:space="preserve"> and Burritt, 2020)</w:t>
      </w:r>
      <w:r w:rsidR="00F73650" w:rsidRPr="0038763E">
        <w:rPr>
          <w:lang w:val="en-GB"/>
        </w:rPr>
        <w:t>.</w:t>
      </w:r>
    </w:p>
    <w:p w14:paraId="6D54BD2D" w14:textId="18C9407B" w:rsidR="00082124" w:rsidRPr="0038763E" w:rsidRDefault="004579AB" w:rsidP="0038763E">
      <w:pPr>
        <w:rPr>
          <w:b/>
          <w:bCs/>
          <w:sz w:val="32"/>
          <w:szCs w:val="28"/>
          <w:lang w:val="en-GB"/>
        </w:rPr>
      </w:pPr>
      <w:bookmarkStart w:id="6" w:name="_Toc163846930"/>
      <w:r w:rsidRPr="0038763E">
        <w:rPr>
          <w:b/>
          <w:bCs/>
          <w:sz w:val="32"/>
          <w:szCs w:val="28"/>
          <w:lang w:val="en-GB"/>
        </w:rPr>
        <w:t>Conclusion</w:t>
      </w:r>
      <w:bookmarkEnd w:id="6"/>
    </w:p>
    <w:p w14:paraId="7BBB738A" w14:textId="7F9C1CA4" w:rsidR="00686907" w:rsidRPr="0038763E" w:rsidRDefault="004579AB" w:rsidP="004579AB">
      <w:pPr>
        <w:rPr>
          <w:lang w:val="en-GB"/>
        </w:rPr>
      </w:pPr>
      <w:r w:rsidRPr="0038763E">
        <w:rPr>
          <w:lang w:val="en-GB"/>
        </w:rPr>
        <w:t xml:space="preserve">In conclusion, </w:t>
      </w:r>
      <w:r w:rsidR="004503AA" w:rsidRPr="0038763E">
        <w:rPr>
          <w:lang w:val="en-GB"/>
        </w:rPr>
        <w:t>principal</w:t>
      </w:r>
      <w:r w:rsidRPr="0038763E">
        <w:rPr>
          <w:lang w:val="en-GB"/>
        </w:rPr>
        <w:t xml:space="preserve"> aspects of accounting form the foundation of financial reporting, warranting the accuracy and reliability of financial records comprised by the shareholders. Through adhering to the set framework of accounting principles, entities</w:t>
      </w:r>
      <w:r w:rsidR="001A7DDF" w:rsidRPr="0038763E">
        <w:rPr>
          <w:lang w:val="en-GB"/>
        </w:rPr>
        <w:t xml:space="preserve"> </w:t>
      </w:r>
      <w:r w:rsidRPr="0038763E">
        <w:rPr>
          <w:lang w:val="en-GB"/>
        </w:rPr>
        <w:t>(businesses), can maintain transparency, assist existing decision-makers make robust choices, and strengthen market confidence. Knowing the ins and outs of the most fundamental accounting matters is crucial for anyone who wants to have a good footing in today's disruptive business world and earn the trust of the shareholders. Hence, an education process becomes constant and following the right accounting ideal then leads to higher transparency, accountability, and investor trust</w:t>
      </w:r>
      <w:r w:rsidR="00557588" w:rsidRPr="0038763E">
        <w:rPr>
          <w:lang w:val="en-GB"/>
        </w:rPr>
        <w:t xml:space="preserve"> (Zhao et al., 2015)</w:t>
      </w:r>
      <w:r w:rsidRPr="0038763E">
        <w:rPr>
          <w:lang w:val="en-GB"/>
        </w:rPr>
        <w:t>.</w:t>
      </w:r>
    </w:p>
    <w:p w14:paraId="1E26628E" w14:textId="77777777" w:rsidR="00686907" w:rsidRPr="0038763E" w:rsidRDefault="00686907">
      <w:pPr>
        <w:spacing w:line="276" w:lineRule="auto"/>
        <w:jc w:val="left"/>
        <w:rPr>
          <w:rFonts w:eastAsia="Arial"/>
          <w:b/>
          <w:sz w:val="32"/>
          <w:szCs w:val="40"/>
          <w:lang w:val="en-GB"/>
        </w:rPr>
      </w:pPr>
      <w:r w:rsidRPr="0038763E">
        <w:rPr>
          <w:lang w:val="en-GB"/>
        </w:rPr>
        <w:br w:type="page"/>
      </w:r>
    </w:p>
    <w:p w14:paraId="65E747EE" w14:textId="0BB943A5" w:rsidR="004579AB" w:rsidRPr="0038763E" w:rsidRDefault="00686907" w:rsidP="00686907">
      <w:pPr>
        <w:pStyle w:val="Heading1"/>
        <w:rPr>
          <w:lang w:val="en-GB"/>
        </w:rPr>
      </w:pPr>
      <w:r w:rsidRPr="0038763E">
        <w:rPr>
          <w:lang w:val="en-GB"/>
        </w:rPr>
        <w:t>References</w:t>
      </w:r>
    </w:p>
    <w:p w14:paraId="56FE2696" w14:textId="77777777" w:rsidR="006C3AB9" w:rsidRPr="0038763E" w:rsidRDefault="006C3AB9" w:rsidP="004503AA">
      <w:pPr>
        <w:rPr>
          <w:lang w:val="en-GB"/>
        </w:rPr>
      </w:pPr>
      <w:proofErr w:type="spellStart"/>
      <w:r w:rsidRPr="0038763E">
        <w:rPr>
          <w:lang w:val="en-GB"/>
        </w:rPr>
        <w:t>Agasisti</w:t>
      </w:r>
      <w:proofErr w:type="spellEnd"/>
      <w:r w:rsidRPr="0038763E">
        <w:rPr>
          <w:lang w:val="en-GB"/>
        </w:rPr>
        <w:t xml:space="preserve">, T., </w:t>
      </w:r>
      <w:proofErr w:type="spellStart"/>
      <w:r w:rsidRPr="0038763E">
        <w:rPr>
          <w:lang w:val="en-GB"/>
        </w:rPr>
        <w:t>Arnaboldi</w:t>
      </w:r>
      <w:proofErr w:type="spellEnd"/>
      <w:r w:rsidRPr="0038763E">
        <w:rPr>
          <w:lang w:val="en-GB"/>
        </w:rPr>
        <w:t xml:space="preserve">, M. and </w:t>
      </w:r>
      <w:proofErr w:type="spellStart"/>
      <w:r w:rsidRPr="0038763E">
        <w:rPr>
          <w:lang w:val="en-GB"/>
        </w:rPr>
        <w:t>Azzone</w:t>
      </w:r>
      <w:proofErr w:type="spellEnd"/>
      <w:r w:rsidRPr="0038763E">
        <w:rPr>
          <w:lang w:val="en-GB"/>
        </w:rPr>
        <w:t xml:space="preserve">, G. (2016) 'Strategic management accounting in universities: the Italian experience,' </w:t>
      </w:r>
      <w:r w:rsidRPr="0038763E">
        <w:rPr>
          <w:i/>
          <w:iCs/>
          <w:lang w:val="en-GB"/>
        </w:rPr>
        <w:t>Higher Education</w:t>
      </w:r>
      <w:r w:rsidRPr="0038763E">
        <w:rPr>
          <w:lang w:val="en-GB"/>
        </w:rPr>
        <w:t>, 55(1), pp. 1–15. https://doi.org/10.1007/s10734-006-9032-6.</w:t>
      </w:r>
    </w:p>
    <w:p w14:paraId="6F1B32F6" w14:textId="77777777" w:rsidR="006C3AB9" w:rsidRPr="0038763E" w:rsidRDefault="006C3AB9" w:rsidP="004503AA">
      <w:pPr>
        <w:rPr>
          <w:lang w:val="en-GB"/>
        </w:rPr>
      </w:pPr>
      <w:r w:rsidRPr="0038763E">
        <w:rPr>
          <w:lang w:val="en-GB"/>
        </w:rPr>
        <w:t xml:space="preserve">Altman, E.I. (2020) 'FINANCIAL RATIOS, DISCRIMINANT ANALYSIS AND THE PREDICTION OF CORPORATE BANKRUPTCY,' </w:t>
      </w:r>
      <w:r w:rsidRPr="0038763E">
        <w:rPr>
          <w:i/>
          <w:iCs/>
          <w:lang w:val="en-GB"/>
        </w:rPr>
        <w:t>The Journal of Finance</w:t>
      </w:r>
      <w:r w:rsidRPr="0038763E">
        <w:rPr>
          <w:lang w:val="en-GB"/>
        </w:rPr>
        <w:t>, 23(4), pp. 589–609. https://doi.org/10.1111/j.1540-6261.1968.tb00843.x.</w:t>
      </w:r>
    </w:p>
    <w:p w14:paraId="017F0BD8" w14:textId="77777777" w:rsidR="006C3AB9" w:rsidRPr="0038763E" w:rsidRDefault="006C3AB9" w:rsidP="004503AA">
      <w:pPr>
        <w:rPr>
          <w:lang w:val="en-GB"/>
        </w:rPr>
      </w:pPr>
      <w:proofErr w:type="spellStart"/>
      <w:r w:rsidRPr="0038763E">
        <w:rPr>
          <w:lang w:val="en-GB"/>
        </w:rPr>
        <w:t>Bartov</w:t>
      </w:r>
      <w:proofErr w:type="spellEnd"/>
      <w:r w:rsidRPr="0038763E">
        <w:rPr>
          <w:lang w:val="en-GB"/>
        </w:rPr>
        <w:t xml:space="preserve">, E. and </w:t>
      </w:r>
      <w:proofErr w:type="spellStart"/>
      <w:r w:rsidRPr="0038763E">
        <w:rPr>
          <w:lang w:val="en-GB"/>
        </w:rPr>
        <w:t>Mohanram</w:t>
      </w:r>
      <w:proofErr w:type="spellEnd"/>
      <w:r w:rsidRPr="0038763E">
        <w:rPr>
          <w:lang w:val="en-GB"/>
        </w:rPr>
        <w:t xml:space="preserve">, P.S. (2014) 'Does Income Statement Placement Matter to Investors? The Case of Gains/Losses from Early Debt Extinguishment,' </w:t>
      </w:r>
      <w:r w:rsidRPr="0038763E">
        <w:rPr>
          <w:i/>
          <w:iCs/>
          <w:lang w:val="en-GB"/>
        </w:rPr>
        <w:t>The Accounting Review</w:t>
      </w:r>
      <w:r w:rsidRPr="0038763E">
        <w:rPr>
          <w:lang w:val="en-GB"/>
        </w:rPr>
        <w:t>, 89(6), pp. 2021–2055. https://doi.org/10.2308/accr-50839.</w:t>
      </w:r>
    </w:p>
    <w:p w14:paraId="01F61658" w14:textId="77777777" w:rsidR="006C3AB9" w:rsidRPr="0038763E" w:rsidRDefault="006C3AB9" w:rsidP="004503AA">
      <w:pPr>
        <w:rPr>
          <w:lang w:val="en-GB"/>
        </w:rPr>
      </w:pPr>
      <w:r w:rsidRPr="0038763E">
        <w:rPr>
          <w:lang w:val="en-GB"/>
        </w:rPr>
        <w:t xml:space="preserve">Choi, J.H. and Wong, T.J. (2016) 'Auditors’ governance functions and legal environments: an international investigation*,' </w:t>
      </w:r>
      <w:r w:rsidRPr="0038763E">
        <w:rPr>
          <w:i/>
          <w:iCs/>
          <w:lang w:val="en-GB"/>
        </w:rPr>
        <w:t>Contemporary Accounting Research</w:t>
      </w:r>
      <w:r w:rsidRPr="0038763E">
        <w:rPr>
          <w:lang w:val="en-GB"/>
        </w:rPr>
        <w:t>, 24(1), pp. 13–46. https://doi.org/10.1506/x478-1075-4pw5-1501.</w:t>
      </w:r>
    </w:p>
    <w:p w14:paraId="58C3DC46" w14:textId="77777777" w:rsidR="006C3AB9" w:rsidRPr="0038763E" w:rsidRDefault="006C3AB9" w:rsidP="004503AA">
      <w:pPr>
        <w:rPr>
          <w:lang w:val="en-GB"/>
        </w:rPr>
      </w:pPr>
      <w:r w:rsidRPr="0038763E">
        <w:rPr>
          <w:lang w:val="en-GB"/>
        </w:rPr>
        <w:t xml:space="preserve">Coleman, J.W. (2021) 'Social capital in the creation of human capital,' </w:t>
      </w:r>
      <w:r w:rsidRPr="0038763E">
        <w:rPr>
          <w:i/>
          <w:iCs/>
          <w:lang w:val="en-GB"/>
        </w:rPr>
        <w:t>American Journal of Sociology</w:t>
      </w:r>
      <w:r w:rsidRPr="0038763E">
        <w:rPr>
          <w:lang w:val="en-GB"/>
        </w:rPr>
        <w:t>, 94, pp. S95–S120. https://doi.org/10.1086/228943.</w:t>
      </w:r>
    </w:p>
    <w:p w14:paraId="6CE65882" w14:textId="77777777" w:rsidR="006C3AB9" w:rsidRPr="0038763E" w:rsidRDefault="006C3AB9" w:rsidP="004503AA">
      <w:pPr>
        <w:rPr>
          <w:lang w:val="en-GB"/>
        </w:rPr>
      </w:pPr>
      <w:proofErr w:type="spellStart"/>
      <w:r w:rsidRPr="0038763E">
        <w:rPr>
          <w:lang w:val="en-GB"/>
        </w:rPr>
        <w:t>Dafouz</w:t>
      </w:r>
      <w:proofErr w:type="spellEnd"/>
      <w:r w:rsidRPr="0038763E">
        <w:rPr>
          <w:lang w:val="en-GB"/>
        </w:rPr>
        <w:t xml:space="preserve">, E. and Del Mar Camacho </w:t>
      </w:r>
      <w:proofErr w:type="spellStart"/>
      <w:r w:rsidRPr="0038763E">
        <w:rPr>
          <w:lang w:val="en-GB"/>
        </w:rPr>
        <w:t>Miñano</w:t>
      </w:r>
      <w:proofErr w:type="spellEnd"/>
      <w:r w:rsidRPr="0038763E">
        <w:rPr>
          <w:lang w:val="en-GB"/>
        </w:rPr>
        <w:t xml:space="preserve">, M. (2016) 'Exploring the impact of English-medium instruction on university student academic achievement: The case of accounting,' </w:t>
      </w:r>
      <w:r w:rsidRPr="0038763E">
        <w:rPr>
          <w:i/>
          <w:iCs/>
          <w:lang w:val="en-GB"/>
        </w:rPr>
        <w:t>English for Specific Purposes</w:t>
      </w:r>
      <w:r w:rsidRPr="0038763E">
        <w:rPr>
          <w:lang w:val="en-GB"/>
        </w:rPr>
        <w:t>, 44, pp. 57–67. https://doi.org/10.1016/j.esp.2016.06.001.</w:t>
      </w:r>
    </w:p>
    <w:p w14:paraId="5BDE541C" w14:textId="77777777" w:rsidR="006C3AB9" w:rsidRPr="0038763E" w:rsidRDefault="006C3AB9" w:rsidP="004503AA">
      <w:pPr>
        <w:rPr>
          <w:lang w:val="en-GB"/>
        </w:rPr>
      </w:pPr>
      <w:r w:rsidRPr="0038763E">
        <w:rPr>
          <w:lang w:val="en-GB"/>
        </w:rPr>
        <w:t xml:space="preserve">Elias, N. (2015) 'The Effects of human asset Statements on the Investment Decision: An experiment,' </w:t>
      </w:r>
      <w:r w:rsidRPr="0038763E">
        <w:rPr>
          <w:i/>
          <w:iCs/>
          <w:lang w:val="en-GB"/>
        </w:rPr>
        <w:t>Journal of Accounting Research</w:t>
      </w:r>
      <w:r w:rsidRPr="0038763E">
        <w:rPr>
          <w:lang w:val="en-GB"/>
        </w:rPr>
        <w:t>, 10, p. 215. https://doi.org/10.2307/2489876.</w:t>
      </w:r>
    </w:p>
    <w:p w14:paraId="7B4D8AC3" w14:textId="77777777" w:rsidR="006C3AB9" w:rsidRPr="0038763E" w:rsidRDefault="006C3AB9" w:rsidP="004503AA">
      <w:pPr>
        <w:rPr>
          <w:lang w:val="en-GB"/>
        </w:rPr>
      </w:pPr>
      <w:proofErr w:type="spellStart"/>
      <w:r w:rsidRPr="0038763E">
        <w:rPr>
          <w:lang w:val="en-GB"/>
        </w:rPr>
        <w:t>Etherington</w:t>
      </w:r>
      <w:proofErr w:type="spellEnd"/>
      <w:r w:rsidRPr="0038763E">
        <w:rPr>
          <w:lang w:val="en-GB"/>
        </w:rPr>
        <w:t xml:space="preserve">, L.D. and Richardson, A.J. (2020) 'Institutional pressures on university accounting education in Canada,' </w:t>
      </w:r>
      <w:r w:rsidRPr="0038763E">
        <w:rPr>
          <w:i/>
          <w:iCs/>
          <w:lang w:val="en-GB"/>
        </w:rPr>
        <w:t>Contemporary Accounting Research</w:t>
      </w:r>
      <w:r w:rsidRPr="0038763E">
        <w:rPr>
          <w:lang w:val="en-GB"/>
        </w:rPr>
        <w:t>, 10(S1), pp. 141–162. https://doi.org/10.1111/j.1911-3846.1994.tb00426.x.</w:t>
      </w:r>
    </w:p>
    <w:p w14:paraId="68D15DD0" w14:textId="77777777" w:rsidR="006C3AB9" w:rsidRPr="0038763E" w:rsidRDefault="006C3AB9" w:rsidP="004503AA">
      <w:pPr>
        <w:rPr>
          <w:lang w:val="en-GB"/>
        </w:rPr>
      </w:pPr>
      <w:proofErr w:type="spellStart"/>
      <w:r w:rsidRPr="0038763E">
        <w:rPr>
          <w:lang w:val="en-GB"/>
        </w:rPr>
        <w:t>Gallhofer</w:t>
      </w:r>
      <w:proofErr w:type="spellEnd"/>
      <w:r w:rsidRPr="0038763E">
        <w:rPr>
          <w:lang w:val="en-GB"/>
        </w:rPr>
        <w:t xml:space="preserve">, S. </w:t>
      </w:r>
      <w:r w:rsidRPr="0038763E">
        <w:rPr>
          <w:i/>
          <w:iCs/>
          <w:lang w:val="en-GB"/>
        </w:rPr>
        <w:t>et al.</w:t>
      </w:r>
      <w:r w:rsidRPr="0038763E">
        <w:rPr>
          <w:lang w:val="en-GB"/>
        </w:rPr>
        <w:t xml:space="preserve"> (2021) 'ATTRACTING AND RETAINING MAORI STUDENTS IN ACCOUNTING: ISSUES, EXPERIENCES AND WAYS FORWARD,' </w:t>
      </w:r>
      <w:r w:rsidRPr="0038763E">
        <w:rPr>
          <w:i/>
          <w:iCs/>
          <w:lang w:val="en-GB"/>
        </w:rPr>
        <w:t>Critical Perspectives on Accounting</w:t>
      </w:r>
      <w:r w:rsidRPr="0038763E">
        <w:rPr>
          <w:lang w:val="en-GB"/>
        </w:rPr>
        <w:t>, 10(6), pp. 773–807. https://doi.org/10.1006/cpac.1998.0282.</w:t>
      </w:r>
    </w:p>
    <w:p w14:paraId="4308E1E2" w14:textId="77777777" w:rsidR="006C3AB9" w:rsidRPr="0038763E" w:rsidRDefault="006C3AB9" w:rsidP="004503AA">
      <w:pPr>
        <w:rPr>
          <w:lang w:val="en-GB"/>
        </w:rPr>
      </w:pPr>
      <w:r w:rsidRPr="0038763E">
        <w:rPr>
          <w:lang w:val="en-GB"/>
        </w:rPr>
        <w:t xml:space="preserve">Kane, N.M. and Magnus, S.A. (2021) 'The Medicare Cost Report and the Limits of Hospital Accountability: Improving Financial Accounting data,' </w:t>
      </w:r>
      <w:r w:rsidRPr="0038763E">
        <w:rPr>
          <w:i/>
          <w:iCs/>
          <w:lang w:val="en-GB"/>
        </w:rPr>
        <w:t>Journal of Health Politics Policy and Law</w:t>
      </w:r>
      <w:r w:rsidRPr="0038763E">
        <w:rPr>
          <w:lang w:val="en-GB"/>
        </w:rPr>
        <w:t>, 26(1), pp. 81–106. https://doi.org/10.1215/03616878-26-1-81.</w:t>
      </w:r>
    </w:p>
    <w:p w14:paraId="46CE7577" w14:textId="77777777" w:rsidR="006C3AB9" w:rsidRPr="0038763E" w:rsidRDefault="006C3AB9" w:rsidP="004503AA">
      <w:pPr>
        <w:rPr>
          <w:lang w:val="en-GB"/>
        </w:rPr>
      </w:pPr>
      <w:proofErr w:type="spellStart"/>
      <w:r w:rsidRPr="0038763E">
        <w:rPr>
          <w:lang w:val="en-GB"/>
        </w:rPr>
        <w:t>Ohlson</w:t>
      </w:r>
      <w:proofErr w:type="spellEnd"/>
      <w:r w:rsidRPr="0038763E">
        <w:rPr>
          <w:lang w:val="en-GB"/>
        </w:rPr>
        <w:t xml:space="preserve">, J.A. (2018) 'Financial ratios and the probabilistic prediction of bankruptcy,' </w:t>
      </w:r>
      <w:r w:rsidRPr="0038763E">
        <w:rPr>
          <w:i/>
          <w:iCs/>
          <w:lang w:val="en-GB"/>
        </w:rPr>
        <w:t>Journal of Accounting Research</w:t>
      </w:r>
      <w:r w:rsidRPr="0038763E">
        <w:rPr>
          <w:lang w:val="en-GB"/>
        </w:rPr>
        <w:t>, 18(1), p. 109. https://doi.org/10.2307/2490395.</w:t>
      </w:r>
    </w:p>
    <w:p w14:paraId="797D3250" w14:textId="77777777" w:rsidR="006C3AB9" w:rsidRPr="0038763E" w:rsidRDefault="006C3AB9" w:rsidP="004503AA">
      <w:pPr>
        <w:rPr>
          <w:lang w:val="en-GB"/>
        </w:rPr>
      </w:pPr>
      <w:proofErr w:type="spellStart"/>
      <w:r w:rsidRPr="0038763E">
        <w:rPr>
          <w:lang w:val="en-GB"/>
        </w:rPr>
        <w:t>Paisey</w:t>
      </w:r>
      <w:proofErr w:type="spellEnd"/>
      <w:r w:rsidRPr="0038763E">
        <w:rPr>
          <w:lang w:val="en-GB"/>
        </w:rPr>
        <w:t xml:space="preserve">, C. and </w:t>
      </w:r>
      <w:proofErr w:type="spellStart"/>
      <w:r w:rsidRPr="0038763E">
        <w:rPr>
          <w:lang w:val="en-GB"/>
        </w:rPr>
        <w:t>Paisey</w:t>
      </w:r>
      <w:proofErr w:type="spellEnd"/>
      <w:r w:rsidRPr="0038763E">
        <w:rPr>
          <w:lang w:val="en-GB"/>
        </w:rPr>
        <w:t xml:space="preserve">, N.J. (2014) 'Student attendance in an accounting module – reasons for non-attendance and the effect on academic performance at a Scottish University,' </w:t>
      </w:r>
      <w:r w:rsidRPr="0038763E">
        <w:rPr>
          <w:i/>
          <w:iCs/>
          <w:lang w:val="en-GB"/>
        </w:rPr>
        <w:t>Accounting Education</w:t>
      </w:r>
      <w:r w:rsidRPr="0038763E">
        <w:rPr>
          <w:lang w:val="en-GB"/>
        </w:rPr>
        <w:t>, 13(sup1), pp. 39–53. https://doi.org/10.1080/0963928042000310788.</w:t>
      </w:r>
    </w:p>
    <w:p w14:paraId="53003055" w14:textId="77777777" w:rsidR="006C3AB9" w:rsidRPr="0038763E" w:rsidRDefault="006C3AB9" w:rsidP="004503AA">
      <w:pPr>
        <w:rPr>
          <w:lang w:val="en-GB"/>
        </w:rPr>
      </w:pPr>
      <w:proofErr w:type="spellStart"/>
      <w:r w:rsidRPr="0038763E">
        <w:rPr>
          <w:lang w:val="en-GB"/>
        </w:rPr>
        <w:t>Palincsar</w:t>
      </w:r>
      <w:proofErr w:type="spellEnd"/>
      <w:r w:rsidRPr="0038763E">
        <w:rPr>
          <w:lang w:val="en-GB"/>
        </w:rPr>
        <w:t xml:space="preserve">, A.S. (2014) 'SOCIAL CONSTRUCTIVIST PERSPECTIVES ON TEACHING AND LEARNING,' </w:t>
      </w:r>
      <w:r w:rsidRPr="0038763E">
        <w:rPr>
          <w:i/>
          <w:iCs/>
          <w:lang w:val="en-GB"/>
        </w:rPr>
        <w:t>Annual Review of Psychology</w:t>
      </w:r>
      <w:r w:rsidRPr="0038763E">
        <w:rPr>
          <w:lang w:val="en-GB"/>
        </w:rPr>
        <w:t>, 49(1), pp. 345–375. https://doi.org/10.1146/annurev.psych.49.1.345.</w:t>
      </w:r>
    </w:p>
    <w:p w14:paraId="494AFDBA" w14:textId="77777777" w:rsidR="006C3AB9" w:rsidRPr="0038763E" w:rsidRDefault="006C3AB9" w:rsidP="004503AA">
      <w:pPr>
        <w:rPr>
          <w:lang w:val="en-GB"/>
        </w:rPr>
      </w:pPr>
      <w:r w:rsidRPr="0038763E">
        <w:rPr>
          <w:lang w:val="en-GB"/>
        </w:rPr>
        <w:t xml:space="preserve">Rankin, M. </w:t>
      </w:r>
      <w:r w:rsidRPr="0038763E">
        <w:rPr>
          <w:i/>
          <w:iCs/>
          <w:lang w:val="en-GB"/>
        </w:rPr>
        <w:t>et al.</w:t>
      </w:r>
      <w:r w:rsidRPr="0038763E">
        <w:rPr>
          <w:lang w:val="en-GB"/>
        </w:rPr>
        <w:t xml:space="preserve"> (2017) </w:t>
      </w:r>
      <w:r w:rsidRPr="0038763E">
        <w:rPr>
          <w:i/>
          <w:iCs/>
          <w:lang w:val="en-GB"/>
        </w:rPr>
        <w:t>Contemporary issues in accounting</w:t>
      </w:r>
      <w:r w:rsidRPr="0038763E">
        <w:rPr>
          <w:lang w:val="en-GB"/>
        </w:rPr>
        <w:t>. http://ci.nii.ac.jp/ncid/BA84550245.</w:t>
      </w:r>
    </w:p>
    <w:p w14:paraId="5CF4A209" w14:textId="77777777" w:rsidR="006C3AB9" w:rsidRPr="0038763E" w:rsidRDefault="006C3AB9" w:rsidP="004503AA">
      <w:pPr>
        <w:rPr>
          <w:lang w:val="en-GB"/>
        </w:rPr>
      </w:pPr>
      <w:proofErr w:type="spellStart"/>
      <w:r w:rsidRPr="0038763E">
        <w:rPr>
          <w:lang w:val="en-GB"/>
        </w:rPr>
        <w:t>Schaltegger</w:t>
      </w:r>
      <w:proofErr w:type="spellEnd"/>
      <w:r w:rsidRPr="0038763E">
        <w:rPr>
          <w:lang w:val="en-GB"/>
        </w:rPr>
        <w:t xml:space="preserve">, S. (2021) 'BOOKS Contemporary Environmental Accounting: Issues, Concepts and practice,' </w:t>
      </w:r>
      <w:r w:rsidRPr="0038763E">
        <w:rPr>
          <w:i/>
          <w:iCs/>
          <w:lang w:val="en-GB"/>
        </w:rPr>
        <w:t>International Journal of Sustainability in Higher Education</w:t>
      </w:r>
      <w:r w:rsidRPr="0038763E">
        <w:rPr>
          <w:lang w:val="en-GB"/>
        </w:rPr>
        <w:t>, 2(3), pp. 288–289. https://doi.org/10.1108/ijshe.2001.2.3.288.1.</w:t>
      </w:r>
    </w:p>
    <w:p w14:paraId="2FF90877" w14:textId="77777777" w:rsidR="006C3AB9" w:rsidRPr="0038763E" w:rsidRDefault="006C3AB9" w:rsidP="004503AA">
      <w:pPr>
        <w:rPr>
          <w:lang w:val="en-GB"/>
        </w:rPr>
      </w:pPr>
      <w:proofErr w:type="spellStart"/>
      <w:r w:rsidRPr="0038763E">
        <w:rPr>
          <w:lang w:val="en-GB"/>
        </w:rPr>
        <w:t>Schaltegger</w:t>
      </w:r>
      <w:proofErr w:type="spellEnd"/>
      <w:r w:rsidRPr="0038763E">
        <w:rPr>
          <w:lang w:val="en-GB"/>
        </w:rPr>
        <w:t xml:space="preserve">, S. and Burritt, R. (2020) </w:t>
      </w:r>
      <w:r w:rsidRPr="0038763E">
        <w:rPr>
          <w:i/>
          <w:iCs/>
          <w:lang w:val="en-GB"/>
        </w:rPr>
        <w:t>Contemporary Environmental Accounting: issues, concepts and practice</w:t>
      </w:r>
      <w:r w:rsidRPr="0038763E">
        <w:rPr>
          <w:lang w:val="en-GB"/>
        </w:rPr>
        <w:t>.</w:t>
      </w:r>
    </w:p>
    <w:p w14:paraId="7FC684DC" w14:textId="77777777" w:rsidR="006C3AB9" w:rsidRPr="0038763E" w:rsidRDefault="006C3AB9" w:rsidP="004503AA">
      <w:pPr>
        <w:rPr>
          <w:lang w:val="en-GB"/>
        </w:rPr>
      </w:pPr>
      <w:r w:rsidRPr="0038763E">
        <w:rPr>
          <w:lang w:val="en-GB"/>
        </w:rPr>
        <w:t xml:space="preserve">Sharpe, W.F. (2019) 'CAPITAL ASSET PRICES: A THEORY OF MARKET EQUILIBRIUM UNDER CONDITIONS OF RISK*,' </w:t>
      </w:r>
      <w:r w:rsidRPr="0038763E">
        <w:rPr>
          <w:i/>
          <w:iCs/>
          <w:lang w:val="en-GB"/>
        </w:rPr>
        <w:t>The Journal of Finance</w:t>
      </w:r>
      <w:r w:rsidRPr="0038763E">
        <w:rPr>
          <w:lang w:val="en-GB"/>
        </w:rPr>
        <w:t>, 19(3), pp. 425–442. https://doi.org/10.1111/j.1540-6261.1964.tb02865.x.</w:t>
      </w:r>
    </w:p>
    <w:p w14:paraId="7DE3DEA2" w14:textId="77777777" w:rsidR="006C3AB9" w:rsidRPr="0038763E" w:rsidRDefault="006C3AB9" w:rsidP="004503AA">
      <w:pPr>
        <w:rPr>
          <w:lang w:val="en-GB"/>
        </w:rPr>
      </w:pPr>
      <w:r w:rsidRPr="0038763E">
        <w:rPr>
          <w:lang w:val="en-GB"/>
        </w:rPr>
        <w:t xml:space="preserve">Zhao, R. </w:t>
      </w:r>
      <w:r w:rsidRPr="0038763E">
        <w:rPr>
          <w:i/>
          <w:iCs/>
          <w:lang w:val="en-GB"/>
        </w:rPr>
        <w:t>et al.</w:t>
      </w:r>
      <w:r w:rsidRPr="0038763E">
        <w:rPr>
          <w:lang w:val="en-GB"/>
        </w:rPr>
        <w:t xml:space="preserve"> (2015) 'Saliency detection by multi-context deep learning,' </w:t>
      </w:r>
      <w:proofErr w:type="spellStart"/>
      <w:r w:rsidRPr="0038763E">
        <w:rPr>
          <w:i/>
          <w:iCs/>
          <w:lang w:val="en-GB"/>
        </w:rPr>
        <w:t>Rui</w:t>
      </w:r>
      <w:proofErr w:type="spellEnd"/>
      <w:r w:rsidRPr="0038763E">
        <w:rPr>
          <w:lang w:val="en-GB"/>
        </w:rPr>
        <w:t xml:space="preserve"> [Preprint]. https://doi.org/10.1109/cvpr.2015.7298731.</w:t>
      </w:r>
    </w:p>
    <w:p w14:paraId="5D64CA2F" w14:textId="77777777" w:rsidR="00B62CFC" w:rsidRPr="0038763E" w:rsidRDefault="00B62CFC" w:rsidP="00B62CFC">
      <w:pPr>
        <w:rPr>
          <w:lang w:val="en-GB"/>
        </w:rPr>
      </w:pPr>
    </w:p>
    <w:sectPr w:rsidR="00B62CFC" w:rsidRPr="0038763E">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EB4A1" w14:textId="77777777" w:rsidR="00680FFD" w:rsidRDefault="00680FFD" w:rsidP="005B7FCC">
      <w:pPr>
        <w:spacing w:after="0" w:line="240" w:lineRule="auto"/>
      </w:pPr>
      <w:r>
        <w:separator/>
      </w:r>
    </w:p>
  </w:endnote>
  <w:endnote w:type="continuationSeparator" w:id="0">
    <w:p w14:paraId="283D4184" w14:textId="77777777" w:rsidR="00680FFD" w:rsidRDefault="00680FFD" w:rsidP="005B7F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725EF" w14:textId="77777777" w:rsidR="00680FFD" w:rsidRDefault="00680FFD" w:rsidP="005B7FCC">
      <w:pPr>
        <w:spacing w:after="0" w:line="240" w:lineRule="auto"/>
      </w:pPr>
      <w:r>
        <w:separator/>
      </w:r>
    </w:p>
  </w:footnote>
  <w:footnote w:type="continuationSeparator" w:id="0">
    <w:p w14:paraId="502F8412" w14:textId="77777777" w:rsidR="00680FFD" w:rsidRDefault="00680FFD" w:rsidP="005B7F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8940641"/>
      <w:docPartObj>
        <w:docPartGallery w:val="Page Numbers (Top of Page)"/>
        <w:docPartUnique/>
      </w:docPartObj>
    </w:sdtPr>
    <w:sdtEndPr>
      <w:rPr>
        <w:noProof/>
      </w:rPr>
    </w:sdtEndPr>
    <w:sdtContent>
      <w:p w14:paraId="2875F6E6" w14:textId="76097D84" w:rsidR="005B7FCC" w:rsidRDefault="005B7FCC">
        <w:pPr>
          <w:pStyle w:val="Header"/>
          <w:jc w:val="right"/>
        </w:pPr>
        <w:r>
          <w:fldChar w:fldCharType="begin"/>
        </w:r>
        <w:r>
          <w:instrText xml:space="preserve"> PAGE   \* MERGEFORMAT </w:instrText>
        </w:r>
        <w:r>
          <w:fldChar w:fldCharType="separate"/>
        </w:r>
        <w:r w:rsidR="006C3AB9">
          <w:rPr>
            <w:noProof/>
          </w:rPr>
          <w:t>12</w:t>
        </w:r>
        <w:r>
          <w:rPr>
            <w:noProof/>
          </w:rPr>
          <w:fldChar w:fldCharType="end"/>
        </w:r>
      </w:p>
    </w:sdtContent>
  </w:sdt>
  <w:p w14:paraId="777DCBF5" w14:textId="77777777" w:rsidR="005B7FCC" w:rsidRDefault="005B7F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81F80"/>
    <w:multiLevelType w:val="multilevel"/>
    <w:tmpl w:val="4FCA4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3F0B83"/>
    <w:multiLevelType w:val="hybridMultilevel"/>
    <w:tmpl w:val="95CE778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E9A58C4"/>
    <w:multiLevelType w:val="multilevel"/>
    <w:tmpl w:val="24EA9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6BE3BA8"/>
    <w:multiLevelType w:val="hybridMultilevel"/>
    <w:tmpl w:val="22FC5F9C"/>
    <w:lvl w:ilvl="0" w:tplc="04090011">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B467551"/>
    <w:multiLevelType w:val="multilevel"/>
    <w:tmpl w:val="FC24B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F3454F0"/>
    <w:multiLevelType w:val="hybridMultilevel"/>
    <w:tmpl w:val="A0987AE8"/>
    <w:lvl w:ilvl="0" w:tplc="A00A461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B79009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213731641">
    <w:abstractNumId w:val="4"/>
  </w:num>
  <w:num w:numId="2" w16cid:durableId="1965035590">
    <w:abstractNumId w:val="2"/>
  </w:num>
  <w:num w:numId="3" w16cid:durableId="1758866795">
    <w:abstractNumId w:val="6"/>
  </w:num>
  <w:num w:numId="4" w16cid:durableId="324474486">
    <w:abstractNumId w:val="3"/>
  </w:num>
  <w:num w:numId="5" w16cid:durableId="524683265">
    <w:abstractNumId w:val="0"/>
  </w:num>
  <w:num w:numId="6" w16cid:durableId="249703621">
    <w:abstractNumId w:val="1"/>
  </w:num>
  <w:num w:numId="7" w16cid:durableId="16379506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F92"/>
    <w:rsid w:val="000639AE"/>
    <w:rsid w:val="00082124"/>
    <w:rsid w:val="000E2110"/>
    <w:rsid w:val="001A7DDF"/>
    <w:rsid w:val="001B40FF"/>
    <w:rsid w:val="00200EC0"/>
    <w:rsid w:val="002236BF"/>
    <w:rsid w:val="00234D67"/>
    <w:rsid w:val="00235332"/>
    <w:rsid w:val="00296569"/>
    <w:rsid w:val="002C1FF9"/>
    <w:rsid w:val="00353E9C"/>
    <w:rsid w:val="00381FC0"/>
    <w:rsid w:val="0038763E"/>
    <w:rsid w:val="00387E8F"/>
    <w:rsid w:val="00390F0E"/>
    <w:rsid w:val="003F6CAD"/>
    <w:rsid w:val="003F78B2"/>
    <w:rsid w:val="00431CEC"/>
    <w:rsid w:val="004503AA"/>
    <w:rsid w:val="004579AB"/>
    <w:rsid w:val="00460293"/>
    <w:rsid w:val="004A0B53"/>
    <w:rsid w:val="004A7DE7"/>
    <w:rsid w:val="004E3ADF"/>
    <w:rsid w:val="0052521E"/>
    <w:rsid w:val="00557588"/>
    <w:rsid w:val="005B7FCC"/>
    <w:rsid w:val="005C3167"/>
    <w:rsid w:val="005E306D"/>
    <w:rsid w:val="00603FCB"/>
    <w:rsid w:val="00662751"/>
    <w:rsid w:val="00680FFD"/>
    <w:rsid w:val="00686907"/>
    <w:rsid w:val="00691F92"/>
    <w:rsid w:val="006A6CE2"/>
    <w:rsid w:val="006C3AB9"/>
    <w:rsid w:val="006D27BC"/>
    <w:rsid w:val="0072426B"/>
    <w:rsid w:val="007E2BE9"/>
    <w:rsid w:val="00835661"/>
    <w:rsid w:val="0086167D"/>
    <w:rsid w:val="00894817"/>
    <w:rsid w:val="008C2896"/>
    <w:rsid w:val="0090640D"/>
    <w:rsid w:val="00957D4F"/>
    <w:rsid w:val="00A61DA6"/>
    <w:rsid w:val="00A97580"/>
    <w:rsid w:val="00AC27A0"/>
    <w:rsid w:val="00AC50D0"/>
    <w:rsid w:val="00B23D4B"/>
    <w:rsid w:val="00B62CFC"/>
    <w:rsid w:val="00BA0E88"/>
    <w:rsid w:val="00C03912"/>
    <w:rsid w:val="00C042F7"/>
    <w:rsid w:val="00C13B91"/>
    <w:rsid w:val="00D022F1"/>
    <w:rsid w:val="00D6002F"/>
    <w:rsid w:val="00D600EC"/>
    <w:rsid w:val="00DE3BEB"/>
    <w:rsid w:val="00E140F2"/>
    <w:rsid w:val="00E30F49"/>
    <w:rsid w:val="00E34299"/>
    <w:rsid w:val="00F03449"/>
    <w:rsid w:val="00F12C3B"/>
    <w:rsid w:val="00F545D6"/>
    <w:rsid w:val="00F6340B"/>
    <w:rsid w:val="00F66B05"/>
    <w:rsid w:val="00F7365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E6BA25"/>
  <w15:chartTrackingRefBased/>
  <w15:docId w15:val="{4A135419-0C46-41D6-A6FD-56068F354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CA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296569"/>
    <w:pPr>
      <w:keepNext/>
      <w:keepLines/>
      <w:spacing w:before="400"/>
      <w:outlineLvl w:val="0"/>
    </w:pPr>
    <w:rPr>
      <w:rFonts w:eastAsia="Arial"/>
      <w:b/>
      <w:sz w:val="32"/>
      <w:szCs w:val="40"/>
      <w:lang w:val="en"/>
    </w:rPr>
  </w:style>
  <w:style w:type="paragraph" w:styleId="Heading2">
    <w:name w:val="heading 2"/>
    <w:basedOn w:val="Normal"/>
    <w:next w:val="Normal"/>
    <w:link w:val="Heading2Char"/>
    <w:autoRedefine/>
    <w:uiPriority w:val="9"/>
    <w:unhideWhenUsed/>
    <w:qFormat/>
    <w:rsid w:val="00F73650"/>
    <w:pPr>
      <w:keepNext/>
      <w:keepLines/>
      <w:spacing w:before="360"/>
      <w:outlineLvl w:val="1"/>
    </w:pPr>
    <w:rPr>
      <w:rFonts w:eastAsia="Arial" w:cs="Times New Roman"/>
      <w:b/>
      <w:bCs/>
      <w:sz w:val="28"/>
      <w:szCs w:val="32"/>
      <w:lang w:val="en"/>
    </w:rPr>
  </w:style>
  <w:style w:type="paragraph" w:styleId="Heading3">
    <w:name w:val="heading 3"/>
    <w:basedOn w:val="Normal"/>
    <w:next w:val="Normal"/>
    <w:link w:val="Heading3Char"/>
    <w:autoRedefine/>
    <w:uiPriority w:val="9"/>
    <w:semiHidden/>
    <w:unhideWhenUsed/>
    <w:qFormat/>
    <w:rsid w:val="006D27BC"/>
    <w:pPr>
      <w:keepNext/>
      <w:keepLines/>
      <w:spacing w:before="40" w:after="0"/>
      <w:outlineLvl w:val="2"/>
    </w:pPr>
    <w:rPr>
      <w:rFonts w:eastAsiaTheme="majorEastAsia" w:cstheme="majorBidi"/>
      <w:b/>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569"/>
    <w:rPr>
      <w:rFonts w:ascii="Times New Roman" w:eastAsia="Arial" w:hAnsi="Times New Roman"/>
      <w:b/>
      <w:sz w:val="32"/>
      <w:szCs w:val="40"/>
      <w:lang w:val="en"/>
    </w:rPr>
  </w:style>
  <w:style w:type="character" w:customStyle="1" w:styleId="Heading2Char">
    <w:name w:val="Heading 2 Char"/>
    <w:basedOn w:val="DefaultParagraphFont"/>
    <w:link w:val="Heading2"/>
    <w:uiPriority w:val="9"/>
    <w:rsid w:val="00F73650"/>
    <w:rPr>
      <w:rFonts w:ascii="Times New Roman" w:eastAsia="Arial" w:hAnsi="Times New Roman" w:cs="Times New Roman"/>
      <w:b/>
      <w:bCs/>
      <w:sz w:val="28"/>
      <w:szCs w:val="32"/>
      <w:lang w:val="en"/>
    </w:rPr>
  </w:style>
  <w:style w:type="character" w:customStyle="1" w:styleId="Heading3Char">
    <w:name w:val="Heading 3 Char"/>
    <w:basedOn w:val="DefaultParagraphFont"/>
    <w:link w:val="Heading3"/>
    <w:uiPriority w:val="9"/>
    <w:semiHidden/>
    <w:rsid w:val="006D27BC"/>
    <w:rPr>
      <w:rFonts w:ascii="Times New Roman" w:eastAsiaTheme="majorEastAsia" w:hAnsi="Times New Roman" w:cstheme="majorBidi"/>
      <w:b/>
      <w:color w:val="243F60" w:themeColor="accent1" w:themeShade="7F"/>
      <w:sz w:val="24"/>
      <w:szCs w:val="24"/>
    </w:rPr>
  </w:style>
  <w:style w:type="paragraph" w:styleId="Title">
    <w:name w:val="Title"/>
    <w:basedOn w:val="Normal"/>
    <w:next w:val="Normal"/>
    <w:link w:val="TitleChar"/>
    <w:autoRedefine/>
    <w:uiPriority w:val="10"/>
    <w:qFormat/>
    <w:rsid w:val="00AC50D0"/>
    <w:pPr>
      <w:spacing w:after="0" w:line="240" w:lineRule="auto"/>
      <w:contextualSpacing/>
      <w:jc w:val="center"/>
    </w:pPr>
    <w:rPr>
      <w:rFonts w:eastAsiaTheme="majorEastAsia"/>
      <w:bCs/>
      <w:spacing w:val="-10"/>
      <w:kern w:val="28"/>
      <w:sz w:val="32"/>
      <w:szCs w:val="32"/>
    </w:rPr>
  </w:style>
  <w:style w:type="character" w:customStyle="1" w:styleId="TitleChar">
    <w:name w:val="Title Char"/>
    <w:basedOn w:val="DefaultParagraphFont"/>
    <w:link w:val="Title"/>
    <w:uiPriority w:val="10"/>
    <w:rsid w:val="00AC50D0"/>
    <w:rPr>
      <w:rFonts w:ascii="Times New Roman" w:eastAsiaTheme="majorEastAsia" w:hAnsi="Times New Roman"/>
      <w:bCs/>
      <w:spacing w:val="-10"/>
      <w:kern w:val="28"/>
      <w:sz w:val="32"/>
      <w:szCs w:val="32"/>
    </w:rPr>
  </w:style>
  <w:style w:type="table" w:styleId="TableGrid">
    <w:name w:val="Table Grid"/>
    <w:basedOn w:val="TableNormal"/>
    <w:uiPriority w:val="59"/>
    <w:rsid w:val="002965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86167D"/>
    <w:rPr>
      <w:color w:val="808080"/>
    </w:rPr>
  </w:style>
  <w:style w:type="paragraph" w:styleId="ListParagraph">
    <w:name w:val="List Paragraph"/>
    <w:basedOn w:val="Normal"/>
    <w:uiPriority w:val="34"/>
    <w:qFormat/>
    <w:rsid w:val="00460293"/>
    <w:pPr>
      <w:ind w:left="720"/>
      <w:contextualSpacing/>
    </w:pPr>
  </w:style>
  <w:style w:type="paragraph" w:styleId="NormalWeb">
    <w:name w:val="Normal (Web)"/>
    <w:basedOn w:val="Normal"/>
    <w:uiPriority w:val="99"/>
    <w:semiHidden/>
    <w:unhideWhenUsed/>
    <w:rsid w:val="004A0B53"/>
    <w:rPr>
      <w:rFonts w:cs="Times New Roman"/>
      <w:szCs w:val="24"/>
    </w:rPr>
  </w:style>
  <w:style w:type="paragraph" w:styleId="Header">
    <w:name w:val="header"/>
    <w:basedOn w:val="Normal"/>
    <w:link w:val="HeaderChar"/>
    <w:uiPriority w:val="99"/>
    <w:unhideWhenUsed/>
    <w:rsid w:val="005B7F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7FCC"/>
    <w:rPr>
      <w:rFonts w:ascii="Times New Roman" w:hAnsi="Times New Roman"/>
      <w:sz w:val="24"/>
    </w:rPr>
  </w:style>
  <w:style w:type="paragraph" w:styleId="Footer">
    <w:name w:val="footer"/>
    <w:basedOn w:val="Normal"/>
    <w:link w:val="FooterChar"/>
    <w:uiPriority w:val="99"/>
    <w:unhideWhenUsed/>
    <w:rsid w:val="005B7F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7FCC"/>
    <w:rPr>
      <w:rFonts w:ascii="Times New Roman" w:hAnsi="Times New Roman"/>
      <w:sz w:val="24"/>
    </w:rPr>
  </w:style>
  <w:style w:type="paragraph" w:styleId="TOCHeading">
    <w:name w:val="TOC Heading"/>
    <w:basedOn w:val="Heading1"/>
    <w:next w:val="Normal"/>
    <w:uiPriority w:val="39"/>
    <w:unhideWhenUsed/>
    <w:qFormat/>
    <w:rsid w:val="00686907"/>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686907"/>
    <w:pPr>
      <w:spacing w:after="100"/>
    </w:pPr>
  </w:style>
  <w:style w:type="paragraph" w:styleId="TOC2">
    <w:name w:val="toc 2"/>
    <w:basedOn w:val="Normal"/>
    <w:next w:val="Normal"/>
    <w:autoRedefine/>
    <w:uiPriority w:val="39"/>
    <w:unhideWhenUsed/>
    <w:rsid w:val="00686907"/>
    <w:pPr>
      <w:spacing w:after="100"/>
      <w:ind w:left="240"/>
    </w:pPr>
  </w:style>
  <w:style w:type="character" w:styleId="Hyperlink">
    <w:name w:val="Hyperlink"/>
    <w:basedOn w:val="DefaultParagraphFont"/>
    <w:uiPriority w:val="99"/>
    <w:unhideWhenUsed/>
    <w:rsid w:val="006869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873980">
      <w:bodyDiv w:val="1"/>
      <w:marLeft w:val="0"/>
      <w:marRight w:val="0"/>
      <w:marTop w:val="0"/>
      <w:marBottom w:val="0"/>
      <w:divBdr>
        <w:top w:val="none" w:sz="0" w:space="0" w:color="auto"/>
        <w:left w:val="none" w:sz="0" w:space="0" w:color="auto"/>
        <w:bottom w:val="none" w:sz="0" w:space="0" w:color="auto"/>
        <w:right w:val="none" w:sz="0" w:space="0" w:color="auto"/>
      </w:divBdr>
      <w:divsChild>
        <w:div w:id="81151528">
          <w:marLeft w:val="-720"/>
          <w:marRight w:val="0"/>
          <w:marTop w:val="0"/>
          <w:marBottom w:val="0"/>
          <w:divBdr>
            <w:top w:val="none" w:sz="0" w:space="0" w:color="auto"/>
            <w:left w:val="none" w:sz="0" w:space="0" w:color="auto"/>
            <w:bottom w:val="none" w:sz="0" w:space="0" w:color="auto"/>
            <w:right w:val="none" w:sz="0" w:space="0" w:color="auto"/>
          </w:divBdr>
        </w:div>
      </w:divsChild>
    </w:div>
    <w:div w:id="156238189">
      <w:bodyDiv w:val="1"/>
      <w:marLeft w:val="0"/>
      <w:marRight w:val="0"/>
      <w:marTop w:val="0"/>
      <w:marBottom w:val="0"/>
      <w:divBdr>
        <w:top w:val="none" w:sz="0" w:space="0" w:color="auto"/>
        <w:left w:val="none" w:sz="0" w:space="0" w:color="auto"/>
        <w:bottom w:val="none" w:sz="0" w:space="0" w:color="auto"/>
        <w:right w:val="none" w:sz="0" w:space="0" w:color="auto"/>
      </w:divBdr>
      <w:divsChild>
        <w:div w:id="178933014">
          <w:marLeft w:val="0"/>
          <w:marRight w:val="0"/>
          <w:marTop w:val="0"/>
          <w:marBottom w:val="0"/>
          <w:divBdr>
            <w:top w:val="single" w:sz="6" w:space="0" w:color="auto"/>
            <w:left w:val="single" w:sz="6" w:space="0" w:color="auto"/>
            <w:bottom w:val="single" w:sz="6" w:space="0" w:color="auto"/>
            <w:right w:val="single" w:sz="6" w:space="0" w:color="auto"/>
          </w:divBdr>
        </w:div>
      </w:divsChild>
    </w:div>
    <w:div w:id="185142371">
      <w:bodyDiv w:val="1"/>
      <w:marLeft w:val="0"/>
      <w:marRight w:val="0"/>
      <w:marTop w:val="0"/>
      <w:marBottom w:val="0"/>
      <w:divBdr>
        <w:top w:val="none" w:sz="0" w:space="0" w:color="auto"/>
        <w:left w:val="none" w:sz="0" w:space="0" w:color="auto"/>
        <w:bottom w:val="none" w:sz="0" w:space="0" w:color="auto"/>
        <w:right w:val="none" w:sz="0" w:space="0" w:color="auto"/>
      </w:divBdr>
    </w:div>
    <w:div w:id="259022543">
      <w:bodyDiv w:val="1"/>
      <w:marLeft w:val="0"/>
      <w:marRight w:val="0"/>
      <w:marTop w:val="0"/>
      <w:marBottom w:val="0"/>
      <w:divBdr>
        <w:top w:val="none" w:sz="0" w:space="0" w:color="auto"/>
        <w:left w:val="none" w:sz="0" w:space="0" w:color="auto"/>
        <w:bottom w:val="none" w:sz="0" w:space="0" w:color="auto"/>
        <w:right w:val="none" w:sz="0" w:space="0" w:color="auto"/>
      </w:divBdr>
      <w:divsChild>
        <w:div w:id="545604837">
          <w:marLeft w:val="0"/>
          <w:marRight w:val="0"/>
          <w:marTop w:val="0"/>
          <w:marBottom w:val="0"/>
          <w:divBdr>
            <w:top w:val="single" w:sz="6" w:space="0" w:color="auto"/>
            <w:left w:val="single" w:sz="6" w:space="0" w:color="auto"/>
            <w:bottom w:val="single" w:sz="6" w:space="0" w:color="auto"/>
            <w:right w:val="single" w:sz="6" w:space="0" w:color="auto"/>
          </w:divBdr>
        </w:div>
      </w:divsChild>
    </w:div>
    <w:div w:id="270628030">
      <w:bodyDiv w:val="1"/>
      <w:marLeft w:val="0"/>
      <w:marRight w:val="0"/>
      <w:marTop w:val="0"/>
      <w:marBottom w:val="0"/>
      <w:divBdr>
        <w:top w:val="none" w:sz="0" w:space="0" w:color="auto"/>
        <w:left w:val="none" w:sz="0" w:space="0" w:color="auto"/>
        <w:bottom w:val="none" w:sz="0" w:space="0" w:color="auto"/>
        <w:right w:val="none" w:sz="0" w:space="0" w:color="auto"/>
      </w:divBdr>
    </w:div>
    <w:div w:id="389428035">
      <w:bodyDiv w:val="1"/>
      <w:marLeft w:val="0"/>
      <w:marRight w:val="0"/>
      <w:marTop w:val="0"/>
      <w:marBottom w:val="0"/>
      <w:divBdr>
        <w:top w:val="none" w:sz="0" w:space="0" w:color="auto"/>
        <w:left w:val="none" w:sz="0" w:space="0" w:color="auto"/>
        <w:bottom w:val="none" w:sz="0" w:space="0" w:color="auto"/>
        <w:right w:val="none" w:sz="0" w:space="0" w:color="auto"/>
      </w:divBdr>
      <w:divsChild>
        <w:div w:id="966862568">
          <w:marLeft w:val="0"/>
          <w:marRight w:val="0"/>
          <w:marTop w:val="0"/>
          <w:marBottom w:val="0"/>
          <w:divBdr>
            <w:top w:val="single" w:sz="6" w:space="0" w:color="auto"/>
            <w:left w:val="single" w:sz="6" w:space="0" w:color="auto"/>
            <w:bottom w:val="single" w:sz="6" w:space="0" w:color="auto"/>
            <w:right w:val="single" w:sz="6" w:space="0" w:color="auto"/>
          </w:divBdr>
        </w:div>
      </w:divsChild>
    </w:div>
    <w:div w:id="581530345">
      <w:bodyDiv w:val="1"/>
      <w:marLeft w:val="0"/>
      <w:marRight w:val="0"/>
      <w:marTop w:val="0"/>
      <w:marBottom w:val="0"/>
      <w:divBdr>
        <w:top w:val="none" w:sz="0" w:space="0" w:color="auto"/>
        <w:left w:val="none" w:sz="0" w:space="0" w:color="auto"/>
        <w:bottom w:val="none" w:sz="0" w:space="0" w:color="auto"/>
        <w:right w:val="none" w:sz="0" w:space="0" w:color="auto"/>
      </w:divBdr>
      <w:divsChild>
        <w:div w:id="1618104984">
          <w:marLeft w:val="0"/>
          <w:marRight w:val="0"/>
          <w:marTop w:val="0"/>
          <w:marBottom w:val="0"/>
          <w:divBdr>
            <w:top w:val="single" w:sz="6" w:space="0" w:color="auto"/>
            <w:left w:val="single" w:sz="6" w:space="0" w:color="auto"/>
            <w:bottom w:val="single" w:sz="6" w:space="0" w:color="auto"/>
            <w:right w:val="single" w:sz="6" w:space="0" w:color="auto"/>
          </w:divBdr>
        </w:div>
      </w:divsChild>
    </w:div>
    <w:div w:id="608246301">
      <w:bodyDiv w:val="1"/>
      <w:marLeft w:val="0"/>
      <w:marRight w:val="0"/>
      <w:marTop w:val="0"/>
      <w:marBottom w:val="0"/>
      <w:divBdr>
        <w:top w:val="none" w:sz="0" w:space="0" w:color="auto"/>
        <w:left w:val="none" w:sz="0" w:space="0" w:color="auto"/>
        <w:bottom w:val="none" w:sz="0" w:space="0" w:color="auto"/>
        <w:right w:val="none" w:sz="0" w:space="0" w:color="auto"/>
      </w:divBdr>
      <w:divsChild>
        <w:div w:id="206645062">
          <w:marLeft w:val="0"/>
          <w:marRight w:val="0"/>
          <w:marTop w:val="0"/>
          <w:marBottom w:val="0"/>
          <w:divBdr>
            <w:top w:val="single" w:sz="6" w:space="0" w:color="auto"/>
            <w:left w:val="single" w:sz="6" w:space="0" w:color="auto"/>
            <w:bottom w:val="single" w:sz="6" w:space="0" w:color="auto"/>
            <w:right w:val="single" w:sz="6" w:space="0" w:color="auto"/>
          </w:divBdr>
        </w:div>
      </w:divsChild>
    </w:div>
    <w:div w:id="879124920">
      <w:bodyDiv w:val="1"/>
      <w:marLeft w:val="0"/>
      <w:marRight w:val="0"/>
      <w:marTop w:val="0"/>
      <w:marBottom w:val="0"/>
      <w:divBdr>
        <w:top w:val="none" w:sz="0" w:space="0" w:color="auto"/>
        <w:left w:val="none" w:sz="0" w:space="0" w:color="auto"/>
        <w:bottom w:val="none" w:sz="0" w:space="0" w:color="auto"/>
        <w:right w:val="none" w:sz="0" w:space="0" w:color="auto"/>
      </w:divBdr>
      <w:divsChild>
        <w:div w:id="778796621">
          <w:marLeft w:val="0"/>
          <w:marRight w:val="0"/>
          <w:marTop w:val="0"/>
          <w:marBottom w:val="0"/>
          <w:divBdr>
            <w:top w:val="single" w:sz="6" w:space="0" w:color="auto"/>
            <w:left w:val="single" w:sz="6" w:space="0" w:color="auto"/>
            <w:bottom w:val="single" w:sz="6" w:space="0" w:color="auto"/>
            <w:right w:val="single" w:sz="6" w:space="0" w:color="auto"/>
          </w:divBdr>
        </w:div>
      </w:divsChild>
    </w:div>
    <w:div w:id="953942475">
      <w:bodyDiv w:val="1"/>
      <w:marLeft w:val="0"/>
      <w:marRight w:val="0"/>
      <w:marTop w:val="0"/>
      <w:marBottom w:val="0"/>
      <w:divBdr>
        <w:top w:val="none" w:sz="0" w:space="0" w:color="auto"/>
        <w:left w:val="none" w:sz="0" w:space="0" w:color="auto"/>
        <w:bottom w:val="none" w:sz="0" w:space="0" w:color="auto"/>
        <w:right w:val="none" w:sz="0" w:space="0" w:color="auto"/>
      </w:divBdr>
      <w:divsChild>
        <w:div w:id="131989677">
          <w:marLeft w:val="0"/>
          <w:marRight w:val="0"/>
          <w:marTop w:val="0"/>
          <w:marBottom w:val="0"/>
          <w:divBdr>
            <w:top w:val="single" w:sz="6" w:space="0" w:color="auto"/>
            <w:left w:val="single" w:sz="6" w:space="0" w:color="auto"/>
            <w:bottom w:val="single" w:sz="6" w:space="0" w:color="auto"/>
            <w:right w:val="single" w:sz="6" w:space="0" w:color="auto"/>
          </w:divBdr>
        </w:div>
      </w:divsChild>
    </w:div>
    <w:div w:id="995644277">
      <w:bodyDiv w:val="1"/>
      <w:marLeft w:val="0"/>
      <w:marRight w:val="0"/>
      <w:marTop w:val="0"/>
      <w:marBottom w:val="0"/>
      <w:divBdr>
        <w:top w:val="none" w:sz="0" w:space="0" w:color="auto"/>
        <w:left w:val="none" w:sz="0" w:space="0" w:color="auto"/>
        <w:bottom w:val="none" w:sz="0" w:space="0" w:color="auto"/>
        <w:right w:val="none" w:sz="0" w:space="0" w:color="auto"/>
      </w:divBdr>
    </w:div>
    <w:div w:id="1030689863">
      <w:bodyDiv w:val="1"/>
      <w:marLeft w:val="0"/>
      <w:marRight w:val="0"/>
      <w:marTop w:val="0"/>
      <w:marBottom w:val="0"/>
      <w:divBdr>
        <w:top w:val="none" w:sz="0" w:space="0" w:color="auto"/>
        <w:left w:val="none" w:sz="0" w:space="0" w:color="auto"/>
        <w:bottom w:val="none" w:sz="0" w:space="0" w:color="auto"/>
        <w:right w:val="none" w:sz="0" w:space="0" w:color="auto"/>
      </w:divBdr>
    </w:div>
    <w:div w:id="1177311305">
      <w:bodyDiv w:val="1"/>
      <w:marLeft w:val="0"/>
      <w:marRight w:val="0"/>
      <w:marTop w:val="0"/>
      <w:marBottom w:val="0"/>
      <w:divBdr>
        <w:top w:val="none" w:sz="0" w:space="0" w:color="auto"/>
        <w:left w:val="none" w:sz="0" w:space="0" w:color="auto"/>
        <w:bottom w:val="none" w:sz="0" w:space="0" w:color="auto"/>
        <w:right w:val="none" w:sz="0" w:space="0" w:color="auto"/>
      </w:divBdr>
      <w:divsChild>
        <w:div w:id="170805606">
          <w:marLeft w:val="0"/>
          <w:marRight w:val="0"/>
          <w:marTop w:val="0"/>
          <w:marBottom w:val="0"/>
          <w:divBdr>
            <w:top w:val="single" w:sz="6" w:space="0" w:color="auto"/>
            <w:left w:val="single" w:sz="6" w:space="0" w:color="auto"/>
            <w:bottom w:val="single" w:sz="6" w:space="0" w:color="auto"/>
            <w:right w:val="single" w:sz="6" w:space="0" w:color="auto"/>
          </w:divBdr>
        </w:div>
      </w:divsChild>
    </w:div>
    <w:div w:id="1258951630">
      <w:bodyDiv w:val="1"/>
      <w:marLeft w:val="0"/>
      <w:marRight w:val="0"/>
      <w:marTop w:val="0"/>
      <w:marBottom w:val="0"/>
      <w:divBdr>
        <w:top w:val="none" w:sz="0" w:space="0" w:color="auto"/>
        <w:left w:val="none" w:sz="0" w:space="0" w:color="auto"/>
        <w:bottom w:val="none" w:sz="0" w:space="0" w:color="auto"/>
        <w:right w:val="none" w:sz="0" w:space="0" w:color="auto"/>
      </w:divBdr>
      <w:divsChild>
        <w:div w:id="510610308">
          <w:marLeft w:val="0"/>
          <w:marRight w:val="0"/>
          <w:marTop w:val="0"/>
          <w:marBottom w:val="0"/>
          <w:divBdr>
            <w:top w:val="single" w:sz="6" w:space="0" w:color="auto"/>
            <w:left w:val="single" w:sz="6" w:space="0" w:color="auto"/>
            <w:bottom w:val="single" w:sz="6" w:space="0" w:color="auto"/>
            <w:right w:val="single" w:sz="6" w:space="0" w:color="auto"/>
          </w:divBdr>
        </w:div>
      </w:divsChild>
    </w:div>
    <w:div w:id="1423716670">
      <w:bodyDiv w:val="1"/>
      <w:marLeft w:val="0"/>
      <w:marRight w:val="0"/>
      <w:marTop w:val="0"/>
      <w:marBottom w:val="0"/>
      <w:divBdr>
        <w:top w:val="none" w:sz="0" w:space="0" w:color="auto"/>
        <w:left w:val="none" w:sz="0" w:space="0" w:color="auto"/>
        <w:bottom w:val="none" w:sz="0" w:space="0" w:color="auto"/>
        <w:right w:val="none" w:sz="0" w:space="0" w:color="auto"/>
      </w:divBdr>
      <w:divsChild>
        <w:div w:id="1297955361">
          <w:marLeft w:val="0"/>
          <w:marRight w:val="0"/>
          <w:marTop w:val="0"/>
          <w:marBottom w:val="0"/>
          <w:divBdr>
            <w:top w:val="single" w:sz="6" w:space="0" w:color="auto"/>
            <w:left w:val="single" w:sz="6" w:space="0" w:color="auto"/>
            <w:bottom w:val="single" w:sz="6" w:space="0" w:color="auto"/>
            <w:right w:val="single" w:sz="6" w:space="0" w:color="auto"/>
          </w:divBdr>
        </w:div>
      </w:divsChild>
    </w:div>
    <w:div w:id="1443263824">
      <w:bodyDiv w:val="1"/>
      <w:marLeft w:val="0"/>
      <w:marRight w:val="0"/>
      <w:marTop w:val="0"/>
      <w:marBottom w:val="0"/>
      <w:divBdr>
        <w:top w:val="none" w:sz="0" w:space="0" w:color="auto"/>
        <w:left w:val="none" w:sz="0" w:space="0" w:color="auto"/>
        <w:bottom w:val="none" w:sz="0" w:space="0" w:color="auto"/>
        <w:right w:val="none" w:sz="0" w:space="0" w:color="auto"/>
      </w:divBdr>
      <w:divsChild>
        <w:div w:id="124126474">
          <w:marLeft w:val="0"/>
          <w:marRight w:val="0"/>
          <w:marTop w:val="0"/>
          <w:marBottom w:val="0"/>
          <w:divBdr>
            <w:top w:val="single" w:sz="6" w:space="0" w:color="auto"/>
            <w:left w:val="single" w:sz="6" w:space="0" w:color="auto"/>
            <w:bottom w:val="single" w:sz="6" w:space="0" w:color="auto"/>
            <w:right w:val="single" w:sz="6" w:space="0" w:color="auto"/>
          </w:divBdr>
        </w:div>
      </w:divsChild>
    </w:div>
    <w:div w:id="1516967304">
      <w:bodyDiv w:val="1"/>
      <w:marLeft w:val="0"/>
      <w:marRight w:val="0"/>
      <w:marTop w:val="0"/>
      <w:marBottom w:val="0"/>
      <w:divBdr>
        <w:top w:val="none" w:sz="0" w:space="0" w:color="auto"/>
        <w:left w:val="none" w:sz="0" w:space="0" w:color="auto"/>
        <w:bottom w:val="none" w:sz="0" w:space="0" w:color="auto"/>
        <w:right w:val="none" w:sz="0" w:space="0" w:color="auto"/>
      </w:divBdr>
      <w:divsChild>
        <w:div w:id="724721541">
          <w:marLeft w:val="0"/>
          <w:marRight w:val="0"/>
          <w:marTop w:val="0"/>
          <w:marBottom w:val="0"/>
          <w:divBdr>
            <w:top w:val="single" w:sz="6" w:space="0" w:color="auto"/>
            <w:left w:val="single" w:sz="6" w:space="0" w:color="auto"/>
            <w:bottom w:val="single" w:sz="6" w:space="0" w:color="auto"/>
            <w:right w:val="single" w:sz="6" w:space="0" w:color="auto"/>
          </w:divBdr>
        </w:div>
      </w:divsChild>
    </w:div>
    <w:div w:id="1567492945">
      <w:bodyDiv w:val="1"/>
      <w:marLeft w:val="0"/>
      <w:marRight w:val="0"/>
      <w:marTop w:val="0"/>
      <w:marBottom w:val="0"/>
      <w:divBdr>
        <w:top w:val="none" w:sz="0" w:space="0" w:color="auto"/>
        <w:left w:val="none" w:sz="0" w:space="0" w:color="auto"/>
        <w:bottom w:val="none" w:sz="0" w:space="0" w:color="auto"/>
        <w:right w:val="none" w:sz="0" w:space="0" w:color="auto"/>
      </w:divBdr>
    </w:div>
    <w:div w:id="1670593275">
      <w:bodyDiv w:val="1"/>
      <w:marLeft w:val="0"/>
      <w:marRight w:val="0"/>
      <w:marTop w:val="0"/>
      <w:marBottom w:val="0"/>
      <w:divBdr>
        <w:top w:val="none" w:sz="0" w:space="0" w:color="auto"/>
        <w:left w:val="none" w:sz="0" w:space="0" w:color="auto"/>
        <w:bottom w:val="none" w:sz="0" w:space="0" w:color="auto"/>
        <w:right w:val="none" w:sz="0" w:space="0" w:color="auto"/>
      </w:divBdr>
      <w:divsChild>
        <w:div w:id="201672759">
          <w:marLeft w:val="0"/>
          <w:marRight w:val="0"/>
          <w:marTop w:val="0"/>
          <w:marBottom w:val="0"/>
          <w:divBdr>
            <w:top w:val="single" w:sz="6" w:space="0" w:color="auto"/>
            <w:left w:val="single" w:sz="6" w:space="0" w:color="auto"/>
            <w:bottom w:val="single" w:sz="6" w:space="0" w:color="auto"/>
            <w:right w:val="single" w:sz="6" w:space="0" w:color="auto"/>
          </w:divBdr>
        </w:div>
      </w:divsChild>
    </w:div>
    <w:div w:id="1711609059">
      <w:bodyDiv w:val="1"/>
      <w:marLeft w:val="0"/>
      <w:marRight w:val="0"/>
      <w:marTop w:val="0"/>
      <w:marBottom w:val="0"/>
      <w:divBdr>
        <w:top w:val="none" w:sz="0" w:space="0" w:color="auto"/>
        <w:left w:val="none" w:sz="0" w:space="0" w:color="auto"/>
        <w:bottom w:val="none" w:sz="0" w:space="0" w:color="auto"/>
        <w:right w:val="none" w:sz="0" w:space="0" w:color="auto"/>
      </w:divBdr>
    </w:div>
    <w:div w:id="1737315586">
      <w:bodyDiv w:val="1"/>
      <w:marLeft w:val="0"/>
      <w:marRight w:val="0"/>
      <w:marTop w:val="0"/>
      <w:marBottom w:val="0"/>
      <w:divBdr>
        <w:top w:val="none" w:sz="0" w:space="0" w:color="auto"/>
        <w:left w:val="none" w:sz="0" w:space="0" w:color="auto"/>
        <w:bottom w:val="none" w:sz="0" w:space="0" w:color="auto"/>
        <w:right w:val="none" w:sz="0" w:space="0" w:color="auto"/>
      </w:divBdr>
    </w:div>
    <w:div w:id="1872255804">
      <w:bodyDiv w:val="1"/>
      <w:marLeft w:val="0"/>
      <w:marRight w:val="0"/>
      <w:marTop w:val="0"/>
      <w:marBottom w:val="0"/>
      <w:divBdr>
        <w:top w:val="none" w:sz="0" w:space="0" w:color="auto"/>
        <w:left w:val="none" w:sz="0" w:space="0" w:color="auto"/>
        <w:bottom w:val="none" w:sz="0" w:space="0" w:color="auto"/>
        <w:right w:val="none" w:sz="0" w:space="0" w:color="auto"/>
      </w:divBdr>
    </w:div>
    <w:div w:id="2034838634">
      <w:bodyDiv w:val="1"/>
      <w:marLeft w:val="0"/>
      <w:marRight w:val="0"/>
      <w:marTop w:val="0"/>
      <w:marBottom w:val="0"/>
      <w:divBdr>
        <w:top w:val="none" w:sz="0" w:space="0" w:color="auto"/>
        <w:left w:val="none" w:sz="0" w:space="0" w:color="auto"/>
        <w:bottom w:val="none" w:sz="0" w:space="0" w:color="auto"/>
        <w:right w:val="none" w:sz="0" w:space="0" w:color="auto"/>
      </w:divBdr>
      <w:divsChild>
        <w:div w:id="2046128508">
          <w:marLeft w:val="0"/>
          <w:marRight w:val="0"/>
          <w:marTop w:val="0"/>
          <w:marBottom w:val="0"/>
          <w:divBdr>
            <w:top w:val="single" w:sz="6" w:space="0" w:color="auto"/>
            <w:left w:val="single" w:sz="6" w:space="0" w:color="auto"/>
            <w:bottom w:val="single" w:sz="6" w:space="0" w:color="auto"/>
            <w:right w:val="single" w:sz="6" w:space="0" w:color="auto"/>
          </w:divBdr>
        </w:div>
      </w:divsChild>
    </w:div>
    <w:div w:id="2092000690">
      <w:bodyDiv w:val="1"/>
      <w:marLeft w:val="0"/>
      <w:marRight w:val="0"/>
      <w:marTop w:val="0"/>
      <w:marBottom w:val="0"/>
      <w:divBdr>
        <w:top w:val="none" w:sz="0" w:space="0" w:color="auto"/>
        <w:left w:val="none" w:sz="0" w:space="0" w:color="auto"/>
        <w:bottom w:val="none" w:sz="0" w:space="0" w:color="auto"/>
        <w:right w:val="none" w:sz="0" w:space="0" w:color="auto"/>
      </w:divBdr>
      <w:divsChild>
        <w:div w:id="418328924">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A7787F-1467-43EE-9398-7965D00A01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2839</Words>
  <Characters>17092</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Gabriela Coteneanu</cp:lastModifiedBy>
  <cp:revision>2</cp:revision>
  <dcterms:created xsi:type="dcterms:W3CDTF">2024-05-04T08:10:00Z</dcterms:created>
  <dcterms:modified xsi:type="dcterms:W3CDTF">2024-05-04T08:10:00Z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6f8faaf1-76f3-4230-a290-57428bc9f946</vt:lpwstr>
  </property>
</Properties>
</file>