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00178108"/>
        <w:docPartObj>
          <w:docPartGallery w:val="Cover Pages"/>
          <w:docPartUnique/>
        </w:docPartObj>
      </w:sdtPr>
      <w:sdtEndPr>
        <w:rPr>
          <w:rFonts w:ascii="Arial" w:hAnsi="Arial" w:cs="Arial"/>
          <w:b/>
          <w:bCs/>
          <w:color w:val="45B0E1" w:themeColor="accent1" w:themeTint="99"/>
        </w:rPr>
      </w:sdtEndPr>
      <w:sdtContent>
        <w:p w14:paraId="43861282" w14:textId="173D7527" w:rsidR="001725F0" w:rsidRDefault="001725F0">
          <w:r>
            <w:rPr>
              <w:noProof/>
            </w:rPr>
            <mc:AlternateContent>
              <mc:Choice Requires="wpg">
                <w:drawing>
                  <wp:anchor distT="0" distB="0" distL="114300" distR="114300" simplePos="0" relativeHeight="251662336" behindDoc="0" locked="0" layoutInCell="1" allowOverlap="1" wp14:anchorId="0980DEEB" wp14:editId="2FF4A1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DCA8B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D56A70" wp14:editId="54613E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olor w:val="4C94D8" w:themeColor="text2" w:themeTint="80"/>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1C1A4A" w14:textId="0391A21B" w:rsidR="001725F0" w:rsidRPr="001725F0" w:rsidRDefault="001725F0" w:rsidP="001725F0">
                                    <w:pPr>
                                      <w:pStyle w:val="NoSpacing"/>
                                      <w:jc w:val="right"/>
                                      <w:rPr>
                                        <w:color w:val="595959" w:themeColor="text1" w:themeTint="A6"/>
                                        <w:sz w:val="28"/>
                                        <w:szCs w:val="28"/>
                                      </w:rPr>
                                    </w:pPr>
                                    <w:r w:rsidRPr="001725F0">
                                      <w:rPr>
                                        <w:rFonts w:ascii="Arial Black" w:hAnsi="Arial Black"/>
                                        <w:color w:val="4C94D8" w:themeColor="text2" w:themeTint="80"/>
                                        <w:sz w:val="44"/>
                                        <w:szCs w:val="44"/>
                                      </w:rPr>
                                      <w:t xml:space="preserve">Florin Mateus Dumitru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D56A7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Black" w:hAnsi="Arial Black"/>
                              <w:color w:val="4C94D8" w:themeColor="text2" w:themeTint="80"/>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1C1A4A" w14:textId="0391A21B" w:rsidR="001725F0" w:rsidRPr="001725F0" w:rsidRDefault="001725F0" w:rsidP="001725F0">
                              <w:pPr>
                                <w:pStyle w:val="NoSpacing"/>
                                <w:jc w:val="right"/>
                                <w:rPr>
                                  <w:color w:val="595959" w:themeColor="text1" w:themeTint="A6"/>
                                  <w:sz w:val="28"/>
                                  <w:szCs w:val="28"/>
                                </w:rPr>
                              </w:pPr>
                              <w:r w:rsidRPr="001725F0">
                                <w:rPr>
                                  <w:rFonts w:ascii="Arial Black" w:hAnsi="Arial Black"/>
                                  <w:color w:val="4C94D8" w:themeColor="text2" w:themeTint="80"/>
                                  <w:sz w:val="44"/>
                                  <w:szCs w:val="44"/>
                                </w:rPr>
                                <w:t xml:space="preserve">Florin Mateus Dumitru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522099" wp14:editId="2BC418A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99C47" w14:textId="732CFE49" w:rsidR="001725F0" w:rsidRDefault="001725F0">
                                <w:pPr>
                                  <w:jc w:val="right"/>
                                  <w:rPr>
                                    <w:color w:val="156082" w:themeColor="accent1"/>
                                    <w:sz w:val="64"/>
                                    <w:szCs w:val="64"/>
                                  </w:rPr>
                                </w:pPr>
                                <w:sdt>
                                  <w:sdtPr>
                                    <w:rPr>
                                      <w:rFonts w:ascii="Arial Black" w:hAnsi="Arial Black"/>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725F0">
                                      <w:rPr>
                                        <w:rFonts w:ascii="Arial Black" w:hAnsi="Arial Black"/>
                                        <w:caps/>
                                        <w:color w:val="156082" w:themeColor="accent1"/>
                                        <w:sz w:val="72"/>
                                        <w:szCs w:val="72"/>
                                      </w:rPr>
                                      <w:t>Energy for Life: A Sustainable Enterprise Business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0D0D3D" w14:textId="29B92F27" w:rsidR="001725F0" w:rsidRDefault="001725F0" w:rsidP="001725F0">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522099"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4999C47" w14:textId="732CFE49" w:rsidR="001725F0" w:rsidRDefault="001725F0">
                          <w:pPr>
                            <w:jc w:val="right"/>
                            <w:rPr>
                              <w:color w:val="156082" w:themeColor="accent1"/>
                              <w:sz w:val="64"/>
                              <w:szCs w:val="64"/>
                            </w:rPr>
                          </w:pPr>
                          <w:sdt>
                            <w:sdtPr>
                              <w:rPr>
                                <w:rFonts w:ascii="Arial Black" w:hAnsi="Arial Black"/>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725F0">
                                <w:rPr>
                                  <w:rFonts w:ascii="Arial Black" w:hAnsi="Arial Black"/>
                                  <w:caps/>
                                  <w:color w:val="156082" w:themeColor="accent1"/>
                                  <w:sz w:val="72"/>
                                  <w:szCs w:val="72"/>
                                </w:rPr>
                                <w:t>Energy for Life: A Sustainable Enterprise Business Plan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0D0D3D" w14:textId="29B92F27" w:rsidR="001725F0" w:rsidRDefault="001725F0" w:rsidP="001725F0">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91A618F" w14:textId="3A40BF07" w:rsidR="001725F0" w:rsidRDefault="001725F0">
          <w:pPr>
            <w:rPr>
              <w:rFonts w:ascii="Arial" w:hAnsi="Arial" w:cs="Arial"/>
              <w:b/>
              <w:bCs/>
              <w:color w:val="45B0E1" w:themeColor="accent1" w:themeTint="99"/>
            </w:rPr>
          </w:pPr>
          <w:r>
            <w:rPr>
              <w:rFonts w:ascii="Arial" w:hAnsi="Arial" w:cs="Arial"/>
              <w:b/>
              <w:bCs/>
              <w:color w:val="45B0E1" w:themeColor="accent1" w:themeTint="99"/>
            </w:rPr>
            <w:br w:type="page"/>
          </w:r>
        </w:p>
      </w:sdtContent>
    </w:sdt>
    <w:p w14:paraId="69990B0B" w14:textId="27873574" w:rsidR="001725F0" w:rsidRDefault="001725F0" w:rsidP="00C50115">
      <w:pPr>
        <w:spacing w:line="480" w:lineRule="auto"/>
        <w:jc w:val="both"/>
        <w:rPr>
          <w:rFonts w:ascii="Arial" w:hAnsi="Arial" w:cs="Arial"/>
          <w:b/>
          <w:bCs/>
          <w:color w:val="45B0E1" w:themeColor="accent1" w:themeTint="99"/>
        </w:rPr>
      </w:pPr>
      <w:r>
        <w:rPr>
          <w:rFonts w:ascii="Arial" w:hAnsi="Arial" w:cs="Arial"/>
          <w:b/>
          <w:bCs/>
          <w:color w:val="45B0E1" w:themeColor="accent1" w:themeTint="99"/>
        </w:rPr>
        <w:lastRenderedPageBreak/>
        <w:t xml:space="preserve">Table of Contents </w:t>
      </w:r>
    </w:p>
    <w:p w14:paraId="2BB2AE6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Executive Summary</w:t>
      </w:r>
    </w:p>
    <w:p w14:paraId="00DAAE32"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The Company's Mission and Vision</w:t>
      </w:r>
    </w:p>
    <w:p w14:paraId="60596DC8"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Market Analysis</w:t>
      </w:r>
    </w:p>
    <w:p w14:paraId="61D585A5"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External Environment: PESTLE Analysis</w:t>
      </w:r>
    </w:p>
    <w:p w14:paraId="5774F723"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Customer Segmentation and Market Analysis</w:t>
      </w:r>
    </w:p>
    <w:p w14:paraId="3D39DEA5"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The Value Proposition</w:t>
      </w:r>
    </w:p>
    <w:p w14:paraId="701F2D1D"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Marketing Strategy</w:t>
      </w:r>
    </w:p>
    <w:p w14:paraId="7712B52E"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Customer Experience</w:t>
      </w:r>
    </w:p>
    <w:p w14:paraId="23BDAB76"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Consumer Insights</w:t>
      </w:r>
    </w:p>
    <w:p w14:paraId="3E678A2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Operational Objectives</w:t>
      </w:r>
    </w:p>
    <w:p w14:paraId="252D0F62"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Sustainability Strategy</w:t>
      </w:r>
    </w:p>
    <w:p w14:paraId="4CB3E211"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Physical Resources</w:t>
      </w:r>
    </w:p>
    <w:p w14:paraId="2BF47A3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Human Resources</w:t>
      </w:r>
    </w:p>
    <w:p w14:paraId="5D029515"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Financial Resources</w:t>
      </w:r>
    </w:p>
    <w:p w14:paraId="471E2A6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Marketing Approach</w:t>
      </w:r>
    </w:p>
    <w:p w14:paraId="6B4EBC10"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PESTLE Analysis: Details</w:t>
      </w:r>
    </w:p>
    <w:p w14:paraId="4691A68D"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SWOT Analysis</w:t>
      </w:r>
    </w:p>
    <w:p w14:paraId="5CAF490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Operational Plan</w:t>
      </w:r>
    </w:p>
    <w:p w14:paraId="4B92BC7C"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Financial Projections and Cash Flow Analysis</w:t>
      </w:r>
    </w:p>
    <w:p w14:paraId="5755BA6F"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Risk Management and Contingency Plans</w:t>
      </w:r>
    </w:p>
    <w:p w14:paraId="0EDE28EA" w14:textId="77777777"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Sustainability Reporting and Performance Monitoring</w:t>
      </w:r>
    </w:p>
    <w:p w14:paraId="1A8BAFB7" w14:textId="7BD464C2" w:rsidR="001725F0" w:rsidRPr="001725F0" w:rsidRDefault="001725F0" w:rsidP="001725F0">
      <w:pPr>
        <w:spacing w:line="240" w:lineRule="auto"/>
        <w:jc w:val="both"/>
        <w:rPr>
          <w:rFonts w:ascii="Arial" w:hAnsi="Arial" w:cs="Arial"/>
          <w:color w:val="45B0E1" w:themeColor="accent1" w:themeTint="99"/>
        </w:rPr>
      </w:pPr>
      <w:r w:rsidRPr="001725F0">
        <w:rPr>
          <w:rFonts w:ascii="Arial" w:hAnsi="Arial" w:cs="Arial"/>
          <w:color w:val="45B0E1" w:themeColor="accent1" w:themeTint="99"/>
        </w:rPr>
        <w:t>Conclusion</w:t>
      </w:r>
    </w:p>
    <w:p w14:paraId="339BF202" w14:textId="77777777" w:rsidR="001725F0" w:rsidRDefault="001725F0">
      <w:pPr>
        <w:rPr>
          <w:rFonts w:ascii="Arial" w:hAnsi="Arial" w:cs="Arial"/>
          <w:b/>
          <w:bCs/>
          <w:color w:val="45B0E1" w:themeColor="accent1" w:themeTint="99"/>
        </w:rPr>
      </w:pPr>
      <w:r>
        <w:rPr>
          <w:rFonts w:ascii="Arial" w:hAnsi="Arial" w:cs="Arial"/>
          <w:b/>
          <w:bCs/>
          <w:color w:val="45B0E1" w:themeColor="accent1" w:themeTint="99"/>
        </w:rPr>
        <w:br w:type="page"/>
      </w:r>
    </w:p>
    <w:p w14:paraId="4ECB5309" w14:textId="2F498C66" w:rsidR="00C50115" w:rsidRPr="001725F0" w:rsidRDefault="00C50115" w:rsidP="00C50115">
      <w:pPr>
        <w:spacing w:line="480" w:lineRule="auto"/>
        <w:jc w:val="both"/>
        <w:rPr>
          <w:rFonts w:ascii="Arial" w:hAnsi="Arial" w:cs="Arial"/>
          <w:b/>
          <w:bCs/>
        </w:rPr>
      </w:pPr>
      <w:r w:rsidRPr="00C50115">
        <w:rPr>
          <w:rFonts w:ascii="Arial" w:hAnsi="Arial" w:cs="Arial"/>
          <w:b/>
          <w:bCs/>
          <w:color w:val="45B0E1" w:themeColor="accent1" w:themeTint="99"/>
        </w:rPr>
        <w:lastRenderedPageBreak/>
        <w:t>Executive summary</w:t>
      </w:r>
    </w:p>
    <w:p w14:paraId="19C79083" w14:textId="77777777" w:rsidR="00C50115" w:rsidRDefault="00C50115" w:rsidP="00C50115">
      <w:pPr>
        <w:spacing w:line="480" w:lineRule="auto"/>
        <w:jc w:val="both"/>
        <w:rPr>
          <w:rFonts w:ascii="Arial" w:hAnsi="Arial" w:cs="Arial"/>
        </w:rPr>
      </w:pPr>
      <w:r w:rsidRPr="00C50115">
        <w:rPr>
          <w:rFonts w:ascii="Arial" w:hAnsi="Arial" w:cs="Arial"/>
        </w:rPr>
        <w:t xml:space="preserve">Energy for Life is a renewable energy start-up that aims to transform the energy market by utilising sustainable sources to power communities and businesses. The company is founded on the belief that renewable energy not only preserves the </w:t>
      </w:r>
      <w:r w:rsidRPr="00C50115">
        <w:rPr>
          <w:rFonts w:ascii="Arial" w:hAnsi="Arial" w:cs="Arial"/>
        </w:rPr>
        <w:t>environment but</w:t>
      </w:r>
      <w:r w:rsidRPr="00C50115">
        <w:rPr>
          <w:rFonts w:ascii="Arial" w:hAnsi="Arial" w:cs="Arial"/>
        </w:rPr>
        <w:t xml:space="preserve"> also serves as a catalyst for economic and social improvement. Energy for Life's goal is to reduce carbon emissions, lower energy costs, and encourage environmental responsibility by implementing innovative solar, wind, and energy storage technologies. The business plan describes a comprehensive approach that combines technology innovation, market research, and risk management to build a flexible, profitable, and environmentally friendly model. This document establishes defined operational, financial, and strategic goals to ensure a competitive position in the rapidly developing renewable energy market. (Eco-Innovation Observatory (EIO), Ed. (2013)</w:t>
      </w:r>
    </w:p>
    <w:p w14:paraId="45B42B9D" w14:textId="77777777" w:rsidR="00C50115" w:rsidRDefault="00C50115" w:rsidP="00C50115">
      <w:pPr>
        <w:spacing w:line="480" w:lineRule="auto"/>
        <w:jc w:val="both"/>
        <w:rPr>
          <w:rFonts w:ascii="Arial" w:hAnsi="Arial" w:cs="Arial"/>
        </w:rPr>
      </w:pPr>
    </w:p>
    <w:p w14:paraId="32979201" w14:textId="77777777" w:rsidR="00C50115" w:rsidRDefault="00C50115" w:rsidP="00C50115">
      <w:pPr>
        <w:spacing w:line="480" w:lineRule="auto"/>
        <w:jc w:val="both"/>
        <w:rPr>
          <w:rFonts w:ascii="Arial" w:hAnsi="Arial" w:cs="Arial"/>
        </w:rPr>
      </w:pPr>
    </w:p>
    <w:p w14:paraId="66CACA67" w14:textId="77777777" w:rsidR="00C50115" w:rsidRDefault="00C50115" w:rsidP="00C50115">
      <w:pPr>
        <w:spacing w:line="480" w:lineRule="auto"/>
        <w:jc w:val="both"/>
        <w:rPr>
          <w:rFonts w:ascii="Arial" w:hAnsi="Arial" w:cs="Arial"/>
        </w:rPr>
      </w:pPr>
    </w:p>
    <w:p w14:paraId="4BE3B9C0" w14:textId="77777777" w:rsidR="00C50115" w:rsidRDefault="00C50115" w:rsidP="00C50115">
      <w:pPr>
        <w:spacing w:line="480" w:lineRule="auto"/>
        <w:jc w:val="both"/>
        <w:rPr>
          <w:rFonts w:ascii="Arial" w:hAnsi="Arial" w:cs="Arial"/>
        </w:rPr>
      </w:pPr>
    </w:p>
    <w:p w14:paraId="61324E10" w14:textId="77777777" w:rsidR="00C50115" w:rsidRDefault="00C50115" w:rsidP="00C50115">
      <w:pPr>
        <w:spacing w:line="480" w:lineRule="auto"/>
        <w:jc w:val="both"/>
        <w:rPr>
          <w:rFonts w:ascii="Arial" w:hAnsi="Arial" w:cs="Arial"/>
        </w:rPr>
      </w:pPr>
    </w:p>
    <w:p w14:paraId="5C3855A5" w14:textId="77777777" w:rsidR="00C50115" w:rsidRDefault="00C50115" w:rsidP="00C50115">
      <w:pPr>
        <w:spacing w:line="480" w:lineRule="auto"/>
        <w:jc w:val="both"/>
        <w:rPr>
          <w:rFonts w:ascii="Arial" w:hAnsi="Arial" w:cs="Arial"/>
        </w:rPr>
      </w:pPr>
    </w:p>
    <w:p w14:paraId="779317D3" w14:textId="77777777" w:rsidR="00C50115" w:rsidRDefault="00C50115" w:rsidP="00C50115">
      <w:pPr>
        <w:spacing w:line="480" w:lineRule="auto"/>
        <w:jc w:val="both"/>
        <w:rPr>
          <w:rFonts w:ascii="Arial" w:hAnsi="Arial" w:cs="Arial"/>
        </w:rPr>
      </w:pPr>
    </w:p>
    <w:p w14:paraId="394446DD" w14:textId="77777777" w:rsidR="00C50115" w:rsidRDefault="00C50115" w:rsidP="00C50115">
      <w:pPr>
        <w:spacing w:line="480" w:lineRule="auto"/>
        <w:jc w:val="both"/>
        <w:rPr>
          <w:rFonts w:ascii="Arial" w:hAnsi="Arial" w:cs="Arial"/>
        </w:rPr>
      </w:pPr>
    </w:p>
    <w:p w14:paraId="64F4D5C5" w14:textId="77777777" w:rsidR="00C50115" w:rsidRDefault="00C50115" w:rsidP="00C50115">
      <w:pPr>
        <w:spacing w:line="480" w:lineRule="auto"/>
        <w:jc w:val="both"/>
        <w:rPr>
          <w:rFonts w:ascii="Arial" w:hAnsi="Arial" w:cs="Arial"/>
        </w:rPr>
      </w:pPr>
    </w:p>
    <w:p w14:paraId="682D34DB" w14:textId="77777777" w:rsidR="00C50115" w:rsidRDefault="00C50115" w:rsidP="00C50115">
      <w:pPr>
        <w:spacing w:line="480" w:lineRule="auto"/>
        <w:jc w:val="both"/>
        <w:rPr>
          <w:rFonts w:ascii="Arial" w:hAnsi="Arial" w:cs="Arial"/>
        </w:rPr>
      </w:pPr>
    </w:p>
    <w:p w14:paraId="066969F0" w14:textId="1511D536"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lastRenderedPageBreak/>
        <w:t>The company's mission and vision</w:t>
      </w:r>
    </w:p>
    <w:p w14:paraId="30756477" w14:textId="77777777" w:rsidR="00C50115" w:rsidRDefault="00C50115" w:rsidP="00C50115">
      <w:pPr>
        <w:spacing w:line="480" w:lineRule="auto"/>
        <w:jc w:val="both"/>
        <w:rPr>
          <w:rFonts w:ascii="Arial" w:hAnsi="Arial" w:cs="Arial"/>
        </w:rPr>
      </w:pPr>
      <w:r w:rsidRPr="00C50115">
        <w:rPr>
          <w:rFonts w:ascii="Arial" w:hAnsi="Arial" w:cs="Arial"/>
        </w:rPr>
        <w:t>Energy for Life's purpose is to pioneer the transition to a greener, more sustainable energy future by combining cutting-edge renewable technologies with responsible business practices. Through ongoing innovation and community interaction, the organisation aims to build a robust energy infrastructure that not only serves current demands but also predicts future issues. Its aim is to be a market leader in sustainable energy solutions, establishing industry standards that prioritise environmental integrity, social equality, and long-term economic sustainability. This goal and vision serve as guiding principles for all projects, ensuring that all activities contribute to the larger green economy. (Elkington, J., 1999).</w:t>
      </w:r>
    </w:p>
    <w:p w14:paraId="086A3B62"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Market analysis</w:t>
      </w:r>
    </w:p>
    <w:p w14:paraId="3190D7F9" w14:textId="77777777" w:rsidR="00C50115" w:rsidRDefault="00C50115" w:rsidP="00C50115">
      <w:pPr>
        <w:spacing w:line="480" w:lineRule="auto"/>
        <w:jc w:val="both"/>
        <w:rPr>
          <w:rFonts w:ascii="Arial" w:hAnsi="Arial" w:cs="Arial"/>
        </w:rPr>
      </w:pPr>
      <w:r w:rsidRPr="00C50115">
        <w:rPr>
          <w:rFonts w:ascii="Arial" w:hAnsi="Arial" w:cs="Arial"/>
        </w:rPr>
        <w:t xml:space="preserve">The renewable energy sector has seen tremendous changes </w:t>
      </w:r>
      <w:r w:rsidRPr="00C50115">
        <w:rPr>
          <w:rFonts w:ascii="Arial" w:hAnsi="Arial" w:cs="Arial"/>
        </w:rPr>
        <w:t>because of</w:t>
      </w:r>
      <w:r w:rsidRPr="00C50115">
        <w:rPr>
          <w:rFonts w:ascii="Arial" w:hAnsi="Arial" w:cs="Arial"/>
        </w:rPr>
        <w:t xml:space="preserve"> increased environmental consciousness, quick technology developments, and supporting government policies. Demand for renewable energy solutions has increased as businesses and consumers look for low-cost alternatives to fossil fuels. Energy for Life has identified important market sectors, which include residential, commercial, and industrial clients, each with their own energy requirements and consumption patterns. Extensive market research has demonstrated that growing energy costs, combined with worldwide attempts to reduce carbon footprints, provide a favourable environment for renewable energy investments. This strategic insight positions the company to increase market share and drive long-term success. Emerson, J. (2003)</w:t>
      </w:r>
    </w:p>
    <w:p w14:paraId="79DD43DF" w14:textId="3881AAD6"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External environment: PESTLE Analysi</w:t>
      </w:r>
      <w:r w:rsidRPr="00C50115">
        <w:rPr>
          <w:rFonts w:ascii="Arial" w:hAnsi="Arial" w:cs="Arial"/>
          <w:b/>
          <w:bCs/>
          <w:color w:val="45B0E1" w:themeColor="accent1" w:themeTint="99"/>
        </w:rPr>
        <w:t>s</w:t>
      </w:r>
    </w:p>
    <w:p w14:paraId="710DD3AC" w14:textId="77777777" w:rsidR="00C50115" w:rsidRDefault="00C50115" w:rsidP="00C50115">
      <w:pPr>
        <w:spacing w:line="480" w:lineRule="auto"/>
        <w:jc w:val="both"/>
        <w:rPr>
          <w:rFonts w:ascii="Arial" w:hAnsi="Arial" w:cs="Arial"/>
        </w:rPr>
      </w:pPr>
      <w:r w:rsidRPr="00C50115">
        <w:rPr>
          <w:rFonts w:ascii="Arial" w:hAnsi="Arial" w:cs="Arial"/>
        </w:rPr>
        <w:t xml:space="preserve">A thorough PESTLE analysis reveals that the external environment is quite supportive of renewable energy projects. Politically, many governments throughout the world are </w:t>
      </w:r>
      <w:r w:rsidRPr="00C50115">
        <w:rPr>
          <w:rFonts w:ascii="Arial" w:hAnsi="Arial" w:cs="Arial"/>
        </w:rPr>
        <w:lastRenderedPageBreak/>
        <w:t>establishing laws to decrease carbon emissions, providing subsidies and tax breaks to make renewable investments appealing. Economically, the lower costs of solar panels, wind turbines, and energy storage technologies boost renewable energy's competitiveness. Socially, rising public demand for sustainable behaviours, combined with increased environmental awareness, propels market growth. Technological advancements continue to increase efficiency and reduce costs, but legal frameworks evolve to impose higher environmental norms. These criteria form a solid foundation for Energy for Life's activities. (J. Emerson &amp; J. Spitzer, 2007).</w:t>
      </w:r>
    </w:p>
    <w:p w14:paraId="3AC93232"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Customer segmentation and market analysis</w:t>
      </w:r>
    </w:p>
    <w:p w14:paraId="6B5781E9" w14:textId="68731C96" w:rsidR="00C50115" w:rsidRDefault="00C50115" w:rsidP="00C50115">
      <w:pPr>
        <w:spacing w:line="480" w:lineRule="auto"/>
        <w:jc w:val="both"/>
        <w:rPr>
          <w:rFonts w:ascii="Arial" w:hAnsi="Arial" w:cs="Arial"/>
        </w:rPr>
      </w:pPr>
      <w:r w:rsidRPr="00C50115">
        <w:rPr>
          <w:rFonts w:ascii="Arial" w:hAnsi="Arial" w:cs="Arial"/>
        </w:rPr>
        <w:t xml:space="preserve">According to Energy for Life's market study, its customers come from a wide range of industries. Residential consumers choose small-scale renewable installations that assist lower household energy bills, but commercial and industrial clients want larger, integrated systems that assure consistent energy supply and cost savings. Detailed segmentation studies have allowed the corporation to adjust its product offerings to meet the unique needs of each consumer segment. This strategy not only answers current market </w:t>
      </w:r>
      <w:r w:rsidRPr="00C50115">
        <w:rPr>
          <w:rFonts w:ascii="Arial" w:hAnsi="Arial" w:cs="Arial"/>
        </w:rPr>
        <w:t>demands but</w:t>
      </w:r>
      <w:r w:rsidRPr="00C50115">
        <w:rPr>
          <w:rFonts w:ascii="Arial" w:hAnsi="Arial" w:cs="Arial"/>
        </w:rPr>
        <w:t xml:space="preserve"> also anticipates future trends in energy consumption and sustainability, resulting in a long-term competitive advantage</w:t>
      </w:r>
      <w:r>
        <w:rPr>
          <w:rFonts w:ascii="Arial" w:hAnsi="Arial" w:cs="Arial"/>
        </w:rPr>
        <w:t xml:space="preserve"> (</w:t>
      </w:r>
      <w:r w:rsidRPr="00C50115">
        <w:rPr>
          <w:rFonts w:ascii="Arial" w:hAnsi="Arial" w:cs="Arial"/>
        </w:rPr>
        <w:t>Eurostat</w:t>
      </w:r>
      <w:r>
        <w:rPr>
          <w:rFonts w:ascii="Arial" w:hAnsi="Arial" w:cs="Arial"/>
        </w:rPr>
        <w:t xml:space="preserve">, </w:t>
      </w:r>
      <w:r w:rsidRPr="00C50115">
        <w:rPr>
          <w:rFonts w:ascii="Arial" w:hAnsi="Arial" w:cs="Arial"/>
        </w:rPr>
        <w:t>2009).</w:t>
      </w:r>
    </w:p>
    <w:p w14:paraId="7EDF5525"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The Value Proposition</w:t>
      </w:r>
    </w:p>
    <w:p w14:paraId="22C660DC" w14:textId="14AA0F58" w:rsidR="00C50115" w:rsidRDefault="00C50115" w:rsidP="00C50115">
      <w:pPr>
        <w:spacing w:line="480" w:lineRule="auto"/>
        <w:jc w:val="both"/>
        <w:rPr>
          <w:rFonts w:ascii="Arial" w:hAnsi="Arial" w:cs="Arial"/>
        </w:rPr>
      </w:pPr>
      <w:r w:rsidRPr="00C50115">
        <w:rPr>
          <w:rFonts w:ascii="Arial" w:hAnsi="Arial" w:cs="Arial"/>
        </w:rPr>
        <w:t>Energy for Life's value proposition is founded on its dedication to the triple bottom line</w:t>
      </w:r>
      <w:r>
        <w:rPr>
          <w:rFonts w:ascii="Arial" w:hAnsi="Arial" w:cs="Arial"/>
        </w:rPr>
        <w:t>-</w:t>
      </w:r>
      <w:r w:rsidRPr="00C50115">
        <w:rPr>
          <w:rFonts w:ascii="Arial" w:hAnsi="Arial" w:cs="Arial"/>
        </w:rPr>
        <w:t xml:space="preserve">environmental, social, and financial performance. The company employs sophisticated renewable technology to deliver energy solutions that are not only clean and </w:t>
      </w:r>
      <w:r w:rsidRPr="00C50115">
        <w:rPr>
          <w:rFonts w:ascii="Arial" w:hAnsi="Arial" w:cs="Arial"/>
        </w:rPr>
        <w:t>sustainable but</w:t>
      </w:r>
      <w:r w:rsidRPr="00C50115">
        <w:rPr>
          <w:rFonts w:ascii="Arial" w:hAnsi="Arial" w:cs="Arial"/>
        </w:rPr>
        <w:t xml:space="preserve"> also cost effective. Energy for Life provides significant financial savings by lowering dependency on fossil fuels while also contributing to a reduction in greenhouse gas emissions. The company's approach combines innovation and </w:t>
      </w:r>
      <w:r w:rsidRPr="00C50115">
        <w:rPr>
          <w:rFonts w:ascii="Arial" w:hAnsi="Arial" w:cs="Arial"/>
        </w:rPr>
        <w:lastRenderedPageBreak/>
        <w:t>community engagement, ensuring that each initiative has verifiable benefits for customers, society, and the environment</w:t>
      </w:r>
      <w:r>
        <w:rPr>
          <w:rFonts w:ascii="Arial" w:hAnsi="Arial" w:cs="Arial"/>
        </w:rPr>
        <w:t xml:space="preserve"> (</w:t>
      </w:r>
      <w:r w:rsidRPr="00C50115">
        <w:rPr>
          <w:rFonts w:ascii="Arial" w:hAnsi="Arial" w:cs="Arial"/>
        </w:rPr>
        <w:t xml:space="preserve">Kotler, P., Armstrong, G., Harris, L., </w:t>
      </w:r>
      <w:r>
        <w:rPr>
          <w:rFonts w:ascii="Arial" w:hAnsi="Arial" w:cs="Arial"/>
        </w:rPr>
        <w:t>&amp;</w:t>
      </w:r>
      <w:r w:rsidRPr="00C50115">
        <w:rPr>
          <w:rFonts w:ascii="Arial" w:hAnsi="Arial" w:cs="Arial"/>
        </w:rPr>
        <w:t xml:space="preserve"> Piercy, N.</w:t>
      </w:r>
      <w:r>
        <w:rPr>
          <w:rFonts w:ascii="Arial" w:hAnsi="Arial" w:cs="Arial"/>
        </w:rPr>
        <w:t xml:space="preserve">, </w:t>
      </w:r>
      <w:r w:rsidRPr="00C50115">
        <w:rPr>
          <w:rFonts w:ascii="Arial" w:hAnsi="Arial" w:cs="Arial"/>
        </w:rPr>
        <w:t>2013).</w:t>
      </w:r>
    </w:p>
    <w:p w14:paraId="48BE6654"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Marketing strategy</w:t>
      </w:r>
    </w:p>
    <w:p w14:paraId="429F0A2F" w14:textId="77777777" w:rsidR="00C50115" w:rsidRDefault="00C50115" w:rsidP="00C50115">
      <w:pPr>
        <w:spacing w:line="480" w:lineRule="auto"/>
        <w:jc w:val="both"/>
        <w:rPr>
          <w:rFonts w:ascii="Arial" w:hAnsi="Arial" w:cs="Arial"/>
        </w:rPr>
      </w:pPr>
      <w:r w:rsidRPr="00C50115">
        <w:rPr>
          <w:rFonts w:ascii="Arial" w:hAnsi="Arial" w:cs="Arial"/>
        </w:rPr>
        <w:t>The Energy for Life marketing strategy aims to establish a strong brand presence while also educating target audiences about the benefits of renewable energy. The organisation has an integrated communications approach, including internet advertising, conventional media, and community outreach programs. Social media, search engine marketing, and content marketing are used to engage prospective customers and demonstrate the economic and environmental benefits of switching to renewable energy. Public relations and community activities boost the brand's image by instilling trust and displaying a commitment to sustainability. This strategic strategy guarantees that the company's message is coherent, appealing, and relevant across multiple market segments. (S. Olenski, 2013).</w:t>
      </w:r>
    </w:p>
    <w:p w14:paraId="5C92FCA4" w14:textId="0DF2FCB8"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Customer Experience</w:t>
      </w:r>
    </w:p>
    <w:p w14:paraId="5491004A" w14:textId="77777777" w:rsidR="00C50115" w:rsidRDefault="00C50115" w:rsidP="00C50115">
      <w:pPr>
        <w:spacing w:line="480" w:lineRule="auto"/>
        <w:jc w:val="both"/>
        <w:rPr>
          <w:rFonts w:ascii="Arial" w:hAnsi="Arial" w:cs="Arial"/>
        </w:rPr>
      </w:pPr>
      <w:r w:rsidRPr="00C50115">
        <w:rPr>
          <w:rFonts w:ascii="Arial" w:hAnsi="Arial" w:cs="Arial"/>
        </w:rPr>
        <w:t>Energy for Life prioritises the development of excellent customer experiences that create long-term engagement and commitment. The company invests in interactive digital platforms and organises live demonstrations and community events to allow potential customers to see the benefits of renewable energy firsthand. These efforts are intended to be both instructive and inspirational, assisting customers in understanding the transformative impact of sustainable energy solutions. By actively interacting with clients, Energy for Life strengthens relationships and underlines its commitment to provide not only energy but also a better quality of life for its stakeholders. (Pine, B., &amp; Gilmore, J. 1998).</w:t>
      </w:r>
    </w:p>
    <w:p w14:paraId="390860CD" w14:textId="117667D3" w:rsidR="00C50115" w:rsidRDefault="00C50115" w:rsidP="00C50115">
      <w:pPr>
        <w:spacing w:line="480" w:lineRule="auto"/>
        <w:jc w:val="both"/>
        <w:rPr>
          <w:rFonts w:ascii="Arial" w:hAnsi="Arial" w:cs="Arial"/>
        </w:rPr>
      </w:pPr>
      <w:r w:rsidRPr="00C50115">
        <w:rPr>
          <w:rFonts w:ascii="Arial" w:hAnsi="Arial" w:cs="Arial"/>
          <w:b/>
          <w:bCs/>
          <w:color w:val="45B0E1" w:themeColor="accent1" w:themeTint="99"/>
        </w:rPr>
        <w:lastRenderedPageBreak/>
        <w:t>Consumer insights</w:t>
      </w:r>
    </w:p>
    <w:p w14:paraId="5C100A59" w14:textId="77777777" w:rsidR="00C50115" w:rsidRDefault="00C50115" w:rsidP="00C50115">
      <w:pPr>
        <w:spacing w:line="480" w:lineRule="auto"/>
        <w:jc w:val="both"/>
        <w:rPr>
          <w:rFonts w:ascii="Arial" w:hAnsi="Arial" w:cs="Arial"/>
        </w:rPr>
      </w:pPr>
      <w:r w:rsidRPr="00C50115">
        <w:rPr>
          <w:rFonts w:ascii="Arial" w:hAnsi="Arial" w:cs="Arial"/>
        </w:rPr>
        <w:t>Energy for Life places a high priority on understanding consumer behaviour through extensive market research. To learn about customers' preferences, wants, and expectations, the organisation uses surveys, focus groups, and data analytics. These insights influence all element of the business, from product development to marketing strategy, ensuring that the energy solutions provided are suited to market expectations. As consumers place a higher priority on sustainability and long-term economic benefits, Energy for Life uses this data to improve its offers, giving it a competitive advantage in an ever-changing sector. (Zaltman, G. 1997).</w:t>
      </w:r>
    </w:p>
    <w:p w14:paraId="415BACCF" w14:textId="77777777" w:rsidR="00C50115" w:rsidRPr="00C50115" w:rsidRDefault="00C50115" w:rsidP="00C50115">
      <w:pPr>
        <w:spacing w:line="480" w:lineRule="auto"/>
        <w:jc w:val="both"/>
        <w:rPr>
          <w:rFonts w:ascii="Arial" w:hAnsi="Arial" w:cs="Arial"/>
          <w:b/>
          <w:bCs/>
        </w:rPr>
      </w:pPr>
      <w:r w:rsidRPr="00C50115">
        <w:rPr>
          <w:rFonts w:ascii="Arial" w:hAnsi="Arial" w:cs="Arial"/>
          <w:b/>
          <w:bCs/>
          <w:color w:val="45B0E1" w:themeColor="accent1" w:themeTint="99"/>
        </w:rPr>
        <w:t>Operational objectives</w:t>
      </w:r>
    </w:p>
    <w:p w14:paraId="0551F812" w14:textId="79C46D85" w:rsidR="00C50115" w:rsidRDefault="00C50115" w:rsidP="00C50115">
      <w:pPr>
        <w:spacing w:line="480" w:lineRule="auto"/>
        <w:jc w:val="both"/>
        <w:rPr>
          <w:rFonts w:ascii="Arial" w:hAnsi="Arial" w:cs="Arial"/>
        </w:rPr>
      </w:pPr>
      <w:r w:rsidRPr="00C50115">
        <w:rPr>
          <w:rFonts w:ascii="Arial" w:hAnsi="Arial" w:cs="Arial"/>
        </w:rPr>
        <w:t>Energy for Life's operational goals are clearly defined to support its vision of driving long-term growth and global leadership in renewable energy. The company seeks to reach operational profitability in three years while considerably increasing its renewable energy capacity on an annual basis. In addition, it aims to cut carbon emissions in specific markets by a measurable proportion over a five-year period. These goals are underpinned by a thorough roadmap that includes key performance measures, project milestones, and continuous process improvement activities. This strategic emphasis on operational excellence guarantees that all projects contribute to the overall objective of a greener economy. (Eco-Innovation Observatory (EIO), Ed.</w:t>
      </w:r>
      <w:r>
        <w:rPr>
          <w:rFonts w:ascii="Arial" w:hAnsi="Arial" w:cs="Arial"/>
        </w:rPr>
        <w:t xml:space="preserve">, </w:t>
      </w:r>
      <w:r w:rsidRPr="00C50115">
        <w:rPr>
          <w:rFonts w:ascii="Arial" w:hAnsi="Arial" w:cs="Arial"/>
        </w:rPr>
        <w:t>2013)</w:t>
      </w:r>
    </w:p>
    <w:p w14:paraId="773A903C"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Sustainability strategy</w:t>
      </w:r>
    </w:p>
    <w:p w14:paraId="63B2DE79" w14:textId="77777777" w:rsidR="00C50115" w:rsidRDefault="00C50115" w:rsidP="00C50115">
      <w:pPr>
        <w:spacing w:line="480" w:lineRule="auto"/>
        <w:jc w:val="both"/>
        <w:rPr>
          <w:rFonts w:ascii="Arial" w:hAnsi="Arial" w:cs="Arial"/>
        </w:rPr>
      </w:pPr>
      <w:r w:rsidRPr="00C50115">
        <w:rPr>
          <w:rFonts w:ascii="Arial" w:hAnsi="Arial" w:cs="Arial"/>
        </w:rPr>
        <w:t xml:space="preserve">Energy for Life's business concept emphasises sustainability. The company incorporates environmentally responsible methods into all aspects of its business, from project idea and design to implementation and community outreach. Energy for </w:t>
      </w:r>
      <w:r w:rsidRPr="00C50115">
        <w:rPr>
          <w:rFonts w:ascii="Arial" w:hAnsi="Arial" w:cs="Arial"/>
        </w:rPr>
        <w:lastRenderedPageBreak/>
        <w:t xml:space="preserve">Life is dedicated to lowering environmental impact by making better use of resources and implementing modern renewable technology. In addition, the corporation works with local communities to produce social value through job creation and economic development programs. This complete sustainability plan not only reduces the environmental impact of its </w:t>
      </w:r>
      <w:r w:rsidRPr="00C50115">
        <w:rPr>
          <w:rFonts w:ascii="Arial" w:hAnsi="Arial" w:cs="Arial"/>
        </w:rPr>
        <w:t>initiatives but</w:t>
      </w:r>
      <w:r w:rsidRPr="00C50115">
        <w:rPr>
          <w:rFonts w:ascii="Arial" w:hAnsi="Arial" w:cs="Arial"/>
        </w:rPr>
        <w:t xml:space="preserve"> also guarantees long-term social and financial advantages. (Elkington, J., 1999).</w:t>
      </w:r>
    </w:p>
    <w:p w14:paraId="62277576"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Physical resources</w:t>
      </w:r>
    </w:p>
    <w:p w14:paraId="0D612016" w14:textId="77777777" w:rsidR="00C50115" w:rsidRDefault="00C50115" w:rsidP="00C50115">
      <w:pPr>
        <w:spacing w:line="480" w:lineRule="auto"/>
        <w:jc w:val="both"/>
        <w:rPr>
          <w:rFonts w:ascii="Arial" w:hAnsi="Arial" w:cs="Arial"/>
        </w:rPr>
      </w:pPr>
      <w:r w:rsidRPr="00C50115">
        <w:rPr>
          <w:rFonts w:ascii="Arial" w:hAnsi="Arial" w:cs="Arial"/>
        </w:rPr>
        <w:t>The effective implementation of Energy for Life's renewable projects is dependent on the strategic procurement and deployment of high-quality physical resources. The company invests in cutting-edge solar panels, wind turbines, and innovative battery storage systems that exceed strict efficiency and safety requirements. These assets are supported by dedicated operating facilities and cutting-edge control centres that enable real-time monitoring and management of energy output. In addition, the company invests in critical infrastructure such as substations, transmission lines, and energy management systems. This extensive investment in physical resources is critical to guaranteeing a consistent and scalable energy supply</w:t>
      </w:r>
      <w:r>
        <w:rPr>
          <w:rFonts w:ascii="Arial" w:hAnsi="Arial" w:cs="Arial"/>
        </w:rPr>
        <w:t xml:space="preserve"> (</w:t>
      </w:r>
      <w:r w:rsidRPr="00C50115">
        <w:rPr>
          <w:rFonts w:ascii="Arial" w:hAnsi="Arial" w:cs="Arial"/>
        </w:rPr>
        <w:t>Emerson, J.</w:t>
      </w:r>
      <w:r>
        <w:rPr>
          <w:rFonts w:ascii="Arial" w:hAnsi="Arial" w:cs="Arial"/>
        </w:rPr>
        <w:t xml:space="preserve">, </w:t>
      </w:r>
      <w:r w:rsidRPr="00C50115">
        <w:rPr>
          <w:rFonts w:ascii="Arial" w:hAnsi="Arial" w:cs="Arial"/>
        </w:rPr>
        <w:t>2003)</w:t>
      </w:r>
    </w:p>
    <w:p w14:paraId="4994A6E0"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Human resources</w:t>
      </w:r>
    </w:p>
    <w:p w14:paraId="2F1AE278"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rPr>
        <w:t xml:space="preserve">Energy for Life understands that its most </w:t>
      </w:r>
      <w:r w:rsidRPr="00C50115">
        <w:rPr>
          <w:rFonts w:ascii="Arial" w:hAnsi="Arial" w:cs="Arial"/>
        </w:rPr>
        <w:t>asset</w:t>
      </w:r>
      <w:r w:rsidRPr="00C50115">
        <w:rPr>
          <w:rFonts w:ascii="Arial" w:hAnsi="Arial" w:cs="Arial"/>
        </w:rPr>
        <w:t xml:space="preserve"> is its people. The organisation purposefully hires a diversified team of professionals in renewable energy engineering, project management, finance, and community relations. Energy for Life establishes a strong human capital foundation by attracting people with extensive industry experience and a shared commitment to sustainability. Continuous professional development and specialised training programs are essential for retaining a high level of technical skill and operational efficiency. The company cultivates an innovative, </w:t>
      </w:r>
      <w:r w:rsidRPr="00C50115">
        <w:rPr>
          <w:rFonts w:ascii="Arial" w:hAnsi="Arial" w:cs="Arial"/>
        </w:rPr>
        <w:lastRenderedPageBreak/>
        <w:t xml:space="preserve">collaborative work culture that promotes the free exchange of ideas and pushes continual improvement at all levels of the organisation. (J. Emerson </w:t>
      </w:r>
      <w:r>
        <w:rPr>
          <w:rFonts w:ascii="Arial" w:hAnsi="Arial" w:cs="Arial"/>
        </w:rPr>
        <w:t>&amp;</w:t>
      </w:r>
      <w:r w:rsidRPr="00C50115">
        <w:rPr>
          <w:rFonts w:ascii="Arial" w:hAnsi="Arial" w:cs="Arial"/>
        </w:rPr>
        <w:t xml:space="preserve"> J. Spitzer, 2007).</w:t>
      </w:r>
      <w:r w:rsidRPr="00C50115">
        <w:rPr>
          <w:rFonts w:ascii="Arial" w:hAnsi="Arial" w:cs="Arial"/>
        </w:rPr>
        <w:br/>
      </w:r>
      <w:r w:rsidRPr="00C50115">
        <w:rPr>
          <w:rFonts w:ascii="Arial" w:hAnsi="Arial" w:cs="Arial"/>
          <w:b/>
          <w:bCs/>
          <w:color w:val="45B0E1" w:themeColor="accent1" w:themeTint="99"/>
        </w:rPr>
        <w:t>Financial resources</w:t>
      </w:r>
    </w:p>
    <w:p w14:paraId="758EAC20" w14:textId="51618D4B" w:rsidR="00C50115" w:rsidRDefault="00C50115" w:rsidP="00C50115">
      <w:pPr>
        <w:spacing w:line="480" w:lineRule="auto"/>
        <w:jc w:val="both"/>
        <w:rPr>
          <w:rFonts w:ascii="Arial" w:hAnsi="Arial" w:cs="Arial"/>
        </w:rPr>
      </w:pPr>
      <w:r w:rsidRPr="00C50115">
        <w:rPr>
          <w:rFonts w:ascii="Arial" w:hAnsi="Arial" w:cs="Arial"/>
        </w:rPr>
        <w:t xml:space="preserve">Securing enough financial resources is critical to the successful launch and long-term expansion of Energy for Life. The company intends to generate roughly £10 million in initial capital through a combination of venture capital, government subsidies, and strategic relationships with financial institutions focused on green investments. These monies will be used to fund capital projects such as the purchase of renewable energy equipment, infrastructure development, and technology updates. The financial strategy also includes a solid cash flow management plan, which ensures that operating expenses, debt servicing, and future development initiatives are fully funded. This disciplined financial strategy is essential for preserving liquidity and establishing long-term </w:t>
      </w:r>
      <w:r w:rsidRPr="00C50115">
        <w:rPr>
          <w:rFonts w:ascii="Arial" w:hAnsi="Arial" w:cs="Arial"/>
        </w:rPr>
        <w:t>profitability</w:t>
      </w:r>
      <w:r>
        <w:rPr>
          <w:rFonts w:ascii="Arial" w:hAnsi="Arial" w:cs="Arial"/>
        </w:rPr>
        <w:t xml:space="preserve"> (</w:t>
      </w:r>
      <w:r w:rsidRPr="00C50115">
        <w:rPr>
          <w:rFonts w:ascii="Arial" w:hAnsi="Arial" w:cs="Arial"/>
        </w:rPr>
        <w:t>Eurostat</w:t>
      </w:r>
      <w:r>
        <w:rPr>
          <w:rFonts w:ascii="Arial" w:hAnsi="Arial" w:cs="Arial"/>
        </w:rPr>
        <w:t xml:space="preserve">, </w:t>
      </w:r>
      <w:r w:rsidRPr="00C50115">
        <w:rPr>
          <w:rFonts w:ascii="Arial" w:hAnsi="Arial" w:cs="Arial"/>
        </w:rPr>
        <w:t>2009).</w:t>
      </w:r>
    </w:p>
    <w:p w14:paraId="62B27A13"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Marketing Approach</w:t>
      </w:r>
    </w:p>
    <w:p w14:paraId="5ED0D0D7" w14:textId="77777777" w:rsidR="00C50115" w:rsidRDefault="00C50115" w:rsidP="00C50115">
      <w:pPr>
        <w:spacing w:line="480" w:lineRule="auto"/>
        <w:jc w:val="both"/>
        <w:rPr>
          <w:rFonts w:ascii="Arial" w:hAnsi="Arial" w:cs="Arial"/>
        </w:rPr>
      </w:pPr>
      <w:r w:rsidRPr="00C50115">
        <w:rPr>
          <w:rFonts w:ascii="Arial" w:hAnsi="Arial" w:cs="Arial"/>
        </w:rPr>
        <w:t xml:space="preserve">Energy for Life's extensive marketing strategy aims to increase brand awareness and consumer interaction through a combination of digital and conventional media. The company's strategy entails focused digital campaigns that use social media, search engine marketing, and content development to showcase the real advantages of renewable energy. Traditional advertising, public relations campaigns, and community outreach programs all contribute to establish a strong local presence. Data analytics are critical for evaluating the efficiency of marketing initiatives, allowing the organisation to alter its plans in real time to improve performance. This complete marketing strategy ensures that Energy for Life's value proposition is effectively </w:t>
      </w:r>
      <w:r w:rsidRPr="00C50115">
        <w:rPr>
          <w:rFonts w:ascii="Arial" w:hAnsi="Arial" w:cs="Arial"/>
        </w:rPr>
        <w:lastRenderedPageBreak/>
        <w:t>communicated to a varied audience, resulting in increased client acquisition and retention. Kotler, P., Armstrong, G., Harris, L., and Piercy, N. (2013).</w:t>
      </w:r>
    </w:p>
    <w:p w14:paraId="1DE76BD3"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PESTLE Analysis: Details</w:t>
      </w:r>
    </w:p>
    <w:p w14:paraId="129AD74B" w14:textId="77777777" w:rsidR="00C50115" w:rsidRDefault="00C50115" w:rsidP="00C50115">
      <w:pPr>
        <w:spacing w:line="480" w:lineRule="auto"/>
        <w:jc w:val="both"/>
        <w:rPr>
          <w:rFonts w:ascii="Arial" w:hAnsi="Arial" w:cs="Arial"/>
        </w:rPr>
      </w:pPr>
      <w:r w:rsidRPr="00C50115">
        <w:rPr>
          <w:rFonts w:ascii="Arial" w:hAnsi="Arial" w:cs="Arial"/>
        </w:rPr>
        <w:t>The in-depth PESTLE analysis conducted by Energy for Life gives a complete understanding of the macro-environmental factors influencing the renewable energy market. Politically, supportive government policies, such as subsidies and tax breaks, create a favourable atmosphere for renewable energy investment. Economically, the falling costs of renewable technologies improve the competitiveness of clean energy solutions in comparison to traditional fossil fuels. Social factors, such as increased environmental awareness and a preference for sustainable activities, are expanding the market potential. Technological improvements continue to increase the efficiency and cost-effectiveness of renewable systems, while regulatory and environmental constraints necessitate stricter compliance with sustainability criteria. This extensive analysis confirms the strategic feasibility of Energy for Life's business model in today's changing energy landscape. (S. Olenski, 2013).</w:t>
      </w:r>
    </w:p>
    <w:p w14:paraId="49D553BB" w14:textId="77777777" w:rsidR="00C50115" w:rsidRPr="00C50115"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SWOT analysis</w:t>
      </w:r>
    </w:p>
    <w:p w14:paraId="406B1FD3" w14:textId="77777777" w:rsidR="00665A64" w:rsidRDefault="00C50115" w:rsidP="00C50115">
      <w:pPr>
        <w:spacing w:line="480" w:lineRule="auto"/>
        <w:jc w:val="both"/>
        <w:rPr>
          <w:rFonts w:ascii="Arial" w:hAnsi="Arial" w:cs="Arial"/>
        </w:rPr>
      </w:pPr>
      <w:r w:rsidRPr="00C50115">
        <w:rPr>
          <w:rFonts w:ascii="Arial" w:hAnsi="Arial" w:cs="Arial"/>
        </w:rPr>
        <w:t xml:space="preserve">Energy for Life's SWOT analysis provides a balanced view of the company's internal strengths and external difficulties. Internally, the company benefits from cutting-edge technology, a highly skilled team, and a firm dedication to sustainability. These advantages provide us a competitive edge in a </w:t>
      </w:r>
      <w:r w:rsidRPr="00C50115">
        <w:rPr>
          <w:rFonts w:ascii="Arial" w:hAnsi="Arial" w:cs="Arial"/>
        </w:rPr>
        <w:t>fast-increasing</w:t>
      </w:r>
      <w:r w:rsidRPr="00C50115">
        <w:rPr>
          <w:rFonts w:ascii="Arial" w:hAnsi="Arial" w:cs="Arial"/>
        </w:rPr>
        <w:t xml:space="preserve"> market. However, the company confronts several obstacles, including large initial capital commitments and significant operating complications. Externally, opportunities include rising demand for renewable energy and supportive legislative frameworks, whereas dangers include market volatility and competitive challenges from </w:t>
      </w:r>
      <w:r w:rsidRPr="00C50115">
        <w:rPr>
          <w:rFonts w:ascii="Arial" w:hAnsi="Arial" w:cs="Arial"/>
        </w:rPr>
        <w:t>relying on</w:t>
      </w:r>
      <w:r w:rsidRPr="00C50115">
        <w:rPr>
          <w:rFonts w:ascii="Arial" w:hAnsi="Arial" w:cs="Arial"/>
        </w:rPr>
        <w:t xml:space="preserve"> energy providers. This </w:t>
      </w:r>
      <w:r w:rsidRPr="00C50115">
        <w:rPr>
          <w:rFonts w:ascii="Arial" w:hAnsi="Arial" w:cs="Arial"/>
        </w:rPr>
        <w:lastRenderedPageBreak/>
        <w:t>study is crucial for directing the company's strategic planning and risk management initiatives. (Pine, B., &amp; Gilmore, J. 1998).</w:t>
      </w:r>
    </w:p>
    <w:p w14:paraId="34869A3F" w14:textId="77777777" w:rsidR="00665A64" w:rsidRPr="00665A64"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Operational plan</w:t>
      </w:r>
    </w:p>
    <w:p w14:paraId="26BEC0D2" w14:textId="77777777" w:rsidR="00665A64" w:rsidRDefault="00C50115" w:rsidP="00C50115">
      <w:pPr>
        <w:spacing w:line="480" w:lineRule="auto"/>
        <w:jc w:val="both"/>
        <w:rPr>
          <w:rFonts w:ascii="Arial" w:hAnsi="Arial" w:cs="Arial"/>
        </w:rPr>
      </w:pPr>
      <w:r w:rsidRPr="00C50115">
        <w:rPr>
          <w:rFonts w:ascii="Arial" w:hAnsi="Arial" w:cs="Arial"/>
        </w:rPr>
        <w:t>Energy for Life's operational plan is based on a phased implementation strategy to ensure efficiency and scalability. In the first phase, the company will launch a trial project in an area with high energy demand and significant government backing. This pilot project will act as a proof of concept, allowing the company to fine-tune its technology and operating procedures. After the pilot phase is finished successfully, the company will expand its operations to new regions by utilising a strong supply chain and forming strategic alliances with industry leaders. This organised strategy reduces risk while guaranteeing that all projects satisfy high quality and efficiency criteria. (Zaltman, G. 1997).</w:t>
      </w:r>
    </w:p>
    <w:p w14:paraId="4C71079D" w14:textId="77777777" w:rsidR="00665A64" w:rsidRPr="00665A64"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Financial Projections and Cash Flow Analysis</w:t>
      </w:r>
    </w:p>
    <w:p w14:paraId="7DE0E806" w14:textId="1B6B2D42" w:rsidR="00665A64" w:rsidRDefault="00C50115" w:rsidP="00C50115">
      <w:pPr>
        <w:spacing w:line="480" w:lineRule="auto"/>
        <w:jc w:val="both"/>
        <w:rPr>
          <w:rFonts w:ascii="Arial" w:hAnsi="Arial" w:cs="Arial"/>
        </w:rPr>
      </w:pPr>
      <w:r w:rsidRPr="00C50115">
        <w:rPr>
          <w:rFonts w:ascii="Arial" w:hAnsi="Arial" w:cs="Arial"/>
        </w:rPr>
        <w:t xml:space="preserve">Energy for Life's financial projections are based on extensive market research, projected revenue growth, and strategic investments in renewable energy initiatives. In its first year, the company intends to make small income from early-stage energy sales and government subsidies, with significant growth expected as more installations go up. A thorough cash flow analysis shows that break-even will be reached within three years, following which revenues will progressively rise due to economies of scale and better operational efficiencies. The financial model incorporates conservative forecasts and contingency buffers to deal with unforeseen obstacles, assuring the company's long-term liquidity and financial stability. (Eco-Innovation Observatory (EIO), </w:t>
      </w:r>
      <w:r w:rsidR="00665A64" w:rsidRPr="00C50115">
        <w:rPr>
          <w:rFonts w:ascii="Arial" w:hAnsi="Arial" w:cs="Arial"/>
        </w:rPr>
        <w:t>Ed.,</w:t>
      </w:r>
      <w:r w:rsidR="00665A64">
        <w:rPr>
          <w:rFonts w:ascii="Arial" w:hAnsi="Arial" w:cs="Arial"/>
        </w:rPr>
        <w:t xml:space="preserve"> </w:t>
      </w:r>
      <w:r w:rsidRPr="00C50115">
        <w:rPr>
          <w:rFonts w:ascii="Arial" w:hAnsi="Arial" w:cs="Arial"/>
        </w:rPr>
        <w:t>2013)</w:t>
      </w:r>
    </w:p>
    <w:p w14:paraId="0A2760C5" w14:textId="77777777" w:rsidR="00665A64" w:rsidRDefault="00665A64" w:rsidP="00C50115">
      <w:pPr>
        <w:spacing w:line="480" w:lineRule="auto"/>
        <w:jc w:val="both"/>
        <w:rPr>
          <w:rFonts w:ascii="Arial" w:hAnsi="Arial" w:cs="Arial"/>
        </w:rPr>
      </w:pPr>
    </w:p>
    <w:p w14:paraId="068EA09A" w14:textId="79B404C1" w:rsidR="00665A64" w:rsidRPr="00665A64"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lastRenderedPageBreak/>
        <w:t>Risk Management and Contingency Plans</w:t>
      </w:r>
    </w:p>
    <w:p w14:paraId="37EBE43F" w14:textId="77777777" w:rsidR="00665A64" w:rsidRDefault="00C50115" w:rsidP="00C50115">
      <w:pPr>
        <w:spacing w:line="480" w:lineRule="auto"/>
        <w:jc w:val="both"/>
        <w:rPr>
          <w:rFonts w:ascii="Arial" w:hAnsi="Arial" w:cs="Arial"/>
        </w:rPr>
      </w:pPr>
      <w:r w:rsidRPr="00C50115">
        <w:rPr>
          <w:rFonts w:ascii="Arial" w:hAnsi="Arial" w:cs="Arial"/>
        </w:rPr>
        <w:t>A strong risk management framework is essential to Energy for Life's strategic strategy. The company has created a thorough strategy to detect and minimise risks associated with economic fluctuations, regulatory changes, and operational disruptions. One crucial technique is to construct a reserve fund equal to 15% of the initial capital investment, which will be used to deal with unexpected issues. In addition to financial precautions, Energy for Life uses proactive risk monitoring and scenario planning to respond promptly to changes in the market environment. This systematic approach to risk management guarantees that the organisation stays resilient and capable of maintaining growth even in the face of uncertainty. (Elkington, J., 1999).</w:t>
      </w:r>
    </w:p>
    <w:p w14:paraId="1163B4AE" w14:textId="77777777" w:rsidR="00665A64" w:rsidRPr="00665A64" w:rsidRDefault="00C50115" w:rsidP="00C50115">
      <w:pPr>
        <w:spacing w:line="480" w:lineRule="auto"/>
        <w:jc w:val="both"/>
        <w:rPr>
          <w:rFonts w:ascii="Arial" w:hAnsi="Arial" w:cs="Arial"/>
          <w:b/>
          <w:bCs/>
          <w:color w:val="45B0E1" w:themeColor="accent1" w:themeTint="99"/>
        </w:rPr>
      </w:pPr>
      <w:r w:rsidRPr="00C50115">
        <w:rPr>
          <w:rFonts w:ascii="Arial" w:hAnsi="Arial" w:cs="Arial"/>
          <w:b/>
          <w:bCs/>
          <w:color w:val="45B0E1" w:themeColor="accent1" w:themeTint="99"/>
        </w:rPr>
        <w:t>Sustainability reporting and performance monitoring</w:t>
      </w:r>
    </w:p>
    <w:p w14:paraId="6FCE5BCC" w14:textId="558AF3A4" w:rsidR="00665A64" w:rsidRDefault="00C50115" w:rsidP="00C50115">
      <w:pPr>
        <w:spacing w:line="480" w:lineRule="auto"/>
        <w:jc w:val="both"/>
        <w:rPr>
          <w:rFonts w:ascii="Arial" w:hAnsi="Arial" w:cs="Arial"/>
        </w:rPr>
      </w:pPr>
      <w:r w:rsidRPr="00C50115">
        <w:rPr>
          <w:rFonts w:ascii="Arial" w:hAnsi="Arial" w:cs="Arial"/>
        </w:rPr>
        <w:t>Energy for Life is dedicated to transparency and accountability through regular sustainability reports and stringent performance monitoring. The organisation has devised key performance indicators (KPIs) to track energy output, carbon emission reductions, cost savings, and community benefits. Regular reports are created and distributed to stakeholders, providing clear information about the company's progress towards its sustainability goals. Energy for Life maintains data accuracy while also building trust with investors, regulatory agencies, and local communities by following internationally recognised reporting standards. This continuing monitoring and reporting approach demonstrates the company's dedication to continuous improvement and sustainable development</w:t>
      </w:r>
      <w:r w:rsidR="00665A64">
        <w:rPr>
          <w:rFonts w:ascii="Arial" w:hAnsi="Arial" w:cs="Arial"/>
        </w:rPr>
        <w:t xml:space="preserve"> (</w:t>
      </w:r>
      <w:r w:rsidRPr="00C50115">
        <w:rPr>
          <w:rFonts w:ascii="Arial" w:hAnsi="Arial" w:cs="Arial"/>
        </w:rPr>
        <w:t>Emerson, J.</w:t>
      </w:r>
      <w:r w:rsidR="00665A64">
        <w:rPr>
          <w:rFonts w:ascii="Arial" w:hAnsi="Arial" w:cs="Arial"/>
        </w:rPr>
        <w:t xml:space="preserve">, </w:t>
      </w:r>
      <w:r w:rsidRPr="00C50115">
        <w:rPr>
          <w:rFonts w:ascii="Arial" w:hAnsi="Arial" w:cs="Arial"/>
        </w:rPr>
        <w:t>2003)</w:t>
      </w:r>
      <w:r w:rsidR="00665A64">
        <w:rPr>
          <w:rFonts w:ascii="Arial" w:hAnsi="Arial" w:cs="Arial"/>
        </w:rPr>
        <w:t>.</w:t>
      </w:r>
    </w:p>
    <w:p w14:paraId="794BC61E" w14:textId="77777777" w:rsidR="00665A64" w:rsidRDefault="00665A64" w:rsidP="00C50115">
      <w:pPr>
        <w:spacing w:line="480" w:lineRule="auto"/>
        <w:jc w:val="both"/>
        <w:rPr>
          <w:rFonts w:ascii="Arial" w:hAnsi="Arial" w:cs="Arial"/>
        </w:rPr>
      </w:pPr>
    </w:p>
    <w:p w14:paraId="6DBF151F" w14:textId="77777777" w:rsidR="00665A64" w:rsidRDefault="00665A64" w:rsidP="00C50115">
      <w:pPr>
        <w:spacing w:line="480" w:lineRule="auto"/>
        <w:jc w:val="both"/>
        <w:rPr>
          <w:rFonts w:ascii="Arial" w:hAnsi="Arial" w:cs="Arial"/>
        </w:rPr>
      </w:pPr>
    </w:p>
    <w:p w14:paraId="2E89AD08" w14:textId="6AFC57BE" w:rsidR="00C50115" w:rsidRDefault="00C50115" w:rsidP="00C50115">
      <w:pPr>
        <w:spacing w:line="480" w:lineRule="auto"/>
        <w:jc w:val="both"/>
        <w:rPr>
          <w:rFonts w:ascii="Arial" w:hAnsi="Arial" w:cs="Arial"/>
        </w:rPr>
      </w:pPr>
      <w:r w:rsidRPr="00C50115">
        <w:rPr>
          <w:rFonts w:ascii="Arial" w:hAnsi="Arial" w:cs="Arial"/>
          <w:b/>
          <w:bCs/>
          <w:color w:val="45B0E1" w:themeColor="accent1" w:themeTint="99"/>
        </w:rPr>
        <w:lastRenderedPageBreak/>
        <w:t>Conclusion</w:t>
      </w:r>
      <w:r w:rsidRPr="00C50115">
        <w:rPr>
          <w:rFonts w:ascii="Arial" w:hAnsi="Arial" w:cs="Arial"/>
          <w:b/>
          <w:bCs/>
          <w:color w:val="45B0E1" w:themeColor="accent1" w:themeTint="99"/>
        </w:rPr>
        <w:br/>
      </w:r>
      <w:r w:rsidRPr="00C50115">
        <w:rPr>
          <w:rFonts w:ascii="Arial" w:hAnsi="Arial" w:cs="Arial"/>
        </w:rPr>
        <w:t>Energy for Life is positioned to become a major player in the renewable energy sector by combining cutting-edge technology, solid business planning, and a strong commitment to environmental and social responsibility. The business plan lays out a clear path for achieving operational excellence, financial sustainability, and considerable environmental impact. Through targeted market research, a complete sustainability strategy, and good risk management, the company is well-positioned to capitalise on the growing demand for renewable energy solutions. Energy for Life's emphasis on combining sophisticated renewable technologies with community engagement and financial prudence ensures that it will not only flourish in the competitive energy market, but also accelerate the transition to a greener, more sustainable global economy. (J. Emerson &amp; J. Spitzer, 2007).</w:t>
      </w:r>
    </w:p>
    <w:p w14:paraId="120742AF" w14:textId="77777777" w:rsidR="00665A64" w:rsidRDefault="00665A64" w:rsidP="00C50115">
      <w:pPr>
        <w:spacing w:line="480" w:lineRule="auto"/>
        <w:jc w:val="both"/>
        <w:rPr>
          <w:rFonts w:ascii="Arial" w:hAnsi="Arial" w:cs="Arial"/>
        </w:rPr>
      </w:pPr>
    </w:p>
    <w:p w14:paraId="03405335" w14:textId="77777777" w:rsidR="00665A64" w:rsidRDefault="00665A64" w:rsidP="00C50115">
      <w:pPr>
        <w:spacing w:line="480" w:lineRule="auto"/>
        <w:jc w:val="both"/>
        <w:rPr>
          <w:rFonts w:ascii="Arial" w:hAnsi="Arial" w:cs="Arial"/>
        </w:rPr>
      </w:pPr>
    </w:p>
    <w:p w14:paraId="7750330E" w14:textId="77777777" w:rsidR="00665A64" w:rsidRDefault="00665A64" w:rsidP="00C50115">
      <w:pPr>
        <w:spacing w:line="480" w:lineRule="auto"/>
        <w:jc w:val="both"/>
        <w:rPr>
          <w:rFonts w:ascii="Arial" w:hAnsi="Arial" w:cs="Arial"/>
        </w:rPr>
      </w:pPr>
    </w:p>
    <w:p w14:paraId="1F2DD9F1" w14:textId="77777777" w:rsidR="00665A64" w:rsidRDefault="00665A64" w:rsidP="00C50115">
      <w:pPr>
        <w:spacing w:line="480" w:lineRule="auto"/>
        <w:jc w:val="both"/>
        <w:rPr>
          <w:rFonts w:ascii="Arial" w:hAnsi="Arial" w:cs="Arial"/>
        </w:rPr>
      </w:pPr>
    </w:p>
    <w:p w14:paraId="7AE693F4" w14:textId="77777777" w:rsidR="00665A64" w:rsidRDefault="00665A64" w:rsidP="00C50115">
      <w:pPr>
        <w:spacing w:line="480" w:lineRule="auto"/>
        <w:jc w:val="both"/>
        <w:rPr>
          <w:rFonts w:ascii="Arial" w:hAnsi="Arial" w:cs="Arial"/>
        </w:rPr>
      </w:pPr>
    </w:p>
    <w:p w14:paraId="3F9D39F1" w14:textId="77777777" w:rsidR="00665A64" w:rsidRDefault="00665A64" w:rsidP="00C50115">
      <w:pPr>
        <w:spacing w:line="480" w:lineRule="auto"/>
        <w:jc w:val="both"/>
        <w:rPr>
          <w:rFonts w:ascii="Arial" w:hAnsi="Arial" w:cs="Arial"/>
        </w:rPr>
      </w:pPr>
    </w:p>
    <w:p w14:paraId="4B615DA8" w14:textId="77777777" w:rsidR="00665A64" w:rsidRDefault="00665A64" w:rsidP="00C50115">
      <w:pPr>
        <w:spacing w:line="480" w:lineRule="auto"/>
        <w:jc w:val="both"/>
        <w:rPr>
          <w:rFonts w:ascii="Arial" w:hAnsi="Arial" w:cs="Arial"/>
        </w:rPr>
      </w:pPr>
    </w:p>
    <w:p w14:paraId="12CF1ABC" w14:textId="77777777" w:rsidR="00665A64" w:rsidRDefault="00665A64" w:rsidP="00C50115">
      <w:pPr>
        <w:spacing w:line="480" w:lineRule="auto"/>
        <w:jc w:val="both"/>
        <w:rPr>
          <w:rFonts w:ascii="Arial" w:hAnsi="Arial" w:cs="Arial"/>
        </w:rPr>
      </w:pPr>
    </w:p>
    <w:p w14:paraId="1E4943CE" w14:textId="77777777" w:rsidR="00665A64" w:rsidRDefault="00665A64" w:rsidP="00C50115">
      <w:pPr>
        <w:spacing w:line="480" w:lineRule="auto"/>
        <w:jc w:val="both"/>
        <w:rPr>
          <w:rFonts w:ascii="Arial" w:hAnsi="Arial" w:cs="Arial"/>
        </w:rPr>
      </w:pPr>
    </w:p>
    <w:p w14:paraId="5CE6A194" w14:textId="77777777" w:rsidR="00665A64" w:rsidRDefault="00665A64" w:rsidP="00C50115">
      <w:pPr>
        <w:spacing w:line="480" w:lineRule="auto"/>
        <w:jc w:val="both"/>
        <w:rPr>
          <w:rFonts w:ascii="Arial" w:hAnsi="Arial" w:cs="Arial"/>
        </w:rPr>
      </w:pPr>
    </w:p>
    <w:p w14:paraId="002670FC" w14:textId="6A570481" w:rsidR="00665A64" w:rsidRPr="001725F0" w:rsidRDefault="00665A64" w:rsidP="00C50115">
      <w:pPr>
        <w:spacing w:line="480" w:lineRule="auto"/>
        <w:jc w:val="both"/>
        <w:rPr>
          <w:rFonts w:ascii="Arial" w:hAnsi="Arial" w:cs="Arial"/>
          <w:b/>
          <w:bCs/>
          <w:color w:val="45B0E1" w:themeColor="accent1" w:themeTint="99"/>
        </w:rPr>
      </w:pPr>
      <w:r w:rsidRPr="001725F0">
        <w:rPr>
          <w:rFonts w:ascii="Arial" w:hAnsi="Arial" w:cs="Arial"/>
          <w:b/>
          <w:bCs/>
          <w:color w:val="45B0E1" w:themeColor="accent1" w:themeTint="99"/>
        </w:rPr>
        <w:lastRenderedPageBreak/>
        <w:t xml:space="preserve">References </w:t>
      </w:r>
    </w:p>
    <w:p w14:paraId="238F1215" w14:textId="77777777" w:rsidR="00665A64" w:rsidRDefault="00665A64" w:rsidP="00665A64">
      <w:pPr>
        <w:spacing w:line="480" w:lineRule="auto"/>
        <w:jc w:val="both"/>
        <w:rPr>
          <w:rFonts w:ascii="Arial" w:hAnsi="Arial" w:cs="Arial"/>
        </w:rPr>
      </w:pPr>
      <w:r w:rsidRPr="00665A64">
        <w:rPr>
          <w:rFonts w:ascii="Arial" w:hAnsi="Arial" w:cs="Arial"/>
        </w:rPr>
        <w:t xml:space="preserve">Eco-Innovation Observatory (EIO) (Ed.). (2013). </w:t>
      </w:r>
      <w:r w:rsidRPr="00665A64">
        <w:rPr>
          <w:rFonts w:ascii="Arial" w:hAnsi="Arial" w:cs="Arial"/>
          <w:i/>
          <w:iCs/>
        </w:rPr>
        <w:t>Europe in transition: Paving the way to a green economy through eco-innovation.</w:t>
      </w:r>
      <w:r w:rsidRPr="00665A64">
        <w:rPr>
          <w:rFonts w:ascii="Arial" w:hAnsi="Arial" w:cs="Arial"/>
        </w:rPr>
        <w:t xml:space="preserve"> Brussels: Eco-Innovation Observatory.</w:t>
      </w:r>
    </w:p>
    <w:p w14:paraId="4D5EB714" w14:textId="77777777" w:rsidR="00665A64" w:rsidRDefault="00665A64" w:rsidP="00665A64">
      <w:pPr>
        <w:spacing w:line="480" w:lineRule="auto"/>
        <w:jc w:val="both"/>
        <w:rPr>
          <w:rFonts w:ascii="Arial" w:hAnsi="Arial" w:cs="Arial"/>
        </w:rPr>
      </w:pPr>
      <w:r w:rsidRPr="00665A64">
        <w:rPr>
          <w:rFonts w:ascii="Arial" w:hAnsi="Arial" w:cs="Arial"/>
        </w:rPr>
        <w:t xml:space="preserve">Elkington, J. (1999). </w:t>
      </w:r>
      <w:r w:rsidRPr="00665A64">
        <w:rPr>
          <w:rFonts w:ascii="Arial" w:hAnsi="Arial" w:cs="Arial"/>
          <w:i/>
          <w:iCs/>
        </w:rPr>
        <w:t>Cannibals with forks: The triple bottom line of 21st century business.</w:t>
      </w:r>
      <w:r w:rsidRPr="00665A64">
        <w:rPr>
          <w:rFonts w:ascii="Arial" w:hAnsi="Arial" w:cs="Arial"/>
        </w:rPr>
        <w:t xml:space="preserve"> Oxford: Capstone.</w:t>
      </w:r>
    </w:p>
    <w:p w14:paraId="09D9A00A" w14:textId="45CFBBA6" w:rsidR="00665A64" w:rsidRPr="00665A64" w:rsidRDefault="00665A64" w:rsidP="00665A64">
      <w:pPr>
        <w:spacing w:line="480" w:lineRule="auto"/>
        <w:jc w:val="both"/>
        <w:rPr>
          <w:rFonts w:ascii="Arial" w:hAnsi="Arial" w:cs="Arial"/>
        </w:rPr>
      </w:pPr>
      <w:r w:rsidRPr="00665A64">
        <w:rPr>
          <w:rFonts w:ascii="Arial" w:hAnsi="Arial" w:cs="Arial"/>
        </w:rPr>
        <w:t xml:space="preserve">Emerson, J. (2003). The blended value proposition: Integrating social and financial returns. </w:t>
      </w:r>
      <w:r w:rsidRPr="00665A64">
        <w:rPr>
          <w:rFonts w:ascii="Arial" w:hAnsi="Arial" w:cs="Arial"/>
          <w:i/>
          <w:iCs/>
        </w:rPr>
        <w:t>California Management Review, 45</w:t>
      </w:r>
      <w:r w:rsidRPr="00665A64">
        <w:rPr>
          <w:rFonts w:ascii="Arial" w:hAnsi="Arial" w:cs="Arial"/>
        </w:rPr>
        <w:t>(4), 35–51.</w:t>
      </w:r>
    </w:p>
    <w:p w14:paraId="581CB709" w14:textId="289BBF77" w:rsidR="00665A64" w:rsidRDefault="00665A64" w:rsidP="00665A64">
      <w:pPr>
        <w:spacing w:line="480" w:lineRule="auto"/>
        <w:jc w:val="both"/>
        <w:rPr>
          <w:rFonts w:ascii="Arial" w:hAnsi="Arial" w:cs="Arial"/>
        </w:rPr>
      </w:pPr>
      <w:r w:rsidRPr="00665A64">
        <w:rPr>
          <w:rFonts w:ascii="Arial" w:hAnsi="Arial" w:cs="Arial"/>
        </w:rPr>
        <w:t xml:space="preserve">Emerson, J., &amp; Spitzer, J. (2007). </w:t>
      </w:r>
      <w:r w:rsidRPr="00665A64">
        <w:rPr>
          <w:rFonts w:ascii="Arial" w:hAnsi="Arial" w:cs="Arial"/>
          <w:i/>
          <w:iCs/>
        </w:rPr>
        <w:t>From fragmentation to function: Critical concepts and writing on social capital markets’ structure, operation and innovation</w:t>
      </w:r>
      <w:r w:rsidRPr="00665A64">
        <w:rPr>
          <w:rFonts w:ascii="Arial" w:hAnsi="Arial" w:cs="Arial"/>
        </w:rPr>
        <w:t xml:space="preserve">. Retrieved from </w:t>
      </w:r>
      <w:hyperlink r:id="rId8" w:history="1">
        <w:r w:rsidRPr="00F648E9">
          <w:rPr>
            <w:rStyle w:val="Hyperlink"/>
            <w:rFonts w:ascii="Arial" w:hAnsi="Arial" w:cs="Arial"/>
          </w:rPr>
          <w:t>http://eureka.bodleian.ox.ac.uk/762/</w:t>
        </w:r>
      </w:hyperlink>
    </w:p>
    <w:p w14:paraId="6975A205" w14:textId="77777777" w:rsidR="00665A64" w:rsidRDefault="00665A64" w:rsidP="00665A64">
      <w:pPr>
        <w:spacing w:line="480" w:lineRule="auto"/>
        <w:jc w:val="both"/>
        <w:rPr>
          <w:rFonts w:ascii="Arial" w:hAnsi="Arial" w:cs="Arial"/>
        </w:rPr>
      </w:pPr>
      <w:r w:rsidRPr="00665A64">
        <w:rPr>
          <w:rFonts w:ascii="Arial" w:hAnsi="Arial" w:cs="Arial"/>
        </w:rPr>
        <w:t xml:space="preserve">Eurostat. (2009). </w:t>
      </w:r>
      <w:r w:rsidRPr="00665A64">
        <w:rPr>
          <w:rFonts w:ascii="Arial" w:hAnsi="Arial" w:cs="Arial"/>
          <w:i/>
          <w:iCs/>
        </w:rPr>
        <w:t>The environmental goods and services sector: A data collection handbook.</w:t>
      </w:r>
      <w:r w:rsidRPr="00665A64">
        <w:rPr>
          <w:rFonts w:ascii="Arial" w:hAnsi="Arial" w:cs="Arial"/>
        </w:rPr>
        <w:t xml:space="preserve"> Luxembourg: Eurostat.</w:t>
      </w:r>
    </w:p>
    <w:p w14:paraId="7DB207C6" w14:textId="77777777" w:rsidR="00665A64" w:rsidRDefault="00665A64" w:rsidP="00665A64">
      <w:pPr>
        <w:spacing w:line="480" w:lineRule="auto"/>
        <w:jc w:val="both"/>
        <w:rPr>
          <w:rFonts w:ascii="Arial" w:hAnsi="Arial" w:cs="Arial"/>
        </w:rPr>
      </w:pPr>
      <w:r w:rsidRPr="00665A64">
        <w:rPr>
          <w:rFonts w:ascii="Arial" w:hAnsi="Arial" w:cs="Arial"/>
        </w:rPr>
        <w:t xml:space="preserve">Kotler, P., Armstrong, G., Harris, L., &amp; Piercy, N. (2013). </w:t>
      </w:r>
      <w:r w:rsidRPr="00665A64">
        <w:rPr>
          <w:rFonts w:ascii="Arial" w:hAnsi="Arial" w:cs="Arial"/>
          <w:i/>
          <w:iCs/>
        </w:rPr>
        <w:t>Principles of marketing</w:t>
      </w:r>
      <w:r w:rsidRPr="00665A64">
        <w:rPr>
          <w:rFonts w:ascii="Arial" w:hAnsi="Arial" w:cs="Arial"/>
        </w:rPr>
        <w:t xml:space="preserve"> (6th ed.). Harlow: Prentice Education.</w:t>
      </w:r>
    </w:p>
    <w:p w14:paraId="7C558F4E" w14:textId="77777777" w:rsidR="00665A64" w:rsidRDefault="00665A64" w:rsidP="00665A64">
      <w:pPr>
        <w:spacing w:line="480" w:lineRule="auto"/>
        <w:jc w:val="both"/>
        <w:rPr>
          <w:rFonts w:ascii="Arial" w:hAnsi="Arial" w:cs="Arial"/>
        </w:rPr>
      </w:pPr>
      <w:r w:rsidRPr="00665A64">
        <w:rPr>
          <w:rFonts w:ascii="Arial" w:hAnsi="Arial" w:cs="Arial"/>
        </w:rPr>
        <w:t xml:space="preserve">Olenski, S. (2013). </w:t>
      </w:r>
      <w:r w:rsidRPr="00665A64">
        <w:rPr>
          <w:rFonts w:ascii="Arial" w:hAnsi="Arial" w:cs="Arial"/>
          <w:i/>
          <w:iCs/>
        </w:rPr>
        <w:t>Why integrated marketing communications is more important than ever.</w:t>
      </w:r>
      <w:r w:rsidRPr="00665A64">
        <w:rPr>
          <w:rFonts w:ascii="Arial" w:hAnsi="Arial" w:cs="Arial"/>
        </w:rPr>
        <w:t xml:space="preserve"> Forbes.</w:t>
      </w:r>
    </w:p>
    <w:p w14:paraId="1AC52386" w14:textId="77777777" w:rsidR="00665A64" w:rsidRDefault="00665A64" w:rsidP="00665A64">
      <w:pPr>
        <w:spacing w:line="480" w:lineRule="auto"/>
        <w:jc w:val="both"/>
        <w:rPr>
          <w:rFonts w:ascii="Arial" w:hAnsi="Arial" w:cs="Arial"/>
        </w:rPr>
      </w:pPr>
      <w:r w:rsidRPr="00665A64">
        <w:rPr>
          <w:rFonts w:ascii="Arial" w:hAnsi="Arial" w:cs="Arial"/>
        </w:rPr>
        <w:t xml:space="preserve">Pine, B., &amp; Gilmore, J. (1998). </w:t>
      </w:r>
      <w:r w:rsidRPr="00665A64">
        <w:rPr>
          <w:rFonts w:ascii="Arial" w:hAnsi="Arial" w:cs="Arial"/>
          <w:i/>
          <w:iCs/>
        </w:rPr>
        <w:t>Welcome to the experience economy</w:t>
      </w:r>
      <w:r w:rsidRPr="00665A64">
        <w:rPr>
          <w:rFonts w:ascii="Arial" w:hAnsi="Arial" w:cs="Arial"/>
        </w:rPr>
        <w:t>. Harvard Business Review, 97–105.</w:t>
      </w:r>
    </w:p>
    <w:p w14:paraId="7FA7E0CB" w14:textId="77777777" w:rsidR="00665A64" w:rsidRDefault="00665A64" w:rsidP="00665A64">
      <w:pPr>
        <w:spacing w:line="480" w:lineRule="auto"/>
        <w:jc w:val="both"/>
        <w:rPr>
          <w:rFonts w:ascii="Arial" w:hAnsi="Arial" w:cs="Arial"/>
        </w:rPr>
      </w:pPr>
      <w:r w:rsidRPr="00665A64">
        <w:rPr>
          <w:rFonts w:ascii="Arial" w:hAnsi="Arial" w:cs="Arial"/>
        </w:rPr>
        <w:t xml:space="preserve">Porter, M. E., &amp; Kramer, M. R. (2011). Creating shared value. </w:t>
      </w:r>
      <w:r w:rsidRPr="00665A64">
        <w:rPr>
          <w:rFonts w:ascii="Arial" w:hAnsi="Arial" w:cs="Arial"/>
          <w:i/>
          <w:iCs/>
        </w:rPr>
        <w:t>Harvard Business Review, 89(</w:t>
      </w:r>
      <w:r w:rsidRPr="00665A64">
        <w:rPr>
          <w:rFonts w:ascii="Arial" w:hAnsi="Arial" w:cs="Arial"/>
        </w:rPr>
        <w:t>1–2), 62–77.</w:t>
      </w:r>
    </w:p>
    <w:p w14:paraId="545CD689" w14:textId="77777777" w:rsidR="00665A64" w:rsidRDefault="00665A64" w:rsidP="00665A64">
      <w:pPr>
        <w:spacing w:line="480" w:lineRule="auto"/>
        <w:jc w:val="both"/>
        <w:rPr>
          <w:rFonts w:ascii="Arial" w:hAnsi="Arial" w:cs="Arial"/>
        </w:rPr>
      </w:pPr>
      <w:r w:rsidRPr="00665A64">
        <w:rPr>
          <w:rFonts w:ascii="Arial" w:hAnsi="Arial" w:cs="Arial"/>
        </w:rPr>
        <w:t xml:space="preserve">Sachs, J. D. (2015). </w:t>
      </w:r>
      <w:r w:rsidRPr="00665A64">
        <w:rPr>
          <w:rFonts w:ascii="Arial" w:hAnsi="Arial" w:cs="Arial"/>
          <w:i/>
          <w:iCs/>
        </w:rPr>
        <w:t>The age of sustainable development.</w:t>
      </w:r>
      <w:r w:rsidRPr="00665A64">
        <w:rPr>
          <w:rFonts w:ascii="Arial" w:hAnsi="Arial" w:cs="Arial"/>
        </w:rPr>
        <w:t xml:space="preserve"> New York, NY: Columbia University Press</w:t>
      </w:r>
    </w:p>
    <w:p w14:paraId="77FAC224" w14:textId="53B15027" w:rsidR="00665A64" w:rsidRDefault="00665A64" w:rsidP="00665A64">
      <w:pPr>
        <w:spacing w:line="480" w:lineRule="auto"/>
        <w:jc w:val="both"/>
        <w:rPr>
          <w:rFonts w:ascii="Arial" w:hAnsi="Arial" w:cs="Arial"/>
        </w:rPr>
      </w:pPr>
      <w:r w:rsidRPr="00665A64">
        <w:rPr>
          <w:rFonts w:ascii="Arial" w:hAnsi="Arial" w:cs="Arial"/>
        </w:rPr>
        <w:lastRenderedPageBreak/>
        <w:t xml:space="preserve">Zaltman, G. (1997). Rethinking market research: Putting people back in. </w:t>
      </w:r>
      <w:r w:rsidRPr="00665A64">
        <w:rPr>
          <w:rFonts w:ascii="Arial" w:hAnsi="Arial" w:cs="Arial"/>
          <w:i/>
          <w:iCs/>
        </w:rPr>
        <w:t>Journal of Marketing Research, 34</w:t>
      </w:r>
      <w:r w:rsidRPr="00665A64">
        <w:rPr>
          <w:rFonts w:ascii="Arial" w:hAnsi="Arial" w:cs="Arial"/>
        </w:rPr>
        <w:t>(4), 424–437.</w:t>
      </w:r>
    </w:p>
    <w:p w14:paraId="4E286A8F" w14:textId="77777777" w:rsidR="001725F0" w:rsidRDefault="001725F0" w:rsidP="00665A64">
      <w:pPr>
        <w:spacing w:line="480" w:lineRule="auto"/>
        <w:jc w:val="both"/>
        <w:rPr>
          <w:rFonts w:ascii="Arial" w:hAnsi="Arial" w:cs="Arial"/>
        </w:rPr>
      </w:pPr>
    </w:p>
    <w:p w14:paraId="5EBFB07C" w14:textId="61E8421D" w:rsidR="00665A64" w:rsidRDefault="00665A64" w:rsidP="00665A64">
      <w:pPr>
        <w:spacing w:line="480" w:lineRule="auto"/>
        <w:jc w:val="both"/>
        <w:rPr>
          <w:rFonts w:ascii="Arial" w:hAnsi="Arial" w:cs="Arial"/>
        </w:rPr>
      </w:pPr>
      <w:hyperlink r:id="rId9" w:history="1">
        <w:r w:rsidRPr="00F648E9">
          <w:rPr>
            <w:rStyle w:val="Hyperlink"/>
            <w:rFonts w:ascii="Arial" w:hAnsi="Arial" w:cs="Arial"/>
          </w:rPr>
          <w:t>https://greenly.earth/en-us?utm_channel=capterra&amp;gdmcid=85ce00cf-4037-49a4-9ac3-7b52205658d9</w:t>
        </w:r>
      </w:hyperlink>
    </w:p>
    <w:p w14:paraId="48878E86" w14:textId="77777777" w:rsidR="00665A64" w:rsidRDefault="00665A64" w:rsidP="00665A64">
      <w:pPr>
        <w:spacing w:line="480" w:lineRule="auto"/>
        <w:jc w:val="both"/>
        <w:rPr>
          <w:rFonts w:ascii="Arial" w:hAnsi="Arial" w:cs="Arial"/>
        </w:rPr>
      </w:pPr>
    </w:p>
    <w:p w14:paraId="78EFB081" w14:textId="5F4D6C6B" w:rsidR="00665A64" w:rsidRDefault="001725F0" w:rsidP="00665A64">
      <w:pPr>
        <w:spacing w:line="480" w:lineRule="auto"/>
        <w:jc w:val="both"/>
        <w:rPr>
          <w:rFonts w:ascii="Arial" w:hAnsi="Arial" w:cs="Arial"/>
        </w:rPr>
      </w:pPr>
      <w:hyperlink r:id="rId10" w:history="1">
        <w:r w:rsidRPr="00F648E9">
          <w:rPr>
            <w:rStyle w:val="Hyperlink"/>
            <w:rFonts w:ascii="Arial" w:hAnsi="Arial" w:cs="Arial"/>
          </w:rPr>
          <w:t>https://gaiacompany.io/carbon-accounting-software/?utm_channel=capterra&amp;gdmcid=2160fb06-4e6f-4690-b128-a4eaf3ac5d97</w:t>
        </w:r>
      </w:hyperlink>
    </w:p>
    <w:p w14:paraId="5719F2C1" w14:textId="77777777" w:rsidR="00665A64" w:rsidRDefault="00665A64" w:rsidP="00665A64">
      <w:pPr>
        <w:spacing w:line="480" w:lineRule="auto"/>
        <w:jc w:val="both"/>
        <w:rPr>
          <w:rFonts w:ascii="Arial" w:hAnsi="Arial" w:cs="Arial"/>
        </w:rPr>
      </w:pPr>
    </w:p>
    <w:p w14:paraId="6D3240F4" w14:textId="3DBAE44D" w:rsidR="00665A64" w:rsidRDefault="00665A64" w:rsidP="00665A64">
      <w:pPr>
        <w:spacing w:line="480" w:lineRule="auto"/>
        <w:jc w:val="both"/>
        <w:rPr>
          <w:rFonts w:ascii="Arial" w:hAnsi="Arial" w:cs="Arial"/>
        </w:rPr>
      </w:pPr>
      <w:hyperlink r:id="rId11" w:history="1">
        <w:r w:rsidRPr="00F648E9">
          <w:rPr>
            <w:rStyle w:val="Hyperlink"/>
            <w:rFonts w:ascii="Arial" w:hAnsi="Arial" w:cs="Arial"/>
          </w:rPr>
          <w:t>https://krystal.io/green?utm_source=google&amp;utm_medium=cpc&amp;utm_campaign=nonbrand_eco_hosting_toot_marketing&amp;utm_id=20610397379&amp;mtm_source=google&amp;mtm_medium=cpc&amp;mtm_campaign=20610397379-155019712020&amp;mtm_term=green%20hosting&amp;gad_source=1&amp;gclid=Cj0KCQiA8q--BhDiARIsAP9tKI0-jOojYqdbBsGxGvvLeywaQUPNOfcqSLSLwibdFPuBjtQ7vFEybmsaAp0sEALw_wcB</w:t>
        </w:r>
      </w:hyperlink>
    </w:p>
    <w:p w14:paraId="3F05BD2C" w14:textId="77777777" w:rsidR="001725F0" w:rsidRDefault="001725F0" w:rsidP="00665A64">
      <w:pPr>
        <w:spacing w:line="480" w:lineRule="auto"/>
        <w:jc w:val="both"/>
        <w:rPr>
          <w:rFonts w:ascii="Arial" w:hAnsi="Arial" w:cs="Arial"/>
        </w:rPr>
      </w:pPr>
    </w:p>
    <w:p w14:paraId="0C9D1E64" w14:textId="34BA25D0" w:rsidR="001725F0" w:rsidRDefault="001725F0" w:rsidP="00665A64">
      <w:pPr>
        <w:spacing w:line="480" w:lineRule="auto"/>
        <w:jc w:val="both"/>
        <w:rPr>
          <w:rFonts w:ascii="Arial" w:hAnsi="Arial" w:cs="Arial"/>
        </w:rPr>
      </w:pPr>
      <w:hyperlink r:id="rId12" w:history="1">
        <w:r w:rsidRPr="00F648E9">
          <w:rPr>
            <w:rStyle w:val="Hyperlink"/>
            <w:rFonts w:ascii="Arial" w:hAnsi="Arial" w:cs="Arial"/>
          </w:rPr>
          <w:t>https://www.opella.com/en/making-an-impact?gad_source=1&amp;gclid=Cj0KCQiA8q--BhDiARIsAP9tKI0LBIL0d3QPkcTYMyL17zi3wIgqw3moniatpN1HC82gCcK5UYG6kRQaAh2AEALw_wcB</w:t>
        </w:r>
      </w:hyperlink>
    </w:p>
    <w:p w14:paraId="31C9D157" w14:textId="77777777" w:rsidR="001725F0" w:rsidRDefault="001725F0" w:rsidP="00665A64">
      <w:pPr>
        <w:spacing w:line="480" w:lineRule="auto"/>
        <w:jc w:val="both"/>
        <w:rPr>
          <w:rFonts w:ascii="Arial" w:hAnsi="Arial" w:cs="Arial"/>
        </w:rPr>
      </w:pPr>
    </w:p>
    <w:p w14:paraId="731BF120" w14:textId="77777777" w:rsidR="00665A64" w:rsidRPr="00C50115" w:rsidRDefault="00665A64" w:rsidP="00665A64">
      <w:pPr>
        <w:spacing w:line="480" w:lineRule="auto"/>
        <w:jc w:val="both"/>
        <w:rPr>
          <w:rFonts w:ascii="Arial" w:hAnsi="Arial" w:cs="Arial"/>
        </w:rPr>
      </w:pPr>
    </w:p>
    <w:p w14:paraId="3BA07AC3" w14:textId="77777777" w:rsidR="00C50115" w:rsidRPr="00C50115" w:rsidRDefault="00C50115" w:rsidP="00C50115">
      <w:pPr>
        <w:spacing w:line="480" w:lineRule="auto"/>
        <w:jc w:val="both"/>
        <w:rPr>
          <w:rFonts w:ascii="Arial" w:hAnsi="Arial" w:cs="Arial"/>
        </w:rPr>
      </w:pPr>
    </w:p>
    <w:sectPr w:rsidR="00C50115" w:rsidRPr="00C50115" w:rsidSect="001725F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EEA76" w14:textId="77777777" w:rsidR="00440EE6" w:rsidRDefault="00440EE6" w:rsidP="001725F0">
      <w:pPr>
        <w:spacing w:after="0" w:line="240" w:lineRule="auto"/>
      </w:pPr>
      <w:r>
        <w:separator/>
      </w:r>
    </w:p>
  </w:endnote>
  <w:endnote w:type="continuationSeparator" w:id="0">
    <w:p w14:paraId="65FC824C" w14:textId="77777777" w:rsidR="00440EE6" w:rsidRDefault="00440EE6" w:rsidP="00172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121175"/>
      <w:docPartObj>
        <w:docPartGallery w:val="Page Numbers (Bottom of Page)"/>
        <w:docPartUnique/>
      </w:docPartObj>
    </w:sdtPr>
    <w:sdtEndPr>
      <w:rPr>
        <w:color w:val="7F7F7F" w:themeColor="background1" w:themeShade="7F"/>
        <w:spacing w:val="60"/>
      </w:rPr>
    </w:sdtEndPr>
    <w:sdtContent>
      <w:p w14:paraId="0E1DCC00" w14:textId="1B719FEF" w:rsidR="001725F0" w:rsidRDefault="001725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3827ABA" w14:textId="77777777" w:rsidR="001725F0" w:rsidRDefault="00172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B87EC" w14:textId="77777777" w:rsidR="00440EE6" w:rsidRDefault="00440EE6" w:rsidP="001725F0">
      <w:pPr>
        <w:spacing w:after="0" w:line="240" w:lineRule="auto"/>
      </w:pPr>
      <w:r>
        <w:separator/>
      </w:r>
    </w:p>
  </w:footnote>
  <w:footnote w:type="continuationSeparator" w:id="0">
    <w:p w14:paraId="2ABAAFC9" w14:textId="77777777" w:rsidR="00440EE6" w:rsidRDefault="00440EE6" w:rsidP="001725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15"/>
    <w:rsid w:val="001725F0"/>
    <w:rsid w:val="00440EE6"/>
    <w:rsid w:val="00665A64"/>
    <w:rsid w:val="008357AF"/>
    <w:rsid w:val="00C50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7227"/>
  <w15:chartTrackingRefBased/>
  <w15:docId w15:val="{CB25DEAB-575E-4BA8-86B8-2A97AF989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115"/>
    <w:rPr>
      <w:rFonts w:eastAsiaTheme="majorEastAsia" w:cstheme="majorBidi"/>
      <w:color w:val="272727" w:themeColor="text1" w:themeTint="D8"/>
    </w:rPr>
  </w:style>
  <w:style w:type="paragraph" w:styleId="Title">
    <w:name w:val="Title"/>
    <w:basedOn w:val="Normal"/>
    <w:next w:val="Normal"/>
    <w:link w:val="TitleChar"/>
    <w:uiPriority w:val="10"/>
    <w:qFormat/>
    <w:rsid w:val="00C50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115"/>
    <w:pPr>
      <w:spacing w:before="160"/>
      <w:jc w:val="center"/>
    </w:pPr>
    <w:rPr>
      <w:i/>
      <w:iCs/>
      <w:color w:val="404040" w:themeColor="text1" w:themeTint="BF"/>
    </w:rPr>
  </w:style>
  <w:style w:type="character" w:customStyle="1" w:styleId="QuoteChar">
    <w:name w:val="Quote Char"/>
    <w:basedOn w:val="DefaultParagraphFont"/>
    <w:link w:val="Quote"/>
    <w:uiPriority w:val="29"/>
    <w:rsid w:val="00C50115"/>
    <w:rPr>
      <w:i/>
      <w:iCs/>
      <w:color w:val="404040" w:themeColor="text1" w:themeTint="BF"/>
    </w:rPr>
  </w:style>
  <w:style w:type="paragraph" w:styleId="ListParagraph">
    <w:name w:val="List Paragraph"/>
    <w:basedOn w:val="Normal"/>
    <w:uiPriority w:val="34"/>
    <w:qFormat/>
    <w:rsid w:val="00C50115"/>
    <w:pPr>
      <w:ind w:left="720"/>
      <w:contextualSpacing/>
    </w:pPr>
  </w:style>
  <w:style w:type="character" w:styleId="IntenseEmphasis">
    <w:name w:val="Intense Emphasis"/>
    <w:basedOn w:val="DefaultParagraphFont"/>
    <w:uiPriority w:val="21"/>
    <w:qFormat/>
    <w:rsid w:val="00C50115"/>
    <w:rPr>
      <w:i/>
      <w:iCs/>
      <w:color w:val="0F4761" w:themeColor="accent1" w:themeShade="BF"/>
    </w:rPr>
  </w:style>
  <w:style w:type="paragraph" w:styleId="IntenseQuote">
    <w:name w:val="Intense Quote"/>
    <w:basedOn w:val="Normal"/>
    <w:next w:val="Normal"/>
    <w:link w:val="IntenseQuoteChar"/>
    <w:uiPriority w:val="30"/>
    <w:qFormat/>
    <w:rsid w:val="00C50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115"/>
    <w:rPr>
      <w:i/>
      <w:iCs/>
      <w:color w:val="0F4761" w:themeColor="accent1" w:themeShade="BF"/>
    </w:rPr>
  </w:style>
  <w:style w:type="character" w:styleId="IntenseReference">
    <w:name w:val="Intense Reference"/>
    <w:basedOn w:val="DefaultParagraphFont"/>
    <w:uiPriority w:val="32"/>
    <w:qFormat/>
    <w:rsid w:val="00C50115"/>
    <w:rPr>
      <w:b/>
      <w:bCs/>
      <w:smallCaps/>
      <w:color w:val="0F4761" w:themeColor="accent1" w:themeShade="BF"/>
      <w:spacing w:val="5"/>
    </w:rPr>
  </w:style>
  <w:style w:type="character" w:styleId="Hyperlink">
    <w:name w:val="Hyperlink"/>
    <w:basedOn w:val="DefaultParagraphFont"/>
    <w:uiPriority w:val="99"/>
    <w:unhideWhenUsed/>
    <w:rsid w:val="00665A64"/>
    <w:rPr>
      <w:color w:val="467886" w:themeColor="hyperlink"/>
      <w:u w:val="single"/>
    </w:rPr>
  </w:style>
  <w:style w:type="character" w:styleId="UnresolvedMention">
    <w:name w:val="Unresolved Mention"/>
    <w:basedOn w:val="DefaultParagraphFont"/>
    <w:uiPriority w:val="99"/>
    <w:semiHidden/>
    <w:unhideWhenUsed/>
    <w:rsid w:val="00665A64"/>
    <w:rPr>
      <w:color w:val="605E5C"/>
      <w:shd w:val="clear" w:color="auto" w:fill="E1DFDD"/>
    </w:rPr>
  </w:style>
  <w:style w:type="paragraph" w:styleId="Header">
    <w:name w:val="header"/>
    <w:basedOn w:val="Normal"/>
    <w:link w:val="HeaderChar"/>
    <w:uiPriority w:val="99"/>
    <w:unhideWhenUsed/>
    <w:rsid w:val="00172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5F0"/>
  </w:style>
  <w:style w:type="paragraph" w:styleId="Footer">
    <w:name w:val="footer"/>
    <w:basedOn w:val="Normal"/>
    <w:link w:val="FooterChar"/>
    <w:uiPriority w:val="99"/>
    <w:unhideWhenUsed/>
    <w:rsid w:val="00172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5F0"/>
  </w:style>
  <w:style w:type="paragraph" w:styleId="NoSpacing">
    <w:name w:val="No Spacing"/>
    <w:link w:val="NoSpacingChar"/>
    <w:uiPriority w:val="1"/>
    <w:qFormat/>
    <w:rsid w:val="001725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725F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96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eka.bodleian.ox.ac.uk/762/"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opella.com/en/making-an-impact?gad_source=1&amp;gclid=Cj0KCQiA8q--BhDiARIsAP9tKI0LBIL0d3QPkcTYMyL17zi3wIgqw3moniatpN1HC82gCcK5UYG6kRQaAh2AEALw_wc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krystal.io/green?utm_source=google&amp;utm_medium=cpc&amp;utm_campaign=nonbrand_eco_hosting_toot_marketing&amp;utm_id=20610397379&amp;mtm_source=google&amp;mtm_medium=cpc&amp;mtm_campaign=20610397379-155019712020&amp;mtm_term=green%20hosting&amp;gad_source=1&amp;gclid=Cj0KCQiA8q--BhDiARIsAP9tKI0-jOojYqdbBsGxGvvLeywaQUPNOfcqSLSLwibdFPuBjtQ7vFEybmsaAp0sEALw_wcB"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gaiacompany.io/carbon-accounting-software/?utm_channel=capterra&amp;gdmcid=2160fb06-4e6f-4690-b128-a4eaf3ac5d97" TargetMode="External"/><Relationship Id="rId4" Type="http://schemas.openxmlformats.org/officeDocument/2006/relationships/footnotes" Target="footnotes.xml"/><Relationship Id="rId9" Type="http://schemas.openxmlformats.org/officeDocument/2006/relationships/hyperlink" Target="https://greenly.earth/en-us?utm_channel=capterra&amp;gdmcid=85ce00cf-4037-49a4-9ac3-7b52205658d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15</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for Life: A Sustainable Enterprise Business Plan</dc:title>
  <dc:subject/>
  <dc:creator>Florin Mateus Dumitru</dc:creator>
  <cp:keywords/>
  <dc:description/>
  <cp:lastModifiedBy>Mirabela Voican (1907947)</cp:lastModifiedBy>
  <cp:revision>1</cp:revision>
  <dcterms:created xsi:type="dcterms:W3CDTF">2025-03-08T11:42:00Z</dcterms:created>
  <dcterms:modified xsi:type="dcterms:W3CDTF">2025-03-08T12:11:00Z</dcterms:modified>
</cp:coreProperties>
</file>