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870AD0" w14:textId="541466CD" w:rsidR="009F00A6" w:rsidRPr="009F00A6" w:rsidRDefault="009F00A6" w:rsidP="008963B8">
      <w:pPr>
        <w:spacing w:line="360" w:lineRule="auto"/>
        <w:jc w:val="both"/>
        <w:rPr>
          <w:rStyle w:val="nlmlpage"/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Style w:val="nlmlpage"/>
          <w:rFonts w:ascii="Arial" w:hAnsi="Arial" w:cs="Arial"/>
          <w:color w:val="000000" w:themeColor="text1"/>
          <w:sz w:val="24"/>
          <w:szCs w:val="24"/>
          <w:u w:val="single"/>
        </w:rPr>
        <w:t>References:</w:t>
      </w:r>
    </w:p>
    <w:p w14:paraId="40787370" w14:textId="57178646" w:rsidR="009F00A6" w:rsidRPr="00372CE2" w:rsidRDefault="009F00A6" w:rsidP="008963B8">
      <w:pPr>
        <w:spacing w:line="360" w:lineRule="auto"/>
        <w:jc w:val="both"/>
        <w:rPr>
          <w:rStyle w:val="nlmlpage"/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 xml:space="preserve">Baker, C. (2011) </w:t>
      </w:r>
      <w:r w:rsidRPr="00372CE2">
        <w:rPr>
          <w:rStyle w:val="nlmlpage"/>
          <w:rFonts w:ascii="Arial" w:hAnsi="Arial" w:cs="Arial"/>
          <w:i/>
          <w:iCs/>
          <w:color w:val="000000" w:themeColor="text1"/>
          <w:sz w:val="24"/>
          <w:szCs w:val="24"/>
        </w:rPr>
        <w:t xml:space="preserve">Foundations of bilingual education and bilingualism. 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>5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 xml:space="preserve"> Ed.</w:t>
      </w:r>
      <w:r w:rsidRPr="00372CE2">
        <w:rPr>
          <w:rStyle w:val="nlmlpage"/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>Bristol: Multilingual Matters</w:t>
      </w:r>
      <w:r>
        <w:rPr>
          <w:rStyle w:val="nlmlpage"/>
          <w:rFonts w:ascii="Arial" w:hAnsi="Arial" w:cs="Arial"/>
          <w:color w:val="000000" w:themeColor="text1"/>
          <w:sz w:val="24"/>
          <w:szCs w:val="24"/>
        </w:rPr>
        <w:t>.</w:t>
      </w:r>
    </w:p>
    <w:p w14:paraId="3302B65F" w14:textId="4E91D174" w:rsidR="009F00A6" w:rsidRPr="00372CE2" w:rsidRDefault="009F00A6" w:rsidP="008963B8">
      <w:pPr>
        <w:spacing w:line="360" w:lineRule="auto"/>
        <w:jc w:val="both"/>
        <w:rPr>
          <w:rStyle w:val="balloon"/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Bialystok, E. (</w:t>
      </w:r>
      <w:r w:rsidRPr="00372CE2">
        <w:rPr>
          <w:rStyle w:val="nlmyear"/>
          <w:rFonts w:ascii="Arial" w:hAnsi="Arial" w:cs="Arial"/>
          <w:color w:val="000000" w:themeColor="text1"/>
          <w:sz w:val="24"/>
          <w:szCs w:val="24"/>
        </w:rPr>
        <w:t>1999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) ‘</w:t>
      </w:r>
      <w:r w:rsidRPr="00372CE2">
        <w:rPr>
          <w:rStyle w:val="nlmarticle-title"/>
          <w:rFonts w:ascii="Arial" w:hAnsi="Arial" w:cs="Arial"/>
          <w:color w:val="000000" w:themeColor="text1"/>
          <w:sz w:val="24"/>
          <w:szCs w:val="24"/>
        </w:rPr>
        <w:t>Cognitive complexity and attentional control in the bilingual mind’</w:t>
      </w:r>
      <w:r w:rsidRPr="00372CE2">
        <w:rPr>
          <w:rStyle w:val="balloon"/>
          <w:rFonts w:ascii="Arial" w:hAnsi="Arial" w:cs="Arial"/>
          <w:i/>
          <w:iCs/>
          <w:color w:val="000000" w:themeColor="text1"/>
          <w:sz w:val="24"/>
          <w:szCs w:val="24"/>
        </w:rPr>
        <w:t>, Child Development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 xml:space="preserve">, 70(3), pp. </w:t>
      </w:r>
      <w:r w:rsidRPr="00372CE2">
        <w:rPr>
          <w:rStyle w:val="nlmfpage"/>
          <w:rFonts w:ascii="Arial" w:hAnsi="Arial" w:cs="Arial"/>
          <w:color w:val="000000" w:themeColor="text1"/>
          <w:sz w:val="24"/>
          <w:szCs w:val="24"/>
        </w:rPr>
        <w:t>636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–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>644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. Available at: https://srcd.onlinelibrary.wiley.com/doi/abs/10.1111/1467-8624.00046?casa_token=UQz_wQ78TKAAAAAA%3APegmSTEbWQ7v3dFb_g2G1BviHDu917Plr-eiVV8x--BGq6zWoOh9xW8x-_4FokHaAFcTN97SUMRRnw (Accessed: 10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Style w:val="balloon"/>
          <w:rFonts w:ascii="Arial" w:hAnsi="Arial" w:cs="Arial"/>
          <w:color w:val="000000" w:themeColor="text1"/>
          <w:sz w:val="24"/>
          <w:szCs w:val="24"/>
        </w:rPr>
        <w:t>.</w:t>
      </w:r>
    </w:p>
    <w:p w14:paraId="0A1B2ECF" w14:textId="77777777" w:rsidR="009F00A6" w:rsidRPr="00372CE2" w:rsidRDefault="009F00A6" w:rsidP="008963B8">
      <w:pPr>
        <w:spacing w:line="360" w:lineRule="auto"/>
        <w:jc w:val="both"/>
        <w:rPr>
          <w:rStyle w:val="Emphasis"/>
          <w:rFonts w:ascii="Arial" w:hAnsi="Arial" w:cs="Arial"/>
          <w:i w:val="0"/>
          <w:iCs w:val="0"/>
          <w:color w:val="000000" w:themeColor="text1"/>
          <w:sz w:val="24"/>
          <w:szCs w:val="24"/>
        </w:rPr>
      </w:pPr>
      <w:r w:rsidRPr="00372CE2">
        <w:rPr>
          <w:rStyle w:val="Emphasis"/>
          <w:rFonts w:ascii="Arial" w:hAnsi="Arial" w:cs="Arial"/>
          <w:i w:val="0"/>
          <w:iCs w:val="0"/>
          <w:color w:val="000000" w:themeColor="text1"/>
          <w:sz w:val="24"/>
          <w:szCs w:val="24"/>
        </w:rPr>
        <w:t xml:space="preserve">Bloom, L. (1993) </w:t>
      </w:r>
      <w:r w:rsidRPr="00372CE2">
        <w:rPr>
          <w:rStyle w:val="Emphasis"/>
          <w:rFonts w:ascii="Arial" w:hAnsi="Arial" w:cs="Arial"/>
          <w:color w:val="000000" w:themeColor="text1"/>
          <w:sz w:val="24"/>
          <w:szCs w:val="24"/>
        </w:rPr>
        <w:t>The transition from infancy to language: Acquiring the power of expression</w:t>
      </w:r>
      <w:r w:rsidRPr="00372CE2">
        <w:rPr>
          <w:rStyle w:val="Emphasis"/>
          <w:rFonts w:ascii="Arial" w:hAnsi="Arial" w:cs="Arial"/>
          <w:i w:val="0"/>
          <w:iCs w:val="0"/>
          <w:color w:val="000000" w:themeColor="text1"/>
          <w:sz w:val="24"/>
          <w:szCs w:val="24"/>
        </w:rPr>
        <w:t>. New York, NY: Cambridge University Press.</w:t>
      </w:r>
    </w:p>
    <w:p w14:paraId="4FDF7BF0" w14:textId="4B1D2AED" w:rsidR="009F00A6" w:rsidRPr="00372CE2" w:rsidRDefault="009F00A6" w:rsidP="008963B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Fonts w:ascii="Arial" w:hAnsi="Arial" w:cs="Arial"/>
          <w:color w:val="000000" w:themeColor="text1"/>
          <w:sz w:val="24"/>
          <w:szCs w:val="24"/>
        </w:rPr>
        <w:t>Butzkamm</w:t>
      </w:r>
      <w:proofErr w:type="spellEnd"/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, W. (2015)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Sandwich-Technique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[Video].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Available at: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https://www.youtube.com/watch?v=0fuf6jycrAQ (Accessed:14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BA27DA1" w14:textId="3904B37E" w:rsidR="009F00A6" w:rsidRPr="00372CE2" w:rsidRDefault="009F00A6" w:rsidP="008963B8">
      <w:pPr>
        <w:spacing w:line="360" w:lineRule="auto"/>
        <w:jc w:val="both"/>
        <w:rPr>
          <w:rStyle w:val="citation"/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Style w:val="citation"/>
          <w:rFonts w:ascii="Arial" w:hAnsi="Arial" w:cs="Arial"/>
          <w:color w:val="000000" w:themeColor="text1"/>
          <w:sz w:val="24"/>
          <w:szCs w:val="24"/>
        </w:rPr>
        <w:t xml:space="preserve">Carlson, S. &amp; Meltzoff, A. (2008) ‘Bilingual experience and executive functioning in young children’, </w:t>
      </w:r>
      <w:r w:rsidRPr="00372CE2">
        <w:rPr>
          <w:rStyle w:val="ref-journal"/>
          <w:rFonts w:ascii="Arial" w:hAnsi="Arial" w:cs="Arial"/>
          <w:i/>
          <w:iCs/>
          <w:color w:val="000000" w:themeColor="text1"/>
          <w:sz w:val="24"/>
          <w:szCs w:val="24"/>
        </w:rPr>
        <w:t>Developmental Science</w:t>
      </w:r>
      <w:r w:rsidRPr="00372CE2">
        <w:rPr>
          <w:rStyle w:val="ref-journal"/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372CE2">
        <w:rPr>
          <w:rStyle w:val="ref-vol"/>
          <w:rFonts w:ascii="Arial" w:hAnsi="Arial" w:cs="Arial"/>
          <w:color w:val="000000" w:themeColor="text1"/>
          <w:sz w:val="24"/>
          <w:szCs w:val="24"/>
        </w:rPr>
        <w:t>11(2)</w:t>
      </w:r>
      <w:r w:rsidRPr="00372CE2">
        <w:rPr>
          <w:rStyle w:val="citation"/>
          <w:rFonts w:ascii="Arial" w:hAnsi="Arial" w:cs="Arial"/>
          <w:color w:val="000000" w:themeColor="text1"/>
          <w:sz w:val="24"/>
          <w:szCs w:val="24"/>
        </w:rPr>
        <w:t>, pp. 282–298. Available at: https://onlinelibrary.wiley.com/doi/abs/10.1111/j.1467-7687.2008.00675.x (Accessed: 12</w:t>
      </w:r>
      <w:r w:rsidRPr="00372CE2">
        <w:rPr>
          <w:rStyle w:val="citation"/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Style w:val="citation"/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Style w:val="citation"/>
          <w:rFonts w:ascii="Arial" w:hAnsi="Arial" w:cs="Arial"/>
          <w:color w:val="000000" w:themeColor="text1"/>
          <w:sz w:val="24"/>
          <w:szCs w:val="24"/>
        </w:rPr>
        <w:t>.</w:t>
      </w:r>
    </w:p>
    <w:p w14:paraId="33BA625B" w14:textId="766445C5" w:rsidR="009F00A6" w:rsidRPr="00372CE2" w:rsidRDefault="009F00A6" w:rsidP="008963B8">
      <w:pPr>
        <w:spacing w:line="360" w:lineRule="auto"/>
        <w:jc w:val="both"/>
        <w:rPr>
          <w:rStyle w:val="nlmlpage"/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Crisp, R. &amp; Turner, R. (</w:t>
      </w:r>
      <w:r w:rsidRPr="00372CE2">
        <w:rPr>
          <w:rStyle w:val="nlmyear"/>
          <w:rFonts w:ascii="Arial" w:hAnsi="Arial" w:cs="Arial"/>
          <w:color w:val="000000" w:themeColor="text1"/>
          <w:sz w:val="24"/>
          <w:szCs w:val="24"/>
        </w:rPr>
        <w:t>2011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) ‘</w:t>
      </w:r>
      <w:r w:rsidRPr="00372CE2">
        <w:rPr>
          <w:rStyle w:val="nlmarticle-title"/>
          <w:rFonts w:ascii="Arial" w:hAnsi="Arial" w:cs="Arial"/>
          <w:color w:val="000000" w:themeColor="text1"/>
          <w:sz w:val="24"/>
          <w:szCs w:val="24"/>
        </w:rPr>
        <w:t>Cognitive adaptation to the experience of social and cultural diversity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 xml:space="preserve">’, </w:t>
      </w:r>
      <w:r w:rsidRPr="00372CE2">
        <w:rPr>
          <w:rStyle w:val="balloon"/>
          <w:rFonts w:ascii="Arial" w:hAnsi="Arial" w:cs="Arial"/>
          <w:i/>
          <w:iCs/>
          <w:color w:val="000000" w:themeColor="text1"/>
          <w:sz w:val="24"/>
          <w:szCs w:val="24"/>
        </w:rPr>
        <w:t>Psychological Bulletin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 xml:space="preserve">. 137(2), pp. </w:t>
      </w:r>
      <w:r w:rsidRPr="00372CE2">
        <w:rPr>
          <w:rStyle w:val="nlmfpage"/>
          <w:rFonts w:ascii="Arial" w:hAnsi="Arial" w:cs="Arial"/>
          <w:color w:val="000000" w:themeColor="text1"/>
          <w:sz w:val="24"/>
          <w:szCs w:val="24"/>
        </w:rPr>
        <w:t>242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-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>266. Available at: https://www.ncbi.nlm.nih.gov/pubmed/21142349 (Accessed: 12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Style w:val="nlmlpage"/>
          <w:rFonts w:ascii="Arial" w:hAnsi="Arial" w:cs="Arial"/>
          <w:color w:val="000000" w:themeColor="text1"/>
          <w:sz w:val="24"/>
          <w:szCs w:val="24"/>
        </w:rPr>
        <w:t>.</w:t>
      </w:r>
    </w:p>
    <w:p w14:paraId="105C00DF" w14:textId="28F203D6" w:rsidR="009F00A6" w:rsidRPr="00372CE2" w:rsidRDefault="009F00A6" w:rsidP="008963B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Diamond, J. (2010) ‘The Benefits of Multilingualism’,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Science.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330(6002), pp. 332-333. Available at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: </w:t>
      </w:r>
      <w:r w:rsidR="00D32E95" w:rsidRPr="00D32E9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https://science.sciencemag.org/content/330/6002/332.summary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(Accessed: 14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49A2D40" w14:textId="77777777" w:rsidR="009F00A6" w:rsidRPr="00372CE2" w:rsidRDefault="009F00A6" w:rsidP="008963B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Ellis, G., &amp; Brewster, J. (2002)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>Tell it again: The new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storytelling handbook for primary teachers.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United Kingdom: Pearson Education.     </w:t>
      </w:r>
    </w:p>
    <w:p w14:paraId="19C6B99C" w14:textId="41700505" w:rsidR="009F00A6" w:rsidRPr="00372CE2" w:rsidRDefault="009F00A6" w:rsidP="008963B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Froebel, F. (1826)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>On the Education of Man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. Leipzig: </w:t>
      </w:r>
      <w:proofErr w:type="spellStart"/>
      <w:r w:rsidRPr="00372CE2">
        <w:rPr>
          <w:rFonts w:ascii="Arial" w:hAnsi="Arial" w:cs="Arial"/>
          <w:color w:val="000000" w:themeColor="text1"/>
          <w:sz w:val="24"/>
          <w:szCs w:val="24"/>
        </w:rPr>
        <w:t>Weinbach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7CB427A" w14:textId="017D5CB9" w:rsidR="009F00A6" w:rsidRPr="00372CE2" w:rsidRDefault="009F00A6" w:rsidP="008963B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>Kharkhurin</w:t>
      </w:r>
      <w:proofErr w:type="spellEnd"/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>, A (2010) ‘</w:t>
      </w:r>
      <w:r w:rsidRPr="00372CE2">
        <w:rPr>
          <w:rStyle w:val="ref-title"/>
          <w:rFonts w:ascii="Arial" w:hAnsi="Arial" w:cs="Arial"/>
          <w:color w:val="000000" w:themeColor="text1"/>
          <w:sz w:val="24"/>
          <w:szCs w:val="24"/>
        </w:rPr>
        <w:t xml:space="preserve">Bilingual verbal and nonverbal creative </w:t>
      </w:r>
      <w:proofErr w:type="spellStart"/>
      <w:r w:rsidRPr="00372CE2">
        <w:rPr>
          <w:rStyle w:val="ref-title"/>
          <w:rFonts w:ascii="Arial" w:hAnsi="Arial" w:cs="Arial"/>
          <w:color w:val="000000" w:themeColor="text1"/>
          <w:sz w:val="24"/>
          <w:szCs w:val="24"/>
        </w:rPr>
        <w:t>behavior</w:t>
      </w:r>
      <w:proofErr w:type="spellEnd"/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 xml:space="preserve">’, </w:t>
      </w:r>
      <w:r w:rsidRPr="00372CE2">
        <w:rPr>
          <w:rStyle w:val="mixed-citation"/>
          <w:rFonts w:ascii="Arial" w:hAnsi="Arial" w:cs="Arial"/>
          <w:i/>
          <w:iCs/>
          <w:color w:val="000000" w:themeColor="text1"/>
          <w:sz w:val="24"/>
          <w:szCs w:val="24"/>
        </w:rPr>
        <w:t>International Journal of Bilingualism</w:t>
      </w:r>
      <w:r w:rsidRPr="00372CE2">
        <w:rPr>
          <w:rStyle w:val="ref-journal"/>
          <w:rFonts w:ascii="Arial" w:hAnsi="Arial" w:cs="Arial"/>
          <w:color w:val="000000" w:themeColor="text1"/>
          <w:sz w:val="24"/>
          <w:szCs w:val="24"/>
        </w:rPr>
        <w:t>.</w:t>
      </w:r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72CE2">
        <w:rPr>
          <w:rStyle w:val="ref-vol"/>
          <w:rFonts w:ascii="Arial" w:hAnsi="Arial" w:cs="Arial"/>
          <w:color w:val="000000" w:themeColor="text1"/>
          <w:sz w:val="24"/>
          <w:szCs w:val="24"/>
        </w:rPr>
        <w:t>14(2)</w:t>
      </w:r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>, pp. 211–226. Available at: https://www.researchgate.net/publication/249840286_Bilingual_verbal_and_nonverbal_creative_behavior (Accessed: 14</w:t>
      </w:r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Style w:val="mixed-citation"/>
          <w:rFonts w:ascii="Arial" w:hAnsi="Arial" w:cs="Arial"/>
          <w:color w:val="000000" w:themeColor="text1"/>
          <w:sz w:val="24"/>
          <w:szCs w:val="24"/>
        </w:rPr>
        <w:t>.</w:t>
      </w:r>
    </w:p>
    <w:p w14:paraId="4BC233FC" w14:textId="3BF956A2" w:rsidR="009F00A6" w:rsidRPr="00372CE2" w:rsidRDefault="009F00A6" w:rsidP="008963B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Fonts w:ascii="Arial" w:hAnsi="Arial" w:cs="Arial"/>
          <w:color w:val="000000" w:themeColor="text1"/>
          <w:sz w:val="24"/>
          <w:szCs w:val="24"/>
        </w:rPr>
        <w:lastRenderedPageBreak/>
        <w:t>Kozhevnikova</w:t>
      </w:r>
      <w:proofErr w:type="spellEnd"/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, E. (2019) ‘The Impact of Language Exposure and Artificial Linguistic Environment on Students’ Vocabulary Acquisition’, </w:t>
      </w:r>
      <w:r w:rsidRPr="008963B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PEOPLE: International Journal of Social Sciences. 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5(1), pp. 430-439. Available at: https://www.researchgate.net/publication/332301758_THE_IMPACT_OF_LANGUAGE_EXPOSURE_AND_ARTIFICIAL_LINGUISTIC_ENVIRONMENT_ON_STUDENTS_VOCABULARY_ACQUISITION (Accessed: 11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4513983" w14:textId="77777777" w:rsidR="009F00A6" w:rsidRPr="00372CE2" w:rsidRDefault="009F00A6" w:rsidP="008963B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Kuhl, P. (2011) ‘Brain Mechanisms in Early Language Acquisition’,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Neuron.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67(5), pp. 713-727. Available at: </w:t>
      </w:r>
      <w:hyperlink r:id="rId7" w:history="1">
        <w:r w:rsidRPr="00372CE2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https://www.ncbi.nlm.nih.gov/pmc/articles/PMC2947444/</w:t>
        </w:r>
      </w:hyperlink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(Accessed: 13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2020).</w:t>
      </w:r>
    </w:p>
    <w:p w14:paraId="1FD4DAC6" w14:textId="77777777" w:rsidR="009F00A6" w:rsidRPr="00372CE2" w:rsidRDefault="009F00A6" w:rsidP="008963B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Fonts w:ascii="Arial" w:hAnsi="Arial" w:cs="Arial"/>
          <w:color w:val="000000" w:themeColor="text1"/>
          <w:sz w:val="24"/>
          <w:szCs w:val="24"/>
        </w:rPr>
        <w:t>Lightbown</w:t>
      </w:r>
      <w:proofErr w:type="spellEnd"/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, P., &amp; N. Spada. (1999)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>How Languages are Learned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. 2nd ed. Oxford: Oxford University Press.</w:t>
      </w:r>
    </w:p>
    <w:p w14:paraId="43D9A2CA" w14:textId="4CC3BF35" w:rsidR="009F00A6" w:rsidRPr="00372CE2" w:rsidRDefault="009F00A6" w:rsidP="008963B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372CE2">
        <w:rPr>
          <w:rFonts w:ascii="Arial" w:hAnsi="Arial" w:cs="Arial"/>
          <w:color w:val="000000" w:themeColor="text1"/>
          <w:sz w:val="24"/>
          <w:szCs w:val="24"/>
        </w:rPr>
        <w:t>Marian,</w:t>
      </w:r>
      <w:proofErr w:type="gramEnd"/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V. &amp; Shook, A. (2012) ‘The Cognitive Benefits of Being Bilingual’,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Cerebrum.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13. Available at: https://www.ncbi.nlm.nih.gov/pmc/articles/PMC3583091/ (Accessed: 11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F46F674" w14:textId="77777777" w:rsidR="009F00A6" w:rsidRPr="00372CE2" w:rsidRDefault="009F00A6" w:rsidP="008963B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t>Murphey, T. (1992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) </w:t>
      </w:r>
      <w:r w:rsidRPr="00372CE2">
        <w:rPr>
          <w:rStyle w:val="ff5"/>
          <w:rFonts w:ascii="Arial" w:hAnsi="Arial" w:cs="Arial"/>
          <w:i/>
          <w:iCs/>
          <w:color w:val="000000" w:themeColor="text1"/>
          <w:sz w:val="24"/>
          <w:szCs w:val="24"/>
        </w:rPr>
        <w:t>Music and Song</w:t>
      </w:r>
      <w:r w:rsidRPr="00372CE2">
        <w:rPr>
          <w:rStyle w:val="ff5"/>
          <w:rFonts w:ascii="Arial" w:hAnsi="Arial" w:cs="Arial"/>
          <w:color w:val="000000" w:themeColor="text1"/>
          <w:sz w:val="24"/>
          <w:szCs w:val="24"/>
        </w:rPr>
        <w:t>.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Oxford: Oxford University Press.</w:t>
      </w:r>
    </w:p>
    <w:p w14:paraId="3069762A" w14:textId="0C8B44F3" w:rsidR="009F00A6" w:rsidRPr="00372CE2" w:rsidRDefault="009F00A6" w:rsidP="008963B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Ofsted (2015) </w:t>
      </w:r>
      <w:r w:rsidRPr="008963B8">
        <w:rPr>
          <w:rFonts w:ascii="Arial" w:hAnsi="Arial" w:cs="Arial"/>
          <w:i/>
          <w:iCs/>
          <w:color w:val="000000" w:themeColor="text1"/>
          <w:sz w:val="24"/>
          <w:szCs w:val="24"/>
        </w:rPr>
        <w:t>Teaching and play in the early years –a balancing act?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Available at: https://assets.publishing.service.gov.uk/government/uploads/system/uploads/attachment_data/file/444147/Teaching-and-play-in-the-early-years-a-balancing-act.pdf (Accessed: 12th March 2020)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8E701AC" w14:textId="55E0D8F2" w:rsidR="009F00A6" w:rsidRPr="00372CE2" w:rsidRDefault="009F00A6" w:rsidP="008963B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Fonts w:ascii="Arial" w:hAnsi="Arial" w:cs="Arial"/>
          <w:color w:val="000000" w:themeColor="text1"/>
          <w:sz w:val="24"/>
          <w:szCs w:val="24"/>
        </w:rPr>
        <w:t>Okal</w:t>
      </w:r>
      <w:proofErr w:type="spellEnd"/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, B. (2014) ‘Benefits of Multilingualism in Education’,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Universal Journal of Educational Research.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2(3), pp. 223-229. Available at: https://eric.ed.gov/?id=EJ1053855 (Accessed: 12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1380A36" w14:textId="70E145A9" w:rsidR="009F00A6" w:rsidRPr="00372CE2" w:rsidRDefault="009F00A6" w:rsidP="008963B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Fonts w:ascii="Arial" w:hAnsi="Arial" w:cs="Arial"/>
          <w:color w:val="000000" w:themeColor="text1"/>
          <w:sz w:val="24"/>
          <w:szCs w:val="24"/>
        </w:rPr>
        <w:t>Perani</w:t>
      </w:r>
      <w:proofErr w:type="spellEnd"/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et al. (2017) ‘The impact of bilingualism on brain reserve and metabolic connectivity in Alzheimer’s dementia’,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Proceedings of the National Academy of Sciences of the United States of America.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114(7), pp. 1690 – 1695. Available at: </w:t>
      </w:r>
      <w:r w:rsidR="00D32E95" w:rsidRPr="00D32E95">
        <w:rPr>
          <w:rFonts w:ascii="Arial" w:hAnsi="Arial" w:cs="Arial"/>
          <w:color w:val="000000" w:themeColor="text1"/>
          <w:sz w:val="24"/>
          <w:szCs w:val="24"/>
        </w:rPr>
        <w:t>https://www.researchgate.net/publication/313088401_The_impact_of_bilingualism_on_brain_reserve_and_metabolic_connectivity_in_Alzheimer's_dementia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(Accessed: 12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DEC9494" w14:textId="264162EC" w:rsidR="009F00A6" w:rsidRPr="00372CE2" w:rsidRDefault="009F00A6" w:rsidP="008963B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lastRenderedPageBreak/>
        <w:t>Petitto</w:t>
      </w:r>
      <w:proofErr w:type="spellEnd"/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 xml:space="preserve">, L. &amp; </w:t>
      </w:r>
      <w:proofErr w:type="spellStart"/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>Marentette</w:t>
      </w:r>
      <w:proofErr w:type="spellEnd"/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 xml:space="preserve">, P. (1991) ‘Babbling in the manual mode: evidence for the ontogeny of language’, </w:t>
      </w:r>
      <w:r w:rsidRPr="00372CE2">
        <w:rPr>
          <w:rStyle w:val="nlmlpage"/>
          <w:rFonts w:ascii="Arial" w:hAnsi="Arial" w:cs="Arial"/>
          <w:i/>
          <w:iCs/>
          <w:color w:val="000000" w:themeColor="text1"/>
          <w:sz w:val="24"/>
          <w:szCs w:val="24"/>
        </w:rPr>
        <w:t xml:space="preserve">Science. 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 xml:space="preserve">25(5000), pp. 1493-1496. Available at: </w:t>
      </w:r>
      <w:hyperlink r:id="rId8" w:history="1">
        <w:r w:rsidRPr="00372CE2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https://www.ncbi.nlm.nih.gov/pubmed/2006424</w:t>
        </w:r>
      </w:hyperlink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 xml:space="preserve"> (Accessed: 12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Style w:val="nlmlpage"/>
          <w:rFonts w:ascii="Arial" w:hAnsi="Arial" w:cs="Arial"/>
          <w:color w:val="000000" w:themeColor="text1"/>
          <w:sz w:val="24"/>
          <w:szCs w:val="24"/>
        </w:rPr>
        <w:t>.</w:t>
      </w:r>
    </w:p>
    <w:p w14:paraId="080CDF3D" w14:textId="357CC9DB" w:rsidR="009F00A6" w:rsidRPr="00372CE2" w:rsidRDefault="009F00A6" w:rsidP="008963B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Prior, A. &amp; </w:t>
      </w:r>
      <w:proofErr w:type="spellStart"/>
      <w:r w:rsidRPr="00372CE2">
        <w:rPr>
          <w:rFonts w:ascii="Arial" w:hAnsi="Arial" w:cs="Arial"/>
          <w:color w:val="000000" w:themeColor="text1"/>
          <w:sz w:val="24"/>
          <w:szCs w:val="24"/>
        </w:rPr>
        <w:t>MacWhinney</w:t>
      </w:r>
      <w:proofErr w:type="spellEnd"/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, B. (2009) ‘A bilingual advantage in task switching’,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>Cambridge University Press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. 13(2), pp. 253-262 Available at: https://www.cambridge.org/core/journals/bilingualism-language-and-cognition/article/bilingual-advantage-in-task-switching/CC68F518019E8D5471D0B0381AC945E7 (Accessed: 13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0DCE918" w14:textId="0F58B366" w:rsidR="009F00A6" w:rsidRPr="00372CE2" w:rsidRDefault="009F00A6" w:rsidP="008963B8">
      <w:pPr>
        <w:spacing w:line="360" w:lineRule="auto"/>
        <w:jc w:val="both"/>
        <w:rPr>
          <w:rStyle w:val="nowrap"/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>Ricciardelli</w:t>
      </w:r>
      <w:proofErr w:type="spellEnd"/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>, L.  (1992) ‘</w:t>
      </w:r>
      <w:r w:rsidRPr="00372CE2">
        <w:rPr>
          <w:rStyle w:val="ref-title"/>
          <w:rFonts w:ascii="Arial" w:hAnsi="Arial" w:cs="Arial"/>
          <w:color w:val="000000" w:themeColor="text1"/>
          <w:sz w:val="24"/>
          <w:szCs w:val="24"/>
        </w:rPr>
        <w:t xml:space="preserve">Creativity and bilingualism’, </w:t>
      </w:r>
      <w:r w:rsidRPr="00372CE2">
        <w:rPr>
          <w:rStyle w:val="ref-title"/>
          <w:rFonts w:ascii="Arial" w:hAnsi="Arial" w:cs="Arial"/>
          <w:i/>
          <w:iCs/>
          <w:color w:val="000000" w:themeColor="text1"/>
          <w:sz w:val="24"/>
          <w:szCs w:val="24"/>
        </w:rPr>
        <w:t>Journal of Creative Behaviour</w:t>
      </w:r>
      <w:r w:rsidRPr="00372CE2">
        <w:rPr>
          <w:rStyle w:val="ref-journal"/>
          <w:rFonts w:ascii="Arial" w:hAnsi="Arial" w:cs="Arial"/>
          <w:color w:val="000000" w:themeColor="text1"/>
          <w:sz w:val="24"/>
          <w:szCs w:val="24"/>
        </w:rPr>
        <w:t>.</w:t>
      </w:r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72CE2">
        <w:rPr>
          <w:rStyle w:val="ref-vol"/>
          <w:rFonts w:ascii="Arial" w:hAnsi="Arial" w:cs="Arial"/>
          <w:color w:val="000000" w:themeColor="text1"/>
          <w:sz w:val="24"/>
          <w:szCs w:val="24"/>
        </w:rPr>
        <w:t>26(4)</w:t>
      </w:r>
      <w:r w:rsidRPr="00372CE2">
        <w:rPr>
          <w:rStyle w:val="mixed-citation"/>
          <w:rFonts w:ascii="Arial" w:hAnsi="Arial" w:cs="Arial"/>
          <w:color w:val="000000" w:themeColor="text1"/>
          <w:sz w:val="24"/>
          <w:szCs w:val="24"/>
        </w:rPr>
        <w:t>, pp. 242–254</w:t>
      </w:r>
      <w:r w:rsidRPr="00372CE2">
        <w:rPr>
          <w:rStyle w:val="nowrap"/>
          <w:rFonts w:ascii="Arial" w:hAnsi="Arial" w:cs="Arial"/>
          <w:color w:val="000000" w:themeColor="text1"/>
          <w:sz w:val="24"/>
          <w:szCs w:val="24"/>
        </w:rPr>
        <w:t>. Available at: https://onlinelibrary.wiley.com/doi/abs/10.1002/j.2162-6057.1992.tb01183.x (Accessed:15th March 2020)</w:t>
      </w:r>
      <w:r>
        <w:rPr>
          <w:rStyle w:val="nowrap"/>
          <w:rFonts w:ascii="Arial" w:hAnsi="Arial" w:cs="Arial"/>
          <w:color w:val="000000" w:themeColor="text1"/>
          <w:sz w:val="24"/>
          <w:szCs w:val="24"/>
        </w:rPr>
        <w:t>.</w:t>
      </w:r>
    </w:p>
    <w:p w14:paraId="65E737ED" w14:textId="58E7058D" w:rsidR="009F00A6" w:rsidRPr="00372CE2" w:rsidRDefault="009F00A6" w:rsidP="008963B8">
      <w:pPr>
        <w:spacing w:line="360" w:lineRule="auto"/>
        <w:jc w:val="both"/>
        <w:rPr>
          <w:rStyle w:val="balloon"/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Rokeach</w:t>
      </w:r>
      <w:proofErr w:type="spellEnd"/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, M. (</w:t>
      </w:r>
      <w:r w:rsidRPr="00372CE2">
        <w:rPr>
          <w:rStyle w:val="nlmyear"/>
          <w:rFonts w:ascii="Arial" w:hAnsi="Arial" w:cs="Arial"/>
          <w:color w:val="000000" w:themeColor="text1"/>
          <w:sz w:val="24"/>
          <w:szCs w:val="24"/>
        </w:rPr>
        <w:t>1948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) ‘</w:t>
      </w:r>
      <w:r w:rsidRPr="00372CE2">
        <w:rPr>
          <w:rStyle w:val="nlmarticle-title"/>
          <w:rFonts w:ascii="Arial" w:hAnsi="Arial" w:cs="Arial"/>
          <w:color w:val="000000" w:themeColor="text1"/>
          <w:sz w:val="24"/>
          <w:szCs w:val="24"/>
        </w:rPr>
        <w:t>Generalized mental rigidity as a factor in ethnocentrism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 xml:space="preserve">’, </w:t>
      </w:r>
      <w:r w:rsidRPr="00372CE2">
        <w:rPr>
          <w:rStyle w:val="balloon"/>
          <w:rFonts w:ascii="Arial" w:hAnsi="Arial" w:cs="Arial"/>
          <w:i/>
          <w:iCs/>
          <w:color w:val="000000" w:themeColor="text1"/>
          <w:sz w:val="24"/>
          <w:szCs w:val="24"/>
        </w:rPr>
        <w:t>Journal of Abnormal and Social Psychology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 xml:space="preserve">, 43(3), pp. </w:t>
      </w:r>
      <w:r w:rsidRPr="00372CE2">
        <w:rPr>
          <w:rStyle w:val="nlmfpage"/>
          <w:rFonts w:ascii="Arial" w:hAnsi="Arial" w:cs="Arial"/>
          <w:color w:val="000000" w:themeColor="text1"/>
          <w:sz w:val="24"/>
          <w:szCs w:val="24"/>
        </w:rPr>
        <w:t>259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-</w:t>
      </w:r>
      <w:r w:rsidRPr="00372CE2">
        <w:rPr>
          <w:rStyle w:val="nlmlpage"/>
          <w:rFonts w:ascii="Arial" w:hAnsi="Arial" w:cs="Arial"/>
          <w:color w:val="000000" w:themeColor="text1"/>
          <w:sz w:val="24"/>
          <w:szCs w:val="24"/>
        </w:rPr>
        <w:t>278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>. Available at: https://psycnet.apa.org/doiLanding?doi=10.1037%2Fh0056134 (Accessed: 11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Style w:val="balloon"/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Style w:val="balloon"/>
          <w:rFonts w:ascii="Arial" w:hAnsi="Arial" w:cs="Arial"/>
          <w:color w:val="000000" w:themeColor="text1"/>
          <w:sz w:val="24"/>
          <w:szCs w:val="24"/>
        </w:rPr>
        <w:t>.</w:t>
      </w:r>
    </w:p>
    <w:p w14:paraId="725962D3" w14:textId="1CB6E5B5" w:rsidR="009F00A6" w:rsidRDefault="009F00A6" w:rsidP="008963B8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372CE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Shin, J. (2006) ‘Ten Helpful Ideas for Teaching English to Young Learners’, </w:t>
      </w:r>
      <w:r w:rsidRPr="00372CE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English Teaching Forum</w:t>
      </w:r>
      <w:r w:rsidRPr="00372CE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, 44(2), pp. 2-7. Available at: https://www.researchgate.net/publication/285295236_Ten_helpful_ideas_for_teaching_English_to_young_learners (Accessed: 13</w:t>
      </w:r>
      <w:r w:rsidRPr="00372CE2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  <w:lang w:eastAsia="en-GB"/>
        </w:rPr>
        <w:t>th</w:t>
      </w:r>
      <w:r w:rsidRPr="00372CE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March 2020)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.</w:t>
      </w:r>
    </w:p>
    <w:p w14:paraId="2F9702BB" w14:textId="77777777" w:rsidR="009F00A6" w:rsidRPr="00372CE2" w:rsidRDefault="009F00A6" w:rsidP="008963B8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A312FC9" w14:textId="4F509FB1" w:rsidR="009F00A6" w:rsidRPr="00372CE2" w:rsidRDefault="009F00A6" w:rsidP="008963B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372CE2">
        <w:rPr>
          <w:rFonts w:ascii="Arial" w:hAnsi="Arial" w:cs="Arial"/>
          <w:color w:val="000000" w:themeColor="text1"/>
          <w:sz w:val="24"/>
          <w:szCs w:val="24"/>
        </w:rPr>
        <w:t>Tsiplakides</w:t>
      </w:r>
      <w:proofErr w:type="spellEnd"/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, I. (2009) ‘Helping Students Overcome Foreign Language Speaking Anxiety in the English Classroom: Theoretical Issues and Practical Recommendations’,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International Education Studies.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2(4), pp. 39-44. Available at: https://files.eric.ed.gov/fulltext/EJ1065743.pdf</w:t>
      </w:r>
      <w:r w:rsidRPr="00372CE2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(Accessed: 11</w:t>
      </w:r>
      <w:r w:rsidRPr="00372CE2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  <w:vertAlign w:val="superscript"/>
        </w:rPr>
        <w:t>th</w:t>
      </w:r>
      <w:r w:rsidRPr="00372CE2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March 2020)</w:t>
      </w: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.</w:t>
      </w:r>
    </w:p>
    <w:p w14:paraId="7C032B06" w14:textId="630B2862" w:rsidR="009F00A6" w:rsidRPr="00372CE2" w:rsidRDefault="009F00A6" w:rsidP="008963B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Vince, G. (2016) The amazing benefits of being bilingual’,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BBC Future. 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Available at: https://www.bbc.com/future/article/20160811-the-amazing-benefits-of-being-bilingual (Accessed: 9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09692CC" w14:textId="77777777" w:rsidR="009F00A6" w:rsidRPr="00372CE2" w:rsidRDefault="009F00A6" w:rsidP="008963B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Welsh Government (2008)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>Welsh Language Development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w:history="1">
        <w:r w:rsidRPr="00372CE2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http://</w:t>
        </w:r>
      </w:hyperlink>
      <w:hyperlink r:id="rId9" w:history="1">
        <w:r w:rsidRPr="00372CE2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gov.wales/docs/dcells/publications/141111-welsh-language-development-en.pdf</w:t>
        </w:r>
      </w:hyperlink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(Accessed: 14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March 2020).</w:t>
      </w:r>
    </w:p>
    <w:p w14:paraId="4B8A5B46" w14:textId="0496B5D1" w:rsidR="009F00A6" w:rsidRPr="00372CE2" w:rsidRDefault="009F00A6" w:rsidP="008963B8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2CE2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Welsh Government (2019) </w:t>
      </w:r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>Draft Curriculum for Wales 202</w:t>
      </w:r>
      <w:bookmarkStart w:id="0" w:name="_GoBack"/>
      <w:bookmarkEnd w:id="0"/>
      <w:r w:rsidRPr="00372CE2">
        <w:rPr>
          <w:rFonts w:ascii="Arial" w:hAnsi="Arial" w:cs="Arial"/>
          <w:i/>
          <w:iCs/>
          <w:color w:val="000000" w:themeColor="text1"/>
          <w:sz w:val="24"/>
          <w:szCs w:val="24"/>
        </w:rPr>
        <w:t>2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>. Available at: https://hwb.gov.wales/curriculum-for-wales/introduction/ (Accessed: 1</w:t>
      </w:r>
      <w:r>
        <w:rPr>
          <w:rFonts w:ascii="Arial" w:hAnsi="Arial" w:cs="Arial"/>
          <w:color w:val="000000" w:themeColor="text1"/>
          <w:sz w:val="24"/>
          <w:szCs w:val="24"/>
        </w:rPr>
        <w:t>3</w:t>
      </w:r>
      <w:r w:rsidRPr="00372CE2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March</w:t>
      </w:r>
      <w:r w:rsidRPr="00372CE2">
        <w:rPr>
          <w:rFonts w:ascii="Arial" w:hAnsi="Arial" w:cs="Arial"/>
          <w:color w:val="000000" w:themeColor="text1"/>
          <w:sz w:val="24"/>
          <w:szCs w:val="24"/>
        </w:rPr>
        <w:t xml:space="preserve"> 2020)</w:t>
      </w:r>
      <w:r w:rsidR="007D1A02">
        <w:rPr>
          <w:rFonts w:ascii="Arial" w:hAnsi="Arial" w:cs="Arial"/>
          <w:color w:val="000000" w:themeColor="text1"/>
          <w:sz w:val="24"/>
          <w:szCs w:val="24"/>
        </w:rPr>
        <w:t>.</w:t>
      </w:r>
    </w:p>
    <w:sectPr w:rsidR="009F00A6" w:rsidRPr="00372CE2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21ADF3" w14:textId="77777777" w:rsidR="001C6963" w:rsidRDefault="001C6963" w:rsidP="001C6963">
      <w:pPr>
        <w:spacing w:after="0" w:line="240" w:lineRule="auto"/>
      </w:pPr>
      <w:r>
        <w:separator/>
      </w:r>
    </w:p>
  </w:endnote>
  <w:endnote w:type="continuationSeparator" w:id="0">
    <w:p w14:paraId="59F11BFD" w14:textId="77777777" w:rsidR="001C6963" w:rsidRDefault="001C6963" w:rsidP="001C6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136091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724502" w14:textId="5208B4ED" w:rsidR="001C6963" w:rsidRDefault="001C69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7FF995" w14:textId="77777777" w:rsidR="001C6963" w:rsidRDefault="001C69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B75FF5" w14:textId="77777777" w:rsidR="001C6963" w:rsidRDefault="001C6963" w:rsidP="001C6963">
      <w:pPr>
        <w:spacing w:after="0" w:line="240" w:lineRule="auto"/>
      </w:pPr>
      <w:r>
        <w:separator/>
      </w:r>
    </w:p>
  </w:footnote>
  <w:footnote w:type="continuationSeparator" w:id="0">
    <w:p w14:paraId="7E8B363A" w14:textId="77777777" w:rsidR="001C6963" w:rsidRDefault="001C6963" w:rsidP="001C69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9E2241" w14:textId="134C5D5D" w:rsidR="001C6963" w:rsidRDefault="001C6963">
    <w:pPr>
      <w:pStyle w:val="Header"/>
    </w:pPr>
    <w:r>
      <w:t>1903033</w:t>
    </w:r>
    <w:r>
      <w:ptab w:relativeTo="margin" w:alignment="center" w:leader="none"/>
    </w:r>
    <w:r>
      <w:t>EAEE4006/C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0A6"/>
    <w:rsid w:val="001C6963"/>
    <w:rsid w:val="007D1A02"/>
    <w:rsid w:val="008963B8"/>
    <w:rsid w:val="009F00A6"/>
    <w:rsid w:val="00D32E95"/>
    <w:rsid w:val="00E8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D28F2"/>
  <w15:chartTrackingRefBased/>
  <w15:docId w15:val="{C9342010-AB09-41E1-8E94-EF04D44DB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00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9F00A6"/>
    <w:rPr>
      <w:i/>
      <w:iCs/>
    </w:rPr>
  </w:style>
  <w:style w:type="character" w:styleId="Hyperlink">
    <w:name w:val="Hyperlink"/>
    <w:basedOn w:val="DefaultParagraphFont"/>
    <w:uiPriority w:val="99"/>
    <w:unhideWhenUsed/>
    <w:rsid w:val="009F00A6"/>
    <w:rPr>
      <w:color w:val="0000FF"/>
      <w:u w:val="single"/>
    </w:rPr>
  </w:style>
  <w:style w:type="character" w:customStyle="1" w:styleId="citation">
    <w:name w:val="citation"/>
    <w:basedOn w:val="DefaultParagraphFont"/>
    <w:rsid w:val="009F00A6"/>
  </w:style>
  <w:style w:type="character" w:customStyle="1" w:styleId="ref-journal">
    <w:name w:val="ref-journal"/>
    <w:basedOn w:val="DefaultParagraphFont"/>
    <w:rsid w:val="009F00A6"/>
  </w:style>
  <w:style w:type="character" w:customStyle="1" w:styleId="ref-vol">
    <w:name w:val="ref-vol"/>
    <w:basedOn w:val="DefaultParagraphFont"/>
    <w:rsid w:val="009F00A6"/>
  </w:style>
  <w:style w:type="character" w:customStyle="1" w:styleId="balloon">
    <w:name w:val="balloon"/>
    <w:basedOn w:val="DefaultParagraphFont"/>
    <w:rsid w:val="009F00A6"/>
  </w:style>
  <w:style w:type="character" w:customStyle="1" w:styleId="nlmyear">
    <w:name w:val="nlm_year"/>
    <w:basedOn w:val="DefaultParagraphFont"/>
    <w:rsid w:val="009F00A6"/>
  </w:style>
  <w:style w:type="character" w:customStyle="1" w:styleId="nlmarticle-title">
    <w:name w:val="nlm_article-title"/>
    <w:basedOn w:val="DefaultParagraphFont"/>
    <w:rsid w:val="009F00A6"/>
  </w:style>
  <w:style w:type="character" w:customStyle="1" w:styleId="nlmfpage">
    <w:name w:val="nlm_fpage"/>
    <w:basedOn w:val="DefaultParagraphFont"/>
    <w:rsid w:val="009F00A6"/>
  </w:style>
  <w:style w:type="character" w:customStyle="1" w:styleId="nlmlpage">
    <w:name w:val="nlm_lpage"/>
    <w:basedOn w:val="DefaultParagraphFont"/>
    <w:rsid w:val="009F00A6"/>
  </w:style>
  <w:style w:type="character" w:customStyle="1" w:styleId="ff5">
    <w:name w:val="ff5"/>
    <w:basedOn w:val="DefaultParagraphFont"/>
    <w:rsid w:val="009F00A6"/>
  </w:style>
  <w:style w:type="paragraph" w:styleId="ListParagraph">
    <w:name w:val="List Paragraph"/>
    <w:basedOn w:val="Normal"/>
    <w:uiPriority w:val="34"/>
    <w:qFormat/>
    <w:rsid w:val="009F00A6"/>
    <w:pPr>
      <w:ind w:left="720"/>
      <w:contextualSpacing/>
    </w:pPr>
  </w:style>
  <w:style w:type="character" w:customStyle="1" w:styleId="mixed-citation">
    <w:name w:val="mixed-citation"/>
    <w:basedOn w:val="DefaultParagraphFont"/>
    <w:rsid w:val="009F00A6"/>
  </w:style>
  <w:style w:type="character" w:customStyle="1" w:styleId="ref-title">
    <w:name w:val="ref-title"/>
    <w:basedOn w:val="DefaultParagraphFont"/>
    <w:rsid w:val="009F00A6"/>
  </w:style>
  <w:style w:type="character" w:customStyle="1" w:styleId="nowrap">
    <w:name w:val="nowrap"/>
    <w:basedOn w:val="DefaultParagraphFont"/>
    <w:rsid w:val="009F00A6"/>
  </w:style>
  <w:style w:type="paragraph" w:styleId="Header">
    <w:name w:val="header"/>
    <w:basedOn w:val="Normal"/>
    <w:link w:val="HeaderChar"/>
    <w:uiPriority w:val="99"/>
    <w:unhideWhenUsed/>
    <w:rsid w:val="001C69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63"/>
  </w:style>
  <w:style w:type="paragraph" w:styleId="Footer">
    <w:name w:val="footer"/>
    <w:basedOn w:val="Normal"/>
    <w:link w:val="FooterChar"/>
    <w:uiPriority w:val="99"/>
    <w:unhideWhenUsed/>
    <w:rsid w:val="001C69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ubmed/200642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ncbi.nlm.nih.gov/pmc/articles/PMC2947444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gov.wales/docs/dcells/publications/141111-welsh-language-development-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EEC38-CE42-419B-9DE4-79A0D52E9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911</Words>
  <Characters>5193</Characters>
  <Application>Microsoft Office Word</Application>
  <DocSecurity>0</DocSecurity>
  <Lines>43</Lines>
  <Paragraphs>12</Paragraphs>
  <ScaleCrop>false</ScaleCrop>
  <Company/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Daly</dc:creator>
  <cp:keywords/>
  <dc:description/>
  <cp:lastModifiedBy>Hannah Daly</cp:lastModifiedBy>
  <cp:revision>7</cp:revision>
  <dcterms:created xsi:type="dcterms:W3CDTF">2020-03-22T15:37:00Z</dcterms:created>
  <dcterms:modified xsi:type="dcterms:W3CDTF">2020-03-26T16:32:00Z</dcterms:modified>
</cp:coreProperties>
</file>