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left"/>
        <w:rPr>
          <w:rFonts w:cs="Arial"/>
          <w:b/>
          <w:bCs/>
        </w:rPr>
      </w:pPr>
      <w:r>
        <w:rPr>
          <w:noProof/>
        </w:rPr>
        <w:drawing>
          <wp:inline distL="0" distT="0" distB="0" distR="0">
            <wp:extent cx="2840182" cy="1134686"/>
            <wp:effectExtent l="0" t="0" r="0" b="8890"/>
            <wp:docPr id="1026" name="Picture 2" descr="UWTSD logo | Discover Dylan Thoma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840182" cy="1134686"/>
                    </a:xfrm>
                    <a:prstGeom prst="rect"/>
                    <a:ln>
                      <a:noFill/>
                    </a:ln>
                  </pic:spPr>
                </pic:pic>
              </a:graphicData>
            </a:graphic>
          </wp:inline>
        </w:drawing>
      </w:r>
    </w:p>
    <w:p>
      <w:pPr>
        <w:pStyle w:val="style0"/>
        <w:jc w:val="center"/>
        <w:rPr>
          <w:rFonts w:cs="Arial"/>
          <w:b/>
          <w:bCs/>
        </w:rPr>
      </w:pPr>
    </w:p>
    <w:p>
      <w:pPr>
        <w:pStyle w:val="style0"/>
        <w:spacing w:lineRule="auto" w:line="276"/>
        <w:jc w:val="center"/>
        <w:rPr>
          <w:rFonts w:cs="Arial"/>
          <w:b/>
          <w:bCs/>
        </w:rPr>
      </w:pPr>
    </w:p>
    <w:p>
      <w:pPr>
        <w:pStyle w:val="style0"/>
        <w:spacing w:before="120" w:after="120" w:lineRule="auto" w:line="276"/>
        <w:jc w:val="center"/>
        <w:rPr>
          <w:rFonts w:cs="Arial"/>
          <w:sz w:val="26"/>
          <w:szCs w:val="26"/>
        </w:rPr>
      </w:pPr>
      <w:r>
        <w:rPr>
          <w:rFonts w:cs="Arial"/>
          <w:b/>
          <w:bCs/>
          <w:sz w:val="26"/>
          <w:szCs w:val="26"/>
        </w:rPr>
        <w:t>Programme</w:t>
      </w:r>
      <w:r>
        <w:rPr>
          <w:rFonts w:cs="Arial"/>
          <w:b/>
          <w:bCs/>
          <w:sz w:val="26"/>
          <w:szCs w:val="26"/>
        </w:rPr>
        <w:t>:</w:t>
      </w:r>
      <w:r>
        <w:rPr>
          <w:rFonts w:cs="Arial"/>
          <w:b/>
          <w:bCs/>
          <w:sz w:val="26"/>
          <w:szCs w:val="26"/>
        </w:rPr>
        <w:t xml:space="preserve"> </w:t>
      </w:r>
      <w:r>
        <w:rPr>
          <w:rFonts w:cs="Arial"/>
          <w:sz w:val="26"/>
          <w:szCs w:val="26"/>
        </w:rPr>
        <w:t>MSc Public Health and Social Care in Practice</w:t>
      </w:r>
    </w:p>
    <w:p>
      <w:pPr>
        <w:pStyle w:val="style0"/>
        <w:spacing w:before="120" w:after="120" w:lineRule="auto" w:line="276"/>
        <w:jc w:val="center"/>
        <w:rPr>
          <w:rFonts w:cs="Arial"/>
          <w:sz w:val="26"/>
          <w:szCs w:val="26"/>
        </w:rPr>
      </w:pPr>
      <w:r>
        <w:rPr>
          <w:rFonts w:cs="Arial"/>
          <w:b/>
          <w:bCs/>
          <w:sz w:val="26"/>
          <w:szCs w:val="26"/>
        </w:rPr>
        <w:t>Module:</w:t>
      </w:r>
      <w:r>
        <w:rPr>
          <w:rFonts w:cs="Arial"/>
          <w:b/>
          <w:bCs/>
          <w:sz w:val="26"/>
          <w:szCs w:val="26"/>
        </w:rPr>
        <w:t xml:space="preserve"> </w:t>
      </w:r>
      <w:r>
        <w:rPr>
          <w:rFonts w:cs="Arial"/>
          <w:sz w:val="26"/>
          <w:szCs w:val="26"/>
        </w:rPr>
        <w:t>Health Care System, Organisation and Leadership</w:t>
      </w:r>
      <w:r>
        <w:rPr>
          <w:rFonts w:cs="Arial"/>
          <w:sz w:val="26"/>
          <w:szCs w:val="26"/>
        </w:rPr>
        <w:t xml:space="preserve"> (</w:t>
      </w:r>
      <w:r>
        <w:rPr>
          <w:rFonts w:cs="Arial"/>
          <w:sz w:val="26"/>
          <w:szCs w:val="26"/>
        </w:rPr>
        <w:t>LCHS7002</w:t>
      </w:r>
      <w:r>
        <w:rPr>
          <w:rFonts w:cs="Arial"/>
          <w:sz w:val="26"/>
          <w:szCs w:val="26"/>
        </w:rPr>
        <w:t>)</w:t>
      </w:r>
    </w:p>
    <w:p>
      <w:pPr>
        <w:pStyle w:val="style0"/>
        <w:spacing w:before="120" w:after="120" w:lineRule="auto" w:line="276"/>
        <w:jc w:val="center"/>
        <w:rPr>
          <w:rFonts w:cs="Arial"/>
          <w:b/>
          <w:bCs/>
          <w:sz w:val="26"/>
          <w:szCs w:val="26"/>
        </w:rPr>
      </w:pPr>
      <w:r>
        <w:rPr>
          <w:rFonts w:cs="Arial"/>
          <w:b/>
          <w:bCs/>
          <w:sz w:val="26"/>
          <w:szCs w:val="26"/>
        </w:rPr>
        <w:t>Lecturer:</w:t>
      </w:r>
      <w:r>
        <w:rPr>
          <w:rFonts w:cs="Arial"/>
          <w:b/>
          <w:bCs/>
          <w:sz w:val="26"/>
          <w:szCs w:val="26"/>
        </w:rPr>
        <w:t xml:space="preserve"> </w:t>
      </w:r>
      <w:r>
        <w:rPr>
          <w:rFonts w:cs="Arial"/>
          <w:sz w:val="26"/>
          <w:szCs w:val="26"/>
        </w:rPr>
        <w:t>Dr Fahad Khan</w:t>
      </w:r>
    </w:p>
    <w:p>
      <w:pPr>
        <w:pStyle w:val="style0"/>
        <w:spacing w:before="240" w:after="120" w:lineRule="auto" w:line="276"/>
        <w:jc w:val="center"/>
        <w:rPr>
          <w:rFonts w:cs="Arial"/>
          <w:sz w:val="26"/>
          <w:szCs w:val="26"/>
        </w:rPr>
      </w:pPr>
      <w:r>
        <w:rPr>
          <w:rFonts w:cs="Arial"/>
          <w:b/>
          <w:bCs/>
          <w:sz w:val="26"/>
          <w:szCs w:val="26"/>
        </w:rPr>
        <w:t>Assignment Title:</w:t>
      </w:r>
      <w:r>
        <w:rPr>
          <w:rFonts w:cs="Arial"/>
          <w:b/>
          <w:bCs/>
          <w:sz w:val="26"/>
          <w:szCs w:val="26"/>
        </w:rPr>
        <w:t xml:space="preserve"> </w:t>
      </w:r>
      <w:r>
        <w:rPr>
          <w:rFonts w:cs="Arial"/>
          <w:sz w:val="26"/>
          <w:szCs w:val="26"/>
        </w:rPr>
        <w:t>Case Study Analysis</w:t>
      </w:r>
    </w:p>
    <w:p>
      <w:pPr>
        <w:pStyle w:val="style0"/>
        <w:spacing w:before="120" w:after="120" w:lineRule="auto" w:line="276"/>
        <w:jc w:val="center"/>
        <w:rPr>
          <w:rFonts w:cs="Arial"/>
          <w:sz w:val="26"/>
          <w:szCs w:val="26"/>
        </w:rPr>
      </w:pPr>
      <w:r>
        <w:rPr>
          <w:rFonts w:cs="Arial"/>
          <w:b/>
          <w:bCs/>
          <w:sz w:val="26"/>
          <w:szCs w:val="26"/>
        </w:rPr>
        <w:t>Report Title:</w:t>
      </w:r>
      <w:r>
        <w:rPr>
          <w:rFonts w:cs="Arial"/>
          <w:b/>
          <w:bCs/>
          <w:sz w:val="26"/>
          <w:szCs w:val="26"/>
        </w:rPr>
        <w:t xml:space="preserve"> </w:t>
      </w:r>
      <w:r>
        <w:rPr>
          <w:rFonts w:cs="Arial"/>
          <w:sz w:val="26"/>
          <w:szCs w:val="26"/>
        </w:rPr>
        <w:t>Comparative Report on COVID-19 Leadership Responses</w:t>
      </w:r>
    </w:p>
    <w:p>
      <w:pPr>
        <w:pStyle w:val="style0"/>
        <w:spacing w:before="240" w:after="120" w:lineRule="auto" w:line="276"/>
        <w:jc w:val="center"/>
        <w:rPr>
          <w:rFonts w:cs="Arial"/>
          <w:b/>
          <w:bCs/>
          <w:sz w:val="26"/>
          <w:szCs w:val="26"/>
        </w:rPr>
      </w:pPr>
      <w:r>
        <w:rPr>
          <w:rFonts w:cs="Arial"/>
          <w:b/>
          <w:bCs/>
          <w:sz w:val="26"/>
          <w:szCs w:val="26"/>
        </w:rPr>
        <w:t xml:space="preserve">Student Name: </w:t>
      </w:r>
      <w:r>
        <w:rPr>
          <w:rFonts w:cs="Arial"/>
          <w:b/>
          <w:bCs/>
          <w:sz w:val="26"/>
          <w:szCs w:val="26"/>
          <w:lang w:val="en-US"/>
        </w:rPr>
        <w:t>AMI PATEL</w:t>
      </w:r>
    </w:p>
    <w:p>
      <w:pPr>
        <w:pStyle w:val="style0"/>
        <w:spacing w:before="120" w:after="120" w:lineRule="auto" w:line="276"/>
        <w:jc w:val="center"/>
        <w:rPr>
          <w:rFonts w:cs="Arial"/>
          <w:b/>
          <w:bCs/>
          <w:sz w:val="26"/>
          <w:szCs w:val="26"/>
        </w:rPr>
      </w:pPr>
      <w:r>
        <w:rPr>
          <w:rFonts w:cs="Arial"/>
          <w:b/>
          <w:bCs/>
          <w:sz w:val="26"/>
          <w:szCs w:val="26"/>
        </w:rPr>
        <w:t>Student ID Number:</w:t>
      </w:r>
      <w:r>
        <w:rPr>
          <w:rFonts w:cs="Arial"/>
          <w:b/>
          <w:bCs/>
          <w:sz w:val="26"/>
          <w:szCs w:val="26"/>
          <w:lang w:val="en-US"/>
        </w:rPr>
        <w:t>2508221</w:t>
      </w:r>
    </w:p>
    <w:p>
      <w:pPr>
        <w:pStyle w:val="style0"/>
        <w:spacing w:before="240" w:after="120" w:lineRule="auto" w:line="276"/>
        <w:jc w:val="center"/>
        <w:rPr>
          <w:rFonts w:cs="Arial"/>
          <w:b/>
          <w:bCs/>
          <w:sz w:val="26"/>
          <w:szCs w:val="26"/>
        </w:rPr>
      </w:pPr>
      <w:r>
        <w:rPr>
          <w:rFonts w:cs="Arial"/>
          <w:b/>
          <w:bCs/>
          <w:sz w:val="26"/>
          <w:szCs w:val="26"/>
        </w:rPr>
        <w:t>Word Count</w:t>
      </w:r>
      <w:r>
        <w:rPr>
          <w:rFonts w:cs="Arial"/>
          <w:b/>
          <w:bCs/>
          <w:sz w:val="26"/>
          <w:szCs w:val="26"/>
        </w:rPr>
        <w:t xml:space="preserve">: </w:t>
      </w:r>
      <w:r>
        <w:rPr>
          <w:rFonts w:cs="Arial"/>
          <w:sz w:val="26"/>
          <w:szCs w:val="26"/>
        </w:rPr>
        <w:t>5395</w:t>
      </w:r>
    </w:p>
    <w:p>
      <w:pPr>
        <w:pStyle w:val="style0"/>
        <w:spacing w:before="120" w:after="120" w:lineRule="auto" w:line="276"/>
        <w:jc w:val="center"/>
        <w:rPr>
          <w:rFonts w:cs="Arial"/>
          <w:b/>
          <w:bCs/>
          <w:sz w:val="26"/>
          <w:szCs w:val="26"/>
        </w:rPr>
      </w:pPr>
      <w:r>
        <w:rPr>
          <w:rFonts w:cs="Arial"/>
          <w:b/>
          <w:bCs/>
          <w:sz w:val="26"/>
          <w:szCs w:val="26"/>
        </w:rPr>
        <w:t>Submission Deadline:</w:t>
      </w:r>
      <w:r>
        <w:rPr>
          <w:rFonts w:cs="Arial"/>
          <w:b/>
          <w:bCs/>
          <w:sz w:val="26"/>
          <w:szCs w:val="26"/>
        </w:rPr>
        <w:t xml:space="preserve"> </w:t>
      </w:r>
      <w:r>
        <w:rPr>
          <w:rFonts w:cs="Arial"/>
          <w:b/>
          <w:bCs/>
          <w:sz w:val="26"/>
          <w:szCs w:val="26"/>
          <w:lang w:val="en-US"/>
        </w:rPr>
        <w:t>2 April 2026</w:t>
      </w:r>
    </w:p>
    <w:p>
      <w:pPr>
        <w:pStyle w:val="style0"/>
        <w:rPr>
          <w:rFonts w:cs="Arial"/>
          <w:b/>
          <w:bCs/>
        </w:rPr>
      </w:pPr>
      <w:r>
        <w:rPr>
          <w:rFonts w:cs="Arial"/>
          <w:b/>
          <w:bCs/>
        </w:rPr>
        <w:br w:type="page"/>
      </w:r>
    </w:p>
    <w:p>
      <w:pPr>
        <w:pStyle w:val="style266"/>
        <w:numPr>
          <w:ilvl w:val="0"/>
          <w:numId w:val="0"/>
        </w:numPr>
        <w:ind w:left="432" w:hanging="432"/>
        <w:rPr/>
      </w:pPr>
      <w:r>
        <w:t>Table of Contents</w:t>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"_Toc220982948" </w:instrText>
      </w:r>
      <w:r>
        <w:rPr/>
        <w:fldChar w:fldCharType="separate"/>
      </w:r>
      <w:r>
        <w:rPr>
          <w:rStyle w:val="style85"/>
          <w:noProof/>
        </w:rPr>
        <w:t>1</w:t>
      </w:r>
      <w:r>
        <w:rPr>
          <w:rFonts w:ascii="Aptos" w:hAnsi="Aptos"/>
          <w:noProof/>
          <w:kern w:val="2"/>
          <w:sz w:val="24"/>
          <w:szCs w:val="30"/>
          <w:lang w:bidi="bn-IN" w:eastAsia="zh-CN"/>
          <w14:ligatures xmlns:w14="http://schemas.microsoft.com/office/word/2010/wordml" w14:val="standardContextual"/>
        </w:rPr>
        <w:tab/>
      </w:r>
      <w:r>
        <w:rPr>
          <w:rStyle w:val="style85"/>
          <w:noProof/>
        </w:rPr>
        <w:t>Introduction</w:t>
      </w:r>
      <w:r>
        <w:rPr>
          <w:noProof/>
          <w:webHidden/>
        </w:rPr>
        <w:tab/>
      </w:r>
      <w:r>
        <w:rPr>
          <w:noProof/>
          <w:webHidden/>
        </w:rPr>
        <w:fldChar w:fldCharType="begin"/>
      </w:r>
      <w:r>
        <w:rPr>
          <w:noProof/>
          <w:webHidden/>
        </w:rPr>
        <w:instrText xml:space="preserve"> PAGEREF _Toc220982948 \h </w:instrText>
      </w:r>
      <w:r>
        <w:rPr>
          <w:noProof/>
          <w:webHidden/>
        </w:rPr>
        <w:fldChar w:fldCharType="separate"/>
      </w:r>
      <w:r>
        <w:rPr>
          <w:noProof/>
          <w:webHidden/>
        </w:rPr>
        <w:t>3</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"_Toc220982949" </w:instrText>
      </w:r>
      <w:r>
        <w:rPr/>
        <w:fldChar w:fldCharType="separate"/>
      </w:r>
      <w:r>
        <w:rPr>
          <w:rStyle w:val="style85"/>
          <w:noProof/>
        </w:rPr>
        <w:t>2</w:t>
      </w:r>
      <w:r>
        <w:rPr>
          <w:rFonts w:ascii="Aptos" w:hAnsi="Aptos"/>
          <w:noProof/>
          <w:kern w:val="2"/>
          <w:sz w:val="24"/>
          <w:szCs w:val="30"/>
          <w:lang w:bidi="bn-IN" w:eastAsia="zh-CN"/>
          <w14:ligatures xmlns:w14="http://schemas.microsoft.com/office/word/2010/wordml" w14:val="standardContextual"/>
        </w:rPr>
        <w:tab/>
      </w:r>
      <w:r>
        <w:rPr>
          <w:rStyle w:val="style85"/>
          <w:noProof/>
        </w:rPr>
        <w:t>Organisation of Health Care Systems and COVID-19 Response</w:t>
      </w:r>
      <w:r>
        <w:rPr>
          <w:noProof/>
          <w:webHidden/>
        </w:rPr>
        <w:tab/>
      </w:r>
      <w:r>
        <w:rPr>
          <w:noProof/>
          <w:webHidden/>
        </w:rPr>
        <w:fldChar w:fldCharType="begin"/>
      </w:r>
      <w:r>
        <w:rPr>
          <w:noProof/>
          <w:webHidden/>
        </w:rPr>
        <w:instrText xml:space="preserve"> PAGEREF _Toc220982949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"_Toc220982950" </w:instrText>
      </w:r>
      <w:r>
        <w:rPr/>
        <w:fldChar w:fldCharType="separate"/>
      </w:r>
      <w:r>
        <w:rPr>
          <w:rStyle w:val="style85"/>
          <w:noProof/>
        </w:rPr>
        <w:t>2.1</w:t>
      </w:r>
      <w:r>
        <w:rPr>
          <w:rFonts w:ascii="Aptos" w:hAnsi="Aptos"/>
          <w:noProof/>
          <w:kern w:val="2"/>
          <w:sz w:val="24"/>
          <w:szCs w:val="30"/>
          <w:lang w:bidi="bn-IN" w:eastAsia="zh-CN"/>
          <w14:ligatures xmlns:w14="http://schemas.microsoft.com/office/word/2010/wordml" w14:val="standardContextual"/>
        </w:rPr>
        <w:tab/>
      </w:r>
      <w:r>
        <w:rPr>
          <w:rStyle w:val="style85"/>
          <w:noProof/>
        </w:rPr>
        <w:t>Health Care System Organisation in Spain</w:t>
      </w:r>
      <w:r>
        <w:rPr>
          <w:noProof/>
          <w:webHidden/>
        </w:rPr>
        <w:tab/>
      </w:r>
      <w:r>
        <w:rPr>
          <w:noProof/>
          <w:webHidden/>
        </w:rPr>
        <w:fldChar w:fldCharType="begin"/>
      </w:r>
      <w:r>
        <w:rPr>
          <w:noProof/>
          <w:webHidden/>
        </w:rPr>
        <w:instrText xml:space="preserve"> PAGEREF _Toc220982950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"_Toc220982951" </w:instrText>
      </w:r>
      <w:r>
        <w:rPr/>
        <w:fldChar w:fldCharType="separate"/>
      </w:r>
      <w:r>
        <w:rPr>
          <w:rStyle w:val="style85"/>
          <w:noProof/>
        </w:rPr>
        <w:t>2.2</w:t>
      </w:r>
      <w:r>
        <w:rPr>
          <w:rFonts w:ascii="Aptos" w:hAnsi="Aptos"/>
          <w:noProof/>
          <w:kern w:val="2"/>
          <w:sz w:val="24"/>
          <w:szCs w:val="30"/>
          <w:lang w:bidi="bn-IN" w:eastAsia="zh-CN"/>
          <w14:ligatures xmlns:w14="http://schemas.microsoft.com/office/word/2010/wordml" w14:val="standardContextual"/>
        </w:rPr>
        <w:tab/>
      </w:r>
      <w:r>
        <w:rPr>
          <w:rStyle w:val="style85"/>
          <w:noProof/>
        </w:rPr>
        <w:t>Health Care System Organisation in South Korea</w:t>
      </w:r>
      <w:r>
        <w:rPr>
          <w:noProof/>
          <w:webHidden/>
        </w:rPr>
        <w:tab/>
      </w:r>
      <w:r>
        <w:rPr>
          <w:noProof/>
          <w:webHidden/>
        </w:rPr>
        <w:fldChar w:fldCharType="begin"/>
      </w:r>
      <w:r>
        <w:rPr>
          <w:noProof/>
          <w:webHidden/>
        </w:rPr>
        <w:instrText xml:space="preserve"> PAGEREF _Toc220982951 \h </w:instrText>
      </w:r>
      <w:r>
        <w:rPr>
          <w:noProof/>
          <w:webHidden/>
        </w:rPr>
        <w:fldChar w:fldCharType="separate"/>
      </w:r>
      <w:r>
        <w:rPr>
          <w:noProof/>
          <w:webHidden/>
        </w:rPr>
        <w:t>5</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"_Toc220982952" </w:instrText>
      </w:r>
      <w:r>
        <w:rPr/>
        <w:fldChar w:fldCharType="separate"/>
      </w:r>
      <w:r>
        <w:rPr>
          <w:rStyle w:val="style85"/>
          <w:noProof/>
        </w:rPr>
        <w:t>2.3</w:t>
      </w:r>
      <w:r>
        <w:rPr>
          <w:rFonts w:ascii="Aptos" w:hAnsi="Aptos"/>
          <w:noProof/>
          <w:kern w:val="2"/>
          <w:sz w:val="24"/>
          <w:szCs w:val="30"/>
          <w:lang w:bidi="bn-IN" w:eastAsia="zh-CN"/>
          <w14:ligatures xmlns:w14="http://schemas.microsoft.com/office/word/2010/wordml" w14:val="standardContextual"/>
        </w:rPr>
        <w:tab/>
      </w:r>
      <w:r>
        <w:rPr>
          <w:rStyle w:val="style85"/>
          <w:noProof/>
        </w:rPr>
        <w:t>Health Care System Organisation in Canada</w:t>
      </w:r>
      <w:r>
        <w:rPr>
          <w:noProof/>
          <w:webHidden/>
        </w:rPr>
        <w:tab/>
      </w:r>
      <w:r>
        <w:rPr>
          <w:noProof/>
          <w:webHidden/>
        </w:rPr>
        <w:fldChar w:fldCharType="begin"/>
      </w:r>
      <w:r>
        <w:rPr>
          <w:noProof/>
          <w:webHidden/>
        </w:rPr>
        <w:instrText xml:space="preserve"> PAGEREF _Toc220982952 \h </w:instrText>
      </w:r>
      <w:r>
        <w:rPr>
          <w:noProof/>
          <w:webHidden/>
        </w:rPr>
        <w:fldChar w:fldCharType="separate"/>
      </w:r>
      <w:r>
        <w:rPr>
          <w:noProof/>
          <w:webHidden/>
        </w:rPr>
        <w:t>6</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"_Toc220982953" </w:instrText>
      </w:r>
      <w:r>
        <w:rPr/>
        <w:fldChar w:fldCharType="separate"/>
      </w:r>
      <w:r>
        <w:rPr>
          <w:rStyle w:val="style85"/>
          <w:noProof/>
        </w:rPr>
        <w:t>3</w:t>
      </w:r>
      <w:r>
        <w:rPr>
          <w:rFonts w:ascii="Aptos" w:hAnsi="Aptos"/>
          <w:noProof/>
          <w:kern w:val="2"/>
          <w:sz w:val="24"/>
          <w:szCs w:val="30"/>
          <w:lang w:bidi="bn-IN" w:eastAsia="zh-CN"/>
          <w14:ligatures xmlns:w14="http://schemas.microsoft.com/office/word/2010/wordml" w14:val="standardContextual"/>
        </w:rPr>
        <w:tab/>
      </w:r>
      <w:r>
        <w:rPr>
          <w:rStyle w:val="style85"/>
          <w:noProof/>
        </w:rPr>
        <w:t>Leadership Approaches During the COVID-19 Pandemic</w:t>
      </w:r>
      <w:r>
        <w:rPr>
          <w:noProof/>
          <w:webHidden/>
        </w:rPr>
        <w:tab/>
      </w:r>
      <w:r>
        <w:rPr>
          <w:noProof/>
          <w:webHidden/>
        </w:rPr>
        <w:fldChar w:fldCharType="begin"/>
      </w:r>
      <w:r>
        <w:rPr>
          <w:noProof/>
          <w:webHidden/>
        </w:rPr>
        <w:instrText xml:space="preserve"> PAGEREF _Toc220982953 \h </w:instrText>
      </w:r>
      <w:r>
        <w:rPr>
          <w:noProof/>
          <w:webHidden/>
        </w:rPr>
        <w:fldChar w:fldCharType="separate"/>
      </w:r>
      <w:r>
        <w:rPr>
          <w:noProof/>
          <w:webHidden/>
        </w:rPr>
        <w:t>7</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"_Toc220982954" </w:instrText>
      </w:r>
      <w:r>
        <w:rPr/>
        <w:fldChar w:fldCharType="separate"/>
      </w:r>
      <w:r>
        <w:rPr>
          <w:rStyle w:val="style85"/>
          <w:noProof/>
        </w:rPr>
        <w:t>3.1</w:t>
      </w:r>
      <w:r>
        <w:rPr>
          <w:rFonts w:ascii="Aptos" w:hAnsi="Aptos"/>
          <w:noProof/>
          <w:kern w:val="2"/>
          <w:sz w:val="24"/>
          <w:szCs w:val="30"/>
          <w:lang w:bidi="bn-IN" w:eastAsia="zh-CN"/>
          <w14:ligatures xmlns:w14="http://schemas.microsoft.com/office/word/2010/wordml" w14:val="standardContextual"/>
        </w:rPr>
        <w:tab/>
      </w:r>
      <w:r>
        <w:rPr>
          <w:rStyle w:val="style85"/>
          <w:noProof/>
        </w:rPr>
        <w:t>Leadership Response in Spain: Salvador Illa</w:t>
      </w:r>
      <w:r>
        <w:rPr>
          <w:noProof/>
          <w:webHidden/>
        </w:rPr>
        <w:tab/>
      </w:r>
      <w:r>
        <w:rPr>
          <w:noProof/>
          <w:webHidden/>
        </w:rPr>
        <w:fldChar w:fldCharType="begin"/>
      </w:r>
      <w:r>
        <w:rPr>
          <w:noProof/>
          <w:webHidden/>
        </w:rPr>
        <w:instrText xml:space="preserve"> PAGEREF _Toc220982954 \h </w:instrText>
      </w:r>
      <w:r>
        <w:rPr>
          <w:noProof/>
          <w:webHidden/>
        </w:rPr>
        <w:fldChar w:fldCharType="separate"/>
      </w:r>
      <w:r>
        <w:rPr>
          <w:noProof/>
          <w:webHidden/>
        </w:rPr>
        <w:t>7</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"_Toc220982955" </w:instrText>
      </w:r>
      <w:r>
        <w:rPr/>
        <w:fldChar w:fldCharType="separate"/>
      </w:r>
      <w:r>
        <w:rPr>
          <w:rStyle w:val="style85"/>
          <w:noProof/>
        </w:rPr>
        <w:t>3.2</w:t>
      </w:r>
      <w:r>
        <w:rPr>
          <w:rFonts w:ascii="Aptos" w:hAnsi="Aptos"/>
          <w:noProof/>
          <w:kern w:val="2"/>
          <w:sz w:val="24"/>
          <w:szCs w:val="30"/>
          <w:lang w:bidi="bn-IN" w:eastAsia="zh-CN"/>
          <w14:ligatures xmlns:w14="http://schemas.microsoft.com/office/word/2010/wordml" w14:val="standardContextual"/>
        </w:rPr>
        <w:tab/>
      </w:r>
      <w:r>
        <w:rPr>
          <w:rStyle w:val="style85"/>
          <w:noProof/>
        </w:rPr>
        <w:t>Leadership Response in South Korea: Prime Minister Chung Sye-kyun</w:t>
      </w:r>
      <w:r>
        <w:rPr>
          <w:noProof/>
          <w:webHidden/>
        </w:rPr>
        <w:tab/>
      </w:r>
      <w:r>
        <w:rPr>
          <w:noProof/>
          <w:webHidden/>
        </w:rPr>
        <w:fldChar w:fldCharType="begin"/>
      </w:r>
      <w:r>
        <w:rPr>
          <w:noProof/>
          <w:webHidden/>
        </w:rPr>
        <w:instrText xml:space="preserve"> PAGEREF _Toc220982955 \h </w:instrText>
      </w:r>
      <w:r>
        <w:rPr>
          <w:noProof/>
          <w:webHidden/>
        </w:rPr>
        <w:fldChar w:fldCharType="separate"/>
      </w:r>
      <w:r>
        <w:rPr>
          <w:noProof/>
          <w:webHidden/>
        </w:rPr>
        <w:t>8</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"_Toc220982956" </w:instrText>
      </w:r>
      <w:r>
        <w:rPr/>
        <w:fldChar w:fldCharType="separate"/>
      </w:r>
      <w:r>
        <w:rPr>
          <w:rStyle w:val="style85"/>
          <w:noProof/>
        </w:rPr>
        <w:t>3.3</w:t>
      </w:r>
      <w:r>
        <w:rPr>
          <w:rFonts w:ascii="Aptos" w:hAnsi="Aptos"/>
          <w:noProof/>
          <w:kern w:val="2"/>
          <w:sz w:val="24"/>
          <w:szCs w:val="30"/>
          <w:lang w:bidi="bn-IN" w:eastAsia="zh-CN"/>
          <w14:ligatures xmlns:w14="http://schemas.microsoft.com/office/word/2010/wordml" w14:val="standardContextual"/>
        </w:rPr>
        <w:tab/>
      </w:r>
      <w:r>
        <w:rPr>
          <w:rStyle w:val="style85"/>
          <w:noProof/>
        </w:rPr>
        <w:t>Leadership Response in Canada: Prime Minister Justin Trudeau</w:t>
      </w:r>
      <w:r>
        <w:rPr>
          <w:noProof/>
          <w:webHidden/>
        </w:rPr>
        <w:tab/>
      </w:r>
      <w:r>
        <w:rPr>
          <w:noProof/>
          <w:webHidden/>
        </w:rPr>
        <w:fldChar w:fldCharType="begin"/>
      </w:r>
      <w:r>
        <w:rPr>
          <w:noProof/>
          <w:webHidden/>
        </w:rPr>
        <w:instrText xml:space="preserve"> PAGEREF _Toc220982956 \h </w:instrText>
      </w:r>
      <w:r>
        <w:rPr>
          <w:noProof/>
          <w:webHidden/>
        </w:rPr>
        <w:fldChar w:fldCharType="separate"/>
      </w:r>
      <w:r>
        <w:rPr>
          <w:noProof/>
          <w:webHidden/>
        </w:rPr>
        <w:t>8</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"_Toc220982957" </w:instrText>
      </w:r>
      <w:r>
        <w:rPr/>
        <w:fldChar w:fldCharType="separate"/>
      </w:r>
      <w:r>
        <w:rPr>
          <w:rStyle w:val="style85"/>
          <w:noProof/>
        </w:rPr>
        <w:t>4</w:t>
      </w:r>
      <w:r>
        <w:rPr>
          <w:rFonts w:ascii="Aptos" w:hAnsi="Aptos"/>
          <w:noProof/>
          <w:kern w:val="2"/>
          <w:sz w:val="24"/>
          <w:szCs w:val="30"/>
          <w:lang w:bidi="bn-IN" w:eastAsia="zh-CN"/>
          <w14:ligatures xmlns:w14="http://schemas.microsoft.com/office/word/2010/wordml" w14:val="standardContextual"/>
        </w:rPr>
        <w:tab/>
      </w:r>
      <w:r>
        <w:rPr>
          <w:rStyle w:val="style85"/>
          <w:noProof/>
        </w:rPr>
        <w:t>Centralisation and Decentralisation of Power in Pandemic Management</w:t>
      </w:r>
      <w:r>
        <w:rPr>
          <w:noProof/>
          <w:webHidden/>
        </w:rPr>
        <w:tab/>
      </w:r>
      <w:r>
        <w:rPr>
          <w:noProof/>
          <w:webHidden/>
        </w:rPr>
        <w:fldChar w:fldCharType="begin"/>
      </w:r>
      <w:r>
        <w:rPr>
          <w:noProof/>
          <w:webHidden/>
        </w:rPr>
        <w:instrText xml:space="preserve"> PAGEREF _Toc220982957 \h </w:instrText>
      </w:r>
      <w:r>
        <w:rPr>
          <w:noProof/>
          <w:webHidden/>
        </w:rPr>
        <w:fldChar w:fldCharType="separate"/>
      </w:r>
      <w:r>
        <w:rPr>
          <w:noProof/>
          <w:webHidden/>
        </w:rPr>
        <w:t>10</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"_Toc220982958" </w:instrText>
      </w:r>
      <w:r>
        <w:rPr/>
        <w:fldChar w:fldCharType="separate"/>
      </w:r>
      <w:r>
        <w:rPr>
          <w:rStyle w:val="style85"/>
          <w:noProof/>
        </w:rPr>
        <w:t>4.1</w:t>
      </w:r>
      <w:r>
        <w:rPr>
          <w:rFonts w:ascii="Aptos" w:hAnsi="Aptos"/>
          <w:noProof/>
          <w:kern w:val="2"/>
          <w:sz w:val="24"/>
          <w:szCs w:val="30"/>
          <w:lang w:bidi="bn-IN" w:eastAsia="zh-CN"/>
          <w14:ligatures xmlns:w14="http://schemas.microsoft.com/office/word/2010/wordml" w14:val="standardContextual"/>
        </w:rPr>
        <w:tab/>
      </w:r>
      <w:r>
        <w:rPr>
          <w:rStyle w:val="style85"/>
          <w:noProof/>
        </w:rPr>
        <w:t>Spain’s Governance Structure and Decision-Making</w:t>
      </w:r>
      <w:r>
        <w:rPr>
          <w:noProof/>
          <w:webHidden/>
        </w:rPr>
        <w:tab/>
      </w:r>
      <w:r>
        <w:rPr>
          <w:noProof/>
          <w:webHidden/>
        </w:rPr>
        <w:fldChar w:fldCharType="begin"/>
      </w:r>
      <w:r>
        <w:rPr>
          <w:noProof/>
          <w:webHidden/>
        </w:rPr>
        <w:instrText xml:space="preserve"> PAGEREF _Toc220982958 \h </w:instrText>
      </w:r>
      <w:r>
        <w:rPr>
          <w:noProof/>
          <w:webHidden/>
        </w:rPr>
        <w:fldChar w:fldCharType="separate"/>
      </w:r>
      <w:r>
        <w:rPr>
          <w:noProof/>
          <w:webHidden/>
        </w:rPr>
        <w:t>10</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"_Toc220982959" </w:instrText>
      </w:r>
      <w:r>
        <w:rPr/>
        <w:fldChar w:fldCharType="separate"/>
      </w:r>
      <w:r>
        <w:rPr>
          <w:rStyle w:val="style85"/>
          <w:noProof/>
        </w:rPr>
        <w:t>4.2</w:t>
      </w:r>
      <w:r>
        <w:rPr>
          <w:rFonts w:ascii="Aptos" w:hAnsi="Aptos"/>
          <w:noProof/>
          <w:kern w:val="2"/>
          <w:sz w:val="24"/>
          <w:szCs w:val="30"/>
          <w:lang w:bidi="bn-IN" w:eastAsia="zh-CN"/>
          <w14:ligatures xmlns:w14="http://schemas.microsoft.com/office/word/2010/wordml" w14:val="standardContextual"/>
        </w:rPr>
        <w:tab/>
      </w:r>
      <w:r>
        <w:rPr>
          <w:rStyle w:val="style85"/>
          <w:noProof/>
        </w:rPr>
        <w:t>South Korea’s Centralised and Coordinated Approach</w:t>
      </w:r>
      <w:r>
        <w:rPr>
          <w:noProof/>
          <w:webHidden/>
        </w:rPr>
        <w:tab/>
      </w:r>
      <w:r>
        <w:rPr>
          <w:noProof/>
          <w:webHidden/>
        </w:rPr>
        <w:fldChar w:fldCharType="begin"/>
      </w:r>
      <w:r>
        <w:rPr>
          <w:noProof/>
          <w:webHidden/>
        </w:rPr>
        <w:instrText xml:space="preserve"> PAGEREF _Toc220982959 \h </w:instrText>
      </w:r>
      <w:r>
        <w:rPr>
          <w:noProof/>
          <w:webHidden/>
        </w:rPr>
        <w:fldChar w:fldCharType="separate"/>
      </w:r>
      <w:r>
        <w:rPr>
          <w:noProof/>
          <w:webHidden/>
        </w:rPr>
        <w:t>11</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"_Toc220982960" </w:instrText>
      </w:r>
      <w:r>
        <w:rPr/>
        <w:fldChar w:fldCharType="separate"/>
      </w:r>
      <w:r>
        <w:rPr>
          <w:rStyle w:val="style85"/>
          <w:noProof/>
        </w:rPr>
        <w:t>4.3</w:t>
      </w:r>
      <w:r>
        <w:rPr>
          <w:rFonts w:ascii="Aptos" w:hAnsi="Aptos"/>
          <w:noProof/>
          <w:kern w:val="2"/>
          <w:sz w:val="24"/>
          <w:szCs w:val="30"/>
          <w:lang w:bidi="bn-IN" w:eastAsia="zh-CN"/>
          <w14:ligatures xmlns:w14="http://schemas.microsoft.com/office/word/2010/wordml" w14:val="standardContextual"/>
        </w:rPr>
        <w:tab/>
      </w:r>
      <w:r>
        <w:rPr>
          <w:rStyle w:val="style85"/>
          <w:noProof/>
        </w:rPr>
        <w:t>Canada’s Federal and Decentralised Health Governance</w:t>
      </w:r>
      <w:r>
        <w:rPr>
          <w:noProof/>
          <w:webHidden/>
        </w:rPr>
        <w:tab/>
      </w:r>
      <w:r>
        <w:rPr>
          <w:noProof/>
          <w:webHidden/>
        </w:rPr>
        <w:fldChar w:fldCharType="begin"/>
      </w:r>
      <w:r>
        <w:rPr>
          <w:noProof/>
          <w:webHidden/>
        </w:rPr>
        <w:instrText xml:space="preserve"> PAGEREF _Toc220982960 \h </w:instrText>
      </w:r>
      <w:r>
        <w:rPr>
          <w:noProof/>
          <w:webHidden/>
        </w:rPr>
        <w:fldChar w:fldCharType="separate"/>
      </w:r>
      <w:r>
        <w:rPr>
          <w:noProof/>
          <w:webHidden/>
        </w:rPr>
        <w:t>12</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"_Toc220982961" </w:instrText>
      </w:r>
      <w:r>
        <w:rPr/>
        <w:fldChar w:fldCharType="separate"/>
      </w:r>
      <w:r>
        <w:rPr>
          <w:rStyle w:val="style85"/>
          <w:noProof/>
        </w:rPr>
        <w:t>5</w:t>
      </w:r>
      <w:r>
        <w:rPr>
          <w:rFonts w:ascii="Aptos" w:hAnsi="Aptos"/>
          <w:noProof/>
          <w:kern w:val="2"/>
          <w:sz w:val="24"/>
          <w:szCs w:val="30"/>
          <w:lang w:bidi="bn-IN" w:eastAsia="zh-CN"/>
          <w14:ligatures xmlns:w14="http://schemas.microsoft.com/office/word/2010/wordml" w14:val="standardContextual"/>
        </w:rPr>
        <w:tab/>
      </w:r>
      <w:r>
        <w:rPr>
          <w:rStyle w:val="style85"/>
          <w:noProof/>
        </w:rPr>
        <w:t>Leadership Influence on Health System Structuring and Vaccination Roll-Out</w:t>
      </w:r>
      <w:r>
        <w:rPr>
          <w:noProof/>
          <w:webHidden/>
        </w:rPr>
        <w:tab/>
      </w:r>
      <w:r>
        <w:rPr>
          <w:noProof/>
          <w:webHidden/>
        </w:rPr>
        <w:fldChar w:fldCharType="begin"/>
      </w:r>
      <w:r>
        <w:rPr>
          <w:noProof/>
          <w:webHidden/>
        </w:rPr>
        <w:instrText xml:space="preserve"> PAGEREF _Toc220982961 \h </w:instrText>
      </w:r>
      <w:r>
        <w:rPr>
          <w:noProof/>
          <w:webHidden/>
        </w:rPr>
        <w:fldChar w:fldCharType="separate"/>
      </w:r>
      <w:r>
        <w:rPr>
          <w:noProof/>
          <w:webHidden/>
        </w:rPr>
        <w:t>13</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"_Toc220982962" </w:instrText>
      </w:r>
      <w:r>
        <w:rPr/>
        <w:fldChar w:fldCharType="separate"/>
      </w:r>
      <w:r>
        <w:rPr>
          <w:rStyle w:val="style85"/>
          <w:noProof/>
        </w:rPr>
        <w:t>5.1</w:t>
      </w:r>
      <w:r>
        <w:rPr>
          <w:rFonts w:ascii="Aptos" w:hAnsi="Aptos"/>
          <w:noProof/>
          <w:kern w:val="2"/>
          <w:sz w:val="24"/>
          <w:szCs w:val="30"/>
          <w:lang w:bidi="bn-IN" w:eastAsia="zh-CN"/>
          <w14:ligatures xmlns:w14="http://schemas.microsoft.com/office/word/2010/wordml" w14:val="standardContextual"/>
        </w:rPr>
        <w:tab/>
      </w:r>
      <w:r>
        <w:rPr>
          <w:rStyle w:val="style85"/>
          <w:noProof/>
        </w:rPr>
        <w:t>Spain’s Vaccination Strategy and Leadership Impact</w:t>
      </w:r>
      <w:r>
        <w:rPr>
          <w:noProof/>
          <w:webHidden/>
        </w:rPr>
        <w:tab/>
      </w:r>
      <w:r>
        <w:rPr>
          <w:noProof/>
          <w:webHidden/>
        </w:rPr>
        <w:fldChar w:fldCharType="begin"/>
      </w:r>
      <w:r>
        <w:rPr>
          <w:noProof/>
          <w:webHidden/>
        </w:rPr>
        <w:instrText xml:space="preserve"> PAGEREF _Toc220982962 \h </w:instrText>
      </w:r>
      <w:r>
        <w:rPr>
          <w:noProof/>
          <w:webHidden/>
        </w:rPr>
        <w:fldChar w:fldCharType="separate"/>
      </w:r>
      <w:r>
        <w:rPr>
          <w:noProof/>
          <w:webHidden/>
        </w:rPr>
        <w:t>13</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"_Toc220982963" </w:instrText>
      </w:r>
      <w:r>
        <w:rPr/>
        <w:fldChar w:fldCharType="separate"/>
      </w:r>
      <w:r>
        <w:rPr>
          <w:rStyle w:val="style85"/>
          <w:noProof/>
        </w:rPr>
        <w:t>5.2</w:t>
      </w:r>
      <w:r>
        <w:rPr>
          <w:rFonts w:ascii="Aptos" w:hAnsi="Aptos"/>
          <w:noProof/>
          <w:kern w:val="2"/>
          <w:sz w:val="24"/>
          <w:szCs w:val="30"/>
          <w:lang w:bidi="bn-IN" w:eastAsia="zh-CN"/>
          <w14:ligatures xmlns:w14="http://schemas.microsoft.com/office/word/2010/wordml" w14:val="standardContextual"/>
        </w:rPr>
        <w:tab/>
      </w:r>
      <w:r>
        <w:rPr>
          <w:rStyle w:val="style85"/>
          <w:noProof/>
        </w:rPr>
        <w:t>South Korea’s Vaccination and Public Trust Strategy</w:t>
      </w:r>
      <w:r>
        <w:rPr>
          <w:noProof/>
          <w:webHidden/>
        </w:rPr>
        <w:tab/>
      </w:r>
      <w:r>
        <w:rPr>
          <w:noProof/>
          <w:webHidden/>
        </w:rPr>
        <w:fldChar w:fldCharType="begin"/>
      </w:r>
      <w:r>
        <w:rPr>
          <w:noProof/>
          <w:webHidden/>
        </w:rPr>
        <w:instrText xml:space="preserve"> PAGEREF _Toc220982963 \h </w:instrText>
      </w:r>
      <w:r>
        <w:rPr>
          <w:noProof/>
          <w:webHidden/>
        </w:rPr>
        <w:fldChar w:fldCharType="separate"/>
      </w:r>
      <w:r>
        <w:rPr>
          <w:noProof/>
          <w:webHidden/>
        </w:rPr>
        <w:t>14</w:t>
      </w:r>
      <w:r>
        <w:rPr>
          <w:noProof/>
          <w:webHidden/>
        </w:rPr>
        <w:fldChar w:fldCharType="end"/>
      </w:r>
      <w:r>
        <w:rPr/>
        <w:fldChar w:fldCharType="end"/>
      </w:r>
    </w:p>
    <w:p>
      <w:pPr>
        <w:pStyle w:val="style20"/>
        <w:tabs>
          <w:tab w:val="left" w:leader="none" w:pos="96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"_Toc220982964" </w:instrText>
      </w:r>
      <w:r>
        <w:rPr/>
        <w:fldChar w:fldCharType="separate"/>
      </w:r>
      <w:r>
        <w:rPr>
          <w:rStyle w:val="style85"/>
          <w:noProof/>
        </w:rPr>
        <w:t>5.3</w:t>
      </w:r>
      <w:r>
        <w:rPr>
          <w:rFonts w:ascii="Aptos" w:hAnsi="Aptos"/>
          <w:noProof/>
          <w:kern w:val="2"/>
          <w:sz w:val="24"/>
          <w:szCs w:val="30"/>
          <w:lang w:bidi="bn-IN" w:eastAsia="zh-CN"/>
          <w14:ligatures xmlns:w14="http://schemas.microsoft.com/office/word/2010/wordml" w14:val="standardContextual"/>
        </w:rPr>
        <w:tab/>
      </w:r>
      <w:r>
        <w:rPr>
          <w:rStyle w:val="style85"/>
          <w:noProof/>
        </w:rPr>
        <w:t>Canada’s Vaccination Roll-Out: Leadership and Intergovernmental Coordination</w:t>
      </w:r>
      <w:r>
        <w:rPr>
          <w:noProof/>
          <w:webHidden/>
        </w:rPr>
        <w:tab/>
      </w:r>
      <w:r>
        <w:rPr>
          <w:noProof/>
          <w:webHidden/>
        </w:rPr>
        <w:fldChar w:fldCharType="begin"/>
      </w:r>
      <w:r>
        <w:rPr>
          <w:noProof/>
          <w:webHidden/>
        </w:rPr>
        <w:instrText xml:space="preserve"> PAGEREF _Toc220982964 \h </w:instrText>
      </w:r>
      <w:r>
        <w:rPr>
          <w:noProof/>
          <w:webHidden/>
        </w:rPr>
        <w:fldChar w:fldCharType="separate"/>
      </w:r>
      <w:r>
        <w:rPr>
          <w:noProof/>
          <w:webHidden/>
        </w:rPr>
        <w:t>15</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"_Toc220982965" </w:instrText>
      </w:r>
      <w:r>
        <w:rPr/>
        <w:fldChar w:fldCharType="separate"/>
      </w:r>
      <w:r>
        <w:rPr>
          <w:rStyle w:val="style85"/>
          <w:noProof/>
        </w:rPr>
        <w:t>6</w:t>
      </w:r>
      <w:r>
        <w:rPr>
          <w:rFonts w:ascii="Aptos" w:hAnsi="Aptos"/>
          <w:noProof/>
          <w:kern w:val="2"/>
          <w:sz w:val="24"/>
          <w:szCs w:val="30"/>
          <w:lang w:bidi="bn-IN" w:eastAsia="zh-CN"/>
          <w14:ligatures xmlns:w14="http://schemas.microsoft.com/office/word/2010/wordml" w14:val="standardContextual"/>
        </w:rPr>
        <w:tab/>
      </w:r>
      <w:r>
        <w:rPr>
          <w:rStyle w:val="style85"/>
          <w:noProof/>
        </w:rPr>
        <w:t>Comparative Discussion</w:t>
      </w:r>
      <w:r>
        <w:rPr>
          <w:noProof/>
          <w:webHidden/>
        </w:rPr>
        <w:tab/>
      </w:r>
      <w:r>
        <w:rPr>
          <w:noProof/>
          <w:webHidden/>
        </w:rPr>
        <w:fldChar w:fldCharType="begin"/>
      </w:r>
      <w:r>
        <w:rPr>
          <w:noProof/>
          <w:webHidden/>
        </w:rPr>
        <w:instrText xml:space="preserve"> PAGEREF _Toc220982965 \h </w:instrText>
      </w:r>
      <w:r>
        <w:rPr>
          <w:noProof/>
          <w:webHidden/>
        </w:rPr>
        <w:fldChar w:fldCharType="separate"/>
      </w:r>
      <w:r>
        <w:rPr>
          <w:noProof/>
          <w:webHidden/>
        </w:rPr>
        <w:t>16</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"_Toc220982966" </w:instrText>
      </w:r>
      <w:r>
        <w:rPr/>
        <w:fldChar w:fldCharType="separate"/>
      </w:r>
      <w:r>
        <w:rPr>
          <w:rStyle w:val="style85"/>
          <w:noProof/>
        </w:rPr>
        <w:t>7</w:t>
      </w:r>
      <w:r>
        <w:rPr>
          <w:rFonts w:ascii="Aptos" w:hAnsi="Aptos"/>
          <w:noProof/>
          <w:kern w:val="2"/>
          <w:sz w:val="24"/>
          <w:szCs w:val="30"/>
          <w:lang w:bidi="bn-IN" w:eastAsia="zh-CN"/>
          <w14:ligatures xmlns:w14="http://schemas.microsoft.com/office/word/2010/wordml" w14:val="standardContextual"/>
        </w:rPr>
        <w:tab/>
      </w:r>
      <w:r>
        <w:rPr>
          <w:rStyle w:val="style85"/>
          <w:noProof/>
        </w:rPr>
        <w:t>Conclusion</w:t>
      </w:r>
      <w:r>
        <w:rPr>
          <w:noProof/>
          <w:webHidden/>
        </w:rPr>
        <w:tab/>
      </w:r>
      <w:r>
        <w:rPr>
          <w:noProof/>
          <w:webHidden/>
        </w:rPr>
        <w:fldChar w:fldCharType="begin"/>
      </w:r>
      <w:r>
        <w:rPr>
          <w:noProof/>
          <w:webHidden/>
        </w:rPr>
        <w:instrText xml:space="preserve"> PAGEREF _Toc220982966 \h </w:instrText>
      </w:r>
      <w:r>
        <w:rPr>
          <w:noProof/>
          <w:webHidden/>
        </w:rPr>
        <w:fldChar w:fldCharType="separate"/>
      </w:r>
      <w:r>
        <w:rPr>
          <w:noProof/>
          <w:webHidden/>
        </w:rPr>
        <w:t>17</w:t>
      </w:r>
      <w:r>
        <w:rPr>
          <w:noProof/>
          <w:webHidden/>
        </w:rPr>
        <w:fldChar w:fldCharType="end"/>
      </w:r>
      <w:r>
        <w:rPr/>
        <w:fldChar w:fldCharType="end"/>
      </w:r>
    </w:p>
    <w:p>
      <w:pPr>
        <w:pStyle w:val="style19"/>
        <w:tabs>
          <w:tab w:val="left" w:leader="none" w:pos="480"/>
          <w:tab w:val="right" w:leader="dot" w:pos="9350"/>
        </w:tabs>
        <w:rPr>
          <w:rFonts w:ascii="Aptos" w:hAnsi="Aptos"/>
          <w:noProof/>
          <w:kern w:val="2"/>
          <w:sz w:val="24"/>
          <w:szCs w:val="30"/>
          <w:lang w:bidi="bn-IN" w:eastAsia="zh-CN"/>
          <w14:ligatures xmlns:w14="http://schemas.microsoft.com/office/word/2010/wordml" w14:val="standardContextual"/>
        </w:rPr>
      </w:pPr>
      <w:r>
        <w:rPr/>
        <w:fldChar w:fldCharType="begin"/>
      </w:r>
      <w:r>
        <w:instrText xml:space="preserve"> HYPERLINK \l "_Toc220982967" </w:instrText>
      </w:r>
      <w:r>
        <w:rPr/>
        <w:fldChar w:fldCharType="separate"/>
      </w:r>
      <w:r>
        <w:rPr>
          <w:rStyle w:val="style85"/>
          <w:noProof/>
        </w:rPr>
        <w:t>8</w:t>
      </w:r>
      <w:r>
        <w:rPr>
          <w:rFonts w:ascii="Aptos" w:hAnsi="Aptos"/>
          <w:noProof/>
          <w:kern w:val="2"/>
          <w:sz w:val="24"/>
          <w:szCs w:val="30"/>
          <w:lang w:bidi="bn-IN" w:eastAsia="zh-CN"/>
          <w14:ligatures xmlns:w14="http://schemas.microsoft.com/office/word/2010/wordml" w14:val="standardContextual"/>
        </w:rPr>
        <w:tab/>
      </w:r>
      <w:r>
        <w:rPr>
          <w:rStyle w:val="style85"/>
          <w:noProof/>
        </w:rPr>
        <w:t>References</w:t>
      </w:r>
      <w:r>
        <w:rPr>
          <w:noProof/>
          <w:webHidden/>
        </w:rPr>
        <w:tab/>
      </w:r>
      <w:r>
        <w:rPr>
          <w:noProof/>
          <w:webHidden/>
        </w:rPr>
        <w:fldChar w:fldCharType="begin"/>
      </w:r>
      <w:r>
        <w:rPr>
          <w:noProof/>
          <w:webHidden/>
        </w:rPr>
        <w:instrText xml:space="preserve"> PAGEREF _Toc220982967 \h </w:instrText>
      </w:r>
      <w:r>
        <w:rPr>
          <w:noProof/>
          <w:webHidden/>
        </w:rPr>
        <w:fldChar w:fldCharType="separate"/>
      </w:r>
      <w:r>
        <w:rPr>
          <w:noProof/>
          <w:webHidden/>
        </w:rPr>
        <w:t>18</w:t>
      </w:r>
      <w:r>
        <w:rPr>
          <w:noProof/>
          <w:webHidden/>
        </w:rPr>
        <w:fldChar w:fldCharType="end"/>
      </w:r>
      <w:r>
        <w:rPr/>
        <w:fldChar w:fldCharType="end"/>
      </w:r>
    </w:p>
    <w:p>
      <w:pPr>
        <w:pStyle w:val="style0"/>
        <w:rPr/>
      </w:pPr>
      <w:r>
        <w:rPr>
          <w:b/>
          <w:bCs/>
          <w:noProof/>
        </w:rPr>
        <w:fldChar w:fldCharType="end"/>
      </w:r>
    </w:p>
    <w:p>
      <w:pPr>
        <w:pStyle w:val="style0"/>
        <w:rPr>
          <w:rFonts w:cs="Arial"/>
          <w:b/>
          <w:bCs/>
        </w:rPr>
      </w:pPr>
      <w:r>
        <w:rPr>
          <w:rFonts w:cs="Arial"/>
          <w:b/>
          <w:bCs/>
        </w:rPr>
        <w:br w:type="page"/>
      </w:r>
    </w:p>
    <w:bookmarkStart w:id="0" w:name="_Toc220982948"/>
    <w:p>
      <w:pPr>
        <w:pStyle w:val="style1"/>
        <w:spacing w:before="120" w:after="120"/>
        <w:rPr/>
      </w:pPr>
      <w:r>
        <w:t>Introduction</w:t>
      </w:r>
      <w:bookmarkEnd w:id="0"/>
    </w:p>
    <w:p>
      <w:pPr>
        <w:pStyle w:val="style0"/>
        <w:spacing w:before="120" w:after="120"/>
        <w:rPr>
          <w:rFonts w:cs="Arial"/>
        </w:rPr>
      </w:pPr>
      <w:r>
        <w:rPr>
          <w:rFonts w:cs="Arial"/>
        </w:rPr>
        <w:t xml:space="preserve">COVID-19, which is the disease caused by the new coronavirus SARS-CoV-2, appeared </w:t>
      </w:r>
      <w:r>
        <w:rPr>
          <w:rFonts w:cs="Arial"/>
        </w:rPr>
        <w:t>at</w:t>
      </w:r>
      <w:r>
        <w:rPr>
          <w:rFonts w:cs="Arial"/>
        </w:rPr>
        <w:t xml:space="preserve"> the end of December 2019 and quickly evolved to a worldwide health epidemic, targeting almost all countries globally (Ciotti </w:t>
      </w:r>
      <w:r>
        <w:rPr>
          <w:rFonts w:cs="Arial"/>
          <w:i/>
          <w:iCs/>
        </w:rPr>
        <w:t>et al</w:t>
      </w:r>
      <w:r>
        <w:rPr>
          <w:rFonts w:cs="Arial"/>
        </w:rPr>
        <w:t>., 2020). In early 2020</w:t>
      </w:r>
      <w:r>
        <w:rPr>
          <w:rFonts w:cs="Arial"/>
        </w:rPr>
        <w:t>,</w:t>
      </w:r>
      <w:r>
        <w:rPr>
          <w:rFonts w:cs="Arial"/>
        </w:rPr>
        <w:t xml:space="preserve"> the outbreak had reached outside of China</w:t>
      </w:r>
      <w:r>
        <w:rPr>
          <w:rFonts w:cs="Arial"/>
        </w:rPr>
        <w:t>,</w:t>
      </w:r>
      <w:r>
        <w:rPr>
          <w:rFonts w:cs="Arial"/>
        </w:rPr>
        <w:t xml:space="preserve"> and on 11 March 2020</w:t>
      </w:r>
      <w:r>
        <w:rPr>
          <w:rFonts w:cs="Arial"/>
        </w:rPr>
        <w:t>,</w:t>
      </w:r>
      <w:r>
        <w:rPr>
          <w:rFonts w:cs="Arial"/>
        </w:rPr>
        <w:t xml:space="preserve"> the World Health Organisation declared COVID-19 a pandemic because of its rapid spread around the world and highly adverse effect on society. The pandemic has caused unprecedented health, social, and economic disproportion, including damaged health systems, globally widespread lockdown, and an explosive rise in morbidity and mortality (Ciotti </w:t>
      </w:r>
      <w:r>
        <w:rPr>
          <w:rFonts w:cs="Arial"/>
          <w:i/>
          <w:iCs/>
        </w:rPr>
        <w:t>et al</w:t>
      </w:r>
      <w:r>
        <w:rPr>
          <w:rFonts w:cs="Arial"/>
        </w:rPr>
        <w:t>., 2020). The number of confirmed cases globally reached millions, highlighting the magnitude of this health crisis and its pressure on the national public health systems.</w:t>
      </w:r>
    </w:p>
    <w:p>
      <w:pPr>
        <w:pStyle w:val="style0"/>
        <w:spacing w:before="120" w:after="120"/>
        <w:jc w:val="center"/>
        <w:rPr>
          <w:rFonts w:cs="Arial"/>
        </w:rPr>
      </w:pPr>
      <w:r>
        <w:rPr>
          <w:noProof/>
        </w:rPr>
        <w:drawing>
          <wp:inline distL="0" distT="0" distB="0" distR="0">
            <wp:extent cx="5200104" cy="2798390"/>
            <wp:effectExtent l="0" t="0" r="635" b="2540"/>
            <wp:docPr id="1027" name="Picture 1" descr="Key milestones in the spread of the coronavirus pandemic – a timeline |  World Economic Foru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12810" r="0" b="0"/>
                    <a:stretch/>
                  </pic:blipFill>
                  <pic:spPr>
                    <a:xfrm rot="0">
                      <a:off x="0" y="0"/>
                      <a:ext cx="5200104" cy="2798390"/>
                    </a:xfrm>
                    <a:prstGeom prst="rect"/>
                    <a:ln>
                      <a:noFill/>
                    </a:ln>
                  </pic:spPr>
                </pic:pic>
              </a:graphicData>
            </a:graphic>
          </wp:inline>
        </w:drawing>
      </w:r>
    </w:p>
    <w:p>
      <w:pPr>
        <w:pStyle w:val="style157"/>
        <w:spacing w:before="120" w:after="120"/>
        <w:rPr/>
      </w:pPr>
      <w:r>
        <w:t xml:space="preserve">Figure </w:t>
      </w:r>
      <w:r>
        <w:rPr/>
        <w:fldChar w:fldCharType="begin"/>
      </w:r>
      <w:r>
        <w:instrText xml:space="preserve"> SEQ Figure \* ARABIC </w:instrText>
      </w:r>
      <w:r>
        <w:rPr/>
        <w:fldChar w:fldCharType="separate"/>
      </w:r>
      <w:r>
        <w:rPr>
          <w:noProof/>
        </w:rPr>
        <w:t>1</w:t>
      </w:r>
      <w:r>
        <w:rPr/>
        <w:fldChar w:fldCharType="end"/>
      </w:r>
      <w:r>
        <w:t xml:space="preserve"> </w:t>
      </w:r>
      <w:r>
        <w:t xml:space="preserve">Corona-virus timeline in the beginning </w:t>
      </w:r>
      <w:r>
        <w:t>(Kretchmer, 2020)</w:t>
      </w:r>
    </w:p>
    <w:p>
      <w:pPr>
        <w:pStyle w:val="style0"/>
        <w:spacing w:before="120" w:after="120"/>
        <w:rPr>
          <w:rFonts w:cs="Arial"/>
        </w:rPr>
      </w:pPr>
      <w:r>
        <w:rPr>
          <w:rFonts w:cs="Arial"/>
        </w:rPr>
        <w:t xml:space="preserve">This </w:t>
      </w:r>
      <w:r>
        <w:rPr>
          <w:rFonts w:cs="Arial"/>
        </w:rPr>
        <w:t>report</w:t>
      </w:r>
      <w:r>
        <w:rPr>
          <w:rFonts w:cs="Arial"/>
        </w:rPr>
        <w:t xml:space="preserve"> aims to critically compare three different jurisdictions, namely, Spain, South Korea, and Canada, to understand how they </w:t>
      </w:r>
      <w:r>
        <w:rPr>
          <w:rFonts w:cs="Arial"/>
        </w:rPr>
        <w:t>organised</w:t>
      </w:r>
      <w:r>
        <w:rPr>
          <w:rFonts w:cs="Arial"/>
        </w:rPr>
        <w:t xml:space="preserve"> their health care systems and </w:t>
      </w:r>
      <w:r>
        <w:rPr>
          <w:rFonts w:cs="Arial"/>
        </w:rPr>
        <w:t>mobilised</w:t>
      </w:r>
      <w:r>
        <w:rPr>
          <w:rFonts w:cs="Arial"/>
        </w:rPr>
        <w:t xml:space="preserve"> leadership in response to the COVID-19 pandemic. This discussion aims at analysing system structures, leadership styles, </w:t>
      </w:r>
      <w:r>
        <w:rPr>
          <w:rFonts w:cs="Arial"/>
        </w:rPr>
        <w:t>centralisation</w:t>
      </w:r>
      <w:r>
        <w:rPr>
          <w:rFonts w:cs="Arial"/>
        </w:rPr>
        <w:t xml:space="preserve"> versus </w:t>
      </w:r>
      <w:r>
        <w:rPr>
          <w:rFonts w:cs="Arial"/>
        </w:rPr>
        <w:t>decentralisation</w:t>
      </w:r>
      <w:r>
        <w:rPr>
          <w:rFonts w:cs="Arial"/>
        </w:rPr>
        <w:t xml:space="preserve">, and how leaders influenced the health response and vaccination strategies. The choice of Spain, South Korea, and Canada as a diversified health system model and governance system in different socio-political settings can be attributed to this. The highly </w:t>
      </w:r>
      <w:r>
        <w:rPr>
          <w:rFonts w:cs="Arial"/>
        </w:rPr>
        <w:t>decentralised</w:t>
      </w:r>
      <w:r>
        <w:rPr>
          <w:rFonts w:cs="Arial"/>
        </w:rPr>
        <w:t xml:space="preserve"> health care of Spain, the powerful central coordination of South Korea, and the federal shared governance of Canada provide a good comparison in examining the effects of systemic organisation and leadership decisions on the effectiveness of responses to pandemics (Mao, 2024)</w:t>
      </w:r>
      <w:r>
        <w:rPr>
          <w:rFonts w:cs="Arial"/>
        </w:rPr>
        <w:t xml:space="preserve">. </w:t>
      </w:r>
    </w:p>
    <w:bookmarkStart w:id="1" w:name="_Toc220982949"/>
    <w:p>
      <w:pPr>
        <w:pStyle w:val="style1"/>
        <w:spacing w:before="120" w:after="120"/>
        <w:rPr/>
      </w:pPr>
      <w:r>
        <w:t>Organisation of Health Care Systems and COVID-19 Response</w:t>
      </w:r>
      <w:bookmarkEnd w:id="1"/>
    </w:p>
    <w:bookmarkStart w:id="2" w:name="_Toc220982950"/>
    <w:p>
      <w:pPr>
        <w:pStyle w:val="style2"/>
        <w:rPr/>
      </w:pPr>
      <w:r>
        <w:t>Health Care System Organisation in Spain</w:t>
      </w:r>
      <w:bookmarkEnd w:id="2"/>
    </w:p>
    <w:p>
      <w:pPr>
        <w:pStyle w:val="style0"/>
        <w:spacing w:before="120" w:after="120"/>
        <w:rPr>
          <w:rFonts w:cs="Arial"/>
        </w:rPr>
      </w:pPr>
      <w:r>
        <w:rPr>
          <w:rFonts w:cs="Arial"/>
        </w:rPr>
        <w:t xml:space="preserve">The health care system of Spain is a universal public health care system that was instituted in 1986 through Ley General de Sanidad and </w:t>
      </w:r>
      <w:r>
        <w:rPr>
          <w:rFonts w:cs="Arial"/>
        </w:rPr>
        <w:t>organised</w:t>
      </w:r>
      <w:r>
        <w:rPr>
          <w:rFonts w:cs="Arial"/>
        </w:rPr>
        <w:t xml:space="preserve"> on the basis of the Spanish National Health System (SNS) (</w:t>
      </w:r>
      <w:r>
        <w:rPr>
          <w:rFonts w:cs="Arial"/>
        </w:rPr>
        <w:t>Avanzas</w:t>
      </w:r>
      <w:r>
        <w:rPr>
          <w:rFonts w:cs="Arial"/>
        </w:rPr>
        <w:t xml:space="preserve"> </w:t>
      </w:r>
      <w:r>
        <w:rPr>
          <w:rFonts w:cs="Arial"/>
          <w:i/>
          <w:iCs/>
        </w:rPr>
        <w:t>et al</w:t>
      </w:r>
      <w:r>
        <w:rPr>
          <w:rFonts w:cs="Arial"/>
        </w:rPr>
        <w:t xml:space="preserve">., 2017). The SNS offers full health care to every citizen, which is mainly financed by general taxation, and planning, financing, and delivery of services are pushed by the governmental authorities. Health services have been increasingly devolved to the 17 autonomous communities in Spain, of which most of the responsibility in service delivery is vested, with the central Ministry of Health playing a minimal coordinating role and establishing the national policy standards (Duenas </w:t>
      </w:r>
      <w:r>
        <w:rPr>
          <w:rFonts w:cs="Arial"/>
          <w:i/>
          <w:iCs/>
        </w:rPr>
        <w:t>et al</w:t>
      </w:r>
      <w:r>
        <w:rPr>
          <w:rFonts w:cs="Arial"/>
        </w:rPr>
        <w:t xml:space="preserve">., 2016). The SNS Interterritorial Council assists in aligning the health services and attaining equity among the regions, yet there is still a great deal of administrative and </w:t>
      </w:r>
      <w:r>
        <w:rPr>
          <w:rFonts w:cs="Arial"/>
        </w:rPr>
        <w:t>organisational</w:t>
      </w:r>
      <w:r>
        <w:rPr>
          <w:rFonts w:cs="Arial"/>
        </w:rPr>
        <w:t xml:space="preserve"> independence on the regional level. </w:t>
      </w:r>
    </w:p>
    <w:p>
      <w:pPr>
        <w:pStyle w:val="style0"/>
        <w:spacing w:before="120" w:after="120"/>
        <w:rPr>
          <w:rFonts w:cs="Arial"/>
        </w:rPr>
      </w:pPr>
      <w:r>
        <w:rPr>
          <w:rFonts w:cs="Arial"/>
        </w:rPr>
        <w:t xml:space="preserve">This type of </w:t>
      </w:r>
      <w:r>
        <w:rPr>
          <w:rFonts w:cs="Arial"/>
        </w:rPr>
        <w:t>decentralised</w:t>
      </w:r>
      <w:r>
        <w:rPr>
          <w:rFonts w:cs="Arial"/>
        </w:rPr>
        <w:t xml:space="preserve"> organisation structure defined the response to the pandemic in Spain. The first wave of COVID-19 exposed differences in </w:t>
      </w:r>
      <w:r>
        <w:rPr>
          <w:rFonts w:cs="Arial"/>
        </w:rPr>
        <w:t xml:space="preserve">the </w:t>
      </w:r>
      <w:r>
        <w:rPr>
          <w:rFonts w:cs="Arial"/>
        </w:rPr>
        <w:t xml:space="preserve">intensity of preparedness and capacity to respond by the regional health authorities, highlighting the issue of coordination between the national and regional governance systems (Casasnovas and Pifarre </w:t>
      </w:r>
      <w:r>
        <w:rPr>
          <w:rFonts w:cs="Arial"/>
        </w:rPr>
        <w:t>i</w:t>
      </w:r>
      <w:r>
        <w:rPr>
          <w:rFonts w:cs="Arial"/>
        </w:rPr>
        <w:t xml:space="preserve"> Arolas, 2021). Although the SNS is theoretically able to provide universal coverage, a high level of regional autonomy led to fragmentation in testing, reporting, and resource distribution that added to delayed and uneven responses in early 2020 (</w:t>
      </w:r>
      <w:r>
        <w:rPr>
          <w:rFonts w:cs="Arial"/>
        </w:rPr>
        <w:t>Tavakkoli</w:t>
      </w:r>
      <w:r>
        <w:rPr>
          <w:rFonts w:cs="Arial"/>
        </w:rPr>
        <w:t xml:space="preserve"> </w:t>
      </w:r>
      <w:r>
        <w:rPr>
          <w:rFonts w:cs="Arial"/>
          <w:i/>
          <w:iCs/>
        </w:rPr>
        <w:t>et al</w:t>
      </w:r>
      <w:r>
        <w:rPr>
          <w:rFonts w:cs="Arial"/>
        </w:rPr>
        <w:t xml:space="preserve">., 2022). Hospitals in certain areas also became overwhelmed fast, and the inter-jurisdictional allocation of scarce resources, including ventilators and PPE, became logistically difficult. </w:t>
      </w:r>
    </w:p>
    <w:p>
      <w:pPr>
        <w:pStyle w:val="style0"/>
        <w:spacing w:before="120" w:after="120"/>
        <w:rPr>
          <w:rFonts w:cs="Arial"/>
        </w:rPr>
      </w:pPr>
      <w:r>
        <w:rPr>
          <w:rFonts w:cs="Arial"/>
        </w:rPr>
        <w:t xml:space="preserve">However, scholarly commentaries indicate that Spain enjoyed a platform of universal coverage and a well-developed public health network to jump-start its adaptation in case regional and national officials could get </w:t>
      </w:r>
      <w:r>
        <w:rPr>
          <w:rFonts w:cs="Arial"/>
        </w:rPr>
        <w:t>mobilised</w:t>
      </w:r>
      <w:r>
        <w:rPr>
          <w:rFonts w:cs="Arial"/>
        </w:rPr>
        <w:t xml:space="preserve"> (</w:t>
      </w:r>
      <w:r>
        <w:rPr>
          <w:rFonts w:cs="Arial"/>
        </w:rPr>
        <w:t>Legido</w:t>
      </w:r>
      <w:r>
        <w:rPr>
          <w:rFonts w:cs="Arial"/>
        </w:rPr>
        <w:t xml:space="preserve">-Quigley </w:t>
      </w:r>
      <w:r>
        <w:rPr>
          <w:rFonts w:cs="Arial"/>
          <w:i/>
          <w:iCs/>
        </w:rPr>
        <w:t>et al</w:t>
      </w:r>
      <w:r>
        <w:rPr>
          <w:rFonts w:cs="Arial"/>
        </w:rPr>
        <w:t xml:space="preserve">., 2020). The universal availability of the SNS made COVID-19 care free at the point of delivery to all infected individuals, which </w:t>
      </w:r>
      <w:r>
        <w:rPr>
          <w:rFonts w:cs="Arial"/>
        </w:rPr>
        <w:t>minimised</w:t>
      </w:r>
      <w:r>
        <w:rPr>
          <w:rFonts w:cs="Arial"/>
        </w:rPr>
        <w:t xml:space="preserve"> obstacles to treatment (</w:t>
      </w:r>
      <w:r>
        <w:rPr>
          <w:rFonts w:cs="Arial"/>
        </w:rPr>
        <w:t>Tavakkoli</w:t>
      </w:r>
      <w:r>
        <w:rPr>
          <w:rFonts w:cs="Arial"/>
        </w:rPr>
        <w:t xml:space="preserve"> </w:t>
      </w:r>
      <w:r>
        <w:rPr>
          <w:rFonts w:cs="Arial"/>
          <w:i/>
          <w:iCs/>
        </w:rPr>
        <w:t>et al</w:t>
      </w:r>
      <w:r>
        <w:rPr>
          <w:rFonts w:cs="Arial"/>
        </w:rPr>
        <w:t>., 2022). In addition, Spanish health systems reinforced coordination systems via emergency governance systems, such as the cross-regional clinical networks</w:t>
      </w:r>
      <w:r>
        <w:rPr>
          <w:rFonts w:cs="Arial"/>
        </w:rPr>
        <w:t>,</w:t>
      </w:r>
      <w:r>
        <w:rPr>
          <w:rFonts w:cs="Arial"/>
        </w:rPr>
        <w:t xml:space="preserve"> as well as capacity planning in case of subsequent waves. This assisted in controlling hospital surge capacity and </w:t>
      </w:r>
      <w:r>
        <w:rPr>
          <w:rFonts w:cs="Arial"/>
        </w:rPr>
        <w:t>utilising</w:t>
      </w:r>
      <w:r>
        <w:rPr>
          <w:rFonts w:cs="Arial"/>
        </w:rPr>
        <w:t xml:space="preserve"> local knowledge in critical care. </w:t>
      </w:r>
    </w:p>
    <w:p>
      <w:pPr>
        <w:pStyle w:val="style0"/>
        <w:spacing w:before="120" w:after="120"/>
        <w:rPr>
          <w:rFonts w:cs="Arial"/>
        </w:rPr>
      </w:pPr>
      <w:r>
        <w:rPr>
          <w:rFonts w:cs="Arial"/>
        </w:rPr>
        <w:t xml:space="preserve">Spain also needed to quickly increase intensive care and emergency services, convert facilities to COVID-19 care, and halt numerous elective services during peak times in terms of health services delivery (Torrente </w:t>
      </w:r>
      <w:r>
        <w:rPr>
          <w:rFonts w:cs="Arial"/>
          <w:i/>
          <w:iCs/>
        </w:rPr>
        <w:t>et al</w:t>
      </w:r>
      <w:r>
        <w:rPr>
          <w:rFonts w:cs="Arial"/>
        </w:rPr>
        <w:t xml:space="preserve">., 2021).  </w:t>
      </w:r>
    </w:p>
    <w:bookmarkStart w:id="3" w:name="_Toc220982951"/>
    <w:p>
      <w:pPr>
        <w:pStyle w:val="style2"/>
        <w:rPr/>
      </w:pPr>
      <w:r>
        <w:t>Health Care System Organisation in South Korea</w:t>
      </w:r>
      <w:bookmarkEnd w:id="3"/>
    </w:p>
    <w:p>
      <w:pPr>
        <w:pStyle w:val="style0"/>
        <w:spacing w:before="120" w:after="120"/>
        <w:rPr>
          <w:rFonts w:cs="Arial"/>
        </w:rPr>
      </w:pPr>
      <w:r>
        <w:rPr>
          <w:rFonts w:cs="Arial"/>
        </w:rPr>
        <w:t xml:space="preserve">The Republic of South Korea has a universal health care system based on the National Health Insurance (NHI) </w:t>
      </w:r>
      <w:r>
        <w:rPr>
          <w:rFonts w:cs="Arial"/>
        </w:rPr>
        <w:t>programme</w:t>
      </w:r>
      <w:r>
        <w:rPr>
          <w:rFonts w:cs="Arial"/>
        </w:rPr>
        <w:t xml:space="preserve">, which covers the majority of the population and helps to obtain health services (Yoon </w:t>
      </w:r>
      <w:r>
        <w:rPr>
          <w:rFonts w:cs="Arial"/>
          <w:i/>
          <w:iCs/>
        </w:rPr>
        <w:t>et al</w:t>
      </w:r>
      <w:r>
        <w:rPr>
          <w:rFonts w:cs="Arial"/>
        </w:rPr>
        <w:t xml:space="preserve">., 2024). In contrast to the </w:t>
      </w:r>
      <w:r>
        <w:rPr>
          <w:rFonts w:cs="Arial"/>
        </w:rPr>
        <w:t>regionalised</w:t>
      </w:r>
      <w:r>
        <w:rPr>
          <w:rFonts w:cs="Arial"/>
        </w:rPr>
        <w:t xml:space="preserve"> system in Spain, the system of South Korea has a high level of central coordination; the key functions in the governance of public health are performed by the Ministry of Health and Welfare and the Korea Disease Control and Prevention Agency (KDCA). The KDCA, which is in charge of disease prevention, surveillance, quarantine, and research, turned into a central agency in the coordination of the COVID-19 response on the national and local levels (Yoo </w:t>
      </w:r>
      <w:r>
        <w:rPr>
          <w:rFonts w:cs="Arial"/>
          <w:i/>
          <w:iCs/>
        </w:rPr>
        <w:t>et al</w:t>
      </w:r>
      <w:r>
        <w:rPr>
          <w:rFonts w:cs="Arial"/>
        </w:rPr>
        <w:t xml:space="preserve">., 2021). </w:t>
      </w:r>
    </w:p>
    <w:p>
      <w:pPr>
        <w:pStyle w:val="style0"/>
        <w:spacing w:before="120" w:after="120"/>
        <w:rPr>
          <w:rFonts w:cs="Arial"/>
        </w:rPr>
      </w:pPr>
      <w:r>
        <w:rPr>
          <w:rFonts w:cs="Arial"/>
        </w:rPr>
        <w:t>According to academic sources, the approach towards South Korea is defined as a whole-of-nation (</w:t>
      </w:r>
      <w:r>
        <w:rPr>
          <w:rFonts w:cs="Arial"/>
        </w:rPr>
        <w:t>WoN</w:t>
      </w:r>
      <w:r>
        <w:rPr>
          <w:rFonts w:cs="Arial"/>
        </w:rPr>
        <w:t xml:space="preserve">) governance model, which was </w:t>
      </w:r>
      <w:r>
        <w:rPr>
          <w:rFonts w:cs="Arial"/>
        </w:rPr>
        <w:t>characterised</w:t>
      </w:r>
      <w:r>
        <w:rPr>
          <w:rFonts w:cs="Arial"/>
        </w:rPr>
        <w:t xml:space="preserve"> by whole-of-government and whole-of-society coordination (Hong, 2024). This hybrid governance involved the combination of public authorities, civil society and partners in the field of private sector to carry out testing, tracing, treatment and vaccination initiatives together. The </w:t>
      </w:r>
      <w:r>
        <w:rPr>
          <w:rFonts w:cs="Arial"/>
        </w:rPr>
        <w:t>focus</w:t>
      </w:r>
      <w:r>
        <w:rPr>
          <w:rFonts w:cs="Arial"/>
        </w:rPr>
        <w:t xml:space="preserve"> of the </w:t>
      </w:r>
      <w:r>
        <w:rPr>
          <w:rFonts w:cs="Arial"/>
        </w:rPr>
        <w:t>WoN</w:t>
      </w:r>
      <w:r>
        <w:rPr>
          <w:rFonts w:cs="Arial"/>
        </w:rPr>
        <w:t xml:space="preserve"> model </w:t>
      </w:r>
      <w:r>
        <w:rPr>
          <w:rFonts w:cs="Arial"/>
        </w:rPr>
        <w:t>was</w:t>
      </w:r>
      <w:r>
        <w:rPr>
          <w:rFonts w:cs="Arial"/>
        </w:rPr>
        <w:t xml:space="preserve"> fast decision-making, substantial investment in the public health infrastructure, legal basis to address emergencies, and crisis communication plans that established trust and acceptance by the population (Hong, 2024). </w:t>
      </w:r>
    </w:p>
    <w:p>
      <w:pPr>
        <w:pStyle w:val="style0"/>
        <w:spacing w:before="120" w:after="120"/>
        <w:rPr>
          <w:rFonts w:cs="Arial"/>
        </w:rPr>
      </w:pPr>
      <w:r>
        <w:rPr>
          <w:rFonts w:cs="Arial"/>
        </w:rPr>
        <w:t xml:space="preserve">The response of the health system of South Korea to COVID-19 demonstrates some </w:t>
      </w:r>
      <w:r>
        <w:rPr>
          <w:rFonts w:cs="Arial"/>
        </w:rPr>
        <w:t>organisational</w:t>
      </w:r>
      <w:r>
        <w:rPr>
          <w:rFonts w:cs="Arial"/>
        </w:rPr>
        <w:t xml:space="preserve"> strengths. First, well-established and resilient public health systems, such as digital surveillance and </w:t>
      </w:r>
      <w:r>
        <w:rPr>
          <w:rFonts w:cs="Arial"/>
        </w:rPr>
        <w:t xml:space="preserve">an </w:t>
      </w:r>
      <w:r>
        <w:rPr>
          <w:rFonts w:cs="Arial"/>
        </w:rPr>
        <w:t xml:space="preserve">extensive network of laboratories, facilitated early identification and intense capacity expansion of testing (Oh </w:t>
      </w:r>
      <w:r>
        <w:rPr>
          <w:rFonts w:cs="Arial"/>
          <w:i/>
          <w:iCs/>
        </w:rPr>
        <w:t>et al</w:t>
      </w:r>
      <w:r>
        <w:rPr>
          <w:rFonts w:cs="Arial"/>
        </w:rPr>
        <w:t xml:space="preserve">., 2020). This enabled South Korea to be spared </w:t>
      </w:r>
      <w:r>
        <w:rPr>
          <w:rFonts w:cs="Arial"/>
        </w:rPr>
        <w:t>from</w:t>
      </w:r>
      <w:r>
        <w:rPr>
          <w:rFonts w:cs="Arial"/>
        </w:rPr>
        <w:t xml:space="preserve"> severe lockdowns experienced in other countries during the first waves, but at the same time, control the spread of the virus. </w:t>
      </w:r>
    </w:p>
    <w:p>
      <w:pPr>
        <w:pStyle w:val="style0"/>
        <w:spacing w:before="120" w:after="120"/>
        <w:rPr>
          <w:rFonts w:cs="Arial"/>
        </w:rPr>
      </w:pPr>
      <w:r>
        <w:rPr>
          <w:rFonts w:cs="Arial"/>
        </w:rPr>
        <w:t xml:space="preserve">Second, the combination of NHI financing and pandemic response made testing and treatment free of charge to patients, eliminating financial barriers to care and enabling early intervention (Choi, 2020). It has been seen that this universal, insurance-based model also assisted in keeping fatality rates relatively low and healthcare </w:t>
      </w:r>
      <w:r>
        <w:rPr>
          <w:rFonts w:cs="Arial"/>
        </w:rPr>
        <w:t>utilisation</w:t>
      </w:r>
      <w:r>
        <w:rPr>
          <w:rFonts w:cs="Arial"/>
        </w:rPr>
        <w:t xml:space="preserve"> sustained even in times of surges. </w:t>
      </w:r>
    </w:p>
    <w:p>
      <w:pPr>
        <w:pStyle w:val="style0"/>
        <w:spacing w:before="120" w:after="120" w:lineRule="auto" w:line="259"/>
        <w:jc w:val="left"/>
        <w:rPr>
          <w:rFonts w:cs="Arial"/>
        </w:rPr>
      </w:pPr>
      <w:r>
        <w:rPr>
          <w:rFonts w:cs="Arial"/>
        </w:rPr>
        <w:br w:type="page"/>
      </w:r>
    </w:p>
    <w:bookmarkStart w:id="4" w:name="_Toc220982952"/>
    <w:p>
      <w:pPr>
        <w:pStyle w:val="style2"/>
        <w:rPr/>
      </w:pPr>
      <w:r>
        <w:t>Health Care System Organisation in Canada</w:t>
      </w:r>
      <w:bookmarkEnd w:id="4"/>
    </w:p>
    <w:p>
      <w:pPr>
        <w:pStyle w:val="style0"/>
        <w:spacing w:before="120" w:after="120"/>
        <w:rPr/>
      </w:pPr>
      <w:r>
        <w:t xml:space="preserve">The health care delivery system in Canada is a publicly funded universal insurance system called Medicare that is provided by the provincial and territorial health insurance plans and governed by the federal Canada Health Act (Hutchison </w:t>
      </w:r>
      <w:r>
        <w:rPr>
          <w:i/>
          <w:iCs/>
        </w:rPr>
        <w:t>et al</w:t>
      </w:r>
      <w:r>
        <w:t xml:space="preserve">., 2019). In contrast to Spain and South Korea, the system in Canada is very </w:t>
      </w:r>
      <w:r>
        <w:t>federalised</w:t>
      </w:r>
      <w:r>
        <w:t xml:space="preserve">, and the majority of health services are </w:t>
      </w:r>
      <w:r>
        <w:t>organised</w:t>
      </w:r>
      <w:r>
        <w:t xml:space="preserve"> and delivered by the provincial and territorial governments, including hospitals, primary care, and functions of public health, whereas the federal government is involved in funding transfers, national recommendations, and technical assistance (Hutchison </w:t>
      </w:r>
      <w:r>
        <w:rPr>
          <w:i/>
          <w:iCs/>
        </w:rPr>
        <w:t>et al</w:t>
      </w:r>
      <w:r>
        <w:t xml:space="preserve">., 2019). </w:t>
      </w:r>
    </w:p>
    <w:p>
      <w:pPr>
        <w:pStyle w:val="style0"/>
        <w:spacing w:before="120" w:after="120"/>
        <w:rPr>
          <w:rFonts w:cs="Arial"/>
        </w:rPr>
      </w:pPr>
      <w:r>
        <w:rPr>
          <w:rFonts w:cs="Arial"/>
        </w:rPr>
        <w:t xml:space="preserve">The academic analyses </w:t>
      </w:r>
      <w:r>
        <w:rPr>
          <w:rFonts w:cs="Arial"/>
        </w:rPr>
        <w:t>emphasise</w:t>
      </w:r>
      <w:r>
        <w:rPr>
          <w:rFonts w:cs="Arial"/>
        </w:rPr>
        <w:t xml:space="preserve"> that this federal structure was a strength and a weakness </w:t>
      </w:r>
      <w:r>
        <w:rPr>
          <w:rFonts w:cs="Arial"/>
        </w:rPr>
        <w:t>during</w:t>
      </w:r>
      <w:r>
        <w:rPr>
          <w:rFonts w:cs="Arial"/>
        </w:rPr>
        <w:t xml:space="preserve"> the time of COVID-19. A coordinating and convening role </w:t>
      </w:r>
      <w:r>
        <w:rPr>
          <w:rFonts w:cs="Arial"/>
        </w:rPr>
        <w:t>was</w:t>
      </w:r>
      <w:r>
        <w:rPr>
          <w:rFonts w:cs="Arial"/>
        </w:rPr>
        <w:t xml:space="preserve"> fulfilled by the federal government that offered guidelines, emergency funding, and assistance in the area of public health surveillance (Allin </w:t>
      </w:r>
      <w:r>
        <w:rPr>
          <w:rFonts w:cs="Arial"/>
          <w:i/>
          <w:iCs/>
        </w:rPr>
        <w:t>et al</w:t>
      </w:r>
      <w:r>
        <w:rPr>
          <w:rFonts w:cs="Arial"/>
        </w:rPr>
        <w:t xml:space="preserve">., 2021). But the majority of the most important decisions and </w:t>
      </w:r>
      <w:r>
        <w:rPr>
          <w:rFonts w:cs="Arial"/>
        </w:rPr>
        <w:t>operational responses</w:t>
      </w:r>
      <w:r>
        <w:rPr>
          <w:rFonts w:cs="Arial"/>
        </w:rPr>
        <w:t>, including testing regimes, hospital capacity management, and long-term care protocols, were undertaken at the provincial level</w:t>
      </w:r>
      <w:r>
        <w:rPr>
          <w:rFonts w:cs="Arial"/>
        </w:rPr>
        <w:t>,</w:t>
      </w:r>
      <w:r>
        <w:rPr>
          <w:rFonts w:cs="Arial"/>
        </w:rPr>
        <w:t xml:space="preserve"> which led to different </w:t>
      </w:r>
      <w:r>
        <w:rPr>
          <w:rFonts w:cs="Arial"/>
        </w:rPr>
        <w:t>outcomes</w:t>
      </w:r>
      <w:r>
        <w:rPr>
          <w:rFonts w:cs="Arial"/>
        </w:rPr>
        <w:t xml:space="preserve"> of the pandemic in different regions. </w:t>
      </w:r>
    </w:p>
    <w:p>
      <w:pPr>
        <w:pStyle w:val="style0"/>
        <w:spacing w:before="120" w:after="120"/>
        <w:rPr>
          <w:rFonts w:cs="Arial"/>
        </w:rPr>
      </w:pPr>
      <w:r>
        <w:rPr>
          <w:rFonts w:cs="Arial"/>
        </w:rPr>
        <w:t xml:space="preserve">As an example, in Canada, the number of cases, hospital </w:t>
      </w:r>
      <w:r>
        <w:rPr>
          <w:rFonts w:cs="Arial"/>
        </w:rPr>
        <w:t>utilisation</w:t>
      </w:r>
      <w:r>
        <w:rPr>
          <w:rFonts w:cs="Arial"/>
        </w:rPr>
        <w:t xml:space="preserve">, and mortality rates between the provinces varied greatly, which was mainly due to the difference in public health </w:t>
      </w:r>
      <w:r>
        <w:rPr>
          <w:rFonts w:cs="Arial"/>
        </w:rPr>
        <w:t>practises</w:t>
      </w:r>
      <w:r>
        <w:rPr>
          <w:rFonts w:cs="Arial"/>
        </w:rPr>
        <w:t xml:space="preserve"> and capacity within the system. Provinces that had more </w:t>
      </w:r>
      <w:r>
        <w:rPr>
          <w:rFonts w:cs="Arial"/>
        </w:rPr>
        <w:t>centralised</w:t>
      </w:r>
      <w:r>
        <w:rPr>
          <w:rFonts w:cs="Arial"/>
        </w:rPr>
        <w:t xml:space="preserve"> public health and integrated healthcare governance- e.g. British Columbia and Ontario- were generally more responsive to the implementation of testing and care coordination as compared to those with fragmented local systems (Usher </w:t>
      </w:r>
      <w:r>
        <w:rPr>
          <w:rFonts w:cs="Arial"/>
          <w:i/>
          <w:iCs/>
        </w:rPr>
        <w:t>et al</w:t>
      </w:r>
      <w:r>
        <w:rPr>
          <w:rFonts w:cs="Arial"/>
        </w:rPr>
        <w:t xml:space="preserve">., 2025). </w:t>
      </w:r>
    </w:p>
    <w:p>
      <w:pPr>
        <w:pStyle w:val="style0"/>
        <w:spacing w:before="120" w:after="120"/>
        <w:rPr>
          <w:rFonts w:cs="Arial"/>
        </w:rPr>
      </w:pPr>
      <w:r>
        <w:rPr>
          <w:rFonts w:cs="Arial"/>
        </w:rPr>
        <w:t xml:space="preserve">Another manifestation of the role of the federal government was to provide financial aid </w:t>
      </w:r>
      <w:r>
        <w:rPr>
          <w:rFonts w:cs="Arial"/>
        </w:rPr>
        <w:t>for</w:t>
      </w:r>
      <w:r>
        <w:rPr>
          <w:rFonts w:cs="Arial"/>
        </w:rPr>
        <w:t xml:space="preserve"> the purchase of vaccines and to communicate with the people of the country about the virus (McMahon </w:t>
      </w:r>
      <w:r>
        <w:rPr>
          <w:rFonts w:cs="Arial"/>
          <w:i/>
          <w:iCs/>
        </w:rPr>
        <w:t>et al</w:t>
      </w:r>
      <w:r>
        <w:rPr>
          <w:rFonts w:cs="Arial"/>
        </w:rPr>
        <w:t xml:space="preserve">., 2020). Although the provincial system of management of health services continued to play a key role, federal emergency funding and </w:t>
      </w:r>
      <w:r>
        <w:rPr>
          <w:rFonts w:cs="Arial"/>
        </w:rPr>
        <w:t>coordination</w:t>
      </w:r>
      <w:r>
        <w:rPr>
          <w:rFonts w:cs="Arial"/>
        </w:rPr>
        <w:t xml:space="preserve"> of the vaccine distribution systems served to provide access universally </w:t>
      </w:r>
      <w:r>
        <w:rPr>
          <w:rFonts w:cs="Arial"/>
        </w:rPr>
        <w:t>across jurisdictions</w:t>
      </w:r>
      <w:r>
        <w:rPr>
          <w:rFonts w:cs="Arial"/>
        </w:rPr>
        <w:t xml:space="preserve">. </w:t>
      </w:r>
    </w:p>
    <w:p>
      <w:pPr>
        <w:pStyle w:val="style0"/>
        <w:spacing w:before="120" w:after="120"/>
        <w:rPr>
          <w:rFonts w:cs="Arial"/>
        </w:rPr>
      </w:pPr>
      <w:r>
        <w:rPr>
          <w:rFonts w:cs="Arial"/>
        </w:rPr>
        <w:br w:type="page"/>
      </w:r>
    </w:p>
    <w:bookmarkStart w:id="5" w:name="_Toc220982953"/>
    <w:p>
      <w:pPr>
        <w:pStyle w:val="style1"/>
        <w:spacing w:before="120" w:after="120"/>
        <w:rPr/>
      </w:pPr>
      <w:r>
        <w:t>Leadership Approaches During the COVID-19 Pandemic</w:t>
      </w:r>
      <w:bookmarkEnd w:id="5"/>
    </w:p>
    <w:p>
      <w:pPr>
        <w:pStyle w:val="style94"/>
        <w:spacing w:before="120" w:beforeAutospacing="false" w:after="120" w:afterAutospacing="false"/>
        <w:jc w:val="center"/>
        <w:rPr/>
      </w:pPr>
      <w:r>
        <w:rPr>
          <w:noProof/>
        </w:rPr>
        <w:drawing>
          <wp:inline distL="0" distT="0" distB="0" distR="0">
            <wp:extent cx="4695365" cy="2202716"/>
            <wp:effectExtent l="0" t="0" r="0" b="7620"/>
            <wp:docPr id="1028"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9"/>
                    <pic:cNvPicPr/>
                  </pic:nvPicPr>
                  <pic:blipFill>
                    <a:blip r:embed="rId4" cstate="print"/>
                    <a:srcRect l="0" t="0" r="213" b="11465"/>
                    <a:stretch/>
                  </pic:blipFill>
                  <pic:spPr>
                    <a:xfrm rot="0">
                      <a:off x="0" y="0"/>
                      <a:ext cx="4695365" cy="2202716"/>
                    </a:xfrm>
                    <a:prstGeom prst="rect"/>
                    <a:ln>
                      <a:noFill/>
                    </a:ln>
                  </pic:spPr>
                </pic:pic>
              </a:graphicData>
            </a:graphic>
          </wp:inline>
        </w:drawing>
      </w:r>
    </w:p>
    <w:p>
      <w:pPr>
        <w:pStyle w:val="style157"/>
        <w:spacing w:before="120" w:after="120"/>
        <w:rPr/>
      </w:pPr>
      <w:r>
        <w:t xml:space="preserve">Figure </w:t>
      </w:r>
      <w:r>
        <w:rPr/>
        <w:fldChar w:fldCharType="begin"/>
      </w:r>
      <w:r>
        <w:instrText xml:space="preserve"> SEQ Figure \* ARABIC </w:instrText>
      </w:r>
      <w:r>
        <w:rPr/>
        <w:fldChar w:fldCharType="separate"/>
      </w:r>
      <w:r>
        <w:rPr>
          <w:noProof/>
        </w:rPr>
        <w:t>2</w:t>
      </w:r>
      <w:r>
        <w:rPr/>
        <w:fldChar w:fldCharType="end"/>
      </w:r>
      <w:r>
        <w:t xml:space="preserve"> </w:t>
      </w:r>
      <w:r>
        <w:t>Leadership Response to COVID-19 in Spain, South Korea, and Canada</w:t>
      </w:r>
      <w:r>
        <w:t xml:space="preserve"> (Author)</w:t>
      </w:r>
    </w:p>
    <w:bookmarkStart w:id="6" w:name="_Toc220982954"/>
    <w:p>
      <w:pPr>
        <w:pStyle w:val="style2"/>
        <w:rPr/>
      </w:pPr>
      <w:r>
        <w:t>Leadership Response in Spain: Salvador Illa</w:t>
      </w:r>
      <w:bookmarkEnd w:id="6"/>
    </w:p>
    <w:p>
      <w:pPr>
        <w:pStyle w:val="style0"/>
        <w:spacing w:before="120" w:after="120"/>
        <w:rPr>
          <w:rFonts w:cs="Arial"/>
        </w:rPr>
      </w:pPr>
      <w:r>
        <w:rPr>
          <w:rFonts w:cs="Arial"/>
        </w:rPr>
        <w:t>In Spain, institutional leadership of the health policy in the early stages of the COVID-19 pandemic was embodied by the Minister of Health</w:t>
      </w:r>
      <w:r>
        <w:rPr>
          <w:rFonts w:cs="Arial"/>
        </w:rPr>
        <w:t>,</w:t>
      </w:r>
      <w:r>
        <w:rPr>
          <w:rFonts w:cs="Arial"/>
        </w:rPr>
        <w:t xml:space="preserve"> Salvador Illa. The rollout of the response to COVID-19 in early 2020 was also largely </w:t>
      </w:r>
      <w:r>
        <w:rPr>
          <w:rFonts w:cs="Arial"/>
        </w:rPr>
        <w:t>criticised</w:t>
      </w:r>
      <w:r>
        <w:rPr>
          <w:rFonts w:cs="Arial"/>
        </w:rPr>
        <w:t xml:space="preserve"> by Spain due to its lack of recognition of local transmission and its slowness in </w:t>
      </w:r>
      <w:r>
        <w:rPr>
          <w:rFonts w:cs="Arial"/>
        </w:rPr>
        <w:t>mobilising</w:t>
      </w:r>
      <w:r>
        <w:rPr>
          <w:rFonts w:cs="Arial"/>
        </w:rPr>
        <w:t xml:space="preserve">, which represented a structural vulnerability to governance coordination and crisis leadership implementation (Royo, 2020). According to research, the early governance of Pandemics in Spain was marked </w:t>
      </w:r>
      <w:r>
        <w:rPr>
          <w:rFonts w:cs="Arial"/>
        </w:rPr>
        <w:t>by</w:t>
      </w:r>
      <w:r>
        <w:rPr>
          <w:rFonts w:cs="Arial"/>
        </w:rPr>
        <w:t xml:space="preserve"> low transparency, institutional predictability, and low </w:t>
      </w:r>
      <w:r>
        <w:rPr>
          <w:rFonts w:cs="Arial"/>
        </w:rPr>
        <w:t>stakeholder</w:t>
      </w:r>
      <w:r>
        <w:rPr>
          <w:rFonts w:cs="Arial"/>
        </w:rPr>
        <w:t xml:space="preserve"> engagement, and these characteristics weakened public trust and timely response measures.</w:t>
      </w:r>
    </w:p>
    <w:p>
      <w:pPr>
        <w:pStyle w:val="style0"/>
        <w:spacing w:before="120" w:after="120"/>
        <w:rPr>
          <w:rFonts w:cs="Arial"/>
        </w:rPr>
      </w:pPr>
      <w:r>
        <w:rPr>
          <w:rFonts w:cs="Arial"/>
        </w:rPr>
        <w:t xml:space="preserve">Regarding the leadership theories, these initial delays would imply constraints in directive crisis planning and evidence-based decisions. Although Illa turned out to be a major communicator and orchestrator of intensifying public health actions, initial ambivalence bolstered the view that Spain was </w:t>
      </w:r>
      <w:r>
        <w:rPr>
          <w:rFonts w:cs="Arial"/>
        </w:rPr>
        <w:t>disorganised</w:t>
      </w:r>
      <w:r>
        <w:rPr>
          <w:rFonts w:cs="Arial"/>
        </w:rPr>
        <w:t xml:space="preserve"> with no unified leadership approach at the start (Casula and Pazos-Vidal, 2021). The lack of quick</w:t>
      </w:r>
      <w:r>
        <w:rPr>
          <w:rFonts w:cs="Arial"/>
        </w:rPr>
        <w:t>,</w:t>
      </w:r>
      <w:r>
        <w:rPr>
          <w:rFonts w:cs="Arial"/>
        </w:rPr>
        <w:t xml:space="preserve"> decisive action in deferring the suspension of mass gatherings and underestimating local contagion </w:t>
      </w:r>
      <w:r>
        <w:rPr>
          <w:rFonts w:cs="Arial"/>
        </w:rPr>
        <w:t>depicts</w:t>
      </w:r>
      <w:r>
        <w:rPr>
          <w:rFonts w:cs="Arial"/>
        </w:rPr>
        <w:t xml:space="preserve"> how the efficacy of crisis leadership needs both expedient information processing and speedy decision authority in response to arising threats (Casula and Pazos-Vidal, 2021).</w:t>
      </w:r>
    </w:p>
    <w:p>
      <w:pPr>
        <w:pStyle w:val="style0"/>
        <w:spacing w:before="120" w:after="120"/>
        <w:rPr>
          <w:rFonts w:cs="Arial"/>
        </w:rPr>
      </w:pPr>
      <w:r>
        <w:rPr>
          <w:rFonts w:cs="Arial"/>
        </w:rPr>
        <w:t xml:space="preserve">As the pandemic continued, the leadership of Illa became more transformational and integrative (Royo, 2020). He actively engaged legislative bodies to inform </w:t>
      </w:r>
      <w:r>
        <w:rPr>
          <w:rFonts w:cs="Arial"/>
        </w:rPr>
        <w:t xml:space="preserve">them </w:t>
      </w:r>
      <w:r>
        <w:rPr>
          <w:rFonts w:cs="Arial"/>
        </w:rPr>
        <w:t>about changing strategies, created a National Preparedness and Response Plan to manage the next outbreak, and restructured the Ministry of Health to enhance the management of digital health and the better treatment of the next outbreak (Garcia-</w:t>
      </w:r>
      <w:r>
        <w:rPr>
          <w:rFonts w:cs="Arial"/>
        </w:rPr>
        <w:t>Basteiro</w:t>
      </w:r>
      <w:r>
        <w:rPr>
          <w:rFonts w:cs="Arial"/>
        </w:rPr>
        <w:t xml:space="preserve"> </w:t>
      </w:r>
      <w:r>
        <w:rPr>
          <w:rFonts w:cs="Arial"/>
          <w:i/>
          <w:iCs/>
        </w:rPr>
        <w:t>et al</w:t>
      </w:r>
      <w:r>
        <w:rPr>
          <w:rFonts w:cs="Arial"/>
        </w:rPr>
        <w:t xml:space="preserve">., 2020). These reforms point to an adaptive move toward enhancing coordination and resilience in the health system, </w:t>
      </w:r>
      <w:r>
        <w:rPr>
          <w:rFonts w:cs="Arial"/>
        </w:rPr>
        <w:t xml:space="preserve">which fits with some elements of transformational leadership that seek to change </w:t>
      </w:r>
      <w:r>
        <w:rPr>
          <w:rFonts w:cs="Arial"/>
        </w:rPr>
        <w:t>organisational</w:t>
      </w:r>
      <w:r>
        <w:rPr>
          <w:rFonts w:cs="Arial"/>
        </w:rPr>
        <w:t xml:space="preserve"> capacity through structural and strategic reforms.</w:t>
      </w:r>
    </w:p>
    <w:p>
      <w:pPr>
        <w:pStyle w:val="style0"/>
        <w:spacing w:before="120" w:after="120"/>
        <w:rPr>
          <w:rFonts w:cs="Arial"/>
        </w:rPr>
      </w:pPr>
      <w:r>
        <w:rPr>
          <w:rFonts w:cs="Arial"/>
        </w:rPr>
        <w:t xml:space="preserve">Nonetheless, scholarly reviews of the topics of leadership in Spain point to the fact that the first reactive stance wasted precious time in managing the rapid diffusion of the virus, and the politically </w:t>
      </w:r>
      <w:r>
        <w:rPr>
          <w:rFonts w:cs="Arial"/>
        </w:rPr>
        <w:t>decentralised</w:t>
      </w:r>
      <w:r>
        <w:rPr>
          <w:rFonts w:cs="Arial"/>
        </w:rPr>
        <w:t xml:space="preserve"> system made it difficult to </w:t>
      </w:r>
      <w:r>
        <w:rPr>
          <w:rFonts w:cs="Arial"/>
        </w:rPr>
        <w:t>bring</w:t>
      </w:r>
      <w:r>
        <w:rPr>
          <w:rFonts w:cs="Arial"/>
        </w:rPr>
        <w:t xml:space="preserve"> people together (Royo, 2020). </w:t>
      </w:r>
    </w:p>
    <w:bookmarkStart w:id="7" w:name="_Toc220982955"/>
    <w:p>
      <w:pPr>
        <w:pStyle w:val="style2"/>
        <w:rPr/>
      </w:pPr>
      <w:r>
        <w:t>Leadership Response in South Korea: P</w:t>
      </w:r>
      <w:r>
        <w:t xml:space="preserve">M </w:t>
      </w:r>
      <w:r>
        <w:t>Chung Sye-</w:t>
      </w:r>
      <w:r>
        <w:t>kyun</w:t>
      </w:r>
      <w:bookmarkEnd w:id="7"/>
    </w:p>
    <w:p>
      <w:pPr>
        <w:pStyle w:val="style0"/>
        <w:spacing w:before="120" w:after="120"/>
        <w:rPr>
          <w:rFonts w:cs="Arial"/>
        </w:rPr>
      </w:pPr>
      <w:r>
        <w:rPr>
          <w:rFonts w:cs="Arial"/>
        </w:rPr>
        <w:t>The response of South Korea to COVID-19 is generally considered to be one of the more successful democratic responses among countries of the world due to its leadership under Prime Minister Chung Sye-</w:t>
      </w:r>
      <w:r>
        <w:rPr>
          <w:rFonts w:cs="Arial"/>
        </w:rPr>
        <w:t>kyun</w:t>
      </w:r>
      <w:r>
        <w:rPr>
          <w:rFonts w:cs="Arial"/>
        </w:rPr>
        <w:t xml:space="preserve"> working closely with health </w:t>
      </w:r>
      <w:r>
        <w:rPr>
          <w:rFonts w:cs="Arial"/>
        </w:rPr>
        <w:t>organisations</w:t>
      </w:r>
      <w:r>
        <w:rPr>
          <w:rFonts w:cs="Arial"/>
        </w:rPr>
        <w:t xml:space="preserve">, in particular, the Korea Disease Control and Prevention Agency (KDCA) (Lee, 2022). South Korea has early activated rapid testing, intensive contact tracing, and open communication channels to the population, unlike Spain, which is </w:t>
      </w:r>
      <w:r>
        <w:rPr>
          <w:rFonts w:cs="Arial"/>
        </w:rPr>
        <w:t>summarised</w:t>
      </w:r>
      <w:r>
        <w:rPr>
          <w:rFonts w:cs="Arial"/>
        </w:rPr>
        <w:t xml:space="preserve"> in the "K-Quarantine" strategy, focusing on testing, tracing, and isolation (Lee, 2022).</w:t>
      </w:r>
    </w:p>
    <w:p>
      <w:pPr>
        <w:pStyle w:val="style0"/>
        <w:spacing w:before="120" w:after="120"/>
        <w:rPr>
          <w:rFonts w:cs="Arial"/>
        </w:rPr>
      </w:pPr>
      <w:r>
        <w:rPr>
          <w:rFonts w:cs="Arial"/>
        </w:rPr>
        <w:t xml:space="preserve">In leadership terms, the </w:t>
      </w:r>
      <w:r>
        <w:rPr>
          <w:rFonts w:cs="Arial"/>
        </w:rPr>
        <w:t>practise</w:t>
      </w:r>
      <w:r>
        <w:rPr>
          <w:rFonts w:cs="Arial"/>
        </w:rPr>
        <w:t xml:space="preserve"> of Chung demonstrates some of the main aspects of good leadership in crisis situations: responsiveness to adapt, planning based on evidence, and a coordinated effort (Sriharan </w:t>
      </w:r>
      <w:r>
        <w:rPr>
          <w:rFonts w:cs="Arial"/>
          <w:i/>
          <w:iCs/>
        </w:rPr>
        <w:t>et al</w:t>
      </w:r>
      <w:r>
        <w:rPr>
          <w:rFonts w:cs="Arial"/>
        </w:rPr>
        <w:t xml:space="preserve">., 2021). The South Korean prototype incorporated domestic and local healthcare experience, </w:t>
      </w:r>
      <w:r>
        <w:rPr>
          <w:rFonts w:cs="Arial"/>
        </w:rPr>
        <w:t xml:space="preserve">a </w:t>
      </w:r>
      <w:r>
        <w:rPr>
          <w:rFonts w:cs="Arial"/>
        </w:rPr>
        <w:t xml:space="preserve">digital health monitoring system, and community adherence strategies. This form of leadership fits into the context of crisis leadership of cross-sectoral cooperation and </w:t>
      </w:r>
      <w:r>
        <w:rPr>
          <w:rFonts w:cs="Arial"/>
        </w:rPr>
        <w:t>decentralisation</w:t>
      </w:r>
      <w:r>
        <w:rPr>
          <w:rFonts w:cs="Arial"/>
        </w:rPr>
        <w:t xml:space="preserve"> of implementation based on central policy frameworks (Sriharan </w:t>
      </w:r>
      <w:r>
        <w:rPr>
          <w:rFonts w:cs="Arial"/>
          <w:i/>
          <w:iCs/>
        </w:rPr>
        <w:t>et al</w:t>
      </w:r>
      <w:r>
        <w:rPr>
          <w:rFonts w:cs="Arial"/>
        </w:rPr>
        <w:t>., 2021).</w:t>
      </w:r>
    </w:p>
    <w:p>
      <w:pPr>
        <w:pStyle w:val="style0"/>
        <w:spacing w:before="120" w:after="120"/>
        <w:rPr>
          <w:rFonts w:cs="Arial"/>
        </w:rPr>
      </w:pPr>
      <w:r>
        <w:rPr>
          <w:rFonts w:cs="Arial"/>
        </w:rPr>
        <w:t>The official communications of Prime Minister Chung were repeatedly based on the principles of transparency, respect towards scientific recommendations, and balanced openness</w:t>
      </w:r>
      <w:r>
        <w:rPr>
          <w:rFonts w:cs="Arial"/>
        </w:rPr>
        <w:t>,</w:t>
      </w:r>
      <w:r>
        <w:rPr>
          <w:rFonts w:cs="Arial"/>
        </w:rPr>
        <w:t xml:space="preserve"> which contributed to the preservation of public confidence and reduced the social panic (Salmon, 2020). His messages focused on a common purpose in society and not punitive enforcement, which has echoed transformational and participatory leadership theories that put emphasis on empowerment and collective efficacy (Salmon, 2020).</w:t>
      </w:r>
    </w:p>
    <w:p>
      <w:pPr>
        <w:pStyle w:val="style0"/>
        <w:spacing w:before="120" w:after="120"/>
        <w:rPr>
          <w:rFonts w:cs="Arial"/>
        </w:rPr>
      </w:pPr>
      <w:r>
        <w:rPr>
          <w:rFonts w:cs="Arial"/>
        </w:rPr>
        <w:t xml:space="preserve">As an example, the leadership of South Korea swiftly implemented novel testing strategies, including drive-through screening clinics and widespread contact tracing aided by digital technologies, which exemplifies adaptive leadership skills enabling the swift changes in operations in response to the changing health information (Kim </w:t>
      </w:r>
      <w:r>
        <w:rPr>
          <w:rFonts w:cs="Arial"/>
          <w:i/>
          <w:iCs/>
        </w:rPr>
        <w:t>et al</w:t>
      </w:r>
      <w:r>
        <w:rPr>
          <w:rFonts w:cs="Arial"/>
        </w:rPr>
        <w:t xml:space="preserve">., 2023). </w:t>
      </w:r>
    </w:p>
    <w:bookmarkStart w:id="8" w:name="_Toc220982956"/>
    <w:p>
      <w:pPr>
        <w:pStyle w:val="style2"/>
        <w:rPr/>
      </w:pPr>
      <w:r>
        <w:t>Leadership Response in Canada: Prime Minister Justin Trudeau</w:t>
      </w:r>
      <w:bookmarkEnd w:id="8"/>
    </w:p>
    <w:p>
      <w:pPr>
        <w:pStyle w:val="style0"/>
        <w:spacing w:before="120" w:after="120"/>
        <w:rPr>
          <w:rFonts w:cs="Arial"/>
        </w:rPr>
      </w:pPr>
      <w:r>
        <w:rPr>
          <w:rFonts w:cs="Arial"/>
        </w:rPr>
        <w:t xml:space="preserve">The leadership of the COVID-19 pandemic in Canada was influenced by its highly </w:t>
      </w:r>
      <w:r>
        <w:rPr>
          <w:rFonts w:cs="Arial"/>
        </w:rPr>
        <w:t>federalised</w:t>
      </w:r>
      <w:r>
        <w:rPr>
          <w:rFonts w:cs="Arial"/>
        </w:rPr>
        <w:t xml:space="preserve"> form of governance</w:t>
      </w:r>
      <w:r>
        <w:rPr>
          <w:rFonts w:cs="Arial"/>
        </w:rPr>
        <w:t>,</w:t>
      </w:r>
      <w:r>
        <w:rPr>
          <w:rFonts w:cs="Arial"/>
        </w:rPr>
        <w:t xml:space="preserve"> where the federal executive</w:t>
      </w:r>
      <w:r>
        <w:rPr>
          <w:rFonts w:cs="Arial"/>
        </w:rPr>
        <w:t>,</w:t>
      </w:r>
      <w:r>
        <w:rPr>
          <w:rFonts w:cs="Arial"/>
        </w:rPr>
        <w:t xml:space="preserve"> headed by Prime Minister Justin Trudeau</w:t>
      </w:r>
      <w:r>
        <w:rPr>
          <w:rFonts w:cs="Arial"/>
        </w:rPr>
        <w:t>,</w:t>
      </w:r>
      <w:r>
        <w:rPr>
          <w:rFonts w:cs="Arial"/>
        </w:rPr>
        <w:t xml:space="preserve"> had to adopt a leadership style that was unifying and facilitating in order to address the </w:t>
      </w:r>
      <w:r>
        <w:rPr>
          <w:rFonts w:cs="Arial"/>
        </w:rPr>
        <w:t xml:space="preserve">intergovernmental public health roles (Farhan, 2021). Whereas provinces had the ultimate powers in health services, </w:t>
      </w:r>
      <w:r>
        <w:rPr>
          <w:rFonts w:cs="Arial"/>
        </w:rPr>
        <w:t xml:space="preserve">the </w:t>
      </w:r>
      <w:r>
        <w:rPr>
          <w:rFonts w:cs="Arial"/>
        </w:rPr>
        <w:t>federal government played a big role in national surveillance of health, border control, economic relief and national communication.</w:t>
      </w:r>
    </w:p>
    <w:p>
      <w:pPr>
        <w:pStyle w:val="style0"/>
        <w:spacing w:before="120" w:after="120"/>
        <w:rPr>
          <w:rFonts w:cs="Arial"/>
        </w:rPr>
      </w:pPr>
      <w:r>
        <w:rPr>
          <w:rFonts w:cs="Arial"/>
        </w:rPr>
        <w:t xml:space="preserve">Strategic leadership research of the strategy adopted by Trudeau </w:t>
      </w:r>
      <w:r>
        <w:rPr>
          <w:rFonts w:cs="Arial"/>
        </w:rPr>
        <w:t>emphasises</w:t>
      </w:r>
      <w:r>
        <w:rPr>
          <w:rFonts w:cs="Arial"/>
        </w:rPr>
        <w:t xml:space="preserve"> that he aimed to govern the national level of cooperation, shape and maintain the national message, as well as sustain economic security with safety net </w:t>
      </w:r>
      <w:r>
        <w:rPr>
          <w:rFonts w:cs="Arial"/>
        </w:rPr>
        <w:t>programmes</w:t>
      </w:r>
      <w:r>
        <w:rPr>
          <w:rFonts w:cs="Arial"/>
        </w:rPr>
        <w:t xml:space="preserve"> and coherent policy systems (Allin </w:t>
      </w:r>
      <w:r>
        <w:rPr>
          <w:rFonts w:cs="Arial"/>
          <w:i/>
          <w:iCs/>
        </w:rPr>
        <w:t>et al</w:t>
      </w:r>
      <w:r>
        <w:rPr>
          <w:rFonts w:cs="Arial"/>
        </w:rPr>
        <w:t xml:space="preserve">., 2021). Crisis leadership in this instance included inter-jurisdictional collaboration, evidence-based leadership and socio-economic support to mitigate the health and societal impacts of COVID-19 (Allin </w:t>
      </w:r>
      <w:r>
        <w:rPr>
          <w:rFonts w:cs="Arial"/>
          <w:i/>
          <w:iCs/>
        </w:rPr>
        <w:t>et al</w:t>
      </w:r>
      <w:r>
        <w:rPr>
          <w:rFonts w:cs="Arial"/>
        </w:rPr>
        <w:t>., 2021).</w:t>
      </w:r>
    </w:p>
    <w:p>
      <w:pPr>
        <w:pStyle w:val="style0"/>
        <w:spacing w:before="120" w:after="120"/>
        <w:rPr>
          <w:rFonts w:cs="Arial"/>
        </w:rPr>
      </w:pPr>
      <w:r>
        <w:rPr>
          <w:rFonts w:cs="Arial"/>
        </w:rPr>
        <w:t xml:space="preserve">The leadership of Trudeau focused on frequent national briefings, coordination with the provincial leaders and federal funding of testing, vaccine distribution, and economic relief </w:t>
      </w:r>
      <w:r>
        <w:rPr>
          <w:rFonts w:cs="Arial"/>
        </w:rPr>
        <w:t>programmes</w:t>
      </w:r>
      <w:r>
        <w:rPr>
          <w:rFonts w:cs="Arial"/>
        </w:rPr>
        <w:t xml:space="preserve"> such as the Canada Emergency Response Benefit (CERB) (</w:t>
      </w:r>
      <w:r>
        <w:rPr>
          <w:rFonts w:cs="Arial"/>
        </w:rPr>
        <w:t>Broschek</w:t>
      </w:r>
      <w:r>
        <w:rPr>
          <w:rFonts w:cs="Arial"/>
        </w:rPr>
        <w:t xml:space="preserve">, 2022). These measures are indicative of situational leadership, where communication and policy strategies are adjusted to fit into various provincial situations, and there is collaboration in a </w:t>
      </w:r>
      <w:r>
        <w:rPr>
          <w:rFonts w:cs="Arial"/>
        </w:rPr>
        <w:t>decentralised</w:t>
      </w:r>
      <w:r>
        <w:rPr>
          <w:rFonts w:cs="Arial"/>
        </w:rPr>
        <w:t xml:space="preserve"> federation.</w:t>
      </w:r>
    </w:p>
    <w:p>
      <w:pPr>
        <w:pStyle w:val="style0"/>
        <w:spacing w:before="120" w:after="120"/>
        <w:rPr>
          <w:rFonts w:cs="Arial"/>
        </w:rPr>
      </w:pPr>
      <w:r>
        <w:rPr>
          <w:rFonts w:cs="Arial"/>
        </w:rPr>
        <w:t xml:space="preserve">Although the initial response of Canada to the pandemic was </w:t>
      </w:r>
      <w:r>
        <w:rPr>
          <w:rFonts w:cs="Arial"/>
        </w:rPr>
        <w:t>criticised</w:t>
      </w:r>
      <w:r>
        <w:rPr>
          <w:rFonts w:cs="Arial"/>
        </w:rPr>
        <w:t xml:space="preserve"> as slower than that of some of the peer countries, especially during the initial testing and surveillance coordination, the federal leadership later enhanced collaborative frameworks and evidence-based guidance that enhanced national coherence over time (</w:t>
      </w:r>
      <w:r>
        <w:rPr>
          <w:rFonts w:cs="Arial"/>
        </w:rPr>
        <w:t>Broschek</w:t>
      </w:r>
      <w:r>
        <w:rPr>
          <w:rFonts w:cs="Arial"/>
        </w:rPr>
        <w:t>, 2022). According to scholarly studies, the leadership of Trudeau was an adaptive strategic leadership approach, which promoted national resilience by creating federal support systems and allowing provincial autonomy (Farhan, 2021)</w:t>
      </w:r>
      <w:r>
        <w:rPr>
          <w:rFonts w:cs="Arial"/>
        </w:rPr>
        <w:t>.</w:t>
      </w:r>
    </w:p>
    <w:p>
      <w:pPr>
        <w:pStyle w:val="style0"/>
        <w:spacing w:before="120" w:after="120" w:lineRule="auto" w:line="259"/>
        <w:jc w:val="left"/>
        <w:rPr>
          <w:rFonts w:cs="Arial"/>
        </w:rPr>
      </w:pPr>
      <w:r>
        <w:rPr>
          <w:rFonts w:cs="Arial"/>
        </w:rPr>
        <w:br w:type="page"/>
      </w:r>
    </w:p>
    <w:bookmarkStart w:id="9" w:name="_Toc220982957"/>
    <w:p>
      <w:pPr>
        <w:pStyle w:val="style1"/>
        <w:spacing w:before="120" w:after="120"/>
        <w:rPr/>
      </w:pPr>
      <w:r>
        <w:t>Centralisation</w:t>
      </w:r>
      <w:r>
        <w:t xml:space="preserve"> and </w:t>
      </w:r>
      <w:r>
        <w:t>Decentralisation</w:t>
      </w:r>
      <w:r>
        <w:t xml:space="preserve"> of Power in Pandemic Management</w:t>
      </w:r>
      <w:bookmarkEnd w:id="9"/>
    </w:p>
    <w:bookmarkStart w:id="10" w:name="_Toc220982958"/>
    <w:p>
      <w:pPr>
        <w:pStyle w:val="style2"/>
        <w:rPr/>
      </w:pPr>
      <w:r>
        <w:t>Spain’s Governance Structure and Decision-Making</w:t>
      </w:r>
      <w:bookmarkEnd w:id="10"/>
    </w:p>
    <w:p>
      <w:pPr>
        <w:pStyle w:val="style0"/>
        <w:spacing w:before="120" w:after="120"/>
        <w:rPr>
          <w:rFonts w:cs="Arial"/>
        </w:rPr>
      </w:pPr>
      <w:r>
        <w:rPr>
          <w:rFonts w:cs="Arial"/>
        </w:rPr>
        <w:t xml:space="preserve">The asymmetrically </w:t>
      </w:r>
      <w:r>
        <w:rPr>
          <w:rFonts w:cs="Arial"/>
        </w:rPr>
        <w:t>decentralised</w:t>
      </w:r>
      <w:r>
        <w:rPr>
          <w:rFonts w:cs="Arial"/>
        </w:rPr>
        <w:t xml:space="preserve"> nature of the health system, in which the political control of health planning, resource distribution, and service provision is devolved to the 17 Autonomous Communities (ACs) with the central government retaining the legislative and high-level policy coordination functions, had a profound influence on the governance of the pandemic in Spain (Sanchez-Bayon </w:t>
      </w:r>
      <w:r>
        <w:rPr>
          <w:rFonts w:cs="Arial"/>
          <w:i/>
          <w:iCs/>
        </w:rPr>
        <w:t>et al</w:t>
      </w:r>
      <w:r>
        <w:rPr>
          <w:rFonts w:cs="Arial"/>
        </w:rPr>
        <w:t xml:space="preserve">., 2022). Regions were granted wide jurisdiction by the Spanish Constitution, followed by the </w:t>
      </w:r>
      <w:r>
        <w:rPr>
          <w:rFonts w:cs="Arial"/>
        </w:rPr>
        <w:t>legislation</w:t>
      </w:r>
      <w:r>
        <w:rPr>
          <w:rFonts w:cs="Arial"/>
        </w:rPr>
        <w:t xml:space="preserve"> on health, which established 17 regional health systems and operated within a single structure under the oversight of the Ministry of Health via the Interterritorial Health Council. This council is supposed to be the unit that coordinates national norms with regional implementation in </w:t>
      </w:r>
      <w:r>
        <w:rPr>
          <w:rFonts w:cs="Arial"/>
        </w:rPr>
        <w:t>practise</w:t>
      </w:r>
      <w:r>
        <w:rPr>
          <w:rFonts w:cs="Arial"/>
        </w:rPr>
        <w:t>;</w:t>
      </w:r>
      <w:r>
        <w:rPr>
          <w:rFonts w:cs="Arial"/>
        </w:rPr>
        <w:t xml:space="preserve"> however, extensive autonomy may lead to uneven governance (Lopez-Valcarcel and Lopez-Casasnovas, 2025).</w:t>
      </w:r>
    </w:p>
    <w:p>
      <w:pPr>
        <w:pStyle w:val="style0"/>
        <w:spacing w:before="120" w:after="120"/>
        <w:rPr>
          <w:rFonts w:cs="Arial"/>
        </w:rPr>
      </w:pPr>
      <w:r>
        <w:rPr>
          <w:rFonts w:cs="Arial"/>
        </w:rPr>
        <w:t xml:space="preserve">In the early period of </w:t>
      </w:r>
      <w:r>
        <w:rPr>
          <w:rFonts w:cs="Arial"/>
        </w:rPr>
        <w:t xml:space="preserve">the </w:t>
      </w:r>
      <w:r>
        <w:rPr>
          <w:rFonts w:cs="Arial"/>
        </w:rPr>
        <w:t xml:space="preserve">pandemic, Spain embraced the </w:t>
      </w:r>
      <w:r>
        <w:rPr>
          <w:rFonts w:cs="Arial"/>
        </w:rPr>
        <w:t>centralised</w:t>
      </w:r>
      <w:r>
        <w:rPr>
          <w:rFonts w:cs="Arial"/>
        </w:rPr>
        <w:t xml:space="preserve"> crisis management strategy. In March 2020, the government declared the state of alarm, providing the national executive with direct command over regional health systems, temporarily leaving the regular processes of regional governance (Lopez-Valcarcel and Lopez-Casasnovas, 2025). This </w:t>
      </w:r>
      <w:r>
        <w:rPr>
          <w:rFonts w:cs="Arial"/>
        </w:rPr>
        <w:t>centralisation</w:t>
      </w:r>
      <w:r>
        <w:rPr>
          <w:rFonts w:cs="Arial"/>
        </w:rPr>
        <w:t xml:space="preserve"> was meant to </w:t>
      </w:r>
      <w:r>
        <w:rPr>
          <w:rFonts w:cs="Arial"/>
        </w:rPr>
        <w:t>harmonise</w:t>
      </w:r>
      <w:r>
        <w:rPr>
          <w:rFonts w:cs="Arial"/>
        </w:rPr>
        <w:t xml:space="preserve"> movement limitations and health guidelines among the regions in order to fight the growing outbreak in some regions</w:t>
      </w:r>
      <w:r>
        <w:rPr>
          <w:rFonts w:cs="Arial"/>
        </w:rPr>
        <w:t>,</w:t>
      </w:r>
      <w:r>
        <w:rPr>
          <w:rFonts w:cs="Arial"/>
        </w:rPr>
        <w:t xml:space="preserve"> especially Madrid and Catalonia</w:t>
      </w:r>
      <w:r>
        <w:rPr>
          <w:rFonts w:cs="Arial"/>
        </w:rPr>
        <w:t>,</w:t>
      </w:r>
      <w:r>
        <w:rPr>
          <w:rFonts w:cs="Arial"/>
        </w:rPr>
        <w:t xml:space="preserve"> which were the high-incidence areas.</w:t>
      </w:r>
    </w:p>
    <w:p>
      <w:pPr>
        <w:pStyle w:val="style0"/>
        <w:spacing w:before="120" w:after="120"/>
        <w:rPr>
          <w:rFonts w:cs="Arial"/>
        </w:rPr>
      </w:pPr>
      <w:r>
        <w:rPr>
          <w:rFonts w:cs="Arial"/>
        </w:rPr>
        <w:t xml:space="preserve">Nevertheless, this </w:t>
      </w:r>
      <w:r>
        <w:rPr>
          <w:rFonts w:cs="Arial"/>
        </w:rPr>
        <w:t>centralised</w:t>
      </w:r>
      <w:r>
        <w:rPr>
          <w:rFonts w:cs="Arial"/>
        </w:rPr>
        <w:t xml:space="preserve"> model did not continue in an equal measure. The second wave, beginning in the middle of 2020 and continuing most of 2021, saw a transition to a hybrid model of governance in Spain, where central directions were complemented by regional discretion, depending on local epidemiological indicators, including incidence rates and hospital capacity (Lopez-Valcarcel and Lopez-Casasnovas, 2025). In May 2021, regional governments had reasserted more control over </w:t>
      </w:r>
      <w:r>
        <w:rPr>
          <w:rFonts w:cs="Arial"/>
        </w:rPr>
        <w:t>the</w:t>
      </w:r>
      <w:r>
        <w:rPr>
          <w:rFonts w:cs="Arial"/>
        </w:rPr>
        <w:t xml:space="preserve"> definition and control of services, an example of how even a persistent pandemic saw the reassertion of a </w:t>
      </w:r>
      <w:r>
        <w:rPr>
          <w:rFonts w:cs="Arial"/>
        </w:rPr>
        <w:t>decentralised</w:t>
      </w:r>
      <w:r>
        <w:rPr>
          <w:rFonts w:cs="Arial"/>
        </w:rPr>
        <w:t xml:space="preserve"> model of governance.</w:t>
      </w:r>
    </w:p>
    <w:p>
      <w:pPr>
        <w:pStyle w:val="style0"/>
        <w:spacing w:before="120" w:after="120"/>
        <w:rPr>
          <w:rFonts w:cs="Arial"/>
        </w:rPr>
      </w:pPr>
      <w:r>
        <w:rPr>
          <w:rFonts w:cs="Arial"/>
        </w:rPr>
        <w:t xml:space="preserve">Theorists who examine the case of Spain accentuate the idea that </w:t>
      </w:r>
      <w:r>
        <w:rPr>
          <w:rFonts w:cs="Arial"/>
        </w:rPr>
        <w:t>decentralisation</w:t>
      </w:r>
      <w:r>
        <w:rPr>
          <w:rFonts w:cs="Arial"/>
        </w:rPr>
        <w:t xml:space="preserve"> was not necessarily a disadvantage; the degree to which </w:t>
      </w:r>
      <w:r>
        <w:rPr>
          <w:rFonts w:cs="Arial"/>
        </w:rPr>
        <w:t>decentralised</w:t>
      </w:r>
      <w:r>
        <w:rPr>
          <w:rFonts w:cs="Arial"/>
        </w:rPr>
        <w:t xml:space="preserve"> structures worked was determined by the coordination mechanisms, sharing information, and political dedication to shared strategies across the regions (</w:t>
      </w:r>
      <w:r>
        <w:rPr>
          <w:rFonts w:cs="Arial"/>
        </w:rPr>
        <w:t>Erkoreka</w:t>
      </w:r>
      <w:r>
        <w:rPr>
          <w:rFonts w:cs="Arial"/>
        </w:rPr>
        <w:t xml:space="preserve"> and Hernando-Perez, 2022). A comparative study indicates that </w:t>
      </w:r>
      <w:r>
        <w:rPr>
          <w:rFonts w:cs="Arial"/>
        </w:rPr>
        <w:t>decentralisation</w:t>
      </w:r>
      <w:r>
        <w:rPr>
          <w:rFonts w:cs="Arial"/>
        </w:rPr>
        <w:t xml:space="preserve"> can enable policy innovation and </w:t>
      </w:r>
      <w:r>
        <w:rPr>
          <w:rFonts w:cs="Arial"/>
        </w:rPr>
        <w:t>localised</w:t>
      </w:r>
      <w:r>
        <w:rPr>
          <w:rFonts w:cs="Arial"/>
        </w:rPr>
        <w:t xml:space="preserve"> responses, </w:t>
      </w:r>
      <w:r>
        <w:rPr>
          <w:rFonts w:cs="Arial"/>
        </w:rPr>
        <w:t>but can also be problematic in terms of coherent national response in the absence of adequate coordination frameworks (</w:t>
      </w:r>
      <w:r>
        <w:rPr>
          <w:rFonts w:cs="Arial"/>
        </w:rPr>
        <w:t>Erkoreka</w:t>
      </w:r>
      <w:r>
        <w:rPr>
          <w:rFonts w:cs="Arial"/>
        </w:rPr>
        <w:t xml:space="preserve"> and Hernando-Perez, 2022).</w:t>
      </w:r>
    </w:p>
    <w:p>
      <w:pPr>
        <w:pStyle w:val="style0"/>
        <w:spacing w:before="120" w:after="120"/>
        <w:rPr>
          <w:rFonts w:cs="Arial"/>
        </w:rPr>
      </w:pPr>
      <w:r>
        <w:rPr>
          <w:rFonts w:cs="Arial"/>
        </w:rPr>
        <w:t xml:space="preserve">However, the first wave pointed out that crisis response can be slowed down by early delays and </w:t>
      </w:r>
      <w:r>
        <w:rPr>
          <w:rFonts w:cs="Arial"/>
        </w:rPr>
        <w:t xml:space="preserve">the </w:t>
      </w:r>
      <w:r>
        <w:rPr>
          <w:rFonts w:cs="Arial"/>
        </w:rPr>
        <w:t>absence of coherent regional policies</w:t>
      </w:r>
      <w:r>
        <w:rPr>
          <w:rFonts w:cs="Arial"/>
        </w:rPr>
        <w:t>,</w:t>
      </w:r>
      <w:r>
        <w:rPr>
          <w:rFonts w:cs="Arial"/>
        </w:rPr>
        <w:t xml:space="preserve"> as the decision-making process is </w:t>
      </w:r>
      <w:r>
        <w:rPr>
          <w:rFonts w:cs="Arial"/>
        </w:rPr>
        <w:t>decentralised</w:t>
      </w:r>
      <w:r>
        <w:rPr>
          <w:rFonts w:cs="Arial"/>
        </w:rPr>
        <w:t xml:space="preserve"> without timely information access and coordination. The case with Spain highlights that on the one hand, </w:t>
      </w:r>
      <w:r>
        <w:rPr>
          <w:rFonts w:cs="Arial"/>
        </w:rPr>
        <w:t>decentralisation</w:t>
      </w:r>
      <w:r>
        <w:rPr>
          <w:rFonts w:cs="Arial"/>
        </w:rPr>
        <w:t xml:space="preserve"> may facilitate local responsiveness</w:t>
      </w:r>
      <w:r>
        <w:rPr>
          <w:rFonts w:cs="Arial"/>
        </w:rPr>
        <w:t>,</w:t>
      </w:r>
      <w:r>
        <w:rPr>
          <w:rFonts w:cs="Arial"/>
        </w:rPr>
        <w:t xml:space="preserve"> but on the other hand, predictable central leadership and integration of various governmental levels are needed to successfully handle the pandemic (Royo, 2020).</w:t>
      </w:r>
    </w:p>
    <w:bookmarkStart w:id="11" w:name="_Toc220982959"/>
    <w:p>
      <w:pPr>
        <w:pStyle w:val="style2"/>
        <w:rPr/>
      </w:pPr>
      <w:r>
        <w:t xml:space="preserve">South Korea’s </w:t>
      </w:r>
      <w:r>
        <w:t>Centralised</w:t>
      </w:r>
      <w:r>
        <w:t xml:space="preserve"> and Coordinated Approach</w:t>
      </w:r>
      <w:bookmarkEnd w:id="11"/>
    </w:p>
    <w:p>
      <w:pPr>
        <w:pStyle w:val="style0"/>
        <w:spacing w:before="120" w:after="120"/>
        <w:rPr>
          <w:rFonts w:cs="Arial"/>
        </w:rPr>
      </w:pPr>
      <w:r>
        <w:rPr>
          <w:rFonts w:cs="Arial"/>
        </w:rPr>
        <w:t xml:space="preserve">The governance model of South Korea throughout the COVID-19 pandemic is an example of an opposite model that has strong central coordination facilitated by legal frameworks, interagency collaboration, and coordinated public health responses (Park and Fowler, 2021). With local governments having administrative functions in service delivery, the general governance model was towards </w:t>
      </w:r>
      <w:r>
        <w:rPr>
          <w:rFonts w:cs="Arial"/>
        </w:rPr>
        <w:t>centralised</w:t>
      </w:r>
      <w:r>
        <w:rPr>
          <w:rFonts w:cs="Arial"/>
        </w:rPr>
        <w:t xml:space="preserve"> decision making, and local implementation by the national governments and </w:t>
      </w:r>
      <w:r>
        <w:rPr>
          <w:rFonts w:cs="Arial"/>
        </w:rPr>
        <w:t>specialised</w:t>
      </w:r>
      <w:r>
        <w:rPr>
          <w:rFonts w:cs="Arial"/>
        </w:rPr>
        <w:t xml:space="preserve"> agencies such as the Korea Disease Control and Prevention Agency (KDCA) (Park and Fowler, 2021).</w:t>
      </w:r>
    </w:p>
    <w:p>
      <w:pPr>
        <w:pStyle w:val="style0"/>
        <w:spacing w:before="120" w:after="120"/>
        <w:rPr>
          <w:rFonts w:cs="Arial"/>
        </w:rPr>
      </w:pPr>
      <w:r>
        <w:rPr>
          <w:rFonts w:cs="Arial"/>
        </w:rPr>
        <w:t>One of the strengths of South Korean governance at the time of the pandemic was the so-called whole-of-nation (</w:t>
      </w:r>
      <w:r>
        <w:rPr>
          <w:rFonts w:cs="Arial"/>
        </w:rPr>
        <w:t>WoN</w:t>
      </w:r>
      <w:r>
        <w:rPr>
          <w:rFonts w:cs="Arial"/>
        </w:rPr>
        <w:t>) model, according to which the whole-of-government policy-making was accompanied by the whole-of-society engagement, and all the governmental levels, national, provincial, and municipal, were to operate along the commonly shared strategic priorities (Oh, 2020). Under this model, the central government implemented laws and operation strategies grounded on the Infectious Disease Control and Prevention Act, which offered the legal foundation of rapid interventions of the public health</w:t>
      </w:r>
      <w:r>
        <w:rPr>
          <w:rFonts w:cs="Arial"/>
        </w:rPr>
        <w:t>,</w:t>
      </w:r>
      <w:r>
        <w:rPr>
          <w:rFonts w:cs="Arial"/>
        </w:rPr>
        <w:t xml:space="preserve"> including mass testing, contact tracing, and the enforcement of quarantine (Mao, 2024). The central organs, including the Central Disaster and Safety Countermeasure Headquarters, which was led by the Prime Minister, were the coordinating bodies of a concerted effort of the ministries and local governments related to the health aspect of the situation and the development of the unified response instead of reactive decision-making.</w:t>
      </w:r>
    </w:p>
    <w:p>
      <w:pPr>
        <w:pStyle w:val="style0"/>
        <w:spacing w:before="120" w:after="120"/>
        <w:rPr>
          <w:rFonts w:cs="Arial"/>
        </w:rPr>
      </w:pPr>
      <w:r>
        <w:rPr>
          <w:rFonts w:cs="Arial"/>
        </w:rPr>
        <w:t xml:space="preserve">The </w:t>
      </w:r>
      <w:r>
        <w:rPr>
          <w:rFonts w:cs="Arial"/>
        </w:rPr>
        <w:t>centralised</w:t>
      </w:r>
      <w:r>
        <w:rPr>
          <w:rFonts w:cs="Arial"/>
        </w:rPr>
        <w:t xml:space="preserve"> governance model enabled South Korea to align resources, </w:t>
      </w:r>
      <w:r>
        <w:rPr>
          <w:rFonts w:cs="Arial"/>
        </w:rPr>
        <w:t>standardise</w:t>
      </w:r>
      <w:r>
        <w:rPr>
          <w:rFonts w:cs="Arial"/>
        </w:rPr>
        <w:t xml:space="preserve"> the digital surveillance systems to track the epidemiological activities, and the coordinated health communications approach to ensure compliance among the population and transparency (Hong, 2024). As an example, the </w:t>
      </w:r>
      <w:r>
        <w:rPr>
          <w:rFonts w:cs="Arial"/>
        </w:rPr>
        <w:t>centralised</w:t>
      </w:r>
      <w:r>
        <w:rPr>
          <w:rFonts w:cs="Arial"/>
        </w:rPr>
        <w:t xml:space="preserve"> coordination allowed real-time sharing of data and the creation of a single set of guidelines and rules regarding testing criteria, quarantine rules, and vaccine </w:t>
      </w:r>
      <w:r>
        <w:rPr>
          <w:rFonts w:cs="Arial"/>
        </w:rPr>
        <w:t>prioritisation</w:t>
      </w:r>
      <w:r>
        <w:rPr>
          <w:rFonts w:cs="Arial"/>
        </w:rPr>
        <w:t xml:space="preserve">, which </w:t>
      </w:r>
      <w:r>
        <w:rPr>
          <w:rFonts w:cs="Arial"/>
        </w:rPr>
        <w:t>minimised</w:t>
      </w:r>
      <w:r>
        <w:rPr>
          <w:rFonts w:cs="Arial"/>
        </w:rPr>
        <w:t xml:space="preserve"> confusion and regional health policy reactions.</w:t>
      </w:r>
    </w:p>
    <w:p>
      <w:pPr>
        <w:pStyle w:val="style0"/>
        <w:spacing w:before="120" w:after="120"/>
        <w:rPr>
          <w:rFonts w:cs="Arial"/>
        </w:rPr>
      </w:pPr>
      <w:r>
        <w:rPr>
          <w:rFonts w:cs="Arial"/>
        </w:rPr>
        <w:t xml:space="preserve">Although local authorities had operational roles, including conducting community-level contact tracing or establishing local isolation facilities, they were part of a </w:t>
      </w:r>
      <w:r>
        <w:rPr>
          <w:rFonts w:cs="Arial"/>
        </w:rPr>
        <w:t>centralised</w:t>
      </w:r>
      <w:r>
        <w:rPr>
          <w:rFonts w:cs="Arial"/>
        </w:rPr>
        <w:t xml:space="preserve"> structure, which gave them legal power, funding, and a strategic direction (Yoo </w:t>
      </w:r>
      <w:r>
        <w:rPr>
          <w:rFonts w:cs="Arial"/>
          <w:i/>
          <w:iCs/>
        </w:rPr>
        <w:t>et al</w:t>
      </w:r>
      <w:r>
        <w:rPr>
          <w:rFonts w:cs="Arial"/>
        </w:rPr>
        <w:t>., 2021). This model is the opposite of the national-regional fragmented relationship in Spain</w:t>
      </w:r>
      <w:r>
        <w:rPr>
          <w:rFonts w:cs="Arial"/>
        </w:rPr>
        <w:t>,</w:t>
      </w:r>
      <w:r>
        <w:rPr>
          <w:rFonts w:cs="Arial"/>
        </w:rPr>
        <w:t xml:space="preserve"> and it </w:t>
      </w:r>
      <w:r>
        <w:rPr>
          <w:rFonts w:cs="Arial"/>
        </w:rPr>
        <w:t>emphasises</w:t>
      </w:r>
      <w:r>
        <w:rPr>
          <w:rFonts w:cs="Arial"/>
        </w:rPr>
        <w:t xml:space="preserve"> how </w:t>
      </w:r>
      <w:r>
        <w:rPr>
          <w:rFonts w:cs="Arial"/>
        </w:rPr>
        <w:t>centralisation</w:t>
      </w:r>
      <w:r>
        <w:rPr>
          <w:rFonts w:cs="Arial"/>
        </w:rPr>
        <w:t xml:space="preserve"> of the governance of pandemics may enhance coherence, the speed of operation, and the quality of the commonness of the public health standards within a nation.</w:t>
      </w:r>
    </w:p>
    <w:bookmarkStart w:id="12" w:name="_Toc220982960"/>
    <w:p>
      <w:pPr>
        <w:pStyle w:val="style2"/>
        <w:rPr/>
      </w:pPr>
      <w:r>
        <w:t xml:space="preserve">Canada’s Federal and </w:t>
      </w:r>
      <w:r>
        <w:t>Decentralised</w:t>
      </w:r>
      <w:r>
        <w:t xml:space="preserve"> Health Governance</w:t>
      </w:r>
      <w:bookmarkEnd w:id="12"/>
    </w:p>
    <w:p>
      <w:pPr>
        <w:pStyle w:val="style0"/>
        <w:spacing w:before="120" w:after="120"/>
        <w:rPr>
          <w:rFonts w:cs="Arial"/>
        </w:rPr>
      </w:pPr>
      <w:r>
        <w:rPr>
          <w:rFonts w:cs="Arial"/>
        </w:rPr>
        <w:t xml:space="preserve">The example of federal </w:t>
      </w:r>
      <w:r>
        <w:rPr>
          <w:rFonts w:cs="Arial"/>
        </w:rPr>
        <w:t>decentralisation</w:t>
      </w:r>
      <w:r>
        <w:rPr>
          <w:rFonts w:cs="Arial"/>
        </w:rPr>
        <w:t xml:space="preserve"> is clear in Canada, as provinces and territories are</w:t>
      </w:r>
      <w:r>
        <w:rPr>
          <w:rFonts w:cs="Arial"/>
        </w:rPr>
        <w:t>,</w:t>
      </w:r>
      <w:r>
        <w:rPr>
          <w:rFonts w:cs="Arial"/>
        </w:rPr>
        <w:t xml:space="preserve"> in the first place</w:t>
      </w:r>
      <w:r>
        <w:rPr>
          <w:rFonts w:cs="Arial"/>
        </w:rPr>
        <w:t>,</w:t>
      </w:r>
      <w:r>
        <w:rPr>
          <w:rFonts w:cs="Arial"/>
        </w:rPr>
        <w:t xml:space="preserve"> responsible </w:t>
      </w:r>
      <w:r>
        <w:rPr>
          <w:rFonts w:cs="Arial"/>
        </w:rPr>
        <w:t>for</w:t>
      </w:r>
      <w:r>
        <w:rPr>
          <w:rFonts w:cs="Arial"/>
        </w:rPr>
        <w:t xml:space="preserve"> the sphere of health care delivery and making of decisions regarding national health, with the federal government acting as a supporter and coordinator (Smith </w:t>
      </w:r>
      <w:r>
        <w:rPr>
          <w:rFonts w:cs="Arial"/>
          <w:i/>
          <w:iCs/>
        </w:rPr>
        <w:t>et al</w:t>
      </w:r>
      <w:r>
        <w:rPr>
          <w:rFonts w:cs="Arial"/>
        </w:rPr>
        <w:t xml:space="preserve">., 2022). Provinces in Canada administer universal health insurance, hospital systems, and take the lead in directing public health, whereas the federal government makes financial transfers and offers national direction without direct operational control (Sriharan </w:t>
      </w:r>
      <w:r>
        <w:rPr>
          <w:rFonts w:cs="Arial"/>
          <w:i/>
          <w:iCs/>
        </w:rPr>
        <w:t>et al</w:t>
      </w:r>
      <w:r>
        <w:rPr>
          <w:rFonts w:cs="Arial"/>
        </w:rPr>
        <w:t>., 2021).</w:t>
      </w:r>
    </w:p>
    <w:p>
      <w:pPr>
        <w:pStyle w:val="style0"/>
        <w:spacing w:before="120" w:after="120"/>
        <w:rPr>
          <w:rFonts w:cs="Arial"/>
        </w:rPr>
      </w:pPr>
      <w:r>
        <w:rPr>
          <w:rFonts w:cs="Arial"/>
        </w:rPr>
        <w:t xml:space="preserve">This </w:t>
      </w:r>
      <w:r>
        <w:rPr>
          <w:rFonts w:cs="Arial"/>
        </w:rPr>
        <w:t>decentralised</w:t>
      </w:r>
      <w:r>
        <w:rPr>
          <w:rFonts w:cs="Arial"/>
        </w:rPr>
        <w:t xml:space="preserve"> structure enhanced the difference in provincial public health response and pandemic outcomes in the early pandemic phases of the COVID-19 pandemic. The lack of a unified national public health service led to heterogeneous responses in terms of testing, surveillance, and enforcement of health measures as the provinces had dissimilar capacity and strategies to respond to the epidemic due to the local conditions of epidemiology, resources, and preferences of policy makers (Smith </w:t>
      </w:r>
      <w:r>
        <w:rPr>
          <w:rFonts w:cs="Arial"/>
          <w:i/>
          <w:iCs/>
        </w:rPr>
        <w:t>et al</w:t>
      </w:r>
      <w:r>
        <w:rPr>
          <w:rFonts w:cs="Arial"/>
        </w:rPr>
        <w:t>., 2022).</w:t>
      </w:r>
    </w:p>
    <w:p>
      <w:pPr>
        <w:pStyle w:val="style0"/>
        <w:spacing w:before="120" w:after="120"/>
        <w:rPr>
          <w:rFonts w:cs="Arial"/>
        </w:rPr>
      </w:pPr>
      <w:r>
        <w:rPr>
          <w:rFonts w:cs="Arial"/>
        </w:rPr>
        <w:t xml:space="preserve">Analysts describe the pandemic management in Canada as a </w:t>
      </w:r>
      <w:r>
        <w:rPr>
          <w:rFonts w:cs="Arial"/>
        </w:rPr>
        <w:t>decentralised</w:t>
      </w:r>
      <w:r>
        <w:rPr>
          <w:rFonts w:cs="Arial"/>
        </w:rPr>
        <w:t xml:space="preserve"> and human-centred approach to early interventions, focusing on civic education, social capital, and volunteer adherence, rather than more </w:t>
      </w:r>
      <w:r>
        <w:rPr>
          <w:rFonts w:cs="Arial"/>
        </w:rPr>
        <w:t>centralised</w:t>
      </w:r>
      <w:r>
        <w:rPr>
          <w:rFonts w:cs="Arial"/>
        </w:rPr>
        <w:t xml:space="preserve"> and technology-intensive </w:t>
      </w:r>
      <w:r>
        <w:rPr>
          <w:rFonts w:cs="Arial"/>
        </w:rPr>
        <w:t>practises</w:t>
      </w:r>
      <w:r>
        <w:rPr>
          <w:rFonts w:cs="Arial"/>
        </w:rPr>
        <w:t xml:space="preserve"> in other countries (Hansen and Cyr, 2020). Although this </w:t>
      </w:r>
      <w:r>
        <w:rPr>
          <w:rFonts w:cs="Arial"/>
        </w:rPr>
        <w:t>decentralisation</w:t>
      </w:r>
      <w:r>
        <w:rPr>
          <w:rFonts w:cs="Arial"/>
        </w:rPr>
        <w:t xml:space="preserve"> maintained local autonomy, critics contended that it also led to delays in rapid and coordinated testing and the implementation of one policy, especially at the national level in </w:t>
      </w:r>
      <w:r>
        <w:rPr>
          <w:rFonts w:cs="Arial"/>
        </w:rPr>
        <w:t xml:space="preserve">the </w:t>
      </w:r>
      <w:r>
        <w:rPr>
          <w:rFonts w:cs="Arial"/>
        </w:rPr>
        <w:t>first wave.</w:t>
      </w:r>
    </w:p>
    <w:p>
      <w:pPr>
        <w:pStyle w:val="style0"/>
        <w:spacing w:before="120" w:after="120"/>
        <w:rPr>
          <w:rFonts w:cs="Arial"/>
        </w:rPr>
      </w:pPr>
      <w:r>
        <w:rPr>
          <w:rFonts w:cs="Arial"/>
        </w:rPr>
        <w:t xml:space="preserve">Nevertheless, those provinces that had more integrated public health systems (both </w:t>
      </w:r>
      <w:r>
        <w:rPr>
          <w:rFonts w:cs="Arial"/>
        </w:rPr>
        <w:t>centralised</w:t>
      </w:r>
      <w:r>
        <w:rPr>
          <w:rFonts w:cs="Arial"/>
        </w:rPr>
        <w:t xml:space="preserve"> control and local coordination of action) </w:t>
      </w:r>
      <w:r>
        <w:rPr>
          <w:rFonts w:cs="Arial"/>
        </w:rPr>
        <w:t>were</w:t>
      </w:r>
      <w:r>
        <w:rPr>
          <w:rFonts w:cs="Arial"/>
        </w:rPr>
        <w:t xml:space="preserve"> more agile </w:t>
      </w:r>
      <w:r>
        <w:rPr>
          <w:rFonts w:cs="Arial"/>
        </w:rPr>
        <w:t>in responding</w:t>
      </w:r>
      <w:r>
        <w:rPr>
          <w:rFonts w:cs="Arial"/>
        </w:rPr>
        <w:t xml:space="preserve"> to surges, </w:t>
      </w:r>
      <w:r>
        <w:rPr>
          <w:rFonts w:cs="Arial"/>
        </w:rPr>
        <w:t>mobilising</w:t>
      </w:r>
      <w:r>
        <w:rPr>
          <w:rFonts w:cs="Arial"/>
        </w:rPr>
        <w:t xml:space="preserve"> vaccination actions, and </w:t>
      </w:r>
      <w:r>
        <w:rPr>
          <w:rFonts w:cs="Arial"/>
        </w:rPr>
        <w:t>orchestrating</w:t>
      </w:r>
      <w:r>
        <w:rPr>
          <w:rFonts w:cs="Arial"/>
        </w:rPr>
        <w:t xml:space="preserve"> health communication strategies across borders (</w:t>
      </w:r>
      <w:r>
        <w:rPr>
          <w:rFonts w:cs="Arial"/>
        </w:rPr>
        <w:t>Migone</w:t>
      </w:r>
      <w:r>
        <w:rPr>
          <w:rFonts w:cs="Arial"/>
        </w:rPr>
        <w:t xml:space="preserve">, 2020). According to the statements of the public health leaders, some provinces succeeded in responding faster and more effectively due to greater </w:t>
      </w:r>
      <w:r>
        <w:rPr>
          <w:rFonts w:cs="Arial"/>
        </w:rPr>
        <w:t>centralisation</w:t>
      </w:r>
      <w:r>
        <w:rPr>
          <w:rFonts w:cs="Arial"/>
        </w:rPr>
        <w:t xml:space="preserve"> and integration of public health systems, and the </w:t>
      </w:r>
      <w:r>
        <w:rPr>
          <w:rFonts w:cs="Arial"/>
        </w:rPr>
        <w:t>decentralisation</w:t>
      </w:r>
      <w:r>
        <w:rPr>
          <w:rFonts w:cs="Arial"/>
        </w:rPr>
        <w:t xml:space="preserve"> might only be advantageous in the presence of robust integration processes and intergovernmental communication regimes (Smith </w:t>
      </w:r>
      <w:r>
        <w:rPr>
          <w:rFonts w:cs="Arial"/>
          <w:i/>
          <w:iCs/>
        </w:rPr>
        <w:t>et al</w:t>
      </w:r>
      <w:r>
        <w:rPr>
          <w:rFonts w:cs="Arial"/>
        </w:rPr>
        <w:t>., 2022).</w:t>
      </w:r>
    </w:p>
    <w:p>
      <w:pPr>
        <w:pStyle w:val="style0"/>
        <w:spacing w:before="120" w:after="120"/>
        <w:rPr>
          <w:rFonts w:cs="Arial"/>
        </w:rPr>
      </w:pPr>
      <w:r>
        <w:rPr>
          <w:rFonts w:cs="Arial"/>
        </w:rPr>
        <w:t xml:space="preserve">The federal and </w:t>
      </w:r>
      <w:r>
        <w:rPr>
          <w:rFonts w:cs="Arial"/>
        </w:rPr>
        <w:t>decentralised</w:t>
      </w:r>
      <w:r>
        <w:rPr>
          <w:rFonts w:cs="Arial"/>
        </w:rPr>
        <w:t xml:space="preserve"> system of governance in Canada demonstrates the trade-offs of devolved management of pandemics (Hansen and Cyr, 2020). Autonomy is capable of adjusting to local conditions, although it must be </w:t>
      </w:r>
      <w:r>
        <w:rPr>
          <w:rFonts w:cs="Arial"/>
        </w:rPr>
        <w:t>well-coordinated</w:t>
      </w:r>
      <w:r>
        <w:rPr>
          <w:rFonts w:cs="Arial"/>
        </w:rPr>
        <w:t xml:space="preserve"> structures that would help in providing national coherence, particularly when conditions are in crisis</w:t>
      </w:r>
      <w:r>
        <w:rPr>
          <w:rFonts w:cs="Arial"/>
        </w:rPr>
        <w:t>,</w:t>
      </w:r>
      <w:r>
        <w:rPr>
          <w:rFonts w:cs="Arial"/>
        </w:rPr>
        <w:t xml:space="preserve"> where time is crucial in making decisions and sharing of resources.</w:t>
      </w:r>
    </w:p>
    <w:bookmarkStart w:id="13" w:name="_Toc220982961"/>
    <w:p>
      <w:pPr>
        <w:pStyle w:val="style1"/>
        <w:spacing w:before="120" w:after="120"/>
        <w:rPr/>
      </w:pPr>
      <w:r>
        <w:t>Leadership Influence on Health System Structuring and Vaccination Roll-Out</w:t>
      </w:r>
      <w:bookmarkEnd w:id="13"/>
    </w:p>
    <w:bookmarkStart w:id="14" w:name="_Toc220982962"/>
    <w:p>
      <w:pPr>
        <w:pStyle w:val="style2"/>
        <w:rPr/>
      </w:pPr>
      <w:r>
        <w:t>Spain’s Vaccination Strategy and Leadership Impact</w:t>
      </w:r>
      <w:bookmarkEnd w:id="14"/>
    </w:p>
    <w:p>
      <w:pPr>
        <w:pStyle w:val="style0"/>
        <w:spacing w:before="120" w:after="120"/>
        <w:rPr>
          <w:rFonts w:cs="Arial"/>
        </w:rPr>
      </w:pPr>
      <w:r>
        <w:rPr>
          <w:rFonts w:cs="Arial"/>
        </w:rPr>
        <w:t xml:space="preserve">In Spain, the vaccination plan against COVID-19 was first defined by the local coordination and the leadership of the country in the context of the </w:t>
      </w:r>
      <w:r>
        <w:rPr>
          <w:rFonts w:cs="Arial"/>
        </w:rPr>
        <w:t>decentralised</w:t>
      </w:r>
      <w:r>
        <w:rPr>
          <w:rFonts w:cs="Arial"/>
        </w:rPr>
        <w:t xml:space="preserve"> health system (Antonini </w:t>
      </w:r>
      <w:r>
        <w:rPr>
          <w:rFonts w:cs="Arial"/>
          <w:i/>
          <w:iCs/>
        </w:rPr>
        <w:t>et al</w:t>
      </w:r>
      <w:r>
        <w:rPr>
          <w:rFonts w:cs="Arial"/>
        </w:rPr>
        <w:t xml:space="preserve">., 2021). On 27 December 2020, the Spanish government initiated its national vaccination </w:t>
      </w:r>
      <w:r>
        <w:rPr>
          <w:rFonts w:cs="Arial"/>
        </w:rPr>
        <w:t>programme</w:t>
      </w:r>
      <w:r>
        <w:rPr>
          <w:rFonts w:cs="Arial"/>
        </w:rPr>
        <w:t>, replacing the crisis management with the long-term management of the pandemic outbreak</w:t>
      </w:r>
      <w:r>
        <w:rPr>
          <w:rFonts w:cs="Arial"/>
        </w:rPr>
        <w:t>,</w:t>
      </w:r>
      <w:r>
        <w:rPr>
          <w:rFonts w:cs="Arial"/>
        </w:rPr>
        <w:t xml:space="preserve"> with national priorities described at the Ministry of Health and regional authorities implementing the delivery of vaccinations across the autonomous communities. Tens of millions of vaccine doses were delivered to Spain by the end of 2021</w:t>
      </w:r>
      <w:r>
        <w:rPr>
          <w:rFonts w:cs="Arial"/>
        </w:rPr>
        <w:t>,</w:t>
      </w:r>
      <w:r>
        <w:rPr>
          <w:rFonts w:cs="Arial"/>
        </w:rPr>
        <w:t xml:space="preserve"> and a large proportion of the population was vaccinated thanks to </w:t>
      </w:r>
      <w:r>
        <w:rPr>
          <w:rFonts w:cs="Arial"/>
        </w:rPr>
        <w:t xml:space="preserve">the </w:t>
      </w:r>
      <w:r>
        <w:rPr>
          <w:rFonts w:cs="Arial"/>
        </w:rPr>
        <w:t xml:space="preserve">combined efforts of central planning and regional execution (Antonini </w:t>
      </w:r>
      <w:r>
        <w:rPr>
          <w:rFonts w:cs="Arial"/>
          <w:i/>
          <w:iCs/>
        </w:rPr>
        <w:t>et al</w:t>
      </w:r>
      <w:r>
        <w:rPr>
          <w:rFonts w:cs="Arial"/>
        </w:rPr>
        <w:t>., 2021).</w:t>
      </w:r>
    </w:p>
    <w:p>
      <w:pPr>
        <w:pStyle w:val="style0"/>
        <w:spacing w:before="120" w:after="120"/>
        <w:jc w:val="center"/>
        <w:rPr>
          <w:rFonts w:cs="Arial"/>
        </w:rPr>
      </w:pPr>
      <w:r>
        <w:rPr>
          <w:rFonts w:cs="Arial"/>
        </w:rPr>
        <w:drawing>
          <wp:inline distL="0" distT="0" distB="0" distR="0">
            <wp:extent cx="4754245" cy="2649011"/>
            <wp:effectExtent l="0" t="0" r="8255" b="0"/>
            <wp:docPr id="1029"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7"/>
                    <pic:cNvPicPr/>
                  </pic:nvPicPr>
                  <pic:blipFill>
                    <a:blip r:embed="rId5" cstate="print"/>
                    <a:srcRect l="0" t="11148" r="0" b="13876"/>
                    <a:stretch/>
                  </pic:blipFill>
                  <pic:spPr>
                    <a:xfrm rot="0">
                      <a:off x="0" y="0"/>
                      <a:ext cx="4754245" cy="2649011"/>
                    </a:xfrm>
                    <a:prstGeom prst="rect"/>
                    <a:ln>
                      <a:noFill/>
                    </a:ln>
                  </pic:spPr>
                </pic:pic>
              </a:graphicData>
            </a:graphic>
          </wp:inline>
        </w:drawing>
      </w:r>
    </w:p>
    <w:p>
      <w:pPr>
        <w:pStyle w:val="style157"/>
        <w:spacing w:before="120" w:after="120"/>
        <w:rPr/>
      </w:pPr>
      <w:r>
        <w:t xml:space="preserve">Figure </w:t>
      </w:r>
      <w:r>
        <w:rPr/>
        <w:fldChar w:fldCharType="begin"/>
      </w:r>
      <w:r>
        <w:instrText xml:space="preserve"> SEQ Figure \* ARABIC </w:instrText>
      </w:r>
      <w:r>
        <w:rPr/>
        <w:fldChar w:fldCharType="separate"/>
      </w:r>
      <w:r>
        <w:rPr>
          <w:noProof/>
        </w:rPr>
        <w:t>3</w:t>
      </w:r>
      <w:r>
        <w:rPr/>
        <w:fldChar w:fldCharType="end"/>
      </w:r>
      <w:r>
        <w:t xml:space="preserve"> </w:t>
      </w:r>
      <w:r>
        <w:t xml:space="preserve">Cumulative COVID-19 vaccine doses per 100 people in Spain </w:t>
      </w:r>
      <w:r>
        <w:rPr>
          <w:iCs/>
          <w:color w:val="0e2841"/>
        </w:rPr>
        <w:t>(Statista, 2023a)</w:t>
      </w:r>
    </w:p>
    <w:p>
      <w:pPr>
        <w:pStyle w:val="style0"/>
        <w:spacing w:before="120" w:after="120"/>
        <w:rPr>
          <w:rFonts w:cs="Arial"/>
        </w:rPr>
      </w:pPr>
      <w:r>
        <w:rPr>
          <w:rFonts w:cs="Arial"/>
        </w:rPr>
        <w:t xml:space="preserve">The national leadership contributed to the development of </w:t>
      </w:r>
      <w:r>
        <w:rPr>
          <w:rFonts w:cs="Arial"/>
        </w:rPr>
        <w:t>prioritisation</w:t>
      </w:r>
      <w:r>
        <w:rPr>
          <w:rFonts w:cs="Arial"/>
        </w:rPr>
        <w:t xml:space="preserve"> schemes </w:t>
      </w:r>
      <w:r>
        <w:rPr>
          <w:rFonts w:cs="Arial"/>
        </w:rPr>
        <w:t>prioritising</w:t>
      </w:r>
      <w:r>
        <w:rPr>
          <w:rFonts w:cs="Arial"/>
        </w:rPr>
        <w:t xml:space="preserve"> healthcare workers, older adults, and high-risk persons, which was characteristic of a typical phased vaccination strategy and was consistent with WHO and EU guidelines and the intention to cover the most vulnerable groups with the initial vaccination (</w:t>
      </w:r>
      <w:r>
        <w:rPr>
          <w:rFonts w:cs="Arial"/>
        </w:rPr>
        <w:t>Alcarria</w:t>
      </w:r>
      <w:r>
        <w:rPr>
          <w:rFonts w:cs="Arial"/>
        </w:rPr>
        <w:t xml:space="preserve"> and Navarro, </w:t>
      </w:r>
      <w:r>
        <w:rPr>
          <w:rFonts w:cs="Arial"/>
        </w:rPr>
        <w:t xml:space="preserve">2024). Though the early 2021 roll-out of vaccines was slow and had been contested due to its difficulties in reaching </w:t>
      </w:r>
      <w:r>
        <w:rPr>
          <w:rFonts w:cs="Arial"/>
        </w:rPr>
        <w:t>marginalised</w:t>
      </w:r>
      <w:r>
        <w:rPr>
          <w:rFonts w:cs="Arial"/>
        </w:rPr>
        <w:t xml:space="preserve"> groups and creating equity in access, primary care networks and mass vaccination sites </w:t>
      </w:r>
      <w:r>
        <w:rPr>
          <w:rFonts w:cs="Arial"/>
        </w:rPr>
        <w:t>mobilised</w:t>
      </w:r>
      <w:r>
        <w:rPr>
          <w:rFonts w:cs="Arial"/>
        </w:rPr>
        <w:t xml:space="preserve"> by their respective authorities and leaders to address these disparities. This complication underscored the conflict between a </w:t>
      </w:r>
      <w:r>
        <w:rPr>
          <w:rFonts w:cs="Arial"/>
        </w:rPr>
        <w:t>decentralised</w:t>
      </w:r>
      <w:r>
        <w:rPr>
          <w:rFonts w:cs="Arial"/>
        </w:rPr>
        <w:t xml:space="preserve"> health delivery apparatus and the necessity to have a single national approach when a countrywide </w:t>
      </w:r>
      <w:r>
        <w:rPr>
          <w:rFonts w:cs="Arial"/>
        </w:rPr>
        <w:t>immunisation</w:t>
      </w:r>
      <w:r>
        <w:rPr>
          <w:rFonts w:cs="Arial"/>
        </w:rPr>
        <w:t xml:space="preserve"> campaign is needed (Casasnovas and Pifarre </w:t>
      </w:r>
      <w:r>
        <w:rPr>
          <w:rFonts w:cs="Arial"/>
        </w:rPr>
        <w:t>i</w:t>
      </w:r>
      <w:r>
        <w:rPr>
          <w:rFonts w:cs="Arial"/>
        </w:rPr>
        <w:t xml:space="preserve"> Arolas, 2021).</w:t>
      </w:r>
    </w:p>
    <w:p>
      <w:pPr>
        <w:pStyle w:val="style0"/>
        <w:spacing w:before="120" w:after="120"/>
        <w:rPr>
          <w:rFonts w:cs="Arial"/>
        </w:rPr>
      </w:pPr>
      <w:r>
        <w:rPr>
          <w:rFonts w:cs="Arial"/>
        </w:rPr>
        <w:t>The creation of a vaccine champion, with high vaccine confidence and a high level of public acceptance, which is an emerging phenomenon in Spain</w:t>
      </w:r>
      <w:r>
        <w:rPr>
          <w:rFonts w:cs="Arial"/>
        </w:rPr>
        <w:t>,</w:t>
      </w:r>
      <w:r>
        <w:rPr>
          <w:rFonts w:cs="Arial"/>
        </w:rPr>
        <w:t xml:space="preserve"> can be partly explained by the success in leadership communication, where the focus on trust in vaccines and solidarity </w:t>
      </w:r>
      <w:r>
        <w:rPr>
          <w:rFonts w:cs="Arial"/>
        </w:rPr>
        <w:t>was</w:t>
      </w:r>
      <w:r>
        <w:rPr>
          <w:rFonts w:cs="Arial"/>
        </w:rPr>
        <w:t xml:space="preserve"> </w:t>
      </w:r>
      <w:r>
        <w:rPr>
          <w:rFonts w:cs="Arial"/>
        </w:rPr>
        <w:t>prioritised</w:t>
      </w:r>
      <w:r>
        <w:rPr>
          <w:rFonts w:cs="Arial"/>
        </w:rPr>
        <w:t xml:space="preserve">, and a cultural context that was open to </w:t>
      </w:r>
      <w:r>
        <w:rPr>
          <w:rFonts w:cs="Arial"/>
        </w:rPr>
        <w:t>immunisation</w:t>
      </w:r>
      <w:r>
        <w:rPr>
          <w:rFonts w:cs="Arial"/>
        </w:rPr>
        <w:t xml:space="preserve"> (Garcia-</w:t>
      </w:r>
      <w:r>
        <w:rPr>
          <w:rFonts w:cs="Arial"/>
        </w:rPr>
        <w:t>Basteiro</w:t>
      </w:r>
      <w:r>
        <w:rPr>
          <w:rFonts w:cs="Arial"/>
        </w:rPr>
        <w:t xml:space="preserve"> </w:t>
      </w:r>
      <w:r>
        <w:rPr>
          <w:rFonts w:cs="Arial"/>
          <w:i/>
          <w:iCs/>
        </w:rPr>
        <w:t>et al</w:t>
      </w:r>
      <w:r>
        <w:rPr>
          <w:rFonts w:cs="Arial"/>
        </w:rPr>
        <w:t xml:space="preserve">., 2020). Indicatively, a survey has found that as many as 79 </w:t>
      </w:r>
      <w:r>
        <w:rPr>
          <w:rFonts w:cs="Arial"/>
        </w:rPr>
        <w:t>per cent</w:t>
      </w:r>
      <w:r>
        <w:rPr>
          <w:rFonts w:cs="Arial"/>
        </w:rPr>
        <w:t xml:space="preserve"> of adults in Spain expressed trust </w:t>
      </w:r>
      <w:r>
        <w:rPr>
          <w:rFonts w:cs="Arial"/>
        </w:rPr>
        <w:t>in</w:t>
      </w:r>
      <w:r>
        <w:rPr>
          <w:rFonts w:cs="Arial"/>
        </w:rPr>
        <w:t xml:space="preserve"> the COVID-19 vaccines, which were used by the leaders of public health to act as a motivator. </w:t>
      </w:r>
      <w:r>
        <w:rPr>
          <w:rFonts w:cs="Arial"/>
        </w:rPr>
        <w:t>Well-coordinated</w:t>
      </w:r>
      <w:r>
        <w:rPr>
          <w:rFonts w:cs="Arial"/>
        </w:rPr>
        <w:t xml:space="preserve"> leadership messages in </w:t>
      </w:r>
      <w:r>
        <w:rPr>
          <w:rFonts w:cs="Arial"/>
        </w:rPr>
        <w:t>favour</w:t>
      </w:r>
      <w:r>
        <w:rPr>
          <w:rFonts w:cs="Arial"/>
        </w:rPr>
        <w:t xml:space="preserve"> of vaccination were associated with swift coverage growth, particularly among youths as vaccination became common (Ciotti </w:t>
      </w:r>
      <w:r>
        <w:rPr>
          <w:rFonts w:cs="Arial"/>
          <w:i/>
          <w:iCs/>
        </w:rPr>
        <w:t>et al</w:t>
      </w:r>
      <w:r>
        <w:rPr>
          <w:rFonts w:cs="Arial"/>
        </w:rPr>
        <w:t xml:space="preserve">., 2020). The experiences that have been had showed the impact of leadership on health system structuring and the general reaction to it, especially in conveying the scientific nature of vaccination in a very </w:t>
      </w:r>
      <w:r>
        <w:rPr>
          <w:rFonts w:cs="Arial"/>
        </w:rPr>
        <w:t>decentralised</w:t>
      </w:r>
      <w:r>
        <w:rPr>
          <w:rFonts w:cs="Arial"/>
        </w:rPr>
        <w:t xml:space="preserve"> system of governance</w:t>
      </w:r>
      <w:r>
        <w:rPr>
          <w:rFonts w:cs="Arial"/>
        </w:rPr>
        <w:t>.</w:t>
      </w:r>
    </w:p>
    <w:bookmarkStart w:id="15" w:name="_Toc220982963"/>
    <w:p>
      <w:pPr>
        <w:pStyle w:val="style2"/>
        <w:rPr/>
      </w:pPr>
      <w:r>
        <w:t>South Korea’s Vaccination and Public Trust Strategy</w:t>
      </w:r>
      <w:bookmarkEnd w:id="15"/>
    </w:p>
    <w:p>
      <w:pPr>
        <w:pStyle w:val="style0"/>
        <w:spacing w:before="120" w:after="120"/>
        <w:rPr>
          <w:rFonts w:cs="Arial"/>
        </w:rPr>
      </w:pPr>
      <w:r>
        <w:rPr>
          <w:rFonts w:cs="Arial"/>
        </w:rPr>
        <w:t xml:space="preserve">The vaccination strategy of South Korea is </w:t>
      </w:r>
      <w:r>
        <w:rPr>
          <w:rFonts w:cs="Arial"/>
        </w:rPr>
        <w:t>characterised</w:t>
      </w:r>
      <w:r>
        <w:rPr>
          <w:rFonts w:cs="Arial"/>
        </w:rPr>
        <w:t xml:space="preserve"> by a </w:t>
      </w:r>
      <w:r>
        <w:rPr>
          <w:rFonts w:cs="Arial"/>
        </w:rPr>
        <w:t>centralised</w:t>
      </w:r>
      <w:r>
        <w:rPr>
          <w:rFonts w:cs="Arial"/>
        </w:rPr>
        <w:t xml:space="preserve"> and data-driven implementation that is facilitated by a sphere of coordinated leadership of the Ministry of Health and Welfare and the Korea Disease Control and Prevention Agency (KDCA) (Yi </w:t>
      </w:r>
      <w:r>
        <w:rPr>
          <w:rFonts w:cs="Arial"/>
          <w:i/>
          <w:iCs/>
        </w:rPr>
        <w:t>et al</w:t>
      </w:r>
      <w:r>
        <w:rPr>
          <w:rFonts w:cs="Arial"/>
        </w:rPr>
        <w:t xml:space="preserve">., 2022). Whereas Spain had to depend on </w:t>
      </w:r>
      <w:r>
        <w:rPr>
          <w:rFonts w:cs="Arial"/>
        </w:rPr>
        <w:t>decentralised</w:t>
      </w:r>
      <w:r>
        <w:rPr>
          <w:rFonts w:cs="Arial"/>
        </w:rPr>
        <w:t xml:space="preserve"> implementation with execution by the regions, South Korea had the national leadership in the direction and implementation of policies that increased coherence in distribution, </w:t>
      </w:r>
      <w:r>
        <w:rPr>
          <w:rFonts w:cs="Arial"/>
        </w:rPr>
        <w:t>prioritisation</w:t>
      </w:r>
      <w:r>
        <w:rPr>
          <w:rFonts w:cs="Arial"/>
        </w:rPr>
        <w:t xml:space="preserve">, and public messaging. The scholarly analysis of the national campaign in South Korea shows that the vaccination </w:t>
      </w:r>
      <w:r>
        <w:rPr>
          <w:rFonts w:cs="Arial"/>
        </w:rPr>
        <w:t>programme</w:t>
      </w:r>
      <w:r>
        <w:rPr>
          <w:rFonts w:cs="Arial"/>
        </w:rPr>
        <w:t xml:space="preserve"> contributed to a considerable decrease in severe disease and mortality and that it was found to be effective against severe outcomes of more than 90 percent in fully vaccinated individuals, which is a clear indication of the impact of a well-coordinated vaccination roll-out supported by coordinated leadership (Yi </w:t>
      </w:r>
      <w:r>
        <w:rPr>
          <w:rFonts w:cs="Arial"/>
          <w:i/>
          <w:iCs/>
        </w:rPr>
        <w:t>et al</w:t>
      </w:r>
      <w:r>
        <w:rPr>
          <w:rFonts w:cs="Arial"/>
        </w:rPr>
        <w:t>., 2022).</w:t>
      </w:r>
    </w:p>
    <w:p>
      <w:pPr>
        <w:pStyle w:val="style0"/>
        <w:spacing w:before="120" w:after="120"/>
        <w:rPr>
          <w:rFonts w:cs="Arial"/>
        </w:rPr>
      </w:pPr>
      <w:r>
        <w:rPr>
          <w:rFonts w:cs="Arial"/>
        </w:rPr>
        <w:t>South Korean leadership focused on open, regular communication on vaccination campaigns</w:t>
      </w:r>
      <w:r>
        <w:rPr>
          <w:rFonts w:cs="Arial"/>
        </w:rPr>
        <w:t>,</w:t>
      </w:r>
      <w:r>
        <w:rPr>
          <w:rFonts w:cs="Arial"/>
        </w:rPr>
        <w:t xml:space="preserve"> which social marketing studies reveal is a key predictor of vaccination uptake. Social marketing strategies in the context of governmental agencies were used to enhance the acceptance of vaccines, such as proactive provision of credible information, fighting misinformation about vaccines, and fostering social norms of collective responsibility (Yoo </w:t>
      </w:r>
      <w:r>
        <w:rPr>
          <w:rFonts w:cs="Arial"/>
          <w:i/>
          <w:iCs/>
        </w:rPr>
        <w:t>et al</w:t>
      </w:r>
      <w:r>
        <w:rPr>
          <w:rFonts w:cs="Arial"/>
        </w:rPr>
        <w:t>., 2021). As of mid-2022, South Korea has demonstrated great success in these leadership-</w:t>
      </w:r>
      <w:r>
        <w:rPr>
          <w:rFonts w:cs="Arial"/>
        </w:rPr>
        <w:t xml:space="preserve">based communication and </w:t>
      </w:r>
      <w:r>
        <w:rPr>
          <w:rFonts w:cs="Arial"/>
        </w:rPr>
        <w:t>behavioural</w:t>
      </w:r>
      <w:r>
        <w:rPr>
          <w:rFonts w:cs="Arial"/>
        </w:rPr>
        <w:t xml:space="preserve"> policies, with more than 94 </w:t>
      </w:r>
      <w:r>
        <w:rPr>
          <w:rFonts w:cs="Arial"/>
        </w:rPr>
        <w:t>per cent</w:t>
      </w:r>
      <w:r>
        <w:rPr>
          <w:rFonts w:cs="Arial"/>
        </w:rPr>
        <w:t xml:space="preserve"> of the eligible population being fully vaccinated (two doses) and a large percentage getting further booster vaccinations (Yoon </w:t>
      </w:r>
      <w:r>
        <w:rPr>
          <w:rFonts w:cs="Arial"/>
          <w:i/>
          <w:iCs/>
        </w:rPr>
        <w:t>et al</w:t>
      </w:r>
      <w:r>
        <w:rPr>
          <w:rFonts w:cs="Arial"/>
        </w:rPr>
        <w:t>., 2024).</w:t>
      </w:r>
    </w:p>
    <w:p>
      <w:pPr>
        <w:pStyle w:val="style0"/>
        <w:spacing w:before="120" w:after="120"/>
        <w:jc w:val="center"/>
        <w:rPr>
          <w:rFonts w:cs="Arial"/>
        </w:rPr>
      </w:pPr>
      <w:r>
        <w:rPr>
          <w:rFonts w:cs="Arial"/>
        </w:rPr>
        <w:drawing>
          <wp:inline distL="0" distT="0" distB="0" distR="0">
            <wp:extent cx="5369123" cy="4559300"/>
            <wp:effectExtent l="0" t="0" r="3175" b="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705"/>
                    <a:stretch/>
                  </pic:blipFill>
                  <pic:spPr>
                    <a:xfrm rot="0">
                      <a:off x="0" y="0"/>
                      <a:ext cx="5369123" cy="4559300"/>
                    </a:xfrm>
                    <a:prstGeom prst="rect"/>
                    <a:ln>
                      <a:noFill/>
                    </a:ln>
                  </pic:spPr>
                </pic:pic>
              </a:graphicData>
            </a:graphic>
          </wp:inline>
        </w:drawing>
      </w:r>
    </w:p>
    <w:p>
      <w:pPr>
        <w:pStyle w:val="style157"/>
        <w:spacing w:before="120" w:after="120"/>
        <w:rPr/>
      </w:pPr>
      <w:r>
        <w:t xml:space="preserve">Figure </w:t>
      </w:r>
      <w:r>
        <w:rPr/>
        <w:fldChar w:fldCharType="begin"/>
      </w:r>
      <w:r>
        <w:instrText xml:space="preserve"> SEQ Figure \* ARABIC </w:instrText>
      </w:r>
      <w:r>
        <w:rPr/>
        <w:fldChar w:fldCharType="separate"/>
      </w:r>
      <w:r>
        <w:rPr>
          <w:noProof/>
        </w:rPr>
        <w:t>4</w:t>
      </w:r>
      <w:r>
        <w:rPr/>
        <w:fldChar w:fldCharType="end"/>
      </w:r>
      <w:r>
        <w:t xml:space="preserve"> </w:t>
      </w:r>
      <w:r>
        <w:t>COVID-19 vaccination rate in South Korea by age group (Statista, 2023</w:t>
      </w:r>
      <w:r>
        <w:t>b</w:t>
      </w:r>
      <w:r>
        <w:t>)</w:t>
      </w:r>
    </w:p>
    <w:p>
      <w:pPr>
        <w:pStyle w:val="style0"/>
        <w:spacing w:before="120" w:after="120"/>
        <w:rPr>
          <w:rFonts w:cs="Arial"/>
        </w:rPr>
      </w:pPr>
      <w:r>
        <w:rPr>
          <w:rFonts w:cs="Arial"/>
        </w:rPr>
        <w:t>This leadership influence did not stop at logistics but was also seen in defining the level of trust among the population; active communication and a developed national policy decreased reluctance and increased positive intentions towards vaccination. This is unlike environments with fragmented messaging</w:t>
      </w:r>
      <w:r>
        <w:rPr>
          <w:rFonts w:cs="Arial"/>
        </w:rPr>
        <w:t>,</w:t>
      </w:r>
      <w:r>
        <w:rPr>
          <w:rFonts w:cs="Arial"/>
        </w:rPr>
        <w:t xml:space="preserve"> where uptake was compromised (Park and Fowler, 2021). The integrated public health </w:t>
      </w:r>
      <w:r>
        <w:rPr>
          <w:rFonts w:cs="Arial"/>
        </w:rPr>
        <w:t>strategy</w:t>
      </w:r>
      <w:r>
        <w:rPr>
          <w:rFonts w:cs="Arial"/>
        </w:rPr>
        <w:t xml:space="preserve"> and well-planned vaccination policy in South Korea demonstrate that </w:t>
      </w:r>
      <w:r>
        <w:rPr>
          <w:rFonts w:cs="Arial"/>
        </w:rPr>
        <w:t>centralised</w:t>
      </w:r>
      <w:r>
        <w:rPr>
          <w:rFonts w:cs="Arial"/>
        </w:rPr>
        <w:t xml:space="preserve"> governance and governmental communication can strengthen the population and accelerate the adoption of vaccines during a crisis situation.</w:t>
      </w:r>
    </w:p>
    <w:p>
      <w:pPr>
        <w:pStyle w:val="style0"/>
        <w:spacing w:before="120" w:after="120" w:lineRule="auto" w:line="259"/>
        <w:jc w:val="left"/>
        <w:rPr>
          <w:rFonts w:cs="Arial"/>
        </w:rPr>
      </w:pPr>
      <w:r>
        <w:rPr>
          <w:rFonts w:cs="Arial"/>
        </w:rPr>
        <w:br w:type="page"/>
      </w:r>
    </w:p>
    <w:bookmarkStart w:id="16" w:name="_Toc220982964"/>
    <w:p>
      <w:pPr>
        <w:pStyle w:val="style2"/>
        <w:rPr/>
      </w:pPr>
      <w:r>
        <w:t>Canada’s Vaccination Roll-Out: Leadership and Intergovernmental Coordination</w:t>
      </w:r>
      <w:bookmarkEnd w:id="16"/>
    </w:p>
    <w:p>
      <w:pPr>
        <w:pStyle w:val="style0"/>
        <w:spacing w:before="120" w:after="120"/>
        <w:rPr>
          <w:rFonts w:cs="Arial"/>
        </w:rPr>
      </w:pPr>
      <w:r>
        <w:rPr>
          <w:rFonts w:cs="Arial"/>
        </w:rPr>
        <w:t>The vaccination roll-out in Canada demonstrates how federal leadership</w:t>
      </w:r>
      <w:r>
        <w:rPr>
          <w:rFonts w:cs="Arial"/>
        </w:rPr>
        <w:t>,</w:t>
      </w:r>
      <w:r>
        <w:rPr>
          <w:rFonts w:cs="Arial"/>
        </w:rPr>
        <w:t xml:space="preserve"> organisation and trans-governmental co-ordination in a </w:t>
      </w:r>
      <w:r>
        <w:rPr>
          <w:rFonts w:cs="Arial"/>
        </w:rPr>
        <w:t>federalised</w:t>
      </w:r>
      <w:r>
        <w:rPr>
          <w:rFonts w:cs="Arial"/>
        </w:rPr>
        <w:t xml:space="preserve"> health governance system </w:t>
      </w:r>
      <w:r>
        <w:rPr>
          <w:rFonts w:cs="Arial"/>
        </w:rPr>
        <w:t>impacts</w:t>
      </w:r>
      <w:r>
        <w:rPr>
          <w:rFonts w:cs="Arial"/>
        </w:rPr>
        <w:t xml:space="preserve">. The federal government did not administer vaccines directly, but rather offered national leadership in terms of procurement, planning and direction with close collaboration with provincial and territorial health authorities who would undertake roll-out operations (Brown, 2021). The early vaccine procurement approach adopted in Canada </w:t>
      </w:r>
      <w:r>
        <w:rPr>
          <w:rFonts w:cs="Arial"/>
        </w:rPr>
        <w:t>ensured</w:t>
      </w:r>
      <w:r>
        <w:rPr>
          <w:rFonts w:cs="Arial"/>
        </w:rPr>
        <w:t xml:space="preserve"> the country </w:t>
      </w:r>
      <w:r>
        <w:rPr>
          <w:rFonts w:cs="Arial"/>
        </w:rPr>
        <w:t>had</w:t>
      </w:r>
      <w:r>
        <w:rPr>
          <w:rFonts w:cs="Arial"/>
        </w:rPr>
        <w:t xml:space="preserve"> a strong and secure vaccine supply by signing various contracts with manufacturers and controlling the logistics of distribution</w:t>
      </w:r>
      <w:r>
        <w:rPr>
          <w:rFonts w:cs="Arial"/>
        </w:rPr>
        <w:t>,</w:t>
      </w:r>
      <w:r>
        <w:rPr>
          <w:rFonts w:cs="Arial"/>
        </w:rPr>
        <w:t xml:space="preserve"> along with the involvement of provinces that played a central role in the delivery of vaccines to populations throughout the country (</w:t>
      </w:r>
      <w:r>
        <w:rPr>
          <w:rFonts w:cs="Arial"/>
        </w:rPr>
        <w:t>Broschek</w:t>
      </w:r>
      <w:r>
        <w:rPr>
          <w:rFonts w:cs="Arial"/>
        </w:rPr>
        <w:t>, 2022).</w:t>
      </w:r>
    </w:p>
    <w:p>
      <w:pPr>
        <w:pStyle w:val="style0"/>
        <w:spacing w:before="120" w:after="120"/>
        <w:jc w:val="center"/>
        <w:rPr>
          <w:rFonts w:cs="Arial"/>
        </w:rPr>
      </w:pPr>
      <w:r>
        <w:rPr>
          <w:rFonts w:cs="Arial"/>
        </w:rPr>
        <w:drawing>
          <wp:inline distL="0" distT="0" distB="0" distR="0">
            <wp:extent cx="5502112" cy="3448050"/>
            <wp:effectExtent l="0" t="0" r="3810" b="0"/>
            <wp:docPr id="1031"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srcRect l="0" t="0" r="0" b="5909"/>
                    <a:stretch/>
                  </pic:blipFill>
                  <pic:spPr>
                    <a:xfrm rot="0">
                      <a:off x="0" y="0"/>
                      <a:ext cx="5502112" cy="3448050"/>
                    </a:xfrm>
                    <a:prstGeom prst="rect"/>
                    <a:ln>
                      <a:noFill/>
                    </a:ln>
                  </pic:spPr>
                </pic:pic>
              </a:graphicData>
            </a:graphic>
          </wp:inline>
        </w:drawing>
      </w:r>
    </w:p>
    <w:p>
      <w:pPr>
        <w:pStyle w:val="style157"/>
        <w:spacing w:before="120" w:after="120"/>
        <w:rPr>
          <w:rFonts w:cs="Arial"/>
        </w:rPr>
      </w:pPr>
      <w:r>
        <w:t xml:space="preserve">Figure </w:t>
      </w:r>
      <w:r>
        <w:rPr/>
        <w:fldChar w:fldCharType="begin"/>
      </w:r>
      <w:r>
        <w:instrText xml:space="preserve"> SEQ Figure \* ARABIC </w:instrText>
      </w:r>
      <w:r>
        <w:rPr/>
        <w:fldChar w:fldCharType="separate"/>
      </w:r>
      <w:r>
        <w:rPr>
          <w:noProof/>
        </w:rPr>
        <w:t>5</w:t>
      </w:r>
      <w:r>
        <w:rPr/>
        <w:fldChar w:fldCharType="end"/>
      </w:r>
      <w:r>
        <w:rPr>
          <w:rFonts w:cs="Arial"/>
        </w:rPr>
        <w:t xml:space="preserve"> Canada's </w:t>
      </w:r>
      <w:r>
        <w:rPr>
          <w:rFonts w:cs="Arial"/>
        </w:rPr>
        <w:t>V</w:t>
      </w:r>
      <w:r>
        <w:rPr>
          <w:rFonts w:cs="Arial"/>
        </w:rPr>
        <w:t xml:space="preserve">accine </w:t>
      </w:r>
      <w:r>
        <w:rPr>
          <w:rFonts w:cs="Arial"/>
        </w:rPr>
        <w:t>R</w:t>
      </w:r>
      <w:r>
        <w:rPr>
          <w:rFonts w:cs="Arial"/>
        </w:rPr>
        <w:t>ollout</w:t>
      </w:r>
      <w:r>
        <w:rPr>
          <w:rFonts w:cs="Arial"/>
        </w:rPr>
        <w:t xml:space="preserve"> </w:t>
      </w:r>
      <w:r>
        <w:rPr>
          <w:rFonts w:cs="Arial"/>
        </w:rPr>
        <w:t>(Public Health Agency of Canada, 2020)</w:t>
      </w:r>
    </w:p>
    <w:p>
      <w:pPr>
        <w:pStyle w:val="style0"/>
        <w:spacing w:before="120" w:after="120"/>
        <w:rPr>
          <w:rFonts w:cs="Arial"/>
        </w:rPr>
      </w:pPr>
      <w:r>
        <w:rPr>
          <w:rFonts w:cs="Arial"/>
        </w:rPr>
        <w:t xml:space="preserve">The scholarly discussions of the history of vaccination in Canada note that the campaign is generally viewed as a success in terms of the overall coverage rate; however, the gradual process introduced multiple issues, such as accessibility of various vulnerable populations and logistic complications relating to the mass vaccination locations (Farhan, 2021). All of these obstacles highlighted the necessity of a leadership that would enable fair access by involving community </w:t>
      </w:r>
      <w:r>
        <w:rPr>
          <w:rFonts w:cs="Arial"/>
        </w:rPr>
        <w:t>organisations</w:t>
      </w:r>
      <w:r>
        <w:rPr>
          <w:rFonts w:cs="Arial"/>
        </w:rPr>
        <w:t xml:space="preserve"> and primary care providers during the later stages of the rollout. The results indicated that local </w:t>
      </w:r>
      <w:r>
        <w:rPr>
          <w:rFonts w:cs="Arial"/>
        </w:rPr>
        <w:t>programmes</w:t>
      </w:r>
      <w:r>
        <w:rPr>
          <w:rFonts w:cs="Arial"/>
        </w:rPr>
        <w:t xml:space="preserve"> were used to supplement larger provincial </w:t>
      </w:r>
      <w:r>
        <w:rPr>
          <w:rFonts w:cs="Arial"/>
        </w:rPr>
        <w:t xml:space="preserve">policies, showing how multiple-level leadership and stakeholder participation increased the uptake of vaccination, especially in </w:t>
      </w:r>
      <w:r>
        <w:rPr>
          <w:rFonts w:cs="Arial"/>
        </w:rPr>
        <w:t>underserved</w:t>
      </w:r>
      <w:r>
        <w:rPr>
          <w:rFonts w:cs="Arial"/>
        </w:rPr>
        <w:t xml:space="preserve"> groups (Hansen and Cyr, 2020).</w:t>
      </w:r>
    </w:p>
    <w:p>
      <w:pPr>
        <w:pStyle w:val="style0"/>
        <w:spacing w:before="120" w:after="120"/>
        <w:rPr>
          <w:rFonts w:cs="Arial"/>
        </w:rPr>
      </w:pPr>
      <w:r>
        <w:rPr>
          <w:rFonts w:cs="Arial"/>
        </w:rPr>
        <w:t xml:space="preserve">Besides formal governmental arrangements, there was a supportive role of volunteer and civic </w:t>
      </w:r>
      <w:r>
        <w:rPr>
          <w:rFonts w:cs="Arial"/>
        </w:rPr>
        <w:t>organisations</w:t>
      </w:r>
      <w:r>
        <w:rPr>
          <w:rFonts w:cs="Arial"/>
        </w:rPr>
        <w:t xml:space="preserve"> (e.g., Vaccine Hunters Canada), which assisted residents with the appointment systems and </w:t>
      </w:r>
      <w:r>
        <w:rPr>
          <w:rFonts w:cs="Arial"/>
        </w:rPr>
        <w:t>maximised</w:t>
      </w:r>
      <w:r>
        <w:rPr>
          <w:rFonts w:cs="Arial"/>
        </w:rPr>
        <w:t xml:space="preserve"> access - a </w:t>
      </w:r>
      <w:r>
        <w:rPr>
          <w:rFonts w:cs="Arial"/>
        </w:rPr>
        <w:t>practice</w:t>
      </w:r>
      <w:r>
        <w:rPr>
          <w:rFonts w:cs="Arial"/>
        </w:rPr>
        <w:t xml:space="preserve"> that was also appreciated by the political leadership, including the involvement of the federal prime minister (Brown, 2021).</w:t>
      </w:r>
      <w:bookmarkStart w:id="17" w:name="_Toc220982965"/>
    </w:p>
    <w:p>
      <w:pPr>
        <w:pStyle w:val="style1"/>
        <w:spacing w:before="120" w:after="120"/>
        <w:rPr>
          <w:rFonts w:cs="Arial"/>
        </w:rPr>
      </w:pPr>
      <w:r>
        <w:t>Comparative Discussion</w:t>
      </w:r>
      <w:bookmarkEnd w:id="17"/>
    </w:p>
    <w:p>
      <w:pPr>
        <w:pStyle w:val="style0"/>
        <w:spacing w:before="120" w:after="120"/>
        <w:rPr>
          <w:rFonts w:cs="Arial"/>
        </w:rPr>
      </w:pPr>
      <w:r>
        <w:rPr>
          <w:rFonts w:cs="Arial"/>
        </w:rPr>
        <w:t xml:space="preserve">In Spain, South Korea, and Canada, the results of COVID-19 were impacted by leadership and governmental governance styles in quantifiable ways, demonstrating the dynamics of various approaches to crises and their engagement with institutional capabilities to shape health outcomes. The reaction of Spain, hindered by a relatively </w:t>
      </w:r>
      <w:r>
        <w:rPr>
          <w:rFonts w:cs="Arial"/>
        </w:rPr>
        <w:t>decentralised</w:t>
      </w:r>
      <w:r>
        <w:rPr>
          <w:rFonts w:cs="Arial"/>
        </w:rPr>
        <w:t xml:space="preserve"> structure with disjointed decision-making, experienced initial delays</w:t>
      </w:r>
      <w:r>
        <w:rPr>
          <w:rFonts w:cs="Arial"/>
        </w:rPr>
        <w:t>,</w:t>
      </w:r>
      <w:r>
        <w:rPr>
          <w:rFonts w:cs="Arial"/>
        </w:rPr>
        <w:t xml:space="preserve"> which can be attributed to the difficulties in organising crisis response in very autonomous areas (Royo, 2020). Research indicates that </w:t>
      </w:r>
      <w:r>
        <w:rPr>
          <w:rFonts w:cs="Arial"/>
        </w:rPr>
        <w:t>centralised</w:t>
      </w:r>
      <w:r>
        <w:rPr>
          <w:rFonts w:cs="Arial"/>
        </w:rPr>
        <w:t xml:space="preserve"> models of single command at the beginning of the pandemic impeded information exchange and multi-regional collaboration, resulting in poorer performance than </w:t>
      </w:r>
      <w:r>
        <w:rPr>
          <w:rFonts w:cs="Arial"/>
        </w:rPr>
        <w:t>decentralised</w:t>
      </w:r>
      <w:r>
        <w:rPr>
          <w:rFonts w:cs="Arial"/>
        </w:rPr>
        <w:t xml:space="preserve"> coordination in other similar countries like Italy (</w:t>
      </w:r>
      <w:r>
        <w:rPr>
          <w:rFonts w:cs="Arial"/>
        </w:rPr>
        <w:t>Angelici</w:t>
      </w:r>
      <w:r>
        <w:rPr>
          <w:rFonts w:cs="Arial"/>
        </w:rPr>
        <w:t xml:space="preserve"> </w:t>
      </w:r>
      <w:r>
        <w:rPr>
          <w:rFonts w:cs="Arial"/>
          <w:i/>
          <w:iCs/>
        </w:rPr>
        <w:t>et al</w:t>
      </w:r>
      <w:r>
        <w:rPr>
          <w:rFonts w:cs="Arial"/>
        </w:rPr>
        <w:t>., 2023). It implies that in crisis leadership that fails to incorporate multilevel actors effectively, the result of the actions by the government related to its population health, including timeliness and consistency of lockdowns and communication, is impaired, supporting the view that the leadership style should align with the governance arrangements.</w:t>
      </w:r>
    </w:p>
    <w:p>
      <w:pPr>
        <w:pStyle w:val="style0"/>
        <w:spacing w:before="120" w:after="120"/>
        <w:rPr>
          <w:rFonts w:cs="Arial"/>
        </w:rPr>
      </w:pPr>
      <w:r>
        <w:rPr>
          <w:rFonts w:cs="Arial"/>
        </w:rPr>
        <w:t xml:space="preserve">In comparison, South Korea had </w:t>
      </w:r>
      <w:r>
        <w:rPr>
          <w:rFonts w:cs="Arial"/>
        </w:rPr>
        <w:t>centralised</w:t>
      </w:r>
      <w:r>
        <w:rPr>
          <w:rFonts w:cs="Arial"/>
        </w:rPr>
        <w:t xml:space="preserve"> and coordinated leadership that was facilitated by its whole-of-nation model, which allowed fast and coherent reactions and combined national health responses, such as systematic testing, contact tracing, and uniform national communication policies (Hong, 2024). This </w:t>
      </w:r>
      <w:r>
        <w:rPr>
          <w:rFonts w:cs="Arial"/>
        </w:rPr>
        <w:t>centralised</w:t>
      </w:r>
      <w:r>
        <w:rPr>
          <w:rFonts w:cs="Arial"/>
        </w:rPr>
        <w:t xml:space="preserve"> model linked the top management of </w:t>
      </w:r>
      <w:r>
        <w:rPr>
          <w:rFonts w:cs="Arial"/>
        </w:rPr>
        <w:t>decision-making</w:t>
      </w:r>
      <w:r>
        <w:rPr>
          <w:rFonts w:cs="Arial"/>
        </w:rPr>
        <w:t xml:space="preserve"> with responsiveness and high levels of public trust in institutions, which scholars correlate with higher rates of compliance and effectiveness during a public health emergency, and adaptive</w:t>
      </w:r>
      <w:r>
        <w:rPr>
          <w:rFonts w:cs="Arial"/>
        </w:rPr>
        <w:t>,</w:t>
      </w:r>
      <w:r>
        <w:rPr>
          <w:rFonts w:cs="Arial"/>
        </w:rPr>
        <w:t xml:space="preserve"> transparent governance structures tend to </w:t>
      </w:r>
      <w:r>
        <w:rPr>
          <w:rFonts w:cs="Arial"/>
        </w:rPr>
        <w:t>do</w:t>
      </w:r>
      <w:r>
        <w:rPr>
          <w:rFonts w:cs="Arial"/>
        </w:rPr>
        <w:t xml:space="preserve"> better than fragmented systems during the initial stages of the pandemic (Choi, 2020). In South Korea, policy legitimacy and compliance </w:t>
      </w:r>
      <w:r>
        <w:rPr>
          <w:rFonts w:cs="Arial"/>
        </w:rPr>
        <w:t>were</w:t>
      </w:r>
      <w:r>
        <w:rPr>
          <w:rFonts w:cs="Arial"/>
        </w:rPr>
        <w:t xml:space="preserve"> promoted by a decisive national leadership that was able to relay reliably and coordinate across agencies, showing how crisis leadership founded on a solid governance structure can shift to better results.</w:t>
      </w:r>
    </w:p>
    <w:p>
      <w:pPr>
        <w:pStyle w:val="style0"/>
        <w:spacing w:before="120" w:after="120"/>
        <w:rPr>
          <w:rFonts w:cs="Arial"/>
        </w:rPr>
      </w:pPr>
      <w:r>
        <w:rPr>
          <w:rFonts w:cs="Arial"/>
        </w:rPr>
        <w:t>The case of Canada</w:t>
      </w:r>
      <w:r>
        <w:rPr>
          <w:rFonts w:cs="Arial"/>
        </w:rPr>
        <w:t>,</w:t>
      </w:r>
      <w:r>
        <w:rPr>
          <w:rFonts w:cs="Arial"/>
        </w:rPr>
        <w:t xml:space="preserve"> with a </w:t>
      </w:r>
      <w:r>
        <w:rPr>
          <w:rFonts w:cs="Arial"/>
        </w:rPr>
        <w:t>decentralised</w:t>
      </w:r>
      <w:r>
        <w:rPr>
          <w:rFonts w:cs="Arial"/>
        </w:rPr>
        <w:t xml:space="preserve"> governance and federal authority</w:t>
      </w:r>
      <w:r>
        <w:rPr>
          <w:rFonts w:cs="Arial"/>
        </w:rPr>
        <w:t>,</w:t>
      </w:r>
      <w:r>
        <w:rPr>
          <w:rFonts w:cs="Arial"/>
        </w:rPr>
        <w:t xml:space="preserve"> was another dynamic where the provincial governments could decide to implement it as they saw </w:t>
      </w:r>
      <w:r>
        <w:rPr>
          <w:rFonts w:cs="Arial"/>
        </w:rPr>
        <w:t>fit</w:t>
      </w:r>
      <w:r>
        <w:rPr>
          <w:rFonts w:cs="Arial"/>
        </w:rPr>
        <w:t xml:space="preserve">, with federal leadership acting as a top-level coordinator (Brown, 2021). The studies show that </w:t>
      </w:r>
      <w:r>
        <w:rPr>
          <w:rFonts w:cs="Arial"/>
        </w:rPr>
        <w:t>decentralised</w:t>
      </w:r>
      <w:r>
        <w:rPr>
          <w:rFonts w:cs="Arial"/>
        </w:rPr>
        <w:t xml:space="preserve"> systems, in combination with robust intergovernmental cooperation, may </w:t>
      </w:r>
      <w:r>
        <w:rPr>
          <w:rFonts w:cs="Arial"/>
        </w:rPr>
        <w:t xml:space="preserve">enhance institutional trust and </w:t>
      </w:r>
      <w:r>
        <w:rPr>
          <w:rFonts w:cs="Arial"/>
        </w:rPr>
        <w:t>localised</w:t>
      </w:r>
      <w:r>
        <w:rPr>
          <w:rFonts w:cs="Arial"/>
        </w:rPr>
        <w:t xml:space="preserve"> responses, which are positively associated with the public trust in the government and vaccine acceptance (Farhan, 2021). Nevertheless, researchers also observe that the advantages of </w:t>
      </w:r>
      <w:r>
        <w:rPr>
          <w:rFonts w:cs="Arial"/>
        </w:rPr>
        <w:t>decentralisation</w:t>
      </w:r>
      <w:r>
        <w:rPr>
          <w:rFonts w:cs="Arial"/>
        </w:rPr>
        <w:t xml:space="preserve"> are very much dependent on the local capacity and coordination systems because when the latter are lacking, there is a possibility of unequal reactions and slow initial policy implementation as compared to more </w:t>
      </w:r>
      <w:r>
        <w:rPr>
          <w:rFonts w:cs="Arial"/>
        </w:rPr>
        <w:t>centralised</w:t>
      </w:r>
      <w:r>
        <w:rPr>
          <w:rFonts w:cs="Arial"/>
        </w:rPr>
        <w:t xml:space="preserve"> systems.</w:t>
      </w:r>
    </w:p>
    <w:p>
      <w:pPr>
        <w:pStyle w:val="style0"/>
        <w:spacing w:before="120" w:after="120"/>
        <w:rPr>
          <w:rFonts w:cs="Arial"/>
        </w:rPr>
      </w:pPr>
      <w:r>
        <w:rPr>
          <w:rFonts w:cs="Arial"/>
        </w:rPr>
        <w:t xml:space="preserve">Beneath these comparative trends is a sign that the governing structure and the type of leadership are closely connected to the outcomes of the pandemic. Democracies that were highly </w:t>
      </w:r>
      <w:r>
        <w:rPr>
          <w:rFonts w:cs="Arial"/>
        </w:rPr>
        <w:t>institutionalised</w:t>
      </w:r>
      <w:r>
        <w:rPr>
          <w:rFonts w:cs="Arial"/>
        </w:rPr>
        <w:t xml:space="preserve"> and enjoyed great public trust could achieve better </w:t>
      </w:r>
      <w:r>
        <w:rPr>
          <w:rFonts w:cs="Arial"/>
        </w:rPr>
        <w:t>responses</w:t>
      </w:r>
      <w:r>
        <w:rPr>
          <w:rFonts w:cs="Arial"/>
        </w:rPr>
        <w:t xml:space="preserve"> because their leaders were capable of making sense of uncertain information, coordinating across sectors, and communicating significantly better than those in which the lack of fragmentation and political friction impeded collective action (Mao, 2024). Therefore, though the lack of coordination in the </w:t>
      </w:r>
      <w:r>
        <w:rPr>
          <w:rFonts w:cs="Arial"/>
        </w:rPr>
        <w:t>decentralised</w:t>
      </w:r>
      <w:r>
        <w:rPr>
          <w:rFonts w:cs="Arial"/>
        </w:rPr>
        <w:t xml:space="preserve"> structure of Spain was a challenge to the leadership</w:t>
      </w:r>
      <w:r>
        <w:rPr>
          <w:rFonts w:cs="Arial"/>
        </w:rPr>
        <w:t>,</w:t>
      </w:r>
      <w:r>
        <w:rPr>
          <w:rFonts w:cs="Arial"/>
        </w:rPr>
        <w:t xml:space="preserve"> which had a hard time </w:t>
      </w:r>
      <w:r>
        <w:rPr>
          <w:rFonts w:cs="Arial"/>
        </w:rPr>
        <w:t>managing</w:t>
      </w:r>
      <w:r>
        <w:rPr>
          <w:rFonts w:cs="Arial"/>
        </w:rPr>
        <w:t xml:space="preserve"> in the early days, the </w:t>
      </w:r>
      <w:r>
        <w:rPr>
          <w:rFonts w:cs="Arial"/>
        </w:rPr>
        <w:t>centralised</w:t>
      </w:r>
      <w:r>
        <w:rPr>
          <w:rFonts w:cs="Arial"/>
        </w:rPr>
        <w:t xml:space="preserve"> control in South Korea was leveraged by a unified leadership to spearhead coherent policies, and the hybrid federal system of Canada exemplifies the balance between local autonomy and national unity</w:t>
      </w:r>
      <w:r>
        <w:rPr>
          <w:rFonts w:cs="Arial"/>
        </w:rPr>
        <w:t>.</w:t>
      </w:r>
    </w:p>
    <w:bookmarkStart w:id="18" w:name="_Toc220982966"/>
    <w:p>
      <w:pPr>
        <w:pStyle w:val="style1"/>
        <w:spacing w:before="120" w:after="120"/>
        <w:rPr/>
      </w:pPr>
      <w:r>
        <w:t>Conclusion</w:t>
      </w:r>
      <w:bookmarkEnd w:id="18"/>
    </w:p>
    <w:p>
      <w:pPr>
        <w:pStyle w:val="style0"/>
        <w:spacing w:before="120" w:after="120"/>
        <w:rPr>
          <w:rFonts w:cs="Arial"/>
        </w:rPr>
      </w:pPr>
      <w:r>
        <w:rPr>
          <w:rFonts w:cs="Arial"/>
        </w:rPr>
        <w:t xml:space="preserve">This report was a critical analysis of the role of leadership strategies and governance structures in health system organisation and the management of the pandemic in Spain, South Korea and Canada as a result of the COVID-19. The results show that efficiency in responses not only requires the capacity of the health system but also congruence between the leadership style, institutional design, and decision-making authority. South Korea shows how the preparedness and public trust had allowed the use of technocratic, </w:t>
      </w:r>
      <w:r>
        <w:rPr>
          <w:rFonts w:cs="Arial"/>
        </w:rPr>
        <w:t>centralised</w:t>
      </w:r>
      <w:r>
        <w:rPr>
          <w:rFonts w:cs="Arial"/>
        </w:rPr>
        <w:t xml:space="preserve"> leadership to accomplish faster testing, tracing, and low mortality. Spain provides an example of difficulties of the </w:t>
      </w:r>
      <w:r>
        <w:rPr>
          <w:rFonts w:cs="Arial"/>
        </w:rPr>
        <w:t>decentralised</w:t>
      </w:r>
      <w:r>
        <w:rPr>
          <w:rFonts w:cs="Arial"/>
        </w:rPr>
        <w:t xml:space="preserve"> rule in the initial period of the crisis and then reduced by the temporary </w:t>
      </w:r>
      <w:r>
        <w:rPr>
          <w:rFonts w:cs="Arial"/>
        </w:rPr>
        <w:t>centralisation</w:t>
      </w:r>
      <w:r>
        <w:rPr>
          <w:rFonts w:cs="Arial"/>
        </w:rPr>
        <w:t xml:space="preserve"> and the enhanced political leadership. Canada </w:t>
      </w:r>
      <w:r>
        <w:rPr>
          <w:rFonts w:cs="Arial"/>
        </w:rPr>
        <w:t>emphasises</w:t>
      </w:r>
      <w:r>
        <w:rPr>
          <w:rFonts w:cs="Arial"/>
        </w:rPr>
        <w:t xml:space="preserve"> the importance of shared leadership in a federal system and provides equal national coordination with provincial autonomy. In general, none of the governance models were better than others, but the adaptive leadership, clear communication, evidence-based decisions, and trust building allowed achieving success. Such lessons can be useful to enhance resilience and leadership readiness to future global health crises.</w:t>
      </w:r>
    </w:p>
    <w:p>
      <w:pPr>
        <w:pStyle w:val="style0"/>
        <w:spacing w:before="120" w:after="120" w:lineRule="auto" w:line="259"/>
        <w:jc w:val="left"/>
        <w:rPr>
          <w:rFonts w:cs="Arial"/>
        </w:rPr>
      </w:pPr>
      <w:r>
        <w:rPr>
          <w:rFonts w:cs="Arial"/>
        </w:rPr>
        <w:br w:type="page"/>
      </w:r>
    </w:p>
    <w:bookmarkStart w:id="19" w:name="_Toc220982967"/>
    <w:p>
      <w:pPr>
        <w:pStyle w:val="style1"/>
        <w:rPr/>
      </w:pPr>
      <w:r>
        <w:t>References</w:t>
      </w:r>
      <w:bookmarkEnd w:id="19"/>
    </w:p>
    <w:p>
      <w:pPr>
        <w:pStyle w:val="style94"/>
        <w:spacing w:before="160" w:beforeAutospacing="false" w:after="160" w:afterAutospacing="false" w:lineRule="auto" w:line="360"/>
        <w:rPr>
          <w:rFonts w:ascii="Arial" w:cs="Arial" w:hAnsi="Arial"/>
        </w:rPr>
      </w:pPr>
      <w:r>
        <w:rPr>
          <w:rFonts w:ascii="Arial" w:cs="Arial" w:hAnsi="Arial"/>
        </w:rPr>
        <w:t>Alcarria</w:t>
      </w:r>
      <w:r>
        <w:rPr>
          <w:rFonts w:ascii="Arial" w:cs="Arial" w:hAnsi="Arial"/>
        </w:rPr>
        <w:t xml:space="preserve">, F.J. and Navarro, J.T. (2024) ‘Stakeholders and impact (engagement) in EU digital communication strategies during the COVID-19 vaccination campaign’, </w:t>
      </w:r>
      <w:r>
        <w:rPr>
          <w:rStyle w:val="style88"/>
          <w:rFonts w:ascii="Arial" w:cs="Arial" w:eastAsia="等线 Light" w:hAnsi="Arial"/>
        </w:rPr>
        <w:t>Humanities and Social Sciences Communications</w:t>
      </w:r>
      <w:r>
        <w:rPr>
          <w:rFonts w:ascii="Arial" w:cs="Arial" w:hAnsi="Arial"/>
        </w:rPr>
        <w:t xml:space="preserve">, 11(1). Available at: </w:t>
      </w:r>
      <w:r>
        <w:rPr/>
        <w:fldChar w:fldCharType="begin"/>
      </w:r>
      <w:r>
        <w:instrText xml:space="preserve"> HYPERLINK "https://doi.org/10.1057/s41599-024-03820-w" \t "_new" </w:instrText>
      </w:r>
      <w:r>
        <w:rPr/>
        <w:fldChar w:fldCharType="separate"/>
      </w:r>
      <w:r>
        <w:rPr>
          <w:rStyle w:val="style85"/>
          <w:rFonts w:ascii="Arial" w:cs="Arial" w:eastAsia="等线 Light" w:hAnsi="Arial"/>
        </w:rPr>
        <w:t>https://doi.org/10.1057/s41599-024-03820-w</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Ali, H.M., Ranse, J., </w:t>
      </w:r>
      <w:r>
        <w:rPr>
          <w:rFonts w:ascii="Arial" w:cs="Arial" w:hAnsi="Arial"/>
        </w:rPr>
        <w:t>Roiko</w:t>
      </w:r>
      <w:r>
        <w:rPr>
          <w:rFonts w:ascii="Arial" w:cs="Arial" w:hAnsi="Arial"/>
        </w:rPr>
        <w:t xml:space="preserve">, A. and Desha, C. (2024) ‘Developing a healthcare transformational leadership competency framework for disaster resilience and risk management’, </w:t>
      </w:r>
      <w:r>
        <w:rPr>
          <w:rStyle w:val="style88"/>
          <w:rFonts w:ascii="Arial" w:cs="Arial" w:eastAsia="等线 Light" w:hAnsi="Arial"/>
        </w:rPr>
        <w:t>International Journal of Disaster Risk Reduction</w:t>
      </w:r>
      <w:r>
        <w:rPr>
          <w:rFonts w:ascii="Arial" w:cs="Arial" w:hAnsi="Arial"/>
        </w:rPr>
        <w:t xml:space="preserve">, 113 (1) article 104898. Available at: </w:t>
      </w:r>
      <w:r>
        <w:rPr/>
        <w:fldChar w:fldCharType="begin"/>
      </w:r>
      <w:r>
        <w:instrText xml:space="preserve"> HYPERLINK "https://doi.org/10.1016/j.ijdrr.2024.104898" \t "_new" </w:instrText>
      </w:r>
      <w:r>
        <w:rPr/>
        <w:fldChar w:fldCharType="separate"/>
      </w:r>
      <w:r>
        <w:rPr>
          <w:rStyle w:val="style85"/>
          <w:rFonts w:ascii="Arial" w:cs="Arial" w:eastAsia="等线 Light" w:hAnsi="Arial"/>
        </w:rPr>
        <w:t>https://doi.org/10.1016/j.ijdrr.2024.104898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Allin, S., Fitzpatrick, T., Marchildon, G. and Quesnel-Vallée, A. (2021) ‘The Federal Government and Canada’s COVID-19 responses: from “We’re ready, we’re prepared” to “Fires are burning”’, </w:t>
      </w:r>
      <w:r>
        <w:rPr>
          <w:rStyle w:val="style88"/>
          <w:rFonts w:ascii="Arial" w:cs="Arial" w:eastAsia="等线 Light" w:hAnsi="Arial"/>
        </w:rPr>
        <w:t>Health Economics, Policy and Law</w:t>
      </w:r>
      <w:r>
        <w:rPr>
          <w:rFonts w:ascii="Arial" w:cs="Arial" w:hAnsi="Arial"/>
        </w:rPr>
        <w:t xml:space="preserve">, 17(1), pp. 1–40. Available at: </w:t>
      </w:r>
      <w:r>
        <w:rPr/>
        <w:fldChar w:fldCharType="begin"/>
      </w:r>
      <w:r>
        <w:instrText xml:space="preserve"> HYPERLINK "https://doi.org/10.1017/s1744133121000220" \t "_new" </w:instrText>
      </w:r>
      <w:r>
        <w:rPr/>
        <w:fldChar w:fldCharType="separate"/>
      </w:r>
      <w:r>
        <w:rPr>
          <w:rStyle w:val="style85"/>
          <w:rFonts w:ascii="Arial" w:cs="Arial" w:eastAsia="等线 Light" w:hAnsi="Arial"/>
        </w:rPr>
        <w:t>https://doi.org/10.1017/s1744133121000220</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Angelici</w:t>
      </w:r>
      <w:r>
        <w:rPr>
          <w:rFonts w:ascii="Arial" w:cs="Arial" w:hAnsi="Arial"/>
        </w:rPr>
        <w:t xml:space="preserve">, M., Berta, P., Costa-Font, J. and Turati, G. (2023) ‘Divided we survive? Multilevel governance during the COVID-19 pandemic in Italy and Spain’, </w:t>
      </w:r>
      <w:r>
        <w:rPr>
          <w:rStyle w:val="style88"/>
          <w:rFonts w:ascii="Arial" w:cs="Arial" w:eastAsia="等线 Light" w:hAnsi="Arial"/>
        </w:rPr>
        <w:t>Publius: The Journal of Federalism</w:t>
      </w:r>
      <w:r>
        <w:rPr>
          <w:rFonts w:ascii="Arial" w:cs="Arial" w:hAnsi="Arial"/>
        </w:rPr>
        <w:t xml:space="preserve">, 53(2). Available at: </w:t>
      </w:r>
      <w:r>
        <w:rPr/>
        <w:fldChar w:fldCharType="begin"/>
      </w:r>
      <w:r>
        <w:instrText xml:space="preserve"> HYPERLINK "https://doi.org/10.1093/publius/pjad002" \t "_new" </w:instrText>
      </w:r>
      <w:r>
        <w:rPr/>
        <w:fldChar w:fldCharType="separate"/>
      </w:r>
      <w:r>
        <w:rPr>
          <w:rStyle w:val="style85"/>
          <w:rFonts w:ascii="Arial" w:cs="Arial" w:eastAsia="等线 Light" w:hAnsi="Arial"/>
        </w:rPr>
        <w:t>https://doi.org/10.1093/publius/pjad002</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Antonini, M., Eid, M.A., Falkenbach, M., Rosenbluth, S.T., Prieto, P.A., </w:t>
      </w:r>
      <w:r>
        <w:rPr>
          <w:rFonts w:ascii="Arial" w:cs="Arial" w:hAnsi="Arial"/>
        </w:rPr>
        <w:t>Brammli</w:t>
      </w:r>
      <w:r>
        <w:rPr>
          <w:rFonts w:ascii="Arial" w:cs="Arial" w:hAnsi="Arial"/>
        </w:rPr>
        <w:t xml:space="preserve">-Greenberg, S., McMeekin, P. and Paolucci, F. (2021) ‘An analysis of the COVID-19 vaccination campaigns in France, Israel, Italy and Spain and their impact on health and economic outcomes’, </w:t>
      </w:r>
      <w:r>
        <w:rPr>
          <w:rStyle w:val="style88"/>
          <w:rFonts w:ascii="Arial" w:cs="Arial" w:eastAsia="等线 Light" w:hAnsi="Arial"/>
        </w:rPr>
        <w:t>Health Policy and Technology</w:t>
      </w:r>
      <w:r>
        <w:rPr>
          <w:rFonts w:ascii="Arial" w:cs="Arial" w:hAnsi="Arial"/>
        </w:rPr>
        <w:t xml:space="preserve">, 11(2) article 100594. Available at: </w:t>
      </w:r>
      <w:r>
        <w:rPr/>
        <w:fldChar w:fldCharType="begin"/>
      </w:r>
      <w:r>
        <w:instrText xml:space="preserve"> HYPERLINK "https://doi.org/10.1016/j.hlpt.2021.100594" \t "_new" </w:instrText>
      </w:r>
      <w:r>
        <w:rPr/>
        <w:fldChar w:fldCharType="separate"/>
      </w:r>
      <w:r>
        <w:rPr>
          <w:rStyle w:val="style85"/>
          <w:rFonts w:ascii="Arial" w:cs="Arial" w:eastAsia="等线 Light" w:hAnsi="Arial"/>
        </w:rPr>
        <w:t>https://doi.org/10.1016/j.hlpt.2021.100594</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Avanzas, P., Pascual, I. and Moris, C. (2017) ‘The great challenge of the public health system in Spain’, </w:t>
      </w:r>
      <w:r>
        <w:rPr>
          <w:rStyle w:val="style88"/>
          <w:rFonts w:ascii="Arial" w:cs="Arial" w:eastAsia="等线 Light" w:hAnsi="Arial"/>
        </w:rPr>
        <w:t>Journal of Thoracic Disease</w:t>
      </w:r>
      <w:r>
        <w:rPr>
          <w:rFonts w:ascii="Arial" w:cs="Arial" w:hAnsi="Arial"/>
        </w:rPr>
        <w:t xml:space="preserve">, 9(S6), pp. S430–S433. Available at: </w:t>
      </w:r>
      <w:r>
        <w:rPr/>
        <w:fldChar w:fldCharType="begin"/>
      </w:r>
      <w:r>
        <w:instrText xml:space="preserve"> HYPERLINK "https://doi.org/10.21037/jtd.2017.04.59" \t "_new" </w:instrText>
      </w:r>
      <w:r>
        <w:rPr/>
        <w:fldChar w:fldCharType="separate"/>
      </w:r>
      <w:r>
        <w:rPr>
          <w:rStyle w:val="style85"/>
          <w:rFonts w:ascii="Arial" w:cs="Arial" w:eastAsia="等线 Light" w:hAnsi="Arial"/>
        </w:rPr>
        <w:t>https://doi.org/10.21037/jtd.2017.04.59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Broschek</w:t>
      </w:r>
      <w:r>
        <w:rPr>
          <w:rFonts w:ascii="Arial" w:cs="Arial" w:hAnsi="Arial"/>
        </w:rPr>
        <w:t xml:space="preserve">, J. (2022) ‘Federalism, political leadership and the COVID-19 pandemic: explaining Canada’s tale of two federations’, </w:t>
      </w:r>
      <w:r>
        <w:rPr>
          <w:rStyle w:val="style88"/>
          <w:rFonts w:ascii="Arial" w:cs="Arial" w:eastAsia="等线 Light" w:hAnsi="Arial"/>
        </w:rPr>
        <w:t>Territory, Politics, Governance</w:t>
      </w:r>
      <w:r>
        <w:rPr>
          <w:rFonts w:ascii="Arial" w:cs="Arial" w:hAnsi="Arial"/>
        </w:rPr>
        <w:t xml:space="preserve">, 10(6), pp. 779–798. Available at: </w:t>
      </w:r>
      <w:r>
        <w:rPr/>
        <w:fldChar w:fldCharType="begin"/>
      </w:r>
      <w:r>
        <w:instrText xml:space="preserve"> HYPERLINK "https://doi.org/10.1080/21622671.2022.2101513" \t "_new" </w:instrText>
      </w:r>
      <w:r>
        <w:rPr/>
        <w:fldChar w:fldCharType="separate"/>
      </w:r>
      <w:r>
        <w:rPr>
          <w:rStyle w:val="style85"/>
          <w:rFonts w:ascii="Arial" w:cs="Arial" w:eastAsia="等线 Light" w:hAnsi="Arial"/>
        </w:rPr>
        <w:t>https://doi.org/10.1080/21622671.2022.2101513</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Brown, S. (2021) ‘Canada’s COVID-19 vaccine fix’, </w:t>
      </w:r>
      <w:r>
        <w:rPr>
          <w:rStyle w:val="style88"/>
          <w:rFonts w:ascii="Arial" w:cs="Arial" w:eastAsia="等线 Light" w:hAnsi="Arial"/>
        </w:rPr>
        <w:t>Canadian Foreign Policy Journal</w:t>
      </w:r>
      <w:r>
        <w:rPr>
          <w:rFonts w:ascii="Arial" w:cs="Arial" w:hAnsi="Arial"/>
        </w:rPr>
        <w:t xml:space="preserve">, 28(1), pp. 98–106. Available at: </w:t>
      </w:r>
      <w:r>
        <w:rPr/>
        <w:fldChar w:fldCharType="begin"/>
      </w:r>
      <w:r>
        <w:instrText xml:space="preserve"> HYPERLINK "https://doi.org/10.1080/11926422.2021.1936099" \t "_new" </w:instrText>
      </w:r>
      <w:r>
        <w:rPr/>
        <w:fldChar w:fldCharType="separate"/>
      </w:r>
      <w:r>
        <w:rPr>
          <w:rStyle w:val="style85"/>
          <w:rFonts w:ascii="Arial" w:cs="Arial" w:eastAsia="等线 Light" w:hAnsi="Arial"/>
        </w:rPr>
        <w:t>https://doi.org/10.1080/11926422.2021.1936099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Casasnovas, G.L. and </w:t>
      </w:r>
      <w:r>
        <w:rPr>
          <w:rFonts w:ascii="Arial" w:cs="Arial" w:hAnsi="Arial"/>
        </w:rPr>
        <w:t>Pifarré</w:t>
      </w:r>
      <w:r>
        <w:rPr>
          <w:rFonts w:ascii="Arial" w:cs="Arial" w:hAnsi="Arial"/>
        </w:rPr>
        <w:t xml:space="preserve"> </w:t>
      </w:r>
      <w:r>
        <w:rPr>
          <w:rFonts w:ascii="Arial" w:cs="Arial" w:hAnsi="Arial"/>
        </w:rPr>
        <w:t>i</w:t>
      </w:r>
      <w:r>
        <w:rPr>
          <w:rFonts w:ascii="Arial" w:cs="Arial" w:hAnsi="Arial"/>
        </w:rPr>
        <w:t xml:space="preserve"> Arolas, H. (2021) ‘Health care systems: organization and response to COVID-19 with a focus on Spain’, </w:t>
      </w:r>
      <w:r>
        <w:rPr>
          <w:rStyle w:val="style88"/>
          <w:rFonts w:ascii="Arial" w:cs="Arial" w:eastAsia="等线 Light" w:hAnsi="Arial"/>
        </w:rPr>
        <w:t>Forum for Social Economics</w:t>
      </w:r>
      <w:r>
        <w:rPr>
          <w:rFonts w:ascii="Arial" w:cs="Arial" w:hAnsi="Arial"/>
        </w:rPr>
        <w:t xml:space="preserve">, 51(2), pp. 175–191. Available at: </w:t>
      </w:r>
      <w:r>
        <w:rPr/>
        <w:fldChar w:fldCharType="begin"/>
      </w:r>
      <w:r>
        <w:instrText xml:space="preserve"> HYPERLINK "https://doi.org/10.1080/07360932.2021.1915835" \t "_new" </w:instrText>
      </w:r>
      <w:r>
        <w:rPr/>
        <w:fldChar w:fldCharType="separate"/>
      </w:r>
      <w:r>
        <w:rPr>
          <w:rStyle w:val="style85"/>
          <w:rFonts w:ascii="Arial" w:cs="Arial" w:eastAsia="等线 Light" w:hAnsi="Arial"/>
        </w:rPr>
        <w:t>https://doi.org/10.1080/07360932.2021.1915835</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Casula, M. and Pazos-Vidal, S. (2021) ‘Assessing the multi-level government response to the COVID-19 crisis: Italy and Spain compared’, </w:t>
      </w:r>
      <w:r>
        <w:rPr>
          <w:rStyle w:val="style88"/>
          <w:rFonts w:ascii="Arial" w:cs="Arial" w:eastAsia="等线 Light" w:hAnsi="Arial"/>
        </w:rPr>
        <w:t>International Journal of Public Administration</w:t>
      </w:r>
      <w:r>
        <w:rPr>
          <w:rFonts w:ascii="Arial" w:cs="Arial" w:hAnsi="Arial"/>
        </w:rPr>
        <w:t xml:space="preserve">, 44(11–12), pp. 994–1005. Available at: </w:t>
      </w:r>
      <w:r>
        <w:rPr/>
        <w:fldChar w:fldCharType="begin"/>
      </w:r>
      <w:r>
        <w:instrText xml:space="preserve"> HYPERLINK "https://doi.org/10.1080/01900692.2021.1915330" \t "_new" </w:instrText>
      </w:r>
      <w:r>
        <w:rPr/>
        <w:fldChar w:fldCharType="separate"/>
      </w:r>
      <w:r>
        <w:rPr>
          <w:rStyle w:val="style85"/>
          <w:rFonts w:ascii="Arial" w:cs="Arial" w:eastAsia="等线 Light" w:hAnsi="Arial"/>
        </w:rPr>
        <w:t>https://doi.org/10.1080/01900692.2021.1915330</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Choi, Y.J. (2020) ‘The power of collaborative governance: the case of South Korea responding to the COVID-19 pandemic’, </w:t>
      </w:r>
      <w:r>
        <w:rPr>
          <w:rStyle w:val="style88"/>
          <w:rFonts w:ascii="Arial" w:cs="Arial" w:eastAsia="等线 Light" w:hAnsi="Arial"/>
        </w:rPr>
        <w:t>World Medical &amp; Health Policy</w:t>
      </w:r>
      <w:r>
        <w:rPr>
          <w:rFonts w:ascii="Arial" w:cs="Arial" w:hAnsi="Arial"/>
        </w:rPr>
        <w:t xml:space="preserve">, 12(4), pp. 430–442. Available at: </w:t>
      </w:r>
      <w:r>
        <w:rPr/>
        <w:fldChar w:fldCharType="begin"/>
      </w:r>
      <w:r>
        <w:instrText xml:space="preserve"> HYPERLINK "https://doi.org/10.1002/wmh3.376" \t "_new" </w:instrText>
      </w:r>
      <w:r>
        <w:rPr/>
        <w:fldChar w:fldCharType="separate"/>
      </w:r>
      <w:r>
        <w:rPr>
          <w:rStyle w:val="style85"/>
          <w:rFonts w:ascii="Arial" w:cs="Arial" w:eastAsia="等线 Light" w:hAnsi="Arial"/>
        </w:rPr>
        <w:t>https://doi.org/10.1002/wmh3.376</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Ciotti, M., Ciccozzi, M., </w:t>
      </w:r>
      <w:r>
        <w:rPr>
          <w:rFonts w:ascii="Arial" w:cs="Arial" w:hAnsi="Arial"/>
        </w:rPr>
        <w:t>Terrinoni</w:t>
      </w:r>
      <w:r>
        <w:rPr>
          <w:rFonts w:ascii="Arial" w:cs="Arial" w:hAnsi="Arial"/>
        </w:rPr>
        <w:t xml:space="preserve">, A., Jiang, W.-C., Wang, C.-B. and Bernardini, S. (2020) ‘The COVID-19 pandemic’, </w:t>
      </w:r>
      <w:r>
        <w:rPr>
          <w:rStyle w:val="style88"/>
          <w:rFonts w:ascii="Arial" w:cs="Arial" w:eastAsia="等线 Light" w:hAnsi="Arial"/>
        </w:rPr>
        <w:t>Critical Reviews in Clinical Laboratory Sciences</w:t>
      </w:r>
      <w:r>
        <w:rPr>
          <w:rFonts w:ascii="Arial" w:cs="Arial" w:hAnsi="Arial"/>
        </w:rPr>
        <w:t xml:space="preserve">, 57(6), pp. 365–388. Available at: </w:t>
      </w:r>
      <w:r>
        <w:rPr/>
        <w:fldChar w:fldCharType="begin"/>
      </w:r>
      <w:r>
        <w:instrText xml:space="preserve"> HYPERLINK "https://doi.org/10.1080/10408363.2020.1783198" \t "_new" </w:instrText>
      </w:r>
      <w:r>
        <w:rPr/>
        <w:fldChar w:fldCharType="separate"/>
      </w:r>
      <w:r>
        <w:rPr>
          <w:rStyle w:val="style85"/>
          <w:rFonts w:ascii="Arial" w:cs="Arial" w:eastAsia="等线 Light" w:hAnsi="Arial"/>
        </w:rPr>
        <w:t>https://doi.org/10.1080/10408363.2020.1783198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Dueñas, M., Ojeda, B., Salazar, A., Fernández-</w:t>
      </w:r>
      <w:r>
        <w:rPr>
          <w:rFonts w:ascii="Arial" w:cs="Arial" w:hAnsi="Arial"/>
        </w:rPr>
        <w:t>Palacín</w:t>
      </w:r>
      <w:r>
        <w:rPr>
          <w:rFonts w:ascii="Arial" w:cs="Arial" w:hAnsi="Arial"/>
        </w:rPr>
        <w:t xml:space="preserve">, F., </w:t>
      </w:r>
      <w:r>
        <w:rPr>
          <w:rFonts w:ascii="Arial" w:cs="Arial" w:hAnsi="Arial"/>
        </w:rPr>
        <w:t>Micó</w:t>
      </w:r>
      <w:r>
        <w:rPr>
          <w:rFonts w:ascii="Arial" w:cs="Arial" w:hAnsi="Arial"/>
        </w:rPr>
        <w:t xml:space="preserve">, J.A., Torres, L.M. and Failde, I. (2016) ‘Use and satisfaction with the healthcare system of chronic pain patients in Spain: results from a nationwide study’, </w:t>
      </w:r>
      <w:r>
        <w:rPr>
          <w:rStyle w:val="style88"/>
          <w:rFonts w:ascii="Arial" w:cs="Arial" w:eastAsia="等线 Light" w:hAnsi="Arial"/>
        </w:rPr>
        <w:t>Current Medical Research and Opinion</w:t>
      </w:r>
      <w:r>
        <w:rPr>
          <w:rFonts w:ascii="Arial" w:cs="Arial" w:hAnsi="Arial"/>
        </w:rPr>
        <w:t xml:space="preserve">, 32(11), pp. 1813–1820. Available at: </w:t>
      </w:r>
      <w:r>
        <w:rPr/>
        <w:fldChar w:fldCharType="begin"/>
      </w:r>
      <w:r>
        <w:instrText xml:space="preserve"> HYPERLINK "https://doi.org/10.1080/03007995.2016.1211519" \t "_new" </w:instrText>
      </w:r>
      <w:r>
        <w:rPr/>
        <w:fldChar w:fldCharType="separate"/>
      </w:r>
      <w:r>
        <w:rPr>
          <w:rStyle w:val="style85"/>
          <w:rFonts w:ascii="Arial" w:cs="Arial" w:eastAsia="等线 Light" w:hAnsi="Arial"/>
        </w:rPr>
        <w:t>https://doi.org/10.1080/03007995.2016.1211519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Erkoreka</w:t>
      </w:r>
      <w:r>
        <w:rPr>
          <w:rFonts w:ascii="Arial" w:cs="Arial" w:hAnsi="Arial"/>
        </w:rPr>
        <w:t xml:space="preserve">, M. and Hernando-Pérez, J. (2022) ‘Decentralization: a handicap in fighting the COVID-19 pandemic? The response of the regional governments in Spain’, </w:t>
      </w:r>
      <w:r>
        <w:rPr>
          <w:rStyle w:val="style88"/>
          <w:rFonts w:ascii="Arial" w:cs="Arial" w:eastAsia="等线 Light" w:hAnsi="Arial"/>
        </w:rPr>
        <w:t>Public Administration and Development</w:t>
      </w:r>
      <w:r>
        <w:rPr>
          <w:rFonts w:ascii="Arial" w:cs="Arial" w:hAnsi="Arial"/>
        </w:rPr>
        <w:t xml:space="preserve">, 43(2). Available at: </w:t>
      </w:r>
      <w:r>
        <w:rPr/>
        <w:fldChar w:fldCharType="begin"/>
      </w:r>
      <w:r>
        <w:instrText xml:space="preserve"> HYPERLINK "https://doi.org/10.1002/pad.1988" \t "_new" </w:instrText>
      </w:r>
      <w:r>
        <w:rPr/>
        <w:fldChar w:fldCharType="separate"/>
      </w:r>
      <w:r>
        <w:rPr>
          <w:rStyle w:val="style85"/>
          <w:rFonts w:ascii="Arial" w:cs="Arial" w:eastAsia="等线 Light" w:hAnsi="Arial"/>
        </w:rPr>
        <w:t>https://doi.org/10.1002/pad.1988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Farhan, B. (2021) ‘A new strategic leadership model for surviving and coping: lessons from Canada’s leadership approach to COVID-19’, </w:t>
      </w:r>
      <w:r>
        <w:rPr>
          <w:rStyle w:val="style88"/>
          <w:rFonts w:ascii="Arial" w:cs="Arial" w:eastAsia="等线 Light" w:hAnsi="Arial"/>
        </w:rPr>
        <w:t>Cogent Business &amp; Management</w:t>
      </w:r>
      <w:r>
        <w:rPr>
          <w:rFonts w:ascii="Arial" w:cs="Arial" w:hAnsi="Arial"/>
        </w:rPr>
        <w:t xml:space="preserve">, 8(1) article 1883221. Available at: </w:t>
      </w:r>
      <w:r>
        <w:rPr/>
        <w:fldChar w:fldCharType="begin"/>
      </w:r>
      <w:r>
        <w:instrText xml:space="preserve"> HYPERLINK "https://doi.org/10.1080/23311975.2021.1883221" \t "_new" </w:instrText>
      </w:r>
      <w:r>
        <w:rPr/>
        <w:fldChar w:fldCharType="separate"/>
      </w:r>
      <w:r>
        <w:rPr>
          <w:rStyle w:val="style85"/>
          <w:rFonts w:ascii="Arial" w:cs="Arial" w:eastAsia="等线 Light" w:hAnsi="Arial"/>
        </w:rPr>
        <w:t>https://doi.org/10.1080/23311975.2021.1883221</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García-Basteiro, A.L. et al. (2020) ‘Evaluation of the COVID-19 response in Spain: principles and requirements’, </w:t>
      </w:r>
      <w:r>
        <w:rPr>
          <w:rStyle w:val="style88"/>
          <w:rFonts w:ascii="Arial" w:cs="Arial" w:eastAsia="等线 Light" w:hAnsi="Arial"/>
        </w:rPr>
        <w:t>The Lancet Public Health</w:t>
      </w:r>
      <w:r>
        <w:rPr>
          <w:rFonts w:ascii="Arial" w:cs="Arial" w:hAnsi="Arial"/>
        </w:rPr>
        <w:t xml:space="preserve">, 5(11) article e575. Available at: </w:t>
      </w:r>
      <w:r>
        <w:rPr/>
        <w:fldChar w:fldCharType="begin"/>
      </w:r>
      <w:r>
        <w:instrText xml:space="preserve"> HYPERLINK "https://doi.org/10.1016/S2468-2667(20)30208-5" \t "_new" </w:instrText>
      </w:r>
      <w:r>
        <w:rPr/>
        <w:fldChar w:fldCharType="separate"/>
      </w:r>
      <w:r>
        <w:rPr>
          <w:rStyle w:val="style85"/>
          <w:rFonts w:ascii="Arial" w:cs="Arial" w:eastAsia="等线 Light" w:hAnsi="Arial"/>
        </w:rPr>
        <w:t>https://doi.org/10.1016/S2468-2667(20)30208-5</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Hansen, G. and Cyr, A. (2020) ‘Canada’s decentralized “human-driven” approach during the early COVID-19 pandemic’, </w:t>
      </w:r>
      <w:r>
        <w:rPr>
          <w:rStyle w:val="style88"/>
          <w:rFonts w:ascii="Arial" w:cs="Arial" w:eastAsia="等线 Light" w:hAnsi="Arial"/>
        </w:rPr>
        <w:t>JMIR Public Health and Surveillance</w:t>
      </w:r>
      <w:r>
        <w:rPr>
          <w:rFonts w:ascii="Arial" w:cs="Arial" w:hAnsi="Arial"/>
        </w:rPr>
        <w:t xml:space="preserve">, 6(4). Available at: </w:t>
      </w:r>
      <w:r>
        <w:rPr/>
        <w:fldChar w:fldCharType="begin"/>
      </w:r>
      <w:r>
        <w:instrText xml:space="preserve"> HYPERLINK "https://doi.org/10.2196/20343" \t "_new" </w:instrText>
      </w:r>
      <w:r>
        <w:rPr/>
        <w:fldChar w:fldCharType="separate"/>
      </w:r>
      <w:r>
        <w:rPr>
          <w:rStyle w:val="style85"/>
          <w:rFonts w:ascii="Arial" w:cs="Arial" w:eastAsia="等线 Light" w:hAnsi="Arial"/>
        </w:rPr>
        <w:t>https://doi.org/10.2196/20343</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Hong, S.A. (2024) ‘Toward better pandemic governance and preparedness: South Korea’s whole-of-nation approach to COVID-19’, </w:t>
      </w:r>
      <w:r>
        <w:rPr>
          <w:rStyle w:val="style88"/>
          <w:rFonts w:ascii="Arial" w:cs="Arial" w:eastAsia="等线 Light" w:hAnsi="Arial"/>
        </w:rPr>
        <w:t>BMC Public Health</w:t>
      </w:r>
      <w:r>
        <w:rPr>
          <w:rFonts w:ascii="Arial" w:cs="Arial" w:hAnsi="Arial"/>
        </w:rPr>
        <w:t xml:space="preserve">, 24(1). Available at: </w:t>
      </w:r>
      <w:r>
        <w:rPr/>
        <w:fldChar w:fldCharType="begin"/>
      </w:r>
      <w:r>
        <w:instrText xml:space="preserve"> HYPERLINK "https://doi.org/10.1186/s12889-024-19655-8" \t "_new" </w:instrText>
      </w:r>
      <w:r>
        <w:rPr/>
        <w:fldChar w:fldCharType="separate"/>
      </w:r>
      <w:r>
        <w:rPr>
          <w:rStyle w:val="style85"/>
          <w:rFonts w:ascii="Arial" w:cs="Arial" w:eastAsia="等线 Light" w:hAnsi="Arial"/>
        </w:rPr>
        <w:t>https://doi.org/10.1186/s12889-024-19655-8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Hutchison, B., Levesque, J., Strumpf, E. and Coyle, N. (2019) ‘Primary health care in Canada: systems in motion’, </w:t>
      </w:r>
      <w:r>
        <w:rPr>
          <w:rStyle w:val="style88"/>
          <w:rFonts w:ascii="Arial" w:cs="Arial" w:eastAsia="等线 Light" w:hAnsi="Arial"/>
        </w:rPr>
        <w:t>The Milbank Quarterly</w:t>
      </w:r>
      <w:r>
        <w:rPr>
          <w:rFonts w:ascii="Arial" w:cs="Arial" w:hAnsi="Arial"/>
        </w:rPr>
        <w:t xml:space="preserve">, 89(2), pp. 256–288. Available at: </w:t>
      </w:r>
      <w:r>
        <w:rPr/>
        <w:fldChar w:fldCharType="begin"/>
      </w:r>
      <w:r>
        <w:instrText xml:space="preserve"> HYPERLINK "https://doi.org/10.1111/j.1468-0009.2011.00628.x" \t "_new" </w:instrText>
      </w:r>
      <w:r>
        <w:rPr/>
        <w:fldChar w:fldCharType="separate"/>
      </w:r>
      <w:r>
        <w:rPr>
          <w:rStyle w:val="style85"/>
          <w:rFonts w:ascii="Arial" w:cs="Arial" w:eastAsia="等线 Light" w:hAnsi="Arial"/>
        </w:rPr>
        <w:t>https://doi.org/10.1111/j.1468-0009.2011.00628.x</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Kim, R., Shin, H. and Kim, P. (2023) ‘</w:t>
      </w:r>
      <w:r>
        <w:rPr>
          <w:rFonts w:ascii="Arial" w:cs="Arial" w:hAnsi="Arial"/>
        </w:rPr>
        <w:t>Intercrisis</w:t>
      </w:r>
      <w:r>
        <w:rPr>
          <w:rFonts w:ascii="Arial" w:cs="Arial" w:hAnsi="Arial"/>
        </w:rPr>
        <w:t xml:space="preserve"> learning in disaster response networks: experience of Korea from MERS and COVID-19’, </w:t>
      </w:r>
      <w:r>
        <w:rPr>
          <w:rStyle w:val="style88"/>
          <w:rFonts w:ascii="Arial" w:cs="Arial" w:eastAsia="等线 Light" w:hAnsi="Arial"/>
        </w:rPr>
        <w:t>Asian Journal of Political Science</w:t>
      </w:r>
      <w:r>
        <w:rPr>
          <w:rFonts w:ascii="Arial" w:cs="Arial" w:hAnsi="Arial"/>
        </w:rPr>
        <w:t xml:space="preserve">, 31(1), pp. 40–62. Available at: </w:t>
      </w:r>
      <w:r>
        <w:rPr/>
        <w:fldChar w:fldCharType="begin"/>
      </w:r>
      <w:r>
        <w:instrText xml:space="preserve"> HYPERLINK "https://doi.org/10.1080/02185377.2022.2157295" \t "_new" </w:instrText>
      </w:r>
      <w:r>
        <w:rPr/>
        <w:fldChar w:fldCharType="separate"/>
      </w:r>
      <w:r>
        <w:rPr>
          <w:rStyle w:val="style85"/>
          <w:rFonts w:ascii="Arial" w:cs="Arial" w:eastAsia="等线 Light" w:hAnsi="Arial"/>
        </w:rPr>
        <w:t>https://doi.org/10.1080/02185377.2022.2157295</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Kretchmer, H. (2020) </w:t>
      </w:r>
      <w:r>
        <w:rPr>
          <w:rFonts w:ascii="Arial" w:cs="Arial" w:hAnsi="Arial"/>
          <w:i/>
          <w:iCs/>
        </w:rPr>
        <w:t>Key milestones in the spread of the coronavirus pandemic – a timeline</w:t>
      </w:r>
      <w:r>
        <w:rPr>
          <w:rFonts w:ascii="Arial" w:cs="Arial" w:hAnsi="Arial"/>
        </w:rPr>
        <w:t xml:space="preserve">, </w:t>
      </w:r>
      <w:r>
        <w:rPr>
          <w:rFonts w:ascii="Arial" w:cs="Arial" w:hAnsi="Arial"/>
          <w:i/>
          <w:iCs/>
        </w:rPr>
        <w:t>World Economic Forum</w:t>
      </w:r>
      <w:r>
        <w:rPr>
          <w:rFonts w:ascii="Arial" w:cs="Arial" w:hAnsi="Arial"/>
        </w:rPr>
        <w:t>. Available at: https://www.weforum.org/stories/2020/04/coronavirus-spread-covid19-pandemic-timeline-milestones/.</w:t>
      </w:r>
    </w:p>
    <w:p>
      <w:pPr>
        <w:pStyle w:val="style94"/>
        <w:spacing w:before="160" w:beforeAutospacing="false" w:after="160" w:afterAutospacing="false" w:lineRule="auto" w:line="360"/>
        <w:rPr>
          <w:rFonts w:ascii="Arial" w:cs="Arial" w:hAnsi="Arial"/>
        </w:rPr>
      </w:pPr>
      <w:r>
        <w:rPr>
          <w:rFonts w:ascii="Arial" w:cs="Arial" w:hAnsi="Arial"/>
        </w:rPr>
        <w:t xml:space="preserve">Lee, D.S. (2022) ‘Public assessments of ministerial leadership in times of national crisis: the case of the pandemic crisis’, </w:t>
      </w:r>
      <w:r>
        <w:rPr>
          <w:rStyle w:val="style88"/>
          <w:rFonts w:ascii="Arial" w:cs="Arial" w:eastAsia="等线 Light" w:hAnsi="Arial"/>
        </w:rPr>
        <w:t>Public Administration</w:t>
      </w:r>
      <w:r>
        <w:rPr>
          <w:rFonts w:ascii="Arial" w:cs="Arial" w:hAnsi="Arial"/>
        </w:rPr>
        <w:t xml:space="preserve">, 102(1), pp. 95–113. Available at: </w:t>
      </w:r>
      <w:r>
        <w:rPr/>
        <w:fldChar w:fldCharType="begin"/>
      </w:r>
      <w:r>
        <w:instrText xml:space="preserve"> HYPERLINK "https://doi.org/10.1111/padm.12910" \t "_new" </w:instrText>
      </w:r>
      <w:r>
        <w:rPr/>
        <w:fldChar w:fldCharType="separate"/>
      </w:r>
      <w:r>
        <w:rPr>
          <w:rStyle w:val="style85"/>
          <w:rFonts w:ascii="Arial" w:cs="Arial" w:eastAsia="等线 Light" w:hAnsi="Arial"/>
        </w:rPr>
        <w:t>https://doi.org/10.1111/padm.12910</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Legido</w:t>
      </w:r>
      <w:r>
        <w:rPr>
          <w:rFonts w:ascii="Arial" w:cs="Arial" w:hAnsi="Arial"/>
        </w:rPr>
        <w:t xml:space="preserve">-Quigley, H., Mateos-García, J.T., Campos, V.R., Gea-Sánchez, M., Muntaner, C. and McKee, M. (2020) ‘The resilience of the Spanish health system against the COVID-19 pandemic’, </w:t>
      </w:r>
      <w:r>
        <w:rPr>
          <w:rStyle w:val="style88"/>
          <w:rFonts w:ascii="Arial" w:cs="Arial" w:eastAsia="等线 Light" w:hAnsi="Arial"/>
        </w:rPr>
        <w:t>The Lancet Public Health</w:t>
      </w:r>
      <w:r>
        <w:rPr>
          <w:rFonts w:ascii="Arial" w:cs="Arial" w:hAnsi="Arial"/>
        </w:rPr>
        <w:t xml:space="preserve">, 5(5). Available at: </w:t>
      </w:r>
      <w:r>
        <w:rPr/>
        <w:fldChar w:fldCharType="begin"/>
      </w:r>
      <w:r>
        <w:instrText xml:space="preserve"> HYPERLINK "https://doi.org/10.1016/s2468-2667(20)30060-8" \t "_new" </w:instrText>
      </w:r>
      <w:r>
        <w:rPr/>
        <w:fldChar w:fldCharType="separate"/>
      </w:r>
      <w:r>
        <w:rPr>
          <w:rStyle w:val="style85"/>
          <w:rFonts w:ascii="Arial" w:cs="Arial" w:eastAsia="等线 Light" w:hAnsi="Arial"/>
        </w:rPr>
        <w:t>https://doi.org/10.1016/s2468-2667(20)30060-8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López-Valcárcel, B.G. and Lopez-Casasnovas, G. (2025) ‘Has regional </w:t>
      </w:r>
      <w:r>
        <w:rPr>
          <w:rFonts w:ascii="Arial" w:cs="Arial" w:hAnsi="Arial"/>
        </w:rPr>
        <w:t>decentralisation</w:t>
      </w:r>
      <w:r>
        <w:rPr>
          <w:rFonts w:ascii="Arial" w:cs="Arial" w:hAnsi="Arial"/>
        </w:rPr>
        <w:t xml:space="preserve"> saved lives during the COVID-19 pandemic?’, </w:t>
      </w:r>
      <w:r>
        <w:rPr>
          <w:rStyle w:val="style88"/>
          <w:rFonts w:ascii="Arial" w:cs="Arial" w:eastAsia="等线 Light" w:hAnsi="Arial"/>
        </w:rPr>
        <w:t>Health Economics, Policy and Law</w:t>
      </w:r>
      <w:r>
        <w:rPr>
          <w:rFonts w:ascii="Arial" w:cs="Arial" w:hAnsi="Arial"/>
        </w:rPr>
        <w:t xml:space="preserve">, 17(4), pp. 1–16. Available at: </w:t>
      </w:r>
      <w:r>
        <w:rPr/>
        <w:fldChar w:fldCharType="begin"/>
      </w:r>
      <w:r>
        <w:instrText xml:space="preserve"> HYPERLINK "https://doi.org/10.1017/s1744133125000052" \t "_new" </w:instrText>
      </w:r>
      <w:r>
        <w:rPr/>
        <w:fldChar w:fldCharType="separate"/>
      </w:r>
      <w:r>
        <w:rPr>
          <w:rStyle w:val="style85"/>
          <w:rFonts w:ascii="Arial" w:cs="Arial" w:eastAsia="等线 Light" w:hAnsi="Arial"/>
        </w:rPr>
        <w:t>https://doi.org/10.1017/s1744133125000052</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Mao, Y. (2024) ‘Why do democracies respond differently to COVID-19? A comparison of the United States and South Korea’, </w:t>
      </w:r>
      <w:r>
        <w:rPr>
          <w:rFonts w:ascii="Arial" w:cs="Arial" w:hAnsi="Arial"/>
          <w:i/>
          <w:iCs/>
        </w:rPr>
        <w:t>Frontiers in Public Health</w:t>
      </w:r>
      <w:r>
        <w:rPr>
          <w:rFonts w:ascii="Arial" w:cs="Arial" w:hAnsi="Arial"/>
        </w:rPr>
        <w:t xml:space="preserve">, 11 article 1285552. Available at: </w:t>
      </w:r>
      <w:r>
        <w:rPr/>
        <w:fldChar w:fldCharType="begin"/>
      </w:r>
      <w:r>
        <w:instrText xml:space="preserve"> HYPERLINK "https://doi.org/10.3389/fpubh.2023.1285552" \t "_new" </w:instrText>
      </w:r>
      <w:r>
        <w:rPr/>
        <w:fldChar w:fldCharType="separate"/>
      </w:r>
      <w:r>
        <w:rPr>
          <w:rStyle w:val="style85"/>
          <w:rFonts w:ascii="Arial" w:cs="Arial" w:hAnsi="Arial"/>
        </w:rPr>
        <w:t>https://doi.org/10.3389/fpubh.2023.1285552</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McMahon, M., Nadigel, J., Thompson, E. and Glazier, R. (2020) ‘Informing Canada’s health system response to COVID-19: priorities for health services and policy research’, </w:t>
      </w:r>
      <w:r>
        <w:rPr>
          <w:rFonts w:ascii="Arial" w:cs="Arial" w:hAnsi="Arial"/>
          <w:i/>
          <w:iCs/>
        </w:rPr>
        <w:t>Healthcare Policy | Politiques de Santé</w:t>
      </w:r>
      <w:r>
        <w:rPr>
          <w:rFonts w:ascii="Arial" w:cs="Arial" w:hAnsi="Arial"/>
        </w:rPr>
        <w:t xml:space="preserve">, 16(1), pp. 112–124. Available at: </w:t>
      </w:r>
      <w:r>
        <w:rPr/>
        <w:fldChar w:fldCharType="begin"/>
      </w:r>
      <w:r>
        <w:instrText xml:space="preserve"> HYPERLINK "https://doi.org/10.12927/hcpol.2020.26249" \t "_new" </w:instrText>
      </w:r>
      <w:r>
        <w:rPr/>
        <w:fldChar w:fldCharType="separate"/>
      </w:r>
      <w:r>
        <w:rPr>
          <w:rStyle w:val="style85"/>
          <w:rFonts w:ascii="Arial" w:cs="Arial" w:hAnsi="Arial"/>
        </w:rPr>
        <w:t>https://doi.org/10.12927/hcpol.2020.26249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Migone</w:t>
      </w:r>
      <w:r>
        <w:rPr>
          <w:rFonts w:ascii="Arial" w:cs="Arial" w:hAnsi="Arial"/>
        </w:rPr>
        <w:t xml:space="preserve">, A.R. (2020) ‘Trust, but customize: federalism’s impact on the Canadian COVID-19 response’, </w:t>
      </w:r>
      <w:r>
        <w:rPr>
          <w:rFonts w:ascii="Arial" w:cs="Arial" w:hAnsi="Arial"/>
          <w:i/>
          <w:iCs/>
        </w:rPr>
        <w:t>Policy and Society</w:t>
      </w:r>
      <w:r>
        <w:rPr>
          <w:rFonts w:ascii="Arial" w:cs="Arial" w:hAnsi="Arial"/>
        </w:rPr>
        <w:t xml:space="preserve">, 39(3), pp. 1–21. Available at: </w:t>
      </w:r>
      <w:r>
        <w:rPr/>
        <w:fldChar w:fldCharType="begin"/>
      </w:r>
      <w:r>
        <w:instrText xml:space="preserve"> HYPERLINK "https://doi.org/10.1080/14494035.2020.1783788" \t "_new" </w:instrText>
      </w:r>
      <w:r>
        <w:rPr/>
        <w:fldChar w:fldCharType="separate"/>
      </w:r>
      <w:r>
        <w:rPr>
          <w:rStyle w:val="style85"/>
          <w:rFonts w:ascii="Arial" w:cs="Arial" w:hAnsi="Arial"/>
        </w:rPr>
        <w:t>https://doi.org/10.1080/14494035.2020.1783788</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Oh, J., Lee, J.-K., Schwarz, D., Ratcliffe, H.L., </w:t>
      </w:r>
      <w:r>
        <w:rPr>
          <w:rFonts w:ascii="Arial" w:cs="Arial" w:hAnsi="Arial"/>
        </w:rPr>
        <w:t>Markuns</w:t>
      </w:r>
      <w:r>
        <w:rPr>
          <w:rFonts w:ascii="Arial" w:cs="Arial" w:hAnsi="Arial"/>
        </w:rPr>
        <w:t xml:space="preserve">, J.F. and Hirschhorn, L.R. (2020) ‘National response to COVID-19 in the Republic of Korea and lessons learned for other countries’, </w:t>
      </w:r>
      <w:r>
        <w:rPr>
          <w:rFonts w:ascii="Arial" w:cs="Arial" w:hAnsi="Arial"/>
          <w:i/>
          <w:iCs/>
        </w:rPr>
        <w:t>Health Systems &amp; Reform</w:t>
      </w:r>
      <w:r>
        <w:rPr>
          <w:rFonts w:ascii="Arial" w:cs="Arial" w:hAnsi="Arial"/>
        </w:rPr>
        <w:t xml:space="preserve">, 6(1) article e1753464. Available at: </w:t>
      </w:r>
      <w:r>
        <w:rPr/>
        <w:fldChar w:fldCharType="begin"/>
      </w:r>
      <w:r>
        <w:instrText xml:space="preserve"> HYPERLINK "https://doi.org/10.1080/23288604.2020.1753464" \t "_new" </w:instrText>
      </w:r>
      <w:r>
        <w:rPr/>
        <w:fldChar w:fldCharType="separate"/>
      </w:r>
      <w:r>
        <w:rPr>
          <w:rStyle w:val="style85"/>
          <w:rFonts w:ascii="Arial" w:cs="Arial" w:hAnsi="Arial"/>
        </w:rPr>
        <w:t>https://doi.org/10.1080/23288604.2020.1753464</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Oh, S.-Y. (2020) ‘From a “super spreader of MERS” to a “super stopper of COVID-19”: explaining the evolution of South Korea’s effective crisis management system’, </w:t>
      </w:r>
      <w:r>
        <w:rPr>
          <w:rFonts w:ascii="Arial" w:cs="Arial" w:hAnsi="Arial"/>
          <w:i/>
          <w:iCs/>
        </w:rPr>
        <w:t>Journal of Asian Public Policy</w:t>
      </w:r>
      <w:r>
        <w:rPr>
          <w:rFonts w:ascii="Arial" w:cs="Arial" w:hAnsi="Arial"/>
        </w:rPr>
        <w:t xml:space="preserve">, 15(2), pp. 250–265. Available at: </w:t>
      </w:r>
      <w:r>
        <w:rPr/>
        <w:fldChar w:fldCharType="begin"/>
      </w:r>
      <w:r>
        <w:instrText xml:space="preserve"> HYPERLINK "https://doi.org/10.1080/17516234.2020.1863540" \t "_new" </w:instrText>
      </w:r>
      <w:r>
        <w:rPr/>
        <w:fldChar w:fldCharType="separate"/>
      </w:r>
      <w:r>
        <w:rPr>
          <w:rStyle w:val="style85"/>
          <w:rFonts w:ascii="Arial" w:cs="Arial" w:hAnsi="Arial"/>
        </w:rPr>
        <w:t>https://doi.org/10.1080/17516234.2020.1863540</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Park, S. and Fowler, L. (2021) ‘Political and administrative decentralization and responses to COVID-19: comparison of the United States and South Korea’, </w:t>
      </w:r>
      <w:r>
        <w:rPr>
          <w:rFonts w:ascii="Arial" w:cs="Arial" w:hAnsi="Arial"/>
          <w:i/>
          <w:iCs/>
        </w:rPr>
        <w:t>International Journal of Organization Theory &amp; Behavior</w:t>
      </w:r>
      <w:r>
        <w:rPr>
          <w:rFonts w:ascii="Arial" w:cs="Arial" w:hAnsi="Arial"/>
        </w:rPr>
        <w:t xml:space="preserve">, 24(4), pp. 289–299. Available at: </w:t>
      </w:r>
      <w:r>
        <w:rPr/>
        <w:fldChar w:fldCharType="begin"/>
      </w:r>
      <w:r>
        <w:instrText xml:space="preserve"> HYPERLINK "https://doi.org/10.1108/ijotb-02-2021-0022" \t "_new" </w:instrText>
      </w:r>
      <w:r>
        <w:rPr/>
        <w:fldChar w:fldCharType="separate"/>
      </w:r>
      <w:r>
        <w:rPr>
          <w:rStyle w:val="style85"/>
          <w:rFonts w:ascii="Arial" w:cs="Arial" w:hAnsi="Arial"/>
        </w:rPr>
        <w:t>https://doi.org/10.1108/ijotb-02-2021-0022</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Public Health Agency of Canada (2020) </w:t>
      </w:r>
      <w:r>
        <w:rPr>
          <w:rFonts w:ascii="Arial" w:cs="Arial" w:hAnsi="Arial"/>
          <w:i/>
          <w:iCs/>
        </w:rPr>
        <w:t>Canada’s COVID-19 Immunization Plan: Saving Lives and Livelihoods</w:t>
      </w:r>
      <w:r>
        <w:rPr>
          <w:rFonts w:ascii="Arial" w:cs="Arial" w:hAnsi="Arial"/>
        </w:rPr>
        <w:t xml:space="preserve">, </w:t>
      </w:r>
      <w:r>
        <w:rPr>
          <w:rFonts w:ascii="Arial" w:cs="Arial" w:hAnsi="Arial"/>
          <w:i/>
          <w:iCs/>
        </w:rPr>
        <w:t>www.canada.ca</w:t>
      </w:r>
      <w:r>
        <w:rPr>
          <w:rFonts w:ascii="Arial" w:cs="Arial" w:hAnsi="Arial"/>
        </w:rPr>
        <w:t>. Available at: https://www.canada.ca/en/public-health/services/diseases/2019-novel-coronavirus-infection/canadas-reponse/canadas-covid-19-immunization-plan.html.</w:t>
      </w:r>
    </w:p>
    <w:p>
      <w:pPr>
        <w:pStyle w:val="style94"/>
        <w:spacing w:before="160" w:beforeAutospacing="false" w:after="160" w:afterAutospacing="false" w:lineRule="auto" w:line="360"/>
        <w:rPr>
          <w:rFonts w:ascii="Arial" w:cs="Arial" w:hAnsi="Arial"/>
        </w:rPr>
      </w:pPr>
      <w:r>
        <w:rPr>
          <w:rFonts w:ascii="Arial" w:cs="Arial" w:hAnsi="Arial"/>
        </w:rPr>
        <w:t xml:space="preserve">Royo, S. (2020) ‘Responding to COVID-19: the case of Spain’, </w:t>
      </w:r>
      <w:r>
        <w:rPr>
          <w:rFonts w:ascii="Arial" w:cs="Arial" w:hAnsi="Arial"/>
          <w:i/>
          <w:iCs/>
        </w:rPr>
        <w:t>European Policy Analysis</w:t>
      </w:r>
      <w:r>
        <w:rPr>
          <w:rFonts w:ascii="Arial" w:cs="Arial" w:hAnsi="Arial"/>
        </w:rPr>
        <w:t xml:space="preserve">, 6(2). Available at: </w:t>
      </w:r>
      <w:r>
        <w:rPr/>
        <w:fldChar w:fldCharType="begin"/>
      </w:r>
      <w:r>
        <w:instrText xml:space="preserve"> HYPERLINK "https://doi.org/10.1002/epa2.1099" \t "_new" </w:instrText>
      </w:r>
      <w:r>
        <w:rPr/>
        <w:fldChar w:fldCharType="separate"/>
      </w:r>
      <w:r>
        <w:rPr>
          <w:rStyle w:val="style85"/>
          <w:rFonts w:ascii="Arial" w:cs="Arial" w:hAnsi="Arial"/>
        </w:rPr>
        <w:t>https://doi.org/10.1002/epa2.1099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Salmon, A. (2020) ‘South Korea reveals how to win Covid-19 war’, </w:t>
      </w:r>
      <w:r>
        <w:rPr>
          <w:rFonts w:ascii="Arial" w:cs="Arial" w:hAnsi="Arial"/>
          <w:i/>
          <w:iCs/>
        </w:rPr>
        <w:t>Asia Times</w:t>
      </w:r>
      <w:r>
        <w:rPr>
          <w:rFonts w:ascii="Arial" w:cs="Arial" w:hAnsi="Arial"/>
        </w:rPr>
        <w:t xml:space="preserve">, (March). Available at: </w:t>
      </w:r>
      <w:r>
        <w:rPr/>
        <w:fldChar w:fldCharType="begin"/>
      </w:r>
      <w:r>
        <w:instrText xml:space="preserve"> HYPERLINK "https://asiatimes.com/2020/03/south-korea-reveals-how-to-win-covid-19-war/" \t "_new" </w:instrText>
      </w:r>
      <w:r>
        <w:rPr/>
        <w:fldChar w:fldCharType="separate"/>
      </w:r>
      <w:r>
        <w:rPr>
          <w:rStyle w:val="style85"/>
          <w:rFonts w:ascii="Arial" w:cs="Arial" w:hAnsi="Arial"/>
        </w:rPr>
        <w:t>https://asiatimes.com/2020/03/south-korea-reveals-how-to-win-covid-19-war/</w:t>
      </w:r>
      <w:r>
        <w:rPr/>
        <w:fldChar w:fldCharType="end"/>
      </w:r>
      <w:r>
        <w:rPr>
          <w:rFonts w:ascii="Arial" w:cs="Arial" w:hAnsi="Arial"/>
        </w:rPr>
        <w:t xml:space="preserve"> (Accessed: 31 January 2026).</w:t>
      </w:r>
    </w:p>
    <w:p>
      <w:pPr>
        <w:pStyle w:val="style94"/>
        <w:spacing w:before="160" w:beforeAutospacing="false" w:after="160" w:afterAutospacing="false" w:lineRule="auto" w:line="360"/>
        <w:rPr>
          <w:rFonts w:ascii="Arial" w:cs="Arial" w:hAnsi="Arial"/>
        </w:rPr>
      </w:pPr>
      <w:r>
        <w:rPr>
          <w:rFonts w:ascii="Arial" w:cs="Arial" w:hAnsi="Arial"/>
        </w:rPr>
        <w:t>Sánchez-</w:t>
      </w:r>
      <w:r>
        <w:rPr>
          <w:rFonts w:ascii="Arial" w:cs="Arial" w:hAnsi="Arial"/>
        </w:rPr>
        <w:t>Bayón</w:t>
      </w:r>
      <w:r>
        <w:rPr>
          <w:rFonts w:ascii="Arial" w:cs="Arial" w:hAnsi="Arial"/>
        </w:rPr>
        <w:t>, A., González-Arnedo, E. and Andreu-</w:t>
      </w:r>
      <w:r>
        <w:rPr>
          <w:rFonts w:ascii="Arial" w:cs="Arial" w:hAnsi="Arial"/>
        </w:rPr>
        <w:t>Escario</w:t>
      </w:r>
      <w:r>
        <w:rPr>
          <w:rFonts w:ascii="Arial" w:cs="Arial" w:hAnsi="Arial"/>
        </w:rPr>
        <w:t xml:space="preserve">, Á. (2022) ‘Spanish healthcare sector management in the COVID-19 crisis under the perspective of Austrian economics and new-institutional economics’, </w:t>
      </w:r>
      <w:r>
        <w:rPr>
          <w:rFonts w:ascii="Arial" w:cs="Arial" w:hAnsi="Arial"/>
          <w:i/>
          <w:iCs/>
        </w:rPr>
        <w:t>Frontiers in Public Health</w:t>
      </w:r>
      <w:r>
        <w:rPr>
          <w:rFonts w:ascii="Arial" w:cs="Arial" w:hAnsi="Arial"/>
        </w:rPr>
        <w:t xml:space="preserve">, 10 article 801525. Available at: </w:t>
      </w:r>
      <w:r>
        <w:rPr/>
        <w:fldChar w:fldCharType="begin"/>
      </w:r>
      <w:r>
        <w:instrText xml:space="preserve"> HYPERLINK "https://doi.org/10.3389/fpubh.2022.801525" \t "_new" </w:instrText>
      </w:r>
      <w:r>
        <w:rPr/>
        <w:fldChar w:fldCharType="separate"/>
      </w:r>
      <w:r>
        <w:rPr>
          <w:rStyle w:val="style85"/>
          <w:rFonts w:ascii="Arial" w:cs="Arial" w:hAnsi="Arial"/>
        </w:rPr>
        <w:t>https://doi.org/10.3389/fpubh.2022.801525</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lang w:val="nl-NL"/>
        </w:rPr>
        <w:t xml:space="preserve">Smith, R.W. et al. </w:t>
      </w:r>
      <w:r>
        <w:rPr>
          <w:rFonts w:ascii="Arial" w:cs="Arial" w:hAnsi="Arial"/>
        </w:rPr>
        <w:t xml:space="preserve">(2022) ‘Centralization and integration of public health systems: perspectives of public health leaders on factors facilitating and impeding COVID-19 responses in three Canadian provinces’, </w:t>
      </w:r>
      <w:r>
        <w:rPr>
          <w:rFonts w:ascii="Arial" w:cs="Arial" w:hAnsi="Arial"/>
          <w:i/>
          <w:iCs/>
        </w:rPr>
        <w:t>Health Policy</w:t>
      </w:r>
      <w:r>
        <w:rPr>
          <w:rFonts w:ascii="Arial" w:cs="Arial" w:hAnsi="Arial"/>
        </w:rPr>
        <w:t xml:space="preserve">, 127, pp. 19–28. Available at: </w:t>
      </w:r>
      <w:r>
        <w:rPr/>
        <w:fldChar w:fldCharType="begin"/>
      </w:r>
      <w:r>
        <w:instrText xml:space="preserve"> HYPERLINK "https://doi.org/10.1016/j.healthpol.2022.11.011" \t "_new" </w:instrText>
      </w:r>
      <w:r>
        <w:rPr/>
        <w:fldChar w:fldCharType="separate"/>
      </w:r>
      <w:r>
        <w:rPr>
          <w:rStyle w:val="style85"/>
          <w:rFonts w:ascii="Arial" w:cs="Arial" w:hAnsi="Arial"/>
        </w:rPr>
        <w:t>https://doi.org/10.1016/j.healthpol.2022.11.011</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Sriharan, A. et al. (2021) ‘Public health and health sector crisis leadership during pandemics: a review of the medical and business literature’, </w:t>
      </w:r>
      <w:r>
        <w:rPr>
          <w:rFonts w:ascii="Arial" w:cs="Arial" w:hAnsi="Arial"/>
          <w:i/>
          <w:iCs/>
        </w:rPr>
        <w:t>Medical Care Research and Review</w:t>
      </w:r>
      <w:r>
        <w:rPr>
          <w:rFonts w:ascii="Arial" w:cs="Arial" w:hAnsi="Arial"/>
        </w:rPr>
        <w:t xml:space="preserve">, 79(4) article 107755872110392. Available at: </w:t>
      </w:r>
      <w:r>
        <w:rPr/>
        <w:fldChar w:fldCharType="begin"/>
      </w:r>
      <w:r>
        <w:instrText xml:space="preserve"> HYPERLINK "https://doi.org/10.1177/10775587211039201" \t "_new" </w:instrText>
      </w:r>
      <w:r>
        <w:rPr/>
        <w:fldChar w:fldCharType="separate"/>
      </w:r>
      <w:r>
        <w:rPr>
          <w:rStyle w:val="style85"/>
          <w:rFonts w:ascii="Arial" w:cs="Arial" w:hAnsi="Arial"/>
        </w:rPr>
        <w:t>https://doi.org/10.1177/10775587211039201</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Statista (2023a) </w:t>
      </w:r>
      <w:r>
        <w:rPr>
          <w:rFonts w:ascii="Arial" w:cs="Arial" w:hAnsi="Arial"/>
          <w:i/>
          <w:iCs/>
        </w:rPr>
        <w:t>COVID-19: vaccination rate in Spain 2023| Statista</w:t>
      </w:r>
      <w:r>
        <w:rPr>
          <w:rFonts w:ascii="Arial" w:cs="Arial" w:hAnsi="Arial"/>
        </w:rPr>
        <w:t xml:space="preserve">, </w:t>
      </w:r>
      <w:r>
        <w:rPr>
          <w:rFonts w:ascii="Arial" w:cs="Arial" w:hAnsi="Arial"/>
          <w:i/>
          <w:iCs/>
        </w:rPr>
        <w:t>Statista</w:t>
      </w:r>
      <w:r>
        <w:rPr>
          <w:rFonts w:ascii="Arial" w:cs="Arial" w:hAnsi="Arial"/>
        </w:rPr>
        <w:t>. Available at: https://www.statista.com/statistics/1196424/number-of-coronavirus-vaccines-administered-per-100-inhabitants-in-spain/? (Accessed: 2 February 2026).</w:t>
      </w:r>
    </w:p>
    <w:p>
      <w:pPr>
        <w:pStyle w:val="style94"/>
        <w:spacing w:before="160" w:beforeAutospacing="false" w:after="160" w:afterAutospacing="false" w:lineRule="auto" w:line="360"/>
        <w:rPr>
          <w:rFonts w:ascii="Arial" w:cs="Arial" w:hAnsi="Arial"/>
        </w:rPr>
      </w:pPr>
      <w:r>
        <w:rPr>
          <w:rFonts w:ascii="Arial" w:cs="Arial" w:hAnsi="Arial"/>
        </w:rPr>
        <w:t xml:space="preserve">Statista (2023b) </w:t>
      </w:r>
      <w:r>
        <w:rPr>
          <w:rFonts w:ascii="Arial" w:cs="Arial" w:hAnsi="Arial"/>
          <w:i/>
          <w:iCs/>
        </w:rPr>
        <w:t>South Korea: national COVID-19 vaccination rate by age 2023| Statista</w:t>
      </w:r>
      <w:r>
        <w:rPr>
          <w:rFonts w:ascii="Arial" w:cs="Arial" w:hAnsi="Arial"/>
        </w:rPr>
        <w:t xml:space="preserve">, </w:t>
      </w:r>
      <w:r>
        <w:rPr>
          <w:rFonts w:ascii="Arial" w:cs="Arial" w:hAnsi="Arial"/>
          <w:i/>
          <w:iCs/>
        </w:rPr>
        <w:t>Statista</w:t>
      </w:r>
      <w:r>
        <w:rPr>
          <w:rFonts w:ascii="Arial" w:cs="Arial" w:hAnsi="Arial"/>
        </w:rPr>
        <w:t>. Available at: https://www.statista.com/statistics/1358025/south-korea-national-covid-19-vaccination-rate-by-age/? (Accessed: 2 February 2026).</w:t>
      </w:r>
    </w:p>
    <w:p>
      <w:pPr>
        <w:pStyle w:val="style94"/>
        <w:spacing w:before="160" w:beforeAutospacing="false" w:after="160" w:afterAutospacing="false" w:lineRule="auto" w:line="360"/>
        <w:rPr>
          <w:rFonts w:ascii="Arial" w:cs="Arial" w:hAnsi="Arial"/>
        </w:rPr>
      </w:pPr>
      <w:r>
        <w:rPr>
          <w:rFonts w:ascii="Arial" w:cs="Arial" w:hAnsi="Arial"/>
        </w:rPr>
        <w:t>Tavakkoli</w:t>
      </w:r>
      <w:r>
        <w:rPr>
          <w:rFonts w:ascii="Arial" w:cs="Arial" w:hAnsi="Arial"/>
        </w:rPr>
        <w:t xml:space="preserve">, M. et al. (2022) ‘From public health policy to impact for COVID-19: a multi-country case study in Switzerland, Spain, Iran and Pakistan’, </w:t>
      </w:r>
      <w:r>
        <w:rPr>
          <w:rFonts w:ascii="Arial" w:cs="Arial" w:hAnsi="Arial"/>
          <w:i/>
          <w:iCs/>
        </w:rPr>
        <w:t>International Journal of Public Health</w:t>
      </w:r>
      <w:r>
        <w:rPr>
          <w:rFonts w:ascii="Arial" w:cs="Arial" w:hAnsi="Arial"/>
        </w:rPr>
        <w:t xml:space="preserve">, 67 article 1604969. Available at: </w:t>
      </w:r>
      <w:r>
        <w:rPr/>
        <w:fldChar w:fldCharType="begin"/>
      </w:r>
      <w:r>
        <w:instrText xml:space="preserve"> HYPERLINK "https://doi.org/10.3389/ijph.2022.1604969" \t "_new" </w:instrText>
      </w:r>
      <w:r>
        <w:rPr/>
        <w:fldChar w:fldCharType="separate"/>
      </w:r>
      <w:r>
        <w:rPr>
          <w:rStyle w:val="style85"/>
          <w:rFonts w:ascii="Arial" w:cs="Arial" w:hAnsi="Arial"/>
        </w:rPr>
        <w:t>https://doi.org/10.3389/ijph.2022.1604969</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Torrente, M. et al. (2021) ‘To burn-out or not to burn-out: a cross-sectional study in healthcare professionals in Spain during the COVID-19 pandemic’, </w:t>
      </w:r>
      <w:r>
        <w:rPr>
          <w:rFonts w:ascii="Arial" w:cs="Arial" w:hAnsi="Arial"/>
          <w:i/>
          <w:iCs/>
        </w:rPr>
        <w:t>BMJ Open</w:t>
      </w:r>
      <w:r>
        <w:rPr>
          <w:rFonts w:ascii="Arial" w:cs="Arial" w:hAnsi="Arial"/>
        </w:rPr>
        <w:t xml:space="preserve">, 11(2) article e044945. Available at: </w:t>
      </w:r>
      <w:r>
        <w:rPr/>
        <w:fldChar w:fldCharType="begin"/>
      </w:r>
      <w:r>
        <w:instrText xml:space="preserve"> HYPERLINK "https://doi.org/10.1136/bmjopen-2020-044945" \t "_new" </w:instrText>
      </w:r>
      <w:r>
        <w:rPr/>
        <w:fldChar w:fldCharType="separate"/>
      </w:r>
      <w:r>
        <w:rPr>
          <w:rStyle w:val="style85"/>
          <w:rFonts w:ascii="Arial" w:cs="Arial" w:hAnsi="Arial"/>
        </w:rPr>
        <w:t>https://doi.org/10.1136/bmjopen-2020-044945</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Usher, S. et al. (2025) ‘The influence of public health organization on response to the COVID-19 pandemic in four Canadian provinces: a comparative qualitative analysis’, </w:t>
      </w:r>
      <w:r>
        <w:rPr>
          <w:rFonts w:ascii="Arial" w:cs="Arial" w:hAnsi="Arial"/>
          <w:i/>
          <w:iCs/>
        </w:rPr>
        <w:t>Health Policy OPEN</w:t>
      </w:r>
      <w:r>
        <w:rPr>
          <w:rFonts w:ascii="Arial" w:cs="Arial" w:hAnsi="Arial"/>
        </w:rPr>
        <w:t xml:space="preserve">, 9 article 100146. Available at: </w:t>
      </w:r>
      <w:r>
        <w:rPr/>
        <w:fldChar w:fldCharType="begin"/>
      </w:r>
      <w:r>
        <w:instrText xml:space="preserve"> HYPERLINK "https://doi.org/10.1016/j.hpopen.2025.100146" \t "_new" </w:instrText>
      </w:r>
      <w:r>
        <w:rPr/>
        <w:fldChar w:fldCharType="separate"/>
      </w:r>
      <w:r>
        <w:rPr>
          <w:rStyle w:val="style85"/>
          <w:rFonts w:ascii="Arial" w:cs="Arial" w:hAnsi="Arial"/>
        </w:rPr>
        <w:t>https://doi.org/10.1016/j.hpopen.2025.100146</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lang w:val="nl-NL"/>
        </w:rPr>
        <w:t xml:space="preserve">Valz Gris, A. et al. </w:t>
      </w:r>
      <w:r>
        <w:rPr>
          <w:rFonts w:ascii="Arial" w:cs="Arial" w:hAnsi="Arial"/>
        </w:rPr>
        <w:t xml:space="preserve">(2022) ‘Leadership in public health crisis: a review to summarize lessons learned from COVID-19 pandemic’, </w:t>
      </w:r>
      <w:r>
        <w:rPr>
          <w:rFonts w:ascii="Arial" w:cs="Arial" w:hAnsi="Arial"/>
          <w:i/>
          <w:iCs/>
        </w:rPr>
        <w:t>European Journal of Public Health</w:t>
      </w:r>
      <w:r>
        <w:rPr>
          <w:rFonts w:ascii="Arial" w:cs="Arial" w:hAnsi="Arial"/>
        </w:rPr>
        <w:t xml:space="preserve">, 32(Supplement 3). Available at: </w:t>
      </w:r>
      <w:r>
        <w:rPr/>
        <w:fldChar w:fldCharType="begin"/>
      </w:r>
      <w:r>
        <w:instrText xml:space="preserve"> HYPERLINK "https://doi.org/10.1093/eurpub/ckac129.544" \t "_new" </w:instrText>
      </w:r>
      <w:r>
        <w:rPr/>
        <w:fldChar w:fldCharType="separate"/>
      </w:r>
      <w:r>
        <w:rPr>
          <w:rStyle w:val="style85"/>
          <w:rFonts w:ascii="Arial" w:cs="Arial" w:hAnsi="Arial"/>
        </w:rPr>
        <w:t>https://doi.org/10.1093/eurpub/ckac129.544</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Yi, S. et al. (2022) ‘Impact of national COVID-19 vaccination campaign, South Korea’, </w:t>
      </w:r>
      <w:r>
        <w:rPr>
          <w:rFonts w:ascii="Arial" w:cs="Arial" w:hAnsi="Arial"/>
          <w:i/>
          <w:iCs/>
        </w:rPr>
        <w:t>Vaccine</w:t>
      </w:r>
      <w:r>
        <w:rPr>
          <w:rFonts w:ascii="Arial" w:cs="Arial" w:hAnsi="Arial"/>
        </w:rPr>
        <w:t xml:space="preserve">, 40(26), pp. 3670–3675. Available at: </w:t>
      </w:r>
      <w:r>
        <w:rPr/>
        <w:fldChar w:fldCharType="begin"/>
      </w:r>
      <w:r>
        <w:instrText xml:space="preserve"> HYPERLINK "https://doi.org/10.1016/j.vaccine.2022.05.002" \t "_new" </w:instrText>
      </w:r>
      <w:r>
        <w:rPr/>
        <w:fldChar w:fldCharType="separate"/>
      </w:r>
      <w:r>
        <w:rPr>
          <w:rStyle w:val="style85"/>
          <w:rFonts w:ascii="Arial" w:cs="Arial" w:hAnsi="Arial"/>
        </w:rPr>
        <w:t>https://doi.org/10.1016/j.vaccine.2022.05.002</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Yoo, K.J., Kwon, S., Choi, Y. and Bishai, D.M. (2021) ‘Systematic assessment of South Korea’s capabilities to control COVID-19’, </w:t>
      </w:r>
      <w:r>
        <w:rPr>
          <w:rFonts w:ascii="Arial" w:cs="Arial" w:hAnsi="Arial"/>
          <w:i/>
          <w:iCs/>
        </w:rPr>
        <w:t>Health Policy</w:t>
      </w:r>
      <w:r>
        <w:rPr>
          <w:rFonts w:ascii="Arial" w:cs="Arial" w:hAnsi="Arial"/>
        </w:rPr>
        <w:t xml:space="preserve">, 125(5). Available at: </w:t>
      </w:r>
      <w:r>
        <w:rPr/>
        <w:fldChar w:fldCharType="begin"/>
      </w:r>
      <w:r>
        <w:instrText xml:space="preserve"> HYPERLINK "https://doi.org/10.1016/j.healthpol.2021.02.011" \t "_new" </w:instrText>
      </w:r>
      <w:r>
        <w:rPr/>
        <w:fldChar w:fldCharType="separate"/>
      </w:r>
      <w:r>
        <w:rPr>
          <w:rStyle w:val="style85"/>
          <w:rFonts w:ascii="Arial" w:cs="Arial" w:hAnsi="Arial"/>
        </w:rPr>
        <w:t>https://doi.org/10.1016/j.healthpol.2021.02.011</w:t>
      </w:r>
      <w:r>
        <w:rPr/>
        <w:fldChar w:fldCharType="end"/>
      </w:r>
      <w:r>
        <w:rPr>
          <w:rFonts w:ascii="Arial" w:cs="Arial" w:hAnsi="Arial"/>
        </w:rPr>
        <w:t>.</w:t>
      </w:r>
    </w:p>
    <w:p>
      <w:pPr>
        <w:pStyle w:val="style94"/>
        <w:spacing w:before="160" w:beforeAutospacing="false" w:after="160" w:afterAutospacing="false" w:lineRule="auto" w:line="360"/>
        <w:rPr>
          <w:rFonts w:ascii="Arial" w:cs="Arial" w:hAnsi="Arial"/>
        </w:rPr>
      </w:pPr>
      <w:r>
        <w:rPr>
          <w:rFonts w:ascii="Arial" w:cs="Arial" w:hAnsi="Arial"/>
        </w:rPr>
        <w:t xml:space="preserve">Yoon, J.H., Kwon, I.H. and Park, H.W. (2024) ‘The South Korean health-care system in crisis’, </w:t>
      </w:r>
      <w:r>
        <w:rPr>
          <w:rFonts w:ascii="Arial" w:cs="Arial" w:hAnsi="Arial"/>
          <w:i/>
          <w:iCs/>
        </w:rPr>
        <w:t>The Lancet</w:t>
      </w:r>
      <w:r>
        <w:rPr>
          <w:rFonts w:ascii="Arial" w:cs="Arial" w:hAnsi="Arial"/>
        </w:rPr>
        <w:t xml:space="preserve">, 403(10444), pp. 2589–2589. Available at: </w:t>
      </w:r>
      <w:r>
        <w:rPr/>
        <w:fldChar w:fldCharType="begin"/>
      </w:r>
      <w:r>
        <w:instrText xml:space="preserve"> HYPERLINK "https://doi.org/10.1016/s0140-6736(24)00766-9" \t "_new" </w:instrText>
      </w:r>
      <w:r>
        <w:rPr/>
        <w:fldChar w:fldCharType="separate"/>
      </w:r>
      <w:r>
        <w:rPr>
          <w:rStyle w:val="style85"/>
          <w:rFonts w:ascii="Arial" w:cs="Arial" w:hAnsi="Arial"/>
        </w:rPr>
        <w:t>https://doi.org/10.1016/s0140-6736(24)00766-9</w:t>
      </w:r>
      <w:r>
        <w:rPr/>
        <w:fldChar w:fldCharType="end"/>
      </w:r>
      <w:r>
        <w:rPr>
          <w:rFonts w:ascii="Arial" w:cs="Arial" w:hAnsi="Arial"/>
        </w:rPr>
        <w:t>.</w:t>
      </w:r>
    </w:p>
    <w:sectPr>
      <w:footerReference w:type="default" r:id="rId8"/>
      <w:pgSz w:w="11906" w:h="16838" w:orient="portrait" w:code="9"/>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ptos"/>
    <w:panose1 w:val="00000000000000000000"/>
    <w:charset w:val="00"/>
    <w:family w:val="swiss"/>
    <w:pitch w:val="variable"/>
    <w:sig w:usb0="20000287" w:usb1="00000003" w:usb2="00000000" w:usb3="00000000" w:csb0="0000019F" w:csb1="00000000"/>
  </w:font>
  <w:font w:name="DengXian">
    <w:altName w:val="等线"/>
    <w:panose1 w:val="02010600030000010101"/>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Arial">
    <w:altName w:val="Arial"/>
    <w:panose1 w:val="020b0604020000020204"/>
    <w:charset w:val="00"/>
    <w:family w:val="swiss"/>
    <w:pitch w:val="variable"/>
    <w:sig w:usb0="E0002EFF" w:usb1="C000785B" w:usb2="00000009" w:usb3="00000000" w:csb0="000001FF" w:csb1="00000000"/>
  </w:font>
  <w:font w:name="DengXian Light">
    <w:altName w:val="等线 Light"/>
    <w:panose1 w:val="00000000000000000000"/>
    <w:charset w:val="86"/>
    <w:family w:val="auto"/>
    <w:pitch w:val="variable"/>
    <w:sig w:usb0="A00002BF" w:usb1="38CF7CFA" w:usb2="00000016" w:usb3="00000000" w:csb0="0004000F" w:csb1="00000000"/>
  </w:font>
  <w:font w:name="Aptos Display">
    <w:altName w:val="Aptos Display"/>
    <w:panose1 w:val="00000000000000000000"/>
    <w:charset w:val="00"/>
    <w:family w:val="swiss"/>
    <w:pitch w:val="variable"/>
    <w:sig w:usb0="20000287" w:usb1="00000003" w:usb2="00000000" w:usb3="00000000" w:csb0="0000019F" w:csb1="00000000"/>
  </w:font>
  <w:font w:name="Times New Roman">
    <w:altName w:val="Times New Roman"/>
    <w:panose1 w:val="02020603050000020304"/>
    <w:charset w:val="00"/>
    <w:family w:val="roman"/>
    <w:pitch w:val="variable"/>
    <w:sig w:usb0="E0002EFF" w:usb1="C000785B" w:usb2="00000009" w:usb3="00000000" w:csb0="000001FF" w:csb1="00000000"/>
  </w:font>
  <w:font w:name="等线">
    <w:altName w:val="等线"/>
    <w:panose1 w:val="00000000000000000000"/>
    <w:charset w:val="00"/>
    <w:family w:val="auto"/>
    <w:pitch w:val="default"/>
    <w:sig w:usb0="E0002AFF" w:usb1="C0007841" w:usb2="00000009" w:usb3="00000000" w:csb0="000001FF" w:csb1="00000000"/>
  </w:font>
  <w:font w:name="等线 Light">
    <w:altName w:val="等线 Light"/>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EBA3C40"/>
    <w:lvl w:ilvl="0">
      <w:start w:val="1"/>
      <w:numFmt w:val="decimal"/>
      <w:pStyle w:val="style1"/>
      <w:lvlText w:val="%1"/>
      <w:lvlJc w:val="left"/>
      <w:pPr>
        <w:ind w:left="432" w:hanging="432"/>
      </w:pPr>
    </w:lvl>
    <w:lvl w:ilvl="1">
      <w:start w:val="1"/>
      <w:numFmt w:val="decimal"/>
      <w:pStyle w:val="style2"/>
      <w:lvlText w:val="%1.%2"/>
      <w:lvlJc w:val="left"/>
      <w:pPr>
        <w:ind w:left="576" w:hanging="576"/>
      </w:pPr>
    </w:lvl>
    <w:lvl w:ilvl="2">
      <w:start w:val="1"/>
      <w:numFmt w:val="decimal"/>
      <w:pStyle w:val="style3"/>
      <w:lvlText w:val="%1.%2.%3"/>
      <w:lvlJc w:val="left"/>
      <w:pPr>
        <w:ind w:left="720" w:hanging="720"/>
      </w:pPr>
    </w:lvl>
    <w:lvl w:ilvl="3">
      <w:start w:val="1"/>
      <w:numFmt w:val="decimal"/>
      <w:pStyle w:val="style4"/>
      <w:lvlText w:val="%1.%2.%3.%4"/>
      <w:lvlJc w:val="left"/>
      <w:pPr>
        <w:ind w:left="864" w:hanging="864"/>
      </w:pPr>
    </w:lvl>
    <w:lvl w:ilvl="4">
      <w:start w:val="1"/>
      <w:numFmt w:val="decimal"/>
      <w:pStyle w:val="style5"/>
      <w:lvlText w:val="%1.%2.%3.%4.%5"/>
      <w:lvlJc w:val="left"/>
      <w:pPr>
        <w:ind w:left="1008" w:hanging="1008"/>
      </w:pPr>
    </w:lvl>
    <w:lvl w:ilvl="5">
      <w:start w:val="1"/>
      <w:numFmt w:val="decimal"/>
      <w:pStyle w:val="style6"/>
      <w:lvlText w:val="%1.%2.%3.%4.%5.%6"/>
      <w:lvlJc w:val="left"/>
      <w:pPr>
        <w:ind w:left="1152" w:hanging="1152"/>
      </w:pPr>
    </w:lvl>
    <w:lvl w:ilvl="6">
      <w:start w:val="1"/>
      <w:numFmt w:val="decimal"/>
      <w:pStyle w:val="style7"/>
      <w:lvlText w:val="%1.%2.%3.%4.%5.%6.%7"/>
      <w:lvlJc w:val="left"/>
      <w:pPr>
        <w:ind w:left="1296" w:hanging="1296"/>
      </w:pPr>
    </w:lvl>
    <w:lvl w:ilvl="7">
      <w:start w:val="1"/>
      <w:numFmt w:val="decimal"/>
      <w:pStyle w:val="style8"/>
      <w:lvlText w:val="%1.%2.%3.%4.%5.%6.%7.%8"/>
      <w:lvlJc w:val="left"/>
      <w:pPr>
        <w:ind w:left="1440" w:hanging="1440"/>
      </w:pPr>
    </w:lvl>
    <w:lvl w:ilvl="8">
      <w:start w:val="1"/>
      <w:numFmt w:val="decimal"/>
      <w:pStyle w:val="style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9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Vrinda" w:eastAsia="等线" w:hAnsi="Aptos"/>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Arial" w:hAnsi="Arial"/>
    </w:rPr>
  </w:style>
  <w:style w:type="paragraph" w:styleId="style1">
    <w:name w:val="heading 1"/>
    <w:basedOn w:val="style0"/>
    <w:next w:val="style0"/>
    <w:link w:val="style4097"/>
    <w:qFormat/>
    <w:uiPriority w:val="9"/>
    <w:pPr>
      <w:keepNext/>
      <w:keepLines/>
      <w:numPr>
        <w:ilvl w:val="0"/>
        <w:numId w:val="1"/>
      </w:numPr>
      <w:pBdr>
        <w:bottom w:val="single" w:sz="4" w:space="1" w:color="595959"/>
      </w:pBdr>
      <w:spacing w:before="360"/>
      <w:outlineLvl w:val="0"/>
    </w:pPr>
    <w:rPr>
      <w:rFonts w:cs="Vrinda" w:eastAsia="等线 Light"/>
      <w:b/>
      <w:bCs/>
      <w:color w:val="002060"/>
      <w:sz w:val="30"/>
      <w:szCs w:val="36"/>
    </w:rPr>
  </w:style>
  <w:style w:type="paragraph" w:styleId="style2">
    <w:name w:val="heading 2"/>
    <w:basedOn w:val="style0"/>
    <w:next w:val="style0"/>
    <w:link w:val="style4098"/>
    <w:qFormat/>
    <w:uiPriority w:val="9"/>
    <w:pPr>
      <w:keepNext/>
      <w:keepLines/>
      <w:numPr>
        <w:ilvl w:val="1"/>
        <w:numId w:val="1"/>
      </w:numPr>
      <w:spacing w:before="120" w:after="120"/>
      <w:outlineLvl w:val="1"/>
    </w:pPr>
    <w:rPr>
      <w:rFonts w:cs="Vrinda" w:eastAsia="等线 Light"/>
      <w:b/>
      <w:bCs/>
      <w:color w:val="002060"/>
      <w:sz w:val="26"/>
      <w:szCs w:val="28"/>
    </w:rPr>
  </w:style>
  <w:style w:type="paragraph" w:styleId="style3">
    <w:name w:val="heading 3"/>
    <w:basedOn w:val="style0"/>
    <w:next w:val="style0"/>
    <w:link w:val="style4099"/>
    <w:qFormat/>
    <w:uiPriority w:val="9"/>
    <w:pPr>
      <w:keepNext/>
      <w:keepLines/>
      <w:numPr>
        <w:ilvl w:val="2"/>
        <w:numId w:val="1"/>
      </w:numPr>
      <w:spacing w:before="200" w:after="0"/>
      <w:outlineLvl w:val="2"/>
    </w:pPr>
    <w:rPr>
      <w:rFonts w:ascii="Aptos Display" w:cs="Vrinda" w:eastAsia="等线 Light" w:hAnsi="Aptos Display"/>
      <w:b/>
      <w:bCs/>
      <w:color w:val="000000"/>
    </w:rPr>
  </w:style>
  <w:style w:type="paragraph" w:styleId="style4">
    <w:name w:val="heading 4"/>
    <w:basedOn w:val="style0"/>
    <w:next w:val="style0"/>
    <w:link w:val="style4100"/>
    <w:qFormat/>
    <w:uiPriority w:val="9"/>
    <w:pPr>
      <w:keepNext/>
      <w:keepLines/>
      <w:numPr>
        <w:ilvl w:val="3"/>
        <w:numId w:val="1"/>
      </w:numPr>
      <w:spacing w:before="200" w:after="0"/>
      <w:outlineLvl w:val="3"/>
    </w:pPr>
    <w:rPr>
      <w:rFonts w:ascii="Aptos Display" w:cs="Vrinda" w:eastAsia="等线 Light" w:hAnsi="Aptos Display"/>
      <w:b/>
      <w:bCs/>
      <w:i/>
      <w:iCs/>
      <w:color w:val="000000"/>
    </w:rPr>
  </w:style>
  <w:style w:type="paragraph" w:styleId="style5">
    <w:name w:val="heading 5"/>
    <w:basedOn w:val="style0"/>
    <w:next w:val="style0"/>
    <w:link w:val="style4101"/>
    <w:qFormat/>
    <w:uiPriority w:val="9"/>
    <w:pPr>
      <w:keepNext/>
      <w:keepLines/>
      <w:numPr>
        <w:ilvl w:val="4"/>
        <w:numId w:val="1"/>
      </w:numPr>
      <w:spacing w:before="200" w:after="0"/>
      <w:outlineLvl w:val="4"/>
    </w:pPr>
    <w:rPr>
      <w:rFonts w:ascii="Aptos Display" w:cs="Vrinda" w:eastAsia="等线 Light" w:hAnsi="Aptos Display"/>
      <w:color w:val="0a1d30"/>
    </w:rPr>
  </w:style>
  <w:style w:type="paragraph" w:styleId="style6">
    <w:name w:val="heading 6"/>
    <w:basedOn w:val="style0"/>
    <w:next w:val="style0"/>
    <w:link w:val="style4102"/>
    <w:qFormat/>
    <w:uiPriority w:val="9"/>
    <w:pPr>
      <w:keepNext/>
      <w:keepLines/>
      <w:numPr>
        <w:ilvl w:val="5"/>
        <w:numId w:val="1"/>
      </w:numPr>
      <w:spacing w:before="200" w:after="0"/>
      <w:outlineLvl w:val="5"/>
    </w:pPr>
    <w:rPr>
      <w:rFonts w:ascii="Aptos Display" w:cs="Vrinda" w:eastAsia="等线 Light" w:hAnsi="Aptos Display"/>
      <w:i/>
      <w:iCs/>
      <w:color w:val="0a1d30"/>
    </w:rPr>
  </w:style>
  <w:style w:type="paragraph" w:styleId="style7">
    <w:name w:val="heading 7"/>
    <w:basedOn w:val="style0"/>
    <w:next w:val="style0"/>
    <w:link w:val="style4103"/>
    <w:qFormat/>
    <w:uiPriority w:val="9"/>
    <w:pPr>
      <w:keepNext/>
      <w:keepLines/>
      <w:numPr>
        <w:ilvl w:val="6"/>
        <w:numId w:val="1"/>
      </w:numPr>
      <w:spacing w:before="200" w:after="0"/>
      <w:outlineLvl w:val="6"/>
    </w:pPr>
    <w:rPr>
      <w:rFonts w:ascii="Aptos Display" w:cs="Vrinda" w:eastAsia="等线 Light" w:hAnsi="Aptos Display"/>
      <w:i/>
      <w:iCs/>
      <w:color w:val="404040"/>
    </w:rPr>
  </w:style>
  <w:style w:type="paragraph" w:styleId="style8">
    <w:name w:val="heading 8"/>
    <w:basedOn w:val="style0"/>
    <w:next w:val="style0"/>
    <w:link w:val="style4104"/>
    <w:qFormat/>
    <w:uiPriority w:val="9"/>
    <w:pPr>
      <w:keepNext/>
      <w:keepLines/>
      <w:numPr>
        <w:ilvl w:val="7"/>
        <w:numId w:val="1"/>
      </w:numPr>
      <w:spacing w:before="200" w:after="0"/>
      <w:outlineLvl w:val="7"/>
    </w:pPr>
    <w:rPr>
      <w:rFonts w:ascii="Aptos Display" w:cs="Vrinda" w:eastAsia="等线 Light" w:hAnsi="Aptos Display"/>
      <w:color w:val="404040"/>
      <w:sz w:val="20"/>
      <w:szCs w:val="20"/>
    </w:rPr>
  </w:style>
  <w:style w:type="paragraph" w:styleId="style9">
    <w:name w:val="heading 9"/>
    <w:basedOn w:val="style0"/>
    <w:next w:val="style0"/>
    <w:link w:val="style4105"/>
    <w:qFormat/>
    <w:uiPriority w:val="9"/>
    <w:pPr>
      <w:keepNext/>
      <w:keepLines/>
      <w:numPr>
        <w:ilvl w:val="8"/>
        <w:numId w:val="1"/>
      </w:numPr>
      <w:spacing w:before="200" w:after="0"/>
      <w:outlineLvl w:val="8"/>
    </w:pPr>
    <w:rPr>
      <w:rFonts w:ascii="Aptos Display" w:cs="Vrinda" w:eastAsia="等线 Light" w:hAnsi="Aptos Display"/>
      <w:i/>
      <w:iCs/>
      <w:color w:val="404040"/>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4153c56-2b4b-4082-b911-42ef61fc2899"/>
    <w:basedOn w:val="style65"/>
    <w:next w:val="style4097"/>
    <w:link w:val="style1"/>
    <w:uiPriority w:val="9"/>
    <w:rPr>
      <w:rFonts w:ascii="Arial" w:cs="Vrinda" w:eastAsia="等线 Light" w:hAnsi="Arial"/>
      <w:b/>
      <w:bCs/>
      <w:color w:val="002060"/>
      <w:sz w:val="30"/>
      <w:szCs w:val="36"/>
    </w:rPr>
  </w:style>
  <w:style w:type="character" w:customStyle="1" w:styleId="style4098">
    <w:name w:val="Heading 2 Char_a3bdd007-ff32-47e7-b341-2a0925f4f99f"/>
    <w:basedOn w:val="style65"/>
    <w:next w:val="style4098"/>
    <w:link w:val="style2"/>
    <w:uiPriority w:val="9"/>
    <w:rPr>
      <w:rFonts w:ascii="Arial" w:cs="Vrinda" w:eastAsia="等线 Light" w:hAnsi="Arial"/>
      <w:b/>
      <w:bCs/>
      <w:color w:val="002060"/>
      <w:sz w:val="26"/>
      <w:szCs w:val="28"/>
    </w:rPr>
  </w:style>
  <w:style w:type="character" w:customStyle="1" w:styleId="style4099">
    <w:name w:val="Heading 3 Char_079b9a90-91d3-4e20-9c51-f7f831ac4f3c"/>
    <w:basedOn w:val="style65"/>
    <w:next w:val="style4099"/>
    <w:link w:val="style3"/>
    <w:uiPriority w:val="9"/>
    <w:rPr>
      <w:rFonts w:ascii="Aptos Display" w:cs="Vrinda" w:eastAsia="等线 Light" w:hAnsi="Aptos Display"/>
      <w:b/>
      <w:bCs/>
      <w:color w:val="000000"/>
    </w:rPr>
  </w:style>
  <w:style w:type="character" w:customStyle="1" w:styleId="style4100">
    <w:name w:val="Heading 4 Char_e97fef71-7811-4657-a0c3-002c8b21121f"/>
    <w:basedOn w:val="style65"/>
    <w:next w:val="style4100"/>
    <w:link w:val="style4"/>
    <w:uiPriority w:val="9"/>
    <w:rPr>
      <w:rFonts w:ascii="Aptos Display" w:cs="Vrinda" w:eastAsia="等线 Light" w:hAnsi="Aptos Display"/>
      <w:b/>
      <w:bCs/>
      <w:i/>
      <w:iCs/>
      <w:color w:val="000000"/>
    </w:rPr>
  </w:style>
  <w:style w:type="character" w:customStyle="1" w:styleId="style4101">
    <w:name w:val="Heading 5 Char_d5338f86-3dd9-4c37-a6f4-a7ab4de22883"/>
    <w:basedOn w:val="style65"/>
    <w:next w:val="style4101"/>
    <w:link w:val="style5"/>
    <w:uiPriority w:val="9"/>
    <w:rPr>
      <w:rFonts w:ascii="Aptos Display" w:cs="Vrinda" w:eastAsia="等线 Light" w:hAnsi="Aptos Display"/>
      <w:color w:val="0a1d30"/>
    </w:rPr>
  </w:style>
  <w:style w:type="character" w:customStyle="1" w:styleId="style4102">
    <w:name w:val="Heading 6 Char_ee47b717-d725-4f63-b715-cac0ad340920"/>
    <w:basedOn w:val="style65"/>
    <w:next w:val="style4102"/>
    <w:link w:val="style6"/>
    <w:uiPriority w:val="9"/>
    <w:rPr>
      <w:rFonts w:ascii="Aptos Display" w:cs="Vrinda" w:eastAsia="等线 Light" w:hAnsi="Aptos Display"/>
      <w:i/>
      <w:iCs/>
      <w:color w:val="0a1d30"/>
    </w:rPr>
  </w:style>
  <w:style w:type="character" w:customStyle="1" w:styleId="style4103">
    <w:name w:val="Heading 7 Char_4194a730-8216-4a89-a181-d45577023648"/>
    <w:basedOn w:val="style65"/>
    <w:next w:val="style4103"/>
    <w:link w:val="style7"/>
    <w:uiPriority w:val="9"/>
    <w:rPr>
      <w:rFonts w:ascii="Aptos Display" w:cs="Vrinda" w:eastAsia="等线 Light" w:hAnsi="Aptos Display"/>
      <w:i/>
      <w:iCs/>
      <w:color w:val="404040"/>
    </w:rPr>
  </w:style>
  <w:style w:type="character" w:customStyle="1" w:styleId="style4104">
    <w:name w:val="Heading 8 Char_ab28b622-1212-4f7b-9144-abc86872b258"/>
    <w:basedOn w:val="style65"/>
    <w:next w:val="style4104"/>
    <w:link w:val="style8"/>
    <w:uiPriority w:val="9"/>
    <w:rPr>
      <w:rFonts w:ascii="Aptos Display" w:cs="Vrinda" w:eastAsia="等线 Light" w:hAnsi="Aptos Display"/>
      <w:color w:val="404040"/>
      <w:sz w:val="20"/>
      <w:szCs w:val="20"/>
    </w:rPr>
  </w:style>
  <w:style w:type="character" w:customStyle="1" w:styleId="style4105">
    <w:name w:val="Heading 9 Char_304d1ceb-a2a8-410c-ad8a-545d8f4ddf59"/>
    <w:basedOn w:val="style65"/>
    <w:next w:val="style4105"/>
    <w:link w:val="style9"/>
    <w:uiPriority w:val="9"/>
    <w:rPr>
      <w:rFonts w:ascii="Aptos Display" w:cs="Vrinda" w:eastAsia="等线 Light" w:hAnsi="Aptos Display"/>
      <w:i/>
      <w:iCs/>
      <w:color w:val="404040"/>
      <w:sz w:val="20"/>
      <w:szCs w:val="20"/>
    </w:rPr>
  </w:style>
  <w:style w:type="paragraph" w:styleId="style62">
    <w:name w:val="Title"/>
    <w:basedOn w:val="style0"/>
    <w:next w:val="style0"/>
    <w:link w:val="style4106"/>
    <w:qFormat/>
    <w:uiPriority w:val="10"/>
    <w:pPr>
      <w:spacing w:after="0" w:lineRule="auto" w:line="240"/>
      <w:contextualSpacing/>
    </w:pPr>
    <w:rPr>
      <w:rFonts w:ascii="Aptos Display" w:cs="Vrinda" w:eastAsia="等线 Light" w:hAnsi="Aptos Display"/>
      <w:color w:val="000000"/>
      <w:sz w:val="56"/>
      <w:szCs w:val="56"/>
    </w:rPr>
  </w:style>
  <w:style w:type="character" w:customStyle="1" w:styleId="style4106">
    <w:name w:val="Title Char_e482878f-41a0-47f6-95ac-2ce72da154e2"/>
    <w:basedOn w:val="style65"/>
    <w:next w:val="style4106"/>
    <w:link w:val="style62"/>
    <w:uiPriority w:val="10"/>
    <w:rPr>
      <w:rFonts w:ascii="Aptos Display" w:cs="Vrinda" w:eastAsia="等线 Light" w:hAnsi="Aptos Display"/>
      <w:color w:val="000000"/>
      <w:sz w:val="56"/>
      <w:szCs w:val="56"/>
    </w:rPr>
  </w:style>
  <w:style w:type="paragraph" w:styleId="style74">
    <w:name w:val="Subtitle"/>
    <w:basedOn w:val="style0"/>
    <w:next w:val="style0"/>
    <w:link w:val="style4107"/>
    <w:qFormat/>
    <w:uiPriority w:val="11"/>
    <w:pPr>
      <w:numPr>
        <w:ilvl w:val="1"/>
        <w:numId w:val="0"/>
      </w:numPr>
    </w:pPr>
    <w:rPr>
      <w:color w:val="5a5a5a"/>
      <w:spacing w:val="10"/>
    </w:rPr>
  </w:style>
  <w:style w:type="character" w:customStyle="1" w:styleId="style4107">
    <w:name w:val="Subtitle Char"/>
    <w:basedOn w:val="style65"/>
    <w:next w:val="style4107"/>
    <w:link w:val="style74"/>
    <w:uiPriority w:val="11"/>
    <w:rPr>
      <w:color w:val="5a5a5a"/>
      <w:spacing w:val="10"/>
    </w:rPr>
  </w:style>
  <w:style w:type="paragraph" w:styleId="style180">
    <w:name w:val="Quote"/>
    <w:basedOn w:val="style0"/>
    <w:next w:val="style0"/>
    <w:link w:val="style4108"/>
    <w:qFormat/>
    <w:uiPriority w:val="29"/>
    <w:pPr>
      <w:spacing w:before="160"/>
      <w:ind w:left="720" w:right="720"/>
    </w:pPr>
    <w:rPr>
      <w:i/>
      <w:iCs/>
      <w:color w:val="000000"/>
    </w:rPr>
  </w:style>
  <w:style w:type="character" w:customStyle="1" w:styleId="style4108">
    <w:name w:val="Quote Char_c45f6157-a359-4ca7-9d3d-02c1831e10e9"/>
    <w:basedOn w:val="style65"/>
    <w:next w:val="style4108"/>
    <w:link w:val="style180"/>
    <w:uiPriority w:val="29"/>
    <w:rPr>
      <w:i/>
      <w:iCs/>
      <w:color w:val="00000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b/>
      <w:bCs/>
      <w:i/>
      <w:iCs/>
      <w:caps/>
    </w:rPr>
  </w:style>
  <w:style w:type="paragraph" w:styleId="style181">
    <w:name w:val="Intense Quote"/>
    <w:basedOn w:val="style0"/>
    <w:next w:val="style0"/>
    <w:link w:val="style4109"/>
    <w:qFormat/>
    <w:uiPriority w:val="30"/>
    <w:pPr>
      <w:pBdr>
        <w:top w:val="single" w:sz="24" w:space="1" w:color="f2f2f2"/>
        <w:bottom w:val="single" w:sz="24" w:space="1" w:color="f2f2f2"/>
      </w:pBdr>
      <w:shd w:val="clear" w:color="auto" w:fill="f2f2f2"/>
      <w:spacing w:before="240" w:after="240"/>
      <w:ind w:left="936" w:right="936"/>
      <w:jc w:val="center"/>
    </w:pPr>
    <w:rPr>
      <w:color w:val="000000"/>
    </w:rPr>
  </w:style>
  <w:style w:type="character" w:customStyle="1" w:styleId="style4109">
    <w:name w:val="Intense Quote Char_d84743ff-f86b-4375-b6a5-55883be7c641"/>
    <w:basedOn w:val="style65"/>
    <w:next w:val="style4109"/>
    <w:link w:val="style181"/>
    <w:uiPriority w:val="30"/>
    <w:rPr>
      <w:color w:val="000000"/>
      <w:shd w:val="clear" w:color="auto" w:fill="f2f2f2"/>
    </w:rPr>
  </w:style>
  <w:style w:type="character" w:styleId="style263">
    <w:name w:val="Intense Reference"/>
    <w:basedOn w:val="style65"/>
    <w:next w:val="style263"/>
    <w:qFormat/>
    <w:uiPriority w:val="32"/>
    <w:rPr>
      <w:b/>
      <w:bCs/>
      <w:smallCaps/>
      <w:u w:val="single"/>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467886"/>
      <w:u w:val="single"/>
    </w:rPr>
  </w:style>
  <w:style w:type="paragraph" w:styleId="style31">
    <w:name w:val="header"/>
    <w:basedOn w:val="style0"/>
    <w:next w:val="style31"/>
    <w:link w:val="style4110"/>
    <w:uiPriority w:val="99"/>
    <w:pPr>
      <w:tabs>
        <w:tab w:val="center" w:leader="none" w:pos="4680"/>
        <w:tab w:val="right" w:leader="none" w:pos="9360"/>
      </w:tabs>
      <w:spacing w:after="0" w:lineRule="auto" w:line="240"/>
    </w:pPr>
    <w:rPr/>
  </w:style>
  <w:style w:type="character" w:customStyle="1" w:styleId="style4110">
    <w:name w:val="Header Char_06a80a3b-7ad0-473a-911a-977a46f0edd0"/>
    <w:basedOn w:val="style65"/>
    <w:next w:val="style4110"/>
    <w:link w:val="style31"/>
    <w:uiPriority w:val="99"/>
  </w:style>
  <w:style w:type="paragraph" w:styleId="style32">
    <w:name w:val="footer"/>
    <w:basedOn w:val="style0"/>
    <w:next w:val="style32"/>
    <w:link w:val="style4111"/>
    <w:uiPriority w:val="99"/>
    <w:pPr>
      <w:tabs>
        <w:tab w:val="center" w:leader="none" w:pos="4680"/>
        <w:tab w:val="right" w:leader="none" w:pos="9360"/>
      </w:tabs>
      <w:spacing w:after="0" w:lineRule="auto" w:line="240"/>
    </w:pPr>
    <w:rPr/>
  </w:style>
  <w:style w:type="character" w:customStyle="1" w:styleId="style4111">
    <w:name w:val="Footer Char_62f242e3-4871-4535-874b-92fc5ad8e423"/>
    <w:basedOn w:val="style65"/>
    <w:next w:val="style4111"/>
    <w:link w:val="style32"/>
    <w:uiPriority w:val="99"/>
  </w:style>
  <w:style w:type="paragraph" w:styleId="style34">
    <w:name w:val="caption"/>
    <w:basedOn w:val="style0"/>
    <w:next w:val="style0"/>
    <w:qFormat/>
    <w:uiPriority w:val="35"/>
    <w:pPr>
      <w:spacing w:after="200" w:lineRule="auto" w:line="240"/>
    </w:pPr>
    <w:rPr>
      <w:i/>
      <w:iCs/>
      <w:color w:val="0e2841"/>
      <w:sz w:val="18"/>
      <w:szCs w:val="18"/>
    </w:rPr>
  </w:style>
  <w:style w:type="character" w:styleId="style87">
    <w:name w:val="Strong"/>
    <w:basedOn w:val="style65"/>
    <w:next w:val="style87"/>
    <w:qFormat/>
    <w:uiPriority w:val="22"/>
    <w:rPr>
      <w:b/>
      <w:bCs/>
      <w:color w:val="000000"/>
    </w:rPr>
  </w:style>
  <w:style w:type="character" w:styleId="style88">
    <w:name w:val="Emphasis"/>
    <w:basedOn w:val="style65"/>
    <w:next w:val="style88"/>
    <w:qFormat/>
    <w:uiPriority w:val="20"/>
    <w:rPr>
      <w:i/>
      <w:iCs/>
      <w:color w:val="auto"/>
    </w:rPr>
  </w:style>
  <w:style w:type="paragraph" w:styleId="style157">
    <w:name w:val="No Spacing"/>
    <w:next w:val="style157"/>
    <w:qFormat/>
    <w:uiPriority w:val="1"/>
    <w:pPr>
      <w:spacing w:after="0" w:lineRule="auto" w:line="360"/>
      <w:jc w:val="center"/>
    </w:pPr>
    <w:rPr>
      <w:rFonts w:ascii="Arial" w:hAnsi="Arial"/>
      <w:i/>
    </w:rPr>
  </w:style>
  <w:style w:type="character" w:styleId="style260">
    <w:name w:val="Subtle Emphasis"/>
    <w:basedOn w:val="style65"/>
    <w:next w:val="style260"/>
    <w:qFormat/>
    <w:uiPriority w:val="19"/>
    <w:rPr>
      <w:i/>
      <w:iCs/>
      <w:color w:val="404040"/>
    </w:rPr>
  </w:style>
  <w:style w:type="character" w:styleId="style262">
    <w:name w:val="Subtle Reference"/>
    <w:basedOn w:val="style65"/>
    <w:next w:val="style262"/>
    <w:qFormat/>
    <w:uiPriority w:val="31"/>
    <w:rPr>
      <w:smallCaps/>
      <w:color w:val="404040"/>
      <w:u w:val="single" w:color="7f7f7f"/>
    </w:rPr>
  </w:style>
  <w:style w:type="character" w:styleId="style264">
    <w:name w:val="Book Title"/>
    <w:basedOn w:val="style65"/>
    <w:next w:val="style264"/>
    <w:qFormat/>
    <w:uiPriority w:val="33"/>
    <w:rPr>
      <w:b w:val="false"/>
      <w:bCs w:val="false"/>
      <w:smallCaps/>
      <w:spacing w:val="5"/>
    </w:rPr>
  </w:style>
  <w:style w:type="paragraph" w:styleId="style94">
    <w:name w:val="Normal (Web)"/>
    <w:basedOn w:val="style0"/>
    <w:next w:val="style94"/>
    <w:uiPriority w:val="99"/>
    <w:pPr>
      <w:spacing w:before="100" w:beforeAutospacing="true" w:after="100" w:afterAutospacing="true" w:lineRule="auto" w:line="240"/>
      <w:jc w:val="left"/>
    </w:pPr>
    <w:rPr>
      <w:rFonts w:ascii="Times New Roman" w:cs="Times New Roman" w:eastAsia="Times New Roman" w:hAnsi="Times New Roman"/>
      <w:sz w:val="24"/>
      <w:szCs w:val="24"/>
      <w:lang w:bidi="bn-IN" w:eastAsia="zh-CN"/>
    </w:rPr>
  </w:style>
  <w:style w:type="character" w:customStyle="1" w:styleId="style4112">
    <w:name w:val="Unresolved Mention"/>
    <w:basedOn w:val="style65"/>
    <w:next w:val="style4112"/>
    <w:uiPriority w:val="99"/>
    <w:rPr>
      <w:color w:val="605e5c"/>
      <w:shd w:val="clear" w:color="auto" w:fill="e1dfdd"/>
    </w:rPr>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9" Type="http://schemas.openxmlformats.org/officeDocument/2006/relationships/styles" Target="styles.xml"/><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image" Target="media/image3.jpe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AF9A2-6438-4ED4-94E9-3F44176AD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6852</Words>
  <Pages>24</Pages>
  <Characters>43129</Characters>
  <Application>WPS Office</Application>
  <DocSecurity>0</DocSecurity>
  <Paragraphs>173</Paragraphs>
  <ScaleCrop>false</ScaleCrop>
  <LinksUpToDate>false</LinksUpToDate>
  <CharactersWithSpaces>49822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2026-03-05T15:07:48Z</dcterms:created>
  <dc:creator>WPS Office</dc:creator>
  <lastModifiedBy>CPH2381</lastModifiedBy>
  <dcterms:modified xsi:type="dcterms:W3CDTF">2026-03-05T15:07:48Z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671bb931-4e89-4035-b0e2-82f68b2127b5</vt:lpwstr>
  </property>
  <property fmtid="{D5CDD505-2E9C-101B-9397-08002B2CF9AE}" pid="3" name="ICV">
    <vt:lpwstr>63b6ca9c940b43119e72abebf88e0302</vt:lpwstr>
  </property>
</Properties>
</file>