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E3C41" w14:textId="77777777" w:rsidR="00936023" w:rsidRDefault="00936023" w:rsidP="00B91CA3">
      <w:pPr>
        <w:jc w:val="center"/>
        <w:rPr>
          <w:rFonts w:ascii="Arial" w:hAnsi="Arial" w:cs="Arial"/>
          <w:b/>
          <w:bCs/>
        </w:rPr>
      </w:pPr>
    </w:p>
    <w:p w14:paraId="7DF99C6B" w14:textId="3E400BB7" w:rsidR="005C3D5E" w:rsidRPr="003C3279" w:rsidRDefault="00C85573" w:rsidP="00B91CA3">
      <w:pPr>
        <w:jc w:val="center"/>
        <w:rPr>
          <w:rFonts w:ascii="Arial" w:hAnsi="Arial" w:cs="Arial"/>
          <w:b/>
          <w:bCs/>
        </w:rPr>
      </w:pPr>
      <w:r w:rsidRPr="003C3279">
        <w:rPr>
          <w:rFonts w:ascii="Arial" w:hAnsi="Arial" w:cs="Arial"/>
          <w:b/>
          <w:bCs/>
        </w:rPr>
        <w:t>Strategic management for business</w:t>
      </w:r>
    </w:p>
    <w:p w14:paraId="7731B8FB" w14:textId="7640001A" w:rsidR="00C85573" w:rsidRPr="003C3279" w:rsidRDefault="00C85573" w:rsidP="00B91CA3">
      <w:pPr>
        <w:jc w:val="center"/>
        <w:rPr>
          <w:rFonts w:ascii="Arial" w:hAnsi="Arial" w:cs="Arial"/>
          <w:b/>
          <w:bCs/>
        </w:rPr>
      </w:pPr>
      <w:r w:rsidRPr="003C3279">
        <w:rPr>
          <w:rFonts w:ascii="Arial" w:hAnsi="Arial" w:cs="Arial"/>
          <w:b/>
          <w:bCs/>
        </w:rPr>
        <w:t>LCLM 6001</w:t>
      </w:r>
    </w:p>
    <w:p w14:paraId="6096CF3F" w14:textId="2A7D7418" w:rsidR="00936023" w:rsidRDefault="00936023" w:rsidP="00B91CA3">
      <w:pPr>
        <w:jc w:val="center"/>
        <w:rPr>
          <w:rFonts w:ascii="Arial" w:hAnsi="Arial" w:cs="Arial"/>
          <w:b/>
          <w:bCs/>
        </w:rPr>
      </w:pPr>
      <w:r>
        <w:rPr>
          <w:rFonts w:ascii="Arial" w:hAnsi="Arial" w:cs="Arial"/>
          <w:b/>
          <w:bCs/>
        </w:rPr>
        <w:t>Name: Wesley Aliprandi</w:t>
      </w:r>
    </w:p>
    <w:p w14:paraId="67448DED" w14:textId="4C05A70C" w:rsidR="003C792C" w:rsidRDefault="00936023" w:rsidP="003C792C">
      <w:pPr>
        <w:jc w:val="center"/>
        <w:rPr>
          <w:rFonts w:ascii="Arial" w:hAnsi="Arial" w:cs="Arial"/>
          <w:b/>
          <w:bCs/>
        </w:rPr>
      </w:pPr>
      <w:r>
        <w:rPr>
          <w:rFonts w:ascii="Arial" w:hAnsi="Arial" w:cs="Arial"/>
          <w:b/>
          <w:bCs/>
        </w:rPr>
        <w:t>Student ID: 1809922</w:t>
      </w:r>
    </w:p>
    <w:p w14:paraId="112FCBE0" w14:textId="6B61FED3" w:rsidR="003C792C" w:rsidRPr="003C3279" w:rsidRDefault="003C792C" w:rsidP="00936023">
      <w:pPr>
        <w:tabs>
          <w:tab w:val="center" w:pos="4680"/>
        </w:tabs>
        <w:rPr>
          <w:rFonts w:ascii="Arial" w:hAnsi="Arial" w:cs="Arial"/>
        </w:rPr>
      </w:pPr>
      <w:r w:rsidRPr="003C792C">
        <w:rPr>
          <w:rFonts w:ascii="Arial" w:hAnsi="Arial" w:cs="Arial"/>
          <w:noProof/>
        </w:rPr>
        <mc:AlternateContent>
          <mc:Choice Requires="wps">
            <w:drawing>
              <wp:anchor distT="91440" distB="91440" distL="114300" distR="114300" simplePos="0" relativeHeight="251657215" behindDoc="1" locked="0" layoutInCell="1" allowOverlap="1" wp14:anchorId="2979CCBB" wp14:editId="6F8E274E">
                <wp:simplePos x="0" y="0"/>
                <wp:positionH relativeFrom="page">
                  <wp:posOffset>5299710</wp:posOffset>
                </wp:positionH>
                <wp:positionV relativeFrom="paragraph">
                  <wp:posOffset>3397250</wp:posOffset>
                </wp:positionV>
                <wp:extent cx="1689100" cy="40005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9100" cy="400050"/>
                        </a:xfrm>
                        <a:prstGeom prst="rect">
                          <a:avLst/>
                        </a:prstGeom>
                        <a:noFill/>
                        <a:ln w="9525">
                          <a:noFill/>
                          <a:miter lim="800000"/>
                          <a:headEnd/>
                          <a:tailEnd/>
                        </a:ln>
                      </wps:spPr>
                      <wps:txbx>
                        <w:txbxContent>
                          <w:p w14:paraId="6ABE8432" w14:textId="72656025" w:rsidR="003C792C" w:rsidRDefault="003C792C">
                            <w:pPr>
                              <w:pBdr>
                                <w:top w:val="single" w:sz="24" w:space="8" w:color="4472C4" w:themeColor="accent1"/>
                                <w:bottom w:val="single" w:sz="24" w:space="8" w:color="4472C4" w:themeColor="accent1"/>
                              </w:pBdr>
                              <w:spacing w:after="0"/>
                              <w:rPr>
                                <w:i/>
                                <w:iCs/>
                                <w:color w:val="4472C4" w:themeColor="accent1"/>
                                <w:sz w:val="24"/>
                              </w:rPr>
                            </w:pPr>
                            <w:r w:rsidRPr="003C3279">
                              <w:rPr>
                                <w:rFonts w:ascii="Arial" w:hAnsi="Arial" w:cs="Arial"/>
                                <w:i/>
                                <w:iCs/>
                              </w:rPr>
                              <w:t>Source: Fixatex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79CCBB" id="_x0000_t202" coordsize="21600,21600" o:spt="202" path="m,l,21600r21600,l21600,xe">
                <v:stroke joinstyle="miter"/>
                <v:path gradientshapeok="t" o:connecttype="rect"/>
              </v:shapetype>
              <v:shape id="Text Box 2" o:spid="_x0000_s1026" type="#_x0000_t202" style="position:absolute;left:0;text-align:left;margin-left:417.3pt;margin-top:267.5pt;width:133pt;height:31.5pt;z-index:-251659265;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" filled="f" stroked="f">
                <v:textbox>
                  <w:txbxContent>
                    <w:p w14:paraId="6ABE8432" w14:textId="72656025" w:rsidR="003C792C" w:rsidRDefault="003C792C">
                      <w:pPr>
                        <w:pBdr>
                          <w:top w:val="single" w:sz="24" w:space="8" w:color="4472C4" w:themeColor="accent1"/>
                          <w:bottom w:val="single" w:sz="24" w:space="8" w:color="4472C4" w:themeColor="accent1"/>
                        </w:pBdr>
                        <w:spacing w:after="0"/>
                        <w:rPr>
                          <w:i/>
                          <w:iCs/>
                          <w:color w:val="4472C4" w:themeColor="accent1"/>
                          <w:sz w:val="24"/>
                        </w:rPr>
                      </w:pPr>
                      <w:r w:rsidRPr="003C3279">
                        <w:rPr>
                          <w:rFonts w:ascii="Arial" w:hAnsi="Arial" w:cs="Arial"/>
                          <w:i/>
                          <w:iCs/>
                        </w:rPr>
                        <w:t>Source: Fixatex (2025)</w:t>
                      </w:r>
                    </w:p>
                  </w:txbxContent>
                </v:textbox>
                <w10:wrap anchorx="page"/>
              </v:shape>
            </w:pict>
          </mc:Fallback>
        </mc:AlternateContent>
      </w:r>
      <w:r w:rsidR="00936023">
        <w:rPr>
          <w:noProof/>
        </w:rPr>
        <w:drawing>
          <wp:anchor distT="0" distB="0" distL="114300" distR="114300" simplePos="0" relativeHeight="251658240" behindDoc="1" locked="0" layoutInCell="1" allowOverlap="1" wp14:anchorId="707734CF" wp14:editId="3B86BEFE">
            <wp:simplePos x="0" y="0"/>
            <wp:positionH relativeFrom="column">
              <wp:posOffset>12700</wp:posOffset>
            </wp:positionH>
            <wp:positionV relativeFrom="page">
              <wp:posOffset>3111500</wp:posOffset>
            </wp:positionV>
            <wp:extent cx="6061710" cy="3409950"/>
            <wp:effectExtent l="171450" t="171450" r="167640" b="171450"/>
            <wp:wrapNone/>
            <wp:docPr id="2" name="Picture 1" descr="News - Fixatex Ltd. Electrical Contr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s - Fixatex Ltd. Electrical Contractors"/>
                    <pic:cNvPicPr>
                      <a:picLocks noChangeAspect="1" noChangeArrowheads="1"/>
                    </pic:cNvPicPr>
                  </pic:nvPicPr>
                  <pic:blipFill>
                    <a:blip r:embed="rId8" cstate="print">
                      <a:alphaModFix amt="85000"/>
                      <a:extLst>
                        <a:ext uri="{28A0092B-C50C-407E-A947-70E740481C1C}">
                          <a14:useLocalDpi xmlns:a14="http://schemas.microsoft.com/office/drawing/2010/main" val="0"/>
                        </a:ext>
                      </a:extLst>
                    </a:blip>
                    <a:srcRect/>
                    <a:stretch>
                      <a:fillRect/>
                    </a:stretch>
                  </pic:blipFill>
                  <pic:spPr bwMode="auto">
                    <a:xfrm>
                      <a:off x="0" y="0"/>
                      <a:ext cx="6061710" cy="340995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F95576" w:rsidRPr="00936023">
        <w:rPr>
          <w:rFonts w:ascii="Arial" w:hAnsi="Arial" w:cs="Arial"/>
        </w:rPr>
        <w:br w:type="page"/>
      </w:r>
    </w:p>
    <w:sdt>
      <w:sdtPr>
        <w:rPr>
          <w:rFonts w:ascii="Arial" w:eastAsiaTheme="minorHAnsi" w:hAnsi="Arial" w:cs="Arial"/>
          <w:color w:val="auto"/>
          <w:kern w:val="2"/>
          <w:sz w:val="22"/>
          <w:szCs w:val="22"/>
          <w:lang w:val="en-GB"/>
          <w14:ligatures w14:val="standardContextual"/>
        </w:rPr>
        <w:id w:val="-728069225"/>
        <w:docPartObj>
          <w:docPartGallery w:val="Table of Contents"/>
          <w:docPartUnique/>
        </w:docPartObj>
      </w:sdtPr>
      <w:sdtEndPr>
        <w:rPr>
          <w:b/>
          <w:bCs/>
          <w:noProof/>
        </w:rPr>
      </w:sdtEndPr>
      <w:sdtContent>
        <w:p w14:paraId="69D37DF6" w14:textId="64E110E9" w:rsidR="001913FB" w:rsidRPr="003C3279" w:rsidRDefault="001913FB">
          <w:pPr>
            <w:pStyle w:val="TOCHeading"/>
            <w:rPr>
              <w:rFonts w:ascii="Arial" w:hAnsi="Arial" w:cs="Arial"/>
              <w:color w:val="auto"/>
              <w:sz w:val="22"/>
              <w:szCs w:val="22"/>
            </w:rPr>
          </w:pPr>
          <w:r w:rsidRPr="003C3279">
            <w:rPr>
              <w:rFonts w:ascii="Arial" w:hAnsi="Arial" w:cs="Arial"/>
              <w:color w:val="auto"/>
              <w:sz w:val="22"/>
              <w:szCs w:val="22"/>
            </w:rPr>
            <w:t>Table of Contents</w:t>
          </w:r>
        </w:p>
        <w:p w14:paraId="7EAD4479" w14:textId="470644F0" w:rsidR="00936023" w:rsidRDefault="001913FB">
          <w:pPr>
            <w:pStyle w:val="TOC1"/>
            <w:tabs>
              <w:tab w:val="right" w:leader="dot" w:pos="9350"/>
            </w:tabs>
            <w:rPr>
              <w:rFonts w:eastAsiaTheme="minorEastAsia"/>
              <w:noProof/>
              <w:sz w:val="24"/>
              <w:szCs w:val="24"/>
              <w:lang w:eastAsia="en-GB"/>
            </w:rPr>
          </w:pPr>
          <w:r w:rsidRPr="003C3279">
            <w:rPr>
              <w:rFonts w:ascii="Arial" w:hAnsi="Arial" w:cs="Arial"/>
            </w:rPr>
            <w:fldChar w:fldCharType="begin"/>
          </w:r>
          <w:r w:rsidRPr="003C3279">
            <w:rPr>
              <w:rFonts w:ascii="Arial" w:hAnsi="Arial" w:cs="Arial"/>
            </w:rPr>
            <w:instrText xml:space="preserve"> TOC \o "1-3" \h \z \u </w:instrText>
          </w:r>
          <w:r w:rsidRPr="003C3279">
            <w:rPr>
              <w:rFonts w:ascii="Arial" w:hAnsi="Arial" w:cs="Arial"/>
            </w:rPr>
            <w:fldChar w:fldCharType="separate"/>
          </w:r>
          <w:hyperlink w:anchor="_Toc214807195" w:history="1">
            <w:r w:rsidR="00936023" w:rsidRPr="007F7629">
              <w:rPr>
                <w:rStyle w:val="Hyperlink"/>
                <w:rFonts w:ascii="Arial" w:hAnsi="Arial" w:cs="Arial"/>
                <w:b/>
                <w:bCs/>
                <w:noProof/>
              </w:rPr>
              <w:t>Executive Summary</w:t>
            </w:r>
            <w:r w:rsidR="00936023">
              <w:rPr>
                <w:noProof/>
                <w:webHidden/>
              </w:rPr>
              <w:tab/>
            </w:r>
            <w:r w:rsidR="00936023">
              <w:rPr>
                <w:noProof/>
                <w:webHidden/>
              </w:rPr>
              <w:fldChar w:fldCharType="begin"/>
            </w:r>
            <w:r w:rsidR="00936023">
              <w:rPr>
                <w:noProof/>
                <w:webHidden/>
              </w:rPr>
              <w:instrText xml:space="preserve"> PAGEREF _Toc214807195 \h </w:instrText>
            </w:r>
            <w:r w:rsidR="00936023">
              <w:rPr>
                <w:noProof/>
                <w:webHidden/>
              </w:rPr>
            </w:r>
            <w:r w:rsidR="00936023">
              <w:rPr>
                <w:noProof/>
                <w:webHidden/>
              </w:rPr>
              <w:fldChar w:fldCharType="separate"/>
            </w:r>
            <w:r w:rsidR="00936023">
              <w:rPr>
                <w:noProof/>
                <w:webHidden/>
              </w:rPr>
              <w:t>3</w:t>
            </w:r>
            <w:r w:rsidR="00936023">
              <w:rPr>
                <w:noProof/>
                <w:webHidden/>
              </w:rPr>
              <w:fldChar w:fldCharType="end"/>
            </w:r>
          </w:hyperlink>
        </w:p>
        <w:p w14:paraId="5828E31F" w14:textId="5DEEACAF" w:rsidR="00936023" w:rsidRDefault="00936023">
          <w:pPr>
            <w:pStyle w:val="TOC1"/>
            <w:tabs>
              <w:tab w:val="right" w:leader="dot" w:pos="9350"/>
            </w:tabs>
            <w:rPr>
              <w:rFonts w:eastAsiaTheme="minorEastAsia"/>
              <w:noProof/>
              <w:sz w:val="24"/>
              <w:szCs w:val="24"/>
              <w:lang w:eastAsia="en-GB"/>
            </w:rPr>
          </w:pPr>
          <w:hyperlink w:anchor="_Toc214807196" w:history="1">
            <w:r w:rsidRPr="007F762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_Toc214807196 \h </w:instrText>
            </w:r>
            <w:r>
              <w:rPr>
                <w:noProof/>
                <w:webHidden/>
              </w:rPr>
            </w:r>
            <w:r>
              <w:rPr>
                <w:noProof/>
                <w:webHidden/>
              </w:rPr>
              <w:fldChar w:fldCharType="separate"/>
            </w:r>
            <w:r>
              <w:rPr>
                <w:noProof/>
                <w:webHidden/>
              </w:rPr>
              <w:t>4</w:t>
            </w:r>
            <w:r>
              <w:rPr>
                <w:noProof/>
                <w:webHidden/>
              </w:rPr>
              <w:fldChar w:fldCharType="end"/>
            </w:r>
          </w:hyperlink>
        </w:p>
        <w:p w14:paraId="339DFE32" w14:textId="1044F2E1" w:rsidR="00936023" w:rsidRDefault="00936023">
          <w:pPr>
            <w:pStyle w:val="TOC2"/>
            <w:tabs>
              <w:tab w:val="right" w:leader="dot" w:pos="9350"/>
            </w:tabs>
            <w:rPr>
              <w:rFonts w:eastAsiaTheme="minorEastAsia"/>
              <w:noProof/>
              <w:sz w:val="24"/>
              <w:szCs w:val="24"/>
              <w:lang w:eastAsia="en-GB"/>
            </w:rPr>
          </w:pPr>
          <w:hyperlink w:anchor="_Toc214807197" w:history="1">
            <w:r w:rsidRPr="007F7629">
              <w:rPr>
                <w:rStyle w:val="Hyperlink"/>
                <w:rFonts w:ascii="Arial" w:hAnsi="Arial" w:cs="Arial"/>
                <w:b/>
                <w:bCs/>
                <w:noProof/>
              </w:rPr>
              <w:t>Appraisal of Fixatex current strategic direction</w:t>
            </w:r>
            <w:r>
              <w:rPr>
                <w:noProof/>
                <w:webHidden/>
              </w:rPr>
              <w:tab/>
            </w:r>
            <w:r>
              <w:rPr>
                <w:noProof/>
                <w:webHidden/>
              </w:rPr>
              <w:fldChar w:fldCharType="begin"/>
            </w:r>
            <w:r>
              <w:rPr>
                <w:noProof/>
                <w:webHidden/>
              </w:rPr>
              <w:instrText xml:space="preserve"> PAGEREF _Toc214807197 \h </w:instrText>
            </w:r>
            <w:r>
              <w:rPr>
                <w:noProof/>
                <w:webHidden/>
              </w:rPr>
            </w:r>
            <w:r>
              <w:rPr>
                <w:noProof/>
                <w:webHidden/>
              </w:rPr>
              <w:fldChar w:fldCharType="separate"/>
            </w:r>
            <w:r>
              <w:rPr>
                <w:noProof/>
                <w:webHidden/>
              </w:rPr>
              <w:t>5</w:t>
            </w:r>
            <w:r>
              <w:rPr>
                <w:noProof/>
                <w:webHidden/>
              </w:rPr>
              <w:fldChar w:fldCharType="end"/>
            </w:r>
          </w:hyperlink>
        </w:p>
        <w:p w14:paraId="4F2D8726" w14:textId="1A550882" w:rsidR="00936023" w:rsidRDefault="00936023">
          <w:pPr>
            <w:pStyle w:val="TOC1"/>
            <w:tabs>
              <w:tab w:val="right" w:leader="dot" w:pos="9350"/>
            </w:tabs>
            <w:rPr>
              <w:rFonts w:eastAsiaTheme="minorEastAsia"/>
              <w:noProof/>
              <w:sz w:val="24"/>
              <w:szCs w:val="24"/>
              <w:lang w:eastAsia="en-GB"/>
            </w:rPr>
          </w:pPr>
          <w:hyperlink w:anchor="_Toc214807198" w:history="1">
            <w:r w:rsidRPr="007F7629">
              <w:rPr>
                <w:rStyle w:val="Hyperlink"/>
                <w:rFonts w:ascii="Arial" w:hAnsi="Arial" w:cs="Arial"/>
                <w:b/>
                <w:bCs/>
                <w:noProof/>
              </w:rPr>
              <w:t>Fixatex’s environmental scan and competitive position</w:t>
            </w:r>
            <w:r>
              <w:rPr>
                <w:noProof/>
                <w:webHidden/>
              </w:rPr>
              <w:tab/>
            </w:r>
            <w:r>
              <w:rPr>
                <w:noProof/>
                <w:webHidden/>
              </w:rPr>
              <w:fldChar w:fldCharType="begin"/>
            </w:r>
            <w:r>
              <w:rPr>
                <w:noProof/>
                <w:webHidden/>
              </w:rPr>
              <w:instrText xml:space="preserve"> PAGEREF _Toc214807198 \h </w:instrText>
            </w:r>
            <w:r>
              <w:rPr>
                <w:noProof/>
                <w:webHidden/>
              </w:rPr>
            </w:r>
            <w:r>
              <w:rPr>
                <w:noProof/>
                <w:webHidden/>
              </w:rPr>
              <w:fldChar w:fldCharType="separate"/>
            </w:r>
            <w:r>
              <w:rPr>
                <w:noProof/>
                <w:webHidden/>
              </w:rPr>
              <w:t>6</w:t>
            </w:r>
            <w:r>
              <w:rPr>
                <w:noProof/>
                <w:webHidden/>
              </w:rPr>
              <w:fldChar w:fldCharType="end"/>
            </w:r>
          </w:hyperlink>
        </w:p>
        <w:p w14:paraId="20A6A57B" w14:textId="299C9A73" w:rsidR="00936023" w:rsidRDefault="00936023">
          <w:pPr>
            <w:pStyle w:val="TOC1"/>
            <w:tabs>
              <w:tab w:val="right" w:leader="dot" w:pos="9350"/>
            </w:tabs>
            <w:rPr>
              <w:rFonts w:eastAsiaTheme="minorEastAsia"/>
              <w:noProof/>
              <w:sz w:val="24"/>
              <w:szCs w:val="24"/>
              <w:lang w:eastAsia="en-GB"/>
            </w:rPr>
          </w:pPr>
          <w:hyperlink w:anchor="_Toc214807199" w:history="1">
            <w:r w:rsidRPr="007F7629">
              <w:rPr>
                <w:rStyle w:val="Hyperlink"/>
                <w:rFonts w:ascii="Arial" w:hAnsi="Arial" w:cs="Arial"/>
                <w:b/>
                <w:bCs/>
                <w:noProof/>
              </w:rPr>
              <w:t>Review of the internal environment</w:t>
            </w:r>
            <w:r>
              <w:rPr>
                <w:noProof/>
                <w:webHidden/>
              </w:rPr>
              <w:tab/>
            </w:r>
            <w:r>
              <w:rPr>
                <w:noProof/>
                <w:webHidden/>
              </w:rPr>
              <w:fldChar w:fldCharType="begin"/>
            </w:r>
            <w:r>
              <w:rPr>
                <w:noProof/>
                <w:webHidden/>
              </w:rPr>
              <w:instrText xml:space="preserve"> PAGEREF _Toc214807199 \h </w:instrText>
            </w:r>
            <w:r>
              <w:rPr>
                <w:noProof/>
                <w:webHidden/>
              </w:rPr>
            </w:r>
            <w:r>
              <w:rPr>
                <w:noProof/>
                <w:webHidden/>
              </w:rPr>
              <w:fldChar w:fldCharType="separate"/>
            </w:r>
            <w:r>
              <w:rPr>
                <w:noProof/>
                <w:webHidden/>
              </w:rPr>
              <w:t>6</w:t>
            </w:r>
            <w:r>
              <w:rPr>
                <w:noProof/>
                <w:webHidden/>
              </w:rPr>
              <w:fldChar w:fldCharType="end"/>
            </w:r>
          </w:hyperlink>
        </w:p>
        <w:p w14:paraId="34273002" w14:textId="1AF9B408" w:rsidR="00936023" w:rsidRDefault="00936023">
          <w:pPr>
            <w:pStyle w:val="TOC2"/>
            <w:tabs>
              <w:tab w:val="right" w:leader="dot" w:pos="9350"/>
            </w:tabs>
            <w:rPr>
              <w:rFonts w:eastAsiaTheme="minorEastAsia"/>
              <w:noProof/>
              <w:sz w:val="24"/>
              <w:szCs w:val="24"/>
              <w:lang w:eastAsia="en-GB"/>
            </w:rPr>
          </w:pPr>
          <w:hyperlink w:anchor="_Toc214807200" w:history="1">
            <w:r w:rsidRPr="007F7629">
              <w:rPr>
                <w:rStyle w:val="Hyperlink"/>
                <w:rFonts w:ascii="Arial" w:hAnsi="Arial" w:cs="Arial"/>
                <w:b/>
                <w:bCs/>
                <w:noProof/>
              </w:rPr>
              <w:t>Value Chain analysis</w:t>
            </w:r>
            <w:r>
              <w:rPr>
                <w:noProof/>
                <w:webHidden/>
              </w:rPr>
              <w:tab/>
            </w:r>
            <w:r>
              <w:rPr>
                <w:noProof/>
                <w:webHidden/>
              </w:rPr>
              <w:fldChar w:fldCharType="begin"/>
            </w:r>
            <w:r>
              <w:rPr>
                <w:noProof/>
                <w:webHidden/>
              </w:rPr>
              <w:instrText xml:space="preserve"> PAGEREF _Toc214807200 \h </w:instrText>
            </w:r>
            <w:r>
              <w:rPr>
                <w:noProof/>
                <w:webHidden/>
              </w:rPr>
            </w:r>
            <w:r>
              <w:rPr>
                <w:noProof/>
                <w:webHidden/>
              </w:rPr>
              <w:fldChar w:fldCharType="separate"/>
            </w:r>
            <w:r>
              <w:rPr>
                <w:noProof/>
                <w:webHidden/>
              </w:rPr>
              <w:t>6</w:t>
            </w:r>
            <w:r>
              <w:rPr>
                <w:noProof/>
                <w:webHidden/>
              </w:rPr>
              <w:fldChar w:fldCharType="end"/>
            </w:r>
          </w:hyperlink>
        </w:p>
        <w:p w14:paraId="5E698BC6" w14:textId="54BF91F1" w:rsidR="00936023" w:rsidRDefault="00936023">
          <w:pPr>
            <w:pStyle w:val="TOC2"/>
            <w:tabs>
              <w:tab w:val="right" w:leader="dot" w:pos="9350"/>
            </w:tabs>
            <w:rPr>
              <w:rFonts w:eastAsiaTheme="minorEastAsia"/>
              <w:noProof/>
              <w:sz w:val="24"/>
              <w:szCs w:val="24"/>
              <w:lang w:eastAsia="en-GB"/>
            </w:rPr>
          </w:pPr>
          <w:hyperlink w:anchor="_Toc214807201" w:history="1">
            <w:r w:rsidRPr="007F7629">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_Toc214807201 \h </w:instrText>
            </w:r>
            <w:r>
              <w:rPr>
                <w:noProof/>
                <w:webHidden/>
              </w:rPr>
            </w:r>
            <w:r>
              <w:rPr>
                <w:noProof/>
                <w:webHidden/>
              </w:rPr>
              <w:fldChar w:fldCharType="separate"/>
            </w:r>
            <w:r>
              <w:rPr>
                <w:noProof/>
                <w:webHidden/>
              </w:rPr>
              <w:t>8</w:t>
            </w:r>
            <w:r>
              <w:rPr>
                <w:noProof/>
                <w:webHidden/>
              </w:rPr>
              <w:fldChar w:fldCharType="end"/>
            </w:r>
          </w:hyperlink>
        </w:p>
        <w:p w14:paraId="12241CF9" w14:textId="6B6F3AAF" w:rsidR="00936023" w:rsidRDefault="00936023">
          <w:pPr>
            <w:pStyle w:val="TOC1"/>
            <w:tabs>
              <w:tab w:val="right" w:leader="dot" w:pos="9350"/>
            </w:tabs>
            <w:rPr>
              <w:rFonts w:eastAsiaTheme="minorEastAsia"/>
              <w:noProof/>
              <w:sz w:val="24"/>
              <w:szCs w:val="24"/>
              <w:lang w:eastAsia="en-GB"/>
            </w:rPr>
          </w:pPr>
          <w:hyperlink w:anchor="_Toc214807202" w:history="1">
            <w:r w:rsidRPr="007F7629">
              <w:rPr>
                <w:rStyle w:val="Hyperlink"/>
                <w:rFonts w:ascii="Arial" w:hAnsi="Arial" w:cs="Arial"/>
                <w:b/>
                <w:bCs/>
                <w:noProof/>
              </w:rPr>
              <w:t>External environment</w:t>
            </w:r>
            <w:r>
              <w:rPr>
                <w:noProof/>
                <w:webHidden/>
              </w:rPr>
              <w:tab/>
            </w:r>
            <w:r>
              <w:rPr>
                <w:noProof/>
                <w:webHidden/>
              </w:rPr>
              <w:fldChar w:fldCharType="begin"/>
            </w:r>
            <w:r>
              <w:rPr>
                <w:noProof/>
                <w:webHidden/>
              </w:rPr>
              <w:instrText xml:space="preserve"> PAGEREF _Toc214807202 \h </w:instrText>
            </w:r>
            <w:r>
              <w:rPr>
                <w:noProof/>
                <w:webHidden/>
              </w:rPr>
            </w:r>
            <w:r>
              <w:rPr>
                <w:noProof/>
                <w:webHidden/>
              </w:rPr>
              <w:fldChar w:fldCharType="separate"/>
            </w:r>
            <w:r>
              <w:rPr>
                <w:noProof/>
                <w:webHidden/>
              </w:rPr>
              <w:t>9</w:t>
            </w:r>
            <w:r>
              <w:rPr>
                <w:noProof/>
                <w:webHidden/>
              </w:rPr>
              <w:fldChar w:fldCharType="end"/>
            </w:r>
          </w:hyperlink>
        </w:p>
        <w:p w14:paraId="0E784178" w14:textId="052FCF46" w:rsidR="00936023" w:rsidRDefault="00936023">
          <w:pPr>
            <w:pStyle w:val="TOC2"/>
            <w:tabs>
              <w:tab w:val="right" w:leader="dot" w:pos="9350"/>
            </w:tabs>
            <w:rPr>
              <w:rFonts w:eastAsiaTheme="minorEastAsia"/>
              <w:noProof/>
              <w:sz w:val="24"/>
              <w:szCs w:val="24"/>
              <w:lang w:eastAsia="en-GB"/>
            </w:rPr>
          </w:pPr>
          <w:hyperlink w:anchor="_Toc214807203" w:history="1">
            <w:r w:rsidRPr="007F7629">
              <w:rPr>
                <w:rStyle w:val="Hyperlink"/>
                <w:rFonts w:ascii="Arial" w:hAnsi="Arial" w:cs="Arial"/>
                <w:b/>
                <w:bCs/>
                <w:noProof/>
              </w:rPr>
              <w:t>A PESTEL analysis</w:t>
            </w:r>
            <w:r>
              <w:rPr>
                <w:noProof/>
                <w:webHidden/>
              </w:rPr>
              <w:tab/>
            </w:r>
            <w:r>
              <w:rPr>
                <w:noProof/>
                <w:webHidden/>
              </w:rPr>
              <w:fldChar w:fldCharType="begin"/>
            </w:r>
            <w:r>
              <w:rPr>
                <w:noProof/>
                <w:webHidden/>
              </w:rPr>
              <w:instrText xml:space="preserve"> PAGEREF _Toc214807203 \h </w:instrText>
            </w:r>
            <w:r>
              <w:rPr>
                <w:noProof/>
                <w:webHidden/>
              </w:rPr>
            </w:r>
            <w:r>
              <w:rPr>
                <w:noProof/>
                <w:webHidden/>
              </w:rPr>
              <w:fldChar w:fldCharType="separate"/>
            </w:r>
            <w:r>
              <w:rPr>
                <w:noProof/>
                <w:webHidden/>
              </w:rPr>
              <w:t>9</w:t>
            </w:r>
            <w:r>
              <w:rPr>
                <w:noProof/>
                <w:webHidden/>
              </w:rPr>
              <w:fldChar w:fldCharType="end"/>
            </w:r>
          </w:hyperlink>
        </w:p>
        <w:p w14:paraId="3674573C" w14:textId="32917308" w:rsidR="00936023" w:rsidRDefault="00936023">
          <w:pPr>
            <w:pStyle w:val="TOC2"/>
            <w:tabs>
              <w:tab w:val="right" w:leader="dot" w:pos="9350"/>
            </w:tabs>
            <w:rPr>
              <w:rFonts w:eastAsiaTheme="minorEastAsia"/>
              <w:noProof/>
              <w:sz w:val="24"/>
              <w:szCs w:val="24"/>
              <w:lang w:eastAsia="en-GB"/>
            </w:rPr>
          </w:pPr>
          <w:hyperlink w:anchor="_Toc214807204" w:history="1">
            <w:r w:rsidRPr="007F7629">
              <w:rPr>
                <w:rStyle w:val="Hyperlink"/>
                <w:rFonts w:ascii="Arial" w:hAnsi="Arial" w:cs="Arial"/>
                <w:b/>
                <w:bCs/>
                <w:noProof/>
              </w:rPr>
              <w:t>Application of the Porter’s Five Forces framework</w:t>
            </w:r>
            <w:r>
              <w:rPr>
                <w:noProof/>
                <w:webHidden/>
              </w:rPr>
              <w:tab/>
            </w:r>
            <w:r>
              <w:rPr>
                <w:noProof/>
                <w:webHidden/>
              </w:rPr>
              <w:fldChar w:fldCharType="begin"/>
            </w:r>
            <w:r>
              <w:rPr>
                <w:noProof/>
                <w:webHidden/>
              </w:rPr>
              <w:instrText xml:space="preserve"> PAGEREF _Toc214807204 \h </w:instrText>
            </w:r>
            <w:r>
              <w:rPr>
                <w:noProof/>
                <w:webHidden/>
              </w:rPr>
            </w:r>
            <w:r>
              <w:rPr>
                <w:noProof/>
                <w:webHidden/>
              </w:rPr>
              <w:fldChar w:fldCharType="separate"/>
            </w:r>
            <w:r>
              <w:rPr>
                <w:noProof/>
                <w:webHidden/>
              </w:rPr>
              <w:t>10</w:t>
            </w:r>
            <w:r>
              <w:rPr>
                <w:noProof/>
                <w:webHidden/>
              </w:rPr>
              <w:fldChar w:fldCharType="end"/>
            </w:r>
          </w:hyperlink>
        </w:p>
        <w:p w14:paraId="28436CF1" w14:textId="685CB599" w:rsidR="00936023" w:rsidRDefault="00936023">
          <w:pPr>
            <w:pStyle w:val="TOC1"/>
            <w:tabs>
              <w:tab w:val="right" w:leader="dot" w:pos="9350"/>
            </w:tabs>
            <w:rPr>
              <w:rFonts w:eastAsiaTheme="minorEastAsia"/>
              <w:noProof/>
              <w:sz w:val="24"/>
              <w:szCs w:val="24"/>
              <w:lang w:eastAsia="en-GB"/>
            </w:rPr>
          </w:pPr>
          <w:hyperlink w:anchor="_Toc214807205" w:history="1">
            <w:r w:rsidRPr="007F7629">
              <w:rPr>
                <w:rStyle w:val="Hyperlink"/>
                <w:rFonts w:ascii="Arial" w:hAnsi="Arial" w:cs="Arial"/>
                <w:b/>
                <w:bCs/>
                <w:noProof/>
              </w:rPr>
              <w:t>A discussion of available strategic growth choices</w:t>
            </w:r>
            <w:r>
              <w:rPr>
                <w:noProof/>
                <w:webHidden/>
              </w:rPr>
              <w:tab/>
            </w:r>
            <w:r>
              <w:rPr>
                <w:noProof/>
                <w:webHidden/>
              </w:rPr>
              <w:fldChar w:fldCharType="begin"/>
            </w:r>
            <w:r>
              <w:rPr>
                <w:noProof/>
                <w:webHidden/>
              </w:rPr>
              <w:instrText xml:space="preserve"> PAGEREF _Toc214807205 \h </w:instrText>
            </w:r>
            <w:r>
              <w:rPr>
                <w:noProof/>
                <w:webHidden/>
              </w:rPr>
            </w:r>
            <w:r>
              <w:rPr>
                <w:noProof/>
                <w:webHidden/>
              </w:rPr>
              <w:fldChar w:fldCharType="separate"/>
            </w:r>
            <w:r>
              <w:rPr>
                <w:noProof/>
                <w:webHidden/>
              </w:rPr>
              <w:t>11</w:t>
            </w:r>
            <w:r>
              <w:rPr>
                <w:noProof/>
                <w:webHidden/>
              </w:rPr>
              <w:fldChar w:fldCharType="end"/>
            </w:r>
          </w:hyperlink>
        </w:p>
        <w:p w14:paraId="3DB732B7" w14:textId="39838A2F" w:rsidR="00936023" w:rsidRDefault="00936023">
          <w:pPr>
            <w:pStyle w:val="TOC2"/>
            <w:tabs>
              <w:tab w:val="right" w:leader="dot" w:pos="9350"/>
            </w:tabs>
            <w:rPr>
              <w:rFonts w:eastAsiaTheme="minorEastAsia"/>
              <w:noProof/>
              <w:sz w:val="24"/>
              <w:szCs w:val="24"/>
              <w:lang w:eastAsia="en-GB"/>
            </w:rPr>
          </w:pPr>
          <w:hyperlink w:anchor="_Toc214807206" w:history="1">
            <w:r w:rsidRPr="007F7629">
              <w:rPr>
                <w:rStyle w:val="Hyperlink"/>
                <w:rFonts w:ascii="Arial" w:hAnsi="Arial" w:cs="Arial"/>
                <w:b/>
                <w:bCs/>
                <w:noProof/>
              </w:rPr>
              <w:t>Application of the Ansoff’s Matrix</w:t>
            </w:r>
            <w:r>
              <w:rPr>
                <w:noProof/>
                <w:webHidden/>
              </w:rPr>
              <w:tab/>
            </w:r>
            <w:r>
              <w:rPr>
                <w:noProof/>
                <w:webHidden/>
              </w:rPr>
              <w:fldChar w:fldCharType="begin"/>
            </w:r>
            <w:r>
              <w:rPr>
                <w:noProof/>
                <w:webHidden/>
              </w:rPr>
              <w:instrText xml:space="preserve"> PAGEREF _Toc214807206 \h </w:instrText>
            </w:r>
            <w:r>
              <w:rPr>
                <w:noProof/>
                <w:webHidden/>
              </w:rPr>
            </w:r>
            <w:r>
              <w:rPr>
                <w:noProof/>
                <w:webHidden/>
              </w:rPr>
              <w:fldChar w:fldCharType="separate"/>
            </w:r>
            <w:r>
              <w:rPr>
                <w:noProof/>
                <w:webHidden/>
              </w:rPr>
              <w:t>11</w:t>
            </w:r>
            <w:r>
              <w:rPr>
                <w:noProof/>
                <w:webHidden/>
              </w:rPr>
              <w:fldChar w:fldCharType="end"/>
            </w:r>
          </w:hyperlink>
        </w:p>
        <w:p w14:paraId="3821762A" w14:textId="1FC7380E" w:rsidR="00936023" w:rsidRDefault="00936023">
          <w:pPr>
            <w:pStyle w:val="TOC2"/>
            <w:tabs>
              <w:tab w:val="right" w:leader="dot" w:pos="9350"/>
            </w:tabs>
            <w:rPr>
              <w:rFonts w:eastAsiaTheme="minorEastAsia"/>
              <w:noProof/>
              <w:sz w:val="24"/>
              <w:szCs w:val="24"/>
              <w:lang w:eastAsia="en-GB"/>
            </w:rPr>
          </w:pPr>
          <w:hyperlink w:anchor="_Toc214807207" w:history="1">
            <w:r w:rsidRPr="007F7629">
              <w:rPr>
                <w:rStyle w:val="Hyperlink"/>
                <w:rFonts w:ascii="Arial" w:hAnsi="Arial" w:cs="Arial"/>
                <w:b/>
                <w:bCs/>
                <w:noProof/>
              </w:rPr>
              <w:t>Proposed strategy for Fixatex</w:t>
            </w:r>
            <w:r>
              <w:rPr>
                <w:noProof/>
                <w:webHidden/>
              </w:rPr>
              <w:tab/>
            </w:r>
            <w:r>
              <w:rPr>
                <w:noProof/>
                <w:webHidden/>
              </w:rPr>
              <w:fldChar w:fldCharType="begin"/>
            </w:r>
            <w:r>
              <w:rPr>
                <w:noProof/>
                <w:webHidden/>
              </w:rPr>
              <w:instrText xml:space="preserve"> PAGEREF _Toc214807207 \h </w:instrText>
            </w:r>
            <w:r>
              <w:rPr>
                <w:noProof/>
                <w:webHidden/>
              </w:rPr>
            </w:r>
            <w:r>
              <w:rPr>
                <w:noProof/>
                <w:webHidden/>
              </w:rPr>
              <w:fldChar w:fldCharType="separate"/>
            </w:r>
            <w:r>
              <w:rPr>
                <w:noProof/>
                <w:webHidden/>
              </w:rPr>
              <w:t>12</w:t>
            </w:r>
            <w:r>
              <w:rPr>
                <w:noProof/>
                <w:webHidden/>
              </w:rPr>
              <w:fldChar w:fldCharType="end"/>
            </w:r>
          </w:hyperlink>
        </w:p>
        <w:p w14:paraId="76BF015F" w14:textId="7231529C" w:rsidR="00936023" w:rsidRDefault="00936023">
          <w:pPr>
            <w:pStyle w:val="TOC1"/>
            <w:tabs>
              <w:tab w:val="right" w:leader="dot" w:pos="9350"/>
            </w:tabs>
            <w:rPr>
              <w:rFonts w:eastAsiaTheme="minorEastAsia"/>
              <w:noProof/>
              <w:sz w:val="24"/>
              <w:szCs w:val="24"/>
              <w:lang w:eastAsia="en-GB"/>
            </w:rPr>
          </w:pPr>
          <w:hyperlink w:anchor="_Toc214807208" w:history="1">
            <w:r w:rsidRPr="007F7629">
              <w:rPr>
                <w:rStyle w:val="Hyperlink"/>
                <w:rFonts w:ascii="Arial" w:hAnsi="Arial" w:cs="Arial"/>
                <w:b/>
                <w:bCs/>
                <w:noProof/>
              </w:rPr>
              <w:t>Stakeholder analysis and the expectations of the different stakeholders</w:t>
            </w:r>
            <w:r>
              <w:rPr>
                <w:noProof/>
                <w:webHidden/>
              </w:rPr>
              <w:tab/>
            </w:r>
            <w:r>
              <w:rPr>
                <w:noProof/>
                <w:webHidden/>
              </w:rPr>
              <w:fldChar w:fldCharType="begin"/>
            </w:r>
            <w:r>
              <w:rPr>
                <w:noProof/>
                <w:webHidden/>
              </w:rPr>
              <w:instrText xml:space="preserve"> PAGEREF _Toc214807208 \h </w:instrText>
            </w:r>
            <w:r>
              <w:rPr>
                <w:noProof/>
                <w:webHidden/>
              </w:rPr>
            </w:r>
            <w:r>
              <w:rPr>
                <w:noProof/>
                <w:webHidden/>
              </w:rPr>
              <w:fldChar w:fldCharType="separate"/>
            </w:r>
            <w:r>
              <w:rPr>
                <w:noProof/>
                <w:webHidden/>
              </w:rPr>
              <w:t>12</w:t>
            </w:r>
            <w:r>
              <w:rPr>
                <w:noProof/>
                <w:webHidden/>
              </w:rPr>
              <w:fldChar w:fldCharType="end"/>
            </w:r>
          </w:hyperlink>
        </w:p>
        <w:p w14:paraId="18A48ABB" w14:textId="1D224E1F" w:rsidR="00936023" w:rsidRDefault="00936023">
          <w:pPr>
            <w:pStyle w:val="TOC2"/>
            <w:tabs>
              <w:tab w:val="right" w:leader="dot" w:pos="9350"/>
            </w:tabs>
            <w:rPr>
              <w:rFonts w:eastAsiaTheme="minorEastAsia"/>
              <w:noProof/>
              <w:sz w:val="24"/>
              <w:szCs w:val="24"/>
              <w:lang w:eastAsia="en-GB"/>
            </w:rPr>
          </w:pPr>
          <w:hyperlink w:anchor="_Toc214807209" w:history="1">
            <w:r w:rsidRPr="007F7629">
              <w:rPr>
                <w:rStyle w:val="Hyperlink"/>
                <w:rFonts w:ascii="Arial" w:hAnsi="Arial" w:cs="Arial"/>
                <w:b/>
                <w:bCs/>
                <w:noProof/>
              </w:rPr>
              <w:t>Application of Mendelow’s matrix</w:t>
            </w:r>
            <w:r>
              <w:rPr>
                <w:noProof/>
                <w:webHidden/>
              </w:rPr>
              <w:tab/>
            </w:r>
            <w:r>
              <w:rPr>
                <w:noProof/>
                <w:webHidden/>
              </w:rPr>
              <w:fldChar w:fldCharType="begin"/>
            </w:r>
            <w:r>
              <w:rPr>
                <w:noProof/>
                <w:webHidden/>
              </w:rPr>
              <w:instrText xml:space="preserve"> PAGEREF _Toc214807209 \h </w:instrText>
            </w:r>
            <w:r>
              <w:rPr>
                <w:noProof/>
                <w:webHidden/>
              </w:rPr>
            </w:r>
            <w:r>
              <w:rPr>
                <w:noProof/>
                <w:webHidden/>
              </w:rPr>
              <w:fldChar w:fldCharType="separate"/>
            </w:r>
            <w:r>
              <w:rPr>
                <w:noProof/>
                <w:webHidden/>
              </w:rPr>
              <w:t>12</w:t>
            </w:r>
            <w:r>
              <w:rPr>
                <w:noProof/>
                <w:webHidden/>
              </w:rPr>
              <w:fldChar w:fldCharType="end"/>
            </w:r>
          </w:hyperlink>
        </w:p>
        <w:p w14:paraId="7B6AED17" w14:textId="6D6F47C3" w:rsidR="00936023" w:rsidRDefault="00936023">
          <w:pPr>
            <w:pStyle w:val="TOC2"/>
            <w:tabs>
              <w:tab w:val="right" w:leader="dot" w:pos="9350"/>
            </w:tabs>
            <w:rPr>
              <w:rFonts w:eastAsiaTheme="minorEastAsia"/>
              <w:noProof/>
              <w:sz w:val="24"/>
              <w:szCs w:val="24"/>
              <w:lang w:eastAsia="en-GB"/>
            </w:rPr>
          </w:pPr>
          <w:hyperlink w:anchor="_Toc214807210" w:history="1">
            <w:r w:rsidRPr="007F7629">
              <w:rPr>
                <w:rStyle w:val="Hyperlink"/>
                <w:rFonts w:ascii="Arial" w:hAnsi="Arial" w:cs="Arial"/>
                <w:b/>
                <w:bCs/>
                <w:noProof/>
              </w:rPr>
              <w:t>RACI Matrix</w:t>
            </w:r>
            <w:r>
              <w:rPr>
                <w:noProof/>
                <w:webHidden/>
              </w:rPr>
              <w:tab/>
            </w:r>
            <w:r>
              <w:rPr>
                <w:noProof/>
                <w:webHidden/>
              </w:rPr>
              <w:fldChar w:fldCharType="begin"/>
            </w:r>
            <w:r>
              <w:rPr>
                <w:noProof/>
                <w:webHidden/>
              </w:rPr>
              <w:instrText xml:space="preserve"> PAGEREF _Toc214807210 \h </w:instrText>
            </w:r>
            <w:r>
              <w:rPr>
                <w:noProof/>
                <w:webHidden/>
              </w:rPr>
            </w:r>
            <w:r>
              <w:rPr>
                <w:noProof/>
                <w:webHidden/>
              </w:rPr>
              <w:fldChar w:fldCharType="separate"/>
            </w:r>
            <w:r>
              <w:rPr>
                <w:noProof/>
                <w:webHidden/>
              </w:rPr>
              <w:t>13</w:t>
            </w:r>
            <w:r>
              <w:rPr>
                <w:noProof/>
                <w:webHidden/>
              </w:rPr>
              <w:fldChar w:fldCharType="end"/>
            </w:r>
          </w:hyperlink>
        </w:p>
        <w:p w14:paraId="50167E4B" w14:textId="4A90CC93" w:rsidR="00936023" w:rsidRDefault="00936023">
          <w:pPr>
            <w:pStyle w:val="TOC1"/>
            <w:tabs>
              <w:tab w:val="right" w:leader="dot" w:pos="9350"/>
            </w:tabs>
            <w:rPr>
              <w:rFonts w:eastAsiaTheme="minorEastAsia"/>
              <w:noProof/>
              <w:sz w:val="24"/>
              <w:szCs w:val="24"/>
              <w:lang w:eastAsia="en-GB"/>
            </w:rPr>
          </w:pPr>
          <w:hyperlink w:anchor="_Toc214807211" w:history="1">
            <w:r w:rsidRPr="007F7629">
              <w:rPr>
                <w:rStyle w:val="Hyperlink"/>
                <w:rFonts w:ascii="Arial" w:hAnsi="Arial" w:cs="Arial"/>
                <w:b/>
                <w:bCs/>
                <w:noProof/>
              </w:rPr>
              <w:t>Strategic recommendations</w:t>
            </w:r>
            <w:r>
              <w:rPr>
                <w:noProof/>
                <w:webHidden/>
              </w:rPr>
              <w:tab/>
            </w:r>
            <w:r>
              <w:rPr>
                <w:noProof/>
                <w:webHidden/>
              </w:rPr>
              <w:fldChar w:fldCharType="begin"/>
            </w:r>
            <w:r>
              <w:rPr>
                <w:noProof/>
                <w:webHidden/>
              </w:rPr>
              <w:instrText xml:space="preserve"> PAGEREF _Toc214807211 \h </w:instrText>
            </w:r>
            <w:r>
              <w:rPr>
                <w:noProof/>
                <w:webHidden/>
              </w:rPr>
            </w:r>
            <w:r>
              <w:rPr>
                <w:noProof/>
                <w:webHidden/>
              </w:rPr>
              <w:fldChar w:fldCharType="separate"/>
            </w:r>
            <w:r>
              <w:rPr>
                <w:noProof/>
                <w:webHidden/>
              </w:rPr>
              <w:t>14</w:t>
            </w:r>
            <w:r>
              <w:rPr>
                <w:noProof/>
                <w:webHidden/>
              </w:rPr>
              <w:fldChar w:fldCharType="end"/>
            </w:r>
          </w:hyperlink>
        </w:p>
        <w:p w14:paraId="09F7F5AA" w14:textId="48F5B665" w:rsidR="00936023" w:rsidRDefault="00936023">
          <w:pPr>
            <w:pStyle w:val="TOC1"/>
            <w:tabs>
              <w:tab w:val="right" w:leader="dot" w:pos="9350"/>
            </w:tabs>
            <w:rPr>
              <w:rFonts w:eastAsiaTheme="minorEastAsia"/>
              <w:noProof/>
              <w:sz w:val="24"/>
              <w:szCs w:val="24"/>
              <w:lang w:eastAsia="en-GB"/>
            </w:rPr>
          </w:pPr>
          <w:hyperlink w:anchor="_Toc214807212" w:history="1">
            <w:r w:rsidRPr="007F762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_Toc214807212 \h </w:instrText>
            </w:r>
            <w:r>
              <w:rPr>
                <w:noProof/>
                <w:webHidden/>
              </w:rPr>
            </w:r>
            <w:r>
              <w:rPr>
                <w:noProof/>
                <w:webHidden/>
              </w:rPr>
              <w:fldChar w:fldCharType="separate"/>
            </w:r>
            <w:r>
              <w:rPr>
                <w:noProof/>
                <w:webHidden/>
              </w:rPr>
              <w:t>15</w:t>
            </w:r>
            <w:r>
              <w:rPr>
                <w:noProof/>
                <w:webHidden/>
              </w:rPr>
              <w:fldChar w:fldCharType="end"/>
            </w:r>
          </w:hyperlink>
        </w:p>
        <w:p w14:paraId="08983C40" w14:textId="1792F2D9" w:rsidR="00936023" w:rsidRDefault="00936023">
          <w:pPr>
            <w:pStyle w:val="TOC1"/>
            <w:tabs>
              <w:tab w:val="right" w:leader="dot" w:pos="9350"/>
            </w:tabs>
            <w:rPr>
              <w:rFonts w:eastAsiaTheme="minorEastAsia"/>
              <w:noProof/>
              <w:sz w:val="24"/>
              <w:szCs w:val="24"/>
              <w:lang w:eastAsia="en-GB"/>
            </w:rPr>
          </w:pPr>
          <w:hyperlink w:anchor="_Toc214807213" w:history="1">
            <w:r w:rsidRPr="007F762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_Toc214807213 \h </w:instrText>
            </w:r>
            <w:r>
              <w:rPr>
                <w:noProof/>
                <w:webHidden/>
              </w:rPr>
            </w:r>
            <w:r>
              <w:rPr>
                <w:noProof/>
                <w:webHidden/>
              </w:rPr>
              <w:fldChar w:fldCharType="separate"/>
            </w:r>
            <w:r>
              <w:rPr>
                <w:noProof/>
                <w:webHidden/>
              </w:rPr>
              <w:t>16</w:t>
            </w:r>
            <w:r>
              <w:rPr>
                <w:noProof/>
                <w:webHidden/>
              </w:rPr>
              <w:fldChar w:fldCharType="end"/>
            </w:r>
          </w:hyperlink>
        </w:p>
        <w:p w14:paraId="4EF1C3D5" w14:textId="534C0D49" w:rsidR="00F95576" w:rsidRPr="003C3279" w:rsidRDefault="001913FB">
          <w:pPr>
            <w:rPr>
              <w:rFonts w:ascii="Arial" w:hAnsi="Arial" w:cs="Arial"/>
            </w:rPr>
          </w:pPr>
          <w:r w:rsidRPr="003C3279">
            <w:rPr>
              <w:rFonts w:ascii="Arial" w:hAnsi="Arial" w:cs="Arial"/>
              <w:b/>
              <w:bCs/>
              <w:noProof/>
            </w:rPr>
            <w:fldChar w:fldCharType="end"/>
          </w:r>
        </w:p>
      </w:sdtContent>
    </w:sdt>
    <w:p w14:paraId="71E9961E" w14:textId="75D52D90" w:rsidR="00DA2DD2" w:rsidRPr="00CA7088" w:rsidRDefault="00DA2DD2" w:rsidP="006726A2">
      <w:pPr>
        <w:pStyle w:val="Heading1"/>
        <w:jc w:val="center"/>
        <w:rPr>
          <w:rFonts w:ascii="Arial" w:hAnsi="Arial" w:cs="Arial"/>
          <w:b/>
          <w:bCs/>
          <w:color w:val="auto"/>
          <w:sz w:val="22"/>
          <w:szCs w:val="22"/>
        </w:rPr>
      </w:pPr>
      <w:bookmarkStart w:id="0" w:name="_Toc214807195"/>
      <w:r w:rsidRPr="00CA7088">
        <w:rPr>
          <w:rFonts w:ascii="Arial" w:hAnsi="Arial" w:cs="Arial"/>
          <w:b/>
          <w:bCs/>
          <w:color w:val="auto"/>
          <w:sz w:val="22"/>
          <w:szCs w:val="22"/>
        </w:rPr>
        <w:lastRenderedPageBreak/>
        <w:t>Executive Summary</w:t>
      </w:r>
      <w:bookmarkEnd w:id="0"/>
      <w:r w:rsidRPr="00CA7088">
        <w:rPr>
          <w:rFonts w:ascii="Arial" w:hAnsi="Arial" w:cs="Arial"/>
          <w:b/>
          <w:bCs/>
          <w:color w:val="auto"/>
          <w:sz w:val="22"/>
          <w:szCs w:val="22"/>
        </w:rPr>
        <w:t xml:space="preserve"> </w:t>
      </w:r>
    </w:p>
    <w:p w14:paraId="348D43EA" w14:textId="5FEEE94A" w:rsidR="00DA2DD2" w:rsidRPr="00CA7088" w:rsidRDefault="00DA2DD2" w:rsidP="00DA2DD2">
      <w:pPr>
        <w:rPr>
          <w:rFonts w:ascii="Arial" w:hAnsi="Arial" w:cs="Arial"/>
        </w:rPr>
      </w:pPr>
      <w:r w:rsidRPr="00CA7088">
        <w:rPr>
          <w:rFonts w:ascii="Arial" w:hAnsi="Arial" w:cs="Arial"/>
        </w:rPr>
        <w:t>This report critically evaluates the strategic position and future direction of Fixatex</w:t>
      </w:r>
      <w:r w:rsidR="00B07556" w:rsidRPr="00CA7088">
        <w:rPr>
          <w:rFonts w:ascii="Arial" w:hAnsi="Arial" w:cs="Arial"/>
        </w:rPr>
        <w:t xml:space="preserve">. This is particularly in consideration of </w:t>
      </w:r>
      <w:r w:rsidR="008F1C44" w:rsidRPr="00CA7088">
        <w:rPr>
          <w:rFonts w:ascii="Arial" w:hAnsi="Arial" w:cs="Arial"/>
        </w:rPr>
        <w:t xml:space="preserve">the influences of the business environment on the current strategic position and future direction. Applying theories and models such as PESTEL and Porter’s Five Forces framework in evaluating the influences of the external business environment, and Porter’s Value Chain Analysis and SWOT analysis to evaluate the </w:t>
      </w:r>
      <w:r w:rsidR="00150219" w:rsidRPr="00CA7088">
        <w:rPr>
          <w:rFonts w:ascii="Arial" w:hAnsi="Arial" w:cs="Arial"/>
        </w:rPr>
        <w:t xml:space="preserve">internal business environment, this report highlighted the threats from the competitive environment, as well as the high inflation from the economic environment. However, it is also evident that Fixatex </w:t>
      </w:r>
      <w:r w:rsidR="00CA7088" w:rsidRPr="00CA7088">
        <w:rPr>
          <w:rFonts w:ascii="Arial" w:hAnsi="Arial" w:cs="Arial"/>
        </w:rPr>
        <w:t>possess</w:t>
      </w:r>
      <w:r w:rsidR="00150219" w:rsidRPr="00CA7088">
        <w:rPr>
          <w:rFonts w:ascii="Arial" w:hAnsi="Arial" w:cs="Arial"/>
        </w:rPr>
        <w:t xml:space="preserve"> strategic capabilities such as </w:t>
      </w:r>
      <w:r w:rsidR="00942A25" w:rsidRPr="00CA7088">
        <w:rPr>
          <w:rFonts w:ascii="Arial" w:hAnsi="Arial" w:cs="Arial"/>
        </w:rPr>
        <w:t>a stable logistics infrastructure and use of advanced technologies, which allow it to pursue its strategic vision, mission and objectives.</w:t>
      </w:r>
      <w:r w:rsidR="00A73E41" w:rsidRPr="00CA7088">
        <w:rPr>
          <w:rFonts w:ascii="Arial" w:hAnsi="Arial" w:cs="Arial"/>
        </w:rPr>
        <w:t xml:space="preserve"> In tapping into the opportunities presented from the development within its business environment and strengthen its competitive position and achieve </w:t>
      </w:r>
      <w:r w:rsidR="00D47B58" w:rsidRPr="00CA7088">
        <w:rPr>
          <w:rFonts w:ascii="Arial" w:hAnsi="Arial" w:cs="Arial"/>
        </w:rPr>
        <w:t>strategic growth,</w:t>
      </w:r>
      <w:r w:rsidR="00942A25" w:rsidRPr="00CA7088">
        <w:rPr>
          <w:rFonts w:ascii="Arial" w:hAnsi="Arial" w:cs="Arial"/>
        </w:rPr>
        <w:t xml:space="preserve"> </w:t>
      </w:r>
      <w:r w:rsidR="00A73E41" w:rsidRPr="00CA7088">
        <w:rPr>
          <w:rFonts w:ascii="Arial" w:hAnsi="Arial" w:cs="Arial"/>
        </w:rPr>
        <w:t>this report employed the use of Ansoff matrix in proposing market penetration as a strategic direction for consideration. This owes to the minimal risks associated with this strategic choice. To help mitigate the challenges in the implementation, this report recommends more integration of technology such as data analytics and consideration of strategic partnerships</w:t>
      </w:r>
      <w:r w:rsidR="00CA7088">
        <w:rPr>
          <w:rFonts w:ascii="Arial" w:hAnsi="Arial" w:cs="Arial"/>
        </w:rPr>
        <w:t>.</w:t>
      </w:r>
    </w:p>
    <w:p w14:paraId="512CBDF9" w14:textId="77777777" w:rsidR="00DA2DD2" w:rsidRPr="00CA7088" w:rsidRDefault="00DA2DD2" w:rsidP="00DA2DD2">
      <w:pPr>
        <w:rPr>
          <w:rFonts w:ascii="Arial" w:hAnsi="Arial" w:cs="Arial"/>
        </w:rPr>
      </w:pPr>
    </w:p>
    <w:p w14:paraId="200EE0DC" w14:textId="77777777" w:rsidR="00024591" w:rsidRPr="003C3279" w:rsidRDefault="00024591">
      <w:pPr>
        <w:rPr>
          <w:rFonts w:ascii="Arial" w:eastAsiaTheme="majorEastAsia" w:hAnsi="Arial" w:cs="Arial"/>
          <w:b/>
          <w:bCs/>
        </w:rPr>
      </w:pPr>
      <w:r w:rsidRPr="003C3279">
        <w:rPr>
          <w:rFonts w:ascii="Arial" w:hAnsi="Arial" w:cs="Arial"/>
          <w:b/>
          <w:bCs/>
        </w:rPr>
        <w:br w:type="page"/>
      </w:r>
    </w:p>
    <w:p w14:paraId="15F27B6C" w14:textId="0CE9FCE6" w:rsidR="00C85573" w:rsidRPr="003C3279" w:rsidRDefault="00F95576" w:rsidP="006726A2">
      <w:pPr>
        <w:pStyle w:val="Heading1"/>
        <w:jc w:val="center"/>
        <w:rPr>
          <w:rFonts w:ascii="Arial" w:hAnsi="Arial" w:cs="Arial"/>
          <w:b/>
          <w:bCs/>
          <w:color w:val="auto"/>
          <w:sz w:val="22"/>
          <w:szCs w:val="22"/>
        </w:rPr>
      </w:pPr>
      <w:bookmarkStart w:id="1" w:name="_Toc214807196"/>
      <w:r w:rsidRPr="003C3279">
        <w:rPr>
          <w:rFonts w:ascii="Arial" w:hAnsi="Arial" w:cs="Arial"/>
          <w:b/>
          <w:bCs/>
          <w:color w:val="auto"/>
          <w:sz w:val="22"/>
          <w:szCs w:val="22"/>
        </w:rPr>
        <w:lastRenderedPageBreak/>
        <w:t>Introduction</w:t>
      </w:r>
      <w:bookmarkEnd w:id="1"/>
      <w:r w:rsidR="00DA2DD2" w:rsidRPr="003C3279">
        <w:rPr>
          <w:rFonts w:ascii="Arial" w:hAnsi="Arial" w:cs="Arial"/>
          <w:b/>
          <w:bCs/>
          <w:color w:val="auto"/>
          <w:sz w:val="22"/>
          <w:szCs w:val="22"/>
        </w:rPr>
        <w:t xml:space="preserve"> </w:t>
      </w:r>
    </w:p>
    <w:p w14:paraId="1108BA65" w14:textId="77777777" w:rsidR="00D0655A" w:rsidRPr="00CA7088" w:rsidRDefault="006726A2">
      <w:pPr>
        <w:rPr>
          <w:rFonts w:ascii="Arial" w:hAnsi="Arial" w:cs="Arial"/>
        </w:rPr>
      </w:pPr>
      <w:r w:rsidRPr="003C3279">
        <w:rPr>
          <w:rFonts w:ascii="Arial" w:hAnsi="Arial" w:cs="Arial"/>
        </w:rPr>
        <w:t xml:space="preserve">The business environment has a big influence on business strategies. </w:t>
      </w:r>
      <w:r w:rsidR="004D107B" w:rsidRPr="003C3279">
        <w:rPr>
          <w:rFonts w:ascii="Arial" w:hAnsi="Arial" w:cs="Arial"/>
        </w:rPr>
        <w:t>A</w:t>
      </w:r>
      <w:r w:rsidR="003A0F51" w:rsidRPr="003C3279">
        <w:rPr>
          <w:rFonts w:ascii="Arial" w:hAnsi="Arial" w:cs="Arial"/>
        </w:rPr>
        <w:t xml:space="preserve">s highlighted by Kraja </w:t>
      </w:r>
      <w:r w:rsidR="003A0F51" w:rsidRPr="00CA7088">
        <w:rPr>
          <w:rFonts w:ascii="Arial" w:hAnsi="Arial" w:cs="Arial"/>
        </w:rPr>
        <w:t>and Osmani (2015), this influence of business environment on business strategies becomes pronounced in the case of SMEs, largely because of their context relating to access to resource</w:t>
      </w:r>
      <w:r w:rsidR="00233AE1" w:rsidRPr="00CA7088">
        <w:rPr>
          <w:rFonts w:ascii="Arial" w:hAnsi="Arial" w:cs="Arial"/>
        </w:rPr>
        <w:t>s</w:t>
      </w:r>
      <w:r w:rsidR="003A0F51" w:rsidRPr="00CA7088">
        <w:rPr>
          <w:rFonts w:ascii="Arial" w:hAnsi="Arial" w:cs="Arial"/>
        </w:rPr>
        <w:t xml:space="preserve">. </w:t>
      </w:r>
      <w:r w:rsidRPr="00CA7088">
        <w:rPr>
          <w:rFonts w:ascii="Arial" w:hAnsi="Arial" w:cs="Arial"/>
        </w:rPr>
        <w:t xml:space="preserve">This includes the competitive environment and the ability of the business to respond to the developments within </w:t>
      </w:r>
      <w:r w:rsidR="000863C9" w:rsidRPr="00CA7088">
        <w:rPr>
          <w:rFonts w:ascii="Arial" w:hAnsi="Arial" w:cs="Arial"/>
        </w:rPr>
        <w:t>the</w:t>
      </w:r>
      <w:r w:rsidRPr="00CA7088">
        <w:rPr>
          <w:rFonts w:ascii="Arial" w:hAnsi="Arial" w:cs="Arial"/>
        </w:rPr>
        <w:t xml:space="preserve"> external environment</w:t>
      </w:r>
      <w:r w:rsidR="007C1581" w:rsidRPr="00CA7088">
        <w:rPr>
          <w:rFonts w:ascii="Arial" w:hAnsi="Arial" w:cs="Arial"/>
        </w:rPr>
        <w:t>,</w:t>
      </w:r>
      <w:r w:rsidRPr="00CA7088">
        <w:rPr>
          <w:rFonts w:ascii="Arial" w:hAnsi="Arial" w:cs="Arial"/>
        </w:rPr>
        <w:t xml:space="preserve"> driven by its strategic capabilities.</w:t>
      </w:r>
      <w:r w:rsidR="004E72F6" w:rsidRPr="00CA7088">
        <w:rPr>
          <w:rFonts w:ascii="Arial" w:hAnsi="Arial" w:cs="Arial"/>
        </w:rPr>
        <w:t xml:space="preserve"> To demonstrate th</w:t>
      </w:r>
      <w:r w:rsidR="009C3771" w:rsidRPr="00CA7088">
        <w:rPr>
          <w:rFonts w:ascii="Arial" w:hAnsi="Arial" w:cs="Arial"/>
        </w:rPr>
        <w:t>ese</w:t>
      </w:r>
      <w:r w:rsidR="004E72F6" w:rsidRPr="00CA7088">
        <w:rPr>
          <w:rFonts w:ascii="Arial" w:hAnsi="Arial" w:cs="Arial"/>
        </w:rPr>
        <w:t xml:space="preserve"> </w:t>
      </w:r>
      <w:r w:rsidR="009C3771" w:rsidRPr="00CA7088">
        <w:rPr>
          <w:rFonts w:ascii="Arial" w:hAnsi="Arial" w:cs="Arial"/>
        </w:rPr>
        <w:t xml:space="preserve">impacts and influences, this report </w:t>
      </w:r>
      <w:r w:rsidR="00BE0C79" w:rsidRPr="00CA7088">
        <w:rPr>
          <w:rFonts w:ascii="Arial" w:hAnsi="Arial" w:cs="Arial"/>
        </w:rPr>
        <w:t>adopts models and frameworks including the SWOT, PESTEL and Ansoff’s Matrix in</w:t>
      </w:r>
      <w:r w:rsidR="009C3771" w:rsidRPr="00CA7088">
        <w:rPr>
          <w:rFonts w:ascii="Arial" w:hAnsi="Arial" w:cs="Arial"/>
        </w:rPr>
        <w:t xml:space="preserve"> the case of Fixatex, an SME operating in the UK electrical services sector.</w:t>
      </w:r>
      <w:r w:rsidR="00127FE8" w:rsidRPr="00CA7088">
        <w:rPr>
          <w:rFonts w:ascii="Arial" w:hAnsi="Arial" w:cs="Arial"/>
        </w:rPr>
        <w:t xml:space="preserve"> </w:t>
      </w:r>
    </w:p>
    <w:p w14:paraId="2E481DF9" w14:textId="77777777" w:rsidR="00D0655A" w:rsidRPr="00CA7088" w:rsidRDefault="00127FE8">
      <w:pPr>
        <w:rPr>
          <w:rFonts w:ascii="Arial" w:hAnsi="Arial" w:cs="Arial"/>
        </w:rPr>
      </w:pPr>
      <w:r w:rsidRPr="00CA7088">
        <w:rPr>
          <w:rFonts w:ascii="Arial" w:hAnsi="Arial" w:cs="Arial"/>
        </w:rPr>
        <w:t xml:space="preserve">Porter’s Value </w:t>
      </w:r>
      <w:r w:rsidR="00F81C41" w:rsidRPr="00CA7088">
        <w:rPr>
          <w:rFonts w:ascii="Arial" w:hAnsi="Arial" w:cs="Arial"/>
        </w:rPr>
        <w:t>Chain analysis</w:t>
      </w:r>
      <w:r w:rsidR="009F58F5" w:rsidRPr="00CA7088">
        <w:rPr>
          <w:rFonts w:ascii="Arial" w:hAnsi="Arial" w:cs="Arial"/>
        </w:rPr>
        <w:t xml:space="preserve"> as used will look at the strategic capabilities of the business through its primary and support (secondary) activities in identifying the strengths and areas of inefficiency (Tard, 2022; Zamora, 2016). The SWOT analysis summarises these strategic capabilities (SW) and highlights opportunities and threats from the external environment. </w:t>
      </w:r>
      <w:r w:rsidR="00E43E7B" w:rsidRPr="00CA7088">
        <w:rPr>
          <w:rFonts w:ascii="Arial" w:hAnsi="Arial" w:cs="Arial"/>
        </w:rPr>
        <w:t xml:space="preserve">These models in evaluating Fixatex’s internal environment will highlight how the company is positioned in relation to its objectives and in response to the forces from the external business environment. </w:t>
      </w:r>
      <w:r w:rsidR="00920F64" w:rsidRPr="00CA7088">
        <w:rPr>
          <w:rFonts w:ascii="Arial" w:hAnsi="Arial" w:cs="Arial"/>
        </w:rPr>
        <w:t xml:space="preserve">The PESTEL framework </w:t>
      </w:r>
      <w:proofErr w:type="gramStart"/>
      <w:r w:rsidR="00920F64" w:rsidRPr="00CA7088">
        <w:rPr>
          <w:rFonts w:ascii="Arial" w:hAnsi="Arial" w:cs="Arial"/>
        </w:rPr>
        <w:t>looks into</w:t>
      </w:r>
      <w:proofErr w:type="gramEnd"/>
      <w:r w:rsidR="00920F64" w:rsidRPr="00CA7088">
        <w:rPr>
          <w:rFonts w:ascii="Arial" w:hAnsi="Arial" w:cs="Arial"/>
        </w:rPr>
        <w:t xml:space="preserve"> the external environment by evaluating the political, economic, social, technological, environmental and legal factors</w:t>
      </w:r>
      <w:r w:rsidR="00193526" w:rsidRPr="00CA7088">
        <w:rPr>
          <w:rFonts w:ascii="Arial" w:hAnsi="Arial" w:cs="Arial"/>
        </w:rPr>
        <w:t xml:space="preserve"> and how they stand to affect the business and its strategic position</w:t>
      </w:r>
      <w:r w:rsidR="00B048E8" w:rsidRPr="00CA7088">
        <w:rPr>
          <w:rFonts w:ascii="Arial" w:hAnsi="Arial" w:cs="Arial"/>
        </w:rPr>
        <w:t xml:space="preserve">. Within this external environment, Porter’s Five Forces </w:t>
      </w:r>
      <w:proofErr w:type="gramStart"/>
      <w:r w:rsidR="006A5E29" w:rsidRPr="00CA7088">
        <w:rPr>
          <w:rFonts w:ascii="Arial" w:hAnsi="Arial" w:cs="Arial"/>
        </w:rPr>
        <w:t>looks into</w:t>
      </w:r>
      <w:proofErr w:type="gramEnd"/>
      <w:r w:rsidR="006A5E29" w:rsidRPr="00CA7088">
        <w:rPr>
          <w:rFonts w:ascii="Arial" w:hAnsi="Arial" w:cs="Arial"/>
        </w:rPr>
        <w:t xml:space="preserve"> the competitive position of Fixatex in relation to five competitive </w:t>
      </w:r>
      <w:proofErr w:type="gramStart"/>
      <w:r w:rsidR="006A5E29" w:rsidRPr="00CA7088">
        <w:rPr>
          <w:rFonts w:ascii="Arial" w:hAnsi="Arial" w:cs="Arial"/>
        </w:rPr>
        <w:t>forces;</w:t>
      </w:r>
      <w:proofErr w:type="gramEnd"/>
      <w:r w:rsidR="006A5E29" w:rsidRPr="00CA7088">
        <w:rPr>
          <w:rFonts w:ascii="Arial" w:hAnsi="Arial" w:cs="Arial"/>
        </w:rPr>
        <w:t xml:space="preserve"> threat of new entries, threat of substitute products, threat of industry competition, bargaining power of buyers, and bargaining power of suppliers. </w:t>
      </w:r>
      <w:r w:rsidR="00CB3F23" w:rsidRPr="00CA7088">
        <w:rPr>
          <w:rFonts w:ascii="Arial" w:hAnsi="Arial" w:cs="Arial"/>
        </w:rPr>
        <w:t xml:space="preserve">These two models define Fixatex’s strategic position in relation to its external environment. </w:t>
      </w:r>
    </w:p>
    <w:p w14:paraId="4AD960B2" w14:textId="16E36FE3" w:rsidR="00F95576" w:rsidRPr="00CA7088" w:rsidRDefault="009B0038">
      <w:pPr>
        <w:rPr>
          <w:rFonts w:ascii="Arial" w:hAnsi="Arial" w:cs="Arial"/>
        </w:rPr>
      </w:pPr>
      <w:r w:rsidRPr="00CA7088">
        <w:rPr>
          <w:rFonts w:ascii="Arial" w:hAnsi="Arial" w:cs="Arial"/>
        </w:rPr>
        <w:t xml:space="preserve">This report will also apply Ansoff’s matrix, which proposes possible strategic growth directions that can be considered by Fixatex. </w:t>
      </w:r>
      <w:r w:rsidR="008D06CD" w:rsidRPr="00CA7088">
        <w:rPr>
          <w:rFonts w:ascii="Arial" w:hAnsi="Arial" w:cs="Arial"/>
        </w:rPr>
        <w:t xml:space="preserve">The implementation and consideration of these strategic directions shall have to consider stakeholder interests, which is why this report applies </w:t>
      </w:r>
      <w:r w:rsidR="009E3615" w:rsidRPr="00CA7088">
        <w:rPr>
          <w:rFonts w:ascii="Arial" w:hAnsi="Arial" w:cs="Arial"/>
        </w:rPr>
        <w:lastRenderedPageBreak/>
        <w:t xml:space="preserve">Mendelow’s </w:t>
      </w:r>
      <w:r w:rsidR="008D06CD" w:rsidRPr="00CA7088">
        <w:rPr>
          <w:rFonts w:ascii="Arial" w:hAnsi="Arial" w:cs="Arial"/>
        </w:rPr>
        <w:t>stakeholder matrix</w:t>
      </w:r>
      <w:r w:rsidR="009E3615" w:rsidRPr="00CA7088">
        <w:rPr>
          <w:rFonts w:ascii="Arial" w:hAnsi="Arial" w:cs="Arial"/>
        </w:rPr>
        <w:t xml:space="preserve">. The Mendelow’s stakeholder matrix places different stakeholders in different quadrants based on their power and interest in the strategic directions. The RACI matrix in its application for Fixatex guides the implementation of the proposed strategy. This model </w:t>
      </w:r>
      <w:r w:rsidR="000F0BCB" w:rsidRPr="00CA7088">
        <w:rPr>
          <w:rFonts w:ascii="Arial" w:hAnsi="Arial" w:cs="Arial"/>
        </w:rPr>
        <w:t xml:space="preserve">sets out the roles and responsibilities of stakeholders in terms of those Responsible, Accountable, to be Consulted and those to be Informed. </w:t>
      </w:r>
    </w:p>
    <w:p w14:paraId="4BB126DA" w14:textId="649A0F0F" w:rsidR="00471EF0" w:rsidRPr="00CA7088" w:rsidRDefault="00B000F8" w:rsidP="00471EF0">
      <w:pPr>
        <w:pStyle w:val="Heading2"/>
        <w:rPr>
          <w:rFonts w:ascii="Arial" w:hAnsi="Arial" w:cs="Arial"/>
          <w:b/>
          <w:bCs/>
          <w:color w:val="auto"/>
          <w:sz w:val="22"/>
          <w:szCs w:val="22"/>
        </w:rPr>
      </w:pPr>
      <w:bookmarkStart w:id="2" w:name="_Toc214807197"/>
      <w:r w:rsidRPr="00CA7088">
        <w:rPr>
          <w:rFonts w:ascii="Arial" w:hAnsi="Arial" w:cs="Arial"/>
          <w:b/>
          <w:bCs/>
          <w:color w:val="auto"/>
          <w:sz w:val="22"/>
          <w:szCs w:val="22"/>
        </w:rPr>
        <w:t xml:space="preserve">Appraisal of </w:t>
      </w:r>
      <w:r w:rsidR="00471EF0" w:rsidRPr="00CA7088">
        <w:rPr>
          <w:rFonts w:ascii="Arial" w:hAnsi="Arial" w:cs="Arial"/>
          <w:b/>
          <w:bCs/>
          <w:color w:val="auto"/>
          <w:sz w:val="22"/>
          <w:szCs w:val="22"/>
        </w:rPr>
        <w:t>Fixatex</w:t>
      </w:r>
      <w:r w:rsidRPr="00CA7088">
        <w:rPr>
          <w:rFonts w:ascii="Arial" w:hAnsi="Arial" w:cs="Arial"/>
          <w:b/>
          <w:bCs/>
          <w:color w:val="auto"/>
          <w:sz w:val="22"/>
          <w:szCs w:val="22"/>
        </w:rPr>
        <w:t xml:space="preserve"> current strategic direction</w:t>
      </w:r>
      <w:bookmarkEnd w:id="2"/>
      <w:r w:rsidR="00DA2DD2" w:rsidRPr="00CA7088">
        <w:rPr>
          <w:rFonts w:ascii="Arial" w:hAnsi="Arial" w:cs="Arial"/>
          <w:b/>
          <w:bCs/>
          <w:color w:val="auto"/>
          <w:sz w:val="22"/>
          <w:szCs w:val="22"/>
        </w:rPr>
        <w:t xml:space="preserve"> </w:t>
      </w:r>
    </w:p>
    <w:p w14:paraId="19A8D52B" w14:textId="0BFC8300" w:rsidR="00471EF0" w:rsidRPr="00CA7088" w:rsidRDefault="00315CB8">
      <w:pPr>
        <w:rPr>
          <w:rFonts w:ascii="Arial" w:hAnsi="Arial" w:cs="Arial"/>
        </w:rPr>
      </w:pPr>
      <w:r w:rsidRPr="00CA7088">
        <w:rPr>
          <w:rFonts w:ascii="Arial" w:hAnsi="Arial" w:cs="Arial"/>
        </w:rPr>
        <w:t>Mission: The company mission of Fixatex is to use its qualified and experienced team of experts to provide high quality service. This shows a commitment to quality and customer satisfaction (Fixatex, 2025).</w:t>
      </w:r>
    </w:p>
    <w:p w14:paraId="64C9562C" w14:textId="2322ECD7" w:rsidR="00315CB8" w:rsidRPr="00CA7088" w:rsidRDefault="00061D3F">
      <w:pPr>
        <w:rPr>
          <w:rFonts w:ascii="Arial" w:hAnsi="Arial" w:cs="Arial"/>
        </w:rPr>
      </w:pPr>
      <w:r w:rsidRPr="00CA7088">
        <w:rPr>
          <w:rFonts w:ascii="Arial" w:hAnsi="Arial" w:cs="Arial"/>
        </w:rPr>
        <w:t xml:space="preserve">Vision: Colin Candler founded Fixatex with a singular vision of bringing high standards developed in his experience to a wider range of clients (Fixatex, 2025). </w:t>
      </w:r>
    </w:p>
    <w:p w14:paraId="4D8F24C3" w14:textId="191D04E6" w:rsidR="00CC24EE" w:rsidRPr="00CA7088" w:rsidRDefault="00CC24EE">
      <w:pPr>
        <w:rPr>
          <w:rFonts w:ascii="Arial" w:hAnsi="Arial" w:cs="Arial"/>
        </w:rPr>
      </w:pPr>
      <w:r w:rsidRPr="00CA7088">
        <w:rPr>
          <w:rFonts w:ascii="Arial" w:hAnsi="Arial" w:cs="Arial"/>
        </w:rPr>
        <w:t xml:space="preserve">Core values: </w:t>
      </w:r>
    </w:p>
    <w:p w14:paraId="1B65C68C" w14:textId="235CA894" w:rsidR="00CC24EE" w:rsidRPr="00CA7088" w:rsidRDefault="00CC24EE" w:rsidP="00CC24EE">
      <w:pPr>
        <w:pStyle w:val="ListParagraph"/>
        <w:numPr>
          <w:ilvl w:val="0"/>
          <w:numId w:val="5"/>
        </w:numPr>
        <w:rPr>
          <w:rFonts w:ascii="Arial" w:hAnsi="Arial" w:cs="Arial"/>
        </w:rPr>
      </w:pPr>
      <w:r w:rsidRPr="00CA7088">
        <w:rPr>
          <w:rFonts w:ascii="Arial" w:hAnsi="Arial" w:cs="Arial"/>
        </w:rPr>
        <w:t>Care like its family</w:t>
      </w:r>
    </w:p>
    <w:p w14:paraId="2A0C28E2" w14:textId="7899D15A" w:rsidR="00CC24EE" w:rsidRPr="00CA7088" w:rsidRDefault="00CC24EE" w:rsidP="00CC24EE">
      <w:pPr>
        <w:pStyle w:val="ListParagraph"/>
        <w:numPr>
          <w:ilvl w:val="0"/>
          <w:numId w:val="5"/>
        </w:numPr>
        <w:rPr>
          <w:rFonts w:ascii="Arial" w:hAnsi="Arial" w:cs="Arial"/>
        </w:rPr>
      </w:pPr>
      <w:r w:rsidRPr="00CA7088">
        <w:rPr>
          <w:rFonts w:ascii="Arial" w:hAnsi="Arial" w:cs="Arial"/>
        </w:rPr>
        <w:t>Ownership at every level</w:t>
      </w:r>
    </w:p>
    <w:p w14:paraId="0E519072" w14:textId="63280F6A" w:rsidR="00CC24EE" w:rsidRPr="00CA7088" w:rsidRDefault="00CC24EE" w:rsidP="00CC24EE">
      <w:pPr>
        <w:pStyle w:val="ListParagraph"/>
        <w:numPr>
          <w:ilvl w:val="0"/>
          <w:numId w:val="5"/>
        </w:numPr>
        <w:rPr>
          <w:rFonts w:ascii="Arial" w:hAnsi="Arial" w:cs="Arial"/>
        </w:rPr>
      </w:pPr>
      <w:r w:rsidRPr="00CA7088">
        <w:rPr>
          <w:rFonts w:ascii="Arial" w:hAnsi="Arial" w:cs="Arial"/>
        </w:rPr>
        <w:t>One team with integrity</w:t>
      </w:r>
    </w:p>
    <w:p w14:paraId="592CA1A8" w14:textId="599F6C35" w:rsidR="00CC24EE" w:rsidRPr="00CA7088" w:rsidRDefault="00CC24EE" w:rsidP="00CC24EE">
      <w:pPr>
        <w:pStyle w:val="ListParagraph"/>
        <w:numPr>
          <w:ilvl w:val="0"/>
          <w:numId w:val="5"/>
        </w:numPr>
        <w:rPr>
          <w:rFonts w:ascii="Arial" w:hAnsi="Arial" w:cs="Arial"/>
        </w:rPr>
      </w:pPr>
      <w:r w:rsidRPr="00CA7088">
        <w:rPr>
          <w:rFonts w:ascii="Arial" w:hAnsi="Arial" w:cs="Arial"/>
        </w:rPr>
        <w:t xml:space="preserve">Keep raising the bar </w:t>
      </w:r>
    </w:p>
    <w:p w14:paraId="39E6BE73" w14:textId="6AB89BFC" w:rsidR="00AC7C73" w:rsidRPr="00CA7088" w:rsidRDefault="00AC7C73" w:rsidP="00AC7C73">
      <w:pPr>
        <w:rPr>
          <w:rFonts w:ascii="Arial" w:hAnsi="Arial" w:cs="Arial"/>
        </w:rPr>
      </w:pPr>
      <w:r w:rsidRPr="00CA7088">
        <w:rPr>
          <w:rFonts w:ascii="Arial" w:hAnsi="Arial" w:cs="Arial"/>
        </w:rPr>
        <w:t>Strategic objectives:</w:t>
      </w:r>
    </w:p>
    <w:p w14:paraId="3F2F69F5" w14:textId="12809905" w:rsidR="00AC7C73" w:rsidRPr="00CA7088" w:rsidRDefault="00AC7C73" w:rsidP="00AC7C73">
      <w:pPr>
        <w:pStyle w:val="ListParagraph"/>
        <w:numPr>
          <w:ilvl w:val="0"/>
          <w:numId w:val="6"/>
        </w:numPr>
        <w:rPr>
          <w:rFonts w:ascii="Arial" w:hAnsi="Arial" w:cs="Arial"/>
        </w:rPr>
      </w:pPr>
      <w:r w:rsidRPr="00CA7088">
        <w:rPr>
          <w:rFonts w:ascii="Arial" w:hAnsi="Arial" w:cs="Arial"/>
        </w:rPr>
        <w:t>To maintain high levels of standards and compliance</w:t>
      </w:r>
    </w:p>
    <w:p w14:paraId="0E3BE870" w14:textId="4E9E5310" w:rsidR="00AC7C73" w:rsidRPr="00CA7088" w:rsidRDefault="00AC7C73" w:rsidP="00AC7C73">
      <w:pPr>
        <w:pStyle w:val="ListParagraph"/>
        <w:numPr>
          <w:ilvl w:val="0"/>
          <w:numId w:val="6"/>
        </w:numPr>
        <w:rPr>
          <w:rFonts w:ascii="Arial" w:hAnsi="Arial" w:cs="Arial"/>
        </w:rPr>
      </w:pPr>
      <w:r w:rsidRPr="00CA7088">
        <w:rPr>
          <w:rFonts w:ascii="Arial" w:hAnsi="Arial" w:cs="Arial"/>
        </w:rPr>
        <w:t>To provide a personalised customer experience with ownership at every level</w:t>
      </w:r>
    </w:p>
    <w:p w14:paraId="3DD683E2" w14:textId="577FAF3B" w:rsidR="00AC7C73" w:rsidRPr="00CA7088" w:rsidRDefault="00AC7C73" w:rsidP="00AC7C73">
      <w:pPr>
        <w:pStyle w:val="ListParagraph"/>
        <w:numPr>
          <w:ilvl w:val="0"/>
          <w:numId w:val="6"/>
        </w:numPr>
        <w:rPr>
          <w:rFonts w:ascii="Arial" w:hAnsi="Arial" w:cs="Arial"/>
        </w:rPr>
      </w:pPr>
      <w:r w:rsidRPr="00CA7088">
        <w:rPr>
          <w:rFonts w:ascii="Arial" w:hAnsi="Arial" w:cs="Arial"/>
        </w:rPr>
        <w:t>To raise the bar in pursuit of customer satisfaction</w:t>
      </w:r>
    </w:p>
    <w:p w14:paraId="0E9E4CFE" w14:textId="20F72369" w:rsidR="007151BC" w:rsidRPr="00CA7088" w:rsidRDefault="007151BC" w:rsidP="00AC7C73">
      <w:pPr>
        <w:pStyle w:val="ListParagraph"/>
        <w:numPr>
          <w:ilvl w:val="0"/>
          <w:numId w:val="6"/>
        </w:numPr>
        <w:rPr>
          <w:rFonts w:ascii="Arial" w:hAnsi="Arial" w:cs="Arial"/>
        </w:rPr>
      </w:pPr>
      <w:r w:rsidRPr="00CA7088">
        <w:rPr>
          <w:rFonts w:ascii="Arial" w:hAnsi="Arial" w:cs="Arial"/>
        </w:rPr>
        <w:t>To be at the forefront of advancing community wellbeing, caring like its family</w:t>
      </w:r>
    </w:p>
    <w:p w14:paraId="4DBDEA1C" w14:textId="49FCC95D" w:rsidR="007151BC" w:rsidRPr="00CA7088" w:rsidRDefault="007151BC" w:rsidP="00AC7C73">
      <w:pPr>
        <w:pStyle w:val="ListParagraph"/>
        <w:numPr>
          <w:ilvl w:val="0"/>
          <w:numId w:val="6"/>
        </w:numPr>
        <w:rPr>
          <w:rFonts w:ascii="Arial" w:hAnsi="Arial" w:cs="Arial"/>
        </w:rPr>
      </w:pPr>
      <w:r w:rsidRPr="00CA7088">
        <w:rPr>
          <w:rFonts w:ascii="Arial" w:hAnsi="Arial" w:cs="Arial"/>
        </w:rPr>
        <w:t xml:space="preserve">To drive sustainable growth </w:t>
      </w:r>
    </w:p>
    <w:p w14:paraId="1E7D4BD0" w14:textId="1D0D275F" w:rsidR="007151BC" w:rsidRPr="00CA7088" w:rsidRDefault="007151BC" w:rsidP="007151BC">
      <w:pPr>
        <w:rPr>
          <w:rFonts w:ascii="Arial" w:hAnsi="Arial" w:cs="Arial"/>
        </w:rPr>
      </w:pPr>
      <w:r w:rsidRPr="00CA7088">
        <w:rPr>
          <w:rFonts w:ascii="Arial" w:hAnsi="Arial" w:cs="Arial"/>
        </w:rPr>
        <w:t xml:space="preserve">(Fixatex, 2025). </w:t>
      </w:r>
    </w:p>
    <w:p w14:paraId="77DD9043" w14:textId="09C8DB45" w:rsidR="00B91CA3" w:rsidRPr="003C3279" w:rsidRDefault="00044C5C">
      <w:pPr>
        <w:rPr>
          <w:rFonts w:ascii="Arial" w:hAnsi="Arial" w:cs="Arial"/>
        </w:rPr>
      </w:pPr>
      <w:r w:rsidRPr="003C3279">
        <w:rPr>
          <w:rFonts w:ascii="Arial" w:hAnsi="Arial" w:cs="Arial"/>
        </w:rPr>
        <w:lastRenderedPageBreak/>
        <w:t>Th</w:t>
      </w:r>
      <w:r w:rsidR="00EC3D4F" w:rsidRPr="003C3279">
        <w:rPr>
          <w:rFonts w:ascii="Arial" w:hAnsi="Arial" w:cs="Arial"/>
        </w:rPr>
        <w:t xml:space="preserve">e case studies of Fixatex’s projects with Notting Hill Genesis that involved EICR, Fire Protection and emergency lighting, as well as the London and Quadrant EICR project is testament to this </w:t>
      </w:r>
      <w:r w:rsidR="00462804" w:rsidRPr="003C3279">
        <w:rPr>
          <w:rFonts w:ascii="Arial" w:hAnsi="Arial" w:cs="Arial"/>
        </w:rPr>
        <w:t xml:space="preserve">customer-centric approach. </w:t>
      </w:r>
    </w:p>
    <w:p w14:paraId="304CBF4D" w14:textId="799090C6" w:rsidR="00B000F8" w:rsidRPr="003C3279" w:rsidRDefault="00462804">
      <w:pPr>
        <w:rPr>
          <w:rFonts w:ascii="Arial" w:hAnsi="Arial" w:cs="Arial"/>
        </w:rPr>
      </w:pPr>
      <w:r w:rsidRPr="003C3279">
        <w:rPr>
          <w:rFonts w:ascii="Arial" w:hAnsi="Arial" w:cs="Arial"/>
        </w:rPr>
        <w:t xml:space="preserve">In these projects, Fixatex sought to engage the clients and involve them throughout the project design and implementation. Its pool of qualified and experienced engineers </w:t>
      </w:r>
      <w:r w:rsidR="0000585B" w:rsidRPr="003C3279">
        <w:rPr>
          <w:rFonts w:ascii="Arial" w:hAnsi="Arial" w:cs="Arial"/>
        </w:rPr>
        <w:t>ensured high quality services that demonstrate the objectives to provide quality, ensure customer satisfaction and advance care for its people (Fixatex, 2025</w:t>
      </w:r>
      <w:r w:rsidR="009D22A0" w:rsidRPr="003C3279">
        <w:rPr>
          <w:rFonts w:ascii="Arial" w:hAnsi="Arial" w:cs="Arial"/>
        </w:rPr>
        <w:t xml:space="preserve">; </w:t>
      </w:r>
      <w:proofErr w:type="spellStart"/>
      <w:r w:rsidR="009D22A0" w:rsidRPr="003C3279">
        <w:rPr>
          <w:rFonts w:ascii="Arial" w:hAnsi="Arial" w:cs="Arial"/>
        </w:rPr>
        <w:t>Zoominfo</w:t>
      </w:r>
      <w:proofErr w:type="spellEnd"/>
      <w:r w:rsidR="009D22A0" w:rsidRPr="003C3279">
        <w:rPr>
          <w:rFonts w:ascii="Arial" w:hAnsi="Arial" w:cs="Arial"/>
        </w:rPr>
        <w:t>, 2025</w:t>
      </w:r>
      <w:r w:rsidR="0000585B" w:rsidRPr="003C3279">
        <w:rPr>
          <w:rFonts w:ascii="Arial" w:hAnsi="Arial" w:cs="Arial"/>
        </w:rPr>
        <w:t>)</w:t>
      </w:r>
      <w:r w:rsidR="00B1162F" w:rsidRPr="003C3279">
        <w:rPr>
          <w:rFonts w:ascii="Arial" w:hAnsi="Arial" w:cs="Arial"/>
        </w:rPr>
        <w:t xml:space="preserve">. </w:t>
      </w:r>
    </w:p>
    <w:p w14:paraId="62CE1A7E" w14:textId="50AA5B00" w:rsidR="0089199E" w:rsidRPr="003C3279" w:rsidRDefault="0089199E" w:rsidP="00EA756E">
      <w:pPr>
        <w:jc w:val="center"/>
        <w:rPr>
          <w:rFonts w:ascii="Arial" w:hAnsi="Arial" w:cs="Arial"/>
        </w:rPr>
      </w:pPr>
      <w:r w:rsidRPr="003C3279">
        <w:rPr>
          <w:rFonts w:ascii="Arial" w:hAnsi="Arial" w:cs="Arial"/>
          <w:noProof/>
        </w:rPr>
        <w:drawing>
          <wp:inline distT="0" distB="0" distL="0" distR="0" wp14:anchorId="3271EB76" wp14:editId="76EB8DC5">
            <wp:extent cx="5943600" cy="1720850"/>
            <wp:effectExtent l="0" t="0" r="0" b="0"/>
            <wp:docPr id="1009774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774745" name=""/>
                    <pic:cNvPicPr/>
                  </pic:nvPicPr>
                  <pic:blipFill>
                    <a:blip r:embed="rId9"/>
                    <a:stretch>
                      <a:fillRect/>
                    </a:stretch>
                  </pic:blipFill>
                  <pic:spPr>
                    <a:xfrm>
                      <a:off x="0" y="0"/>
                      <a:ext cx="5943600" cy="1720850"/>
                    </a:xfrm>
                    <a:prstGeom prst="rect">
                      <a:avLst/>
                    </a:prstGeom>
                  </pic:spPr>
                </pic:pic>
              </a:graphicData>
            </a:graphic>
          </wp:inline>
        </w:drawing>
      </w:r>
    </w:p>
    <w:p w14:paraId="41C7445A" w14:textId="7DDAA78F" w:rsidR="0089199E" w:rsidRPr="003C3279" w:rsidRDefault="0089199E" w:rsidP="00EA756E">
      <w:pPr>
        <w:jc w:val="center"/>
        <w:rPr>
          <w:rFonts w:ascii="Arial" w:hAnsi="Arial" w:cs="Arial"/>
          <w:i/>
          <w:iCs/>
        </w:rPr>
      </w:pPr>
      <w:r w:rsidRPr="003C3279">
        <w:rPr>
          <w:rFonts w:ascii="Arial" w:hAnsi="Arial" w:cs="Arial"/>
          <w:i/>
          <w:iCs/>
        </w:rPr>
        <w:t>Some of Fixatex’s certifications as show of quality service. Source: Fixatex (2025).</w:t>
      </w:r>
    </w:p>
    <w:p w14:paraId="69C40035" w14:textId="4B964F10" w:rsidR="0089199E" w:rsidRPr="003C3279" w:rsidRDefault="00667E02" w:rsidP="00FC5C67">
      <w:pPr>
        <w:pStyle w:val="Heading1"/>
        <w:jc w:val="center"/>
        <w:rPr>
          <w:rFonts w:ascii="Arial" w:hAnsi="Arial" w:cs="Arial"/>
          <w:b/>
          <w:bCs/>
          <w:color w:val="auto"/>
          <w:sz w:val="22"/>
          <w:szCs w:val="22"/>
        </w:rPr>
      </w:pPr>
      <w:bookmarkStart w:id="3" w:name="_Toc214807198"/>
      <w:r w:rsidRPr="003C3279">
        <w:rPr>
          <w:rFonts w:ascii="Arial" w:hAnsi="Arial" w:cs="Arial"/>
          <w:b/>
          <w:bCs/>
          <w:color w:val="auto"/>
          <w:sz w:val="22"/>
          <w:szCs w:val="22"/>
        </w:rPr>
        <w:t xml:space="preserve">Fixatex’s environmental scan and </w:t>
      </w:r>
      <w:r w:rsidR="00190D4A" w:rsidRPr="003C3279">
        <w:rPr>
          <w:rFonts w:ascii="Arial" w:hAnsi="Arial" w:cs="Arial"/>
          <w:b/>
          <w:bCs/>
          <w:color w:val="auto"/>
          <w:sz w:val="22"/>
          <w:szCs w:val="22"/>
        </w:rPr>
        <w:t>competitive position</w:t>
      </w:r>
      <w:bookmarkEnd w:id="3"/>
    </w:p>
    <w:p w14:paraId="3FD18207" w14:textId="149E1D06" w:rsidR="00190D4A" w:rsidRPr="003C3279" w:rsidRDefault="00105AB1" w:rsidP="002E727E">
      <w:pPr>
        <w:pStyle w:val="Heading1"/>
        <w:jc w:val="left"/>
        <w:rPr>
          <w:rFonts w:ascii="Arial" w:hAnsi="Arial" w:cs="Arial"/>
          <w:b/>
          <w:bCs/>
          <w:color w:val="auto"/>
          <w:sz w:val="22"/>
          <w:szCs w:val="22"/>
        </w:rPr>
      </w:pPr>
      <w:bookmarkStart w:id="4" w:name="_Toc214807199"/>
      <w:r w:rsidRPr="003C3279">
        <w:rPr>
          <w:rFonts w:ascii="Arial" w:hAnsi="Arial" w:cs="Arial"/>
          <w:b/>
          <w:bCs/>
          <w:color w:val="auto"/>
          <w:sz w:val="22"/>
          <w:szCs w:val="22"/>
        </w:rPr>
        <w:t>Review of the internal environment</w:t>
      </w:r>
      <w:bookmarkEnd w:id="4"/>
      <w:r w:rsidRPr="003C3279">
        <w:rPr>
          <w:rFonts w:ascii="Arial" w:hAnsi="Arial" w:cs="Arial"/>
          <w:b/>
          <w:bCs/>
          <w:color w:val="auto"/>
          <w:sz w:val="22"/>
          <w:szCs w:val="22"/>
        </w:rPr>
        <w:t xml:space="preserve"> </w:t>
      </w:r>
    </w:p>
    <w:p w14:paraId="049675F9" w14:textId="211AB3B1" w:rsidR="00105AB1" w:rsidRPr="003C3279" w:rsidRDefault="009F7FCE">
      <w:pPr>
        <w:rPr>
          <w:rFonts w:ascii="Arial" w:hAnsi="Arial" w:cs="Arial"/>
        </w:rPr>
      </w:pPr>
      <w:r w:rsidRPr="003C3279">
        <w:rPr>
          <w:rFonts w:ascii="Arial" w:hAnsi="Arial" w:cs="Arial"/>
        </w:rPr>
        <w:t xml:space="preserve">In a scan of the internal environment to show the strategic capabilities of the UK SME, a SWOT analysis and Value Chain analysis is employed. The outcome is as </w:t>
      </w:r>
      <w:proofErr w:type="gramStart"/>
      <w:r w:rsidRPr="003C3279">
        <w:rPr>
          <w:rFonts w:ascii="Arial" w:hAnsi="Arial" w:cs="Arial"/>
        </w:rPr>
        <w:t>follows;</w:t>
      </w:r>
      <w:proofErr w:type="gramEnd"/>
    </w:p>
    <w:p w14:paraId="0CD85A24" w14:textId="5EB13EBC" w:rsidR="009F7FCE" w:rsidRPr="003C3279" w:rsidRDefault="009F7FCE" w:rsidP="002E727E">
      <w:pPr>
        <w:pStyle w:val="Heading2"/>
        <w:rPr>
          <w:rFonts w:ascii="Arial" w:hAnsi="Arial" w:cs="Arial"/>
          <w:b/>
          <w:bCs/>
          <w:color w:val="auto"/>
          <w:sz w:val="22"/>
          <w:szCs w:val="22"/>
        </w:rPr>
      </w:pPr>
      <w:bookmarkStart w:id="5" w:name="_Toc214807200"/>
      <w:r w:rsidRPr="003C3279">
        <w:rPr>
          <w:rFonts w:ascii="Arial" w:hAnsi="Arial" w:cs="Arial"/>
          <w:b/>
          <w:bCs/>
          <w:color w:val="auto"/>
          <w:sz w:val="22"/>
          <w:szCs w:val="22"/>
        </w:rPr>
        <w:t>Value Chain analysis</w:t>
      </w:r>
      <w:bookmarkEnd w:id="5"/>
    </w:p>
    <w:p w14:paraId="07651A07" w14:textId="3A70A62A" w:rsidR="009F7FCE" w:rsidRPr="003C3279" w:rsidRDefault="002D2824">
      <w:pPr>
        <w:rPr>
          <w:rFonts w:ascii="Arial" w:hAnsi="Arial" w:cs="Arial"/>
        </w:rPr>
      </w:pPr>
      <w:r w:rsidRPr="003C3279">
        <w:rPr>
          <w:rFonts w:ascii="Arial" w:hAnsi="Arial" w:cs="Arial"/>
        </w:rPr>
        <w:t xml:space="preserve">The value chain analysis looks at the strategic capabilities of the business through its primary and support (secondary) activities in identifying the strengths and areas of inefficiency (Tard, 2022; </w:t>
      </w:r>
      <w:r w:rsidR="00BC27CE" w:rsidRPr="003C3279">
        <w:rPr>
          <w:rFonts w:ascii="Arial" w:hAnsi="Arial" w:cs="Arial"/>
        </w:rPr>
        <w:t xml:space="preserve">Zamora, 2016). </w:t>
      </w:r>
      <w:r w:rsidR="00811D11" w:rsidRPr="003C3279">
        <w:rPr>
          <w:rFonts w:ascii="Arial" w:hAnsi="Arial" w:cs="Arial"/>
        </w:rPr>
        <w:t xml:space="preserve">For Fixatex, a breakdown of this is as </w:t>
      </w:r>
      <w:proofErr w:type="gramStart"/>
      <w:r w:rsidR="00811D11" w:rsidRPr="003C3279">
        <w:rPr>
          <w:rFonts w:ascii="Arial" w:hAnsi="Arial" w:cs="Arial"/>
        </w:rPr>
        <w:t>follows;</w:t>
      </w:r>
      <w:proofErr w:type="gramEnd"/>
    </w:p>
    <w:p w14:paraId="2E19280D" w14:textId="23DACC30" w:rsidR="00811D11" w:rsidRPr="003C3279" w:rsidRDefault="009A7663">
      <w:pPr>
        <w:rPr>
          <w:rFonts w:ascii="Arial" w:hAnsi="Arial" w:cs="Arial"/>
          <w:i/>
          <w:iCs/>
        </w:rPr>
      </w:pPr>
      <w:r w:rsidRPr="003C3279">
        <w:rPr>
          <w:rFonts w:ascii="Arial" w:hAnsi="Arial" w:cs="Arial"/>
          <w:i/>
          <w:iCs/>
        </w:rPr>
        <w:lastRenderedPageBreak/>
        <w:t>Primary activities</w:t>
      </w:r>
    </w:p>
    <w:p w14:paraId="494BBB4F" w14:textId="68D9478A" w:rsidR="009A7663" w:rsidRPr="003C3279" w:rsidRDefault="009A7663">
      <w:pPr>
        <w:rPr>
          <w:rFonts w:ascii="Arial" w:hAnsi="Arial" w:cs="Arial"/>
        </w:rPr>
      </w:pPr>
      <w:r w:rsidRPr="003C3279">
        <w:rPr>
          <w:rFonts w:ascii="Arial" w:hAnsi="Arial" w:cs="Arial"/>
        </w:rPr>
        <w:t>Inbound logistics: Fixatex</w:t>
      </w:r>
      <w:r w:rsidR="00A61C42" w:rsidRPr="003C3279">
        <w:rPr>
          <w:rFonts w:ascii="Arial" w:hAnsi="Arial" w:cs="Arial"/>
        </w:rPr>
        <w:t>’s warehouse in Hertford ensures the teams are efficiently facilitated in unde</w:t>
      </w:r>
      <w:r w:rsidR="00933E62" w:rsidRPr="003C3279">
        <w:rPr>
          <w:rFonts w:ascii="Arial" w:hAnsi="Arial" w:cs="Arial"/>
        </w:rPr>
        <w:t>rtaking project implementations</w:t>
      </w:r>
      <w:r w:rsidR="00F36ACF" w:rsidRPr="003C3279">
        <w:rPr>
          <w:rFonts w:ascii="Arial" w:hAnsi="Arial" w:cs="Arial"/>
        </w:rPr>
        <w:t xml:space="preserve"> across the street lighting, electrical maintenance and testing departments (Fixatex, 2025). </w:t>
      </w:r>
    </w:p>
    <w:p w14:paraId="28B5465E" w14:textId="290FA0E5" w:rsidR="00F36ACF" w:rsidRPr="003C3279" w:rsidRDefault="00F36ACF">
      <w:pPr>
        <w:rPr>
          <w:rFonts w:ascii="Arial" w:hAnsi="Arial" w:cs="Arial"/>
        </w:rPr>
      </w:pPr>
      <w:r w:rsidRPr="003C3279">
        <w:rPr>
          <w:rFonts w:ascii="Arial" w:hAnsi="Arial" w:cs="Arial"/>
        </w:rPr>
        <w:t xml:space="preserve">Operations: </w:t>
      </w:r>
      <w:r w:rsidR="00630154" w:rsidRPr="003C3279">
        <w:rPr>
          <w:rFonts w:ascii="Arial" w:hAnsi="Arial" w:cs="Arial"/>
        </w:rPr>
        <w:t xml:space="preserve">Its team of 85 highly qualified and certified engineers across the departments ensure high quality customer services. </w:t>
      </w:r>
      <w:r w:rsidR="00FD0CD7" w:rsidRPr="003C3279">
        <w:rPr>
          <w:rFonts w:ascii="Arial" w:hAnsi="Arial" w:cs="Arial"/>
        </w:rPr>
        <w:t xml:space="preserve">These engineers work closely with the clients such as </w:t>
      </w:r>
      <w:r w:rsidR="0099096B" w:rsidRPr="003C3279">
        <w:rPr>
          <w:rFonts w:ascii="Arial" w:hAnsi="Arial" w:cs="Arial"/>
        </w:rPr>
        <w:t>Peabody in ensuring proactive and live reporting of progress during the contracts (Fixatex, 2025).</w:t>
      </w:r>
    </w:p>
    <w:p w14:paraId="21A9A712" w14:textId="60973643" w:rsidR="0099096B" w:rsidRPr="003C3279" w:rsidRDefault="002A4600">
      <w:pPr>
        <w:rPr>
          <w:rFonts w:ascii="Arial" w:hAnsi="Arial" w:cs="Arial"/>
        </w:rPr>
      </w:pPr>
      <w:r w:rsidRPr="003C3279">
        <w:rPr>
          <w:rFonts w:ascii="Arial" w:hAnsi="Arial" w:cs="Arial"/>
        </w:rPr>
        <w:t xml:space="preserve">Outbound logistics: Fixatex boasts of 79 customer-serving vehicles, including 10 electric vehicles, that deliver the contract teams on site and effectively responds to client needs (Fixatex, 2025). </w:t>
      </w:r>
    </w:p>
    <w:p w14:paraId="70CF00ED" w14:textId="0113C4B0" w:rsidR="00717DAD" w:rsidRPr="003C3279" w:rsidRDefault="00717DAD">
      <w:pPr>
        <w:rPr>
          <w:rFonts w:ascii="Arial" w:hAnsi="Arial" w:cs="Arial"/>
        </w:rPr>
      </w:pPr>
      <w:r w:rsidRPr="003C3279">
        <w:rPr>
          <w:rFonts w:ascii="Arial" w:hAnsi="Arial" w:cs="Arial"/>
        </w:rPr>
        <w:t>Marketing and sales: Fixatex uses its case studies to demonstrate excellent customer service</w:t>
      </w:r>
      <w:r w:rsidR="000C3F47" w:rsidRPr="003C3279">
        <w:rPr>
          <w:rFonts w:ascii="Arial" w:hAnsi="Arial" w:cs="Arial"/>
        </w:rPr>
        <w:t>, while also engaging directly with prospective clients like it did with London and Quadrant</w:t>
      </w:r>
      <w:r w:rsidRPr="003C3279">
        <w:rPr>
          <w:rFonts w:ascii="Arial" w:hAnsi="Arial" w:cs="Arial"/>
        </w:rPr>
        <w:t>. In addition to this, the company operates social media accounts in X and Link</w:t>
      </w:r>
      <w:r w:rsidR="00B55FF1" w:rsidRPr="003C3279">
        <w:rPr>
          <w:rFonts w:ascii="Arial" w:hAnsi="Arial" w:cs="Arial"/>
        </w:rPr>
        <w:t>e</w:t>
      </w:r>
      <w:r w:rsidRPr="003C3279">
        <w:rPr>
          <w:rFonts w:ascii="Arial" w:hAnsi="Arial" w:cs="Arial"/>
        </w:rPr>
        <w:t>d</w:t>
      </w:r>
      <w:r w:rsidR="00B55FF1" w:rsidRPr="003C3279">
        <w:rPr>
          <w:rFonts w:ascii="Arial" w:hAnsi="Arial" w:cs="Arial"/>
        </w:rPr>
        <w:t xml:space="preserve">In to drive its brand awareness (Fixatex, 2025). </w:t>
      </w:r>
    </w:p>
    <w:p w14:paraId="292B86FD" w14:textId="51ADBAA7" w:rsidR="003B16CB" w:rsidRPr="003C3279" w:rsidRDefault="003B16CB">
      <w:pPr>
        <w:rPr>
          <w:rFonts w:ascii="Arial" w:hAnsi="Arial" w:cs="Arial"/>
        </w:rPr>
      </w:pPr>
      <w:r w:rsidRPr="003C3279">
        <w:rPr>
          <w:rFonts w:ascii="Arial" w:hAnsi="Arial" w:cs="Arial"/>
        </w:rPr>
        <w:t xml:space="preserve">Services: </w:t>
      </w:r>
      <w:r w:rsidR="003D7740" w:rsidRPr="003C3279">
        <w:rPr>
          <w:rFonts w:ascii="Arial" w:hAnsi="Arial" w:cs="Arial"/>
        </w:rPr>
        <w:t xml:space="preserve">Fixatex’s dedicated teams across departments and divisions ensure specialised and quality services. This is illustrated by </w:t>
      </w:r>
      <w:r w:rsidR="00FB54BF" w:rsidRPr="003C3279">
        <w:rPr>
          <w:rFonts w:ascii="Arial" w:hAnsi="Arial" w:cs="Arial"/>
        </w:rPr>
        <w:t xml:space="preserve">ISO 9001 and 14001 certifications, among others as </w:t>
      </w:r>
      <w:r w:rsidR="00041138" w:rsidRPr="003C3279">
        <w:rPr>
          <w:rFonts w:ascii="Arial" w:hAnsi="Arial" w:cs="Arial"/>
        </w:rPr>
        <w:t xml:space="preserve">highlighted beforehand. </w:t>
      </w:r>
      <w:r w:rsidR="002C1E49" w:rsidRPr="003C3279">
        <w:rPr>
          <w:rFonts w:ascii="Arial" w:hAnsi="Arial" w:cs="Arial"/>
        </w:rPr>
        <w:t xml:space="preserve">Client approval is also testament to this excellent customer service (Fixatex, 2025). </w:t>
      </w:r>
    </w:p>
    <w:p w14:paraId="404D53BC" w14:textId="41CD5E4E" w:rsidR="002624DC" w:rsidRPr="003C3279" w:rsidRDefault="00F464D4">
      <w:pPr>
        <w:rPr>
          <w:rFonts w:ascii="Arial" w:hAnsi="Arial" w:cs="Arial"/>
          <w:i/>
          <w:iCs/>
        </w:rPr>
      </w:pPr>
      <w:r w:rsidRPr="003C3279">
        <w:rPr>
          <w:rFonts w:ascii="Arial" w:hAnsi="Arial" w:cs="Arial"/>
          <w:i/>
          <w:iCs/>
        </w:rPr>
        <w:t xml:space="preserve">Support activities </w:t>
      </w:r>
    </w:p>
    <w:p w14:paraId="0307558C" w14:textId="63F16B17" w:rsidR="00F464D4" w:rsidRPr="003C3279" w:rsidRDefault="00F464D4">
      <w:pPr>
        <w:rPr>
          <w:rFonts w:ascii="Arial" w:hAnsi="Arial" w:cs="Arial"/>
        </w:rPr>
      </w:pPr>
      <w:r w:rsidRPr="003C3279">
        <w:rPr>
          <w:rFonts w:ascii="Arial" w:hAnsi="Arial" w:cs="Arial"/>
        </w:rPr>
        <w:t xml:space="preserve">Procurement: </w:t>
      </w:r>
      <w:r w:rsidR="0058426C" w:rsidRPr="003C3279">
        <w:rPr>
          <w:rFonts w:ascii="Arial" w:hAnsi="Arial" w:cs="Arial"/>
        </w:rPr>
        <w:t xml:space="preserve">The company locally obtains its materials, with the warehouse at Hertford serving as the focal point in ensuring all departments are equipped. </w:t>
      </w:r>
    </w:p>
    <w:p w14:paraId="66FBD601" w14:textId="7F82C2AC" w:rsidR="0058426C" w:rsidRPr="003C3279" w:rsidRDefault="0058426C">
      <w:pPr>
        <w:rPr>
          <w:rFonts w:ascii="Arial" w:hAnsi="Arial" w:cs="Arial"/>
        </w:rPr>
      </w:pPr>
      <w:r w:rsidRPr="003C3279">
        <w:rPr>
          <w:rFonts w:ascii="Arial" w:hAnsi="Arial" w:cs="Arial"/>
        </w:rPr>
        <w:t xml:space="preserve">Technological development: </w:t>
      </w:r>
      <w:r w:rsidR="001D6575" w:rsidRPr="003C3279">
        <w:rPr>
          <w:rFonts w:ascii="Arial" w:hAnsi="Arial" w:cs="Arial"/>
        </w:rPr>
        <w:t>Fixatex employs advanced technologies in designing and execution of its project designs. This includes 3D as well as AI-based simulations and rendering, while also adopting electrification in its mobility operations with 10 electric vehicles</w:t>
      </w:r>
      <w:r w:rsidR="00F157EB" w:rsidRPr="003C3279">
        <w:rPr>
          <w:rFonts w:ascii="Arial" w:hAnsi="Arial" w:cs="Arial"/>
        </w:rPr>
        <w:t xml:space="preserve">. </w:t>
      </w:r>
    </w:p>
    <w:p w14:paraId="6E500E06" w14:textId="7F7A7787" w:rsidR="003F312C" w:rsidRPr="003C3279" w:rsidRDefault="003F312C">
      <w:pPr>
        <w:rPr>
          <w:rFonts w:ascii="Arial" w:hAnsi="Arial" w:cs="Arial"/>
        </w:rPr>
      </w:pPr>
      <w:r w:rsidRPr="003C3279">
        <w:rPr>
          <w:rFonts w:ascii="Arial" w:hAnsi="Arial" w:cs="Arial"/>
        </w:rPr>
        <w:lastRenderedPageBreak/>
        <w:t xml:space="preserve">Human resources: The company recruits and hires </w:t>
      </w:r>
      <w:r w:rsidR="00C4678A" w:rsidRPr="003C3279">
        <w:rPr>
          <w:rFonts w:ascii="Arial" w:hAnsi="Arial" w:cs="Arial"/>
        </w:rPr>
        <w:t xml:space="preserve">qualified engineers and other staff, with all its contracts carried out by fully employed staff (Fixatex, 2025). The team of 85 engineers and other staff are incentivised by benefits as seen </w:t>
      </w:r>
      <w:proofErr w:type="gramStart"/>
      <w:r w:rsidR="00C4678A" w:rsidRPr="003C3279">
        <w:rPr>
          <w:rFonts w:ascii="Arial" w:hAnsi="Arial" w:cs="Arial"/>
        </w:rPr>
        <w:t>below;</w:t>
      </w:r>
      <w:proofErr w:type="gramEnd"/>
    </w:p>
    <w:p w14:paraId="2E12AA77" w14:textId="25A9C2D3" w:rsidR="00C4678A" w:rsidRPr="003C3279" w:rsidRDefault="00B100A3" w:rsidP="003E75A6">
      <w:pPr>
        <w:jc w:val="center"/>
        <w:rPr>
          <w:rFonts w:ascii="Arial" w:hAnsi="Arial" w:cs="Arial"/>
        </w:rPr>
      </w:pPr>
      <w:r w:rsidRPr="003C3279">
        <w:rPr>
          <w:rFonts w:ascii="Arial" w:hAnsi="Arial" w:cs="Arial"/>
          <w:noProof/>
        </w:rPr>
        <w:drawing>
          <wp:inline distT="0" distB="0" distL="0" distR="0" wp14:anchorId="7CA3CF46" wp14:editId="463470DE">
            <wp:extent cx="5943600" cy="2044700"/>
            <wp:effectExtent l="0" t="0" r="0" b="0"/>
            <wp:docPr id="1669246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246922" name=""/>
                    <pic:cNvPicPr/>
                  </pic:nvPicPr>
                  <pic:blipFill>
                    <a:blip r:embed="rId10"/>
                    <a:stretch>
                      <a:fillRect/>
                    </a:stretch>
                  </pic:blipFill>
                  <pic:spPr>
                    <a:xfrm>
                      <a:off x="0" y="0"/>
                      <a:ext cx="5943600" cy="2044700"/>
                    </a:xfrm>
                    <a:prstGeom prst="rect">
                      <a:avLst/>
                    </a:prstGeom>
                  </pic:spPr>
                </pic:pic>
              </a:graphicData>
            </a:graphic>
          </wp:inline>
        </w:drawing>
      </w:r>
    </w:p>
    <w:p w14:paraId="3A94D30C" w14:textId="432A7F51" w:rsidR="00B100A3" w:rsidRPr="003C3279" w:rsidRDefault="00B100A3" w:rsidP="003E75A6">
      <w:pPr>
        <w:jc w:val="center"/>
        <w:rPr>
          <w:rFonts w:ascii="Arial" w:hAnsi="Arial" w:cs="Arial"/>
          <w:i/>
          <w:iCs/>
        </w:rPr>
      </w:pPr>
      <w:r w:rsidRPr="003C3279">
        <w:rPr>
          <w:rFonts w:ascii="Arial" w:hAnsi="Arial" w:cs="Arial"/>
          <w:i/>
          <w:iCs/>
        </w:rPr>
        <w:t>A view of Fixatex HR management. Source: Fixatex (2025).</w:t>
      </w:r>
    </w:p>
    <w:p w14:paraId="199172D0" w14:textId="0FF5AB4C" w:rsidR="009F510E" w:rsidRPr="003C3279" w:rsidRDefault="009F510E">
      <w:pPr>
        <w:rPr>
          <w:rFonts w:ascii="Arial" w:hAnsi="Arial" w:cs="Arial"/>
        </w:rPr>
      </w:pPr>
      <w:r w:rsidRPr="003C3279">
        <w:rPr>
          <w:rFonts w:ascii="Arial" w:hAnsi="Arial" w:cs="Arial"/>
        </w:rPr>
        <w:t xml:space="preserve">Infrastructure: </w:t>
      </w:r>
      <w:r w:rsidR="00456E62" w:rsidRPr="003C3279">
        <w:rPr>
          <w:rFonts w:ascii="Arial" w:hAnsi="Arial" w:cs="Arial"/>
        </w:rPr>
        <w:t>The company has in place a well-run operation led by the C</w:t>
      </w:r>
      <w:r w:rsidR="004D107B" w:rsidRPr="003C3279">
        <w:rPr>
          <w:rFonts w:ascii="Arial" w:hAnsi="Arial" w:cs="Arial"/>
        </w:rPr>
        <w:t xml:space="preserve">hief </w:t>
      </w:r>
      <w:r w:rsidR="00456E62" w:rsidRPr="003C3279">
        <w:rPr>
          <w:rFonts w:ascii="Arial" w:hAnsi="Arial" w:cs="Arial"/>
        </w:rPr>
        <w:t>O</w:t>
      </w:r>
      <w:r w:rsidR="004D107B" w:rsidRPr="003C3279">
        <w:rPr>
          <w:rFonts w:ascii="Arial" w:hAnsi="Arial" w:cs="Arial"/>
        </w:rPr>
        <w:t xml:space="preserve">perations </w:t>
      </w:r>
      <w:r w:rsidR="00456E62" w:rsidRPr="003C3279">
        <w:rPr>
          <w:rFonts w:ascii="Arial" w:hAnsi="Arial" w:cs="Arial"/>
        </w:rPr>
        <w:t>O</w:t>
      </w:r>
      <w:r w:rsidR="004D107B" w:rsidRPr="003C3279">
        <w:rPr>
          <w:rFonts w:ascii="Arial" w:hAnsi="Arial" w:cs="Arial"/>
        </w:rPr>
        <w:t>fficer</w:t>
      </w:r>
      <w:r w:rsidR="00456E62" w:rsidRPr="003C3279">
        <w:rPr>
          <w:rFonts w:ascii="Arial" w:hAnsi="Arial" w:cs="Arial"/>
        </w:rPr>
        <w:t xml:space="preserve">, with the operations based on specialised departments and divisions. For example, there is the testing and maintenance department, streetlighting division among others, with its own warehouse and a fleet of </w:t>
      </w:r>
      <w:r w:rsidR="008669BC" w:rsidRPr="003C3279">
        <w:rPr>
          <w:rFonts w:ascii="Arial" w:hAnsi="Arial" w:cs="Arial"/>
        </w:rPr>
        <w:t xml:space="preserve">79 vehicles ensuring services and teams are deployed and equipped effectively (Fixatex, 2025). </w:t>
      </w:r>
    </w:p>
    <w:p w14:paraId="4976BC72" w14:textId="7AC7B3A6" w:rsidR="00626747" w:rsidRPr="003C3279" w:rsidRDefault="00626747" w:rsidP="002E727E">
      <w:pPr>
        <w:pStyle w:val="Heading2"/>
        <w:rPr>
          <w:rFonts w:ascii="Arial" w:hAnsi="Arial" w:cs="Arial"/>
          <w:b/>
          <w:bCs/>
          <w:color w:val="auto"/>
          <w:sz w:val="22"/>
          <w:szCs w:val="22"/>
        </w:rPr>
      </w:pPr>
      <w:bookmarkStart w:id="6" w:name="_Toc214807201"/>
      <w:r w:rsidRPr="003C3279">
        <w:rPr>
          <w:rFonts w:ascii="Arial" w:hAnsi="Arial" w:cs="Arial"/>
          <w:b/>
          <w:bCs/>
          <w:color w:val="auto"/>
          <w:sz w:val="22"/>
          <w:szCs w:val="22"/>
        </w:rPr>
        <w:t>SWOT analysis</w:t>
      </w:r>
      <w:bookmarkEnd w:id="6"/>
      <w:r w:rsidRPr="003C3279">
        <w:rPr>
          <w:rFonts w:ascii="Arial" w:hAnsi="Arial" w:cs="Arial"/>
          <w:b/>
          <w:bCs/>
          <w:color w:val="auto"/>
          <w:sz w:val="22"/>
          <w:szCs w:val="22"/>
        </w:rPr>
        <w:t xml:space="preserve"> </w:t>
      </w:r>
    </w:p>
    <w:tbl>
      <w:tblPr>
        <w:tblStyle w:val="TableGrid"/>
        <w:tblW w:w="0" w:type="auto"/>
        <w:tblLook w:val="04A0" w:firstRow="1" w:lastRow="0" w:firstColumn="1" w:lastColumn="0" w:noHBand="0" w:noVBand="1"/>
      </w:tblPr>
      <w:tblGrid>
        <w:gridCol w:w="4675"/>
        <w:gridCol w:w="4675"/>
      </w:tblGrid>
      <w:tr w:rsidR="00233AE1" w:rsidRPr="003C3279" w14:paraId="1D8BC72D" w14:textId="77777777" w:rsidTr="00A1484F">
        <w:tc>
          <w:tcPr>
            <w:tcW w:w="4675" w:type="dxa"/>
            <w:shd w:val="clear" w:color="auto" w:fill="FFFF00"/>
          </w:tcPr>
          <w:p w14:paraId="49E31490" w14:textId="77777777" w:rsidR="00DF3629" w:rsidRPr="003C3279" w:rsidRDefault="00DF3629">
            <w:pPr>
              <w:rPr>
                <w:rFonts w:ascii="Arial" w:hAnsi="Arial" w:cs="Arial"/>
              </w:rPr>
            </w:pPr>
            <w:r w:rsidRPr="003C3279">
              <w:rPr>
                <w:rFonts w:ascii="Arial" w:hAnsi="Arial" w:cs="Arial"/>
              </w:rPr>
              <w:t xml:space="preserve">Strengths </w:t>
            </w:r>
          </w:p>
          <w:p w14:paraId="172AB6CC" w14:textId="77777777" w:rsidR="00DF3629" w:rsidRPr="003C3279" w:rsidRDefault="00C5456B" w:rsidP="00DF3629">
            <w:pPr>
              <w:pStyle w:val="ListParagraph"/>
              <w:numPr>
                <w:ilvl w:val="0"/>
                <w:numId w:val="1"/>
              </w:numPr>
              <w:rPr>
                <w:rFonts w:ascii="Arial" w:hAnsi="Arial" w:cs="Arial"/>
              </w:rPr>
            </w:pPr>
            <w:r w:rsidRPr="003C3279">
              <w:rPr>
                <w:rFonts w:ascii="Arial" w:hAnsi="Arial" w:cs="Arial"/>
              </w:rPr>
              <w:t>Strong reputation for quality service</w:t>
            </w:r>
          </w:p>
          <w:p w14:paraId="07D9850F" w14:textId="77777777" w:rsidR="00C5456B" w:rsidRPr="003C3279" w:rsidRDefault="00C5456B" w:rsidP="00DF3629">
            <w:pPr>
              <w:pStyle w:val="ListParagraph"/>
              <w:numPr>
                <w:ilvl w:val="0"/>
                <w:numId w:val="1"/>
              </w:numPr>
              <w:rPr>
                <w:rFonts w:ascii="Arial" w:hAnsi="Arial" w:cs="Arial"/>
              </w:rPr>
            </w:pPr>
            <w:r w:rsidRPr="003C3279">
              <w:rPr>
                <w:rFonts w:ascii="Arial" w:hAnsi="Arial" w:cs="Arial"/>
              </w:rPr>
              <w:t>Strong team of qualified engineers and experts</w:t>
            </w:r>
          </w:p>
          <w:p w14:paraId="59C65C09" w14:textId="77777777" w:rsidR="00C5456B" w:rsidRPr="003C3279" w:rsidRDefault="00C5456B" w:rsidP="00DF3629">
            <w:pPr>
              <w:pStyle w:val="ListParagraph"/>
              <w:numPr>
                <w:ilvl w:val="0"/>
                <w:numId w:val="1"/>
              </w:numPr>
              <w:rPr>
                <w:rFonts w:ascii="Arial" w:hAnsi="Arial" w:cs="Arial"/>
              </w:rPr>
            </w:pPr>
            <w:r w:rsidRPr="003C3279">
              <w:rPr>
                <w:rFonts w:ascii="Arial" w:hAnsi="Arial" w:cs="Arial"/>
              </w:rPr>
              <w:t>Fleet of 79 vehicles and warehouse to coordinate and facilitate field teams</w:t>
            </w:r>
          </w:p>
          <w:p w14:paraId="162B8A66" w14:textId="49EBF5CC" w:rsidR="00C5456B" w:rsidRPr="003C3279" w:rsidRDefault="00C5456B" w:rsidP="00DF3629">
            <w:pPr>
              <w:pStyle w:val="ListParagraph"/>
              <w:numPr>
                <w:ilvl w:val="0"/>
                <w:numId w:val="1"/>
              </w:numPr>
              <w:rPr>
                <w:rFonts w:ascii="Arial" w:hAnsi="Arial" w:cs="Arial"/>
              </w:rPr>
            </w:pPr>
            <w:r w:rsidRPr="003C3279">
              <w:rPr>
                <w:rFonts w:ascii="Arial" w:hAnsi="Arial" w:cs="Arial"/>
              </w:rPr>
              <w:t xml:space="preserve">Strong customer loyalty </w:t>
            </w:r>
          </w:p>
        </w:tc>
        <w:tc>
          <w:tcPr>
            <w:tcW w:w="4675" w:type="dxa"/>
            <w:shd w:val="clear" w:color="auto" w:fill="C45911" w:themeFill="accent2" w:themeFillShade="BF"/>
          </w:tcPr>
          <w:p w14:paraId="299DE0D5" w14:textId="77777777" w:rsidR="00DF3629" w:rsidRPr="003C3279" w:rsidRDefault="00DF3629">
            <w:pPr>
              <w:rPr>
                <w:rFonts w:ascii="Arial" w:hAnsi="Arial" w:cs="Arial"/>
              </w:rPr>
            </w:pPr>
            <w:r w:rsidRPr="003C3279">
              <w:rPr>
                <w:rFonts w:ascii="Arial" w:hAnsi="Arial" w:cs="Arial"/>
              </w:rPr>
              <w:t>Weaknesses</w:t>
            </w:r>
          </w:p>
          <w:p w14:paraId="08267D3B" w14:textId="77777777" w:rsidR="00DF3629" w:rsidRPr="003C3279" w:rsidRDefault="009D79F6" w:rsidP="00C5456B">
            <w:pPr>
              <w:pStyle w:val="ListParagraph"/>
              <w:numPr>
                <w:ilvl w:val="0"/>
                <w:numId w:val="2"/>
              </w:numPr>
              <w:rPr>
                <w:rFonts w:ascii="Arial" w:hAnsi="Arial" w:cs="Arial"/>
              </w:rPr>
            </w:pPr>
            <w:r w:rsidRPr="003C3279">
              <w:rPr>
                <w:rFonts w:ascii="Arial" w:hAnsi="Arial" w:cs="Arial"/>
              </w:rPr>
              <w:t>Small market reach</w:t>
            </w:r>
          </w:p>
          <w:p w14:paraId="0BBF00D7" w14:textId="77777777" w:rsidR="009D79F6" w:rsidRPr="003C3279" w:rsidRDefault="009D79F6" w:rsidP="00C5456B">
            <w:pPr>
              <w:pStyle w:val="ListParagraph"/>
              <w:numPr>
                <w:ilvl w:val="0"/>
                <w:numId w:val="2"/>
              </w:numPr>
              <w:rPr>
                <w:rFonts w:ascii="Arial" w:hAnsi="Arial" w:cs="Arial"/>
              </w:rPr>
            </w:pPr>
            <w:r w:rsidRPr="003C3279">
              <w:rPr>
                <w:rFonts w:ascii="Arial" w:hAnsi="Arial" w:cs="Arial"/>
              </w:rPr>
              <w:t xml:space="preserve">Has not effectively leveraged digital technologies such as automation </w:t>
            </w:r>
          </w:p>
          <w:p w14:paraId="1F69165E" w14:textId="21B2D7AA" w:rsidR="009D79F6" w:rsidRPr="003C3279" w:rsidRDefault="009D79F6" w:rsidP="00C2020E">
            <w:pPr>
              <w:pStyle w:val="ListParagraph"/>
              <w:ind w:left="780"/>
              <w:rPr>
                <w:rFonts w:ascii="Arial" w:hAnsi="Arial" w:cs="Arial"/>
              </w:rPr>
            </w:pPr>
          </w:p>
        </w:tc>
      </w:tr>
      <w:tr w:rsidR="00233AE1" w:rsidRPr="003C3279" w14:paraId="12F34083" w14:textId="77777777" w:rsidTr="00A1484F">
        <w:tc>
          <w:tcPr>
            <w:tcW w:w="4675" w:type="dxa"/>
            <w:shd w:val="clear" w:color="auto" w:fill="00B050"/>
          </w:tcPr>
          <w:p w14:paraId="1D4543AC" w14:textId="77777777" w:rsidR="00DF3629" w:rsidRPr="003C3279" w:rsidRDefault="00DF3629">
            <w:pPr>
              <w:rPr>
                <w:rFonts w:ascii="Arial" w:hAnsi="Arial" w:cs="Arial"/>
              </w:rPr>
            </w:pPr>
            <w:r w:rsidRPr="003C3279">
              <w:rPr>
                <w:rFonts w:ascii="Arial" w:hAnsi="Arial" w:cs="Arial"/>
              </w:rPr>
              <w:t xml:space="preserve">Opportunities </w:t>
            </w:r>
          </w:p>
          <w:p w14:paraId="57ADC77C" w14:textId="77777777" w:rsidR="00DF3629" w:rsidRPr="003C3279" w:rsidRDefault="00C2020E" w:rsidP="00C2020E">
            <w:pPr>
              <w:pStyle w:val="ListParagraph"/>
              <w:numPr>
                <w:ilvl w:val="0"/>
                <w:numId w:val="4"/>
              </w:numPr>
              <w:rPr>
                <w:rFonts w:ascii="Arial" w:hAnsi="Arial" w:cs="Arial"/>
              </w:rPr>
            </w:pPr>
            <w:r w:rsidRPr="003C3279">
              <w:rPr>
                <w:rFonts w:ascii="Arial" w:hAnsi="Arial" w:cs="Arial"/>
              </w:rPr>
              <w:t>New and emerging technologies offer opportunities for enhanced efficiency</w:t>
            </w:r>
          </w:p>
          <w:p w14:paraId="1664D793" w14:textId="25D63888" w:rsidR="00C2020E" w:rsidRPr="003C3279" w:rsidRDefault="00C2020E" w:rsidP="00C2020E">
            <w:pPr>
              <w:pStyle w:val="ListParagraph"/>
              <w:numPr>
                <w:ilvl w:val="0"/>
                <w:numId w:val="4"/>
              </w:numPr>
              <w:rPr>
                <w:rFonts w:ascii="Arial" w:hAnsi="Arial" w:cs="Arial"/>
              </w:rPr>
            </w:pPr>
            <w:r w:rsidRPr="003C3279">
              <w:rPr>
                <w:rFonts w:ascii="Arial" w:hAnsi="Arial" w:cs="Arial"/>
              </w:rPr>
              <w:t>There are new markets</w:t>
            </w:r>
            <w:r w:rsidR="00C43DAE" w:rsidRPr="003C3279">
              <w:rPr>
                <w:rFonts w:ascii="Arial" w:hAnsi="Arial" w:cs="Arial"/>
              </w:rPr>
              <w:t xml:space="preserve"> within UK that can be explored</w:t>
            </w:r>
          </w:p>
        </w:tc>
        <w:tc>
          <w:tcPr>
            <w:tcW w:w="4675" w:type="dxa"/>
            <w:shd w:val="clear" w:color="auto" w:fill="2E74B5" w:themeFill="accent5" w:themeFillShade="BF"/>
          </w:tcPr>
          <w:p w14:paraId="764E3C2A" w14:textId="77777777" w:rsidR="00DF3629" w:rsidRPr="003C3279" w:rsidRDefault="00DF3629">
            <w:pPr>
              <w:rPr>
                <w:rFonts w:ascii="Arial" w:hAnsi="Arial" w:cs="Arial"/>
              </w:rPr>
            </w:pPr>
            <w:r w:rsidRPr="003C3279">
              <w:rPr>
                <w:rFonts w:ascii="Arial" w:hAnsi="Arial" w:cs="Arial"/>
              </w:rPr>
              <w:t xml:space="preserve">Threats </w:t>
            </w:r>
          </w:p>
          <w:p w14:paraId="69A5AAAA" w14:textId="77777777" w:rsidR="00DF3629" w:rsidRPr="003C3279" w:rsidRDefault="00C2020E" w:rsidP="00C2020E">
            <w:pPr>
              <w:pStyle w:val="ListParagraph"/>
              <w:numPr>
                <w:ilvl w:val="0"/>
                <w:numId w:val="3"/>
              </w:numPr>
              <w:rPr>
                <w:rFonts w:ascii="Arial" w:hAnsi="Arial" w:cs="Arial"/>
              </w:rPr>
            </w:pPr>
            <w:r w:rsidRPr="003C3279">
              <w:rPr>
                <w:rFonts w:ascii="Arial" w:hAnsi="Arial" w:cs="Arial"/>
              </w:rPr>
              <w:t>Strong competition from more established players</w:t>
            </w:r>
          </w:p>
          <w:p w14:paraId="35AEEE28" w14:textId="69651C54" w:rsidR="00C2020E" w:rsidRPr="003C3279" w:rsidRDefault="00C2020E" w:rsidP="00C2020E">
            <w:pPr>
              <w:pStyle w:val="ListParagraph"/>
              <w:numPr>
                <w:ilvl w:val="0"/>
                <w:numId w:val="3"/>
              </w:numPr>
              <w:rPr>
                <w:rFonts w:ascii="Arial" w:hAnsi="Arial" w:cs="Arial"/>
              </w:rPr>
            </w:pPr>
            <w:r w:rsidRPr="003C3279">
              <w:rPr>
                <w:rFonts w:ascii="Arial" w:hAnsi="Arial" w:cs="Arial"/>
              </w:rPr>
              <w:t>Inflation and other threats from the economic environment could affect operational costs</w:t>
            </w:r>
          </w:p>
        </w:tc>
      </w:tr>
    </w:tbl>
    <w:p w14:paraId="1F021913" w14:textId="15FDC5EF" w:rsidR="00A1484F" w:rsidRPr="003C3279" w:rsidRDefault="001B7C61" w:rsidP="002E727E">
      <w:pPr>
        <w:pStyle w:val="Heading1"/>
        <w:jc w:val="left"/>
        <w:rPr>
          <w:rFonts w:ascii="Arial" w:hAnsi="Arial" w:cs="Arial"/>
          <w:b/>
          <w:bCs/>
          <w:color w:val="auto"/>
          <w:sz w:val="22"/>
          <w:szCs w:val="22"/>
        </w:rPr>
      </w:pPr>
      <w:bookmarkStart w:id="7" w:name="_Toc214807202"/>
      <w:r w:rsidRPr="003C3279">
        <w:rPr>
          <w:rFonts w:ascii="Arial" w:hAnsi="Arial" w:cs="Arial"/>
          <w:b/>
          <w:bCs/>
          <w:color w:val="auto"/>
          <w:sz w:val="22"/>
          <w:szCs w:val="22"/>
        </w:rPr>
        <w:lastRenderedPageBreak/>
        <w:t>External environment</w:t>
      </w:r>
      <w:bookmarkEnd w:id="7"/>
      <w:r w:rsidRPr="003C3279">
        <w:rPr>
          <w:rFonts w:ascii="Arial" w:hAnsi="Arial" w:cs="Arial"/>
          <w:b/>
          <w:bCs/>
          <w:color w:val="auto"/>
          <w:sz w:val="22"/>
          <w:szCs w:val="22"/>
        </w:rPr>
        <w:t xml:space="preserve"> </w:t>
      </w:r>
    </w:p>
    <w:p w14:paraId="4821D9E0" w14:textId="6019695B" w:rsidR="001B7C61" w:rsidRPr="003C3279" w:rsidRDefault="002F5919" w:rsidP="00C8769F">
      <w:pPr>
        <w:pStyle w:val="Heading2"/>
        <w:rPr>
          <w:rFonts w:ascii="Arial" w:hAnsi="Arial" w:cs="Arial"/>
          <w:b/>
          <w:bCs/>
          <w:color w:val="auto"/>
          <w:sz w:val="22"/>
          <w:szCs w:val="22"/>
        </w:rPr>
      </w:pPr>
      <w:bookmarkStart w:id="8" w:name="_Toc214807203"/>
      <w:r w:rsidRPr="003C3279">
        <w:rPr>
          <w:rFonts w:ascii="Arial" w:hAnsi="Arial" w:cs="Arial"/>
          <w:b/>
          <w:bCs/>
          <w:color w:val="auto"/>
          <w:sz w:val="22"/>
          <w:szCs w:val="22"/>
        </w:rPr>
        <w:t>A PESTEL analysis</w:t>
      </w:r>
      <w:bookmarkEnd w:id="8"/>
    </w:p>
    <w:p w14:paraId="5BD6F247" w14:textId="5B41DB0A" w:rsidR="002F5919" w:rsidRPr="003C3279" w:rsidRDefault="002F5919">
      <w:pPr>
        <w:rPr>
          <w:rFonts w:ascii="Arial" w:hAnsi="Arial" w:cs="Arial"/>
        </w:rPr>
      </w:pPr>
      <w:r w:rsidRPr="003C3279">
        <w:rPr>
          <w:rFonts w:ascii="Arial" w:hAnsi="Arial" w:cs="Arial"/>
        </w:rPr>
        <w:t xml:space="preserve">Political factors: </w:t>
      </w:r>
      <w:r w:rsidR="00555E06" w:rsidRPr="003C3279">
        <w:rPr>
          <w:rFonts w:ascii="Arial" w:hAnsi="Arial" w:cs="Arial"/>
        </w:rPr>
        <w:t xml:space="preserve">Political decisions such as the UK government’s </w:t>
      </w:r>
      <w:r w:rsidR="00256574" w:rsidRPr="003C3279">
        <w:rPr>
          <w:rFonts w:ascii="Arial" w:hAnsi="Arial" w:cs="Arial"/>
        </w:rPr>
        <w:t xml:space="preserve">review of the minimum wage and the Net Zero 2050 target are some of the developments that could affect Fixatex’s strategic growth. </w:t>
      </w:r>
      <w:r w:rsidR="00251CE5" w:rsidRPr="003C3279">
        <w:rPr>
          <w:rFonts w:ascii="Arial" w:hAnsi="Arial" w:cs="Arial"/>
        </w:rPr>
        <w:t xml:space="preserve">The Brexit also affected the supply chain by restricting access to the EU market </w:t>
      </w:r>
      <w:r w:rsidR="00A02BDB" w:rsidRPr="003C3279">
        <w:rPr>
          <w:rFonts w:ascii="Arial" w:hAnsi="Arial" w:cs="Arial"/>
        </w:rPr>
        <w:t xml:space="preserve">(Sargent, 2023). </w:t>
      </w:r>
    </w:p>
    <w:p w14:paraId="0233D978" w14:textId="5BA7D4BD" w:rsidR="00B000F8" w:rsidRPr="003C3279" w:rsidRDefault="007A126D">
      <w:pPr>
        <w:rPr>
          <w:rFonts w:ascii="Arial" w:hAnsi="Arial" w:cs="Arial"/>
        </w:rPr>
      </w:pPr>
      <w:r w:rsidRPr="003C3279">
        <w:rPr>
          <w:rFonts w:ascii="Arial" w:hAnsi="Arial" w:cs="Arial"/>
        </w:rPr>
        <w:t>Economic factors: IC</w:t>
      </w:r>
      <w:r w:rsidR="007B3119" w:rsidRPr="003C3279">
        <w:rPr>
          <w:rFonts w:ascii="Arial" w:hAnsi="Arial" w:cs="Arial"/>
        </w:rPr>
        <w:t>AEW</w:t>
      </w:r>
      <w:r w:rsidRPr="003C3279">
        <w:rPr>
          <w:rFonts w:ascii="Arial" w:hAnsi="Arial" w:cs="Arial"/>
        </w:rPr>
        <w:t xml:space="preserve"> (2025) </w:t>
      </w:r>
      <w:r w:rsidR="007B3119" w:rsidRPr="003C3279">
        <w:rPr>
          <w:rFonts w:ascii="Arial" w:hAnsi="Arial" w:cs="Arial"/>
        </w:rPr>
        <w:t xml:space="preserve">and </w:t>
      </w:r>
      <w:proofErr w:type="spellStart"/>
      <w:r w:rsidR="007B3119" w:rsidRPr="003C3279">
        <w:rPr>
          <w:rFonts w:ascii="Arial" w:hAnsi="Arial" w:cs="Arial"/>
        </w:rPr>
        <w:t>Depointe</w:t>
      </w:r>
      <w:proofErr w:type="spellEnd"/>
      <w:r w:rsidR="007B3119" w:rsidRPr="003C3279">
        <w:rPr>
          <w:rFonts w:ascii="Arial" w:hAnsi="Arial" w:cs="Arial"/>
        </w:rPr>
        <w:t xml:space="preserve"> (2025) </w:t>
      </w:r>
      <w:r w:rsidRPr="003C3279">
        <w:rPr>
          <w:rFonts w:ascii="Arial" w:hAnsi="Arial" w:cs="Arial"/>
        </w:rPr>
        <w:t xml:space="preserve">points to high inflation and increasing costs of living in the UK, which could affect </w:t>
      </w:r>
      <w:r w:rsidR="00D85E6F" w:rsidRPr="003C3279">
        <w:rPr>
          <w:rFonts w:ascii="Arial" w:hAnsi="Arial" w:cs="Arial"/>
        </w:rPr>
        <w:t xml:space="preserve">growth projections of the company as well as profitability. </w:t>
      </w:r>
    </w:p>
    <w:p w14:paraId="76B96BA7" w14:textId="77777777" w:rsidR="0084451D" w:rsidRPr="003C3279" w:rsidRDefault="00B9179A">
      <w:pPr>
        <w:rPr>
          <w:rFonts w:ascii="Arial" w:hAnsi="Arial" w:cs="Arial"/>
        </w:rPr>
      </w:pPr>
      <w:r w:rsidRPr="003C3279">
        <w:rPr>
          <w:rFonts w:ascii="Arial" w:hAnsi="Arial" w:cs="Arial"/>
        </w:rPr>
        <w:t xml:space="preserve">Social factors: </w:t>
      </w:r>
      <w:r w:rsidR="00FE0F31" w:rsidRPr="003C3279">
        <w:rPr>
          <w:rFonts w:ascii="Arial" w:hAnsi="Arial" w:cs="Arial"/>
        </w:rPr>
        <w:t>An increasing urban population</w:t>
      </w:r>
      <w:r w:rsidR="0084451D" w:rsidRPr="003C3279">
        <w:rPr>
          <w:rFonts w:ascii="Arial" w:hAnsi="Arial" w:cs="Arial"/>
        </w:rPr>
        <w:t xml:space="preserve"> as highlighted in the urbanisation trends report from the Government Office for Science (2021)</w:t>
      </w:r>
      <w:r w:rsidR="00FE0F31" w:rsidRPr="003C3279">
        <w:rPr>
          <w:rFonts w:ascii="Arial" w:hAnsi="Arial" w:cs="Arial"/>
        </w:rPr>
        <w:t xml:space="preserve"> signals increasing demand for housing. This </w:t>
      </w:r>
      <w:proofErr w:type="gramStart"/>
      <w:r w:rsidR="00FE0F31" w:rsidRPr="003C3279">
        <w:rPr>
          <w:rFonts w:ascii="Arial" w:hAnsi="Arial" w:cs="Arial"/>
        </w:rPr>
        <w:t>opens up</w:t>
      </w:r>
      <w:proofErr w:type="gramEnd"/>
      <w:r w:rsidR="00FE0F31" w:rsidRPr="003C3279">
        <w:rPr>
          <w:rFonts w:ascii="Arial" w:hAnsi="Arial" w:cs="Arial"/>
        </w:rPr>
        <w:t xml:space="preserve"> more markets and opportunities for Fixatex.</w:t>
      </w:r>
    </w:p>
    <w:p w14:paraId="61962B45" w14:textId="3DBC6C3E" w:rsidR="00D31E01" w:rsidRPr="003C3279" w:rsidRDefault="0084451D">
      <w:pPr>
        <w:rPr>
          <w:rFonts w:ascii="Arial" w:hAnsi="Arial" w:cs="Arial"/>
        </w:rPr>
      </w:pPr>
      <w:r w:rsidRPr="003C3279">
        <w:rPr>
          <w:rFonts w:ascii="Arial" w:hAnsi="Arial" w:cs="Arial"/>
        </w:rPr>
        <w:t xml:space="preserve">Technological factors: </w:t>
      </w:r>
      <w:r w:rsidR="007F6479" w:rsidRPr="003C3279">
        <w:rPr>
          <w:rFonts w:ascii="Arial" w:hAnsi="Arial" w:cs="Arial"/>
        </w:rPr>
        <w:t>The emergence of smart technologies such as automation and 3D printing among others have revolutionised the electric services industry in UK (</w:t>
      </w:r>
      <w:r w:rsidR="007740DB" w:rsidRPr="003C3279">
        <w:rPr>
          <w:rFonts w:ascii="Arial" w:hAnsi="Arial" w:cs="Arial"/>
        </w:rPr>
        <w:t>Brown, King and Goh, 2023</w:t>
      </w:r>
      <w:r w:rsidR="001935BD" w:rsidRPr="003C3279">
        <w:rPr>
          <w:rFonts w:ascii="Arial" w:hAnsi="Arial" w:cs="Arial"/>
        </w:rPr>
        <w:t xml:space="preserve">; </w:t>
      </w:r>
      <w:proofErr w:type="spellStart"/>
      <w:r w:rsidR="001935BD" w:rsidRPr="003C3279">
        <w:rPr>
          <w:rFonts w:ascii="Arial" w:hAnsi="Arial" w:cs="Arial"/>
        </w:rPr>
        <w:t>Anagnoste</w:t>
      </w:r>
      <w:proofErr w:type="spellEnd"/>
      <w:r w:rsidR="001935BD" w:rsidRPr="003C3279">
        <w:rPr>
          <w:rFonts w:ascii="Arial" w:hAnsi="Arial" w:cs="Arial"/>
        </w:rPr>
        <w:t>, 2018</w:t>
      </w:r>
      <w:r w:rsidR="007740DB" w:rsidRPr="003C3279">
        <w:rPr>
          <w:rFonts w:ascii="Arial" w:hAnsi="Arial" w:cs="Arial"/>
        </w:rPr>
        <w:t>).</w:t>
      </w:r>
      <w:r w:rsidR="00C542BB" w:rsidRPr="003C3279">
        <w:rPr>
          <w:rFonts w:ascii="Arial" w:hAnsi="Arial" w:cs="Arial"/>
        </w:rPr>
        <w:t xml:space="preserve"> These create opportunities for better quality and efficiency in project management. </w:t>
      </w:r>
    </w:p>
    <w:p w14:paraId="3A26FFD8" w14:textId="77777777" w:rsidR="00AD29CF" w:rsidRPr="003C3279" w:rsidRDefault="00D31E01">
      <w:pPr>
        <w:rPr>
          <w:rFonts w:ascii="Arial" w:hAnsi="Arial" w:cs="Arial"/>
        </w:rPr>
      </w:pPr>
      <w:r w:rsidRPr="003C3279">
        <w:rPr>
          <w:rFonts w:ascii="Arial" w:hAnsi="Arial" w:cs="Arial"/>
        </w:rPr>
        <w:t>Environmental factors: There is an increasing emphasis on sustainability in UK, especially following the government focus on the Net Zero 2050 ambitions</w:t>
      </w:r>
      <w:r w:rsidR="00C542BB" w:rsidRPr="003C3279">
        <w:rPr>
          <w:rFonts w:ascii="Arial" w:hAnsi="Arial" w:cs="Arial"/>
        </w:rPr>
        <w:t xml:space="preserve"> (Dixon, Bell and Brush, 2022).</w:t>
      </w:r>
      <w:r w:rsidR="00074BBC" w:rsidRPr="003C3279">
        <w:rPr>
          <w:rFonts w:ascii="Arial" w:hAnsi="Arial" w:cs="Arial"/>
        </w:rPr>
        <w:t xml:space="preserve"> </w:t>
      </w:r>
      <w:r w:rsidR="00BF5491" w:rsidRPr="003C3279">
        <w:rPr>
          <w:rFonts w:ascii="Arial" w:hAnsi="Arial" w:cs="Arial"/>
        </w:rPr>
        <w:t xml:space="preserve">Fixatex therefore </w:t>
      </w:r>
      <w:proofErr w:type="gramStart"/>
      <w:r w:rsidR="00BF5491" w:rsidRPr="003C3279">
        <w:rPr>
          <w:rFonts w:ascii="Arial" w:hAnsi="Arial" w:cs="Arial"/>
        </w:rPr>
        <w:t>has to</w:t>
      </w:r>
      <w:proofErr w:type="gramEnd"/>
      <w:r w:rsidR="00BF5491" w:rsidRPr="003C3279">
        <w:rPr>
          <w:rFonts w:ascii="Arial" w:hAnsi="Arial" w:cs="Arial"/>
        </w:rPr>
        <w:t xml:space="preserve"> consider this in its operations and project management, with waste management and efficiency in energy use being emphasised upon. </w:t>
      </w:r>
    </w:p>
    <w:p w14:paraId="0AC6AF63" w14:textId="53D2424C" w:rsidR="00B9179A" w:rsidRPr="003C3279" w:rsidRDefault="00AD29CF">
      <w:pPr>
        <w:rPr>
          <w:rFonts w:ascii="Arial" w:hAnsi="Arial" w:cs="Arial"/>
        </w:rPr>
      </w:pPr>
      <w:r w:rsidRPr="003C3279">
        <w:rPr>
          <w:rFonts w:ascii="Arial" w:hAnsi="Arial" w:cs="Arial"/>
        </w:rPr>
        <w:t>Legal fac</w:t>
      </w:r>
      <w:r w:rsidR="00A834B8" w:rsidRPr="003C3279">
        <w:rPr>
          <w:rFonts w:ascii="Arial" w:hAnsi="Arial" w:cs="Arial"/>
        </w:rPr>
        <w:t>tors: The government announced changes to the Minimum Wage, which is expected to affect pay and associated costs for Fixatex</w:t>
      </w:r>
      <w:r w:rsidR="0035264F" w:rsidRPr="003C3279">
        <w:rPr>
          <w:rFonts w:ascii="Arial" w:hAnsi="Arial" w:cs="Arial"/>
        </w:rPr>
        <w:t xml:space="preserve"> (Gov.UK, 2025)</w:t>
      </w:r>
      <w:r w:rsidR="00A834B8" w:rsidRPr="003C3279">
        <w:rPr>
          <w:rFonts w:ascii="Arial" w:hAnsi="Arial" w:cs="Arial"/>
        </w:rPr>
        <w:t xml:space="preserve">. This is in addition to work-related provisions such as the Safety at Work Act and the expectation to </w:t>
      </w:r>
      <w:r w:rsidR="00A15B0B" w:rsidRPr="003C3279">
        <w:rPr>
          <w:rFonts w:ascii="Arial" w:hAnsi="Arial" w:cs="Arial"/>
        </w:rPr>
        <w:t xml:space="preserve">adhere to provisions in Competition Law and waste disposals. </w:t>
      </w:r>
      <w:r w:rsidR="00C542BB" w:rsidRPr="003C3279">
        <w:rPr>
          <w:rFonts w:ascii="Arial" w:hAnsi="Arial" w:cs="Arial"/>
        </w:rPr>
        <w:t xml:space="preserve"> </w:t>
      </w:r>
      <w:r w:rsidR="007740DB" w:rsidRPr="003C3279">
        <w:rPr>
          <w:rFonts w:ascii="Arial" w:hAnsi="Arial" w:cs="Arial"/>
        </w:rPr>
        <w:t xml:space="preserve"> </w:t>
      </w:r>
      <w:r w:rsidR="00FE0F31" w:rsidRPr="003C3279">
        <w:rPr>
          <w:rFonts w:ascii="Arial" w:hAnsi="Arial" w:cs="Arial"/>
        </w:rPr>
        <w:t xml:space="preserve"> </w:t>
      </w:r>
    </w:p>
    <w:p w14:paraId="2D6D889E" w14:textId="7BDC42DD" w:rsidR="00397920" w:rsidRPr="003C3279" w:rsidRDefault="00CA7088" w:rsidP="002E727E">
      <w:pPr>
        <w:pStyle w:val="Heading2"/>
        <w:rPr>
          <w:rFonts w:ascii="Arial" w:hAnsi="Arial" w:cs="Arial"/>
          <w:b/>
          <w:bCs/>
          <w:color w:val="auto"/>
          <w:sz w:val="22"/>
          <w:szCs w:val="22"/>
        </w:rPr>
      </w:pPr>
      <w:bookmarkStart w:id="9" w:name="_Toc214807204"/>
      <w:r>
        <w:rPr>
          <w:rFonts w:ascii="Arial" w:hAnsi="Arial" w:cs="Arial"/>
          <w:b/>
          <w:bCs/>
          <w:color w:val="auto"/>
          <w:sz w:val="22"/>
          <w:szCs w:val="22"/>
        </w:rPr>
        <w:lastRenderedPageBreak/>
        <w:t>A</w:t>
      </w:r>
      <w:r w:rsidR="00397920" w:rsidRPr="003C3279">
        <w:rPr>
          <w:rFonts w:ascii="Arial" w:hAnsi="Arial" w:cs="Arial"/>
          <w:b/>
          <w:bCs/>
          <w:color w:val="auto"/>
          <w:sz w:val="22"/>
          <w:szCs w:val="22"/>
        </w:rPr>
        <w:t>pplication of the Porter’s Five Forces framework</w:t>
      </w:r>
      <w:bookmarkEnd w:id="9"/>
    </w:p>
    <w:p w14:paraId="7EDC4170" w14:textId="4BC6E579" w:rsidR="00397920" w:rsidRPr="003C3279" w:rsidRDefault="00881683">
      <w:pPr>
        <w:rPr>
          <w:rFonts w:ascii="Arial" w:hAnsi="Arial" w:cs="Arial"/>
        </w:rPr>
      </w:pPr>
      <w:r w:rsidRPr="003C3279">
        <w:rPr>
          <w:rFonts w:ascii="Arial" w:hAnsi="Arial" w:cs="Arial"/>
        </w:rPr>
        <w:t>Proposed by Michael Porter, this framework assesses the firm’s position against five competitive forces; threat of new entries, threat of substitute products/services, industry competition, bargaining power of suppliers, bargaining power of buyers (</w:t>
      </w:r>
      <w:proofErr w:type="spellStart"/>
      <w:r w:rsidR="0001758C" w:rsidRPr="003C3279">
        <w:rPr>
          <w:rFonts w:ascii="Arial" w:hAnsi="Arial" w:cs="Arial"/>
        </w:rPr>
        <w:t>Ndzabukelwako</w:t>
      </w:r>
      <w:proofErr w:type="spellEnd"/>
      <w:r w:rsidR="0001758C" w:rsidRPr="003C3279">
        <w:rPr>
          <w:rFonts w:ascii="Arial" w:hAnsi="Arial" w:cs="Arial"/>
        </w:rPr>
        <w:t xml:space="preserve"> et al., 2024). </w:t>
      </w:r>
    </w:p>
    <w:p w14:paraId="16E5B2F6" w14:textId="59192745" w:rsidR="000A5D39" w:rsidRPr="003C3279" w:rsidRDefault="000A5D39">
      <w:pPr>
        <w:rPr>
          <w:rFonts w:ascii="Arial" w:hAnsi="Arial" w:cs="Arial"/>
        </w:rPr>
      </w:pPr>
      <w:r w:rsidRPr="003C3279">
        <w:rPr>
          <w:rFonts w:ascii="Arial" w:hAnsi="Arial" w:cs="Arial"/>
        </w:rPr>
        <w:t xml:space="preserve">Threat of new entries: The low entry barriers in the electrical services sector makes it easy for new players to emerge. This makes this threat high for Fixatex Ltd, as illustrated by the company’s emergence as a force from its launch by Colins in 2000 (Fixatex, 2025). </w:t>
      </w:r>
      <w:r w:rsidR="008E04B5" w:rsidRPr="003C3279">
        <w:rPr>
          <w:rFonts w:ascii="Arial" w:hAnsi="Arial" w:cs="Arial"/>
        </w:rPr>
        <w:t xml:space="preserve">Enhancing its market presence and brand equity will neutralise this threat. </w:t>
      </w:r>
    </w:p>
    <w:p w14:paraId="029D0C96" w14:textId="74E1133A" w:rsidR="008E04B5" w:rsidRPr="003C3279" w:rsidRDefault="008E04B5">
      <w:pPr>
        <w:rPr>
          <w:rFonts w:ascii="Arial" w:hAnsi="Arial" w:cs="Arial"/>
        </w:rPr>
      </w:pPr>
      <w:r w:rsidRPr="003C3279">
        <w:rPr>
          <w:rFonts w:ascii="Arial" w:hAnsi="Arial" w:cs="Arial"/>
        </w:rPr>
        <w:t xml:space="preserve">Threat of </w:t>
      </w:r>
      <w:r w:rsidR="000B3E33" w:rsidRPr="003C3279">
        <w:rPr>
          <w:rFonts w:ascii="Arial" w:hAnsi="Arial" w:cs="Arial"/>
        </w:rPr>
        <w:t>substitute</w:t>
      </w:r>
      <w:r w:rsidR="00016ED5" w:rsidRPr="003C3279">
        <w:rPr>
          <w:rFonts w:ascii="Arial" w:hAnsi="Arial" w:cs="Arial"/>
        </w:rPr>
        <w:t xml:space="preserve">: The presence of industry players such as </w:t>
      </w:r>
      <w:r w:rsidR="00680C07" w:rsidRPr="003C3279">
        <w:rPr>
          <w:rFonts w:ascii="Arial" w:hAnsi="Arial" w:cs="Arial"/>
        </w:rPr>
        <w:t xml:space="preserve">BK Electrical Services and A B Solutions Electricals means that customers have access to </w:t>
      </w:r>
      <w:proofErr w:type="gramStart"/>
      <w:r w:rsidR="00680C07" w:rsidRPr="003C3279">
        <w:rPr>
          <w:rFonts w:ascii="Arial" w:hAnsi="Arial" w:cs="Arial"/>
        </w:rPr>
        <w:t>a number of</w:t>
      </w:r>
      <w:proofErr w:type="gramEnd"/>
      <w:r w:rsidR="00680C07" w:rsidRPr="003C3279">
        <w:rPr>
          <w:rFonts w:ascii="Arial" w:hAnsi="Arial" w:cs="Arial"/>
        </w:rPr>
        <w:t xml:space="preserve"> substitute services to Fixatex’s</w:t>
      </w:r>
      <w:r w:rsidR="00C22CEB" w:rsidRPr="003C3279">
        <w:rPr>
          <w:rFonts w:ascii="Arial" w:hAnsi="Arial" w:cs="Arial"/>
        </w:rPr>
        <w:t xml:space="preserve"> (</w:t>
      </w:r>
      <w:proofErr w:type="spellStart"/>
      <w:r w:rsidR="00C22CEB" w:rsidRPr="003C3279">
        <w:rPr>
          <w:rFonts w:ascii="Arial" w:hAnsi="Arial" w:cs="Arial"/>
        </w:rPr>
        <w:t>Zoominfo</w:t>
      </w:r>
      <w:proofErr w:type="spellEnd"/>
      <w:r w:rsidR="00C22CEB" w:rsidRPr="003C3279">
        <w:rPr>
          <w:rFonts w:ascii="Arial" w:hAnsi="Arial" w:cs="Arial"/>
        </w:rPr>
        <w:t>, 2025)</w:t>
      </w:r>
      <w:r w:rsidR="00680C07" w:rsidRPr="003C3279">
        <w:rPr>
          <w:rFonts w:ascii="Arial" w:hAnsi="Arial" w:cs="Arial"/>
        </w:rPr>
        <w:t xml:space="preserve">. Consideration for more differentiation and customer loyalty programmes will help neutralise this threat. </w:t>
      </w:r>
    </w:p>
    <w:p w14:paraId="29942636" w14:textId="3B5A2E13" w:rsidR="00133CB4" w:rsidRPr="003C3279" w:rsidRDefault="00B01897">
      <w:pPr>
        <w:rPr>
          <w:rFonts w:ascii="Arial" w:hAnsi="Arial" w:cs="Arial"/>
        </w:rPr>
      </w:pPr>
      <w:r w:rsidRPr="003C3279">
        <w:rPr>
          <w:rFonts w:ascii="Arial" w:hAnsi="Arial" w:cs="Arial"/>
        </w:rPr>
        <w:t>Industry rivalry: Fixatex faces strong industry competition from the likes of AB Solutions and BK Electrical as well as more established service providers in the market (</w:t>
      </w:r>
      <w:proofErr w:type="spellStart"/>
      <w:r w:rsidRPr="003C3279">
        <w:rPr>
          <w:rFonts w:ascii="Arial" w:hAnsi="Arial" w:cs="Arial"/>
        </w:rPr>
        <w:t>Zoominfo</w:t>
      </w:r>
      <w:proofErr w:type="spellEnd"/>
      <w:r w:rsidRPr="003C3279">
        <w:rPr>
          <w:rFonts w:ascii="Arial" w:hAnsi="Arial" w:cs="Arial"/>
        </w:rPr>
        <w:t xml:space="preserve">, 2025). The </w:t>
      </w:r>
      <w:proofErr w:type="gramStart"/>
      <w:r w:rsidRPr="003C3279">
        <w:rPr>
          <w:rFonts w:ascii="Arial" w:hAnsi="Arial" w:cs="Arial"/>
        </w:rPr>
        <w:t>aforementioned strategies</w:t>
      </w:r>
      <w:proofErr w:type="gramEnd"/>
      <w:r w:rsidRPr="003C3279">
        <w:rPr>
          <w:rFonts w:ascii="Arial" w:hAnsi="Arial" w:cs="Arial"/>
        </w:rPr>
        <w:t xml:space="preserve"> involving differentiation and </w:t>
      </w:r>
      <w:r w:rsidR="00F126F3" w:rsidRPr="003C3279">
        <w:rPr>
          <w:rFonts w:ascii="Arial" w:hAnsi="Arial" w:cs="Arial"/>
        </w:rPr>
        <w:t xml:space="preserve">brand building will build Fixatex’s market strength against its industry competition. </w:t>
      </w:r>
    </w:p>
    <w:p w14:paraId="4386B688" w14:textId="3404EA8E" w:rsidR="0022118C" w:rsidRPr="003C3279" w:rsidRDefault="0022118C">
      <w:pPr>
        <w:rPr>
          <w:rFonts w:ascii="Arial" w:hAnsi="Arial" w:cs="Arial"/>
        </w:rPr>
      </w:pPr>
      <w:r w:rsidRPr="003C3279">
        <w:rPr>
          <w:rFonts w:ascii="Arial" w:hAnsi="Arial" w:cs="Arial"/>
        </w:rPr>
        <w:t xml:space="preserve">Bargaining power of suppliers: Many players in the industry </w:t>
      </w:r>
      <w:r w:rsidR="00C65BAA" w:rsidRPr="003C3279">
        <w:rPr>
          <w:rFonts w:ascii="Arial" w:hAnsi="Arial" w:cs="Arial"/>
        </w:rPr>
        <w:t>means that suppliers have a large pool of potential buyers</w:t>
      </w:r>
      <w:r w:rsidR="00025A81" w:rsidRPr="003C3279">
        <w:rPr>
          <w:rFonts w:ascii="Arial" w:hAnsi="Arial" w:cs="Arial"/>
        </w:rPr>
        <w:t xml:space="preserve">. Coupled with Fixatex’s small </w:t>
      </w:r>
      <w:r w:rsidR="00B1499C" w:rsidRPr="003C3279">
        <w:rPr>
          <w:rFonts w:ascii="Arial" w:hAnsi="Arial" w:cs="Arial"/>
        </w:rPr>
        <w:t xml:space="preserve">size as an SME, its access to the global supply chain network is limited, giving suppliers significant power. Establishing strong relationships with its suppliers while tapping into the opportunities in tech-driven supply chain management will allow Fixatex to gain an advantage. </w:t>
      </w:r>
    </w:p>
    <w:p w14:paraId="0FCAA314" w14:textId="32FB6F30" w:rsidR="0069562C" w:rsidRPr="003C3279" w:rsidRDefault="0069562C">
      <w:pPr>
        <w:rPr>
          <w:rFonts w:ascii="Arial" w:hAnsi="Arial" w:cs="Arial"/>
        </w:rPr>
      </w:pPr>
      <w:r w:rsidRPr="003C3279">
        <w:rPr>
          <w:rFonts w:ascii="Arial" w:hAnsi="Arial" w:cs="Arial"/>
        </w:rPr>
        <w:t xml:space="preserve">Bargaining power of buyers: </w:t>
      </w:r>
      <w:proofErr w:type="gramStart"/>
      <w:r w:rsidRPr="003C3279">
        <w:rPr>
          <w:rFonts w:ascii="Arial" w:hAnsi="Arial" w:cs="Arial"/>
        </w:rPr>
        <w:t>Similar to</w:t>
      </w:r>
      <w:proofErr w:type="gramEnd"/>
      <w:r w:rsidRPr="003C3279">
        <w:rPr>
          <w:rFonts w:ascii="Arial" w:hAnsi="Arial" w:cs="Arial"/>
        </w:rPr>
        <w:t xml:space="preserve"> the bargaining power of suppliers, the presence of industry competition means consumers have a strong bargaining power. However, Fixatex’s customer-centric approach and its focus on high quality has allowed it to manage this threat. </w:t>
      </w:r>
    </w:p>
    <w:p w14:paraId="55F616E1" w14:textId="456C24D7" w:rsidR="009A4DBA" w:rsidRPr="003C3279" w:rsidRDefault="00117049" w:rsidP="00117049">
      <w:pPr>
        <w:pStyle w:val="Heading1"/>
        <w:jc w:val="center"/>
        <w:rPr>
          <w:rFonts w:ascii="Arial" w:hAnsi="Arial" w:cs="Arial"/>
          <w:b/>
          <w:bCs/>
          <w:color w:val="auto"/>
          <w:sz w:val="22"/>
          <w:szCs w:val="22"/>
        </w:rPr>
      </w:pPr>
      <w:bookmarkStart w:id="10" w:name="_Toc214807205"/>
      <w:r w:rsidRPr="003C3279">
        <w:rPr>
          <w:rFonts w:ascii="Arial" w:hAnsi="Arial" w:cs="Arial"/>
          <w:b/>
          <w:bCs/>
          <w:color w:val="auto"/>
          <w:sz w:val="22"/>
          <w:szCs w:val="22"/>
        </w:rPr>
        <w:lastRenderedPageBreak/>
        <w:t>A discussion of available strategic growth choices</w:t>
      </w:r>
      <w:bookmarkEnd w:id="10"/>
    </w:p>
    <w:p w14:paraId="3DB25AF7" w14:textId="075185D1" w:rsidR="00117049" w:rsidRPr="003C3279" w:rsidRDefault="00BD4460" w:rsidP="00BD4460">
      <w:pPr>
        <w:pStyle w:val="Heading2"/>
        <w:rPr>
          <w:rFonts w:ascii="Arial" w:hAnsi="Arial" w:cs="Arial"/>
          <w:b/>
          <w:bCs/>
          <w:color w:val="auto"/>
          <w:sz w:val="22"/>
          <w:szCs w:val="22"/>
        </w:rPr>
      </w:pPr>
      <w:bookmarkStart w:id="11" w:name="_Toc214807206"/>
      <w:r w:rsidRPr="003C3279">
        <w:rPr>
          <w:rFonts w:ascii="Arial" w:hAnsi="Arial" w:cs="Arial"/>
          <w:b/>
          <w:bCs/>
          <w:color w:val="auto"/>
          <w:sz w:val="22"/>
          <w:szCs w:val="22"/>
        </w:rPr>
        <w:t>Application of the Ansoff’s Matrix</w:t>
      </w:r>
      <w:bookmarkEnd w:id="11"/>
    </w:p>
    <w:p w14:paraId="2E71A36A" w14:textId="7C7F6293" w:rsidR="00BD4460" w:rsidRPr="003C3279" w:rsidRDefault="00BD4460">
      <w:pPr>
        <w:rPr>
          <w:rFonts w:ascii="Arial" w:hAnsi="Arial" w:cs="Arial"/>
        </w:rPr>
      </w:pPr>
      <w:r w:rsidRPr="003C3279">
        <w:rPr>
          <w:rFonts w:ascii="Arial" w:hAnsi="Arial" w:cs="Arial"/>
        </w:rPr>
        <w:t xml:space="preserve">As described by Zugay and Zakaria (2023), the Ansoff growth matrix identifies growth opportunities that can be considered by </w:t>
      </w:r>
      <w:r w:rsidR="004A23DC" w:rsidRPr="003C3279">
        <w:rPr>
          <w:rFonts w:ascii="Arial" w:hAnsi="Arial" w:cs="Arial"/>
        </w:rPr>
        <w:t xml:space="preserve">the business in responding to its competitive forces and strengthening its competitive position. These </w:t>
      </w:r>
      <w:proofErr w:type="gramStart"/>
      <w:r w:rsidR="004A23DC" w:rsidRPr="003C3279">
        <w:rPr>
          <w:rFonts w:ascii="Arial" w:hAnsi="Arial" w:cs="Arial"/>
        </w:rPr>
        <w:t>include;</w:t>
      </w:r>
      <w:proofErr w:type="gramEnd"/>
      <w:r w:rsidR="004A23DC" w:rsidRPr="003C3279">
        <w:rPr>
          <w:rFonts w:ascii="Arial" w:hAnsi="Arial" w:cs="Arial"/>
        </w:rPr>
        <w:t xml:space="preserve"> </w:t>
      </w:r>
    </w:p>
    <w:p w14:paraId="511A521E" w14:textId="263AF770" w:rsidR="00430A99" w:rsidRPr="003C3279" w:rsidRDefault="007B03A1">
      <w:pPr>
        <w:rPr>
          <w:rFonts w:ascii="Arial" w:hAnsi="Arial" w:cs="Arial"/>
        </w:rPr>
      </w:pPr>
      <w:r w:rsidRPr="003C3279">
        <w:rPr>
          <w:rFonts w:ascii="Arial" w:hAnsi="Arial" w:cs="Arial"/>
        </w:rPr>
        <w:t xml:space="preserve">Market penetration: This growth strategy for Fixatex would involve increasing its market presence in its existing markets using </w:t>
      </w:r>
      <w:r w:rsidR="00A053EA" w:rsidRPr="003C3279">
        <w:rPr>
          <w:rFonts w:ascii="Arial" w:hAnsi="Arial" w:cs="Arial"/>
        </w:rPr>
        <w:t xml:space="preserve">existing services in its portfolio (Zugay and Zakaria, 2023). </w:t>
      </w:r>
      <w:r w:rsidR="00C64350" w:rsidRPr="003C3279">
        <w:rPr>
          <w:rFonts w:ascii="Arial" w:hAnsi="Arial" w:cs="Arial"/>
        </w:rPr>
        <w:t xml:space="preserve">The minimal variables where the services and the markets are familiar makes this strategy a low-risk one for the business. </w:t>
      </w:r>
    </w:p>
    <w:p w14:paraId="2BA14EE1" w14:textId="79607164" w:rsidR="00C64350" w:rsidRPr="003C3279" w:rsidRDefault="00D5304B">
      <w:pPr>
        <w:rPr>
          <w:rFonts w:ascii="Arial" w:hAnsi="Arial" w:cs="Arial"/>
        </w:rPr>
      </w:pPr>
      <w:r w:rsidRPr="003C3279">
        <w:rPr>
          <w:rFonts w:ascii="Arial" w:hAnsi="Arial" w:cs="Arial"/>
        </w:rPr>
        <w:t xml:space="preserve">Market development: </w:t>
      </w:r>
      <w:r w:rsidR="00C26D63" w:rsidRPr="003C3279">
        <w:rPr>
          <w:rFonts w:ascii="Arial" w:hAnsi="Arial" w:cs="Arial"/>
        </w:rPr>
        <w:t xml:space="preserve">This strategy within the Ansoff matrix involves exploring new markets using existing products or services (Zugay and Zakaria, 2023). </w:t>
      </w:r>
      <w:r w:rsidR="009D455D" w:rsidRPr="003C3279">
        <w:rPr>
          <w:rFonts w:ascii="Arial" w:hAnsi="Arial" w:cs="Arial"/>
        </w:rPr>
        <w:t>For Fixatex, this would involve venturing into new markets such Germany or Wales, using its well</w:t>
      </w:r>
      <w:r w:rsidR="006D4F02" w:rsidRPr="003C3279">
        <w:rPr>
          <w:rFonts w:ascii="Arial" w:hAnsi="Arial" w:cs="Arial"/>
        </w:rPr>
        <w:t>-</w:t>
      </w:r>
      <w:r w:rsidR="009D455D" w:rsidRPr="003C3279">
        <w:rPr>
          <w:rFonts w:ascii="Arial" w:hAnsi="Arial" w:cs="Arial"/>
        </w:rPr>
        <w:t xml:space="preserve">known services such as street lighting or testing and maintenance. </w:t>
      </w:r>
      <w:r w:rsidR="00710F91" w:rsidRPr="003C3279">
        <w:rPr>
          <w:rFonts w:ascii="Arial" w:hAnsi="Arial" w:cs="Arial"/>
        </w:rPr>
        <w:t xml:space="preserve">The unknown variable in the form of a new market </w:t>
      </w:r>
      <w:r w:rsidR="00D81FBE" w:rsidRPr="003C3279">
        <w:rPr>
          <w:rFonts w:ascii="Arial" w:hAnsi="Arial" w:cs="Arial"/>
        </w:rPr>
        <w:t xml:space="preserve">makes this growth choice a little </w:t>
      </w:r>
      <w:r w:rsidR="006D4F02" w:rsidRPr="003C3279">
        <w:rPr>
          <w:rFonts w:ascii="Arial" w:hAnsi="Arial" w:cs="Arial"/>
        </w:rPr>
        <w:t>riskier</w:t>
      </w:r>
      <w:r w:rsidR="00D81FBE" w:rsidRPr="003C3279">
        <w:rPr>
          <w:rFonts w:ascii="Arial" w:hAnsi="Arial" w:cs="Arial"/>
        </w:rPr>
        <w:t xml:space="preserve"> compared to market penetration. </w:t>
      </w:r>
    </w:p>
    <w:p w14:paraId="703B1C84" w14:textId="172ED571" w:rsidR="00D8579B" w:rsidRPr="003C3279" w:rsidRDefault="00F10FB9">
      <w:pPr>
        <w:rPr>
          <w:rFonts w:ascii="Arial" w:hAnsi="Arial" w:cs="Arial"/>
        </w:rPr>
      </w:pPr>
      <w:r w:rsidRPr="003C3279">
        <w:rPr>
          <w:rFonts w:ascii="Arial" w:hAnsi="Arial" w:cs="Arial"/>
        </w:rPr>
        <w:t xml:space="preserve">Product development: </w:t>
      </w:r>
      <w:r w:rsidR="00D8579B" w:rsidRPr="003C3279">
        <w:rPr>
          <w:rFonts w:ascii="Arial" w:hAnsi="Arial" w:cs="Arial"/>
        </w:rPr>
        <w:t>In Ansoff matrix, this strategic choice involves growing the firm’s position within the existing markets using new services</w:t>
      </w:r>
      <w:r w:rsidR="006B5E7F" w:rsidRPr="003C3279">
        <w:rPr>
          <w:rFonts w:ascii="Arial" w:hAnsi="Arial" w:cs="Arial"/>
        </w:rPr>
        <w:t xml:space="preserve"> (</w:t>
      </w:r>
      <w:r w:rsidR="00E17CF7" w:rsidRPr="003C3279">
        <w:rPr>
          <w:rFonts w:ascii="Arial" w:hAnsi="Arial" w:cs="Arial"/>
        </w:rPr>
        <w:t>Clarissia, 2020</w:t>
      </w:r>
      <w:r w:rsidR="006B5E7F" w:rsidRPr="003C3279">
        <w:rPr>
          <w:rFonts w:ascii="Arial" w:hAnsi="Arial" w:cs="Arial"/>
        </w:rPr>
        <w:t>)</w:t>
      </w:r>
      <w:r w:rsidR="00D8579B" w:rsidRPr="003C3279">
        <w:rPr>
          <w:rFonts w:ascii="Arial" w:hAnsi="Arial" w:cs="Arial"/>
        </w:rPr>
        <w:t xml:space="preserve">. For example, Fixatex would seek to grow its market share and clientele within its current market by introducing new services on top of its current services. </w:t>
      </w:r>
    </w:p>
    <w:p w14:paraId="0594989D" w14:textId="2F5F914E" w:rsidR="006D4F02" w:rsidRPr="003C3279" w:rsidRDefault="00784453">
      <w:pPr>
        <w:rPr>
          <w:rFonts w:ascii="Arial" w:hAnsi="Arial" w:cs="Arial"/>
        </w:rPr>
      </w:pPr>
      <w:r w:rsidRPr="003C3279">
        <w:rPr>
          <w:rFonts w:ascii="Arial" w:hAnsi="Arial" w:cs="Arial"/>
        </w:rPr>
        <w:t xml:space="preserve">Diversification: </w:t>
      </w:r>
      <w:r w:rsidR="00F10FB9" w:rsidRPr="003C3279">
        <w:rPr>
          <w:rFonts w:ascii="Arial" w:hAnsi="Arial" w:cs="Arial"/>
        </w:rPr>
        <w:t xml:space="preserve">This growth choice as described by Zugay and Zakaria (2023) involves venturing into new markets using new products. Using the example of </w:t>
      </w:r>
      <w:r w:rsidR="00C8769F" w:rsidRPr="003C3279">
        <w:rPr>
          <w:rFonts w:ascii="Arial" w:hAnsi="Arial" w:cs="Arial"/>
        </w:rPr>
        <w:t>Portugal</w:t>
      </w:r>
      <w:r w:rsidR="00F10FB9" w:rsidRPr="003C3279">
        <w:rPr>
          <w:rFonts w:ascii="Arial" w:hAnsi="Arial" w:cs="Arial"/>
        </w:rPr>
        <w:t xml:space="preserve"> or Germany as potential markets, Fixatex would use new services in its portfolio to </w:t>
      </w:r>
      <w:proofErr w:type="gramStart"/>
      <w:r w:rsidR="00F10FB9" w:rsidRPr="003C3279">
        <w:rPr>
          <w:rFonts w:ascii="Arial" w:hAnsi="Arial" w:cs="Arial"/>
        </w:rPr>
        <w:t>gain entry into</w:t>
      </w:r>
      <w:proofErr w:type="gramEnd"/>
      <w:r w:rsidR="00F10FB9" w:rsidRPr="003C3279">
        <w:rPr>
          <w:rFonts w:ascii="Arial" w:hAnsi="Arial" w:cs="Arial"/>
        </w:rPr>
        <w:t xml:space="preserve"> these markets. </w:t>
      </w:r>
    </w:p>
    <w:p w14:paraId="15C005BB" w14:textId="4350DAE6" w:rsidR="0018491F" w:rsidRPr="003C3279" w:rsidRDefault="0018120A" w:rsidP="0018120A">
      <w:pPr>
        <w:pStyle w:val="Heading2"/>
        <w:rPr>
          <w:rFonts w:ascii="Arial" w:hAnsi="Arial" w:cs="Arial"/>
          <w:b/>
          <w:bCs/>
          <w:color w:val="auto"/>
          <w:sz w:val="22"/>
          <w:szCs w:val="22"/>
        </w:rPr>
      </w:pPr>
      <w:bookmarkStart w:id="12" w:name="_Toc214807207"/>
      <w:r w:rsidRPr="003C3279">
        <w:rPr>
          <w:rFonts w:ascii="Arial" w:hAnsi="Arial" w:cs="Arial"/>
          <w:b/>
          <w:bCs/>
          <w:color w:val="auto"/>
          <w:sz w:val="22"/>
          <w:szCs w:val="22"/>
        </w:rPr>
        <w:lastRenderedPageBreak/>
        <w:t>Proposed strategy for Fixatex</w:t>
      </w:r>
      <w:bookmarkEnd w:id="12"/>
    </w:p>
    <w:p w14:paraId="3554AD9F" w14:textId="3F7DA9A0" w:rsidR="0018120A" w:rsidRPr="003C3279" w:rsidRDefault="00B634AD">
      <w:pPr>
        <w:rPr>
          <w:rFonts w:ascii="Arial" w:hAnsi="Arial" w:cs="Arial"/>
        </w:rPr>
      </w:pPr>
      <w:r w:rsidRPr="003C3279">
        <w:rPr>
          <w:rFonts w:ascii="Arial" w:hAnsi="Arial" w:cs="Arial"/>
        </w:rPr>
        <w:t xml:space="preserve">As an SME with </w:t>
      </w:r>
      <w:r w:rsidR="007F234B" w:rsidRPr="003C3279">
        <w:rPr>
          <w:rFonts w:ascii="Arial" w:hAnsi="Arial" w:cs="Arial"/>
        </w:rPr>
        <w:t>limited</w:t>
      </w:r>
      <w:r w:rsidRPr="003C3279">
        <w:rPr>
          <w:rFonts w:ascii="Arial" w:hAnsi="Arial" w:cs="Arial"/>
        </w:rPr>
        <w:t xml:space="preserve"> form</w:t>
      </w:r>
      <w:r w:rsidR="007F234B" w:rsidRPr="003C3279">
        <w:rPr>
          <w:rFonts w:ascii="Arial" w:hAnsi="Arial" w:cs="Arial"/>
        </w:rPr>
        <w:t>s</w:t>
      </w:r>
      <w:r w:rsidRPr="003C3279">
        <w:rPr>
          <w:rFonts w:ascii="Arial" w:hAnsi="Arial" w:cs="Arial"/>
        </w:rPr>
        <w:t xml:space="preserve"> of resources or strategic capabilities</w:t>
      </w:r>
      <w:r w:rsidR="00FA216D" w:rsidRPr="003C3279">
        <w:rPr>
          <w:rFonts w:ascii="Arial" w:hAnsi="Arial" w:cs="Arial"/>
        </w:rPr>
        <w:t xml:space="preserve"> and </w:t>
      </w:r>
      <w:r w:rsidR="00160726" w:rsidRPr="003C3279">
        <w:rPr>
          <w:rFonts w:ascii="Arial" w:hAnsi="Arial" w:cs="Arial"/>
        </w:rPr>
        <w:t>recognising the threats from the economic environment</w:t>
      </w:r>
      <w:r w:rsidRPr="003C3279">
        <w:rPr>
          <w:rFonts w:ascii="Arial" w:hAnsi="Arial" w:cs="Arial"/>
        </w:rPr>
        <w:t xml:space="preserve">, Fixatex </w:t>
      </w:r>
      <w:proofErr w:type="gramStart"/>
      <w:r w:rsidRPr="003C3279">
        <w:rPr>
          <w:rFonts w:ascii="Arial" w:hAnsi="Arial" w:cs="Arial"/>
        </w:rPr>
        <w:t>is not in a position to</w:t>
      </w:r>
      <w:proofErr w:type="gramEnd"/>
      <w:r w:rsidRPr="003C3279">
        <w:rPr>
          <w:rFonts w:ascii="Arial" w:hAnsi="Arial" w:cs="Arial"/>
        </w:rPr>
        <w:t xml:space="preserve"> take on too </w:t>
      </w:r>
      <w:proofErr w:type="gramStart"/>
      <w:r w:rsidRPr="003C3279">
        <w:rPr>
          <w:rFonts w:ascii="Arial" w:hAnsi="Arial" w:cs="Arial"/>
        </w:rPr>
        <w:t>much</w:t>
      </w:r>
      <w:proofErr w:type="gramEnd"/>
      <w:r w:rsidRPr="003C3279">
        <w:rPr>
          <w:rFonts w:ascii="Arial" w:hAnsi="Arial" w:cs="Arial"/>
        </w:rPr>
        <w:t xml:space="preserve"> risks. Accordingly, the strategic choice for consideration </w:t>
      </w:r>
      <w:proofErr w:type="gramStart"/>
      <w:r w:rsidRPr="003C3279">
        <w:rPr>
          <w:rFonts w:ascii="Arial" w:hAnsi="Arial" w:cs="Arial"/>
        </w:rPr>
        <w:t>has to</w:t>
      </w:r>
      <w:proofErr w:type="gramEnd"/>
      <w:r w:rsidRPr="003C3279">
        <w:rPr>
          <w:rFonts w:ascii="Arial" w:hAnsi="Arial" w:cs="Arial"/>
        </w:rPr>
        <w:t xml:space="preserve"> involve minimal risks for the business. This rules out diversification as a growth choice owing to the risks </w:t>
      </w:r>
      <w:r w:rsidR="00FA216D" w:rsidRPr="003C3279">
        <w:rPr>
          <w:rFonts w:ascii="Arial" w:hAnsi="Arial" w:cs="Arial"/>
        </w:rPr>
        <w:t xml:space="preserve">from the new market and new products. While product development and market development each involve single unknowns, both these unknowns would mean some risks for the business. </w:t>
      </w:r>
      <w:r w:rsidR="00160726" w:rsidRPr="003C3279">
        <w:rPr>
          <w:rFonts w:ascii="Arial" w:hAnsi="Arial" w:cs="Arial"/>
        </w:rPr>
        <w:t xml:space="preserve">As such, market penetration </w:t>
      </w:r>
      <w:r w:rsidR="00FF0A12" w:rsidRPr="003C3279">
        <w:rPr>
          <w:rFonts w:ascii="Arial" w:hAnsi="Arial" w:cs="Arial"/>
        </w:rPr>
        <w:t xml:space="preserve">would be the most ideal growth choice. This would involve </w:t>
      </w:r>
      <w:r w:rsidR="0054014C" w:rsidRPr="003C3279">
        <w:rPr>
          <w:rFonts w:ascii="Arial" w:hAnsi="Arial" w:cs="Arial"/>
        </w:rPr>
        <w:t>more aggressive marketing and integration of new and innovative technologies to grow its position within the existing markets</w:t>
      </w:r>
      <w:r w:rsidR="009867A0" w:rsidRPr="003C3279">
        <w:rPr>
          <w:rFonts w:ascii="Arial" w:hAnsi="Arial" w:cs="Arial"/>
        </w:rPr>
        <w:t xml:space="preserve"> (Clarissia, 2020)</w:t>
      </w:r>
      <w:r w:rsidR="0054014C" w:rsidRPr="003C3279">
        <w:rPr>
          <w:rFonts w:ascii="Arial" w:hAnsi="Arial" w:cs="Arial"/>
        </w:rPr>
        <w:t xml:space="preserve">. </w:t>
      </w:r>
    </w:p>
    <w:p w14:paraId="476F6E08" w14:textId="24A9B193" w:rsidR="00D8579B" w:rsidRPr="003C3279" w:rsidRDefault="00E503ED" w:rsidP="00DF7DC7">
      <w:pPr>
        <w:pStyle w:val="Heading1"/>
        <w:jc w:val="center"/>
        <w:rPr>
          <w:rFonts w:ascii="Arial" w:hAnsi="Arial" w:cs="Arial"/>
          <w:b/>
          <w:bCs/>
          <w:color w:val="auto"/>
          <w:sz w:val="22"/>
          <w:szCs w:val="22"/>
        </w:rPr>
      </w:pPr>
      <w:bookmarkStart w:id="13" w:name="_Toc214807208"/>
      <w:bookmarkStart w:id="14" w:name="_Hlk214270621"/>
      <w:r w:rsidRPr="003C3279">
        <w:rPr>
          <w:rFonts w:ascii="Arial" w:hAnsi="Arial" w:cs="Arial"/>
          <w:b/>
          <w:bCs/>
          <w:color w:val="auto"/>
          <w:sz w:val="22"/>
          <w:szCs w:val="22"/>
        </w:rPr>
        <w:t>Stakeholder analysis and the expectations of the different stakeholders</w:t>
      </w:r>
      <w:bookmarkEnd w:id="13"/>
    </w:p>
    <w:p w14:paraId="390A7335" w14:textId="722BAC84" w:rsidR="00DF7DC7" w:rsidRPr="003C3279" w:rsidRDefault="00DF7DC7" w:rsidP="00DF7DC7">
      <w:pPr>
        <w:pStyle w:val="Heading2"/>
        <w:rPr>
          <w:rFonts w:ascii="Arial" w:hAnsi="Arial" w:cs="Arial"/>
          <w:b/>
          <w:bCs/>
          <w:color w:val="auto"/>
          <w:sz w:val="22"/>
          <w:szCs w:val="22"/>
        </w:rPr>
      </w:pPr>
      <w:bookmarkStart w:id="15" w:name="_Toc214807209"/>
      <w:bookmarkEnd w:id="14"/>
      <w:r w:rsidRPr="003C3279">
        <w:rPr>
          <w:rFonts w:ascii="Arial" w:hAnsi="Arial" w:cs="Arial"/>
          <w:b/>
          <w:bCs/>
          <w:color w:val="auto"/>
          <w:sz w:val="22"/>
          <w:szCs w:val="22"/>
        </w:rPr>
        <w:t>Application of Mendelow’s matrix</w:t>
      </w:r>
      <w:bookmarkEnd w:id="15"/>
    </w:p>
    <w:p w14:paraId="08EECFEC" w14:textId="127BD8EB" w:rsidR="00DF7DC7" w:rsidRPr="003C3279" w:rsidRDefault="00B23A5E">
      <w:pPr>
        <w:rPr>
          <w:rFonts w:ascii="Arial" w:hAnsi="Arial" w:cs="Arial"/>
        </w:rPr>
      </w:pPr>
      <w:r w:rsidRPr="003C3279">
        <w:rPr>
          <w:rFonts w:ascii="Arial" w:hAnsi="Arial" w:cs="Arial"/>
        </w:rPr>
        <w:t xml:space="preserve">In identifying the most suitable and feasible growth option for Fixatex, the Mendelow’s stakeholder matrix places different stakeholders in different quadrants based on their power and interest in the strategic directions. In this way, this framework </w:t>
      </w:r>
      <w:r w:rsidR="002A6404" w:rsidRPr="003C3279">
        <w:rPr>
          <w:rFonts w:ascii="Arial" w:hAnsi="Arial" w:cs="Arial"/>
        </w:rPr>
        <w:t xml:space="preserve">views the stakeholders as </w:t>
      </w:r>
      <w:proofErr w:type="gramStart"/>
      <w:r w:rsidR="002A6404" w:rsidRPr="003C3279">
        <w:rPr>
          <w:rFonts w:ascii="Arial" w:hAnsi="Arial" w:cs="Arial"/>
        </w:rPr>
        <w:t>follows;</w:t>
      </w:r>
      <w:proofErr w:type="gramEnd"/>
    </w:p>
    <w:p w14:paraId="3433976A" w14:textId="0351EDBE" w:rsidR="002A6404" w:rsidRPr="003C3279" w:rsidRDefault="00483EDF">
      <w:pPr>
        <w:rPr>
          <w:rFonts w:ascii="Arial" w:hAnsi="Arial" w:cs="Arial"/>
        </w:rPr>
      </w:pPr>
      <w:r w:rsidRPr="003C3279">
        <w:rPr>
          <w:rFonts w:ascii="Arial" w:hAnsi="Arial" w:cs="Arial"/>
        </w:rPr>
        <w:t>High power-high interest: These are stakeholders who hold significant power in the selection of the strategic choice, while also having great interest in the outcome (</w:t>
      </w:r>
      <w:r w:rsidR="00D56D54" w:rsidRPr="003C3279">
        <w:rPr>
          <w:rFonts w:ascii="Arial" w:hAnsi="Arial" w:cs="Arial"/>
        </w:rPr>
        <w:t xml:space="preserve">Nguyen, Mohamed and </w:t>
      </w:r>
      <w:proofErr w:type="spellStart"/>
      <w:r w:rsidR="00D56D54" w:rsidRPr="003C3279">
        <w:rPr>
          <w:rFonts w:ascii="Arial" w:hAnsi="Arial" w:cs="Arial"/>
        </w:rPr>
        <w:t>Panuwatwanich</w:t>
      </w:r>
      <w:proofErr w:type="spellEnd"/>
      <w:r w:rsidR="00D56D54" w:rsidRPr="003C3279">
        <w:rPr>
          <w:rFonts w:ascii="Arial" w:hAnsi="Arial" w:cs="Arial"/>
        </w:rPr>
        <w:t xml:space="preserve">, 2018). </w:t>
      </w:r>
      <w:r w:rsidR="000A6571" w:rsidRPr="003C3279">
        <w:rPr>
          <w:rFonts w:ascii="Arial" w:hAnsi="Arial" w:cs="Arial"/>
        </w:rPr>
        <w:t>For Fixatex and its consideration for growth options, the</w:t>
      </w:r>
      <w:r w:rsidR="0037187C" w:rsidRPr="003C3279">
        <w:rPr>
          <w:rFonts w:ascii="Arial" w:hAnsi="Arial" w:cs="Arial"/>
        </w:rPr>
        <w:t xml:space="preserve"> ownership and top</w:t>
      </w:r>
      <w:r w:rsidR="000A6571" w:rsidRPr="003C3279">
        <w:rPr>
          <w:rFonts w:ascii="Arial" w:hAnsi="Arial" w:cs="Arial"/>
        </w:rPr>
        <w:t xml:space="preserve"> management led by the executive chairman, the CEO and the COO hold great power and interest. </w:t>
      </w:r>
      <w:r w:rsidR="00F018FB" w:rsidRPr="003C3279">
        <w:rPr>
          <w:rFonts w:ascii="Arial" w:hAnsi="Arial" w:cs="Arial"/>
        </w:rPr>
        <w:t xml:space="preserve">These stakeholders will have an expectation of </w:t>
      </w:r>
      <w:r w:rsidR="006C6907" w:rsidRPr="003C3279">
        <w:rPr>
          <w:rFonts w:ascii="Arial" w:hAnsi="Arial" w:cs="Arial"/>
        </w:rPr>
        <w:t xml:space="preserve">strong market performance which will translate into stronger revenue growth and business profits. </w:t>
      </w:r>
      <w:r w:rsidR="0037187C" w:rsidRPr="003C3279">
        <w:rPr>
          <w:rFonts w:ascii="Arial" w:hAnsi="Arial" w:cs="Arial"/>
        </w:rPr>
        <w:t xml:space="preserve">Department heads and the top engineers also hold great power and interest, especially when their skills and therefore engagement is critical for the successful implementation of the strategic choice. </w:t>
      </w:r>
    </w:p>
    <w:p w14:paraId="05A70191" w14:textId="33EF86D2" w:rsidR="003F0040" w:rsidRPr="003C3279" w:rsidRDefault="003F0040">
      <w:pPr>
        <w:rPr>
          <w:rFonts w:ascii="Arial" w:hAnsi="Arial" w:cs="Arial"/>
        </w:rPr>
      </w:pPr>
      <w:r w:rsidRPr="003C3279">
        <w:rPr>
          <w:rFonts w:ascii="Arial" w:hAnsi="Arial" w:cs="Arial"/>
        </w:rPr>
        <w:t xml:space="preserve">High power-Low interest: </w:t>
      </w:r>
      <w:r w:rsidR="00611F88" w:rsidRPr="003C3279">
        <w:rPr>
          <w:rFonts w:ascii="Arial" w:hAnsi="Arial" w:cs="Arial"/>
        </w:rPr>
        <w:t xml:space="preserve">These are stakeholders with great power to influence the choice of a strategic direction, but have low interest (Nguyen, Mohamed and </w:t>
      </w:r>
      <w:proofErr w:type="spellStart"/>
      <w:r w:rsidR="00611F88" w:rsidRPr="003C3279">
        <w:rPr>
          <w:rFonts w:ascii="Arial" w:hAnsi="Arial" w:cs="Arial"/>
        </w:rPr>
        <w:t>Panuwatwanich</w:t>
      </w:r>
      <w:proofErr w:type="spellEnd"/>
      <w:r w:rsidR="00611F88" w:rsidRPr="003C3279">
        <w:rPr>
          <w:rFonts w:ascii="Arial" w:hAnsi="Arial" w:cs="Arial"/>
        </w:rPr>
        <w:t xml:space="preserve">, 2018). </w:t>
      </w:r>
      <w:r w:rsidR="00C91688" w:rsidRPr="003C3279">
        <w:rPr>
          <w:rFonts w:ascii="Arial" w:hAnsi="Arial" w:cs="Arial"/>
        </w:rPr>
        <w:t>For</w:t>
      </w:r>
      <w:r w:rsidR="007D0894" w:rsidRPr="003C3279">
        <w:rPr>
          <w:rFonts w:ascii="Arial" w:hAnsi="Arial" w:cs="Arial"/>
        </w:rPr>
        <w:t xml:space="preserve"> </w:t>
      </w:r>
      <w:r w:rsidR="00C91688" w:rsidRPr="003C3279">
        <w:rPr>
          <w:rFonts w:ascii="Arial" w:hAnsi="Arial" w:cs="Arial"/>
        </w:rPr>
        <w:lastRenderedPageBreak/>
        <w:t xml:space="preserve">Fixatex and its consideration of growth choices, </w:t>
      </w:r>
      <w:r w:rsidR="00037D56" w:rsidRPr="003C3279">
        <w:rPr>
          <w:rFonts w:ascii="Arial" w:hAnsi="Arial" w:cs="Arial"/>
        </w:rPr>
        <w:t>the local government and regulators will have these attributes in terms power and interest</w:t>
      </w:r>
      <w:r w:rsidR="00257D3D" w:rsidRPr="003C3279">
        <w:rPr>
          <w:rFonts w:ascii="Arial" w:hAnsi="Arial" w:cs="Arial"/>
        </w:rPr>
        <w:t>. The influence of the regulators stems from the expectation of consumer protection and adherence to quality standards as well as safety considerations</w:t>
      </w:r>
      <w:r w:rsidR="00037D56" w:rsidRPr="003C3279">
        <w:rPr>
          <w:rFonts w:ascii="Arial" w:hAnsi="Arial" w:cs="Arial"/>
        </w:rPr>
        <w:t xml:space="preserve">. </w:t>
      </w:r>
      <w:r w:rsidR="00045FAB" w:rsidRPr="003C3279">
        <w:rPr>
          <w:rFonts w:ascii="Arial" w:hAnsi="Arial" w:cs="Arial"/>
        </w:rPr>
        <w:t xml:space="preserve">These should therefore be kept satisfied on account of their influence over the strategic choices and direction. </w:t>
      </w:r>
      <w:r w:rsidR="007D0894" w:rsidRPr="003C3279">
        <w:rPr>
          <w:rFonts w:ascii="Arial" w:hAnsi="Arial" w:cs="Arial"/>
        </w:rPr>
        <w:t>Competitors will also hold significant power in influencing the strategic choice, but these will</w:t>
      </w:r>
      <w:r w:rsidR="001A2E08" w:rsidRPr="003C3279">
        <w:rPr>
          <w:rFonts w:ascii="Arial" w:hAnsi="Arial" w:cs="Arial"/>
        </w:rPr>
        <w:t xml:space="preserve"> similarly</w:t>
      </w:r>
      <w:r w:rsidR="007D0894" w:rsidRPr="003C3279">
        <w:rPr>
          <w:rFonts w:ascii="Arial" w:hAnsi="Arial" w:cs="Arial"/>
        </w:rPr>
        <w:t xml:space="preserve"> have minimal interest</w:t>
      </w:r>
      <w:r w:rsidR="00FB54F6" w:rsidRPr="003C3279">
        <w:rPr>
          <w:rFonts w:ascii="Arial" w:hAnsi="Arial" w:cs="Arial"/>
        </w:rPr>
        <w:t>.</w:t>
      </w:r>
      <w:r w:rsidR="00045FAB" w:rsidRPr="003C3279">
        <w:rPr>
          <w:rFonts w:ascii="Arial" w:hAnsi="Arial" w:cs="Arial"/>
        </w:rPr>
        <w:t xml:space="preserve"> </w:t>
      </w:r>
    </w:p>
    <w:p w14:paraId="68289EDA" w14:textId="5F477B14" w:rsidR="00FB54F6" w:rsidRPr="003C3279" w:rsidRDefault="00FB54F6">
      <w:pPr>
        <w:rPr>
          <w:rFonts w:ascii="Arial" w:hAnsi="Arial" w:cs="Arial"/>
        </w:rPr>
      </w:pPr>
      <w:r w:rsidRPr="003C3279">
        <w:rPr>
          <w:rFonts w:ascii="Arial" w:hAnsi="Arial" w:cs="Arial"/>
        </w:rPr>
        <w:t>Low power-High in</w:t>
      </w:r>
      <w:r w:rsidR="00531B8B" w:rsidRPr="003C3279">
        <w:rPr>
          <w:rFonts w:ascii="Arial" w:hAnsi="Arial" w:cs="Arial"/>
        </w:rPr>
        <w:t xml:space="preserve">terest: </w:t>
      </w:r>
      <w:r w:rsidR="009D701B" w:rsidRPr="003C3279">
        <w:rPr>
          <w:rFonts w:ascii="Arial" w:hAnsi="Arial" w:cs="Arial"/>
        </w:rPr>
        <w:t xml:space="preserve">This stakeholder group has minimal power to influence the choice of the strategic path for the business. However, they hold big interests, especially as the strategic choice will </w:t>
      </w:r>
      <w:proofErr w:type="gramStart"/>
      <w:r w:rsidR="009D701B" w:rsidRPr="003C3279">
        <w:rPr>
          <w:rFonts w:ascii="Arial" w:hAnsi="Arial" w:cs="Arial"/>
        </w:rPr>
        <w:t>have an effect on</w:t>
      </w:r>
      <w:proofErr w:type="gramEnd"/>
      <w:r w:rsidR="009D701B" w:rsidRPr="003C3279">
        <w:rPr>
          <w:rFonts w:ascii="Arial" w:hAnsi="Arial" w:cs="Arial"/>
        </w:rPr>
        <w:t xml:space="preserve"> them (</w:t>
      </w:r>
      <w:r w:rsidR="00021DE7" w:rsidRPr="003C3279">
        <w:rPr>
          <w:rFonts w:ascii="Arial" w:hAnsi="Arial" w:cs="Arial"/>
        </w:rPr>
        <w:t xml:space="preserve">Farshid, </w:t>
      </w:r>
      <w:proofErr w:type="spellStart"/>
      <w:r w:rsidR="00021DE7" w:rsidRPr="003C3279">
        <w:rPr>
          <w:rFonts w:ascii="Arial" w:hAnsi="Arial" w:cs="Arial"/>
        </w:rPr>
        <w:t>Goharrostami</w:t>
      </w:r>
      <w:proofErr w:type="spellEnd"/>
      <w:r w:rsidR="00021DE7" w:rsidRPr="003C3279">
        <w:rPr>
          <w:rFonts w:ascii="Arial" w:hAnsi="Arial" w:cs="Arial"/>
        </w:rPr>
        <w:t xml:space="preserve"> and Ramezani Nejad, 2022). </w:t>
      </w:r>
      <w:r w:rsidR="00D32E59" w:rsidRPr="003C3279">
        <w:rPr>
          <w:rFonts w:ascii="Arial" w:hAnsi="Arial" w:cs="Arial"/>
        </w:rPr>
        <w:t xml:space="preserve">For Fixatex and its </w:t>
      </w:r>
      <w:r w:rsidR="00CF69C8" w:rsidRPr="003C3279">
        <w:rPr>
          <w:rFonts w:ascii="Arial" w:hAnsi="Arial" w:cs="Arial"/>
        </w:rPr>
        <w:t xml:space="preserve">consideration of new strategic direction, the community groups will have this description. </w:t>
      </w:r>
      <w:r w:rsidR="00082A74" w:rsidRPr="003C3279">
        <w:rPr>
          <w:rFonts w:ascii="Arial" w:hAnsi="Arial" w:cs="Arial"/>
        </w:rPr>
        <w:t xml:space="preserve">The expectation of this stakeholder group would be consideration of community welfare in the </w:t>
      </w:r>
      <w:r w:rsidR="00231FA1" w:rsidRPr="003C3279">
        <w:rPr>
          <w:rFonts w:ascii="Arial" w:hAnsi="Arial" w:cs="Arial"/>
        </w:rPr>
        <w:t xml:space="preserve">strategic direction, including the creation of growth opportunities for the community. </w:t>
      </w:r>
      <w:r w:rsidR="00E15609" w:rsidRPr="003C3279">
        <w:rPr>
          <w:rFonts w:ascii="Arial" w:hAnsi="Arial" w:cs="Arial"/>
        </w:rPr>
        <w:t>As such, this group should be kept informed by the managers</w:t>
      </w:r>
      <w:r w:rsidR="00642F06" w:rsidRPr="003C3279">
        <w:rPr>
          <w:rFonts w:ascii="Arial" w:hAnsi="Arial" w:cs="Arial"/>
        </w:rPr>
        <w:t xml:space="preserve">. </w:t>
      </w:r>
    </w:p>
    <w:p w14:paraId="635BAD6D" w14:textId="2F6027CD" w:rsidR="00ED5913" w:rsidRPr="003C3279" w:rsidRDefault="00ED5913">
      <w:pPr>
        <w:rPr>
          <w:rFonts w:ascii="Arial" w:hAnsi="Arial" w:cs="Arial"/>
        </w:rPr>
      </w:pPr>
      <w:r w:rsidRPr="003C3279">
        <w:rPr>
          <w:rFonts w:ascii="Arial" w:hAnsi="Arial" w:cs="Arial"/>
        </w:rPr>
        <w:t xml:space="preserve">Low power-Low interest: This is a stakeholder group that holds minimal influence over the strategic choices, while also having minimal interests in the outcome (Farshid, </w:t>
      </w:r>
      <w:proofErr w:type="spellStart"/>
      <w:r w:rsidRPr="003C3279">
        <w:rPr>
          <w:rFonts w:ascii="Arial" w:hAnsi="Arial" w:cs="Arial"/>
        </w:rPr>
        <w:t>Goharrostami</w:t>
      </w:r>
      <w:proofErr w:type="spellEnd"/>
      <w:r w:rsidRPr="003C3279">
        <w:rPr>
          <w:rFonts w:ascii="Arial" w:hAnsi="Arial" w:cs="Arial"/>
        </w:rPr>
        <w:t xml:space="preserve"> and Ramezani Nejad, 2022). </w:t>
      </w:r>
      <w:r w:rsidR="00F1513E" w:rsidRPr="003C3279">
        <w:rPr>
          <w:rFonts w:ascii="Arial" w:hAnsi="Arial" w:cs="Arial"/>
        </w:rPr>
        <w:t xml:space="preserve">In Fixatex’s growth choices, this stakeholder group will include </w:t>
      </w:r>
      <w:r w:rsidR="001411A5" w:rsidRPr="003C3279">
        <w:rPr>
          <w:rFonts w:ascii="Arial" w:hAnsi="Arial" w:cs="Arial"/>
        </w:rPr>
        <w:t>the administrative staff</w:t>
      </w:r>
      <w:r w:rsidR="00412F46" w:rsidRPr="003C3279">
        <w:rPr>
          <w:rFonts w:ascii="Arial" w:hAnsi="Arial" w:cs="Arial"/>
        </w:rPr>
        <w:t xml:space="preserve"> and </w:t>
      </w:r>
      <w:r w:rsidR="00195504" w:rsidRPr="003C3279">
        <w:rPr>
          <w:rFonts w:ascii="Arial" w:hAnsi="Arial" w:cs="Arial"/>
        </w:rPr>
        <w:t xml:space="preserve">distant competitors whose scope is doesn’t intersect with Fixatex. </w:t>
      </w:r>
      <w:r w:rsidR="005B05D1" w:rsidRPr="003C3279">
        <w:rPr>
          <w:rFonts w:ascii="Arial" w:hAnsi="Arial" w:cs="Arial"/>
        </w:rPr>
        <w:t>Unless their inf</w:t>
      </w:r>
      <w:r w:rsidR="00E15609" w:rsidRPr="003C3279">
        <w:rPr>
          <w:rFonts w:ascii="Arial" w:hAnsi="Arial" w:cs="Arial"/>
        </w:rPr>
        <w:t>luence</w:t>
      </w:r>
      <w:r w:rsidR="005B05D1" w:rsidRPr="003C3279">
        <w:rPr>
          <w:rFonts w:ascii="Arial" w:hAnsi="Arial" w:cs="Arial"/>
        </w:rPr>
        <w:t xml:space="preserve"> grows, this is a group to </w:t>
      </w:r>
      <w:r w:rsidR="00E15609" w:rsidRPr="003C3279">
        <w:rPr>
          <w:rFonts w:ascii="Arial" w:hAnsi="Arial" w:cs="Arial"/>
        </w:rPr>
        <w:t xml:space="preserve">pay minimal effort. </w:t>
      </w:r>
    </w:p>
    <w:p w14:paraId="6289B577" w14:textId="09EA6B87" w:rsidR="00DA2DD2" w:rsidRPr="00CA7088" w:rsidRDefault="00DA2DD2" w:rsidP="003C3279">
      <w:pPr>
        <w:pStyle w:val="Heading2"/>
        <w:rPr>
          <w:rFonts w:ascii="Arial" w:hAnsi="Arial" w:cs="Arial"/>
          <w:b/>
          <w:bCs/>
          <w:color w:val="auto"/>
          <w:sz w:val="22"/>
          <w:szCs w:val="22"/>
        </w:rPr>
      </w:pPr>
      <w:bookmarkStart w:id="16" w:name="_Toc214807210"/>
      <w:r w:rsidRPr="00CA7088">
        <w:rPr>
          <w:rFonts w:ascii="Arial" w:hAnsi="Arial" w:cs="Arial"/>
          <w:b/>
          <w:bCs/>
          <w:color w:val="auto"/>
          <w:sz w:val="22"/>
          <w:szCs w:val="22"/>
        </w:rPr>
        <w:t>RACI Matrix</w:t>
      </w:r>
      <w:bookmarkEnd w:id="16"/>
      <w:r w:rsidRPr="00CA7088">
        <w:rPr>
          <w:rFonts w:ascii="Arial" w:hAnsi="Arial" w:cs="Arial"/>
          <w:b/>
          <w:bCs/>
          <w:color w:val="auto"/>
          <w:sz w:val="22"/>
          <w:szCs w:val="22"/>
        </w:rPr>
        <w:t xml:space="preserve"> </w:t>
      </w:r>
    </w:p>
    <w:p w14:paraId="693F54E0" w14:textId="39C0EAA5" w:rsidR="001217AC" w:rsidRPr="00CA7088" w:rsidRDefault="001217AC" w:rsidP="001217AC">
      <w:pPr>
        <w:rPr>
          <w:rFonts w:ascii="Arial" w:hAnsi="Arial" w:cs="Arial"/>
        </w:rPr>
      </w:pPr>
      <w:r w:rsidRPr="00CA7088">
        <w:rPr>
          <w:rFonts w:ascii="Arial" w:hAnsi="Arial" w:cs="Arial"/>
        </w:rPr>
        <w:t>The RACI matrix in stakeholder analysis assigns responsibilities and roles to the stakeholders involved in project implementation</w:t>
      </w:r>
      <w:r w:rsidR="007944D1" w:rsidRPr="00CA7088">
        <w:rPr>
          <w:rFonts w:ascii="Arial" w:hAnsi="Arial" w:cs="Arial"/>
        </w:rPr>
        <w:t xml:space="preserve"> (</w:t>
      </w:r>
      <w:proofErr w:type="spellStart"/>
      <w:r w:rsidR="007944D1" w:rsidRPr="00CA7088">
        <w:rPr>
          <w:rFonts w:ascii="Arial" w:hAnsi="Arial" w:cs="Arial"/>
        </w:rPr>
        <w:t>Ma'arif</w:t>
      </w:r>
      <w:proofErr w:type="spellEnd"/>
      <w:r w:rsidR="007944D1" w:rsidRPr="00CA7088">
        <w:rPr>
          <w:rFonts w:ascii="Arial" w:hAnsi="Arial" w:cs="Arial"/>
        </w:rPr>
        <w:t xml:space="preserve"> et al., 2023)</w:t>
      </w:r>
      <w:r w:rsidRPr="00CA7088">
        <w:rPr>
          <w:rFonts w:ascii="Arial" w:hAnsi="Arial" w:cs="Arial"/>
        </w:rPr>
        <w:t>.</w:t>
      </w:r>
      <w:r w:rsidR="003C3930" w:rsidRPr="00CA7088">
        <w:rPr>
          <w:rFonts w:ascii="Arial" w:hAnsi="Arial" w:cs="Arial"/>
        </w:rPr>
        <w:t xml:space="preserve"> The main stakeholders in the strategic choices will include the MD, Engineering team, project management team, marketing</w:t>
      </w:r>
      <w:r w:rsidR="00F82AA4" w:rsidRPr="00CA7088">
        <w:rPr>
          <w:rFonts w:ascii="Arial" w:hAnsi="Arial" w:cs="Arial"/>
        </w:rPr>
        <w:t xml:space="preserve"> and</w:t>
      </w:r>
      <w:r w:rsidR="003C3930" w:rsidRPr="00CA7088">
        <w:rPr>
          <w:rFonts w:ascii="Arial" w:hAnsi="Arial" w:cs="Arial"/>
        </w:rPr>
        <w:t xml:space="preserve"> finance</w:t>
      </w:r>
      <w:r w:rsidR="00F82AA4" w:rsidRPr="00CA7088">
        <w:rPr>
          <w:rFonts w:ascii="Arial" w:hAnsi="Arial" w:cs="Arial"/>
        </w:rPr>
        <w:t xml:space="preserve">. </w:t>
      </w:r>
      <w:r w:rsidRPr="00CA7088">
        <w:rPr>
          <w:rFonts w:ascii="Arial" w:hAnsi="Arial" w:cs="Arial"/>
        </w:rPr>
        <w:t xml:space="preserve">In this case, these stakeholders will be involved in the implementation of </w:t>
      </w:r>
      <w:r w:rsidR="00681BD7" w:rsidRPr="00CA7088">
        <w:rPr>
          <w:rFonts w:ascii="Arial" w:hAnsi="Arial" w:cs="Arial"/>
        </w:rPr>
        <w:t xml:space="preserve">strategic growth direction ideas at Fixatex. </w:t>
      </w:r>
      <w:r w:rsidR="009C1E67" w:rsidRPr="00CA7088">
        <w:rPr>
          <w:rFonts w:ascii="Arial" w:hAnsi="Arial" w:cs="Arial"/>
        </w:rPr>
        <w:t xml:space="preserve">In consideration and implementation of growth choices at Fixatex, the roles and responsibilities of the different stakeholders will be as </w:t>
      </w:r>
      <w:proofErr w:type="gramStart"/>
      <w:r w:rsidR="009C1E67" w:rsidRPr="00CA7088">
        <w:rPr>
          <w:rFonts w:ascii="Arial" w:hAnsi="Arial" w:cs="Arial"/>
        </w:rPr>
        <w:t>follows;</w:t>
      </w:r>
      <w:proofErr w:type="gramEnd"/>
    </w:p>
    <w:tbl>
      <w:tblPr>
        <w:tblStyle w:val="TableGrid"/>
        <w:tblW w:w="0" w:type="auto"/>
        <w:tblLook w:val="04A0" w:firstRow="1" w:lastRow="0" w:firstColumn="1" w:lastColumn="0" w:noHBand="0" w:noVBand="1"/>
      </w:tblPr>
      <w:tblGrid>
        <w:gridCol w:w="1721"/>
        <w:gridCol w:w="1263"/>
        <w:gridCol w:w="1648"/>
        <w:gridCol w:w="1699"/>
        <w:gridCol w:w="1467"/>
        <w:gridCol w:w="1552"/>
      </w:tblGrid>
      <w:tr w:rsidR="00CA7088" w:rsidRPr="00CA7088" w14:paraId="6C4EA7DC" w14:textId="77777777" w:rsidTr="009D28E4">
        <w:tc>
          <w:tcPr>
            <w:tcW w:w="1721" w:type="dxa"/>
          </w:tcPr>
          <w:p w14:paraId="55E9F1D2" w14:textId="13F00A7C" w:rsidR="007B482F" w:rsidRPr="00CA7088" w:rsidRDefault="007B482F" w:rsidP="001217AC">
            <w:pPr>
              <w:rPr>
                <w:rFonts w:ascii="Arial" w:hAnsi="Arial" w:cs="Arial"/>
              </w:rPr>
            </w:pPr>
          </w:p>
        </w:tc>
        <w:tc>
          <w:tcPr>
            <w:tcW w:w="1263" w:type="dxa"/>
          </w:tcPr>
          <w:p w14:paraId="46F8B6A8" w14:textId="43BD72CD" w:rsidR="007B482F" w:rsidRPr="00CA7088" w:rsidRDefault="007B482F" w:rsidP="001217AC">
            <w:pPr>
              <w:rPr>
                <w:rFonts w:ascii="Arial" w:hAnsi="Arial" w:cs="Arial"/>
              </w:rPr>
            </w:pPr>
            <w:r w:rsidRPr="00CA7088">
              <w:rPr>
                <w:rFonts w:ascii="Arial" w:hAnsi="Arial" w:cs="Arial"/>
              </w:rPr>
              <w:t>MD</w:t>
            </w:r>
          </w:p>
        </w:tc>
        <w:tc>
          <w:tcPr>
            <w:tcW w:w="1648" w:type="dxa"/>
          </w:tcPr>
          <w:p w14:paraId="4E842518" w14:textId="33174F1E" w:rsidR="007B482F" w:rsidRPr="00CA7088" w:rsidRDefault="007B482F" w:rsidP="001217AC">
            <w:pPr>
              <w:rPr>
                <w:rFonts w:ascii="Arial" w:hAnsi="Arial" w:cs="Arial"/>
              </w:rPr>
            </w:pPr>
            <w:r w:rsidRPr="00CA7088">
              <w:rPr>
                <w:rFonts w:ascii="Arial" w:hAnsi="Arial" w:cs="Arial"/>
              </w:rPr>
              <w:t xml:space="preserve">Engineering </w:t>
            </w:r>
          </w:p>
        </w:tc>
        <w:tc>
          <w:tcPr>
            <w:tcW w:w="1699" w:type="dxa"/>
          </w:tcPr>
          <w:p w14:paraId="3E8FF04C" w14:textId="024F0AEF" w:rsidR="007B482F" w:rsidRPr="00CA7088" w:rsidRDefault="007B482F" w:rsidP="001217AC">
            <w:pPr>
              <w:rPr>
                <w:rFonts w:ascii="Arial" w:hAnsi="Arial" w:cs="Arial"/>
              </w:rPr>
            </w:pPr>
            <w:r w:rsidRPr="00CA7088">
              <w:rPr>
                <w:rFonts w:ascii="Arial" w:hAnsi="Arial" w:cs="Arial"/>
              </w:rPr>
              <w:t xml:space="preserve">Project </w:t>
            </w:r>
            <w:r w:rsidR="00F74E4B" w:rsidRPr="00CA7088">
              <w:rPr>
                <w:rFonts w:ascii="Arial" w:hAnsi="Arial" w:cs="Arial"/>
              </w:rPr>
              <w:t>lead</w:t>
            </w:r>
          </w:p>
        </w:tc>
        <w:tc>
          <w:tcPr>
            <w:tcW w:w="1467" w:type="dxa"/>
          </w:tcPr>
          <w:p w14:paraId="330260A3" w14:textId="5F63AF84" w:rsidR="007B482F" w:rsidRPr="00CA7088" w:rsidRDefault="007B482F" w:rsidP="001217AC">
            <w:pPr>
              <w:rPr>
                <w:rFonts w:ascii="Arial" w:hAnsi="Arial" w:cs="Arial"/>
              </w:rPr>
            </w:pPr>
            <w:r w:rsidRPr="00CA7088">
              <w:rPr>
                <w:rFonts w:ascii="Arial" w:hAnsi="Arial" w:cs="Arial"/>
              </w:rPr>
              <w:t xml:space="preserve">Finance </w:t>
            </w:r>
          </w:p>
        </w:tc>
        <w:tc>
          <w:tcPr>
            <w:tcW w:w="1552" w:type="dxa"/>
          </w:tcPr>
          <w:p w14:paraId="7D421C8F" w14:textId="57861D18" w:rsidR="007B482F" w:rsidRPr="00CA7088" w:rsidRDefault="007B482F" w:rsidP="001217AC">
            <w:pPr>
              <w:rPr>
                <w:rFonts w:ascii="Arial" w:hAnsi="Arial" w:cs="Arial"/>
              </w:rPr>
            </w:pPr>
            <w:r w:rsidRPr="00CA7088">
              <w:rPr>
                <w:rFonts w:ascii="Arial" w:hAnsi="Arial" w:cs="Arial"/>
              </w:rPr>
              <w:t xml:space="preserve">Marketing </w:t>
            </w:r>
          </w:p>
        </w:tc>
      </w:tr>
      <w:tr w:rsidR="00CA7088" w:rsidRPr="00CA7088" w14:paraId="5DB7F7CC" w14:textId="77777777" w:rsidTr="009D28E4">
        <w:tc>
          <w:tcPr>
            <w:tcW w:w="1721" w:type="dxa"/>
          </w:tcPr>
          <w:p w14:paraId="0B00CEFF" w14:textId="2A4F22B3" w:rsidR="007B482F" w:rsidRPr="00CA7088" w:rsidRDefault="009D28E4" w:rsidP="001217AC">
            <w:pPr>
              <w:rPr>
                <w:rFonts w:ascii="Arial" w:hAnsi="Arial" w:cs="Arial"/>
              </w:rPr>
            </w:pPr>
            <w:r w:rsidRPr="00CA7088">
              <w:rPr>
                <w:rFonts w:ascii="Arial" w:hAnsi="Arial" w:cs="Arial"/>
              </w:rPr>
              <w:t xml:space="preserve">Market research </w:t>
            </w:r>
          </w:p>
        </w:tc>
        <w:tc>
          <w:tcPr>
            <w:tcW w:w="1263" w:type="dxa"/>
          </w:tcPr>
          <w:p w14:paraId="208AA453" w14:textId="7778823E" w:rsidR="007B482F" w:rsidRPr="00CA7088" w:rsidRDefault="00F82AA4" w:rsidP="001217AC">
            <w:pPr>
              <w:rPr>
                <w:rFonts w:ascii="Arial" w:hAnsi="Arial" w:cs="Arial"/>
              </w:rPr>
            </w:pPr>
            <w:r w:rsidRPr="00CA7088">
              <w:rPr>
                <w:rFonts w:ascii="Arial" w:hAnsi="Arial" w:cs="Arial"/>
              </w:rPr>
              <w:t>A</w:t>
            </w:r>
          </w:p>
        </w:tc>
        <w:tc>
          <w:tcPr>
            <w:tcW w:w="1648" w:type="dxa"/>
          </w:tcPr>
          <w:p w14:paraId="01CED24F" w14:textId="569D3D94" w:rsidR="007B482F" w:rsidRPr="00CA7088" w:rsidRDefault="0077339E" w:rsidP="001217AC">
            <w:pPr>
              <w:rPr>
                <w:rFonts w:ascii="Arial" w:hAnsi="Arial" w:cs="Arial"/>
              </w:rPr>
            </w:pPr>
            <w:r w:rsidRPr="00CA7088">
              <w:rPr>
                <w:rFonts w:ascii="Arial" w:hAnsi="Arial" w:cs="Arial"/>
              </w:rPr>
              <w:t>C</w:t>
            </w:r>
          </w:p>
        </w:tc>
        <w:tc>
          <w:tcPr>
            <w:tcW w:w="1699" w:type="dxa"/>
          </w:tcPr>
          <w:p w14:paraId="7666BF1E" w14:textId="38F6922F" w:rsidR="007B482F" w:rsidRPr="00CA7088" w:rsidRDefault="00F82AA4" w:rsidP="001217AC">
            <w:pPr>
              <w:rPr>
                <w:rFonts w:ascii="Arial" w:hAnsi="Arial" w:cs="Arial"/>
              </w:rPr>
            </w:pPr>
            <w:r w:rsidRPr="00CA7088">
              <w:rPr>
                <w:rFonts w:ascii="Arial" w:hAnsi="Arial" w:cs="Arial"/>
              </w:rPr>
              <w:t>R</w:t>
            </w:r>
          </w:p>
        </w:tc>
        <w:tc>
          <w:tcPr>
            <w:tcW w:w="1467" w:type="dxa"/>
          </w:tcPr>
          <w:p w14:paraId="5EBED85C" w14:textId="1708F428" w:rsidR="007B482F" w:rsidRPr="00CA7088" w:rsidRDefault="00F82AA4" w:rsidP="001217AC">
            <w:pPr>
              <w:rPr>
                <w:rFonts w:ascii="Arial" w:hAnsi="Arial" w:cs="Arial"/>
              </w:rPr>
            </w:pPr>
            <w:r w:rsidRPr="00CA7088">
              <w:rPr>
                <w:rFonts w:ascii="Arial" w:hAnsi="Arial" w:cs="Arial"/>
              </w:rPr>
              <w:t>I</w:t>
            </w:r>
          </w:p>
        </w:tc>
        <w:tc>
          <w:tcPr>
            <w:tcW w:w="1552" w:type="dxa"/>
          </w:tcPr>
          <w:p w14:paraId="5A7F38EE" w14:textId="3266F3A7" w:rsidR="007B482F" w:rsidRPr="00CA7088" w:rsidRDefault="00F82AA4" w:rsidP="001217AC">
            <w:pPr>
              <w:rPr>
                <w:rFonts w:ascii="Arial" w:hAnsi="Arial" w:cs="Arial"/>
              </w:rPr>
            </w:pPr>
            <w:r w:rsidRPr="00CA7088">
              <w:rPr>
                <w:rFonts w:ascii="Arial" w:hAnsi="Arial" w:cs="Arial"/>
              </w:rPr>
              <w:t>C</w:t>
            </w:r>
          </w:p>
        </w:tc>
      </w:tr>
      <w:tr w:rsidR="00CA7088" w:rsidRPr="00CA7088" w14:paraId="78869473" w14:textId="77777777" w:rsidTr="009D28E4">
        <w:tc>
          <w:tcPr>
            <w:tcW w:w="1721" w:type="dxa"/>
          </w:tcPr>
          <w:p w14:paraId="7AE9B459" w14:textId="1853F30B" w:rsidR="007B482F" w:rsidRPr="00CA7088" w:rsidRDefault="009D28E4" w:rsidP="001217AC">
            <w:pPr>
              <w:rPr>
                <w:rFonts w:ascii="Arial" w:hAnsi="Arial" w:cs="Arial"/>
              </w:rPr>
            </w:pPr>
            <w:r w:rsidRPr="00CA7088">
              <w:rPr>
                <w:rFonts w:ascii="Arial" w:hAnsi="Arial" w:cs="Arial"/>
              </w:rPr>
              <w:t xml:space="preserve">Selection of suitable strategy </w:t>
            </w:r>
          </w:p>
        </w:tc>
        <w:tc>
          <w:tcPr>
            <w:tcW w:w="1263" w:type="dxa"/>
          </w:tcPr>
          <w:p w14:paraId="75AA382E" w14:textId="46D2600C" w:rsidR="007B482F" w:rsidRPr="00CA7088" w:rsidRDefault="0077339E" w:rsidP="001217AC">
            <w:pPr>
              <w:rPr>
                <w:rFonts w:ascii="Arial" w:hAnsi="Arial" w:cs="Arial"/>
              </w:rPr>
            </w:pPr>
            <w:r w:rsidRPr="00CA7088">
              <w:rPr>
                <w:rFonts w:ascii="Arial" w:hAnsi="Arial" w:cs="Arial"/>
              </w:rPr>
              <w:t>A</w:t>
            </w:r>
          </w:p>
        </w:tc>
        <w:tc>
          <w:tcPr>
            <w:tcW w:w="1648" w:type="dxa"/>
          </w:tcPr>
          <w:p w14:paraId="1E3A2C35" w14:textId="695040C9" w:rsidR="007B482F" w:rsidRPr="00CA7088" w:rsidRDefault="0077339E" w:rsidP="001217AC">
            <w:pPr>
              <w:rPr>
                <w:rFonts w:ascii="Arial" w:hAnsi="Arial" w:cs="Arial"/>
              </w:rPr>
            </w:pPr>
            <w:r w:rsidRPr="00CA7088">
              <w:rPr>
                <w:rFonts w:ascii="Arial" w:hAnsi="Arial" w:cs="Arial"/>
              </w:rPr>
              <w:t>C</w:t>
            </w:r>
          </w:p>
        </w:tc>
        <w:tc>
          <w:tcPr>
            <w:tcW w:w="1699" w:type="dxa"/>
          </w:tcPr>
          <w:p w14:paraId="38BEAB85" w14:textId="0FBB7DF6" w:rsidR="007B482F" w:rsidRPr="00CA7088" w:rsidRDefault="0077339E" w:rsidP="001217AC">
            <w:pPr>
              <w:rPr>
                <w:rFonts w:ascii="Arial" w:hAnsi="Arial" w:cs="Arial"/>
              </w:rPr>
            </w:pPr>
            <w:r w:rsidRPr="00CA7088">
              <w:rPr>
                <w:rFonts w:ascii="Arial" w:hAnsi="Arial" w:cs="Arial"/>
              </w:rPr>
              <w:t>R</w:t>
            </w:r>
          </w:p>
        </w:tc>
        <w:tc>
          <w:tcPr>
            <w:tcW w:w="1467" w:type="dxa"/>
          </w:tcPr>
          <w:p w14:paraId="05C6E4FD" w14:textId="26DBF26D" w:rsidR="007B482F" w:rsidRPr="00CA7088" w:rsidRDefault="0077339E" w:rsidP="001217AC">
            <w:pPr>
              <w:rPr>
                <w:rFonts w:ascii="Arial" w:hAnsi="Arial" w:cs="Arial"/>
              </w:rPr>
            </w:pPr>
            <w:r w:rsidRPr="00CA7088">
              <w:rPr>
                <w:rFonts w:ascii="Arial" w:hAnsi="Arial" w:cs="Arial"/>
              </w:rPr>
              <w:t>I</w:t>
            </w:r>
          </w:p>
        </w:tc>
        <w:tc>
          <w:tcPr>
            <w:tcW w:w="1552" w:type="dxa"/>
          </w:tcPr>
          <w:p w14:paraId="3A4B5EF4" w14:textId="5EF011F1" w:rsidR="007B482F" w:rsidRPr="00CA7088" w:rsidRDefault="0077339E" w:rsidP="001217AC">
            <w:pPr>
              <w:rPr>
                <w:rFonts w:ascii="Arial" w:hAnsi="Arial" w:cs="Arial"/>
              </w:rPr>
            </w:pPr>
            <w:r w:rsidRPr="00CA7088">
              <w:rPr>
                <w:rFonts w:ascii="Arial" w:hAnsi="Arial" w:cs="Arial"/>
              </w:rPr>
              <w:t>C</w:t>
            </w:r>
          </w:p>
        </w:tc>
      </w:tr>
      <w:tr w:rsidR="00CA7088" w:rsidRPr="00CA7088" w14:paraId="283670C0" w14:textId="77777777" w:rsidTr="009D28E4">
        <w:tc>
          <w:tcPr>
            <w:tcW w:w="1721" w:type="dxa"/>
          </w:tcPr>
          <w:p w14:paraId="19947ED0" w14:textId="24D520EA" w:rsidR="009D28E4" w:rsidRPr="00CA7088" w:rsidRDefault="009D28E4" w:rsidP="001217AC">
            <w:pPr>
              <w:rPr>
                <w:rFonts w:ascii="Arial" w:hAnsi="Arial" w:cs="Arial"/>
              </w:rPr>
            </w:pPr>
            <w:r w:rsidRPr="00CA7088">
              <w:rPr>
                <w:rFonts w:ascii="Arial" w:hAnsi="Arial" w:cs="Arial"/>
              </w:rPr>
              <w:t xml:space="preserve">Concept design </w:t>
            </w:r>
          </w:p>
        </w:tc>
        <w:tc>
          <w:tcPr>
            <w:tcW w:w="1263" w:type="dxa"/>
          </w:tcPr>
          <w:p w14:paraId="70D1C435" w14:textId="3AED3C4B" w:rsidR="009D28E4" w:rsidRPr="00CA7088" w:rsidRDefault="0077339E" w:rsidP="001217AC">
            <w:pPr>
              <w:rPr>
                <w:rFonts w:ascii="Arial" w:hAnsi="Arial" w:cs="Arial"/>
              </w:rPr>
            </w:pPr>
            <w:r w:rsidRPr="00CA7088">
              <w:rPr>
                <w:rFonts w:ascii="Arial" w:hAnsi="Arial" w:cs="Arial"/>
              </w:rPr>
              <w:t>A</w:t>
            </w:r>
          </w:p>
        </w:tc>
        <w:tc>
          <w:tcPr>
            <w:tcW w:w="1648" w:type="dxa"/>
          </w:tcPr>
          <w:p w14:paraId="3A610C81" w14:textId="3A2ED8BF" w:rsidR="009D28E4" w:rsidRPr="00CA7088" w:rsidRDefault="0077339E" w:rsidP="001217AC">
            <w:pPr>
              <w:rPr>
                <w:rFonts w:ascii="Arial" w:hAnsi="Arial" w:cs="Arial"/>
              </w:rPr>
            </w:pPr>
            <w:r w:rsidRPr="00CA7088">
              <w:rPr>
                <w:rFonts w:ascii="Arial" w:hAnsi="Arial" w:cs="Arial"/>
              </w:rPr>
              <w:t>C</w:t>
            </w:r>
          </w:p>
        </w:tc>
        <w:tc>
          <w:tcPr>
            <w:tcW w:w="1699" w:type="dxa"/>
          </w:tcPr>
          <w:p w14:paraId="38299664" w14:textId="323DE683" w:rsidR="009D28E4" w:rsidRPr="00CA7088" w:rsidRDefault="0077339E" w:rsidP="001217AC">
            <w:pPr>
              <w:rPr>
                <w:rFonts w:ascii="Arial" w:hAnsi="Arial" w:cs="Arial"/>
              </w:rPr>
            </w:pPr>
            <w:r w:rsidRPr="00CA7088">
              <w:rPr>
                <w:rFonts w:ascii="Arial" w:hAnsi="Arial" w:cs="Arial"/>
              </w:rPr>
              <w:t>R</w:t>
            </w:r>
          </w:p>
        </w:tc>
        <w:tc>
          <w:tcPr>
            <w:tcW w:w="1467" w:type="dxa"/>
          </w:tcPr>
          <w:p w14:paraId="2E7B58E4" w14:textId="0BC1023D" w:rsidR="009D28E4" w:rsidRPr="00CA7088" w:rsidRDefault="0077339E" w:rsidP="001217AC">
            <w:pPr>
              <w:rPr>
                <w:rFonts w:ascii="Arial" w:hAnsi="Arial" w:cs="Arial"/>
              </w:rPr>
            </w:pPr>
            <w:r w:rsidRPr="00CA7088">
              <w:rPr>
                <w:rFonts w:ascii="Arial" w:hAnsi="Arial" w:cs="Arial"/>
              </w:rPr>
              <w:t>C</w:t>
            </w:r>
          </w:p>
        </w:tc>
        <w:tc>
          <w:tcPr>
            <w:tcW w:w="1552" w:type="dxa"/>
          </w:tcPr>
          <w:p w14:paraId="4D0DDF25" w14:textId="5592E305" w:rsidR="009D28E4" w:rsidRPr="00CA7088" w:rsidRDefault="00F74E4B" w:rsidP="001217AC">
            <w:pPr>
              <w:rPr>
                <w:rFonts w:ascii="Arial" w:hAnsi="Arial" w:cs="Arial"/>
              </w:rPr>
            </w:pPr>
            <w:r w:rsidRPr="00CA7088">
              <w:rPr>
                <w:rFonts w:ascii="Arial" w:hAnsi="Arial" w:cs="Arial"/>
              </w:rPr>
              <w:t>C</w:t>
            </w:r>
          </w:p>
        </w:tc>
      </w:tr>
      <w:tr w:rsidR="00CA7088" w:rsidRPr="00CA7088" w14:paraId="5C2EB3D0" w14:textId="77777777" w:rsidTr="009D28E4">
        <w:tc>
          <w:tcPr>
            <w:tcW w:w="1721" w:type="dxa"/>
          </w:tcPr>
          <w:p w14:paraId="32E49696" w14:textId="06C75242" w:rsidR="007B482F" w:rsidRPr="00CA7088" w:rsidRDefault="009D28E4" w:rsidP="001217AC">
            <w:pPr>
              <w:rPr>
                <w:rFonts w:ascii="Arial" w:hAnsi="Arial" w:cs="Arial"/>
              </w:rPr>
            </w:pPr>
            <w:r w:rsidRPr="00CA7088">
              <w:rPr>
                <w:rFonts w:ascii="Arial" w:hAnsi="Arial" w:cs="Arial"/>
              </w:rPr>
              <w:t xml:space="preserve">Implementation </w:t>
            </w:r>
          </w:p>
        </w:tc>
        <w:tc>
          <w:tcPr>
            <w:tcW w:w="1263" w:type="dxa"/>
          </w:tcPr>
          <w:p w14:paraId="5DF9E980" w14:textId="7F1C0CE8" w:rsidR="007B482F" w:rsidRPr="00CA7088" w:rsidRDefault="00F74E4B" w:rsidP="001217AC">
            <w:pPr>
              <w:rPr>
                <w:rFonts w:ascii="Arial" w:hAnsi="Arial" w:cs="Arial"/>
              </w:rPr>
            </w:pPr>
            <w:r w:rsidRPr="00CA7088">
              <w:rPr>
                <w:rFonts w:ascii="Arial" w:hAnsi="Arial" w:cs="Arial"/>
              </w:rPr>
              <w:t>A</w:t>
            </w:r>
          </w:p>
        </w:tc>
        <w:tc>
          <w:tcPr>
            <w:tcW w:w="1648" w:type="dxa"/>
          </w:tcPr>
          <w:p w14:paraId="577FB8BA" w14:textId="7228152B" w:rsidR="007B482F" w:rsidRPr="00CA7088" w:rsidRDefault="00F74E4B" w:rsidP="001217AC">
            <w:pPr>
              <w:rPr>
                <w:rFonts w:ascii="Arial" w:hAnsi="Arial" w:cs="Arial"/>
              </w:rPr>
            </w:pPr>
            <w:r w:rsidRPr="00CA7088">
              <w:rPr>
                <w:rFonts w:ascii="Arial" w:hAnsi="Arial" w:cs="Arial"/>
              </w:rPr>
              <w:t>C</w:t>
            </w:r>
          </w:p>
        </w:tc>
        <w:tc>
          <w:tcPr>
            <w:tcW w:w="1699" w:type="dxa"/>
          </w:tcPr>
          <w:p w14:paraId="59DEA09E" w14:textId="06C0FA40" w:rsidR="007B482F" w:rsidRPr="00CA7088" w:rsidRDefault="00F74E4B" w:rsidP="001217AC">
            <w:pPr>
              <w:rPr>
                <w:rFonts w:ascii="Arial" w:hAnsi="Arial" w:cs="Arial"/>
              </w:rPr>
            </w:pPr>
            <w:r w:rsidRPr="00CA7088">
              <w:rPr>
                <w:rFonts w:ascii="Arial" w:hAnsi="Arial" w:cs="Arial"/>
              </w:rPr>
              <w:t>R</w:t>
            </w:r>
          </w:p>
        </w:tc>
        <w:tc>
          <w:tcPr>
            <w:tcW w:w="1467" w:type="dxa"/>
          </w:tcPr>
          <w:p w14:paraId="4CC4C090" w14:textId="344D24D2" w:rsidR="007B482F" w:rsidRPr="00CA7088" w:rsidRDefault="00F74E4B" w:rsidP="001217AC">
            <w:pPr>
              <w:rPr>
                <w:rFonts w:ascii="Arial" w:hAnsi="Arial" w:cs="Arial"/>
              </w:rPr>
            </w:pPr>
            <w:r w:rsidRPr="00CA7088">
              <w:rPr>
                <w:rFonts w:ascii="Arial" w:hAnsi="Arial" w:cs="Arial"/>
              </w:rPr>
              <w:t>C</w:t>
            </w:r>
          </w:p>
        </w:tc>
        <w:tc>
          <w:tcPr>
            <w:tcW w:w="1552" w:type="dxa"/>
          </w:tcPr>
          <w:p w14:paraId="331C351F" w14:textId="0E8A4F47" w:rsidR="007B482F" w:rsidRPr="00CA7088" w:rsidRDefault="00F74E4B" w:rsidP="001217AC">
            <w:pPr>
              <w:rPr>
                <w:rFonts w:ascii="Arial" w:hAnsi="Arial" w:cs="Arial"/>
              </w:rPr>
            </w:pPr>
            <w:r w:rsidRPr="00CA7088">
              <w:rPr>
                <w:rFonts w:ascii="Arial" w:hAnsi="Arial" w:cs="Arial"/>
              </w:rPr>
              <w:t>R</w:t>
            </w:r>
          </w:p>
        </w:tc>
      </w:tr>
      <w:tr w:rsidR="00CA7088" w:rsidRPr="00CA7088" w14:paraId="54AFD19A" w14:textId="77777777" w:rsidTr="009D28E4">
        <w:tc>
          <w:tcPr>
            <w:tcW w:w="1721" w:type="dxa"/>
          </w:tcPr>
          <w:p w14:paraId="54A7FAB1" w14:textId="69D6710D" w:rsidR="007B482F" w:rsidRPr="00CA7088" w:rsidRDefault="009D28E4" w:rsidP="001217AC">
            <w:pPr>
              <w:rPr>
                <w:rFonts w:ascii="Arial" w:hAnsi="Arial" w:cs="Arial"/>
              </w:rPr>
            </w:pPr>
            <w:r w:rsidRPr="00CA7088">
              <w:rPr>
                <w:rFonts w:ascii="Arial" w:hAnsi="Arial" w:cs="Arial"/>
              </w:rPr>
              <w:t xml:space="preserve">Monitoring and evaluation </w:t>
            </w:r>
          </w:p>
        </w:tc>
        <w:tc>
          <w:tcPr>
            <w:tcW w:w="1263" w:type="dxa"/>
          </w:tcPr>
          <w:p w14:paraId="06B50C55" w14:textId="65A935FB" w:rsidR="007B482F" w:rsidRPr="00CA7088" w:rsidRDefault="00DA2FBA" w:rsidP="001217AC">
            <w:pPr>
              <w:rPr>
                <w:rFonts w:ascii="Arial" w:hAnsi="Arial" w:cs="Arial"/>
              </w:rPr>
            </w:pPr>
            <w:r w:rsidRPr="00CA7088">
              <w:rPr>
                <w:rFonts w:ascii="Arial" w:hAnsi="Arial" w:cs="Arial"/>
              </w:rPr>
              <w:t>C</w:t>
            </w:r>
          </w:p>
        </w:tc>
        <w:tc>
          <w:tcPr>
            <w:tcW w:w="1648" w:type="dxa"/>
          </w:tcPr>
          <w:p w14:paraId="6AA6BD38" w14:textId="2E27471E" w:rsidR="007B482F" w:rsidRPr="00CA7088" w:rsidRDefault="00DA2FBA" w:rsidP="001217AC">
            <w:pPr>
              <w:rPr>
                <w:rFonts w:ascii="Arial" w:hAnsi="Arial" w:cs="Arial"/>
              </w:rPr>
            </w:pPr>
            <w:r w:rsidRPr="00CA7088">
              <w:rPr>
                <w:rFonts w:ascii="Arial" w:hAnsi="Arial" w:cs="Arial"/>
              </w:rPr>
              <w:t>I</w:t>
            </w:r>
          </w:p>
        </w:tc>
        <w:tc>
          <w:tcPr>
            <w:tcW w:w="1699" w:type="dxa"/>
          </w:tcPr>
          <w:p w14:paraId="19B5EADB" w14:textId="66170829" w:rsidR="007B482F" w:rsidRPr="00CA7088" w:rsidRDefault="00DA2FBA" w:rsidP="001217AC">
            <w:pPr>
              <w:rPr>
                <w:rFonts w:ascii="Arial" w:hAnsi="Arial" w:cs="Arial"/>
              </w:rPr>
            </w:pPr>
            <w:r w:rsidRPr="00CA7088">
              <w:rPr>
                <w:rFonts w:ascii="Arial" w:hAnsi="Arial" w:cs="Arial"/>
              </w:rPr>
              <w:t>A</w:t>
            </w:r>
          </w:p>
        </w:tc>
        <w:tc>
          <w:tcPr>
            <w:tcW w:w="1467" w:type="dxa"/>
          </w:tcPr>
          <w:p w14:paraId="72FFA168" w14:textId="639FF121" w:rsidR="007B482F" w:rsidRPr="00CA7088" w:rsidRDefault="00F74E4B" w:rsidP="001217AC">
            <w:pPr>
              <w:rPr>
                <w:rFonts w:ascii="Arial" w:hAnsi="Arial" w:cs="Arial"/>
              </w:rPr>
            </w:pPr>
            <w:r w:rsidRPr="00CA7088">
              <w:rPr>
                <w:rFonts w:ascii="Arial" w:hAnsi="Arial" w:cs="Arial"/>
              </w:rPr>
              <w:t>I</w:t>
            </w:r>
          </w:p>
        </w:tc>
        <w:tc>
          <w:tcPr>
            <w:tcW w:w="1552" w:type="dxa"/>
          </w:tcPr>
          <w:p w14:paraId="53E0086B" w14:textId="6B10191A" w:rsidR="007B482F" w:rsidRPr="00CA7088" w:rsidRDefault="00F74E4B" w:rsidP="001217AC">
            <w:pPr>
              <w:rPr>
                <w:rFonts w:ascii="Arial" w:hAnsi="Arial" w:cs="Arial"/>
              </w:rPr>
            </w:pPr>
            <w:r w:rsidRPr="00CA7088">
              <w:rPr>
                <w:rFonts w:ascii="Arial" w:hAnsi="Arial" w:cs="Arial"/>
              </w:rPr>
              <w:t>R</w:t>
            </w:r>
          </w:p>
        </w:tc>
      </w:tr>
    </w:tbl>
    <w:p w14:paraId="5CDBAC23" w14:textId="77777777" w:rsidR="009C1E67" w:rsidRPr="003C3279" w:rsidRDefault="009C1E67" w:rsidP="001217AC">
      <w:pPr>
        <w:rPr>
          <w:rFonts w:ascii="Arial" w:hAnsi="Arial" w:cs="Arial"/>
          <w:color w:val="EE0000"/>
        </w:rPr>
      </w:pPr>
    </w:p>
    <w:p w14:paraId="1149AF84" w14:textId="5D4E7241" w:rsidR="002F5158" w:rsidRPr="003C3279" w:rsidRDefault="00444D64" w:rsidP="00444D64">
      <w:pPr>
        <w:pStyle w:val="Heading1"/>
        <w:jc w:val="center"/>
        <w:rPr>
          <w:rFonts w:ascii="Arial" w:hAnsi="Arial" w:cs="Arial"/>
          <w:b/>
          <w:bCs/>
          <w:color w:val="auto"/>
          <w:sz w:val="22"/>
          <w:szCs w:val="22"/>
        </w:rPr>
      </w:pPr>
      <w:bookmarkStart w:id="17" w:name="_Toc214807211"/>
      <w:r w:rsidRPr="003C3279">
        <w:rPr>
          <w:rFonts w:ascii="Arial" w:hAnsi="Arial" w:cs="Arial"/>
          <w:b/>
          <w:bCs/>
          <w:color w:val="auto"/>
          <w:sz w:val="22"/>
          <w:szCs w:val="22"/>
        </w:rPr>
        <w:t>Strategic recommendations</w:t>
      </w:r>
      <w:bookmarkEnd w:id="17"/>
    </w:p>
    <w:p w14:paraId="071FB516" w14:textId="24AE0E1D" w:rsidR="00444D64" w:rsidRPr="003C3279" w:rsidRDefault="00444D64">
      <w:pPr>
        <w:rPr>
          <w:rFonts w:ascii="Arial" w:hAnsi="Arial" w:cs="Arial"/>
        </w:rPr>
      </w:pPr>
      <w:r w:rsidRPr="003C3279">
        <w:rPr>
          <w:rFonts w:ascii="Arial" w:hAnsi="Arial" w:cs="Arial"/>
        </w:rPr>
        <w:t xml:space="preserve">More integration of technology: In consideration of financial challenges especially owing to the issues within the economic environment for SMEs, Fixatex could consider more integration of technology in its strategic implementation and growth. This will involve </w:t>
      </w:r>
      <w:r w:rsidR="00614C02" w:rsidRPr="003C3279">
        <w:rPr>
          <w:rFonts w:ascii="Arial" w:hAnsi="Arial" w:cs="Arial"/>
        </w:rPr>
        <w:t>employing Big Data analytics and IoT in understanding how the trends within the market and consumer behaviour could be leveraged in driving market penetration</w:t>
      </w:r>
      <w:r w:rsidR="00BC0AC1" w:rsidRPr="003C3279">
        <w:rPr>
          <w:rFonts w:ascii="Arial" w:hAnsi="Arial" w:cs="Arial"/>
        </w:rPr>
        <w:t xml:space="preserve">. This use of technology to drive business strategy has been underscored by </w:t>
      </w:r>
      <w:proofErr w:type="spellStart"/>
      <w:r w:rsidR="00BC0AC1" w:rsidRPr="003C3279">
        <w:rPr>
          <w:rFonts w:ascii="Arial" w:hAnsi="Arial" w:cs="Arial"/>
        </w:rPr>
        <w:t>Falahat</w:t>
      </w:r>
      <w:proofErr w:type="spellEnd"/>
      <w:r w:rsidR="00BC0AC1" w:rsidRPr="003C3279">
        <w:rPr>
          <w:rFonts w:ascii="Arial" w:hAnsi="Arial" w:cs="Arial"/>
        </w:rPr>
        <w:t xml:space="preserve"> et al. (2022), where SMEs using data analytics helps to ensure a data-driven strategic implementation</w:t>
      </w:r>
      <w:r w:rsidR="00614C02" w:rsidRPr="003C3279">
        <w:rPr>
          <w:rFonts w:ascii="Arial" w:hAnsi="Arial" w:cs="Arial"/>
        </w:rPr>
        <w:t xml:space="preserve">. </w:t>
      </w:r>
      <w:r w:rsidR="00F26A3E" w:rsidRPr="003C3279">
        <w:rPr>
          <w:rFonts w:ascii="Arial" w:hAnsi="Arial" w:cs="Arial"/>
        </w:rPr>
        <w:t>While the implementation of market penetration as a strategic direction involve minimal risks (</w:t>
      </w:r>
      <w:r w:rsidR="0078718A" w:rsidRPr="003C3279">
        <w:rPr>
          <w:rFonts w:ascii="Arial" w:hAnsi="Arial" w:cs="Arial"/>
        </w:rPr>
        <w:t xml:space="preserve">Zugay and Zakaria, 2023; Clarissia, 2020), </w:t>
      </w:r>
      <w:r w:rsidR="00FF5E46" w:rsidRPr="003C3279">
        <w:rPr>
          <w:rFonts w:ascii="Arial" w:hAnsi="Arial" w:cs="Arial"/>
        </w:rPr>
        <w:t>consideration for this recommendation will</w:t>
      </w:r>
      <w:r w:rsidR="009C6BEE" w:rsidRPr="003C3279">
        <w:rPr>
          <w:rFonts w:ascii="Arial" w:hAnsi="Arial" w:cs="Arial"/>
        </w:rPr>
        <w:t xml:space="preserve"> aid in minimising the risks associated with </w:t>
      </w:r>
      <w:r w:rsidR="00F26A3E" w:rsidRPr="003C3279">
        <w:rPr>
          <w:rFonts w:ascii="Arial" w:hAnsi="Arial" w:cs="Arial"/>
        </w:rPr>
        <w:t xml:space="preserve">the </w:t>
      </w:r>
      <w:r w:rsidR="00FF5E46" w:rsidRPr="003C3279">
        <w:rPr>
          <w:rFonts w:ascii="Arial" w:hAnsi="Arial" w:cs="Arial"/>
        </w:rPr>
        <w:t xml:space="preserve">developments within the business environment. </w:t>
      </w:r>
    </w:p>
    <w:p w14:paraId="3AF0D1A1" w14:textId="63FF2A41" w:rsidR="00FF5E46" w:rsidRPr="003C3279" w:rsidRDefault="008279C7">
      <w:pPr>
        <w:rPr>
          <w:rFonts w:ascii="Arial" w:hAnsi="Arial" w:cs="Arial"/>
        </w:rPr>
      </w:pPr>
      <w:r w:rsidRPr="003C3279">
        <w:rPr>
          <w:rFonts w:ascii="Arial" w:hAnsi="Arial" w:cs="Arial"/>
        </w:rPr>
        <w:t xml:space="preserve">Strategic partnerships: </w:t>
      </w:r>
      <w:r w:rsidR="008947DE" w:rsidRPr="003C3279">
        <w:rPr>
          <w:rFonts w:ascii="Arial" w:hAnsi="Arial" w:cs="Arial"/>
        </w:rPr>
        <w:t>Fixatex could also consider exploring strategic part</w:t>
      </w:r>
      <w:r w:rsidR="00E556A5" w:rsidRPr="003C3279">
        <w:rPr>
          <w:rFonts w:ascii="Arial" w:hAnsi="Arial" w:cs="Arial"/>
        </w:rPr>
        <w:t xml:space="preserve">nerships in the implementation of the proposed market penetration. This is where the business negotiates for partnerships with marketing firms or logistics enterprises to help in expanding its market reach and brand. The partnerships will help in expanding the reach of the business where its strategic capabilities are </w:t>
      </w:r>
      <w:proofErr w:type="gramStart"/>
      <w:r w:rsidR="00E556A5" w:rsidRPr="003C3279">
        <w:rPr>
          <w:rFonts w:ascii="Arial" w:hAnsi="Arial" w:cs="Arial"/>
        </w:rPr>
        <w:t xml:space="preserve">limited, </w:t>
      </w:r>
      <w:r w:rsidR="00934AE2" w:rsidRPr="003C3279">
        <w:rPr>
          <w:rFonts w:ascii="Arial" w:hAnsi="Arial" w:cs="Arial"/>
        </w:rPr>
        <w:t>and</w:t>
      </w:r>
      <w:proofErr w:type="gramEnd"/>
      <w:r w:rsidR="00934AE2" w:rsidRPr="003C3279">
        <w:rPr>
          <w:rFonts w:ascii="Arial" w:hAnsi="Arial" w:cs="Arial"/>
        </w:rPr>
        <w:t xml:space="preserve"> therefore help in bringing in more customers and growing its market growth. </w:t>
      </w:r>
      <w:r w:rsidR="00523AE1" w:rsidRPr="003C3279">
        <w:rPr>
          <w:rFonts w:ascii="Arial" w:hAnsi="Arial" w:cs="Arial"/>
        </w:rPr>
        <w:t xml:space="preserve">Most importantly, </w:t>
      </w:r>
      <w:r w:rsidR="001E5ED9" w:rsidRPr="003C3279">
        <w:rPr>
          <w:rFonts w:ascii="Arial" w:hAnsi="Arial" w:cs="Arial"/>
        </w:rPr>
        <w:t>this recommendation helps in managing cost-related challenges faced by SMEs in strategic implementation</w:t>
      </w:r>
      <w:r w:rsidR="00D7104B" w:rsidRPr="003C3279">
        <w:rPr>
          <w:rFonts w:ascii="Arial" w:hAnsi="Arial" w:cs="Arial"/>
        </w:rPr>
        <w:t xml:space="preserve">, with Takahashi (2025) affirming the role of strategic </w:t>
      </w:r>
      <w:r w:rsidR="00D7104B" w:rsidRPr="003C3279">
        <w:rPr>
          <w:rFonts w:ascii="Arial" w:hAnsi="Arial" w:cs="Arial"/>
        </w:rPr>
        <w:lastRenderedPageBreak/>
        <w:t xml:space="preserve">partnerships in driving the growth of SMEs. </w:t>
      </w:r>
      <w:proofErr w:type="spellStart"/>
      <w:r w:rsidR="002F509A" w:rsidRPr="003C3279">
        <w:rPr>
          <w:rFonts w:ascii="Arial" w:hAnsi="Arial" w:cs="Arial"/>
        </w:rPr>
        <w:t>Hariastuti</w:t>
      </w:r>
      <w:proofErr w:type="spellEnd"/>
      <w:r w:rsidR="002F509A" w:rsidRPr="003C3279">
        <w:rPr>
          <w:rFonts w:ascii="Arial" w:hAnsi="Arial" w:cs="Arial"/>
        </w:rPr>
        <w:t xml:space="preserve"> et al. (2021) further demonstrates the viability of this recommendation, pointing to the role of strategic partnerships in helping to build competitive advantage for SMEs. </w:t>
      </w:r>
    </w:p>
    <w:p w14:paraId="508F19CA" w14:textId="3C013856" w:rsidR="00E1293A" w:rsidRPr="003C3279" w:rsidRDefault="00E1293A" w:rsidP="00E1293A">
      <w:pPr>
        <w:pStyle w:val="Heading1"/>
        <w:jc w:val="center"/>
        <w:rPr>
          <w:rFonts w:ascii="Arial" w:hAnsi="Arial" w:cs="Arial"/>
          <w:b/>
          <w:bCs/>
          <w:color w:val="auto"/>
          <w:sz w:val="22"/>
          <w:szCs w:val="22"/>
        </w:rPr>
      </w:pPr>
      <w:bookmarkStart w:id="18" w:name="_Toc214807212"/>
      <w:r w:rsidRPr="003C3279">
        <w:rPr>
          <w:rFonts w:ascii="Arial" w:hAnsi="Arial" w:cs="Arial"/>
          <w:b/>
          <w:bCs/>
          <w:color w:val="auto"/>
          <w:sz w:val="22"/>
          <w:szCs w:val="22"/>
        </w:rPr>
        <w:t>Conclusion</w:t>
      </w:r>
      <w:bookmarkEnd w:id="18"/>
    </w:p>
    <w:p w14:paraId="3172C671" w14:textId="654321C7" w:rsidR="00CC1DA2" w:rsidRPr="003C3279" w:rsidRDefault="00EB2C5C">
      <w:pPr>
        <w:rPr>
          <w:rFonts w:ascii="Arial" w:hAnsi="Arial" w:cs="Arial"/>
        </w:rPr>
      </w:pPr>
      <w:r w:rsidRPr="003C3279">
        <w:rPr>
          <w:rFonts w:ascii="Arial" w:hAnsi="Arial" w:cs="Arial"/>
        </w:rPr>
        <w:t xml:space="preserve">The growth of Fixatex demonstrates the role of strategic thinking in driving business success. This is especially looking at the customer-centric approach the business adopts, which has seen it retain its most important </w:t>
      </w:r>
      <w:r w:rsidR="007F234B" w:rsidRPr="003C3279">
        <w:rPr>
          <w:rFonts w:ascii="Arial" w:hAnsi="Arial" w:cs="Arial"/>
        </w:rPr>
        <w:t>client’s</w:t>
      </w:r>
      <w:r w:rsidRPr="003C3279">
        <w:rPr>
          <w:rFonts w:ascii="Arial" w:hAnsi="Arial" w:cs="Arial"/>
        </w:rPr>
        <w:t xml:space="preserve"> overtime, such as the London and Quadrant</w:t>
      </w:r>
      <w:r w:rsidR="00D80104" w:rsidRPr="003C3279">
        <w:rPr>
          <w:rFonts w:ascii="Arial" w:hAnsi="Arial" w:cs="Arial"/>
        </w:rPr>
        <w:t xml:space="preserve">. However, it is evident that the growth of the SME will be impacted and influenced by the developments within its business environment, as seen in the role of the economic factors in presenting threats for its strategic growth. Also, the competitive environment will mean that SMEs such as Fixatex will need to strategize in </w:t>
      </w:r>
      <w:r w:rsidR="00EC5FF2" w:rsidRPr="003C3279">
        <w:rPr>
          <w:rFonts w:ascii="Arial" w:hAnsi="Arial" w:cs="Arial"/>
        </w:rPr>
        <w:t>strengthening their competitive position. Towards this end, this report has employed the use of Ansoff matrix in proposing market penetration as a strategic direction for consideration. This owes to the minimal risks associated with this strategic choice. To help mitigate the challenges</w:t>
      </w:r>
      <w:r w:rsidR="004662BC" w:rsidRPr="003C3279">
        <w:rPr>
          <w:rFonts w:ascii="Arial" w:hAnsi="Arial" w:cs="Arial"/>
        </w:rPr>
        <w:t xml:space="preserve"> in the implementation, this report recommends more integration of technology such as data analytics and consideration of strategic partnerships. These will see Fixatex and similar SMEs achieve stronger market growth and competitive position. </w:t>
      </w:r>
    </w:p>
    <w:p w14:paraId="3F8BF995" w14:textId="77777777" w:rsidR="007F234B" w:rsidRDefault="007F234B" w:rsidP="0006393E">
      <w:pPr>
        <w:rPr>
          <w:rFonts w:ascii="Arial" w:hAnsi="Arial" w:cs="Arial"/>
        </w:rPr>
      </w:pPr>
    </w:p>
    <w:p w14:paraId="1334078A" w14:textId="77777777" w:rsidR="00CA7088" w:rsidRDefault="00CA7088" w:rsidP="0006393E">
      <w:pPr>
        <w:rPr>
          <w:rFonts w:ascii="Arial" w:hAnsi="Arial" w:cs="Arial"/>
        </w:rPr>
      </w:pPr>
    </w:p>
    <w:p w14:paraId="243B457B" w14:textId="77777777" w:rsidR="00CA7088" w:rsidRDefault="00CA7088" w:rsidP="0006393E">
      <w:pPr>
        <w:rPr>
          <w:rFonts w:ascii="Arial" w:hAnsi="Arial" w:cs="Arial"/>
        </w:rPr>
      </w:pPr>
    </w:p>
    <w:p w14:paraId="105FE315" w14:textId="77777777" w:rsidR="00CA7088" w:rsidRDefault="00CA7088" w:rsidP="0006393E">
      <w:pPr>
        <w:rPr>
          <w:rFonts w:ascii="Arial" w:hAnsi="Arial" w:cs="Arial"/>
        </w:rPr>
      </w:pPr>
    </w:p>
    <w:p w14:paraId="3991E228" w14:textId="77777777" w:rsidR="00CA7088" w:rsidRPr="003C3279" w:rsidRDefault="00CA7088" w:rsidP="0006393E">
      <w:pPr>
        <w:rPr>
          <w:rFonts w:ascii="Arial" w:hAnsi="Arial" w:cs="Arial"/>
        </w:rPr>
      </w:pPr>
    </w:p>
    <w:p w14:paraId="74762FE5" w14:textId="4163D4ED" w:rsidR="007F234B" w:rsidRPr="003C3279" w:rsidRDefault="007F234B" w:rsidP="00C8769F">
      <w:pPr>
        <w:pStyle w:val="Heading1"/>
        <w:jc w:val="center"/>
        <w:rPr>
          <w:rFonts w:ascii="Arial" w:hAnsi="Arial" w:cs="Arial"/>
          <w:b/>
          <w:bCs/>
          <w:sz w:val="22"/>
          <w:szCs w:val="22"/>
        </w:rPr>
      </w:pPr>
      <w:bookmarkStart w:id="19" w:name="_Toc214807213"/>
      <w:r w:rsidRPr="003C3279">
        <w:rPr>
          <w:rFonts w:ascii="Arial" w:hAnsi="Arial" w:cs="Arial"/>
          <w:b/>
          <w:bCs/>
          <w:color w:val="auto"/>
          <w:sz w:val="22"/>
          <w:szCs w:val="22"/>
        </w:rPr>
        <w:lastRenderedPageBreak/>
        <w:t>References</w:t>
      </w:r>
      <w:bookmarkEnd w:id="19"/>
      <w:r w:rsidR="00BD3472" w:rsidRPr="003C3279">
        <w:rPr>
          <w:rFonts w:ascii="Arial" w:hAnsi="Arial" w:cs="Arial"/>
          <w:b/>
          <w:bCs/>
          <w:sz w:val="22"/>
          <w:szCs w:val="22"/>
        </w:rPr>
        <w:tab/>
      </w:r>
    </w:p>
    <w:p w14:paraId="4C8B0714" w14:textId="77777777" w:rsidR="00AA4495" w:rsidRPr="003C3279" w:rsidRDefault="00AA4495" w:rsidP="00191848">
      <w:pPr>
        <w:ind w:left="720" w:hanging="720"/>
        <w:rPr>
          <w:rFonts w:ascii="Arial" w:hAnsi="Arial" w:cs="Arial"/>
        </w:rPr>
      </w:pPr>
      <w:proofErr w:type="spellStart"/>
      <w:r w:rsidRPr="003C3279">
        <w:rPr>
          <w:rFonts w:ascii="Arial" w:hAnsi="Arial" w:cs="Arial"/>
        </w:rPr>
        <w:t>Anagnoste</w:t>
      </w:r>
      <w:proofErr w:type="spellEnd"/>
      <w:r w:rsidRPr="003C3279">
        <w:rPr>
          <w:rFonts w:ascii="Arial" w:hAnsi="Arial" w:cs="Arial"/>
        </w:rPr>
        <w:t>, S. (2018). The road to intelligent automation in the energy sector. </w:t>
      </w:r>
      <w:r w:rsidRPr="003C3279">
        <w:rPr>
          <w:rFonts w:ascii="Arial" w:hAnsi="Arial" w:cs="Arial"/>
          <w:i/>
          <w:iCs/>
        </w:rPr>
        <w:t>Management dynamics in the knowledge economy</w:t>
      </w:r>
      <w:r w:rsidRPr="003C3279">
        <w:rPr>
          <w:rFonts w:ascii="Arial" w:hAnsi="Arial" w:cs="Arial"/>
        </w:rPr>
        <w:t>, </w:t>
      </w:r>
      <w:r w:rsidRPr="003C3279">
        <w:rPr>
          <w:rFonts w:ascii="Arial" w:hAnsi="Arial" w:cs="Arial"/>
          <w:i/>
          <w:iCs/>
        </w:rPr>
        <w:t>6</w:t>
      </w:r>
      <w:r w:rsidRPr="003C3279">
        <w:rPr>
          <w:rFonts w:ascii="Arial" w:hAnsi="Arial" w:cs="Arial"/>
        </w:rPr>
        <w:t>(3), 489-502.</w:t>
      </w:r>
    </w:p>
    <w:p w14:paraId="0C9B593E" w14:textId="77777777" w:rsidR="00AA4495" w:rsidRPr="003C3279" w:rsidRDefault="00AA4495" w:rsidP="00191848">
      <w:pPr>
        <w:ind w:left="720" w:hanging="720"/>
        <w:rPr>
          <w:rFonts w:ascii="Arial" w:hAnsi="Arial" w:cs="Arial"/>
        </w:rPr>
      </w:pPr>
      <w:r w:rsidRPr="003C3279">
        <w:rPr>
          <w:rFonts w:ascii="Arial" w:hAnsi="Arial" w:cs="Arial"/>
        </w:rPr>
        <w:t>Brown, W., King, M., and Goh, Y. M. (2023). UK smart cities present and future: An analysis of British smart cities through current and emerging technologies and practices. </w:t>
      </w:r>
      <w:r w:rsidRPr="003C3279">
        <w:rPr>
          <w:rFonts w:ascii="Arial" w:hAnsi="Arial" w:cs="Arial"/>
          <w:i/>
          <w:iCs/>
        </w:rPr>
        <w:t>Emerald Open Research</w:t>
      </w:r>
      <w:r w:rsidRPr="003C3279">
        <w:rPr>
          <w:rFonts w:ascii="Arial" w:hAnsi="Arial" w:cs="Arial"/>
        </w:rPr>
        <w:t>, </w:t>
      </w:r>
      <w:r w:rsidRPr="003C3279">
        <w:rPr>
          <w:rFonts w:ascii="Arial" w:hAnsi="Arial" w:cs="Arial"/>
          <w:i/>
          <w:iCs/>
        </w:rPr>
        <w:t>1</w:t>
      </w:r>
      <w:r w:rsidRPr="003C3279">
        <w:rPr>
          <w:rFonts w:ascii="Arial" w:hAnsi="Arial" w:cs="Arial"/>
        </w:rPr>
        <w:t>(5).</w:t>
      </w:r>
    </w:p>
    <w:p w14:paraId="3EBB643C" w14:textId="77777777" w:rsidR="00AA4495" w:rsidRPr="003C3279" w:rsidRDefault="00AA4495" w:rsidP="00191848">
      <w:pPr>
        <w:ind w:left="720" w:hanging="720"/>
        <w:rPr>
          <w:rFonts w:ascii="Arial" w:hAnsi="Arial" w:cs="Arial"/>
        </w:rPr>
      </w:pPr>
      <w:r w:rsidRPr="003C3279">
        <w:rPr>
          <w:rFonts w:ascii="Arial" w:hAnsi="Arial" w:cs="Arial"/>
        </w:rPr>
        <w:t>Clarissia, S. M. S. (2020). A study on Ansoff Matrix Technique: As a growth strategy and an adaptive learning technique adopted in the leading brand of products. </w:t>
      </w:r>
      <w:r w:rsidRPr="003C3279">
        <w:rPr>
          <w:rFonts w:ascii="Arial" w:hAnsi="Arial" w:cs="Arial"/>
          <w:i/>
          <w:iCs/>
        </w:rPr>
        <w:t>BIMS Journal of Management</w:t>
      </w:r>
      <w:r w:rsidRPr="003C3279">
        <w:rPr>
          <w:rFonts w:ascii="Arial" w:hAnsi="Arial" w:cs="Arial"/>
        </w:rPr>
        <w:t>, </w:t>
      </w:r>
      <w:r w:rsidRPr="003C3279">
        <w:rPr>
          <w:rFonts w:ascii="Arial" w:hAnsi="Arial" w:cs="Arial"/>
          <w:i/>
          <w:iCs/>
        </w:rPr>
        <w:t>18</w:t>
      </w:r>
      <w:r w:rsidRPr="003C3279">
        <w:rPr>
          <w:rFonts w:ascii="Arial" w:hAnsi="Arial" w:cs="Arial"/>
        </w:rPr>
        <w:t>.</w:t>
      </w:r>
    </w:p>
    <w:p w14:paraId="36011AEE" w14:textId="77777777" w:rsidR="00AA4495" w:rsidRPr="003C3279" w:rsidRDefault="00AA4495" w:rsidP="00191848">
      <w:pPr>
        <w:ind w:left="720" w:hanging="720"/>
        <w:rPr>
          <w:rFonts w:ascii="Arial" w:hAnsi="Arial" w:cs="Arial"/>
        </w:rPr>
      </w:pPr>
      <w:proofErr w:type="spellStart"/>
      <w:r w:rsidRPr="003C3279">
        <w:rPr>
          <w:rFonts w:ascii="Arial" w:hAnsi="Arial" w:cs="Arial"/>
        </w:rPr>
        <w:t>Depointe</w:t>
      </w:r>
      <w:proofErr w:type="spellEnd"/>
      <w:r w:rsidRPr="003C3279">
        <w:rPr>
          <w:rFonts w:ascii="Arial" w:hAnsi="Arial" w:cs="Arial"/>
        </w:rPr>
        <w:t xml:space="preserve"> (2025). </w:t>
      </w:r>
      <w:r w:rsidRPr="003C3279">
        <w:rPr>
          <w:rFonts w:ascii="Arial" w:hAnsi="Arial" w:cs="Arial"/>
          <w:i/>
          <w:iCs/>
        </w:rPr>
        <w:t>UK Economic Outlook 2025: What Government Turmoil Means for Investors</w:t>
      </w:r>
      <w:r w:rsidRPr="003C3279">
        <w:rPr>
          <w:rFonts w:ascii="Arial" w:hAnsi="Arial" w:cs="Arial"/>
        </w:rPr>
        <w:t xml:space="preserve"> [Online] Available at: </w:t>
      </w:r>
      <w:hyperlink r:id="rId11" w:history="1">
        <w:r w:rsidRPr="003C3279">
          <w:rPr>
            <w:rStyle w:val="Hyperlink"/>
            <w:rFonts w:ascii="Arial" w:hAnsi="Arial" w:cs="Arial"/>
            <w:color w:val="auto"/>
          </w:rPr>
          <w:t>https://depointe.co.uk/blog/uk-economic-outlook-2025-what-government-turmoil-means-for-investors/</w:t>
        </w:r>
      </w:hyperlink>
      <w:r w:rsidRPr="003C3279">
        <w:rPr>
          <w:rFonts w:ascii="Arial" w:hAnsi="Arial" w:cs="Arial"/>
        </w:rPr>
        <w:t xml:space="preserve"> [Accessed 27</w:t>
      </w:r>
      <w:r w:rsidRPr="003C3279">
        <w:rPr>
          <w:rFonts w:ascii="Arial" w:hAnsi="Arial" w:cs="Arial"/>
          <w:vertAlign w:val="superscript"/>
        </w:rPr>
        <w:t>th</w:t>
      </w:r>
      <w:r w:rsidRPr="003C3279">
        <w:rPr>
          <w:rFonts w:ascii="Arial" w:hAnsi="Arial" w:cs="Arial"/>
        </w:rPr>
        <w:t xml:space="preserve"> October 2025]</w:t>
      </w:r>
    </w:p>
    <w:p w14:paraId="6372DAB9" w14:textId="77777777" w:rsidR="00AA4495" w:rsidRPr="003C3279" w:rsidRDefault="00AA4495" w:rsidP="00191848">
      <w:pPr>
        <w:ind w:left="720" w:hanging="720"/>
        <w:rPr>
          <w:rFonts w:ascii="Arial" w:hAnsi="Arial" w:cs="Arial"/>
        </w:rPr>
      </w:pPr>
      <w:r w:rsidRPr="003C3279">
        <w:rPr>
          <w:rFonts w:ascii="Arial" w:hAnsi="Arial" w:cs="Arial"/>
        </w:rPr>
        <w:t>Dixon, J., Bell, K., and Brush, S. (2022). Which way to net zero? a comparative analysis of seven UK 2050 decarbonisation pathways. </w:t>
      </w:r>
      <w:r w:rsidRPr="003C3279">
        <w:rPr>
          <w:rFonts w:ascii="Arial" w:hAnsi="Arial" w:cs="Arial"/>
          <w:i/>
          <w:iCs/>
        </w:rPr>
        <w:t>Renewable and Sustainable Energy Transition</w:t>
      </w:r>
      <w:r w:rsidRPr="003C3279">
        <w:rPr>
          <w:rFonts w:ascii="Arial" w:hAnsi="Arial" w:cs="Arial"/>
        </w:rPr>
        <w:t>, </w:t>
      </w:r>
      <w:r w:rsidRPr="003C3279">
        <w:rPr>
          <w:rFonts w:ascii="Arial" w:hAnsi="Arial" w:cs="Arial"/>
          <w:i/>
          <w:iCs/>
        </w:rPr>
        <w:t>2</w:t>
      </w:r>
      <w:r w:rsidRPr="003C3279">
        <w:rPr>
          <w:rFonts w:ascii="Arial" w:hAnsi="Arial" w:cs="Arial"/>
        </w:rPr>
        <w:t>, 100016.</w:t>
      </w:r>
    </w:p>
    <w:p w14:paraId="483DE93C" w14:textId="77777777" w:rsidR="00AA4495" w:rsidRPr="003C3279" w:rsidRDefault="00AA4495" w:rsidP="00191848">
      <w:pPr>
        <w:ind w:left="720" w:hanging="720"/>
        <w:rPr>
          <w:rFonts w:ascii="Arial" w:hAnsi="Arial" w:cs="Arial"/>
        </w:rPr>
      </w:pPr>
      <w:proofErr w:type="spellStart"/>
      <w:r w:rsidRPr="003C3279">
        <w:rPr>
          <w:rFonts w:ascii="Arial" w:hAnsi="Arial" w:cs="Arial"/>
        </w:rPr>
        <w:t>Falahat</w:t>
      </w:r>
      <w:proofErr w:type="spellEnd"/>
      <w:r w:rsidRPr="003C3279">
        <w:rPr>
          <w:rFonts w:ascii="Arial" w:hAnsi="Arial" w:cs="Arial"/>
        </w:rPr>
        <w:t xml:space="preserve">, M., Cheah, P. K., </w:t>
      </w:r>
      <w:proofErr w:type="spellStart"/>
      <w:r w:rsidRPr="003C3279">
        <w:rPr>
          <w:rFonts w:ascii="Arial" w:hAnsi="Arial" w:cs="Arial"/>
        </w:rPr>
        <w:t>Jayabalan</w:t>
      </w:r>
      <w:proofErr w:type="spellEnd"/>
      <w:r w:rsidRPr="003C3279">
        <w:rPr>
          <w:rFonts w:ascii="Arial" w:hAnsi="Arial" w:cs="Arial"/>
        </w:rPr>
        <w:t>, J., Lee, C. M. J., and Kai, S. B. (2022). Big data analytics capability ecosystem model for SMEs. </w:t>
      </w:r>
      <w:r w:rsidRPr="003C3279">
        <w:rPr>
          <w:rFonts w:ascii="Arial" w:hAnsi="Arial" w:cs="Arial"/>
          <w:i/>
          <w:iCs/>
        </w:rPr>
        <w:t>Sustainability</w:t>
      </w:r>
      <w:r w:rsidRPr="003C3279">
        <w:rPr>
          <w:rFonts w:ascii="Arial" w:hAnsi="Arial" w:cs="Arial"/>
        </w:rPr>
        <w:t>, </w:t>
      </w:r>
      <w:r w:rsidRPr="003C3279">
        <w:rPr>
          <w:rFonts w:ascii="Arial" w:hAnsi="Arial" w:cs="Arial"/>
          <w:i/>
          <w:iCs/>
        </w:rPr>
        <w:t>15</w:t>
      </w:r>
      <w:r w:rsidRPr="003C3279">
        <w:rPr>
          <w:rFonts w:ascii="Arial" w:hAnsi="Arial" w:cs="Arial"/>
        </w:rPr>
        <w:t>(1), 360.</w:t>
      </w:r>
    </w:p>
    <w:p w14:paraId="0A299092" w14:textId="77777777" w:rsidR="00AA4495" w:rsidRPr="003C3279" w:rsidRDefault="00AA4495" w:rsidP="00191848">
      <w:pPr>
        <w:ind w:left="720" w:hanging="720"/>
        <w:rPr>
          <w:rFonts w:ascii="Arial" w:hAnsi="Arial" w:cs="Arial"/>
        </w:rPr>
      </w:pPr>
      <w:bookmarkStart w:id="20" w:name="_Hlk212562712"/>
      <w:r w:rsidRPr="003C3279">
        <w:rPr>
          <w:rFonts w:ascii="Arial" w:hAnsi="Arial" w:cs="Arial"/>
        </w:rPr>
        <w:t xml:space="preserve">Farshid, M., </w:t>
      </w:r>
      <w:proofErr w:type="spellStart"/>
      <w:r w:rsidRPr="003C3279">
        <w:rPr>
          <w:rFonts w:ascii="Arial" w:hAnsi="Arial" w:cs="Arial"/>
        </w:rPr>
        <w:t>Goharrostami</w:t>
      </w:r>
      <w:proofErr w:type="spellEnd"/>
      <w:r w:rsidRPr="003C3279">
        <w:rPr>
          <w:rFonts w:ascii="Arial" w:hAnsi="Arial" w:cs="Arial"/>
        </w:rPr>
        <w:t>, H. R., and Ramezani Nejad</w:t>
      </w:r>
      <w:bookmarkEnd w:id="20"/>
      <w:r w:rsidRPr="003C3279">
        <w:rPr>
          <w:rFonts w:ascii="Arial" w:hAnsi="Arial" w:cs="Arial"/>
        </w:rPr>
        <w:t xml:space="preserve">, R. (2022). Analysis the amount of power and interests of Talent Management system stakeholders in </w:t>
      </w:r>
      <w:proofErr w:type="spellStart"/>
      <w:r w:rsidRPr="003C3279">
        <w:rPr>
          <w:rFonts w:ascii="Arial" w:hAnsi="Arial" w:cs="Arial"/>
        </w:rPr>
        <w:t>Guilan</w:t>
      </w:r>
      <w:proofErr w:type="spellEnd"/>
      <w:r w:rsidRPr="003C3279">
        <w:rPr>
          <w:rFonts w:ascii="Arial" w:hAnsi="Arial" w:cs="Arial"/>
        </w:rPr>
        <w:t xml:space="preserve"> province sport based on Mendelow matrix. </w:t>
      </w:r>
      <w:r w:rsidRPr="003C3279">
        <w:rPr>
          <w:rFonts w:ascii="Arial" w:hAnsi="Arial" w:cs="Arial"/>
          <w:i/>
          <w:iCs/>
        </w:rPr>
        <w:t>Sport Management Studies</w:t>
      </w:r>
      <w:r w:rsidRPr="003C3279">
        <w:rPr>
          <w:rFonts w:ascii="Arial" w:hAnsi="Arial" w:cs="Arial"/>
        </w:rPr>
        <w:t>, </w:t>
      </w:r>
      <w:r w:rsidRPr="003C3279">
        <w:rPr>
          <w:rFonts w:ascii="Arial" w:hAnsi="Arial" w:cs="Arial"/>
          <w:i/>
          <w:iCs/>
        </w:rPr>
        <w:t>14</w:t>
      </w:r>
      <w:r w:rsidRPr="003C3279">
        <w:rPr>
          <w:rFonts w:ascii="Arial" w:hAnsi="Arial" w:cs="Arial"/>
        </w:rPr>
        <w:t>(74), 103-126.</w:t>
      </w:r>
    </w:p>
    <w:p w14:paraId="779BE87C" w14:textId="77777777" w:rsidR="00AA4495" w:rsidRPr="003C3279" w:rsidRDefault="00AA4495" w:rsidP="00191848">
      <w:pPr>
        <w:ind w:left="720" w:hanging="720"/>
        <w:rPr>
          <w:rFonts w:ascii="Arial" w:hAnsi="Arial" w:cs="Arial"/>
        </w:rPr>
      </w:pPr>
      <w:proofErr w:type="spellStart"/>
      <w:r w:rsidRPr="003C3279">
        <w:rPr>
          <w:rFonts w:ascii="Arial" w:hAnsi="Arial" w:cs="Arial"/>
        </w:rPr>
        <w:t>Fixatext</w:t>
      </w:r>
      <w:proofErr w:type="spellEnd"/>
      <w:r w:rsidRPr="003C3279">
        <w:rPr>
          <w:rFonts w:ascii="Arial" w:hAnsi="Arial" w:cs="Arial"/>
        </w:rPr>
        <w:t xml:space="preserve">. (2025). </w:t>
      </w:r>
      <w:r w:rsidRPr="003C3279">
        <w:rPr>
          <w:rFonts w:ascii="Arial" w:hAnsi="Arial" w:cs="Arial"/>
          <w:i/>
          <w:iCs/>
        </w:rPr>
        <w:t xml:space="preserve">Home </w:t>
      </w:r>
      <w:r w:rsidRPr="003C3279">
        <w:rPr>
          <w:rFonts w:ascii="Arial" w:hAnsi="Arial" w:cs="Arial"/>
        </w:rPr>
        <w:t xml:space="preserve">[Online] Available at: </w:t>
      </w:r>
      <w:hyperlink r:id="rId12" w:history="1">
        <w:r w:rsidRPr="003C3279">
          <w:rPr>
            <w:rStyle w:val="Hyperlink"/>
            <w:rFonts w:ascii="Arial" w:hAnsi="Arial" w:cs="Arial"/>
            <w:color w:val="auto"/>
          </w:rPr>
          <w:t>https://www.fixatexltd.co.uk/</w:t>
        </w:r>
      </w:hyperlink>
      <w:r w:rsidRPr="003C3279">
        <w:rPr>
          <w:rFonts w:ascii="Arial" w:hAnsi="Arial" w:cs="Arial"/>
        </w:rPr>
        <w:t xml:space="preserve"> [Accessed 27</w:t>
      </w:r>
      <w:r w:rsidRPr="003C3279">
        <w:rPr>
          <w:rFonts w:ascii="Arial" w:hAnsi="Arial" w:cs="Arial"/>
          <w:vertAlign w:val="superscript"/>
        </w:rPr>
        <w:t>th</w:t>
      </w:r>
      <w:r w:rsidRPr="003C3279">
        <w:rPr>
          <w:rFonts w:ascii="Arial" w:hAnsi="Arial" w:cs="Arial"/>
        </w:rPr>
        <w:t xml:space="preserve"> October 2025]</w:t>
      </w:r>
    </w:p>
    <w:p w14:paraId="3332C6C6" w14:textId="77777777" w:rsidR="00AA4495" w:rsidRPr="003C3279" w:rsidRDefault="00AA4495" w:rsidP="00191848">
      <w:pPr>
        <w:ind w:left="720" w:hanging="720"/>
        <w:rPr>
          <w:rFonts w:ascii="Arial" w:hAnsi="Arial" w:cs="Arial"/>
        </w:rPr>
      </w:pPr>
      <w:r w:rsidRPr="003C3279">
        <w:rPr>
          <w:rFonts w:ascii="Arial" w:hAnsi="Arial" w:cs="Arial"/>
        </w:rPr>
        <w:lastRenderedPageBreak/>
        <w:t xml:space="preserve">Gov.UK (2024). </w:t>
      </w:r>
      <w:r w:rsidRPr="003C3279">
        <w:rPr>
          <w:rFonts w:ascii="Arial" w:hAnsi="Arial" w:cs="Arial"/>
          <w:i/>
          <w:iCs/>
        </w:rPr>
        <w:t>What changes are we making to the Minimum Wage?</w:t>
      </w:r>
      <w:r w:rsidRPr="003C3279">
        <w:rPr>
          <w:rFonts w:ascii="Arial" w:hAnsi="Arial" w:cs="Arial"/>
        </w:rPr>
        <w:t xml:space="preserve"> [Online] Available at: </w:t>
      </w:r>
      <w:hyperlink r:id="rId13" w:history="1">
        <w:r w:rsidRPr="003C3279">
          <w:rPr>
            <w:rStyle w:val="Hyperlink"/>
            <w:rFonts w:ascii="Arial" w:hAnsi="Arial" w:cs="Arial"/>
            <w:color w:val="auto"/>
          </w:rPr>
          <w:t>https://www.gov.uk/government/news/what-changes-are-we-making-to-the-minimum-wage</w:t>
        </w:r>
      </w:hyperlink>
      <w:r w:rsidRPr="003C3279">
        <w:rPr>
          <w:rFonts w:ascii="Arial" w:hAnsi="Arial" w:cs="Arial"/>
        </w:rPr>
        <w:t xml:space="preserve"> [Accessed 28</w:t>
      </w:r>
      <w:r w:rsidRPr="003C3279">
        <w:rPr>
          <w:rFonts w:ascii="Arial" w:hAnsi="Arial" w:cs="Arial"/>
          <w:vertAlign w:val="superscript"/>
        </w:rPr>
        <w:t>th</w:t>
      </w:r>
      <w:r w:rsidRPr="003C3279">
        <w:rPr>
          <w:rFonts w:ascii="Arial" w:hAnsi="Arial" w:cs="Arial"/>
        </w:rPr>
        <w:t xml:space="preserve"> October 2025]</w:t>
      </w:r>
    </w:p>
    <w:p w14:paraId="3E0058CC" w14:textId="77777777" w:rsidR="00AA4495" w:rsidRPr="003C3279" w:rsidRDefault="00AA4495" w:rsidP="00191848">
      <w:pPr>
        <w:ind w:left="720" w:hanging="720"/>
        <w:rPr>
          <w:rFonts w:ascii="Arial" w:hAnsi="Arial" w:cs="Arial"/>
        </w:rPr>
      </w:pPr>
      <w:r w:rsidRPr="003C3279">
        <w:rPr>
          <w:rFonts w:ascii="Arial" w:hAnsi="Arial" w:cs="Arial"/>
        </w:rPr>
        <w:t xml:space="preserve">Government Office for Science (2021). </w:t>
      </w:r>
      <w:r w:rsidRPr="003C3279">
        <w:rPr>
          <w:rFonts w:ascii="Arial" w:hAnsi="Arial" w:cs="Arial"/>
          <w:i/>
          <w:iCs/>
        </w:rPr>
        <w:t>Urbanisation Trends</w:t>
      </w:r>
      <w:r w:rsidRPr="003C3279">
        <w:rPr>
          <w:rFonts w:ascii="Arial" w:hAnsi="Arial" w:cs="Arial"/>
        </w:rPr>
        <w:t xml:space="preserve"> [Online] Available at: </w:t>
      </w:r>
      <w:hyperlink r:id="rId14" w:history="1">
        <w:r w:rsidRPr="003C3279">
          <w:rPr>
            <w:rStyle w:val="Hyperlink"/>
            <w:rFonts w:ascii="Arial" w:hAnsi="Arial" w:cs="Arial"/>
            <w:color w:val="auto"/>
          </w:rPr>
          <w:t>https://assets.publishing.service.gov.uk/government/uploads/system/uploads/attachment_data/file/994570/GO-Science_Trend_Deck_-_Urbanisation_section_-_Spring_2021.pdf</w:t>
        </w:r>
      </w:hyperlink>
      <w:r w:rsidRPr="003C3279">
        <w:rPr>
          <w:rFonts w:ascii="Arial" w:hAnsi="Arial" w:cs="Arial"/>
        </w:rPr>
        <w:t xml:space="preserve"> [Accessed 28th October 2025]</w:t>
      </w:r>
    </w:p>
    <w:p w14:paraId="2E5B4CCC" w14:textId="77777777" w:rsidR="00AA4495" w:rsidRPr="003C3279" w:rsidRDefault="00AA4495" w:rsidP="00191848">
      <w:pPr>
        <w:ind w:left="720" w:hanging="720"/>
        <w:rPr>
          <w:rFonts w:ascii="Arial" w:hAnsi="Arial" w:cs="Arial"/>
        </w:rPr>
      </w:pPr>
      <w:r w:rsidRPr="003C3279">
        <w:rPr>
          <w:rFonts w:ascii="Arial" w:hAnsi="Arial" w:cs="Arial"/>
          <w:lang w:val="pt-BR"/>
        </w:rPr>
        <w:t xml:space="preserve">Hariastuti, N. L. P., Pratikto, P., Santoso, P. B., and Tama, I. P. (2021). </w:t>
      </w:r>
      <w:proofErr w:type="spellStart"/>
      <w:r w:rsidRPr="003C3279">
        <w:rPr>
          <w:rFonts w:ascii="Arial" w:hAnsi="Arial" w:cs="Arial"/>
        </w:rPr>
        <w:t>Analyzing</w:t>
      </w:r>
      <w:proofErr w:type="spellEnd"/>
      <w:r w:rsidRPr="003C3279">
        <w:rPr>
          <w:rFonts w:ascii="Arial" w:hAnsi="Arial" w:cs="Arial"/>
        </w:rPr>
        <w:t xml:space="preserve"> the drivers of sustainable value creation, partnership strategies, and their impact on business competitive advantages of small &amp; medium enterprises: a PLS-model. </w:t>
      </w:r>
      <w:r w:rsidRPr="003C3279">
        <w:rPr>
          <w:rFonts w:ascii="Arial" w:hAnsi="Arial" w:cs="Arial"/>
          <w:i/>
          <w:iCs/>
        </w:rPr>
        <w:t>European Journal of Enterprise Technologies</w:t>
      </w:r>
      <w:r w:rsidRPr="003C3279">
        <w:rPr>
          <w:rFonts w:ascii="Arial" w:hAnsi="Arial" w:cs="Arial"/>
        </w:rPr>
        <w:t>, </w:t>
      </w:r>
      <w:r w:rsidRPr="003C3279">
        <w:rPr>
          <w:rFonts w:ascii="Arial" w:hAnsi="Arial" w:cs="Arial"/>
          <w:i/>
          <w:iCs/>
        </w:rPr>
        <w:t>2</w:t>
      </w:r>
      <w:r w:rsidRPr="003C3279">
        <w:rPr>
          <w:rFonts w:ascii="Arial" w:hAnsi="Arial" w:cs="Arial"/>
        </w:rPr>
        <w:t>(13), 110.</w:t>
      </w:r>
    </w:p>
    <w:p w14:paraId="7F9DFAE8" w14:textId="77777777" w:rsidR="00AA4495" w:rsidRPr="003C3279" w:rsidRDefault="00AA4495" w:rsidP="00191848">
      <w:pPr>
        <w:ind w:left="720" w:hanging="720"/>
        <w:rPr>
          <w:rFonts w:ascii="Arial" w:hAnsi="Arial" w:cs="Arial"/>
        </w:rPr>
      </w:pPr>
      <w:r w:rsidRPr="003C3279">
        <w:rPr>
          <w:rFonts w:ascii="Arial" w:hAnsi="Arial" w:cs="Arial"/>
        </w:rPr>
        <w:t xml:space="preserve">ICAEW (2025). </w:t>
      </w:r>
      <w:r w:rsidRPr="003C3279">
        <w:rPr>
          <w:rFonts w:ascii="Arial" w:hAnsi="Arial" w:cs="Arial"/>
          <w:i/>
          <w:iCs/>
        </w:rPr>
        <w:t>Economic update: Why UK economic conditions have taken a turn for the worse</w:t>
      </w:r>
      <w:r w:rsidRPr="003C3279">
        <w:rPr>
          <w:rFonts w:ascii="Arial" w:hAnsi="Arial" w:cs="Arial"/>
        </w:rPr>
        <w:t xml:space="preserve"> [Online] Available at: </w:t>
      </w:r>
      <w:hyperlink r:id="rId15" w:history="1">
        <w:r w:rsidRPr="003C3279">
          <w:rPr>
            <w:rStyle w:val="Hyperlink"/>
            <w:rFonts w:ascii="Arial" w:hAnsi="Arial" w:cs="Arial"/>
            <w:color w:val="auto"/>
          </w:rPr>
          <w:t>https://www.icaew.com/insights/viewpoints-on-the-news/2025/jun-2025/economic-update-why-uk-economic-conditions-have-taken-a-turn-for-the-worse</w:t>
        </w:r>
      </w:hyperlink>
      <w:r w:rsidRPr="003C3279">
        <w:rPr>
          <w:rFonts w:ascii="Arial" w:hAnsi="Arial" w:cs="Arial"/>
        </w:rPr>
        <w:t xml:space="preserve"> [Accessed 28th October 2025]</w:t>
      </w:r>
    </w:p>
    <w:p w14:paraId="6AAF9D73" w14:textId="77777777" w:rsidR="00AA4495" w:rsidRPr="003C3279" w:rsidRDefault="00AA4495" w:rsidP="00191848">
      <w:pPr>
        <w:ind w:left="720" w:hanging="720"/>
        <w:rPr>
          <w:rFonts w:ascii="Arial" w:hAnsi="Arial" w:cs="Arial"/>
        </w:rPr>
      </w:pPr>
      <w:r w:rsidRPr="003C3279">
        <w:rPr>
          <w:rFonts w:ascii="Arial" w:hAnsi="Arial" w:cs="Arial"/>
        </w:rPr>
        <w:t xml:space="preserve"> </w:t>
      </w:r>
      <w:bookmarkStart w:id="21" w:name="_Hlk212486209"/>
      <w:r w:rsidRPr="003C3279">
        <w:rPr>
          <w:rFonts w:ascii="Arial" w:hAnsi="Arial" w:cs="Arial"/>
        </w:rPr>
        <w:t>Kraja, Y. B., and Osmani</w:t>
      </w:r>
      <w:bookmarkEnd w:id="21"/>
      <w:r w:rsidRPr="003C3279">
        <w:rPr>
          <w:rFonts w:ascii="Arial" w:hAnsi="Arial" w:cs="Arial"/>
        </w:rPr>
        <w:t>, E. (2015). Importance of external and internal environment in creation of competitive advantage to SMEs.(Case of SMEs, in the Northern Region of Albania). </w:t>
      </w:r>
      <w:r w:rsidRPr="003C3279">
        <w:rPr>
          <w:rFonts w:ascii="Arial" w:hAnsi="Arial" w:cs="Arial"/>
          <w:i/>
          <w:iCs/>
        </w:rPr>
        <w:t>European Scientific Journal</w:t>
      </w:r>
      <w:r w:rsidRPr="003C3279">
        <w:rPr>
          <w:rFonts w:ascii="Arial" w:hAnsi="Arial" w:cs="Arial"/>
        </w:rPr>
        <w:t>, </w:t>
      </w:r>
      <w:r w:rsidRPr="003C3279">
        <w:rPr>
          <w:rFonts w:ascii="Arial" w:hAnsi="Arial" w:cs="Arial"/>
          <w:i/>
          <w:iCs/>
        </w:rPr>
        <w:t>11</w:t>
      </w:r>
      <w:r w:rsidRPr="003C3279">
        <w:rPr>
          <w:rFonts w:ascii="Arial" w:hAnsi="Arial" w:cs="Arial"/>
        </w:rPr>
        <w:t>(13).</w:t>
      </w:r>
    </w:p>
    <w:p w14:paraId="6E3838B0" w14:textId="77777777" w:rsidR="00AA4495" w:rsidRPr="00AA4495" w:rsidRDefault="00AA4495" w:rsidP="00AA4495">
      <w:pPr>
        <w:ind w:left="720" w:hanging="720"/>
        <w:rPr>
          <w:rFonts w:ascii="Arial" w:hAnsi="Arial" w:cs="Arial"/>
        </w:rPr>
      </w:pPr>
      <w:bookmarkStart w:id="22" w:name="_Hlk214527248"/>
      <w:proofErr w:type="spellStart"/>
      <w:r w:rsidRPr="00AA4495">
        <w:rPr>
          <w:rFonts w:ascii="Arial" w:hAnsi="Arial" w:cs="Arial"/>
        </w:rPr>
        <w:t>Ma'arif</w:t>
      </w:r>
      <w:bookmarkEnd w:id="22"/>
      <w:proofErr w:type="spellEnd"/>
      <w:r w:rsidRPr="00AA4495">
        <w:rPr>
          <w:rFonts w:ascii="Arial" w:hAnsi="Arial" w:cs="Arial"/>
        </w:rPr>
        <w:t xml:space="preserve">, S., </w:t>
      </w:r>
      <w:proofErr w:type="spellStart"/>
      <w:r w:rsidRPr="00AA4495">
        <w:rPr>
          <w:rFonts w:ascii="Arial" w:hAnsi="Arial" w:cs="Arial"/>
        </w:rPr>
        <w:t>Putrianti</w:t>
      </w:r>
      <w:proofErr w:type="spellEnd"/>
      <w:r w:rsidRPr="00AA4495">
        <w:rPr>
          <w:rFonts w:ascii="Arial" w:hAnsi="Arial" w:cs="Arial"/>
        </w:rPr>
        <w:t xml:space="preserve">, F. G., </w:t>
      </w:r>
      <w:proofErr w:type="spellStart"/>
      <w:r w:rsidRPr="00AA4495">
        <w:rPr>
          <w:rFonts w:ascii="Arial" w:hAnsi="Arial" w:cs="Arial"/>
        </w:rPr>
        <w:t>Indraswari</w:t>
      </w:r>
      <w:proofErr w:type="spellEnd"/>
      <w:r w:rsidRPr="00AA4495">
        <w:rPr>
          <w:rFonts w:ascii="Arial" w:hAnsi="Arial" w:cs="Arial"/>
        </w:rPr>
        <w:t xml:space="preserve">, N. M., Nhu, D. Q., </w:t>
      </w:r>
      <w:proofErr w:type="spellStart"/>
      <w:r w:rsidRPr="00AA4495">
        <w:rPr>
          <w:rFonts w:ascii="Arial" w:hAnsi="Arial" w:cs="Arial"/>
        </w:rPr>
        <w:t>Pujianingsih</w:t>
      </w:r>
      <w:proofErr w:type="spellEnd"/>
      <w:r w:rsidRPr="00AA4495">
        <w:rPr>
          <w:rFonts w:ascii="Arial" w:hAnsi="Arial" w:cs="Arial"/>
        </w:rPr>
        <w:t xml:space="preserve">, E. D., </w:t>
      </w:r>
      <w:proofErr w:type="spellStart"/>
      <w:r w:rsidRPr="00AA4495">
        <w:rPr>
          <w:rFonts w:ascii="Arial" w:hAnsi="Arial" w:cs="Arial"/>
        </w:rPr>
        <w:t>Marsinta</w:t>
      </w:r>
      <w:proofErr w:type="spellEnd"/>
      <w:r w:rsidRPr="00AA4495">
        <w:rPr>
          <w:rFonts w:ascii="Arial" w:hAnsi="Arial" w:cs="Arial"/>
        </w:rPr>
        <w:t xml:space="preserve">, A. K., and </w:t>
      </w:r>
      <w:proofErr w:type="spellStart"/>
      <w:r w:rsidRPr="00AA4495">
        <w:rPr>
          <w:rFonts w:ascii="Arial" w:hAnsi="Arial" w:cs="Arial"/>
        </w:rPr>
        <w:t>Ardianti</w:t>
      </w:r>
      <w:proofErr w:type="spellEnd"/>
      <w:r w:rsidRPr="00AA4495">
        <w:rPr>
          <w:rFonts w:ascii="Arial" w:hAnsi="Arial" w:cs="Arial"/>
        </w:rPr>
        <w:t>, P. (2023). Stakeholder Management in Developing a Sustainable Tourism Village Based on Renewable Energy Using RACI Matrix. </w:t>
      </w:r>
      <w:r w:rsidRPr="00AA4495">
        <w:rPr>
          <w:rFonts w:ascii="Arial" w:hAnsi="Arial" w:cs="Arial"/>
          <w:i/>
          <w:iCs/>
        </w:rPr>
        <w:t>Journal of Industrial System Engineering and Management</w:t>
      </w:r>
      <w:r w:rsidRPr="00AA4495">
        <w:rPr>
          <w:rFonts w:ascii="Arial" w:hAnsi="Arial" w:cs="Arial"/>
        </w:rPr>
        <w:t>, </w:t>
      </w:r>
      <w:r w:rsidRPr="00AA4495">
        <w:rPr>
          <w:rFonts w:ascii="Arial" w:hAnsi="Arial" w:cs="Arial"/>
          <w:i/>
          <w:iCs/>
        </w:rPr>
        <w:t>2</w:t>
      </w:r>
      <w:r w:rsidRPr="00AA4495">
        <w:rPr>
          <w:rFonts w:ascii="Arial" w:hAnsi="Arial" w:cs="Arial"/>
        </w:rPr>
        <w:t>(2), 73-82.</w:t>
      </w:r>
    </w:p>
    <w:p w14:paraId="7DE3B810" w14:textId="77777777" w:rsidR="00AA4495" w:rsidRPr="003C3279" w:rsidRDefault="00AA4495" w:rsidP="00191848">
      <w:pPr>
        <w:ind w:left="720" w:hanging="720"/>
        <w:rPr>
          <w:rFonts w:ascii="Arial" w:hAnsi="Arial" w:cs="Arial"/>
        </w:rPr>
      </w:pPr>
      <w:bookmarkStart w:id="23" w:name="_Hlk212549152"/>
      <w:proofErr w:type="spellStart"/>
      <w:r w:rsidRPr="003C3279">
        <w:rPr>
          <w:rFonts w:ascii="Arial" w:hAnsi="Arial" w:cs="Arial"/>
        </w:rPr>
        <w:t>Ndzabukelwako</w:t>
      </w:r>
      <w:bookmarkEnd w:id="23"/>
      <w:proofErr w:type="spellEnd"/>
      <w:r w:rsidRPr="003C3279">
        <w:rPr>
          <w:rFonts w:ascii="Arial" w:hAnsi="Arial" w:cs="Arial"/>
        </w:rPr>
        <w:t xml:space="preserve">, Z., </w:t>
      </w:r>
      <w:proofErr w:type="spellStart"/>
      <w:r w:rsidRPr="003C3279">
        <w:rPr>
          <w:rFonts w:ascii="Arial" w:hAnsi="Arial" w:cs="Arial"/>
        </w:rPr>
        <w:t>Mereko</w:t>
      </w:r>
      <w:proofErr w:type="spellEnd"/>
      <w:r w:rsidRPr="003C3279">
        <w:rPr>
          <w:rFonts w:ascii="Arial" w:hAnsi="Arial" w:cs="Arial"/>
        </w:rPr>
        <w:t xml:space="preserve">, O., Sambo, T., and </w:t>
      </w:r>
      <w:proofErr w:type="spellStart"/>
      <w:r w:rsidRPr="003C3279">
        <w:rPr>
          <w:rFonts w:ascii="Arial" w:hAnsi="Arial" w:cs="Arial"/>
        </w:rPr>
        <w:t>Thango</w:t>
      </w:r>
      <w:proofErr w:type="spellEnd"/>
      <w:r w:rsidRPr="003C3279">
        <w:rPr>
          <w:rFonts w:ascii="Arial" w:hAnsi="Arial" w:cs="Arial"/>
        </w:rPr>
        <w:t xml:space="preserve">, B. (2024). The impact of porter's five forces model on </w:t>
      </w:r>
      <w:proofErr w:type="spellStart"/>
      <w:r w:rsidRPr="003C3279">
        <w:rPr>
          <w:rFonts w:ascii="Arial" w:hAnsi="Arial" w:cs="Arial"/>
        </w:rPr>
        <w:t>smes</w:t>
      </w:r>
      <w:proofErr w:type="spellEnd"/>
      <w:r w:rsidRPr="003C3279">
        <w:rPr>
          <w:rFonts w:ascii="Arial" w:hAnsi="Arial" w:cs="Arial"/>
        </w:rPr>
        <w:t xml:space="preserve"> performance: A systematic review. </w:t>
      </w:r>
      <w:r w:rsidRPr="003C3279">
        <w:rPr>
          <w:rFonts w:ascii="Arial" w:hAnsi="Arial" w:cs="Arial"/>
          <w:i/>
          <w:iCs/>
        </w:rPr>
        <w:t>Available at SSRN 4999059</w:t>
      </w:r>
      <w:r w:rsidRPr="003C3279">
        <w:rPr>
          <w:rFonts w:ascii="Arial" w:hAnsi="Arial" w:cs="Arial"/>
        </w:rPr>
        <w:t>.</w:t>
      </w:r>
    </w:p>
    <w:p w14:paraId="24192F08" w14:textId="77777777" w:rsidR="00AA4495" w:rsidRPr="003C3279" w:rsidRDefault="00AA4495" w:rsidP="00191848">
      <w:pPr>
        <w:ind w:left="720" w:hanging="720"/>
        <w:rPr>
          <w:rFonts w:ascii="Arial" w:hAnsi="Arial" w:cs="Arial"/>
        </w:rPr>
      </w:pPr>
      <w:bookmarkStart w:id="24" w:name="_Hlk212559696"/>
      <w:r w:rsidRPr="003C3279">
        <w:rPr>
          <w:rFonts w:ascii="Arial" w:hAnsi="Arial" w:cs="Arial"/>
        </w:rPr>
        <w:lastRenderedPageBreak/>
        <w:t xml:space="preserve">Nguyen, T. S., Mohamed, S., and </w:t>
      </w:r>
      <w:proofErr w:type="spellStart"/>
      <w:r w:rsidRPr="003C3279">
        <w:rPr>
          <w:rFonts w:ascii="Arial" w:hAnsi="Arial" w:cs="Arial"/>
        </w:rPr>
        <w:t>Panuwatwanich</w:t>
      </w:r>
      <w:proofErr w:type="spellEnd"/>
      <w:r w:rsidRPr="003C3279">
        <w:rPr>
          <w:rFonts w:ascii="Arial" w:hAnsi="Arial" w:cs="Arial"/>
        </w:rPr>
        <w:t xml:space="preserve">, </w:t>
      </w:r>
      <w:bookmarkEnd w:id="24"/>
      <w:r w:rsidRPr="003C3279">
        <w:rPr>
          <w:rFonts w:ascii="Arial" w:hAnsi="Arial" w:cs="Arial"/>
        </w:rPr>
        <w:t>K. (2018). Stakeholder management in complex project: Review of contemporary literature. </w:t>
      </w:r>
      <w:r w:rsidRPr="003C3279">
        <w:rPr>
          <w:rFonts w:ascii="Arial" w:hAnsi="Arial" w:cs="Arial"/>
          <w:i/>
          <w:iCs/>
        </w:rPr>
        <w:t>Journal of Engineering, Project, and Production Management</w:t>
      </w:r>
      <w:r w:rsidRPr="003C3279">
        <w:rPr>
          <w:rFonts w:ascii="Arial" w:hAnsi="Arial" w:cs="Arial"/>
        </w:rPr>
        <w:t>.</w:t>
      </w:r>
    </w:p>
    <w:p w14:paraId="752E0B10" w14:textId="77777777" w:rsidR="00AA4495" w:rsidRPr="003C3279" w:rsidRDefault="00AA4495" w:rsidP="00191848">
      <w:pPr>
        <w:ind w:left="720" w:hanging="720"/>
        <w:rPr>
          <w:rFonts w:ascii="Arial" w:hAnsi="Arial" w:cs="Arial"/>
        </w:rPr>
      </w:pPr>
      <w:r w:rsidRPr="003C3279">
        <w:rPr>
          <w:rFonts w:ascii="Arial" w:hAnsi="Arial" w:cs="Arial"/>
        </w:rPr>
        <w:t>Takahashi, A. (2025, March). BUILDING STRATEGIC PARTNERSHIPS FOR SME GROWTH (VIEWS FROM NORTH JAPAN). In </w:t>
      </w:r>
      <w:r w:rsidRPr="003C3279">
        <w:rPr>
          <w:rFonts w:ascii="Arial" w:hAnsi="Arial" w:cs="Arial"/>
          <w:i/>
          <w:iCs/>
        </w:rPr>
        <w:t>International Conference" Actual economy: local solutions for global challenges"</w:t>
      </w:r>
      <w:r w:rsidRPr="003C3279">
        <w:rPr>
          <w:rFonts w:ascii="Arial" w:hAnsi="Arial" w:cs="Arial"/>
        </w:rPr>
        <w:t> (pp. 75-75).</w:t>
      </w:r>
    </w:p>
    <w:p w14:paraId="026B57C2" w14:textId="77777777" w:rsidR="00AA4495" w:rsidRPr="003C3279" w:rsidRDefault="00AA4495" w:rsidP="00191848">
      <w:pPr>
        <w:ind w:left="720" w:hanging="720"/>
        <w:rPr>
          <w:rFonts w:ascii="Arial" w:hAnsi="Arial" w:cs="Arial"/>
        </w:rPr>
      </w:pPr>
      <w:r w:rsidRPr="003C3279">
        <w:rPr>
          <w:rFonts w:ascii="Arial" w:hAnsi="Arial" w:cs="Arial"/>
        </w:rPr>
        <w:t xml:space="preserve">Tardi, C. (2022). </w:t>
      </w:r>
      <w:r w:rsidRPr="003C3279">
        <w:rPr>
          <w:rFonts w:ascii="Arial" w:hAnsi="Arial" w:cs="Arial"/>
          <w:i/>
          <w:iCs/>
        </w:rPr>
        <w:t>Value Chain: Definition, Model, Analysis, and Example</w:t>
      </w:r>
      <w:r w:rsidRPr="003C3279">
        <w:rPr>
          <w:rFonts w:ascii="Arial" w:hAnsi="Arial" w:cs="Arial"/>
        </w:rPr>
        <w:t xml:space="preserve"> [Online] Available at: </w:t>
      </w:r>
      <w:hyperlink r:id="rId16" w:history="1">
        <w:r w:rsidRPr="003C3279">
          <w:rPr>
            <w:rStyle w:val="Hyperlink"/>
            <w:rFonts w:ascii="Arial" w:hAnsi="Arial" w:cs="Arial"/>
            <w:color w:val="auto"/>
          </w:rPr>
          <w:t>https://www.investopedia.com/terms/v/valuechain.asp</w:t>
        </w:r>
      </w:hyperlink>
      <w:r w:rsidRPr="003C3279">
        <w:rPr>
          <w:rFonts w:ascii="Arial" w:hAnsi="Arial" w:cs="Arial"/>
        </w:rPr>
        <w:t xml:space="preserve"> [Accessed 27th October 2025]</w:t>
      </w:r>
    </w:p>
    <w:p w14:paraId="6B12532A" w14:textId="77777777" w:rsidR="00AA4495" w:rsidRPr="003C3279" w:rsidRDefault="00AA4495" w:rsidP="00191848">
      <w:pPr>
        <w:ind w:left="720" w:hanging="720"/>
        <w:rPr>
          <w:rFonts w:ascii="Arial" w:hAnsi="Arial" w:cs="Arial"/>
        </w:rPr>
      </w:pPr>
      <w:r w:rsidRPr="003C3279">
        <w:rPr>
          <w:rFonts w:ascii="Arial" w:hAnsi="Arial" w:cs="Arial"/>
        </w:rPr>
        <w:t>Zamora, E. A. (2016). Value chain analysis: A brief review. </w:t>
      </w:r>
      <w:r w:rsidRPr="003C3279">
        <w:rPr>
          <w:rFonts w:ascii="Arial" w:hAnsi="Arial" w:cs="Arial"/>
          <w:i/>
          <w:iCs/>
        </w:rPr>
        <w:t>Asian Journal of Innovation and Policy</w:t>
      </w:r>
      <w:r w:rsidRPr="003C3279">
        <w:rPr>
          <w:rFonts w:ascii="Arial" w:hAnsi="Arial" w:cs="Arial"/>
        </w:rPr>
        <w:t>, </w:t>
      </w:r>
      <w:r w:rsidRPr="003C3279">
        <w:rPr>
          <w:rFonts w:ascii="Arial" w:hAnsi="Arial" w:cs="Arial"/>
          <w:i/>
          <w:iCs/>
        </w:rPr>
        <w:t>5</w:t>
      </w:r>
      <w:r w:rsidRPr="003C3279">
        <w:rPr>
          <w:rFonts w:ascii="Arial" w:hAnsi="Arial" w:cs="Arial"/>
        </w:rPr>
        <w:t>(2), 116-128.</w:t>
      </w:r>
    </w:p>
    <w:p w14:paraId="390D5A1D" w14:textId="77777777" w:rsidR="00AA4495" w:rsidRPr="003C3279" w:rsidRDefault="00AA4495" w:rsidP="00191848">
      <w:pPr>
        <w:ind w:left="720" w:hanging="720"/>
        <w:rPr>
          <w:rFonts w:ascii="Arial" w:hAnsi="Arial" w:cs="Arial"/>
        </w:rPr>
      </w:pPr>
      <w:proofErr w:type="spellStart"/>
      <w:r w:rsidRPr="003C3279">
        <w:rPr>
          <w:rFonts w:ascii="Arial" w:hAnsi="Arial" w:cs="Arial"/>
        </w:rPr>
        <w:t>Zoominfo</w:t>
      </w:r>
      <w:proofErr w:type="spellEnd"/>
      <w:r w:rsidRPr="003C3279">
        <w:rPr>
          <w:rFonts w:ascii="Arial" w:hAnsi="Arial" w:cs="Arial"/>
        </w:rPr>
        <w:t xml:space="preserve"> (2025). </w:t>
      </w:r>
      <w:r w:rsidRPr="003C3279">
        <w:rPr>
          <w:rFonts w:ascii="Arial" w:hAnsi="Arial" w:cs="Arial"/>
          <w:i/>
          <w:iCs/>
        </w:rPr>
        <w:t>Fixatex</w:t>
      </w:r>
      <w:r w:rsidRPr="003C3279">
        <w:rPr>
          <w:rFonts w:ascii="Arial" w:hAnsi="Arial" w:cs="Arial"/>
        </w:rPr>
        <w:t xml:space="preserve"> [Online] Available at: </w:t>
      </w:r>
      <w:hyperlink r:id="rId17" w:history="1">
        <w:r w:rsidRPr="003C3279">
          <w:rPr>
            <w:rStyle w:val="Hyperlink"/>
            <w:rFonts w:ascii="Arial" w:hAnsi="Arial" w:cs="Arial"/>
            <w:color w:val="auto"/>
          </w:rPr>
          <w:t>https://www.zoominfo.com/c/fixatex-ltd/359317803</w:t>
        </w:r>
      </w:hyperlink>
      <w:r w:rsidRPr="003C3279">
        <w:rPr>
          <w:rFonts w:ascii="Arial" w:hAnsi="Arial" w:cs="Arial"/>
        </w:rPr>
        <w:t xml:space="preserve"> [Accessed 27th October 2025]</w:t>
      </w:r>
    </w:p>
    <w:p w14:paraId="5046CBA6" w14:textId="77777777" w:rsidR="00AA4495" w:rsidRPr="003C3279" w:rsidRDefault="00AA4495" w:rsidP="00191848">
      <w:pPr>
        <w:ind w:left="720" w:hanging="720"/>
        <w:rPr>
          <w:rFonts w:ascii="Arial" w:hAnsi="Arial" w:cs="Arial"/>
        </w:rPr>
      </w:pPr>
      <w:r w:rsidRPr="003C3279">
        <w:rPr>
          <w:rFonts w:ascii="Arial" w:hAnsi="Arial" w:cs="Arial"/>
        </w:rPr>
        <w:t>Zugay, B., and Zakaria, R. (2023). </w:t>
      </w:r>
      <w:r w:rsidRPr="003C3279">
        <w:rPr>
          <w:rFonts w:ascii="Arial" w:hAnsi="Arial" w:cs="Arial"/>
          <w:i/>
          <w:iCs/>
        </w:rPr>
        <w:t>Ansoff matrix</w:t>
      </w:r>
      <w:r w:rsidRPr="003C3279">
        <w:rPr>
          <w:rFonts w:ascii="Arial" w:hAnsi="Arial" w:cs="Arial"/>
        </w:rPr>
        <w:t xml:space="preserve">. SAGE Publications, </w:t>
      </w:r>
      <w:proofErr w:type="gramStart"/>
      <w:r w:rsidRPr="003C3279">
        <w:rPr>
          <w:rFonts w:ascii="Arial" w:hAnsi="Arial" w:cs="Arial"/>
        </w:rPr>
        <w:t>Inc..</w:t>
      </w:r>
      <w:proofErr w:type="gramEnd"/>
    </w:p>
    <w:p w14:paraId="69028D76" w14:textId="77777777" w:rsidR="00AA4495" w:rsidRPr="003C3279" w:rsidRDefault="00AA4495" w:rsidP="00AA4495">
      <w:pPr>
        <w:rPr>
          <w:rFonts w:ascii="Arial" w:hAnsi="Arial" w:cs="Arial"/>
        </w:rPr>
      </w:pPr>
    </w:p>
    <w:sectPr w:rsidR="00AA4495" w:rsidRPr="003C3279" w:rsidSect="00AA408C">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95DF6" w14:textId="77777777" w:rsidR="001A589B" w:rsidRDefault="001A589B" w:rsidP="00F95576">
      <w:pPr>
        <w:spacing w:after="0" w:line="240" w:lineRule="auto"/>
      </w:pPr>
      <w:r>
        <w:separator/>
      </w:r>
    </w:p>
  </w:endnote>
  <w:endnote w:type="continuationSeparator" w:id="0">
    <w:p w14:paraId="1C18885C" w14:textId="77777777" w:rsidR="001A589B" w:rsidRDefault="001A589B" w:rsidP="00F95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868434"/>
      <w:docPartObj>
        <w:docPartGallery w:val="Page Numbers (Bottom of Page)"/>
        <w:docPartUnique/>
      </w:docPartObj>
    </w:sdtPr>
    <w:sdtEndPr>
      <w:rPr>
        <w:noProof/>
      </w:rPr>
    </w:sdtEndPr>
    <w:sdtContent>
      <w:p w14:paraId="0269C2E9" w14:textId="41FBA71F" w:rsidR="00F95576" w:rsidRDefault="00F955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6388A6" w14:textId="77777777" w:rsidR="00F95576" w:rsidRDefault="00F955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61CAB" w14:textId="77777777" w:rsidR="001A589B" w:rsidRDefault="001A589B" w:rsidP="00F95576">
      <w:pPr>
        <w:spacing w:after="0" w:line="240" w:lineRule="auto"/>
      </w:pPr>
      <w:r>
        <w:separator/>
      </w:r>
    </w:p>
  </w:footnote>
  <w:footnote w:type="continuationSeparator" w:id="0">
    <w:p w14:paraId="05248C97" w14:textId="77777777" w:rsidR="001A589B" w:rsidRDefault="001A589B" w:rsidP="00F955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5626AB"/>
    <w:multiLevelType w:val="hybridMultilevel"/>
    <w:tmpl w:val="3F342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B92547"/>
    <w:multiLevelType w:val="hybridMultilevel"/>
    <w:tmpl w:val="B3067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3C7551"/>
    <w:multiLevelType w:val="hybridMultilevel"/>
    <w:tmpl w:val="0DA02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B455A0"/>
    <w:multiLevelType w:val="hybridMultilevel"/>
    <w:tmpl w:val="516854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70234834"/>
    <w:multiLevelType w:val="hybridMultilevel"/>
    <w:tmpl w:val="5E2AD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D06C5"/>
    <w:multiLevelType w:val="hybridMultilevel"/>
    <w:tmpl w:val="E3DAD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9730239">
    <w:abstractNumId w:val="0"/>
  </w:num>
  <w:num w:numId="2" w16cid:durableId="1976593194">
    <w:abstractNumId w:val="3"/>
  </w:num>
  <w:num w:numId="3" w16cid:durableId="995719562">
    <w:abstractNumId w:val="5"/>
  </w:num>
  <w:num w:numId="4" w16cid:durableId="224797106">
    <w:abstractNumId w:val="2"/>
  </w:num>
  <w:num w:numId="5" w16cid:durableId="347174578">
    <w:abstractNumId w:val="1"/>
  </w:num>
  <w:num w:numId="6" w16cid:durableId="12550885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5DA"/>
    <w:rsid w:val="0000585B"/>
    <w:rsid w:val="00016ED5"/>
    <w:rsid w:val="0001710D"/>
    <w:rsid w:val="0001758C"/>
    <w:rsid w:val="00021DE7"/>
    <w:rsid w:val="00024591"/>
    <w:rsid w:val="00025A81"/>
    <w:rsid w:val="00037D56"/>
    <w:rsid w:val="00041138"/>
    <w:rsid w:val="00044C5C"/>
    <w:rsid w:val="00045FAB"/>
    <w:rsid w:val="00061D3F"/>
    <w:rsid w:val="0006393E"/>
    <w:rsid w:val="00074BBC"/>
    <w:rsid w:val="00082A74"/>
    <w:rsid w:val="000863C9"/>
    <w:rsid w:val="0009636A"/>
    <w:rsid w:val="000A5D39"/>
    <w:rsid w:val="000A6571"/>
    <w:rsid w:val="000B3E33"/>
    <w:rsid w:val="000C3F47"/>
    <w:rsid w:val="000F0BCB"/>
    <w:rsid w:val="00105AB1"/>
    <w:rsid w:val="00117049"/>
    <w:rsid w:val="001212A8"/>
    <w:rsid w:val="001217AC"/>
    <w:rsid w:val="00123F45"/>
    <w:rsid w:val="00127FE8"/>
    <w:rsid w:val="00133CB4"/>
    <w:rsid w:val="001411A5"/>
    <w:rsid w:val="0014710D"/>
    <w:rsid w:val="00150219"/>
    <w:rsid w:val="00160726"/>
    <w:rsid w:val="0017163B"/>
    <w:rsid w:val="0018120A"/>
    <w:rsid w:val="0018491F"/>
    <w:rsid w:val="00190D4A"/>
    <w:rsid w:val="001913FB"/>
    <w:rsid w:val="00191848"/>
    <w:rsid w:val="00193526"/>
    <w:rsid w:val="001935BD"/>
    <w:rsid w:val="00195504"/>
    <w:rsid w:val="001A2E08"/>
    <w:rsid w:val="001A589B"/>
    <w:rsid w:val="001B7C61"/>
    <w:rsid w:val="001D6575"/>
    <w:rsid w:val="001E5ED9"/>
    <w:rsid w:val="0022118C"/>
    <w:rsid w:val="002309AB"/>
    <w:rsid w:val="00231FA1"/>
    <w:rsid w:val="00233AE1"/>
    <w:rsid w:val="00251CE5"/>
    <w:rsid w:val="00256574"/>
    <w:rsid w:val="00257D3D"/>
    <w:rsid w:val="002624DC"/>
    <w:rsid w:val="00277C9B"/>
    <w:rsid w:val="002A4600"/>
    <w:rsid w:val="002A6404"/>
    <w:rsid w:val="002B1C04"/>
    <w:rsid w:val="002C1E49"/>
    <w:rsid w:val="002C5E37"/>
    <w:rsid w:val="002D2824"/>
    <w:rsid w:val="002E6DB3"/>
    <w:rsid w:val="002E727E"/>
    <w:rsid w:val="002F509A"/>
    <w:rsid w:val="002F5158"/>
    <w:rsid w:val="002F5919"/>
    <w:rsid w:val="002F7E66"/>
    <w:rsid w:val="00315CB8"/>
    <w:rsid w:val="0035264F"/>
    <w:rsid w:val="0037187C"/>
    <w:rsid w:val="00397920"/>
    <w:rsid w:val="003A0F51"/>
    <w:rsid w:val="003A1061"/>
    <w:rsid w:val="003A1B88"/>
    <w:rsid w:val="003B16CB"/>
    <w:rsid w:val="003B1B9C"/>
    <w:rsid w:val="003C3279"/>
    <w:rsid w:val="003C3930"/>
    <w:rsid w:val="003C792C"/>
    <w:rsid w:val="003D7740"/>
    <w:rsid w:val="003E75A6"/>
    <w:rsid w:val="003F0040"/>
    <w:rsid w:val="003F312C"/>
    <w:rsid w:val="00412C58"/>
    <w:rsid w:val="00412F46"/>
    <w:rsid w:val="00430A99"/>
    <w:rsid w:val="00444D64"/>
    <w:rsid w:val="00454E30"/>
    <w:rsid w:val="00456E62"/>
    <w:rsid w:val="00462804"/>
    <w:rsid w:val="004662BC"/>
    <w:rsid w:val="00471EF0"/>
    <w:rsid w:val="00483EDF"/>
    <w:rsid w:val="00492A64"/>
    <w:rsid w:val="004A23DC"/>
    <w:rsid w:val="004D107B"/>
    <w:rsid w:val="004E72F6"/>
    <w:rsid w:val="00523AE1"/>
    <w:rsid w:val="00531B8B"/>
    <w:rsid w:val="0054014C"/>
    <w:rsid w:val="00555E06"/>
    <w:rsid w:val="0058426C"/>
    <w:rsid w:val="005A0F47"/>
    <w:rsid w:val="005B05D1"/>
    <w:rsid w:val="005C21D2"/>
    <w:rsid w:val="005C3D5E"/>
    <w:rsid w:val="00611F88"/>
    <w:rsid w:val="00614C02"/>
    <w:rsid w:val="00626747"/>
    <w:rsid w:val="00626A0A"/>
    <w:rsid w:val="00630154"/>
    <w:rsid w:val="00642F06"/>
    <w:rsid w:val="00667E02"/>
    <w:rsid w:val="006726A2"/>
    <w:rsid w:val="00680C07"/>
    <w:rsid w:val="00681BD7"/>
    <w:rsid w:val="0069562C"/>
    <w:rsid w:val="006A5E29"/>
    <w:rsid w:val="006B5E7F"/>
    <w:rsid w:val="006C6907"/>
    <w:rsid w:val="006D442E"/>
    <w:rsid w:val="006D4F02"/>
    <w:rsid w:val="00710F91"/>
    <w:rsid w:val="007151BC"/>
    <w:rsid w:val="00717DAD"/>
    <w:rsid w:val="0077339E"/>
    <w:rsid w:val="007740DB"/>
    <w:rsid w:val="00784453"/>
    <w:rsid w:val="0078572D"/>
    <w:rsid w:val="0078718A"/>
    <w:rsid w:val="007944D1"/>
    <w:rsid w:val="007A126D"/>
    <w:rsid w:val="007B03A1"/>
    <w:rsid w:val="007B3119"/>
    <w:rsid w:val="007B482F"/>
    <w:rsid w:val="007C1581"/>
    <w:rsid w:val="007D0894"/>
    <w:rsid w:val="007F234B"/>
    <w:rsid w:val="007F6479"/>
    <w:rsid w:val="0080063F"/>
    <w:rsid w:val="00811D11"/>
    <w:rsid w:val="008279C7"/>
    <w:rsid w:val="0084451D"/>
    <w:rsid w:val="008669BC"/>
    <w:rsid w:val="00881683"/>
    <w:rsid w:val="0089199E"/>
    <w:rsid w:val="008947DE"/>
    <w:rsid w:val="008A24DB"/>
    <w:rsid w:val="008B3372"/>
    <w:rsid w:val="008D06CD"/>
    <w:rsid w:val="008D1F62"/>
    <w:rsid w:val="008D54C0"/>
    <w:rsid w:val="008E04B5"/>
    <w:rsid w:val="008F1C44"/>
    <w:rsid w:val="00920F64"/>
    <w:rsid w:val="00933E62"/>
    <w:rsid w:val="00934AE2"/>
    <w:rsid w:val="00936023"/>
    <w:rsid w:val="00942A25"/>
    <w:rsid w:val="009867A0"/>
    <w:rsid w:val="0099096B"/>
    <w:rsid w:val="00992FA7"/>
    <w:rsid w:val="009A394E"/>
    <w:rsid w:val="009A4DBA"/>
    <w:rsid w:val="009A7663"/>
    <w:rsid w:val="009B0038"/>
    <w:rsid w:val="009C1E67"/>
    <w:rsid w:val="009C3771"/>
    <w:rsid w:val="009C6BEE"/>
    <w:rsid w:val="009D22A0"/>
    <w:rsid w:val="009D28E4"/>
    <w:rsid w:val="009D455D"/>
    <w:rsid w:val="009D701B"/>
    <w:rsid w:val="009D79F6"/>
    <w:rsid w:val="009E3615"/>
    <w:rsid w:val="009F510E"/>
    <w:rsid w:val="009F58F5"/>
    <w:rsid w:val="009F7FCE"/>
    <w:rsid w:val="00A02BDB"/>
    <w:rsid w:val="00A053EA"/>
    <w:rsid w:val="00A1484F"/>
    <w:rsid w:val="00A15B0B"/>
    <w:rsid w:val="00A217A4"/>
    <w:rsid w:val="00A27954"/>
    <w:rsid w:val="00A5435A"/>
    <w:rsid w:val="00A61C42"/>
    <w:rsid w:val="00A73E41"/>
    <w:rsid w:val="00A834B8"/>
    <w:rsid w:val="00A90729"/>
    <w:rsid w:val="00AA408C"/>
    <w:rsid w:val="00AA4495"/>
    <w:rsid w:val="00AC7C73"/>
    <w:rsid w:val="00AD29CF"/>
    <w:rsid w:val="00AF6278"/>
    <w:rsid w:val="00B000F8"/>
    <w:rsid w:val="00B01897"/>
    <w:rsid w:val="00B048E8"/>
    <w:rsid w:val="00B07556"/>
    <w:rsid w:val="00B100A3"/>
    <w:rsid w:val="00B1162F"/>
    <w:rsid w:val="00B1499C"/>
    <w:rsid w:val="00B20AD9"/>
    <w:rsid w:val="00B23A5E"/>
    <w:rsid w:val="00B55FF1"/>
    <w:rsid w:val="00B634AD"/>
    <w:rsid w:val="00B667C9"/>
    <w:rsid w:val="00B9179A"/>
    <w:rsid w:val="00B91CA3"/>
    <w:rsid w:val="00BC0AC1"/>
    <w:rsid w:val="00BC27CE"/>
    <w:rsid w:val="00BD3472"/>
    <w:rsid w:val="00BD4460"/>
    <w:rsid w:val="00BE0C79"/>
    <w:rsid w:val="00BE3B0E"/>
    <w:rsid w:val="00BF5491"/>
    <w:rsid w:val="00C2020E"/>
    <w:rsid w:val="00C22CEB"/>
    <w:rsid w:val="00C26D63"/>
    <w:rsid w:val="00C27E67"/>
    <w:rsid w:val="00C43DAE"/>
    <w:rsid w:val="00C4678A"/>
    <w:rsid w:val="00C542BB"/>
    <w:rsid w:val="00C5456B"/>
    <w:rsid w:val="00C64350"/>
    <w:rsid w:val="00C65BAA"/>
    <w:rsid w:val="00C85573"/>
    <w:rsid w:val="00C8769F"/>
    <w:rsid w:val="00C91688"/>
    <w:rsid w:val="00CA7088"/>
    <w:rsid w:val="00CB3F23"/>
    <w:rsid w:val="00CC1DA2"/>
    <w:rsid w:val="00CC24EE"/>
    <w:rsid w:val="00CF69C8"/>
    <w:rsid w:val="00D05CCB"/>
    <w:rsid w:val="00D0655A"/>
    <w:rsid w:val="00D15EA5"/>
    <w:rsid w:val="00D31E01"/>
    <w:rsid w:val="00D32E59"/>
    <w:rsid w:val="00D47B58"/>
    <w:rsid w:val="00D5304B"/>
    <w:rsid w:val="00D56D54"/>
    <w:rsid w:val="00D7104B"/>
    <w:rsid w:val="00D80104"/>
    <w:rsid w:val="00D81FBE"/>
    <w:rsid w:val="00D8579B"/>
    <w:rsid w:val="00D85E6F"/>
    <w:rsid w:val="00D94CF6"/>
    <w:rsid w:val="00D94DCA"/>
    <w:rsid w:val="00DA2DD2"/>
    <w:rsid w:val="00DA2FBA"/>
    <w:rsid w:val="00DF3629"/>
    <w:rsid w:val="00DF7DC7"/>
    <w:rsid w:val="00E1293A"/>
    <w:rsid w:val="00E15609"/>
    <w:rsid w:val="00E17CF7"/>
    <w:rsid w:val="00E43E7B"/>
    <w:rsid w:val="00E503ED"/>
    <w:rsid w:val="00E539CF"/>
    <w:rsid w:val="00E556A5"/>
    <w:rsid w:val="00E9062A"/>
    <w:rsid w:val="00E9454E"/>
    <w:rsid w:val="00EA756E"/>
    <w:rsid w:val="00EB2C5C"/>
    <w:rsid w:val="00EB5D23"/>
    <w:rsid w:val="00EC3D4F"/>
    <w:rsid w:val="00EC5FF2"/>
    <w:rsid w:val="00ED5913"/>
    <w:rsid w:val="00F018FB"/>
    <w:rsid w:val="00F10FB9"/>
    <w:rsid w:val="00F126F3"/>
    <w:rsid w:val="00F1513E"/>
    <w:rsid w:val="00F155DA"/>
    <w:rsid w:val="00F157EB"/>
    <w:rsid w:val="00F26A3E"/>
    <w:rsid w:val="00F315EE"/>
    <w:rsid w:val="00F3551E"/>
    <w:rsid w:val="00F36ACF"/>
    <w:rsid w:val="00F464D4"/>
    <w:rsid w:val="00F56464"/>
    <w:rsid w:val="00F74E4B"/>
    <w:rsid w:val="00F77FC8"/>
    <w:rsid w:val="00F81C41"/>
    <w:rsid w:val="00F82AA4"/>
    <w:rsid w:val="00F95576"/>
    <w:rsid w:val="00FA216D"/>
    <w:rsid w:val="00FA5E48"/>
    <w:rsid w:val="00FB54BF"/>
    <w:rsid w:val="00FB54F6"/>
    <w:rsid w:val="00FC5C67"/>
    <w:rsid w:val="00FD0CD7"/>
    <w:rsid w:val="00FE0F31"/>
    <w:rsid w:val="00FF04E1"/>
    <w:rsid w:val="00FF0A12"/>
    <w:rsid w:val="00FF5E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F3D8A"/>
  <w15:chartTrackingRefBased/>
  <w15:docId w15:val="{55A45D5C-94F9-46F6-A525-ABC0754E8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5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155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155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55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55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55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5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5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5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5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155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155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55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55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55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5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5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5DA"/>
    <w:rPr>
      <w:rFonts w:eastAsiaTheme="majorEastAsia" w:cstheme="majorBidi"/>
      <w:color w:val="272727" w:themeColor="text1" w:themeTint="D8"/>
    </w:rPr>
  </w:style>
  <w:style w:type="paragraph" w:styleId="Title">
    <w:name w:val="Title"/>
    <w:basedOn w:val="Normal"/>
    <w:next w:val="Normal"/>
    <w:link w:val="TitleChar"/>
    <w:uiPriority w:val="10"/>
    <w:qFormat/>
    <w:rsid w:val="00F155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5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5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5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5DA"/>
    <w:pPr>
      <w:spacing w:before="160"/>
      <w:jc w:val="center"/>
    </w:pPr>
    <w:rPr>
      <w:i/>
      <w:iCs/>
      <w:color w:val="404040" w:themeColor="text1" w:themeTint="BF"/>
    </w:rPr>
  </w:style>
  <w:style w:type="character" w:customStyle="1" w:styleId="QuoteChar">
    <w:name w:val="Quote Char"/>
    <w:basedOn w:val="DefaultParagraphFont"/>
    <w:link w:val="Quote"/>
    <w:uiPriority w:val="29"/>
    <w:rsid w:val="00F155DA"/>
    <w:rPr>
      <w:i/>
      <w:iCs/>
      <w:color w:val="404040" w:themeColor="text1" w:themeTint="BF"/>
    </w:rPr>
  </w:style>
  <w:style w:type="paragraph" w:styleId="ListParagraph">
    <w:name w:val="List Paragraph"/>
    <w:basedOn w:val="Normal"/>
    <w:uiPriority w:val="34"/>
    <w:qFormat/>
    <w:rsid w:val="00F155DA"/>
    <w:pPr>
      <w:ind w:left="720"/>
      <w:contextualSpacing/>
    </w:pPr>
  </w:style>
  <w:style w:type="character" w:styleId="IntenseEmphasis">
    <w:name w:val="Intense Emphasis"/>
    <w:basedOn w:val="DefaultParagraphFont"/>
    <w:uiPriority w:val="21"/>
    <w:qFormat/>
    <w:rsid w:val="00F155DA"/>
    <w:rPr>
      <w:i/>
      <w:iCs/>
      <w:color w:val="2F5496" w:themeColor="accent1" w:themeShade="BF"/>
    </w:rPr>
  </w:style>
  <w:style w:type="paragraph" w:styleId="IntenseQuote">
    <w:name w:val="Intense Quote"/>
    <w:basedOn w:val="Normal"/>
    <w:next w:val="Normal"/>
    <w:link w:val="IntenseQuoteChar"/>
    <w:uiPriority w:val="30"/>
    <w:qFormat/>
    <w:rsid w:val="00F155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55DA"/>
    <w:rPr>
      <w:i/>
      <w:iCs/>
      <w:color w:val="2F5496" w:themeColor="accent1" w:themeShade="BF"/>
    </w:rPr>
  </w:style>
  <w:style w:type="character" w:styleId="IntenseReference">
    <w:name w:val="Intense Reference"/>
    <w:basedOn w:val="DefaultParagraphFont"/>
    <w:uiPriority w:val="32"/>
    <w:qFormat/>
    <w:rsid w:val="00F155DA"/>
    <w:rPr>
      <w:b/>
      <w:bCs/>
      <w:smallCaps/>
      <w:color w:val="2F5496" w:themeColor="accent1" w:themeShade="BF"/>
      <w:spacing w:val="5"/>
    </w:rPr>
  </w:style>
  <w:style w:type="paragraph" w:styleId="Header">
    <w:name w:val="header"/>
    <w:basedOn w:val="Normal"/>
    <w:link w:val="HeaderChar"/>
    <w:uiPriority w:val="99"/>
    <w:unhideWhenUsed/>
    <w:rsid w:val="00F95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576"/>
  </w:style>
  <w:style w:type="paragraph" w:styleId="Footer">
    <w:name w:val="footer"/>
    <w:basedOn w:val="Normal"/>
    <w:link w:val="FooterChar"/>
    <w:uiPriority w:val="99"/>
    <w:unhideWhenUsed/>
    <w:rsid w:val="00F95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576"/>
  </w:style>
  <w:style w:type="table" w:styleId="TableGrid">
    <w:name w:val="Table Grid"/>
    <w:basedOn w:val="TableNormal"/>
    <w:uiPriority w:val="39"/>
    <w:rsid w:val="00DF3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1848"/>
    <w:rPr>
      <w:color w:val="0563C1" w:themeColor="hyperlink"/>
      <w:u w:val="single"/>
    </w:rPr>
  </w:style>
  <w:style w:type="character" w:styleId="UnresolvedMention">
    <w:name w:val="Unresolved Mention"/>
    <w:basedOn w:val="DefaultParagraphFont"/>
    <w:uiPriority w:val="99"/>
    <w:semiHidden/>
    <w:unhideWhenUsed/>
    <w:rsid w:val="00191848"/>
    <w:rPr>
      <w:color w:val="605E5C"/>
      <w:shd w:val="clear" w:color="auto" w:fill="E1DFDD"/>
    </w:rPr>
  </w:style>
  <w:style w:type="character" w:styleId="FollowedHyperlink">
    <w:name w:val="FollowedHyperlink"/>
    <w:basedOn w:val="DefaultParagraphFont"/>
    <w:uiPriority w:val="99"/>
    <w:semiHidden/>
    <w:unhideWhenUsed/>
    <w:rsid w:val="00191848"/>
    <w:rPr>
      <w:color w:val="954F72" w:themeColor="followedHyperlink"/>
      <w:u w:val="single"/>
    </w:rPr>
  </w:style>
  <w:style w:type="paragraph" w:styleId="TOCHeading">
    <w:name w:val="TOC Heading"/>
    <w:basedOn w:val="Heading1"/>
    <w:next w:val="Normal"/>
    <w:uiPriority w:val="39"/>
    <w:unhideWhenUsed/>
    <w:qFormat/>
    <w:rsid w:val="001913FB"/>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1913FB"/>
    <w:pPr>
      <w:spacing w:after="100"/>
    </w:pPr>
  </w:style>
  <w:style w:type="paragraph" w:styleId="TOC2">
    <w:name w:val="toc 2"/>
    <w:basedOn w:val="Normal"/>
    <w:next w:val="Normal"/>
    <w:autoRedefine/>
    <w:uiPriority w:val="39"/>
    <w:unhideWhenUsed/>
    <w:rsid w:val="001913FB"/>
    <w:pPr>
      <w:spacing w:after="100"/>
      <w:ind w:left="220"/>
    </w:pPr>
  </w:style>
  <w:style w:type="paragraph" w:styleId="TOC3">
    <w:name w:val="toc 3"/>
    <w:basedOn w:val="Normal"/>
    <w:next w:val="Normal"/>
    <w:autoRedefine/>
    <w:uiPriority w:val="39"/>
    <w:unhideWhenUsed/>
    <w:rsid w:val="001913F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news/what-changes-are-we-making-to-the-minimum-wag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ixatexltd.co.uk/" TargetMode="External"/><Relationship Id="rId17" Type="http://schemas.openxmlformats.org/officeDocument/2006/relationships/hyperlink" Target="https://www.zoominfo.com/c/fixatex-ltd/359317803" TargetMode="External"/><Relationship Id="rId2" Type="http://schemas.openxmlformats.org/officeDocument/2006/relationships/numbering" Target="numbering.xml"/><Relationship Id="rId16" Type="http://schemas.openxmlformats.org/officeDocument/2006/relationships/hyperlink" Target="https://www.investopedia.com/terms/v/valuechain.as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pointe.co.uk/blog/uk-economic-outlook-2025-what-government-turmoil-means-for-investors/" TargetMode="External"/><Relationship Id="rId5" Type="http://schemas.openxmlformats.org/officeDocument/2006/relationships/webSettings" Target="webSettings.xml"/><Relationship Id="rId15" Type="http://schemas.openxmlformats.org/officeDocument/2006/relationships/hyperlink" Target="https://www.icaew.com/insights/viewpoints-on-the-news/2025/jun-2025/economic-update-why-uk-economic-conditions-have-taken-a-turn-for-the-worse"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government/uploads/system/uploads/attachment_data/file/994570/GO-Science_Trend_Deck_-_Urbanisation_section_-_Spring_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38CF3-A0EC-4825-A5C4-872F24E34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18</Pages>
  <Words>4294</Words>
  <Characters>24476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Wesley Santos Aliprandi (Student)</cp:lastModifiedBy>
  <cp:revision>32</cp:revision>
  <dcterms:created xsi:type="dcterms:W3CDTF">2025-10-29T15:40:00Z</dcterms:created>
  <dcterms:modified xsi:type="dcterms:W3CDTF">2025-12-01T12:31:00Z</dcterms:modified>
</cp:coreProperties>
</file>