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F7AE060">
      <w:pPr>
        <w:jc w:val="center"/>
        <w:rPr>
          <w:b/>
          <w:sz w:val="28"/>
        </w:rPr>
      </w:pPr>
    </w:p>
    <w:p w14:paraId="0EE40605">
      <w:pPr>
        <w:jc w:val="center"/>
        <w:rPr>
          <w:b/>
          <w:sz w:val="28"/>
        </w:rPr>
      </w:pPr>
    </w:p>
    <w:p w14:paraId="2A6C07AE">
      <w:pPr>
        <w:jc w:val="center"/>
        <w:rPr>
          <w:b/>
          <w:sz w:val="28"/>
        </w:rPr>
      </w:pPr>
    </w:p>
    <w:p w14:paraId="2BE90298">
      <w:pPr>
        <w:jc w:val="center"/>
        <w:rPr>
          <w:b/>
          <w:sz w:val="28"/>
        </w:rPr>
      </w:pPr>
    </w:p>
    <w:p w14:paraId="3C01556C">
      <w:pPr>
        <w:jc w:val="center"/>
        <w:rPr>
          <w:b/>
          <w:sz w:val="28"/>
        </w:rPr>
      </w:pPr>
    </w:p>
    <w:p w14:paraId="154D260B">
      <w:pPr>
        <w:jc w:val="center"/>
        <w:rPr>
          <w:b/>
          <w:sz w:val="28"/>
        </w:rPr>
      </w:pPr>
    </w:p>
    <w:p w14:paraId="4F24E781">
      <w:pPr>
        <w:jc w:val="center"/>
        <w:rPr>
          <w:b/>
          <w:sz w:val="28"/>
        </w:rPr>
      </w:pPr>
    </w:p>
    <w:p w14:paraId="75599C31">
      <w:pPr>
        <w:jc w:val="center"/>
      </w:pPr>
      <w:r>
        <w:rPr>
          <w:b/>
          <w:sz w:val="28"/>
        </w:rPr>
        <w:t>Developing a Well</w:t>
      </w:r>
      <w:r>
        <w:rPr>
          <w:rFonts w:hint="default"/>
          <w:b/>
          <w:sz w:val="28"/>
          <w:lang w:val="en-US"/>
        </w:rPr>
        <w:t>-</w:t>
      </w:r>
      <w:r>
        <w:rPr>
          <w:b/>
          <w:sz w:val="28"/>
        </w:rPr>
        <w:t>being Strategy to Improve Retention, Attendance and Performance at Havencares Insurance Cardiff Call Centre</w:t>
      </w:r>
    </w:p>
    <w:p w14:paraId="4757E530">
      <w:pPr>
        <w:jc w:val="center"/>
      </w:pPr>
      <w:r>
        <w:rPr>
          <w:rFonts w:hint="default"/>
          <w:lang w:val="en-US"/>
        </w:rPr>
        <w:t>Date</w:t>
      </w:r>
      <w:r>
        <w:t>: [</w:t>
      </w:r>
      <w:r>
        <w:rPr>
          <w:rFonts w:hint="default"/>
          <w:lang w:val="en-US"/>
        </w:rPr>
        <w:t>30/04/2026</w:t>
      </w:r>
      <w:r>
        <w:t>]</w:t>
      </w:r>
    </w:p>
    <w:p w14:paraId="65D5A8C5">
      <w:pPr>
        <w:jc w:val="center"/>
        <w:rPr>
          <w:rFonts w:hint="default"/>
          <w:lang w:val="en-US"/>
        </w:rPr>
      </w:pPr>
      <w:r>
        <w:t xml:space="preserve">Name/ID: </w:t>
      </w:r>
      <w:r>
        <w:rPr>
          <w:rFonts w:hint="default"/>
          <w:lang w:val="en-US"/>
        </w:rPr>
        <w:t>[Haokun Tian / 2522030]</w:t>
      </w:r>
    </w:p>
    <w:p w14:paraId="1FD04A3B">
      <w:r>
        <w:br w:type="page"/>
      </w:r>
    </w:p>
    <w:p w14:paraId="75067F9F">
      <w:pPr>
        <w:jc w:val="center"/>
      </w:pPr>
      <w:r>
        <w:rPr>
          <w:b/>
          <w:sz w:val="28"/>
        </w:rPr>
        <w:t>Developing a Well</w:t>
      </w:r>
      <w:r>
        <w:rPr>
          <w:rFonts w:hint="default"/>
          <w:b/>
          <w:sz w:val="28"/>
          <w:lang w:val="en-US"/>
        </w:rPr>
        <w:t>-</w:t>
      </w:r>
      <w:r>
        <w:rPr>
          <w:b/>
          <w:sz w:val="28"/>
        </w:rPr>
        <w:t>being Strategy to Improve Retention, Attendance and Performance at Havencares Insurance Cardiff Call Centre</w:t>
      </w:r>
    </w:p>
    <w:p w14:paraId="35C7E9F9">
      <w:pPr>
        <w:pStyle w:val="3"/>
        <w:jc w:val="left"/>
      </w:pPr>
      <w:r>
        <w:rPr>
          <w:b/>
          <w:sz w:val="26"/>
        </w:rPr>
        <w:t>Introduction</w:t>
      </w:r>
    </w:p>
    <w:p w14:paraId="4439F091">
      <w:pPr>
        <w:spacing w:after="120" w:line="600" w:lineRule="auto"/>
        <w:jc w:val="both"/>
      </w:pPr>
      <w:r>
        <w:rPr>
          <w:rFonts w:hint="eastAsia"/>
        </w:rPr>
        <w:t>In recent years, working well-being has attracted growing public attention.</w:t>
      </w:r>
      <w:r>
        <w:rPr>
          <w:rFonts w:hint="eastAsia" w:eastAsia="宋体"/>
          <w:lang w:val="en-US" w:eastAsia="zh-CN"/>
        </w:rPr>
        <w:t xml:space="preserve"> </w:t>
      </w:r>
      <w:r>
        <w:t xml:space="preserve">Havencares Insurance’s Cardiff call centre is experiencing high labour turnover, frequent absence linked to mental health and minor illnesses, and poor performance and long-term illness among some longer-serving employees. </w:t>
      </w:r>
      <w:r>
        <w:rPr>
          <w:rFonts w:hint="default"/>
          <w:lang w:val="en-US"/>
        </w:rPr>
        <w:t>B</w:t>
      </w:r>
      <w:r>
        <w:rPr>
          <w:rFonts w:hint="eastAsia" w:eastAsia="宋体"/>
          <w:lang w:val="en-US" w:eastAsia="zh-CN"/>
        </w:rPr>
        <w:t>ut</w:t>
      </w:r>
      <w:r>
        <w:rPr>
          <w:rFonts w:hint="default" w:eastAsia="宋体"/>
          <w:lang w:val="en-US" w:eastAsia="zh-CN"/>
        </w:rPr>
        <w:t xml:space="preserve"> t</w:t>
      </w:r>
      <w:r>
        <w:t>hese are not isolated HR problems. In a claims-handling call centre, employees work under constant time pressure, deal with emotionally charged customers and are often monitored through service-level targets, call duration and quality metrics. The site has 300 employees, mostly claims handlers, so absence or resignations quickly increase queue lengths, intensify workloads for colleagues and weaken customer service. The location in South Wales is also relevant: Cardiff is a large service market, giving dissatisfied employees alternative employment options, while Welsh policy places increasing emphasis on fair work, employability and skills development (Welsh Government, 2022; Welsh Government, 2026).</w:t>
      </w:r>
    </w:p>
    <w:p w14:paraId="0998CF50">
      <w:pPr>
        <w:spacing w:after="120" w:line="600" w:lineRule="auto"/>
        <w:jc w:val="both"/>
      </w:pPr>
      <w:r>
        <w:t>This essay argues that Havencares should implement an integrated well</w:t>
      </w:r>
      <w:r>
        <w:rPr>
          <w:rFonts w:hint="default"/>
          <w:lang w:val="en-US"/>
        </w:rPr>
        <w:t>-</w:t>
      </w:r>
      <w:r>
        <w:t>being strategy that treats well</w:t>
      </w:r>
      <w:r>
        <w:rPr>
          <w:rFonts w:hint="default"/>
          <w:lang w:val="en-US"/>
        </w:rPr>
        <w:t>-</w:t>
      </w:r>
      <w:r>
        <w:t>being as a feature of good work design, supportive leadership and employee development, rather than as a narrow set of benefits. The discussion uses PESTLE and SWOT to analyse the context, then critically examines the relationship between well</w:t>
      </w:r>
      <w:r>
        <w:rPr>
          <w:rFonts w:hint="default"/>
          <w:lang w:val="en-US"/>
        </w:rPr>
        <w:t>-</w:t>
      </w:r>
      <w:bookmarkStart w:id="0" w:name="_GoBack"/>
      <w:bookmarkEnd w:id="0"/>
      <w:r>
        <w:t>being and performance. It pays particular attention to employee development because development can improve competence, autonomy, career hope and resilience, all of which are important in a repetitive and emotionally demanding call-centre environment.</w:t>
      </w:r>
    </w:p>
    <w:p w14:paraId="461443DC">
      <w:pPr>
        <w:pStyle w:val="3"/>
        <w:jc w:val="left"/>
        <w:rPr>
          <w:rFonts w:hint="default" w:eastAsiaTheme="majorEastAsia"/>
          <w:lang w:val="en-US" w:eastAsia="zh-CN"/>
        </w:rPr>
      </w:pPr>
      <w:r>
        <w:rPr>
          <w:rFonts w:hint="default"/>
          <w:b/>
          <w:sz w:val="26"/>
          <w:lang w:val="en-US"/>
        </w:rPr>
        <w:t>Situation analysis</w:t>
      </w:r>
    </w:p>
    <w:p w14:paraId="61466E34">
      <w:pPr>
        <w:spacing w:after="120" w:line="600" w:lineRule="auto"/>
        <w:jc w:val="both"/>
      </w:pPr>
      <w:r>
        <w:t>A useful starting point is PESTLE analysis, which helps managers examine political, economic, social, technological, legal and environmental influences on HR strategy (Johnson et al., 2020). Politically and legally, Havencares operates in a UK and Welsh context where employers are expected to manage psychosocial risk, support mental health and treat mental and physical health as equally important. NICE (2022) recommends organisation-wide approaches to mental well</w:t>
      </w:r>
      <w:r>
        <w:rPr>
          <w:rFonts w:hint="default"/>
          <w:lang w:val="en-US"/>
        </w:rPr>
        <w:t>-</w:t>
      </w:r>
      <w:r>
        <w:t>being, including manager training, employee voice and supportive work environments. ISO 45003:2021 also frames psychological health and safety as a matter of occupational risk management rather than individual weakness (ISO, 2021). Economically, absence and turnover create direct costs through overtime, recruitment and training, and indirect costs through lower service quality and presenteeism. CIPD (2025) reports UK absence levels of 9.4 days per employee per year, with mental ill health a leading cause of long-term absence and minor illness a key short-term cause. HSE (2025) similarly shows that stress, depression and anxiety remain major causes of working days lost.</w:t>
      </w:r>
    </w:p>
    <w:p w14:paraId="76B7A77B">
      <w:pPr>
        <w:spacing w:after="120" w:line="600" w:lineRule="auto"/>
        <w:jc w:val="both"/>
        <w:rPr>
          <w:rFonts w:hint="default"/>
          <w:lang w:val="en-US"/>
        </w:rPr>
      </w:pPr>
      <w:r>
        <w:t>Social factors also matter. Post-pandemic expectations about flexibility, mental health openness and meaningful work have changed employee attitudes. ONS (2025) shows that minor illnesses were the most common reason for UK sickness absence in 2024, which is relevant to a shared call-centre environment where colds and flu can spread quickly. Technological factors are double-edged. Call routing systems, quality monitoring and digital claims platforms can improve efficiency, but excessive monitoring can reduce autonomy and intensify stress if employees feel treated as units of output. Legally, Havencares must manage sickness absence fairly, consider reasonable adjustments and avoid discriminatory responses to mental health or long-term illness (Acas, 2025). Environmentally, a sedentary, screen-based workplace requires attention to ergonomics, ventilation, lighting, noise and recovery breaks. PESTLE therefore shows that the Cardiff problem is not simply a motivation issue; it is shaped by regulation, labour-market conditions, employee expectations, technology and the physical work setting.</w:t>
      </w:r>
    </w:p>
    <w:p w14:paraId="579C10E3">
      <w:pPr>
        <w:spacing w:after="120" w:line="600" w:lineRule="auto"/>
        <w:jc w:val="both"/>
      </w:pPr>
      <w:r>
        <w:t>SWOT analysis complements PESTLE by assessing internal strengths and weaknesses alongside external opportunities and threats (Armstrong and Taylor, 2023). Havencares has strengths: HR has already succeeded at the Swansea site, the Cardiff workforce is large enough to generate reliable HR data but small enough for visible intervention, and insurance claims work provides meaningful customer purpose. However, weaknesses are substantial. High turnover suggests weak attachment to the organisation; high absence indicates strain and possible infection-control problems; poor performance among longer-serving employees may reflect skill stagnation, cynicism, health limitations or inadequate line management. There may also be too few team leaders to provide regular coaching to 300 staff. Opportunities include Welsh Government emphasis on skills and fair work, the possibility of hybrid working for experienced employees where data security allows, and the use of learning pathways to retain staff in a competitive Cardiff labour market. Threats include competitors recruiting trained claims handlers, rising mental-health-related absence, customer aggression, and the risk that senior managers prioritise short-term call volumes over sustainable performance.</w:t>
      </w:r>
    </w:p>
    <w:p w14:paraId="7AC814A2">
      <w:pPr>
        <w:spacing w:after="120" w:line="600" w:lineRule="auto"/>
        <w:jc w:val="both"/>
      </w:pPr>
      <w:r>
        <w:t>The Job Demands–Resources model provides the strongest theoretical explanation for these problems. JD-R theory argues that job demands such as workload, emotional labour and time pressure increase strain, while resources such as autonomy, feedback, support and development promote engagement (Bakker and de Vries, 2021; Bakker, Demerouti and Sanz-Vergel, 2023). In Cardiff, the same features that harm wellbeing can also harm performance. An emotionally exhausted claims handler is more likely to sound impatient, make data-entry errors, escalate calls unnecessarily or withdraw through absence. Research in service-centre environments supports this: emotional labour is associated with burnout and lower work engagement (Erasmus and Oosthuysen, 2025). A recent review of contact-centre health interventions also highlights the need for interventions that consider the distinctive conditions of contact-centre work, not generic well</w:t>
      </w:r>
      <w:r>
        <w:rPr>
          <w:rFonts w:hint="default"/>
          <w:lang w:val="en-US"/>
        </w:rPr>
        <w:t>-</w:t>
      </w:r>
      <w:r>
        <w:t>being activities alone (Bell et al., 2024).</w:t>
      </w:r>
    </w:p>
    <w:p w14:paraId="58400E7A">
      <w:pPr>
        <w:spacing w:after="120" w:line="600" w:lineRule="auto"/>
        <w:jc w:val="both"/>
      </w:pPr>
      <w:r>
        <w:t>The well</w:t>
      </w:r>
      <w:r>
        <w:rPr>
          <w:rFonts w:hint="default"/>
          <w:lang w:val="en-US"/>
        </w:rPr>
        <w:t>-</w:t>
      </w:r>
      <w:r>
        <w:t>being-performance link is persuasive but should be treated critically. De Neve, Kaats and Ward (2024) find a positive relationship between workplace wellbeing and firm performance, while Yang, Nawakitphaitoon and Huang (2024) show that psychological wellbeing is associated with job performance, partly through job satisfaction and trust in supervisors. Yet causality is not automatic. If Havencares simply offers mindfulness apps while maintaining unrealistic call targets, employees may experience well</w:t>
      </w:r>
      <w:r>
        <w:rPr>
          <w:rFonts w:hint="default"/>
          <w:lang w:val="en-US"/>
        </w:rPr>
        <w:t>-</w:t>
      </w:r>
      <w:r>
        <w:t>being as a management slogan. Fleming’s (2024) UK study found limited evidence that individual-level mental-health interventions alone improve employee well</w:t>
      </w:r>
      <w:r>
        <w:rPr>
          <w:rFonts w:hint="default"/>
          <w:lang w:val="en-US"/>
        </w:rPr>
        <w:t>-</w:t>
      </w:r>
      <w:r>
        <w:t>being. Therefore, well</w:t>
      </w:r>
      <w:r>
        <w:rPr>
          <w:rFonts w:hint="default"/>
          <w:lang w:val="en-US"/>
        </w:rPr>
        <w:t>-</w:t>
      </w:r>
      <w:r>
        <w:t>being must be connected to work design and leadership. The aim should be sustainable performance: better claims accuracy, first-call resolution and customer empathy without pushing employees into burnout.</w:t>
      </w:r>
    </w:p>
    <w:p w14:paraId="461608A2">
      <w:pPr>
        <w:spacing w:after="120" w:line="600" w:lineRule="auto"/>
        <w:jc w:val="both"/>
      </w:pPr>
      <w:r>
        <w:t>The first element of the strategy should be diagnosis and governance. HR should create a Cardiff well</w:t>
      </w:r>
      <w:r>
        <w:rPr>
          <w:rFonts w:hint="default"/>
          <w:lang w:val="en-US"/>
        </w:rPr>
        <w:t>-</w:t>
      </w:r>
      <w:r>
        <w:t>being steering group including senior managers, team leaders, employee representatives and occupational-health input. The group should analyse turnover reasons, exit interviews, absence patterns, long-term sickness cases, call-quality data, customer complaints and employee survey results. A confidential well</w:t>
      </w:r>
      <w:r>
        <w:rPr>
          <w:rFonts w:hint="default"/>
          <w:lang w:val="en-US"/>
        </w:rPr>
        <w:t>-</w:t>
      </w:r>
      <w:r>
        <w:t>being survey should be mapped against the HSE Management Standards: demands, control, support, relationships, role and change (HSE, 2025). This avoids assuming that all absence is caused by the same issue. New starters may leave because induction and career expectations are poor; longer-serving employees may struggle with fatigue, system changes or chronic health conditions. Measures should include voluntary turnover, short-term absence, long-term absence, engagement, call quality, complaint rates and successful return-to-work outcomes.</w:t>
      </w:r>
    </w:p>
    <w:p w14:paraId="6BF50E94">
      <w:pPr>
        <w:spacing w:after="120" w:line="600" w:lineRule="auto"/>
        <w:jc w:val="both"/>
      </w:pPr>
      <w:r>
        <w:t>The second element should be preventive work redesign. Havencares should review whether performance metrics over-emphasise speed at the expense of accuracy and empathy. Claims handling often involves distressed customers, so employees need clear escalation routes, recovery time after abusive calls and team debriefs after difficult incidents. Breaks should be predictable, workloads should be monitored during peak claim periods, and employees should have some influence over schedules where possible. Team leaders should hold monthly one-to-one wellbeing and performance conversations that discuss workload, confidence, health and development, not only call statistics. This fits JD-R theory because it reduces excessive demands while increasing support and control.</w:t>
      </w:r>
    </w:p>
    <w:p w14:paraId="4D90CD42">
      <w:pPr>
        <w:spacing w:after="120" w:line="600" w:lineRule="auto"/>
        <w:jc w:val="both"/>
      </w:pPr>
      <w:r>
        <w:t>The third element should address mental health, physical health and infection-related absence. Havencares should provide access to an Employee Assistance Programme, occupational-health referral, mental-health first aiders and clear signposting to NHS and community support in South Wales. However, these services should not replace prevention. For colds and flu, the call centre should improve ventilation, cleaning of shared desks and headsets, hand hygiene and flu vaccination signposting. Employees should be encouraged not to attend while infectious, because presenteeism can spread illness and reduce productivity. For long-term illness, Havencares should use early supportive contact, occupational-health advice, reasonable adjustments, phased returns and flexible working where appropriate. Acas (2025) stresses the importance of fair and consistent absence policies that also consider individual circumstances.</w:t>
      </w:r>
    </w:p>
    <w:p w14:paraId="10373A2B">
      <w:pPr>
        <w:spacing w:after="120" w:line="600" w:lineRule="auto"/>
        <w:jc w:val="both"/>
      </w:pPr>
      <w:r>
        <w:t>Employee development should be the central pillar of the strategy. Self-determination theory suggests that people function better when work supports competence, autonomy and relatedness (Gagné et al., 2022; McAnally, Hagger and Chatzisarantis, 2024). In Cardiff, development can improve well</w:t>
      </w:r>
      <w:r>
        <w:rPr>
          <w:rFonts w:hint="default"/>
          <w:lang w:val="en-US"/>
        </w:rPr>
        <w:t>-</w:t>
      </w:r>
      <w:r>
        <w:t>being by helping claims handlers feel capable, valued and able to progress. Practical actions should include a strengthened induction programme, technical claims training, coaching in difficult conversations, digital system refresher sessions, and emotional-regulation skills for handling angry or distressed customers. Development should also create visible pathways from claims handler to senior handler, quality coach, complaints specialist or team leader. Fitzhugh and Daniels’ (2025) review for Government Skills suggests that learning and development can support engagement, well</w:t>
      </w:r>
      <w:r>
        <w:rPr>
          <w:rFonts w:hint="default"/>
          <w:lang w:val="en-US"/>
        </w:rPr>
        <w:t>-</w:t>
      </w:r>
      <w:r>
        <w:t>being, attraction and retention when it is relevant and embedded in organisational practice.</w:t>
      </w:r>
    </w:p>
    <w:p w14:paraId="11F3247E">
      <w:pPr>
        <w:spacing w:after="120" w:line="600" w:lineRule="auto"/>
        <w:jc w:val="both"/>
      </w:pPr>
      <w:r>
        <w:t>Development is especially important for poor performance among longer-serving employees. Poor performance may reflect conduct, but it may also reflect outdated skills, low confidence, health restrictions, burnout or boredom. A punitive approach could increase stress and absence. Instead, Havencares should use supportive capability conversations to diagnose the cause. Longer-serving employees could be offered refresher training, mentoring roles, job rotation into quality assurance, or involvement in improving scripts and claims processes. This recognises experience while reducing stagnation. It also supports knowledge retention, because experienced employees often hold valuable practical knowledge about complex claims and customer situations.</w:t>
      </w:r>
    </w:p>
    <w:p w14:paraId="31764164">
      <w:pPr>
        <w:spacing w:after="120" w:line="600" w:lineRule="auto"/>
        <w:jc w:val="both"/>
      </w:pPr>
      <w:r>
        <w:t>Leadership capability will determine whether the strategy works. Team leaders are the daily face of Havencares for most employees. Research on high-performance work practices shows that HR practices may improve engagement, but their effects depend on leadership behaviour and whether employees experience them as supportive rather than controlling (Hauff et al., 2022; Salin et al., 2023). Hassard et al. (2024) found that line-manager mental-health training is associated with positive organisational outcomes, including retention, customer service and lower long-term mental-health sickness absence. Havencares should therefore train team leaders in health-oriented leadership, inclusive communication, return-to-work conversations, coaching and fair workload allocation. Their performance objectives should include team absence trends, retention, quality scores and employee feedback, not only call volume.</w:t>
      </w:r>
    </w:p>
    <w:p w14:paraId="53595B86">
      <w:pPr>
        <w:spacing w:after="120" w:line="600" w:lineRule="auto"/>
        <w:jc w:val="both"/>
      </w:pPr>
      <w:r>
        <w:t>There are limitations and costs. Training time may temporarily reduce staffing capacity, occupational-health support has financial costs, and redesigning targets may initially appear to reduce productivity. However, the alternative is continuing the hidden costs of turnover, sickness, presenteeism, errors and customer complaints. IPPR argues that poor workforce health imposes large costs on businesses through both absence and reduced productivity while people work unwell (O’Halloran and Thomas, 2024). Havencares should therefore treat well</w:t>
      </w:r>
      <w:r>
        <w:rPr>
          <w:rFonts w:hint="default"/>
          <w:lang w:val="en-US"/>
        </w:rPr>
        <w:t>-</w:t>
      </w:r>
      <w:r>
        <w:t>being as an investment and evaluate it through a balanced scorecard. At the same time, HR must avoid using well</w:t>
      </w:r>
      <w:r>
        <w:rPr>
          <w:rFonts w:hint="default"/>
          <w:lang w:val="en-US"/>
        </w:rPr>
        <w:t>-</w:t>
      </w:r>
      <w:r>
        <w:t>being as a disguised attendance-control mechanism. Some absence will be legitimate and unavoidable; ethical management requires support, adjustment and dignity as well as operational discipline.</w:t>
      </w:r>
    </w:p>
    <w:p w14:paraId="4C2836F9">
      <w:pPr>
        <w:pStyle w:val="3"/>
        <w:jc w:val="left"/>
      </w:pPr>
      <w:r>
        <w:rPr>
          <w:b/>
          <w:sz w:val="26"/>
        </w:rPr>
        <w:t>Conclusion</w:t>
      </w:r>
    </w:p>
    <w:p w14:paraId="326F6949">
      <w:pPr>
        <w:spacing w:after="120" w:line="600" w:lineRule="auto"/>
        <w:jc w:val="both"/>
      </w:pPr>
      <w:r>
        <w:t>A well</w:t>
      </w:r>
      <w:r>
        <w:rPr>
          <w:rFonts w:hint="default"/>
          <w:lang w:val="en-US"/>
        </w:rPr>
        <w:t>-</w:t>
      </w:r>
      <w:r>
        <w:t>being strategy can help Havencares Insurance’s Cardiff call centre address high turnover, high absence and poor performance if it is designed around the realities of call-centre work in South Wales. PESTLE shows that the Cardiff site is affected by regulatory expectations, local labour-market competition, changing employee attitudes, technological monitoring, sickness trends and the physical environment. SWOT shows that Havencares has useful strengths, including previous Swansea experience and rich operational data, but also weaknesses in retention, absence, long-serving employee motivation and line-management capacity. The evidence suggests that well</w:t>
      </w:r>
      <w:r>
        <w:rPr>
          <w:rFonts w:hint="default"/>
          <w:lang w:val="en-US"/>
        </w:rPr>
        <w:t>-</w:t>
      </w:r>
      <w:r>
        <w:t>being and performance are linked, but the relationship is not automatic. Sustainable performance is most likely when the organisation reduces harmful job demands and increases resources such as autonomy, support, fair management and development.</w:t>
      </w:r>
    </w:p>
    <w:p w14:paraId="782EA0F5">
      <w:pPr>
        <w:spacing w:after="120" w:line="600" w:lineRule="auto"/>
        <w:jc w:val="both"/>
      </w:pPr>
      <w:r>
        <w:t>The recommended strategy should therefore combine diagnosis, work redesign, mental and physical health support, infection prevention, fair absence management, leadership development and clear career pathways. Employee development is particularly important because it strengthens competence, autonomy, motivation and career hope, while also improving the quality and consistency of claims handling. If implemented seriously, the strategy can reduce avoidable turnover and absence, support longer-serving employees back into effective contribution, and improve customer service. If implemented superficially, however, it risks becoming well</w:t>
      </w:r>
      <w:r>
        <w:rPr>
          <w:rFonts w:hint="default"/>
          <w:lang w:val="en-US"/>
        </w:rPr>
        <w:t>-</w:t>
      </w:r>
      <w:r>
        <w:t>being rhetoric. Havencares should therefore make well</w:t>
      </w:r>
      <w:r>
        <w:rPr>
          <w:rFonts w:hint="default"/>
          <w:lang w:val="en-US"/>
        </w:rPr>
        <w:t>-</w:t>
      </w:r>
      <w:r>
        <w:t>being part of how work is organised, led and developed every day.</w:t>
      </w:r>
    </w:p>
    <w:p w14:paraId="3F01D4A6">
      <w:pPr>
        <w:pStyle w:val="3"/>
      </w:pPr>
      <w:r>
        <w:rPr>
          <w:b/>
          <w:sz w:val="26"/>
        </w:rPr>
        <w:t>References</w:t>
      </w:r>
    </w:p>
    <w:p w14:paraId="76BAD7C7">
      <w:pPr>
        <w:spacing w:after="120" w:line="600" w:lineRule="auto"/>
        <w:ind w:left="360" w:hanging="360"/>
      </w:pPr>
      <w:r>
        <w:t>Acas (2025) Reducing sickness absence. Available at: https://www.acas.org.uk/recording-and-reducing-sickness-absence/reducing-sickness-absence (Accessed: 30 April 2026).</w:t>
      </w:r>
    </w:p>
    <w:p w14:paraId="0E3BBA23">
      <w:pPr>
        <w:spacing w:after="120" w:line="600" w:lineRule="auto"/>
        <w:ind w:left="360" w:hanging="360"/>
      </w:pPr>
      <w:r>
        <w:t>Armstrong, M. and Taylor, S. (2023) Armstrong’s Handbook of Human Resource Management Practice. 16th edn. London: Kogan Page.</w:t>
      </w:r>
    </w:p>
    <w:p w14:paraId="1AB7660E">
      <w:pPr>
        <w:spacing w:after="120" w:line="600" w:lineRule="auto"/>
        <w:ind w:left="360" w:hanging="360"/>
      </w:pPr>
      <w:r>
        <w:t>Bakker, A.B. and de Vries, J.D. (2021) ‘Job Demands–Resources theory and self-regulation: new explanations and remedies for job burnout’, Anxiety, Stress, &amp; Coping, 34(1), pp. 1–21. doi: 10.1080/10615806.2020.1797695.</w:t>
      </w:r>
    </w:p>
    <w:p w14:paraId="50BE5E75">
      <w:pPr>
        <w:spacing w:after="120" w:line="600" w:lineRule="auto"/>
        <w:ind w:left="360" w:hanging="360"/>
      </w:pPr>
      <w:r>
        <w:t>Bakker, A.B., Demerouti, E. and Sanz-Vergel, A.I. (2023) ‘Job Demands–Resources Theory: Ten Years Later’, Annual Review of Organizational Psychology and Organizational Behavior, 10, pp. 25–53. doi: 10.1146/annurev-orgpsych-120920-053933.</w:t>
      </w:r>
    </w:p>
    <w:p w14:paraId="0858DB19">
      <w:pPr>
        <w:spacing w:after="120" w:line="600" w:lineRule="auto"/>
        <w:ind w:left="360" w:hanging="360"/>
      </w:pPr>
      <w:r>
        <w:t>Bell, Z., Porcellato, L., Holland, P., Morris, A., Smith, C., Haines, C. and Graves, L. (2024) ‘A systematic scoping review of health-promoting interventions for contact centre employees examined through a behaviour change wheel lens’, PLOS ONE, 19(3), e0298150. doi: 10.1371/journal.pone.0298150.</w:t>
      </w:r>
    </w:p>
    <w:p w14:paraId="706C9E99">
      <w:pPr>
        <w:spacing w:after="120" w:line="600" w:lineRule="auto"/>
        <w:ind w:left="360" w:hanging="360"/>
      </w:pPr>
      <w:r>
        <w:t>Bloom, N., Han, R. and Liang, J. (2024) ‘Hybrid working from home improves retention without damaging performance’, Nature, 630, pp. 920–925. doi: 10.1038/s41586-024-07500-2.</w:t>
      </w:r>
    </w:p>
    <w:p w14:paraId="3336A812">
      <w:pPr>
        <w:spacing w:after="120" w:line="600" w:lineRule="auto"/>
        <w:ind w:left="360" w:hanging="360"/>
      </w:pPr>
      <w:r>
        <w:t>CIPD (2024) Good Work Index 2024. London: Chartered Institute of Personnel and Development. Available at: https://www.cipd.org/uk/knowledge/reports/good-work-index/ (Accessed: 30 April 2026).</w:t>
      </w:r>
    </w:p>
    <w:p w14:paraId="1ED302A1">
      <w:pPr>
        <w:spacing w:after="120" w:line="600" w:lineRule="auto"/>
        <w:ind w:left="360" w:hanging="360"/>
      </w:pPr>
      <w:r>
        <w:t>CIPD (2025) Health and wellbeing at work 2025. London: Chartered Institute of Personnel and Development. Available at: https://www.cipd.org/uk/knowledge/reports/health-well-being-work/ (Accessed: 30 April 2026).</w:t>
      </w:r>
    </w:p>
    <w:p w14:paraId="1544C634">
      <w:pPr>
        <w:spacing w:after="120" w:line="600" w:lineRule="auto"/>
        <w:ind w:left="360" w:hanging="360"/>
      </w:pPr>
      <w:r>
        <w:t>De Neve, J-E., Kaats, M. and Ward, G. (2024) Workplace Wellbeing and Firm Performance. Oxford: University of Oxford Wellbeing Research Centre. Available at: https://wellbeing.hmc.ox.ac.uk/publications/workplace-wellbeing-and-firm-performance/ (Accessed: 30 April 2026).</w:t>
      </w:r>
    </w:p>
    <w:p w14:paraId="0B15A140">
      <w:pPr>
        <w:spacing w:after="120" w:line="600" w:lineRule="auto"/>
        <w:ind w:left="360" w:hanging="360"/>
      </w:pPr>
      <w:r>
        <w:t>Erasmus, A. and Oosthuysen, E. (2025) ‘Emotional labour, burnout and work engagement amongst service centre employees in South Africa’, SA Journal of Human Resource Management, 23, a2771. doi: 10.4102/sajhrm.v23i0.2771.</w:t>
      </w:r>
    </w:p>
    <w:p w14:paraId="67390B77">
      <w:pPr>
        <w:spacing w:after="120" w:line="600" w:lineRule="auto"/>
        <w:ind w:left="360" w:hanging="360"/>
      </w:pPr>
      <w:r>
        <w:t>Fitzhugh, H. and Daniels, K. (2025) A rapid review of reviews on the nature of the relationship between learning and development and employee engagement, wellbeing, attraction and retention. London: Government Skills. Available at: https://www.gov.uk/government/publications/learning-and-development-employee-engagement-and-wellbeing (Accessed: 30 April 2026).</w:t>
      </w:r>
    </w:p>
    <w:p w14:paraId="7D3D4C39">
      <w:pPr>
        <w:spacing w:after="120" w:line="600" w:lineRule="auto"/>
        <w:ind w:left="360" w:hanging="360"/>
      </w:pPr>
      <w:r>
        <w:t>Fleming, W.J. (2024) ‘Employee well-being outcomes from individual-level mental health interventions: cross-sectional evidence from the United Kingdom’, Industrial Relations Journal, 55(2), pp. 162–182. doi: 10.1111/irj.12418.</w:t>
      </w:r>
    </w:p>
    <w:p w14:paraId="6346CB79">
      <w:pPr>
        <w:spacing w:after="120" w:line="600" w:lineRule="auto"/>
        <w:ind w:left="360" w:hanging="360"/>
      </w:pPr>
      <w:r>
        <w:t>Gagné, M., Parker, S.K., Griffin, M.A., Dunlop, P.D., Knight, C., Klonek, F.E. and Parent-Rocheleau, X. (2022) ‘Understanding and shaping the future of work with self-determination theory’, Nature Reviews Psychology, 1, pp. 378–392. doi: 10.1038/s44159-022-00056-w.</w:t>
      </w:r>
    </w:p>
    <w:p w14:paraId="2916DB3C">
      <w:pPr>
        <w:spacing w:after="120" w:line="600" w:lineRule="auto"/>
        <w:ind w:left="360" w:hanging="360"/>
      </w:pPr>
      <w:r>
        <w:t>Hassard, J., Hesketh, I., Daniels, K., Teoh, K., Giga, S., Cox, T. and Dewe, P. (2024) ‘The relationship between line manager training in mental health and organisational outcomes’, PLOS ONE, 19(7), e0306065. doi: 10.1371/journal.pone.0306065.</w:t>
      </w:r>
    </w:p>
    <w:p w14:paraId="24933EA8">
      <w:pPr>
        <w:spacing w:after="120" w:line="600" w:lineRule="auto"/>
        <w:ind w:left="360" w:hanging="360"/>
      </w:pPr>
      <w:r>
        <w:t>Hauff, S., Krick, A., Klebe, L. and Felfe, J. (2022) ‘High-performance work practices and employee wellbeing—does health-oriented leadership make a difference?’, Frontiers in Psychology, 13, 833028. doi: 10.3389/fpsyg.2022.833028.</w:t>
      </w:r>
    </w:p>
    <w:p w14:paraId="56A4095D">
      <w:pPr>
        <w:spacing w:after="120" w:line="600" w:lineRule="auto"/>
        <w:ind w:left="360" w:hanging="360"/>
      </w:pPr>
      <w:r>
        <w:t>Health and Safety Executive (HSE) (2025) Working days lost in Great Britain. Available at: https://www.hse.gov.uk/statistics/dayslost.htm (Accessed: 30 April 2026).</w:t>
      </w:r>
    </w:p>
    <w:p w14:paraId="26D4F935">
      <w:pPr>
        <w:spacing w:after="120" w:line="600" w:lineRule="auto"/>
        <w:ind w:left="360" w:hanging="360"/>
      </w:pPr>
      <w:r>
        <w:t>Health and Safety Executive (HSE) (2025) Management Standards. Available at: https://www.hse.gov.uk/stress/standards/ (Accessed: 30 April 2026).</w:t>
      </w:r>
    </w:p>
    <w:p w14:paraId="4A5B7512">
      <w:pPr>
        <w:spacing w:after="120" w:line="600" w:lineRule="auto"/>
        <w:ind w:left="360" w:hanging="360"/>
      </w:pPr>
      <w:r>
        <w:t>International Organization for Standardization (ISO) (2021) ISO 45003:2021 Psychological health and safety at work — Guidelines for managing psychosocial risks. Geneva: ISO.</w:t>
      </w:r>
    </w:p>
    <w:p w14:paraId="53D6E0F7">
      <w:pPr>
        <w:spacing w:after="120" w:line="600" w:lineRule="auto"/>
        <w:ind w:left="360" w:hanging="360"/>
      </w:pPr>
      <w:r>
        <w:t>Jarden, R.J., Siegert, R.J., Koziol-McLain, J., Bujalka, H. and Sandham, M.H. (2023) ‘Wellbeing measures for workers: a systematic review and methodological quality appraisal’, Frontiers in Public Health, 11, 1053179. doi: 10.3389/fpubh.2023.1053179.</w:t>
      </w:r>
    </w:p>
    <w:p w14:paraId="4967B69C">
      <w:pPr>
        <w:spacing w:after="120" w:line="600" w:lineRule="auto"/>
        <w:ind w:left="360" w:hanging="360"/>
      </w:pPr>
      <w:r>
        <w:t>Johnson, G., Whittington, R., Regnér, P., Scholes, K. and Angwin, D. (2020) Exploring Strategy. 12th edn. Harlow: Pearson.</w:t>
      </w:r>
    </w:p>
    <w:p w14:paraId="3D6FEC1E">
      <w:pPr>
        <w:spacing w:after="120" w:line="600" w:lineRule="auto"/>
        <w:ind w:left="360" w:hanging="360"/>
      </w:pPr>
      <w:r>
        <w:t>McAnally, K., Hagger, M.S. and Chatzisarantis, N.L.D. (2024) ‘Self-determination theory and workplace outcomes: a conceptual review and future research directions’, Behavioral Sciences, 14(6), 428. doi: 10.3390/bs14060428.</w:t>
      </w:r>
    </w:p>
    <w:p w14:paraId="6FD949F0">
      <w:pPr>
        <w:spacing w:after="120" w:line="600" w:lineRule="auto"/>
        <w:ind w:left="360" w:hanging="360"/>
      </w:pPr>
      <w:r>
        <w:t>National Institute for Health and Care Excellence (NICE) (2022) Mental wellbeing at work. NICE guideline NG212. Available at: https://www.nice.org.uk/guidance/ng212 (Accessed: 30 April 2026).</w:t>
      </w:r>
    </w:p>
    <w:p w14:paraId="69A2B72C">
      <w:pPr>
        <w:spacing w:after="120" w:line="600" w:lineRule="auto"/>
        <w:ind w:left="360" w:hanging="360"/>
      </w:pPr>
      <w:r>
        <w:t>Office for National Statistics (ONS) (2025) Sickness absence in the UK labour market: 2023 and 2024. Available at: https://www.ons.gov.uk/employmentandlabourmarket/peopleinwork/labourproductivity/articles/sicknessabsenceinthelabourmarket/2023and2024 (Accessed: 30 April 2026).</w:t>
      </w:r>
    </w:p>
    <w:p w14:paraId="7133BA0C">
      <w:pPr>
        <w:spacing w:after="120" w:line="600" w:lineRule="auto"/>
        <w:ind w:left="360" w:hanging="360"/>
      </w:pPr>
      <w:r>
        <w:t>O’Halloran, J. and Thomas, C. (2024) Healthy industry, prosperous economy. London: Institute for Public Policy Research. Available at: https://www.ippr.org/articles/healthy-industry-prosperous-economy (Accessed: 30 April 2026).</w:t>
      </w:r>
    </w:p>
    <w:p w14:paraId="69C70340">
      <w:pPr>
        <w:spacing w:after="120" w:line="600" w:lineRule="auto"/>
        <w:ind w:left="360" w:hanging="360"/>
      </w:pPr>
      <w:r>
        <w:t>Salin, D., Ylöstalo, H., Hakala, J. and Karkkola, P. (2023) ‘High-performance work practices and employee wellbeing: organizational identification as a mediator’, Frontiers in Psychology, 14, 1175344. doi: 10.3389/fpsyg.2023.1175344.</w:t>
      </w:r>
    </w:p>
    <w:p w14:paraId="491329CC">
      <w:pPr>
        <w:spacing w:after="120" w:line="600" w:lineRule="auto"/>
        <w:ind w:left="360" w:hanging="360"/>
      </w:pPr>
      <w:r>
        <w:t>Welsh Government (2022) Stronger, fairer, greener Wales: a plan for employability and skills. Available at: https://www.gov.wales/stronger-fairer-greener-wales-plan-employability-and-skills (Accessed: 30 April 2026).</w:t>
      </w:r>
    </w:p>
    <w:p w14:paraId="66DDFF42">
      <w:pPr>
        <w:spacing w:after="120" w:line="600" w:lineRule="auto"/>
        <w:ind w:left="360" w:hanging="360"/>
      </w:pPr>
      <w:r>
        <w:t>Welsh Government (2026) Labour market statistics (Annual Population Survey): 2025. Available at: https://www.gov.wales/labour-market-statistics-annual-population-survey-2025-html (Accessed: 30 April 2026).</w:t>
      </w:r>
    </w:p>
    <w:p w14:paraId="41075256">
      <w:pPr>
        <w:spacing w:after="120" w:line="600" w:lineRule="auto"/>
        <w:ind w:left="360" w:hanging="360"/>
      </w:pPr>
      <w:r>
        <w:t>World Health Organization (WHO) (2024) Mental health at work. Available at: https://www.who.int/news-room/fact-sheets/detail/mental-health-at-work (Accessed: 30 April 2026).</w:t>
      </w:r>
    </w:p>
    <w:p w14:paraId="1D3954C2">
      <w:pPr>
        <w:spacing w:after="120" w:line="600" w:lineRule="auto"/>
        <w:ind w:left="360" w:hanging="360"/>
      </w:pPr>
      <w:r>
        <w:t>Yang, Y., Nawakitphaitoon, K. and Huang, W. (2024) ‘Enhancing job performance: the critical roles of well-being, satisfaction, and trust in supervisor’, Behavioral Sciences, 14(8), 688. doi: 10.3390/bs14080688.</w:t>
      </w:r>
    </w:p>
    <w:sectPr>
      <w:footerReference r:id="rId5"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auto"/>
    <w:pitch w:val="default"/>
    <w:sig w:usb0="00000000" w:usb1="00000000" w:usb2="00000000" w:usb3="00000000" w:csb0="0000019F" w:csb1="00000000"/>
  </w:font>
  <w:font w:name="ＭＳ 明朝">
    <w:altName w:val="Hiragino Sans"/>
    <w:panose1 w:val="00000000000000000000"/>
    <w:charset w:val="80"/>
    <w:family w:val="roman"/>
    <w:pitch w:val="default"/>
    <w:sig w:usb0="00000000" w:usb1="00000000" w:usb2="00000010" w:usb3="00000000" w:csb0="00020000" w:csb1="00000000"/>
  </w:font>
  <w:font w:name="ＭＳ 明朝">
    <w:altName w:val="Hiragino Sans"/>
    <w:panose1 w:val="00000000000000000000"/>
    <w:charset w:val="86"/>
    <w:family w:val="auto"/>
    <w:pitch w:val="default"/>
    <w:sig w:usb0="00000000" w:usb1="00000000" w:usb2="00000000" w:usb3="00000000" w:csb0="00000000" w:csb1="00000000"/>
  </w:font>
  <w:font w:name="ＭＳ ゴシック">
    <w:altName w:val="Hiragino Sans"/>
    <w:panose1 w:val="00000000000000000000"/>
    <w:charset w:val="80"/>
    <w:family w:val="modern"/>
    <w:pitch w:val="default"/>
    <w:sig w:usb0="00000000" w:usb1="00000000" w:usb2="00000010" w:usb3="00000000" w:csb0="00020000" w:csb1="00000000"/>
  </w:font>
  <w:font w:name="Courier">
    <w:altName w:val="苹方-简"/>
    <w:panose1 w:val="02000500000000000000"/>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ＭＳ ゴシック">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B4D52C6">
    <w:pPr>
      <w:pStyle w:val="24"/>
      <w:jc w:val="center"/>
    </w:pPr>
  </w:p>
  <w:p w14:paraId="206914BB">
    <w:pPr>
      <w:pStyle w:val="24"/>
      <w:jc w:val="center"/>
    </w:pPr>
    <w:r>
      <w:rPr>
        <w:sz w:val="24"/>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AEA1DE0">
                          <w:pPr>
                            <w:pStyle w:val="2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1AEA1DE0">
                    <w:pPr>
                      <w:pStyle w:val="2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57B65CB4"/>
    <w:rsid w:val="5FF5F345"/>
    <w:rsid w:val="7DFFDDB0"/>
    <w:rsid w:val="FFD558CD"/>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imes New Roman" w:cstheme="minorBidi"/>
      <w:sz w:val="24"/>
      <w:szCs w:val="22"/>
      <w:lang w:val="en-US" w:eastAsia="en-US" w:bidi="ar-SA"/>
    </w:rPr>
  </w:style>
  <w:style w:type="paragraph" w:styleId="3">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5">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uiPriority w:val="1"/>
  </w:style>
  <w:style w:type="table" w:default="1" w:styleId="32">
    <w:name w:val="Normal Table"/>
    <w:semiHidden/>
    <w:unhideWhenUsed/>
    <w:uiPriority w:val="99"/>
    <w:tblPr>
      <w:tblCellMar>
        <w:top w:w="0" w:type="dxa"/>
        <w:left w:w="108" w:type="dxa"/>
        <w:bottom w:w="0" w:type="dxa"/>
        <w:right w:w="108" w:type="dxa"/>
      </w:tblCellMar>
    </w:tblPr>
  </w:style>
  <w:style w:type="paragraph" w:styleId="2">
    <w:name w:val="macro"/>
    <w:link w:val="147"/>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uiPriority w:val="99"/>
    <w:pPr>
      <w:ind w:left="1080" w:hanging="360"/>
      <w:contextualSpacing/>
    </w:pPr>
  </w:style>
  <w:style w:type="paragraph" w:styleId="13">
    <w:name w:val="List Number 2"/>
    <w:basedOn w:val="1"/>
    <w:unhideWhenUsed/>
    <w:uiPriority w:val="99"/>
    <w:pPr>
      <w:numPr>
        <w:ilvl w:val="0"/>
        <w:numId w:val="1"/>
      </w:numPr>
      <w:contextualSpacing/>
    </w:pPr>
  </w:style>
  <w:style w:type="paragraph" w:styleId="14">
    <w:name w:val="List Number"/>
    <w:basedOn w:val="1"/>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uiPriority w:val="99"/>
    <w:pPr>
      <w:numPr>
        <w:ilvl w:val="0"/>
        <w:numId w:val="3"/>
      </w:numPr>
      <w:contextualSpacing/>
    </w:pPr>
  </w:style>
  <w:style w:type="paragraph" w:styleId="17">
    <w:name w:val="Body Text 3"/>
    <w:basedOn w:val="1"/>
    <w:link w:val="146"/>
    <w:unhideWhenUsed/>
    <w:uiPriority w:val="99"/>
    <w:pPr>
      <w:spacing w:after="120"/>
    </w:pPr>
    <w:rPr>
      <w:sz w:val="16"/>
      <w:szCs w:val="16"/>
    </w:rPr>
  </w:style>
  <w:style w:type="paragraph" w:styleId="18">
    <w:name w:val="List Bullet 3"/>
    <w:basedOn w:val="1"/>
    <w:unhideWhenUsed/>
    <w:uiPriority w:val="99"/>
    <w:pPr>
      <w:numPr>
        <w:ilvl w:val="0"/>
        <w:numId w:val="4"/>
      </w:numPr>
      <w:contextualSpacing/>
    </w:pPr>
  </w:style>
  <w:style w:type="paragraph" w:styleId="19">
    <w:name w:val="Body Text"/>
    <w:basedOn w:val="1"/>
    <w:link w:val="144"/>
    <w:unhideWhenUsed/>
    <w:uiPriority w:val="99"/>
    <w:pPr>
      <w:spacing w:after="120"/>
    </w:pPr>
  </w:style>
  <w:style w:type="paragraph" w:styleId="20">
    <w:name w:val="List Number 3"/>
    <w:basedOn w:val="1"/>
    <w:unhideWhenUsed/>
    <w:uiPriority w:val="99"/>
    <w:pPr>
      <w:numPr>
        <w:ilvl w:val="0"/>
        <w:numId w:val="5"/>
      </w:numPr>
      <w:contextualSpacing/>
    </w:pPr>
  </w:style>
  <w:style w:type="paragraph" w:styleId="21">
    <w:name w:val="List 2"/>
    <w:basedOn w:val="1"/>
    <w:unhideWhenUsed/>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6"/>
      </w:numPr>
      <w:contextualSpacing/>
    </w:pPr>
  </w:style>
  <w:style w:type="paragraph" w:styleId="24">
    <w:name w:val="footer"/>
    <w:basedOn w:val="1"/>
    <w:link w:val="136"/>
    <w:unhideWhenUsed/>
    <w:uiPriority w:val="99"/>
    <w:pPr>
      <w:tabs>
        <w:tab w:val="center" w:pos="4680"/>
        <w:tab w:val="right" w:pos="9360"/>
      </w:tabs>
      <w:spacing w:after="0" w:line="240" w:lineRule="auto"/>
    </w:pPr>
  </w:style>
  <w:style w:type="paragraph" w:styleId="25">
    <w:name w:val="header"/>
    <w:basedOn w:val="1"/>
    <w:link w:val="135"/>
    <w:unhideWhenUsed/>
    <w:uiPriority w:val="99"/>
    <w:pPr>
      <w:tabs>
        <w:tab w:val="center" w:pos="4680"/>
        <w:tab w:val="right" w:pos="9360"/>
      </w:tabs>
      <w:spacing w:after="0" w:line="240" w:lineRule="auto"/>
    </w:pPr>
  </w:style>
  <w:style w:type="paragraph" w:styleId="26">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unhideWhenUsed/>
    <w:uiPriority w:val="99"/>
    <w:pPr>
      <w:ind w:left="360" w:hanging="360"/>
      <w:contextualSpacing/>
    </w:pPr>
  </w:style>
  <w:style w:type="paragraph" w:styleId="28">
    <w:name w:val="Body Text 2"/>
    <w:basedOn w:val="1"/>
    <w:link w:val="145"/>
    <w:unhideWhenUsed/>
    <w:uiPriority w:val="99"/>
    <w:pPr>
      <w:spacing w:after="120" w:line="480" w:lineRule="auto"/>
    </w:pPr>
  </w:style>
  <w:style w:type="paragraph" w:styleId="29">
    <w:name w:val="List Continue 2"/>
    <w:basedOn w:val="1"/>
    <w:unhideWhenUsed/>
    <w:uiPriority w:val="99"/>
    <w:pPr>
      <w:spacing w:after="120"/>
      <w:ind w:left="720"/>
      <w:contextualSpacing/>
    </w:pPr>
  </w:style>
  <w:style w:type="paragraph" w:styleId="30">
    <w:name w:val="List Continue 3"/>
    <w:basedOn w:val="1"/>
    <w:unhideWhenUsed/>
    <w:uiPriority w:val="99"/>
    <w:pPr>
      <w:spacing w:after="120"/>
      <w:ind w:left="1080"/>
      <w:contextualSpacing/>
    </w:pPr>
  </w:style>
  <w:style w:type="paragraph" w:styleId="31">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3">
    <w:name w:val="Table Grid"/>
    <w:basedOn w:val="3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4">
    <w:name w:val="Light Shading"/>
    <w:basedOn w:val="3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qFormat/>
    <w:uiPriority w:val="22"/>
    <w:rPr>
      <w:b/>
      <w:bCs/>
    </w:rPr>
  </w:style>
  <w:style w:type="character" w:styleId="134">
    <w:name w:val="Emphasis"/>
    <w:basedOn w:val="132"/>
    <w:qFormat/>
    <w:uiPriority w:val="20"/>
    <w:rPr>
      <w:i/>
      <w:iCs/>
    </w:rPr>
  </w:style>
  <w:style w:type="character" w:customStyle="1" w:styleId="135">
    <w:name w:val="Header Char"/>
    <w:basedOn w:val="132"/>
    <w:link w:val="25"/>
    <w:uiPriority w:val="99"/>
  </w:style>
  <w:style w:type="character" w:customStyle="1" w:styleId="136">
    <w:name w:val="Footer Char"/>
    <w:basedOn w:val="132"/>
    <w:link w:val="24"/>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32"/>
    <w:link w:val="3"/>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32"/>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32"/>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32"/>
    <w:link w:val="31"/>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32"/>
    <w:link w:val="26"/>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32"/>
    <w:link w:val="19"/>
    <w:uiPriority w:val="99"/>
  </w:style>
  <w:style w:type="character" w:customStyle="1" w:styleId="145">
    <w:name w:val="Body Text 2 Char"/>
    <w:basedOn w:val="132"/>
    <w:link w:val="28"/>
    <w:uiPriority w:val="99"/>
  </w:style>
  <w:style w:type="character" w:customStyle="1" w:styleId="146">
    <w:name w:val="Body Text 3 Char"/>
    <w:basedOn w:val="132"/>
    <w:link w:val="17"/>
    <w:uiPriority w:val="99"/>
    <w:rPr>
      <w:sz w:val="16"/>
      <w:szCs w:val="16"/>
    </w:rPr>
  </w:style>
  <w:style w:type="character" w:customStyle="1" w:styleId="147">
    <w:name w:val="Macro Text Char"/>
    <w:basedOn w:val="132"/>
    <w:link w:val="2"/>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32"/>
    <w:link w:val="148"/>
    <w:uiPriority w:val="29"/>
    <w:rPr>
      <w:i/>
      <w:iCs/>
      <w:color w:val="000000" w:themeColor="text1"/>
      <w14:textFill>
        <w14:solidFill>
          <w14:schemeClr w14:val="tx1"/>
        </w14:solidFill>
      </w14:textFill>
    </w:rPr>
  </w:style>
  <w:style w:type="character" w:customStyle="1" w:styleId="150">
    <w:name w:val="Heading 4 Char"/>
    <w:basedOn w:val="132"/>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32"/>
    <w:link w:val="7"/>
    <w:semiHidden/>
    <w:uiPriority w:val="9"/>
    <w:rPr>
      <w:rFonts w:asciiTheme="majorHAnsi" w:hAnsiTheme="majorHAnsi" w:eastAsiaTheme="majorEastAsia" w:cstheme="majorBidi"/>
      <w:color w:val="254061" w:themeColor="accent1" w:themeShade="80"/>
    </w:rPr>
  </w:style>
  <w:style w:type="character" w:customStyle="1" w:styleId="152">
    <w:name w:val="Heading 6 Char"/>
    <w:basedOn w:val="132"/>
    <w:link w:val="8"/>
    <w:semiHidden/>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32"/>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32"/>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32"/>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32"/>
    <w:link w:val="156"/>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qFormat/>
    <w:uiPriority w:val="33"/>
    <w:rPr>
      <w:b/>
      <w:bCs/>
      <w:smallCaps/>
      <w:spacing w:val="5"/>
    </w:rPr>
  </w:style>
  <w:style w:type="paragraph" w:customStyle="1" w:styleId="163">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64</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2013-12-24T00:15:00Z</dcterms:created>
  <dc:creator>python-docx</dc:creator>
  <dc:description>generated by python-docx</dc:description>
  <cp:lastModifiedBy>恰似少年时</cp:lastModifiedBy>
  <dcterms:modified xsi:type="dcterms:W3CDTF">2026-04-30T19:54:21Z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DD9822EBC7ECCCCB5DA5F3694C2BBFA0_43</vt:lpwstr>
  </property>
</Properties>
</file>