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pPr>
      <w:r>
        <w:drawing>
          <wp:inline distT="0" distB="0" distL="0" distR="0">
            <wp:extent cx="2761615" cy="1115695"/>
            <wp:effectExtent l="0" t="0" r="635" b="8255"/>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4"/>
                    <a:stretch>
                      <a:fillRect/>
                    </a:stretch>
                  </pic:blipFill>
                  <pic:spPr>
                    <a:xfrm>
                      <a:off x="0" y="0"/>
                      <a:ext cx="2761615" cy="1115695"/>
                    </a:xfrm>
                    <a:prstGeom prst="rect">
                      <a:avLst/>
                    </a:prstGeom>
                  </pic:spPr>
                </pic:pic>
              </a:graphicData>
            </a:graphic>
          </wp:inline>
        </w:drawing>
      </w:r>
    </w:p>
    <w:p/>
    <w:p>
      <w:pPr>
        <w:jc w:val="center"/>
        <w:rPr>
          <w:rFonts w:hint="default" w:ascii="Times New Roman" w:hAnsi="Times New Roman" w:cs="Times New Roman"/>
          <w:b/>
          <w:bCs/>
        </w:rPr>
      </w:pPr>
    </w:p>
    <w:p>
      <w:pPr>
        <w:jc w:val="center"/>
        <w:rPr>
          <w:rFonts w:hint="default" w:ascii="Times New Roman" w:hAnsi="Times New Roman" w:cs="Times New Roman"/>
          <w:b/>
          <w:bCs/>
          <w:sz w:val="40"/>
          <w:szCs w:val="40"/>
          <w:lang w:val="en-US" w:eastAsia="zh-CN"/>
        </w:rPr>
      </w:pPr>
      <w:r>
        <w:rPr>
          <w:rFonts w:hint="eastAsia" w:ascii="Times New Roman" w:hAnsi="Times New Roman" w:cs="Times New Roman"/>
          <w:b/>
          <w:bCs/>
          <w:sz w:val="40"/>
          <w:szCs w:val="40"/>
          <w:lang w:val="en-US" w:eastAsia="zh-CN"/>
        </w:rPr>
        <w:t>Wales Company</w:t>
      </w:r>
    </w:p>
    <w:p>
      <w:pPr>
        <w:jc w:val="both"/>
        <w:rPr>
          <w:rFonts w:hint="default" w:ascii="Times New Roman" w:hAnsi="Times New Roman" w:cs="Times New Roman"/>
          <w:b/>
          <w:bCs/>
          <w:sz w:val="40"/>
          <w:szCs w:val="40"/>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Name: De Kong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Student Number: 2200545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Module: Finance for Business Managers (BMMB7005)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Lecturer: Badir Miftah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Submission Date 29</w:t>
      </w:r>
      <w:r>
        <w:rPr>
          <w:rFonts w:hint="eastAsia" w:ascii="Times New Roman" w:hAnsi="Times New Roman" w:cs="Times New Roman"/>
          <w:b/>
          <w:bCs/>
          <w:sz w:val="24"/>
          <w:szCs w:val="24"/>
          <w:vertAlign w:val="superscript"/>
          <w:lang w:val="en-US" w:eastAsia="zh-CN"/>
        </w:rPr>
        <w:t>th</w:t>
      </w:r>
      <w:r>
        <w:rPr>
          <w:rFonts w:hint="eastAsia" w:ascii="Times New Roman" w:hAnsi="Times New Roman" w:cs="Times New Roman"/>
          <w:b/>
          <w:bCs/>
          <w:sz w:val="24"/>
          <w:szCs w:val="24"/>
          <w:lang w:val="en-US" w:eastAsia="zh-CN"/>
        </w:rPr>
        <w:t xml:space="preserve"> March 2023</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Word Count: 3,000 words for Part 1 and 2,000 words for Part 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Part 1 Analysis of the Financial Statements of Starbucks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Executive Summary</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 xml:space="preserve">The aim of this </w:t>
      </w:r>
      <w:r>
        <w:rPr>
          <w:rFonts w:hint="eastAsia" w:ascii="Times New Roman" w:hAnsi="Times New Roman" w:eastAsia="Arial" w:cs="Times New Roman"/>
          <w:color w:val="auto"/>
          <w:sz w:val="24"/>
          <w:szCs w:val="24"/>
          <w:lang w:val="en-US" w:eastAsia="zh-CN"/>
        </w:rPr>
        <w:t>report</w:t>
      </w:r>
      <w:r>
        <w:rPr>
          <w:rFonts w:hint="default" w:ascii="Times New Roman" w:hAnsi="Times New Roman" w:eastAsia="Arial" w:cs="Times New Roman"/>
          <w:color w:val="auto"/>
          <w:sz w:val="24"/>
          <w:szCs w:val="24"/>
          <w:lang w:val="en-US" w:eastAsia="zh-CN"/>
        </w:rPr>
        <w:t xml:space="preserve"> is to investigate Starbucks' financial health and evaluate the firm's sustainable development. The core component of the study examines the financial statements using statistical analysis to highlight the company's financial health from 2020 to 2021 and what the ratios mean for the organization. Summarizing with a conclusion and recommendations for how it should be operate</w:t>
      </w:r>
      <w:r>
        <w:rPr>
          <w:rFonts w:hint="eastAsia" w:ascii="Times New Roman" w:hAnsi="Times New Roman" w:cs="Times New Roman"/>
          <w:color w:val="auto"/>
          <w:sz w:val="24"/>
          <w:szCs w:val="24"/>
          <w:lang w:val="en-US" w:eastAsia="zh-CN"/>
        </w:rPr>
        <w:t>d</w:t>
      </w:r>
      <w:r>
        <w:rPr>
          <w:rFonts w:hint="default" w:ascii="Times New Roman" w:hAnsi="Times New Roman" w:eastAsia="Arial" w:cs="Times New Roman"/>
          <w:color w:val="auto"/>
          <w:sz w:val="24"/>
          <w:szCs w:val="24"/>
          <w:lang w:val="en-US" w:eastAsia="zh-CN"/>
        </w:rPr>
        <w:t xml:space="preserve"> in the future.</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sdt>
      <w:sdtPr>
        <w:rPr>
          <w:rFonts w:hint="default" w:ascii="Times New Roman" w:hAnsi="Times New Roman" w:eastAsia="宋体" w:cs="Times New Roman"/>
          <w:b/>
          <w:bCs/>
          <w:kern w:val="2"/>
          <w:sz w:val="24"/>
          <w:szCs w:val="24"/>
          <w:lang w:val="en-US" w:eastAsia="zh-CN" w:bidi="ar-SA"/>
        </w:rPr>
        <w:id w:val="147453797"/>
        <w15:color w:val="DBDBDB"/>
        <w:docPartObj>
          <w:docPartGallery w:val="Table of Contents"/>
          <w:docPartUnique/>
        </w:docPartObj>
      </w:sdtPr>
      <w:sdtEndPr>
        <w:rPr>
          <w:rFonts w:hint="default" w:ascii="Times New Roman" w:hAnsi="Times New Roman" w:eastAsia="Arial" w:cs="Times New Roman"/>
          <w:b/>
          <w:bCs/>
          <w:color w:val="auto"/>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CONTENT</w:t>
          </w:r>
        </w:p>
        <w:p>
          <w:pPr>
            <w:pStyle w:val="6"/>
            <w:tabs>
              <w:tab w:val="right" w:leader="dot" w:pos="8306"/>
            </w:tabs>
          </w:pPr>
          <w:r>
            <w:rPr>
              <w:rFonts w:hint="default" w:ascii="Times New Roman" w:hAnsi="Times New Roman" w:eastAsia="Arial" w:cs="Times New Roman"/>
              <w:color w:val="auto"/>
              <w:sz w:val="24"/>
              <w:szCs w:val="24"/>
              <w:lang w:val="en-US" w:eastAsia="zh-CN"/>
            </w:rPr>
            <w:fldChar w:fldCharType="begin"/>
          </w:r>
          <w:r>
            <w:rPr>
              <w:rFonts w:hint="default" w:ascii="Times New Roman" w:hAnsi="Times New Roman" w:eastAsia="Arial" w:cs="Times New Roman"/>
              <w:color w:val="auto"/>
              <w:sz w:val="24"/>
              <w:szCs w:val="24"/>
              <w:lang w:val="en-US" w:eastAsia="zh-CN"/>
            </w:rPr>
            <w:instrText xml:space="preserve">TOC \o "1-3" \h \u </w:instrText>
          </w:r>
          <w:r>
            <w:rPr>
              <w:rFonts w:hint="default" w:ascii="Times New Roman" w:hAnsi="Times New Roman" w:eastAsia="Arial" w:cs="Times New Roman"/>
              <w:color w:val="auto"/>
              <w:sz w:val="24"/>
              <w:szCs w:val="24"/>
              <w:lang w:val="en-US" w:eastAsia="zh-CN"/>
            </w:rPr>
            <w:fldChar w:fldCharType="separate"/>
          </w: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_Toc22204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1. Introduction</w:t>
          </w:r>
          <w:r>
            <w:tab/>
          </w:r>
          <w:r>
            <w:fldChar w:fldCharType="begin"/>
          </w:r>
          <w:r>
            <w:instrText xml:space="preserve"> PAGEREF _Toc22204 \h </w:instrText>
          </w:r>
          <w:r>
            <w:fldChar w:fldCharType="separate"/>
          </w:r>
          <w:r>
            <w:t>4</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_Toc9623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 Analysis of Financial Statements</w:t>
          </w:r>
          <w:r>
            <w:tab/>
          </w:r>
          <w:r>
            <w:fldChar w:fldCharType="begin"/>
          </w:r>
          <w:r>
            <w:instrText xml:space="preserve"> PAGEREF _Toc9623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_Toc12628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2.1 Profitability Ratios</w:t>
          </w:r>
          <w:r>
            <w:tab/>
          </w:r>
          <w:r>
            <w:fldChar w:fldCharType="begin"/>
          </w:r>
          <w:r>
            <w:instrText xml:space="preserve"> PAGEREF _Toc12628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_Toc19873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2.1.1 </w:t>
          </w:r>
          <w:r>
            <w:rPr>
              <w:rFonts w:hint="default" w:ascii="Times New Roman" w:hAnsi="Times New Roman" w:cs="Times New Roman"/>
              <w:szCs w:val="24"/>
              <w:lang w:val="en-US" w:eastAsia="zh-CN"/>
            </w:rPr>
            <w:t>Gross Profit Margin Ratio</w:t>
          </w:r>
          <w:r>
            <w:tab/>
          </w:r>
          <w:r>
            <w:fldChar w:fldCharType="begin"/>
          </w:r>
          <w:r>
            <w:instrText xml:space="preserve"> PAGEREF _Toc19873 \h </w:instrText>
          </w:r>
          <w:r>
            <w:fldChar w:fldCharType="separate"/>
          </w:r>
          <w:r>
            <w:t>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2.1.2 </w:t>
          </w:r>
          <w:r>
            <w:rPr>
              <w:rFonts w:hint="default" w:ascii="Times New Roman" w:hAnsi="Times New Roman" w:cs="Times New Roman"/>
              <w:szCs w:val="24"/>
              <w:lang w:val="en-US" w:eastAsia="zh-CN"/>
            </w:rPr>
            <w:t>Operating Profit Margin Ratio</w:t>
          </w:r>
          <w:r>
            <w:tab/>
          </w:r>
          <w:r>
            <w:fldChar w:fldCharType="begin"/>
          </w:r>
          <w:r>
            <w:instrText xml:space="preserve"> PAGEREF _Toc227 \h </w:instrText>
          </w:r>
          <w:r>
            <w:fldChar w:fldCharType="separate"/>
          </w:r>
          <w:r>
            <w:t>6</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_Toc14989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2.1.3 </w:t>
          </w:r>
          <w:r>
            <w:rPr>
              <w:rFonts w:hint="eastAsia" w:ascii="Times New Roman" w:hAnsi="Times New Roman" w:cs="Times New Roman"/>
              <w:szCs w:val="24"/>
              <w:lang w:val="en-US" w:eastAsia="zh-CN"/>
            </w:rPr>
            <w:t>Net Profit Margin Ratio</w:t>
          </w:r>
          <w:r>
            <w:tab/>
          </w:r>
          <w:r>
            <w:fldChar w:fldCharType="begin"/>
          </w:r>
          <w:r>
            <w:instrText xml:space="preserve"> PAGEREF _Toc14989 \h </w:instrText>
          </w:r>
          <w:r>
            <w:fldChar w:fldCharType="separate"/>
          </w:r>
          <w:r>
            <w:t>6</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_Toc3949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2.1.4 </w:t>
          </w:r>
          <w:r>
            <w:rPr>
              <w:rFonts w:hint="eastAsia" w:ascii="Times New Roman" w:hAnsi="Times New Roman" w:cs="Times New Roman"/>
              <w:szCs w:val="24"/>
              <w:lang w:val="en-US" w:eastAsia="zh-CN"/>
            </w:rPr>
            <w:t>Return on Assets (ROA)</w:t>
          </w:r>
          <w:r>
            <w:tab/>
          </w:r>
          <w:r>
            <w:fldChar w:fldCharType="begin"/>
          </w:r>
          <w:r>
            <w:instrText xml:space="preserve"> PAGEREF _Toc3949 \h </w:instrText>
          </w:r>
          <w:r>
            <w:fldChar w:fldCharType="separate"/>
          </w:r>
          <w:r>
            <w:t>7</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_Toc22183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2.1.5 </w:t>
          </w:r>
          <w:r>
            <w:rPr>
              <w:rFonts w:hint="eastAsia" w:ascii="Times New Roman" w:hAnsi="Times New Roman" w:cs="Times New Roman"/>
              <w:szCs w:val="24"/>
              <w:lang w:val="en-US" w:eastAsia="zh-CN"/>
            </w:rPr>
            <w:t>Return on Equity (ROE)</w:t>
          </w:r>
          <w:r>
            <w:tab/>
          </w:r>
          <w:r>
            <w:fldChar w:fldCharType="begin"/>
          </w:r>
          <w:r>
            <w:instrText xml:space="preserve"> PAGEREF _Toc22183 \h </w:instrText>
          </w:r>
          <w:r>
            <w:fldChar w:fldCharType="separate"/>
          </w:r>
          <w:r>
            <w:t>7</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_Toc3350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2.2 Liquidity Ratio</w:t>
          </w:r>
          <w:r>
            <w:tab/>
          </w:r>
          <w:r>
            <w:fldChar w:fldCharType="begin"/>
          </w:r>
          <w:r>
            <w:instrText xml:space="preserve"> PAGEREF _Toc3350 \h </w:instrText>
          </w:r>
          <w:r>
            <w:fldChar w:fldCharType="separate"/>
          </w:r>
          <w:r>
            <w:t>8</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_Toc27747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2.2.1 </w:t>
          </w:r>
          <w:r>
            <w:rPr>
              <w:rFonts w:hint="default" w:ascii="Times New Roman" w:hAnsi="Times New Roman" w:cs="Times New Roman"/>
              <w:szCs w:val="24"/>
              <w:lang w:val="en-US" w:eastAsia="zh-CN"/>
            </w:rPr>
            <w:t>Current Ratio</w:t>
          </w:r>
          <w:r>
            <w:tab/>
          </w:r>
          <w:r>
            <w:fldChar w:fldCharType="begin"/>
          </w:r>
          <w:r>
            <w:instrText xml:space="preserve"> PAGEREF _Toc27747 \h </w:instrText>
          </w:r>
          <w:r>
            <w:fldChar w:fldCharType="separate"/>
          </w:r>
          <w:r>
            <w:t>8</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_Toc4578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2.2.2 </w:t>
          </w:r>
          <w:r>
            <w:rPr>
              <w:rFonts w:hint="eastAsia" w:ascii="Times New Roman" w:hAnsi="Times New Roman" w:cs="Times New Roman"/>
              <w:szCs w:val="24"/>
              <w:lang w:val="en-US" w:eastAsia="zh-CN"/>
            </w:rPr>
            <w:t>Quick Ratio</w:t>
          </w:r>
          <w:r>
            <w:tab/>
          </w:r>
          <w:r>
            <w:fldChar w:fldCharType="begin"/>
          </w:r>
          <w:r>
            <w:instrText xml:space="preserve"> PAGEREF _Toc4578 \h </w:instrText>
          </w:r>
          <w:r>
            <w:fldChar w:fldCharType="separate"/>
          </w:r>
          <w:r>
            <w:t>9</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_Toc13733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2.2.3 </w:t>
          </w:r>
          <w:r>
            <w:rPr>
              <w:rFonts w:hint="eastAsia" w:ascii="Times New Roman" w:hAnsi="Times New Roman" w:cs="Times New Roman"/>
              <w:szCs w:val="24"/>
              <w:lang w:val="en-US" w:eastAsia="zh-CN"/>
            </w:rPr>
            <w:t>Cash Ratio</w:t>
          </w:r>
          <w:r>
            <w:tab/>
          </w:r>
          <w:r>
            <w:fldChar w:fldCharType="begin"/>
          </w:r>
          <w:r>
            <w:instrText xml:space="preserve"> PAGEREF _Toc13733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_Toc12871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2.3 Efficiency Ratios</w:t>
          </w:r>
          <w:r>
            <w:tab/>
          </w:r>
          <w:r>
            <w:fldChar w:fldCharType="begin"/>
          </w:r>
          <w:r>
            <w:instrText xml:space="preserve"> PAGEREF _Toc12871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_Toc22158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2.3.1 </w:t>
          </w:r>
          <w:r>
            <w:rPr>
              <w:rFonts w:hint="default" w:ascii="Times New Roman" w:hAnsi="Times New Roman" w:cs="Times New Roman"/>
              <w:szCs w:val="24"/>
              <w:lang w:val="en-US" w:eastAsia="zh-CN"/>
            </w:rPr>
            <w:t>Accounts Receivable Turnover</w:t>
          </w:r>
          <w:r>
            <w:tab/>
          </w:r>
          <w:r>
            <w:fldChar w:fldCharType="begin"/>
          </w:r>
          <w:r>
            <w:instrText xml:space="preserve"> PAGEREF _Toc22158 \h </w:instrText>
          </w:r>
          <w:r>
            <w:fldChar w:fldCharType="separate"/>
          </w:r>
          <w:r>
            <w:t>10</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_Toc25956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2.3.2 </w:t>
          </w:r>
          <w:r>
            <w:rPr>
              <w:rFonts w:hint="eastAsia" w:ascii="Times New Roman" w:hAnsi="Times New Roman" w:cs="Times New Roman"/>
              <w:szCs w:val="24"/>
              <w:lang w:val="en-US" w:eastAsia="zh-CN"/>
            </w:rPr>
            <w:t>Accounts Payable Turnover</w:t>
          </w:r>
          <w:r>
            <w:tab/>
          </w:r>
          <w:r>
            <w:fldChar w:fldCharType="begin"/>
          </w:r>
          <w:r>
            <w:instrText xml:space="preserve"> PAGEREF _Toc25956 \h </w:instrText>
          </w:r>
          <w:r>
            <w:fldChar w:fldCharType="separate"/>
          </w:r>
          <w:r>
            <w:t>11</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_Toc10067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2.3.3 </w:t>
          </w:r>
          <w:r>
            <w:rPr>
              <w:rFonts w:hint="eastAsia" w:ascii="Times New Roman" w:hAnsi="Times New Roman" w:cs="Times New Roman"/>
              <w:szCs w:val="24"/>
              <w:lang w:val="en-US" w:eastAsia="zh-CN"/>
            </w:rPr>
            <w:t>Assets Turnover Ratio</w:t>
          </w:r>
          <w:r>
            <w:tab/>
          </w:r>
          <w:r>
            <w:fldChar w:fldCharType="begin"/>
          </w:r>
          <w:r>
            <w:instrText xml:space="preserve"> PAGEREF _Toc10067 \h </w:instrText>
          </w:r>
          <w:r>
            <w:fldChar w:fldCharType="separate"/>
          </w:r>
          <w:r>
            <w:t>12</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_Toc12765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2.3.4 </w:t>
          </w:r>
          <w:r>
            <w:rPr>
              <w:rFonts w:hint="eastAsia" w:ascii="Times New Roman" w:hAnsi="Times New Roman" w:cs="Times New Roman"/>
              <w:szCs w:val="24"/>
              <w:lang w:val="en-US" w:eastAsia="zh-CN"/>
            </w:rPr>
            <w:t>Capital Turnover Ratio</w:t>
          </w:r>
          <w:r>
            <w:tab/>
          </w:r>
          <w:r>
            <w:fldChar w:fldCharType="begin"/>
          </w:r>
          <w:r>
            <w:instrText xml:space="preserve"> PAGEREF _Toc12765 \h </w:instrText>
          </w:r>
          <w:r>
            <w:fldChar w:fldCharType="separate"/>
          </w:r>
          <w:r>
            <w:t>12</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_Toc3627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2.3.5 </w:t>
          </w:r>
          <w:r>
            <w:rPr>
              <w:rFonts w:hint="eastAsia" w:ascii="Times New Roman" w:hAnsi="Times New Roman" w:cs="Times New Roman"/>
              <w:szCs w:val="24"/>
              <w:lang w:val="en-US" w:eastAsia="zh-CN"/>
            </w:rPr>
            <w:t>Inventory Turnover Ratio</w:t>
          </w:r>
          <w:r>
            <w:tab/>
          </w:r>
          <w:r>
            <w:fldChar w:fldCharType="begin"/>
          </w:r>
          <w:r>
            <w:instrText xml:space="preserve"> PAGEREF _Toc3627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_Toc32427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2.3.6 </w:t>
          </w:r>
          <w:r>
            <w:rPr>
              <w:rFonts w:hint="eastAsia" w:ascii="Times New Roman" w:hAnsi="Times New Roman" w:cs="Times New Roman"/>
              <w:szCs w:val="24"/>
              <w:lang w:val="en-US" w:eastAsia="zh-CN"/>
            </w:rPr>
            <w:t>Working Capital Turnover Ratio</w:t>
          </w:r>
          <w:r>
            <w:tab/>
          </w:r>
          <w:r>
            <w:fldChar w:fldCharType="begin"/>
          </w:r>
          <w:r>
            <w:instrText xml:space="preserve"> PAGEREF _Toc32427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7"/>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_Toc29021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2.4 Solvency Ratios</w:t>
          </w:r>
          <w:r>
            <w:tab/>
          </w:r>
          <w:r>
            <w:fldChar w:fldCharType="begin"/>
          </w:r>
          <w:r>
            <w:instrText xml:space="preserve"> PAGEREF _Toc29021 \h </w:instrText>
          </w:r>
          <w:r>
            <w:fldChar w:fldCharType="separate"/>
          </w:r>
          <w:r>
            <w:t>13</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_Toc3940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2.4.1 </w:t>
          </w:r>
          <w:r>
            <w:rPr>
              <w:rFonts w:hint="default" w:ascii="Times New Roman" w:hAnsi="Times New Roman" w:cs="Times New Roman"/>
              <w:szCs w:val="24"/>
              <w:lang w:val="en-US" w:eastAsia="zh-CN"/>
            </w:rPr>
            <w:t>Debt Ratio</w:t>
          </w:r>
          <w:r>
            <w:tab/>
          </w:r>
          <w:r>
            <w:fldChar w:fldCharType="begin"/>
          </w:r>
          <w:r>
            <w:instrText xml:space="preserve"> PAGEREF _Toc3940 \h </w:instrText>
          </w:r>
          <w:r>
            <w:fldChar w:fldCharType="separate"/>
          </w:r>
          <w:r>
            <w:t>14</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_Toc19175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2.4.2 </w:t>
          </w:r>
          <w:r>
            <w:rPr>
              <w:rFonts w:hint="eastAsia" w:ascii="Times New Roman" w:hAnsi="Times New Roman" w:cs="Times New Roman"/>
              <w:szCs w:val="24"/>
              <w:lang w:val="en-US" w:eastAsia="zh-CN"/>
            </w:rPr>
            <w:t>Equity Ratio</w:t>
          </w:r>
          <w:r>
            <w:tab/>
          </w:r>
          <w:r>
            <w:fldChar w:fldCharType="begin"/>
          </w:r>
          <w:r>
            <w:instrText xml:space="preserve"> PAGEREF _Toc19175 \h </w:instrText>
          </w:r>
          <w:r>
            <w:fldChar w:fldCharType="separate"/>
          </w:r>
          <w:r>
            <w:t>14</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_Toc12229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2.4.3 </w:t>
          </w:r>
          <w:r>
            <w:rPr>
              <w:rFonts w:hint="eastAsia" w:ascii="Times New Roman" w:hAnsi="Times New Roman" w:cs="Times New Roman"/>
              <w:szCs w:val="24"/>
              <w:lang w:val="en-US" w:eastAsia="zh-CN"/>
            </w:rPr>
            <w:t>Debt to Equity Ratio</w:t>
          </w:r>
          <w:r>
            <w:tab/>
          </w:r>
          <w:r>
            <w:fldChar w:fldCharType="begin"/>
          </w:r>
          <w:r>
            <w:instrText xml:space="preserve"> PAGEREF _Toc12229 \h </w:instrText>
          </w:r>
          <w:r>
            <w:fldChar w:fldCharType="separate"/>
          </w:r>
          <w:r>
            <w:t>15</w:t>
          </w:r>
          <w:r>
            <w:fldChar w:fldCharType="end"/>
          </w:r>
          <w:r>
            <w:rPr>
              <w:rFonts w:hint="default" w:ascii="Times New Roman" w:hAnsi="Times New Roman" w:eastAsia="Arial" w:cs="Times New Roman"/>
              <w:color w:val="auto"/>
              <w:szCs w:val="24"/>
              <w:lang w:val="en-US" w:eastAsia="zh-CN"/>
            </w:rPr>
            <w:fldChar w:fldCharType="end"/>
          </w:r>
        </w:p>
        <w:p>
          <w:pPr>
            <w:pStyle w:val="5"/>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_Toc29286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bCs/>
              <w:szCs w:val="24"/>
              <w:lang w:val="en-US" w:eastAsia="zh-CN"/>
            </w:rPr>
            <w:t xml:space="preserve">2.4.4 </w:t>
          </w:r>
          <w:r>
            <w:rPr>
              <w:rFonts w:hint="eastAsia" w:ascii="Times New Roman" w:hAnsi="Times New Roman" w:cs="Times New Roman"/>
              <w:szCs w:val="24"/>
              <w:lang w:val="en-US" w:eastAsia="zh-CN"/>
            </w:rPr>
            <w:t>Interest Coverage Ratio</w:t>
          </w:r>
          <w:r>
            <w:tab/>
          </w:r>
          <w:r>
            <w:fldChar w:fldCharType="begin"/>
          </w:r>
          <w:r>
            <w:instrText xml:space="preserve"> PAGEREF _Toc29286 \h </w:instrText>
          </w:r>
          <w:r>
            <w:fldChar w:fldCharType="separate"/>
          </w:r>
          <w:r>
            <w:t>15</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_Toc28803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3. Limitations of Ratio Analysis</w:t>
          </w:r>
          <w:r>
            <w:tab/>
          </w:r>
          <w:r>
            <w:fldChar w:fldCharType="begin"/>
          </w:r>
          <w:r>
            <w:instrText xml:space="preserve"> PAGEREF _Toc28803 \h </w:instrText>
          </w:r>
          <w:r>
            <w:fldChar w:fldCharType="separate"/>
          </w:r>
          <w:r>
            <w:t>16</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_Toc5917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4. Conclusion</w:t>
          </w:r>
          <w:r>
            <w:tab/>
          </w:r>
          <w:r>
            <w:fldChar w:fldCharType="begin"/>
          </w:r>
          <w:r>
            <w:instrText xml:space="preserve"> PAGEREF _Toc5917 \h </w:instrText>
          </w:r>
          <w:r>
            <w:fldChar w:fldCharType="separate"/>
          </w:r>
          <w:r>
            <w:t>16</w:t>
          </w:r>
          <w:r>
            <w:fldChar w:fldCharType="end"/>
          </w:r>
          <w:r>
            <w:rPr>
              <w:rFonts w:hint="default" w:ascii="Times New Roman" w:hAnsi="Times New Roman" w:eastAsia="Arial" w:cs="Times New Roman"/>
              <w:color w:val="auto"/>
              <w:szCs w:val="24"/>
              <w:lang w:val="en-US" w:eastAsia="zh-CN"/>
            </w:rPr>
            <w:fldChar w:fldCharType="end"/>
          </w:r>
        </w:p>
        <w:p>
          <w:pPr>
            <w:pStyle w:val="6"/>
            <w:tabs>
              <w:tab w:val="right" w:leader="dot" w:pos="8306"/>
            </w:tabs>
          </w:pPr>
          <w:r>
            <w:rPr>
              <w:rFonts w:hint="default" w:ascii="Times New Roman" w:hAnsi="Times New Roman" w:eastAsia="Arial" w:cs="Times New Roman"/>
              <w:color w:val="auto"/>
              <w:szCs w:val="24"/>
              <w:lang w:val="en-US" w:eastAsia="zh-CN"/>
            </w:rPr>
            <w:fldChar w:fldCharType="begin"/>
          </w:r>
          <w:r>
            <w:rPr>
              <w:rFonts w:hint="default" w:ascii="Times New Roman" w:hAnsi="Times New Roman" w:eastAsia="Arial" w:cs="Times New Roman"/>
              <w:szCs w:val="24"/>
              <w:lang w:val="en-US" w:eastAsia="zh-CN"/>
            </w:rPr>
            <w:instrText xml:space="preserve"> HYPERLINK \l _Toc10158 </w:instrText>
          </w:r>
          <w:r>
            <w:rPr>
              <w:rFonts w:hint="default" w:ascii="Times New Roman" w:hAnsi="Times New Roman" w:eastAsia="Arial" w:cs="Times New Roman"/>
              <w:szCs w:val="24"/>
              <w:lang w:val="en-US" w:eastAsia="zh-CN"/>
            </w:rPr>
            <w:fldChar w:fldCharType="separate"/>
          </w:r>
          <w:r>
            <w:rPr>
              <w:rFonts w:hint="default" w:ascii="Times New Roman" w:hAnsi="Times New Roman" w:cs="Times New Roman"/>
              <w:szCs w:val="24"/>
              <w:lang w:val="en-US" w:eastAsia="zh-CN"/>
            </w:rPr>
            <w:t>5. Recommendation</w:t>
          </w:r>
          <w:r>
            <w:tab/>
          </w:r>
          <w:r>
            <w:fldChar w:fldCharType="begin"/>
          </w:r>
          <w:r>
            <w:instrText xml:space="preserve"> PAGEREF _Toc10158 \h </w:instrText>
          </w:r>
          <w:r>
            <w:fldChar w:fldCharType="separate"/>
          </w:r>
          <w:r>
            <w:t>17</w:t>
          </w:r>
          <w:r>
            <w:fldChar w:fldCharType="end"/>
          </w:r>
          <w:r>
            <w:rPr>
              <w:rFonts w:hint="default" w:ascii="Times New Roman" w:hAnsi="Times New Roman" w:eastAsia="Arial" w:cs="Times New Roman"/>
              <w:color w:val="auto"/>
              <w:szCs w:val="24"/>
              <w:lang w:val="en-US" w:eastAsia="zh-CN"/>
            </w:rPr>
            <w:fldChar w:fldCharType="end"/>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Cs w:val="24"/>
              <w:lang w:val="en-US" w:eastAsia="zh-CN"/>
            </w:rPr>
            <w:fldChar w:fldCharType="end"/>
          </w:r>
        </w:p>
      </w:sdtContent>
    </w:sdt>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0" w:name="_Toc22204"/>
      <w:r>
        <w:rPr>
          <w:rFonts w:hint="default" w:ascii="Times New Roman" w:hAnsi="Times New Roman" w:cs="Times New Roman"/>
          <w:sz w:val="24"/>
          <w:szCs w:val="24"/>
          <w:lang w:val="en-US" w:eastAsia="zh-CN"/>
        </w:rPr>
        <w:t>Introduction</w:t>
      </w:r>
      <w:bookmarkEnd w:id="0"/>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Starbucks is the world's largest manufacturer and marketer of coffee products, with over 32,000 stores in 80 countries (Starbucks, 2023).</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Starbucks opened its first store in Seattle's famous Pike Place Market in 1971. Howard Schultz went to work there a decade later. He was inspired to bring Italy's coffee culture back to Seattle after his first trip there in 1983 because it would give Starbucks a gathering spot and a sense of community. Starbucks rapidly spread to Chicago, Vancouver, and even over the Pacific to Japan. Europe and China were added later.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is dedicated to their Mission: to energize and nourish the human spirit, one individual, one drink, and one community at a time. It is critical to comprehend the significance of coffee shops to metropolises and the residents who live there.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the retail and snack shop sectors, the company's main competitors are McDonald's and Costa Coffee (Rivero, 2015).</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 w:name="_Toc9623"/>
      <w:r>
        <w:rPr>
          <w:rFonts w:hint="default" w:ascii="Times New Roman" w:hAnsi="Times New Roman" w:cs="Times New Roman"/>
          <w:sz w:val="24"/>
          <w:szCs w:val="24"/>
          <w:lang w:val="en-US" w:eastAsia="zh-CN"/>
        </w:rPr>
        <w:t>Analysis of Financial Statements</w:t>
      </w:r>
      <w:bookmarkEnd w:id="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Financial statements serve the objective of providing data that may be utilized by a variety of stakeholders to decide on investments about the financial health, economic situation, and changes to a company's financial position (Lewis and Pendrill, 2004).</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Investment managers convey their opinions on the future of assets by means of profit estimates. Generally, decision makers and their compensation are defined in terms of financial objectives (Dechow, 1994; Lev, 1989).</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 w:name="_Toc12628"/>
      <w:r>
        <w:rPr>
          <w:rFonts w:hint="default" w:ascii="Times New Roman" w:hAnsi="Times New Roman" w:cs="Times New Roman"/>
          <w:sz w:val="24"/>
          <w:szCs w:val="24"/>
          <w:lang w:val="en-US" w:eastAsia="zh-CN"/>
        </w:rPr>
        <w:t>Profitability Ratios</w:t>
      </w:r>
      <w:bookmarkEnd w:id="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Using profitability measures, analysts may evaluate how well a firm is managing its expenses (Drake and Fabozzi,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Profitability is the term used to describe an organization's ability to produce income. By deducting all costs directly related to the generating of income, a firm can make a profit. It is critical to assess a company's profitability when determining if its economic transactions and organizational framework are sound.</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These</w:t>
      </w:r>
      <w:r>
        <w:rPr>
          <w:rFonts w:hint="eastAsia" w:ascii="Times New Roman" w:hAnsi="Times New Roman" w:cs="Times New Roman"/>
          <w:color w:val="auto"/>
          <w:sz w:val="24"/>
          <w:szCs w:val="24"/>
          <w:lang w:val="en-US" w:eastAsia="zh-CN"/>
        </w:rPr>
        <w:t xml:space="preserve"> profitability</w:t>
      </w:r>
      <w:r>
        <w:rPr>
          <w:rFonts w:hint="default" w:ascii="Times New Roman" w:hAnsi="Times New Roman" w:eastAsia="Arial" w:cs="Times New Roman"/>
          <w:color w:val="auto"/>
          <w:sz w:val="24"/>
          <w:szCs w:val="24"/>
          <w:lang w:val="en-US" w:eastAsia="zh-CN"/>
        </w:rPr>
        <w:t xml:space="preserve"> ratios are employed to determine how effectively a business generates profits, which includes gross profit margin, operating profit margin, net profit margin, return on equity (ROE), and return on assets (ROA).</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 w:name="_Toc19873"/>
      <w:r>
        <w:rPr>
          <w:rFonts w:hint="default" w:ascii="Times New Roman" w:hAnsi="Times New Roman" w:cs="Times New Roman"/>
          <w:sz w:val="24"/>
          <w:szCs w:val="24"/>
          <w:lang w:val="en-US" w:eastAsia="zh-CN"/>
        </w:rPr>
        <w:t>Gross Profit Margin Ratio</w:t>
      </w:r>
      <w:bookmarkEnd w:id="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gross profit margin can be used to calculate how much a company made in sales over the cost of the goods it sold.</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Arial" w:cs="Times New Roman"/>
          <w:color w:val="auto"/>
          <w:sz w:val="24"/>
          <w:szCs w:val="24"/>
          <w:lang w:val="en-US" w:eastAsia="zh-CN"/>
        </w:rPr>
      </w:pPr>
      <w:r>
        <w:rPr>
          <w:rFonts w:hint="default" w:ascii="Times New Roman" w:hAnsi="Times New Roman" w:eastAsia="Arial" w:cs="Times New Roman"/>
          <w:color w:val="auto"/>
          <w:sz w:val="24"/>
          <w:szCs w:val="24"/>
          <w:lang w:val="en-US" w:eastAsia="zh-CN"/>
        </w:rPr>
        <w:t>Gross Profit Margin</w:t>
      </w:r>
      <w:r>
        <w:rPr>
          <w:rFonts w:hint="default" w:ascii="Times New Roman" w:hAnsi="Times New Roman" w:cs="Times New Roman"/>
          <w:color w:val="auto"/>
          <w:sz w:val="24"/>
          <w:szCs w:val="24"/>
          <w:lang w:val="en-US" w:eastAsia="zh-CN"/>
        </w:rPr>
        <w:t xml:space="preserve"> Ratio</w:t>
      </w:r>
      <w:r>
        <w:rPr>
          <w:rFonts w:hint="default" w:ascii="Times New Roman" w:hAnsi="Times New Roman" w:eastAsia="Arial" w:cs="Times New Roman"/>
          <w:color w:val="auto"/>
          <w:sz w:val="24"/>
          <w:szCs w:val="24"/>
          <w:lang w:val="en-US" w:eastAsia="zh-CN"/>
        </w:rPr>
        <w:t>= (</w:t>
      </w:r>
      <w:r>
        <w:rPr>
          <w:rFonts w:hint="default" w:ascii="Times New Roman" w:hAnsi="Times New Roman" w:cs="Times New Roman"/>
          <w:color w:val="auto"/>
          <w:sz w:val="24"/>
          <w:szCs w:val="24"/>
          <w:lang w:val="en-US" w:eastAsia="zh-CN"/>
        </w:rPr>
        <w:t>Total sales</w:t>
      </w:r>
      <w:r>
        <w:rPr>
          <w:rFonts w:hint="default" w:ascii="Times New Roman" w:hAnsi="Times New Roman" w:eastAsia="Arial" w:cs="Times New Roman"/>
          <w:color w:val="auto"/>
          <w:sz w:val="24"/>
          <w:szCs w:val="24"/>
          <w:lang w:val="en-US" w:eastAsia="zh-CN"/>
        </w:rPr>
        <w:t>-COGS)/</w:t>
      </w:r>
      <w:r>
        <w:rPr>
          <w:rFonts w:hint="default" w:ascii="Times New Roman" w:hAnsi="Times New Roman" w:cs="Times New Roman"/>
          <w:color w:val="auto"/>
          <w:sz w:val="24"/>
          <w:szCs w:val="24"/>
          <w:lang w:val="en-US" w:eastAsia="zh-CN"/>
        </w:rPr>
        <w:t xml:space="preserve">Total sales </w:t>
      </w:r>
      <w:r>
        <w:rPr>
          <w:rFonts w:hint="default" w:ascii="Times New Roman" w:hAnsi="Times New Roman" w:eastAsia="Arial" w:cs="Times New Roman"/>
          <w:color w:val="auto"/>
          <w:sz w:val="24"/>
          <w:szCs w:val="24"/>
          <w:lang w:val="en-US" w:eastAsia="zh-CN"/>
        </w:rPr>
        <w:t>x100</w:t>
      </w:r>
      <w:r>
        <w:rPr>
          <w:rFonts w:hint="eastAsia" w:ascii="Times New Roman" w:hAnsi="Times New Roman" w:cs="Times New Roman"/>
          <w:color w:val="auto"/>
          <w:sz w:val="24"/>
          <w:szCs w:val="24"/>
          <w:lang w:val="en-US" w:eastAsia="zh-CN"/>
        </w:rPr>
        <w:t>%</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49"/>
        <w:gridCol w:w="1611"/>
        <w:gridCol w:w="17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Revenue</w:t>
            </w:r>
          </w:p>
        </w:tc>
        <w:tc>
          <w:tcPr>
            <w:tcW w:w="161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cs="Times New Roman"/>
                <w:b/>
                <w:bCs/>
                <w:sz w:val="24"/>
                <w:szCs w:val="24"/>
                <w:vertAlign w:val="baseline"/>
              </w:rPr>
            </w:pPr>
            <w:r>
              <w:rPr>
                <w:rFonts w:hint="default" w:ascii="Times New Roman" w:hAnsi="Times New Roman" w:eastAsia="宋体" w:cs="Times New Roman"/>
                <w:snapToGrid w:val="0"/>
                <w:color w:val="000000"/>
                <w:kern w:val="0"/>
                <w:sz w:val="24"/>
                <w:szCs w:val="24"/>
                <w:lang w:val="en-US" w:eastAsia="zh-CN" w:bidi="ar"/>
              </w:rPr>
              <w:t>29,060,600</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COGS</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8,738,700</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7,694,900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Profit Margin</w:t>
            </w:r>
          </w:p>
        </w:tc>
        <w:tc>
          <w:tcPr>
            <w:tcW w:w="161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69.99%</w:t>
            </w:r>
          </w:p>
        </w:tc>
        <w:tc>
          <w:tcPr>
            <w:tcW w:w="17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67.28%</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percentage shows Starbucks' exceptional profit margin, which increased between 2020 and 2021 as a result of high sales growth. When the profit margin is examined, it can be seen to be stable, which is a sign of a successful company with capable management. It was clear that the business was successful since its gross profit margin was higher than that of its rivals and the industry standard.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4" w:name="_Toc227"/>
      <w:r>
        <w:rPr>
          <w:rFonts w:hint="default" w:ascii="Times New Roman" w:hAnsi="Times New Roman" w:cs="Times New Roman"/>
          <w:sz w:val="24"/>
          <w:szCs w:val="24"/>
          <w:lang w:val="en-US" w:eastAsia="zh-CN"/>
        </w:rPr>
        <w:t>Operating Profit Margin Ratio</w:t>
      </w:r>
      <w:bookmarkEnd w:id="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Operating profit margin is defined as the difference between operating income and net revenues. It determines profitability after removing the variable costs of production but leaves out interest and tax obligations.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Operating profit margin ratio= Operating profit/ Net sales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99"/>
        <w:gridCol w:w="1931"/>
        <w:gridCol w:w="1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Operating Profit</w:t>
            </w:r>
          </w:p>
        </w:tc>
        <w:tc>
          <w:tcPr>
            <w:tcW w:w="193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cs="Times New Roman"/>
                <w:b/>
                <w:bCs/>
                <w:sz w:val="24"/>
                <w:szCs w:val="24"/>
                <w:vertAlign w:val="baseline"/>
                <w:lang w:val="en-US"/>
              </w:rPr>
            </w:pPr>
            <w:r>
              <w:rPr>
                <w:rFonts w:hint="default" w:ascii="Times New Roman" w:hAnsi="Times New Roman" w:eastAsia="宋体" w:cs="Times New Roman"/>
                <w:snapToGrid w:val="0"/>
                <w:color w:val="000000"/>
                <w:kern w:val="0"/>
                <w:sz w:val="24"/>
                <w:szCs w:val="24"/>
                <w:lang w:val="en-US" w:eastAsia="zh-CN" w:bidi="ar"/>
              </w:rPr>
              <w:t>4,872,100</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1,561,700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Net Sales</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29,060,600</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9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Operating Profit Margin</w:t>
            </w:r>
          </w:p>
        </w:tc>
        <w:tc>
          <w:tcPr>
            <w:tcW w:w="193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16.77%</w:t>
            </w:r>
          </w:p>
        </w:tc>
        <w:tc>
          <w:tcPr>
            <w:tcW w:w="154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6.64%</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enterprise's profitability is correlated with how much operating profit its commodities sales generate.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operating profit margin increased noticeably from 2020 to 2021 and was greater than the industry average of 8.24%, showing that the company was earning enough from its operational processes to cover both its fixed expenses and its variable costs.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5" w:name="_Toc14989"/>
      <w:r>
        <w:rPr>
          <w:rFonts w:hint="eastAsia" w:ascii="Times New Roman" w:hAnsi="Times New Roman" w:cs="Times New Roman"/>
          <w:b/>
          <w:sz w:val="24"/>
          <w:szCs w:val="24"/>
          <w:lang w:val="en-US" w:eastAsia="zh-CN"/>
        </w:rPr>
        <w:t>Net Profit Margin Ratio</w:t>
      </w:r>
      <w:bookmarkEnd w:id="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net profit margin ratio demonstrates a company's ability to make money after subtracting taxes.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eastAsia" w:ascii="Times New Roman" w:hAnsi="Times New Roman" w:cs="Times New Roman"/>
          <w:b w:val="0"/>
          <w:bCs w:val="0"/>
          <w:sz w:val="24"/>
          <w:szCs w:val="24"/>
          <w:lang w:val="en-US" w:eastAsia="zh-CN"/>
        </w:rPr>
        <w:t xml:space="preserve">Net profit margin ratio= Net profit/ Revenue </w:t>
      </w:r>
      <w:r>
        <w:rPr>
          <w:rFonts w:hint="default" w:ascii="Times New Roman" w:hAnsi="Times New Roman" w:eastAsia="Arial" w:cs="Times New Roman"/>
          <w:b w:val="0"/>
          <w:bCs w:val="0"/>
          <w:color w:val="auto"/>
          <w:sz w:val="24"/>
          <w:szCs w:val="24"/>
          <w:lang w:val="en-US" w:eastAsia="zh-CN"/>
        </w:rPr>
        <w:t>x</w:t>
      </w:r>
      <w:r>
        <w:rPr>
          <w:rFonts w:hint="default" w:ascii="Times New Roman" w:hAnsi="Times New Roman" w:eastAsia="宋体" w:cs="Times New Roman"/>
          <w:b w:val="0"/>
          <w:bCs w:val="0"/>
          <w:spacing w:val="-1"/>
          <w:sz w:val="24"/>
          <w:szCs w:val="24"/>
          <w:lang w:val="en-US" w:eastAsia="zh-CN"/>
        </w:rPr>
        <w:t>100</w:t>
      </w:r>
      <w:r>
        <w:rPr>
          <w:rFonts w:hint="eastAsia" w:ascii="Times New Roman" w:hAnsi="Times New Roman" w:eastAsia="宋体" w:cs="Times New Roman"/>
          <w:b w:val="0"/>
          <w:bCs w:val="0"/>
          <w:spacing w:val="-1"/>
          <w:sz w:val="24"/>
          <w:szCs w:val="24"/>
          <w:lang w:val="en-US" w:eastAsia="zh-CN"/>
        </w:rPr>
        <w:t>%</w:t>
      </w:r>
    </w:p>
    <w:tbl>
      <w:tblPr>
        <w:tblStyle w:val="10"/>
        <w:tblpPr w:leftFromText="180" w:rightFromText="180" w:vertAnchor="text" w:horzAnchor="page" w:tblpXSpec="center" w:tblpY="405"/>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041"/>
        <w:gridCol w:w="1390"/>
        <w:gridCol w:w="1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Profit</w:t>
            </w:r>
          </w:p>
        </w:tc>
        <w:tc>
          <w:tcPr>
            <w:tcW w:w="1390"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4,199,300</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Revenue</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29,060,600</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04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Net Profit Margin</w:t>
            </w:r>
          </w:p>
        </w:tc>
        <w:tc>
          <w:tcPr>
            <w:tcW w:w="13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14.45%</w:t>
            </w:r>
          </w:p>
        </w:tc>
        <w:tc>
          <w:tcPr>
            <w:tcW w:w="151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3.95%</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center"/>
        <w:textAlignment w:val="auto"/>
        <w:rPr>
          <w:rFonts w:hint="default" w:ascii="Times New Roman" w:hAnsi="Times New Roman" w:cs="Times New Roman"/>
          <w:b w:val="0"/>
          <w:bCs w:val="0"/>
          <w:sz w:val="24"/>
          <w:szCs w:val="24"/>
          <w:lang w:val="en-US" w:eastAsia="zh-CN"/>
        </w:rPr>
      </w:pPr>
    </w:p>
    <w:p>
      <w:pPr>
        <w:bidi w:val="0"/>
        <w:rPr>
          <w:rFonts w:hint="default" w:asciiTheme="minorHAnsi" w:hAnsiTheme="minorHAnsi" w:eastAsiaTheme="minorEastAsia" w:cstheme="minorBidi"/>
          <w:kern w:val="2"/>
          <w:sz w:val="21"/>
          <w:szCs w:val="24"/>
          <w:lang w:val="en-US" w:eastAsia="zh-CN" w:bidi="ar-SA"/>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bidi w:val="0"/>
        <w:rPr>
          <w:rFonts w:hint="default"/>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was able to generate enough revenue from its sales while controlling its operating costs and administrative spending since the net profit margin increased between 2020 and 2021 and was higher than the 12.69% industry average.</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 xml:space="preserve">With increasing index size, business sales growth becomes more robust. By altering the net profit margin ratio, Starbucks may be </w:t>
      </w:r>
      <w:r>
        <w:rPr>
          <w:rFonts w:hint="eastAsia" w:ascii="Times New Roman" w:hAnsi="Times New Roman" w:cs="Times New Roman"/>
          <w:sz w:val="24"/>
          <w:szCs w:val="24"/>
          <w:lang w:val="en-US" w:eastAsia="zh-CN"/>
        </w:rPr>
        <w:t>motivated</w:t>
      </w:r>
      <w:r>
        <w:rPr>
          <w:rFonts w:hint="default" w:ascii="Times New Roman" w:hAnsi="Times New Roman" w:cs="Times New Roman"/>
          <w:sz w:val="24"/>
          <w:szCs w:val="24"/>
          <w:lang w:val="en-US" w:eastAsia="zh-CN"/>
        </w:rPr>
        <w:t xml:space="preserve"> to improve operational effectiveness and profitability while increasing revenue.</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6" w:name="_Toc3949"/>
      <w:r>
        <w:rPr>
          <w:rFonts w:hint="eastAsia" w:ascii="Times New Roman" w:hAnsi="Times New Roman" w:cs="Times New Roman"/>
          <w:b/>
          <w:sz w:val="24"/>
          <w:szCs w:val="24"/>
          <w:lang w:val="en-US" w:eastAsia="zh-CN"/>
        </w:rPr>
        <w:t>Return on Assets (ROA)</w:t>
      </w:r>
      <w:bookmarkEnd w:id="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This ratio demonstrates a company's profitability in relation to its assets. It determines the net profit generated per asset.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Return on assets= Net income/ Average total assets</w:t>
      </w:r>
    </w:p>
    <w:tbl>
      <w:tblPr>
        <w:tblStyle w:val="10"/>
        <w:tblW w:w="86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08"/>
        <w:gridCol w:w="3548"/>
        <w:gridCol w:w="35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2021</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Net Income</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4,199,300</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Average Total Assets</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(31392.6+29374.5)/2=30,383,500</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(29374.5+19219.6)/2=24,297,050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trPr>
        <w:tc>
          <w:tcPr>
            <w:tcW w:w="150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Return on Assets</w:t>
            </w:r>
          </w:p>
        </w:tc>
        <w:tc>
          <w:tcPr>
            <w:tcW w:w="3548"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13.8%</w:t>
            </w:r>
          </w:p>
        </w:tc>
        <w:tc>
          <w:tcPr>
            <w:tcW w:w="356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eastAsia" w:ascii="Times New Roman" w:hAnsi="Times New Roman" w:eastAsia="宋体" w:cs="Times New Roman"/>
                <w:snapToGrid w:val="0"/>
                <w:color w:val="000000"/>
                <w:kern w:val="0"/>
                <w:sz w:val="24"/>
                <w:szCs w:val="24"/>
                <w:lang w:val="en-US" w:eastAsia="zh-CN" w:bidi="ar"/>
              </w:rPr>
              <w:t>3.8%</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ROA shows that for the fiscal years that concluded in 2021 and 2020, separately, the firm generated $0.14 and $0.04 for every dollar of assets it had. It is greater than the industry average of 7.38% and lower than McDonald's ROA of 14.01%.</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has dramatically increased the rate at which it translates investments into net income, according to the indicator, showing that the corporation has achieved progress in both increasing sales and lowering its operating costs.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7" w:name="_Toc22183"/>
      <w:r>
        <w:rPr>
          <w:rFonts w:hint="eastAsia" w:ascii="Times New Roman" w:hAnsi="Times New Roman" w:cs="Times New Roman"/>
          <w:b/>
          <w:sz w:val="24"/>
          <w:szCs w:val="24"/>
          <w:lang w:val="en-US" w:eastAsia="zh-CN"/>
        </w:rPr>
        <w:t>Return on Equity (ROE)</w:t>
      </w:r>
      <w:bookmarkEnd w:id="7"/>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The return on equity ratio evaluates a company's capacity to generate returns on equity investments.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Return on equity= Net income/ Shareholder</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s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96"/>
        <w:gridCol w:w="1260"/>
        <w:gridCol w:w="18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Income</w:t>
            </w:r>
          </w:p>
        </w:tc>
        <w:tc>
          <w:tcPr>
            <w:tcW w:w="1260"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4,199,300</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928,300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Shareholder’s Equity</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-5,321,200</w:t>
            </w:r>
          </w:p>
        </w:tc>
        <w:tc>
          <w:tcPr>
            <w:tcW w:w="181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Return on Equity</w:t>
            </w:r>
          </w:p>
        </w:tc>
        <w:tc>
          <w:tcPr>
            <w:tcW w:w="12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-78.91%</w:t>
            </w:r>
          </w:p>
        </w:tc>
        <w:tc>
          <w:tcPr>
            <w:tcW w:w="18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-11.89%</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shouldn't compute ROE because its shareholders' equity is negative.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Starbucks' ROE in 2021 was -78.91%, comparable to that of its rival but lower than the industry average of 31.42%.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Massive debts or inconsistent profitability are among the most common issues when shareholders' equity is negative. For successful businesses that have used cash flow to buyback their own stocks, there are several exceptions. For many organizations, this serves as a replacement for dividend payments, and over time, it may reduce equity levels to the point where the calculation is negative.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sz w:val="24"/>
          <w:szCs w:val="24"/>
          <w:lang w:val="en-US" w:eastAsia="zh-CN"/>
        </w:rPr>
      </w:pPr>
      <w:r>
        <w:rPr>
          <w:rFonts w:hint="default" w:ascii="Times New Roman" w:hAnsi="Times New Roman" w:cs="Times New Roman"/>
          <w:sz w:val="24"/>
          <w:szCs w:val="24"/>
          <w:lang w:val="en-US" w:eastAsia="zh-CN"/>
        </w:rPr>
        <w:t>Nonetheless, the bulk of negative or extremely high ROE numbers should be viewed as a warning sign that requires additional investigation.</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8" w:name="_Toc3350"/>
      <w:r>
        <w:rPr>
          <w:rFonts w:hint="default" w:ascii="Times New Roman" w:hAnsi="Times New Roman" w:cs="Times New Roman"/>
          <w:sz w:val="24"/>
          <w:szCs w:val="24"/>
          <w:lang w:val="en-US" w:eastAsia="zh-CN"/>
        </w:rPr>
        <w:t>Liquidity Ratio</w:t>
      </w:r>
      <w:bookmarkEnd w:id="8"/>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ability of a corporation to meet its short-term liabilities is determined by its liquidity ratios (Ignacio, 2012).</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Liquidity is the ability of current assets to be converted into cash at the end of a specified period of time. Also, it represents a firm's ability to settle its debts with cash or other assets that may be quickly transformed into cash.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liquidity ratios that will be evaluated include the current ratio, quick ratio, and cash ratio.</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9" w:name="_Toc27747"/>
      <w:r>
        <w:rPr>
          <w:rFonts w:hint="default" w:ascii="Times New Roman" w:hAnsi="Times New Roman" w:cs="Times New Roman"/>
          <w:sz w:val="24"/>
          <w:szCs w:val="24"/>
          <w:lang w:val="en-US" w:eastAsia="zh-CN"/>
        </w:rPr>
        <w:t>Current Ratio</w:t>
      </w:r>
      <w:bookmarkEnd w:id="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current ratio gauges a company's capacity to meet short-term financial commitments. It explains to investors and market analysts how a business might maximize the current assets on its balance sheet to pay off its other payables and current debt.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Current </w:t>
      </w:r>
      <w:r>
        <w:rPr>
          <w:rFonts w:hint="eastAsia" w:ascii="Times New Roman" w:hAnsi="Times New Roman" w:eastAsia="宋体" w:cs="Times New Roman"/>
          <w:b w:val="0"/>
          <w:bCs w:val="0"/>
          <w:spacing w:val="-1"/>
          <w:sz w:val="24"/>
          <w:szCs w:val="24"/>
          <w:lang w:val="en-US" w:eastAsia="zh-CN"/>
        </w:rPr>
        <w:t>r</w:t>
      </w:r>
      <w:r>
        <w:rPr>
          <w:rFonts w:hint="default" w:ascii="Times New Roman" w:hAnsi="Times New Roman" w:eastAsia="宋体" w:cs="Times New Roman"/>
          <w:b w:val="0"/>
          <w:bCs w:val="0"/>
          <w:spacing w:val="-1"/>
          <w:sz w:val="24"/>
          <w:szCs w:val="24"/>
          <w:lang w:val="en-US" w:eastAsia="zh-CN"/>
        </w:rPr>
        <w:t xml:space="preserve">atio= Current </w:t>
      </w:r>
      <w:r>
        <w:rPr>
          <w:rFonts w:hint="eastAsia" w:ascii="Times New Roman" w:hAnsi="Times New Roman" w:eastAsia="宋体" w:cs="Times New Roman"/>
          <w:b w:val="0"/>
          <w:bCs w:val="0"/>
          <w:spacing w:val="-1"/>
          <w:sz w:val="24"/>
          <w:szCs w:val="24"/>
          <w:lang w:val="en-US" w:eastAsia="zh-CN"/>
        </w:rPr>
        <w:t>a</w:t>
      </w:r>
      <w:r>
        <w:rPr>
          <w:rFonts w:hint="default" w:ascii="Times New Roman" w:hAnsi="Times New Roman" w:eastAsia="宋体" w:cs="Times New Roman"/>
          <w:b w:val="0"/>
          <w:bCs w:val="0"/>
          <w:spacing w:val="-1"/>
          <w:sz w:val="24"/>
          <w:szCs w:val="24"/>
          <w:lang w:val="en-US" w:eastAsia="zh-CN"/>
        </w:rPr>
        <w:t xml:space="preserve">ssets/ Current </w:t>
      </w:r>
      <w:r>
        <w:rPr>
          <w:rFonts w:hint="eastAsia" w:ascii="Times New Roman" w:hAnsi="Times New Roman" w:eastAsia="宋体" w:cs="Times New Roman"/>
          <w:b w:val="0"/>
          <w:bCs w:val="0"/>
          <w:spacing w:val="-1"/>
          <w:sz w:val="24"/>
          <w:szCs w:val="24"/>
          <w:lang w:val="en-US" w:eastAsia="zh-CN"/>
        </w:rPr>
        <w:t>l</w:t>
      </w:r>
      <w:r>
        <w:rPr>
          <w:rFonts w:hint="default" w:ascii="Times New Roman" w:hAnsi="Times New Roman" w:eastAsia="宋体" w:cs="Times New Roman"/>
          <w:b w:val="0"/>
          <w:bCs w:val="0"/>
          <w:spacing w:val="-1"/>
          <w:sz w:val="24"/>
          <w:szCs w:val="24"/>
          <w:lang w:val="en-US" w:eastAsia="zh-CN"/>
        </w:rPr>
        <w:t>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60"/>
        <w:gridCol w:w="1392"/>
        <w:gridCol w:w="13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1" w:hRule="atLeast"/>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Current Assets</w:t>
            </w:r>
          </w:p>
        </w:tc>
        <w:tc>
          <w:tcPr>
            <w:tcW w:w="1392"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Liabilities</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48"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6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Ratio</w:t>
            </w:r>
          </w:p>
        </w:tc>
        <w:tc>
          <w:tcPr>
            <w:tcW w:w="13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1.20</w:t>
            </w:r>
          </w:p>
        </w:tc>
        <w:tc>
          <w:tcPr>
            <w:tcW w:w="1348"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1.06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corporation has the ability to maintain its short-term sustainability if its current ratio is greater than 1.00.</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a study of the current ratios for 2020 and 2021, Starbucks' current ratio increased from 1.06 to 1.20, falling short of McDonald's 1.78 and the industry's 1.21.</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higher current ratio is preferable since it shows the company's ability to utilise its current assets to offset its liabilities. Hence, it must pay $1.2 for every dollar in liabilities, according to this. Moreover, the ratio between short-term asset value and short-term obligation value is larger.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Yet, if the current ratio is below the industry standard, there may be a greater risk of instability or default.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0" w:name="_Toc4578"/>
      <w:r>
        <w:rPr>
          <w:rFonts w:hint="eastAsia" w:ascii="Times New Roman" w:hAnsi="Times New Roman" w:cs="Times New Roman"/>
          <w:b/>
          <w:sz w:val="24"/>
          <w:szCs w:val="24"/>
          <w:lang w:val="en-US" w:eastAsia="zh-CN"/>
        </w:rPr>
        <w:t>Quick Ratio</w:t>
      </w:r>
      <w:bookmarkEnd w:id="1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ability of a business to pay off all of its short-term obligations using its total quick assets is measured by this ratio.</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Quick Ratio= Current Assets- Inventory/ Current Liabilities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4"/>
        <w:gridCol w:w="1356"/>
        <w:gridCol w:w="13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Current Assets</w:t>
            </w:r>
          </w:p>
        </w:tc>
        <w:tc>
          <w:tcPr>
            <w:tcW w:w="1356"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Inventory</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1603.9</w:t>
            </w:r>
          </w:p>
        </w:tc>
        <w:tc>
          <w:tcPr>
            <w:tcW w:w="134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1551.4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Current Liabilities</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12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Quick Ratio</w:t>
            </w:r>
          </w:p>
        </w:tc>
        <w:tc>
          <w:tcPr>
            <w:tcW w:w="135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1.00</w:t>
            </w:r>
          </w:p>
        </w:tc>
        <w:tc>
          <w:tcPr>
            <w:tcW w:w="134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0.85</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The quick ratio, which is also known as the acid-test ratio, is similar to the current ratio with the exception that inventory is subtracted. The business would have enough cash on hand to pay 85% of its debt commitments in fiscal year 2020 if it had to liquidate its current assets. The increase in current assets is what caused the subsequent increase to 1 in 2021.</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Starbucks may not be able to quickly settle all of its existing liabilities since its quick ratio in 2020 was less than 1.</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While the quick ratio on average is predicted to be 1 in 2021. It indicates that the company has exactly the right amount of assets available to meet all of its immediate obligations.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corporation has the money on hand to pay back short-term debts. Also, because of this ratio, the company does not overspend on its liquid assets.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1" w:name="_Toc13733"/>
      <w:r>
        <w:rPr>
          <w:rFonts w:hint="eastAsia" w:ascii="Times New Roman" w:hAnsi="Times New Roman" w:cs="Times New Roman"/>
          <w:b/>
          <w:sz w:val="24"/>
          <w:szCs w:val="24"/>
          <w:lang w:val="en-US" w:eastAsia="zh-CN"/>
        </w:rPr>
        <w:t>Cash Ratio</w:t>
      </w:r>
      <w:bookmarkEnd w:id="1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This calculation compares a company's total cash and cash equivalents to its current obligations. The cash ratio is used to evaluate a company's capacity to pay down short-term debt with readily available liquidated resources.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Cash Ratio= Cash+Cash Equivalents/ Total Current Liabilities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45"/>
        <w:gridCol w:w="1235"/>
        <w:gridCol w:w="13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Cash+Cash Equivalents</w:t>
            </w:r>
          </w:p>
        </w:tc>
        <w:tc>
          <w:tcPr>
            <w:tcW w:w="1235"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6455.7</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4350.9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Current Liabilities</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8151.4</w:t>
            </w:r>
          </w:p>
        </w:tc>
        <w:tc>
          <w:tcPr>
            <w:tcW w:w="1390" w:type="dxa"/>
            <w:vAlign w:val="center"/>
          </w:tcPr>
          <w:p>
            <w:pPr>
              <w:keepNext w:val="0"/>
              <w:keepLines w:val="0"/>
              <w:widowControl w:val="0"/>
              <w:suppressLineNumbers w:val="0"/>
              <w:spacing w:before="0" w:beforeAutospacing="0" w:after="0" w:afterAutospacing="0" w:line="255" w:lineRule="auto"/>
              <w:ind w:right="0" w:firstLine="240" w:firstLineChars="100"/>
              <w:jc w:val="both"/>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7346.8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Cash Ratio</w:t>
            </w:r>
          </w:p>
        </w:tc>
        <w:tc>
          <w:tcPr>
            <w:tcW w:w="12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0.79</w:t>
            </w:r>
          </w:p>
        </w:tc>
        <w:tc>
          <w:tcPr>
            <w:tcW w:w="139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0.59</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By 2021, Starbucks' cash ratio had gradually increased. The average cash to equity ratio at Starbucks was higher than the average industry of 0.68 and lower than the benchmark at McDonald's, which was 1.17. Due to its negative cash ratio, Starbucks has more current liabilities than cash and cash equivalents. It indicates a lack of resources to pay off short-term debt.</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2" w:name="_Toc12871"/>
      <w:r>
        <w:rPr>
          <w:rFonts w:hint="default" w:ascii="Times New Roman" w:hAnsi="Times New Roman" w:cs="Times New Roman"/>
          <w:sz w:val="24"/>
          <w:szCs w:val="24"/>
          <w:lang w:val="en-US" w:eastAsia="zh-CN"/>
        </w:rPr>
        <w:t>Efficiency Ratios</w:t>
      </w:r>
      <w:bookmarkEnd w:id="1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effectiveness of a company's operations determines how effectively it handles its resources. A company that is performing well should be able to afford to purchase capital assets, cover operational costs, and offer products and services. Many ratios can be used to assess a company's operational effectiveness. Inventory turnover, working capital turnover, the assets turnover ratio, payable turnover, capital turnover, and accounts receivable turnover ratio are some of these ratios.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They are directly relevant to how efficiently business dealings are transformed into cash (Davies, 2011).</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3" w:name="_Toc22158"/>
      <w:r>
        <w:rPr>
          <w:rFonts w:hint="default" w:ascii="Times New Roman" w:hAnsi="Times New Roman" w:cs="Times New Roman"/>
          <w:sz w:val="24"/>
          <w:szCs w:val="24"/>
          <w:lang w:val="en-US" w:eastAsia="zh-CN"/>
        </w:rPr>
        <w:t>Accounts Receivable Turnover</w:t>
      </w:r>
      <w:bookmarkEnd w:id="13"/>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How quickly a business receives money for the products and services it provides is determined by the turnover of its accounts receivable. It is used to provide information about the overall cash flow and net worth. The amount of accessible operating cash is examined by the receivable turnover to determine operational effectiveness. The ratio also tracks how frequently a company's receivables are converted into cash over a predetermined time frame.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cs="Times New Roman"/>
          <w:b w:val="0"/>
          <w:bCs w:val="0"/>
          <w:spacing w:val="-2"/>
          <w:sz w:val="24"/>
          <w:szCs w:val="24"/>
          <w:lang w:val="en-US" w:eastAsia="zh-CN"/>
        </w:rPr>
      </w:pPr>
      <w:r>
        <w:rPr>
          <w:rFonts w:hint="default" w:ascii="Times New Roman" w:hAnsi="Times New Roman" w:cs="Times New Roman"/>
          <w:b w:val="0"/>
          <w:bCs w:val="0"/>
          <w:spacing w:val="-2"/>
          <w:sz w:val="24"/>
          <w:szCs w:val="24"/>
          <w:lang w:val="en-US" w:eastAsia="zh-CN"/>
        </w:rPr>
        <w:t xml:space="preserve">Accounts </w:t>
      </w:r>
      <w:r>
        <w:rPr>
          <w:rFonts w:hint="eastAsia" w:ascii="Times New Roman" w:hAnsi="Times New Roman" w:cs="Times New Roman"/>
          <w:b w:val="0"/>
          <w:bCs w:val="0"/>
          <w:spacing w:val="-2"/>
          <w:sz w:val="24"/>
          <w:szCs w:val="24"/>
          <w:lang w:val="en-US" w:eastAsia="zh-CN"/>
        </w:rPr>
        <w:t>R</w:t>
      </w:r>
      <w:r>
        <w:rPr>
          <w:rFonts w:hint="default" w:ascii="Times New Roman" w:hAnsi="Times New Roman" w:cs="Times New Roman"/>
          <w:b w:val="0"/>
          <w:bCs w:val="0"/>
          <w:spacing w:val="-2"/>
          <w:sz w:val="24"/>
          <w:szCs w:val="24"/>
          <w:lang w:val="en-US" w:eastAsia="zh-CN"/>
        </w:rPr>
        <w:t xml:space="preserve">eceivable </w:t>
      </w:r>
      <w:r>
        <w:rPr>
          <w:rFonts w:hint="eastAsia" w:ascii="Times New Roman" w:hAnsi="Times New Roman" w:cs="Times New Roman"/>
          <w:b w:val="0"/>
          <w:bCs w:val="0"/>
          <w:spacing w:val="-2"/>
          <w:sz w:val="24"/>
          <w:szCs w:val="24"/>
          <w:lang w:val="en-US" w:eastAsia="zh-CN"/>
        </w:rPr>
        <w:t>T</w:t>
      </w:r>
      <w:r>
        <w:rPr>
          <w:rFonts w:hint="default" w:ascii="Times New Roman" w:hAnsi="Times New Roman" w:cs="Times New Roman"/>
          <w:b w:val="0"/>
          <w:bCs w:val="0"/>
          <w:spacing w:val="-2"/>
          <w:sz w:val="24"/>
          <w:szCs w:val="24"/>
          <w:lang w:val="en-US" w:eastAsia="zh-CN"/>
        </w:rPr>
        <w:t>urnover= Net Credit Sales/ Average Accounts Receivable</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196"/>
        <w:gridCol w:w="2294"/>
        <w:gridCol w:w="2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Credit Sales</w:t>
            </w:r>
          </w:p>
        </w:tc>
        <w:tc>
          <w:tcPr>
            <w:tcW w:w="2294"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Accounts Receivable</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(940+883.4)/2=911.7</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(883.4+879.2)/2=856.3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3196"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Receivable Turnover</w:t>
            </w:r>
          </w:p>
        </w:tc>
        <w:tc>
          <w:tcPr>
            <w:tcW w:w="2294"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31.88</w:t>
            </w:r>
          </w:p>
        </w:tc>
        <w:tc>
          <w:tcPr>
            <w:tcW w:w="247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27.46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turnover of Starbucks' receivables grew between 2020 and 2021, exceeding the 22.62 average for the consumer discretionary industry.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may be successful at recovering its debts if its accounts receivable turnover ratio is high.</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Starbucks has good asset liquidity, quick accounts receivable recovery, and strong short-term solvency.</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4" w:name="_Toc25956"/>
      <w:r>
        <w:rPr>
          <w:rFonts w:hint="eastAsia" w:ascii="Times New Roman" w:hAnsi="Times New Roman" w:cs="Times New Roman"/>
          <w:b/>
          <w:sz w:val="24"/>
          <w:szCs w:val="24"/>
          <w:lang w:val="en-US" w:eastAsia="zh-CN"/>
        </w:rPr>
        <w:t>Accounts Payable Turnover</w:t>
      </w:r>
      <w:bookmarkEnd w:id="14"/>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accounts payable turnover ratio reveals how efficiently a company pays its immediate suppliers and bills. The accounts payable turnover reveals how frequently a business settles its accounts payable in a specific time frame.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Accounts Payable Turnover= Net Credit Purchases/ Average Accounts Payable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Net Credit Purchases=COGS+Ending Inventory- SI</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108"/>
        <w:gridCol w:w="3207"/>
        <w:gridCol w:w="320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Credit Purchases</w:t>
            </w:r>
          </w:p>
        </w:tc>
        <w:tc>
          <w:tcPr>
            <w:tcW w:w="3207"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9738.7+1603.9-1551.4=9791.2</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7694.9+1603.9-1529.4=7769.4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Accounts Payable</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(1211.6+997.9)/2=1104.75</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(997.9+1189.7)/2=1093.8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2"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Payable Turnover</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8.86</w:t>
            </w:r>
          </w:p>
        </w:tc>
        <w:tc>
          <w:tcPr>
            <w:tcW w:w="320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7.10</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comparison to the Consumer Discretionary average of 4.69, Starbucks' payment turnover climbed gradually during 2020 and 2021. This confirms that Starbucks has sufficient money on hand to satisfy all of its immediate financial liabilities.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 ratio that has been continuously increasing could indicate that the company is not reinvesting money into its activities, which could lead to long-term lower growth rates and fewer earnings.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As a result, Starbucks should generate enough revenue to pay off its loans quickly without sacrificing the chance to invest in other companies.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5" w:name="_Toc10067"/>
      <w:r>
        <w:rPr>
          <w:rFonts w:hint="eastAsia" w:ascii="Times New Roman" w:hAnsi="Times New Roman" w:cs="Times New Roman"/>
          <w:b/>
          <w:sz w:val="24"/>
          <w:szCs w:val="24"/>
          <w:lang w:val="en-US" w:eastAsia="zh-CN"/>
        </w:rPr>
        <w:t>Assets Turnover Ratio</w:t>
      </w:r>
      <w:bookmarkEnd w:id="1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assets turnover ratio assesses how well a company uses its assets to generate revenue or sales, as well as how much it uses those same assets to sustain operations and make a profit.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Assets Turnover Ratio= Net Sales/ Average Total Assets</w:t>
      </w:r>
    </w:p>
    <w:tbl>
      <w:tblPr>
        <w:tblStyle w:val="10"/>
        <w:tblW w:w="8943" w:type="dxa"/>
        <w:tblInd w:w="-36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35"/>
        <w:gridCol w:w="3335"/>
        <w:gridCol w:w="387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Net Sales</w:t>
            </w:r>
          </w:p>
        </w:tc>
        <w:tc>
          <w:tcPr>
            <w:tcW w:w="3335"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29,060,600</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2"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Total Assets</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(31392.6+29374.5)/2=30383.55</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(29374.5+19219.6)/2=24297.05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8" w:hRule="atLeast"/>
        </w:trPr>
        <w:tc>
          <w:tcPr>
            <w:tcW w:w="17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Accounts Turnover Ratio</w:t>
            </w:r>
          </w:p>
        </w:tc>
        <w:tc>
          <w:tcPr>
            <w:tcW w:w="3335"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0.96</w:t>
            </w:r>
          </w:p>
        </w:tc>
        <w:tc>
          <w:tcPr>
            <w:tcW w:w="387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0.97</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Although it decreased between 2020 and 2021, Starbucks' assets turnover ratio was still greater in 2021 than the 0.89 industry average for consumer discretionary goods. Due to the slowdown in asset turnover, which also impacted the company's sales capacity, asset utilization efficiency has declined. The decrease in sales brought on by COVID-19 is the cause of the lower asset turnover.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Yet, if assets exceeded revenues, it can mean that the company has a large amount of inventories or assets that aren't being used to create revenue.</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6" w:name="_Toc12765"/>
      <w:r>
        <w:rPr>
          <w:rFonts w:hint="eastAsia" w:ascii="Times New Roman" w:hAnsi="Times New Roman" w:cs="Times New Roman"/>
          <w:b/>
          <w:sz w:val="24"/>
          <w:szCs w:val="24"/>
          <w:lang w:val="en-US" w:eastAsia="zh-CN"/>
        </w:rPr>
        <w:t>Capital Turnover Ratio</w:t>
      </w:r>
      <w:bookmarkEnd w:id="1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C</w:t>
      </w:r>
      <w:r>
        <w:rPr>
          <w:rFonts w:hint="default" w:ascii="Times New Roman" w:hAnsi="Times New Roman" w:cs="Times New Roman"/>
          <w:b w:val="0"/>
          <w:bCs w:val="0"/>
          <w:sz w:val="24"/>
          <w:szCs w:val="24"/>
          <w:lang w:val="en-US" w:eastAsia="zh-CN"/>
        </w:rPr>
        <w:t xml:space="preserve">apital turnover </w:t>
      </w:r>
      <w:r>
        <w:rPr>
          <w:rFonts w:hint="eastAsia" w:ascii="Times New Roman" w:hAnsi="Times New Roman" w:cs="Times New Roman"/>
          <w:b w:val="0"/>
          <w:bCs w:val="0"/>
          <w:sz w:val="24"/>
          <w:szCs w:val="24"/>
          <w:lang w:val="en-US" w:eastAsia="zh-CN"/>
        </w:rPr>
        <w:t xml:space="preserve">is a financial ratio that </w:t>
      </w:r>
      <w:r>
        <w:rPr>
          <w:rFonts w:hint="default" w:ascii="Times New Roman" w:hAnsi="Times New Roman" w:cs="Times New Roman"/>
          <w:b w:val="0"/>
          <w:bCs w:val="0"/>
          <w:sz w:val="24"/>
          <w:szCs w:val="24"/>
          <w:lang w:val="en-US" w:eastAsia="zh-CN"/>
        </w:rPr>
        <w:t>gauges how well a business may use equity money to boost sales.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Capital Turnover Ratio= Total Sales/ Shareholder’s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637"/>
        <w:gridCol w:w="1643"/>
        <w:gridCol w:w="15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Sales</w:t>
            </w:r>
          </w:p>
        </w:tc>
        <w:tc>
          <w:tcPr>
            <w:tcW w:w="1643" w:type="dxa"/>
            <w:vAlign w:val="center"/>
          </w:tcPr>
          <w:p>
            <w:pPr>
              <w:keepNext w:val="0"/>
              <w:keepLines w:val="0"/>
              <w:widowControl/>
              <w:suppressLineNumbers w:val="0"/>
              <w:spacing w:before="0" w:beforeAutospacing="0" w:after="0" w:afterAutospacing="0"/>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Shareholder’s Equity</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637"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Capital Turnover Ratio</w:t>
            </w:r>
          </w:p>
        </w:tc>
        <w:tc>
          <w:tcPr>
            <w:tcW w:w="1643"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w:t>
            </w:r>
            <w:r>
              <w:rPr>
                <w:rFonts w:hint="default" w:ascii="Times New Roman" w:hAnsi="Times New Roman" w:eastAsia="宋体" w:cs="Times New Roman"/>
                <w:b w:val="0"/>
                <w:bCs w:val="0"/>
                <w:sz w:val="24"/>
                <w:szCs w:val="24"/>
                <w:vertAlign w:val="baseline"/>
                <w:lang w:val="en-US" w:eastAsia="zh-CN"/>
              </w:rPr>
              <w:t>5.46</w:t>
            </w:r>
          </w:p>
        </w:tc>
        <w:tc>
          <w:tcPr>
            <w:tcW w:w="1510" w:type="dxa"/>
            <w:vAlign w:val="center"/>
          </w:tcPr>
          <w:p>
            <w:pPr>
              <w:keepNext w:val="0"/>
              <w:keepLines w:val="0"/>
              <w:widowControl w:val="0"/>
              <w:suppressLineNumbers w:val="0"/>
              <w:spacing w:before="0" w:beforeAutospacing="0" w:after="0" w:afterAutospacing="0" w:line="255" w:lineRule="auto"/>
              <w:ind w:left="0" w:right="0"/>
              <w:jc w:val="center"/>
              <w:rPr>
                <w:rFonts w:hint="default" w:ascii="Times New Roman" w:hAnsi="Times New Roman" w:eastAsia="宋体" w:cs="Times New Roman"/>
                <w:b w:val="0"/>
                <w:bCs w:val="0"/>
                <w:sz w:val="24"/>
                <w:szCs w:val="24"/>
                <w:vertAlign w:val="baseline"/>
                <w:lang w:val="en-US" w:eastAsia="zh-CN"/>
              </w:rPr>
            </w:pPr>
            <w:r>
              <w:rPr>
                <w:rFonts w:hint="eastAsia" w:ascii="Times New Roman" w:hAnsi="Times New Roman" w:eastAsia="宋体" w:cs="Times New Roman"/>
                <w:b w:val="0"/>
                <w:bCs w:val="0"/>
                <w:sz w:val="24"/>
                <w:szCs w:val="24"/>
                <w:vertAlign w:val="baseline"/>
                <w:lang w:val="en-US" w:eastAsia="zh-CN"/>
              </w:rPr>
              <w:t>-</w:t>
            </w:r>
            <w:r>
              <w:rPr>
                <w:rFonts w:hint="default" w:ascii="Times New Roman" w:hAnsi="Times New Roman" w:eastAsia="宋体" w:cs="Times New Roman"/>
                <w:b w:val="0"/>
                <w:bCs w:val="0"/>
                <w:sz w:val="24"/>
                <w:szCs w:val="24"/>
                <w:vertAlign w:val="baseline"/>
                <w:lang w:val="en-US" w:eastAsia="zh-CN"/>
              </w:rPr>
              <w:t>3.01</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When the shareholders' equity balance is negative, liabilities exceed assets.</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Between 2020 and 2021, Starbucks' capital turnover ratio drastically decreased, demonstrating that neither its own capital nor the money contributed by shareholders is being fully utilized.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7" w:name="_Toc3627"/>
      <w:r>
        <w:rPr>
          <w:rFonts w:hint="eastAsia" w:ascii="Times New Roman" w:hAnsi="Times New Roman" w:cs="Times New Roman"/>
          <w:b/>
          <w:sz w:val="24"/>
          <w:szCs w:val="24"/>
          <w:lang w:val="en-US" w:eastAsia="zh-CN"/>
        </w:rPr>
        <w:t>Inventory Turnover Ratio</w:t>
      </w:r>
      <w:bookmarkEnd w:id="17"/>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Inventory turnover is thought to be the best way for measuring the efficiency ratio. This is because it provides accurate and timely information about how effectively a business is using the products it buys.</w:t>
      </w:r>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Inventory Turnover Ratio= Cost of Goods Sold/Average Inventory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3"/>
        <w:gridCol w:w="2934"/>
        <w:gridCol w:w="28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Cost of Goods Sold</w:t>
            </w:r>
          </w:p>
        </w:tc>
        <w:tc>
          <w:tcPr>
            <w:tcW w:w="2934"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20,669,600</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18,458,900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Average Inventory</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(1603.9+1551.4)/2=1577.65</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(1551.4+1529.4)/2=1540.4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3"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Inventory Turnover Ratio</w:t>
            </w:r>
          </w:p>
        </w:tc>
        <w:tc>
          <w:tcPr>
            <w:tcW w:w="293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13.1</w:t>
            </w:r>
          </w:p>
        </w:tc>
        <w:tc>
          <w:tcPr>
            <w:tcW w:w="2849"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11.9</w:t>
            </w:r>
          </w:p>
        </w:tc>
      </w:tr>
    </w:tbl>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The inventory turnover at Starbucks increased between 2020 and 2021. Compared to the 6.88 recorded by the consumer discretionary industry, Starbucks' inventory turnover was higher. This shows the company's strong sales, but it can also indicate that there aren't enough stocks on hand.</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18" w:name="_Toc32427"/>
      <w:r>
        <w:rPr>
          <w:rFonts w:hint="eastAsia" w:ascii="Times New Roman" w:hAnsi="Times New Roman" w:cs="Times New Roman"/>
          <w:b/>
          <w:sz w:val="24"/>
          <w:szCs w:val="24"/>
          <w:lang w:val="en-US" w:eastAsia="zh-CN"/>
        </w:rPr>
        <w:t>Working Capital Turnover Ratio</w:t>
      </w:r>
      <w:bookmarkEnd w:id="18"/>
    </w:p>
    <w:p>
      <w:pPr>
        <w:keepNext w:val="0"/>
        <w:keepLines w:val="0"/>
        <w:pageBreakBefore w:val="0"/>
        <w:widowControl/>
        <w:numPr>
          <w:ilvl w:val="0"/>
          <w:numId w:val="0"/>
        </w:numPr>
        <w:kinsoku w:val="0"/>
        <w:wordWrap/>
        <w:overflowPunct/>
        <w:topLinePunct w:val="0"/>
        <w:autoSpaceDE w:val="0"/>
        <w:autoSpaceDN w:val="0"/>
        <w:bidi w:val="0"/>
        <w:adjustRightInd w:val="0"/>
        <w:snapToGrid w:val="0"/>
        <w:spacing w:before="69"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Working capital turnover measures the relationship between the resources used to fund an organization's operations and the revenue required for a business to generate a profit.</w:t>
      </w:r>
    </w:p>
    <w:p>
      <w:pPr>
        <w:keepNext w:val="0"/>
        <w:keepLines w:val="0"/>
        <w:pageBreakBefore w:val="0"/>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Working Capital Turnover Ratio= Sales/ Working Capital</w:t>
      </w:r>
    </w:p>
    <w:p>
      <w:pPr>
        <w:keepNext w:val="0"/>
        <w:keepLines w:val="0"/>
        <w:pageBreakBefore w:val="0"/>
        <w:kinsoku w:val="0"/>
        <w:wordWrap/>
        <w:overflowPunct/>
        <w:topLinePunct w:val="0"/>
        <w:autoSpaceDE w:val="0"/>
        <w:autoSpaceDN w:val="0"/>
        <w:bidi w:val="0"/>
        <w:adjustRightInd w:val="0"/>
        <w:snapToGrid w:val="0"/>
        <w:spacing w:before="69" w:line="360" w:lineRule="auto"/>
        <w:textAlignment w:val="baseline"/>
        <w:rPr>
          <w:rFonts w:hint="default" w:ascii="Times New Roman" w:hAnsi="Times New Roman" w:eastAsia="宋体" w:cs="Times New Roman"/>
          <w:b w:val="0"/>
          <w:bCs w:val="0"/>
          <w:color w:val="auto"/>
          <w:spacing w:val="-1"/>
          <w:sz w:val="24"/>
          <w:szCs w:val="24"/>
          <w:lang w:val="en-US" w:eastAsia="zh-CN"/>
        </w:rPr>
      </w:pPr>
      <w:r>
        <w:rPr>
          <w:rFonts w:hint="default" w:ascii="Times New Roman" w:hAnsi="Times New Roman" w:eastAsia="宋体" w:cs="Times New Roman"/>
          <w:b w:val="0"/>
          <w:bCs w:val="0"/>
          <w:color w:val="auto"/>
          <w:spacing w:val="-1"/>
          <w:sz w:val="24"/>
          <w:szCs w:val="24"/>
          <w:lang w:val="en-US" w:eastAsia="zh-CN"/>
        </w:rPr>
        <w:t>Working Capital= Current assets- Current Liabilities</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3"/>
        <w:gridCol w:w="2844"/>
        <w:gridCol w:w="28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trPr>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Sales</w:t>
            </w:r>
          </w:p>
        </w:tc>
        <w:tc>
          <w:tcPr>
            <w:tcW w:w="2851"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29060.6</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23518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Working Capital</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9756.4-8151.4=1605</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7806.4-7346.8=459.6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Working Capital Turnover Ratio</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18.1</w:t>
            </w:r>
          </w:p>
        </w:tc>
        <w:tc>
          <w:tcPr>
            <w:tcW w:w="2851"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51.1</w:t>
            </w:r>
          </w:p>
        </w:tc>
      </w:tr>
    </w:tbl>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eastAsia" w:ascii="Times New Roman" w:hAnsi="Times New Roman" w:eastAsia="宋体" w:cs="Times New Roman"/>
          <w:b w:val="0"/>
          <w:bCs w:val="0"/>
          <w:sz w:val="24"/>
          <w:szCs w:val="24"/>
          <w:lang w:val="en-US" w:eastAsia="zh-CN"/>
        </w:rPr>
      </w:pPr>
      <w:r>
        <w:rPr>
          <w:rFonts w:hint="eastAsia" w:ascii="Times New Roman" w:hAnsi="Times New Roman" w:eastAsia="宋体" w:cs="Times New Roman"/>
          <w:b w:val="0"/>
          <w:bCs w:val="0"/>
          <w:sz w:val="24"/>
          <w:szCs w:val="24"/>
          <w:lang w:val="en-US" w:eastAsia="zh-CN"/>
        </w:rPr>
        <w:t>This ratio indicates that working capital is being utilized at a lower rate, and although sales may not be enough, they are still higher than the 13.21 for the Consumer Discretionary industry.</w:t>
      </w:r>
    </w:p>
    <w:p>
      <w:pPr>
        <w:pStyle w:val="3"/>
        <w:keepNext/>
        <w:keepLines/>
        <w:pageBreakBefore w:val="0"/>
        <w:widowControl w:val="0"/>
        <w:numPr>
          <w:ilvl w:val="1"/>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19" w:name="_Toc29021"/>
      <w:r>
        <w:rPr>
          <w:rFonts w:hint="default" w:ascii="Times New Roman" w:hAnsi="Times New Roman" w:cs="Times New Roman"/>
          <w:sz w:val="24"/>
          <w:szCs w:val="24"/>
          <w:lang w:val="en-US" w:eastAsia="zh-CN"/>
        </w:rPr>
        <w:t>Solvency Ratios</w:t>
      </w:r>
      <w:bookmarkEnd w:id="19"/>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company's obligations are broadly explained by the solvency ratios, which also demonstrate whether cash flows can cover fixed costs and interest payments. Assets that are often financed from both inside and outside funding include bonds, bank borrowings, securities convertible into loans, and short-term obligations like overdrafts and accounts payable (Gitman, 2008).</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 situation where the corporation has little control over the receivables being collected, the employer needs to keep enough cash on hand to handle the short-term volatility that is brought on by this (Fadel and Parkinson, 1978).</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0" w:name="_Toc3940"/>
      <w:r>
        <w:rPr>
          <w:rFonts w:hint="default" w:ascii="Times New Roman" w:hAnsi="Times New Roman" w:cs="Times New Roman"/>
          <w:sz w:val="24"/>
          <w:szCs w:val="24"/>
          <w:lang w:val="en-US" w:eastAsia="zh-CN"/>
        </w:rPr>
        <w:t>Debt Ratio</w:t>
      </w:r>
      <w:bookmarkEnd w:id="2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It helps determine organizational leverage by comparing total debt to total assets. The financial resources that the company utilizes to carry out its operational activities should be evaluated.</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Debt Ratio= Total Liabilities/ Total Assets</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95"/>
        <w:gridCol w:w="1485"/>
        <w:gridCol w:w="15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Liabilities</w:t>
            </w:r>
          </w:p>
        </w:tc>
        <w:tc>
          <w:tcPr>
            <w:tcW w:w="1485"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36707.1</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37173.9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Assets</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229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Debt Ratio</w:t>
            </w:r>
          </w:p>
        </w:tc>
        <w:tc>
          <w:tcPr>
            <w:tcW w:w="14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1.17</w:t>
            </w:r>
          </w:p>
        </w:tc>
        <w:tc>
          <w:tcPr>
            <w:tcW w:w="15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1.26</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debt ratio is decreasing from 2020 to 2021, which implies that management is using less debt to finance its activities.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If a company's debt to asset ratio is more than 1, it suggests it has more debt than assets and could potentially default on its debts if interest rates unexpectedly increase.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When a company has a high debt ratio, its financial situation is less solid, its long-term solvency is weaker, and investors are less likely to invest money in it.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eastAsia" w:ascii="Times New Roman" w:hAnsi="Times New Roman" w:cs="Times New Roman"/>
          <w:b/>
          <w:sz w:val="24"/>
          <w:szCs w:val="24"/>
          <w:lang w:val="en-US" w:eastAsia="zh-CN"/>
        </w:rPr>
      </w:pPr>
      <w:bookmarkStart w:id="21" w:name="_Toc19175"/>
      <w:r>
        <w:rPr>
          <w:rFonts w:hint="eastAsia" w:ascii="Times New Roman" w:hAnsi="Times New Roman" w:cs="Times New Roman"/>
          <w:b/>
          <w:sz w:val="24"/>
          <w:szCs w:val="24"/>
          <w:lang w:val="en-US" w:eastAsia="zh-CN"/>
        </w:rPr>
        <w:t>Equity Ratio</w:t>
      </w:r>
      <w:bookmarkEnd w:id="21"/>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addition to the amount of equity, the equity ratio assesses a company's use of leverage, how well it manages its obligations, and how it finances its asset requirements. Investments in assets are also examined.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Equity Ratio= Total Equity/ Total Assets</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85"/>
        <w:gridCol w:w="1445"/>
        <w:gridCol w:w="14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Equity</w:t>
            </w:r>
          </w:p>
        </w:tc>
        <w:tc>
          <w:tcPr>
            <w:tcW w:w="1445"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Total Assets</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31392.6</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29374.5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8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Equity Ratio</w:t>
            </w:r>
          </w:p>
        </w:tc>
        <w:tc>
          <w:tcPr>
            <w:tcW w:w="1445"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-0.17</w:t>
            </w:r>
          </w:p>
        </w:tc>
        <w:tc>
          <w:tcPr>
            <w:tcW w:w="149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-0.27</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If the equity ratio is negative, then liabilities must be greater than assets.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Low ratios reflect Starbucks' weak financial standing and diminished ability to repay long-term debt.</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sz w:val="24"/>
          <w:szCs w:val="24"/>
          <w:lang w:val="en-US" w:eastAsia="zh-CN"/>
        </w:rPr>
      </w:pPr>
      <w:bookmarkStart w:id="22" w:name="_Toc12229"/>
      <w:r>
        <w:rPr>
          <w:rFonts w:hint="eastAsia" w:ascii="Times New Roman" w:hAnsi="Times New Roman" w:cs="Times New Roman"/>
          <w:b/>
          <w:sz w:val="24"/>
          <w:szCs w:val="24"/>
          <w:lang w:val="en-US" w:eastAsia="zh-CN"/>
        </w:rPr>
        <w:t>Debt to Equity Ratio</w:t>
      </w:r>
      <w:bookmarkEnd w:id="22"/>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By comparing a company's total liabilities to shareholder equity, the debt-to-equity ratio gauges how </w:t>
      </w:r>
      <w:r>
        <w:rPr>
          <w:rFonts w:hint="eastAsia" w:ascii="Times New Roman" w:hAnsi="Times New Roman" w:cs="Times New Roman"/>
          <w:b w:val="0"/>
          <w:bCs w:val="0"/>
          <w:sz w:val="24"/>
          <w:szCs w:val="24"/>
          <w:lang w:val="en-US" w:eastAsia="zh-CN"/>
        </w:rPr>
        <w:t>heavily</w:t>
      </w:r>
      <w:r>
        <w:rPr>
          <w:rFonts w:hint="default" w:ascii="Times New Roman" w:hAnsi="Times New Roman" w:cs="Times New Roman"/>
          <w:b w:val="0"/>
          <w:bCs w:val="0"/>
          <w:sz w:val="24"/>
          <w:szCs w:val="24"/>
          <w:lang w:val="en-US" w:eastAsia="zh-CN"/>
        </w:rPr>
        <w:t xml:space="preserve"> it depends on debt.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Debt to Equity Ratio= Total Debt/ Total Equity</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20"/>
        <w:gridCol w:w="2850"/>
        <w:gridCol w:w="16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Financial Year</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2021</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Total Debt</w:t>
            </w:r>
          </w:p>
        </w:tc>
        <w:tc>
          <w:tcPr>
            <w:tcW w:w="2850"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14,615,800</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15,909,500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napToGrid w:val="0"/>
                <w:color w:val="000000"/>
                <w:kern w:val="0"/>
                <w:sz w:val="24"/>
                <w:szCs w:val="24"/>
                <w:lang w:val="en-US" w:eastAsia="zh-CN" w:bidi="ar"/>
              </w:rPr>
            </w:pPr>
            <w:r>
              <w:rPr>
                <w:rFonts w:hint="default" w:ascii="Times New Roman" w:hAnsi="Times New Roman" w:eastAsia="宋体" w:cs="Times New Roman"/>
                <w:b w:val="0"/>
                <w:bCs w:val="0"/>
                <w:snapToGrid w:val="0"/>
                <w:color w:val="000000"/>
                <w:kern w:val="0"/>
                <w:sz w:val="24"/>
                <w:szCs w:val="24"/>
                <w:lang w:val="en-US" w:eastAsia="zh-CN" w:bidi="ar"/>
              </w:rPr>
              <w:t>Total Equity</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-5,321,200</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-7,805,100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72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napToGrid w:val="0"/>
                <w:color w:val="000000"/>
                <w:kern w:val="0"/>
                <w:sz w:val="24"/>
                <w:szCs w:val="24"/>
                <w:lang w:val="en-US" w:eastAsia="zh-CN" w:bidi="ar"/>
              </w:rPr>
            </w:pPr>
            <w:r>
              <w:rPr>
                <w:rFonts w:hint="default" w:ascii="Times New Roman" w:hAnsi="Times New Roman" w:eastAsia="宋体" w:cs="Times New Roman"/>
                <w:b w:val="0"/>
                <w:bCs w:val="0"/>
                <w:snapToGrid w:val="0"/>
                <w:color w:val="000000"/>
                <w:kern w:val="0"/>
                <w:sz w:val="24"/>
                <w:szCs w:val="24"/>
                <w:lang w:val="en-US" w:eastAsia="zh-CN" w:bidi="ar"/>
              </w:rPr>
              <w:t>Debt to Equity Ratio</w:t>
            </w:r>
          </w:p>
        </w:tc>
        <w:tc>
          <w:tcPr>
            <w:tcW w:w="285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-2.75</w:t>
            </w:r>
          </w:p>
        </w:tc>
        <w:tc>
          <w:tcPr>
            <w:tcW w:w="164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-2.04</w:t>
            </w:r>
          </w:p>
        </w:tc>
      </w:tr>
    </w:tbl>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In 2021, Starbucks' debt-to-equity ratio was less than the industry average of 1.57%, which had gotten worse from 2020 to 2021. The negative debt-to-equity ratio indicates that Starbucks has a high debt burden and may not be capable of producing sufficient revenue to satisfy its debt commitments.</w:t>
      </w:r>
    </w:p>
    <w:p>
      <w:pPr>
        <w:pStyle w:val="4"/>
        <w:keepNext/>
        <w:keepLines/>
        <w:pageBreakBefore w:val="0"/>
        <w:widowControl w:val="0"/>
        <w:numPr>
          <w:ilvl w:val="2"/>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b/>
          <w:sz w:val="24"/>
          <w:szCs w:val="24"/>
          <w:lang w:val="en-US" w:eastAsia="zh-CN"/>
        </w:rPr>
      </w:pPr>
      <w:bookmarkStart w:id="23" w:name="_Toc29286"/>
      <w:r>
        <w:rPr>
          <w:rFonts w:hint="eastAsia" w:ascii="Times New Roman" w:hAnsi="Times New Roman" w:cs="Times New Roman"/>
          <w:b/>
          <w:sz w:val="24"/>
          <w:szCs w:val="24"/>
          <w:lang w:val="en-US" w:eastAsia="zh-CN"/>
        </w:rPr>
        <w:t>Interest Coverage Ratio</w:t>
      </w:r>
      <w:bookmarkEnd w:id="23"/>
    </w:p>
    <w:p>
      <w:pPr>
        <w:keepNext w:val="0"/>
        <w:keepLines w:val="0"/>
        <w:pageBreakBefore w:val="0"/>
        <w:widowControl w:val="0"/>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The ability of a company to pay interest on its existing obligations is assessed </w:t>
      </w:r>
      <w:r>
        <w:rPr>
          <w:rFonts w:hint="eastAsia" w:ascii="Times New Roman" w:hAnsi="Times New Roman" w:eastAsia="宋体" w:cs="Times New Roman"/>
          <w:b w:val="0"/>
          <w:bCs w:val="0"/>
          <w:spacing w:val="-1"/>
          <w:sz w:val="24"/>
          <w:szCs w:val="24"/>
          <w:lang w:val="en-US" w:eastAsia="zh-CN"/>
        </w:rPr>
        <w:t>by</w:t>
      </w:r>
      <w:r>
        <w:rPr>
          <w:rFonts w:hint="default" w:ascii="Times New Roman" w:hAnsi="Times New Roman" w:eastAsia="宋体" w:cs="Times New Roman"/>
          <w:b w:val="0"/>
          <w:bCs w:val="0"/>
          <w:spacing w:val="-1"/>
          <w:sz w:val="24"/>
          <w:szCs w:val="24"/>
          <w:lang w:val="en-US" w:eastAsia="zh-CN"/>
        </w:rPr>
        <w:t xml:space="preserve"> </w:t>
      </w:r>
      <w:r>
        <w:rPr>
          <w:rFonts w:hint="eastAsia" w:ascii="Times New Roman" w:hAnsi="Times New Roman" w:eastAsia="宋体" w:cs="Times New Roman"/>
          <w:b w:val="0"/>
          <w:bCs w:val="0"/>
          <w:spacing w:val="-1"/>
          <w:sz w:val="24"/>
          <w:szCs w:val="24"/>
          <w:lang w:val="en-US" w:eastAsia="zh-CN"/>
        </w:rPr>
        <w:t>the interest coverage</w:t>
      </w:r>
      <w:r>
        <w:rPr>
          <w:rFonts w:hint="default" w:ascii="Times New Roman" w:hAnsi="Times New Roman" w:eastAsia="宋体" w:cs="Times New Roman"/>
          <w:b w:val="0"/>
          <w:bCs w:val="0"/>
          <w:spacing w:val="-1"/>
          <w:sz w:val="24"/>
          <w:szCs w:val="24"/>
          <w:lang w:val="en-US" w:eastAsia="zh-CN"/>
        </w:rPr>
        <w:t xml:space="preserve"> ratio.</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Interest Coverage Ratio= EBIT/ Interest Expense</w:t>
      </w:r>
    </w:p>
    <w:p>
      <w:pPr>
        <w:keepNext w:val="0"/>
        <w:keepLines w:val="0"/>
        <w:pageBreakBefore w:val="0"/>
        <w:widowControl w:val="0"/>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EBIT= Net Income+ Interest Expense+ Tax Expense</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54"/>
        <w:gridCol w:w="1366"/>
        <w:gridCol w:w="13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Financial Year</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2021</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snapToGrid w:val="0"/>
                <w:color w:val="000000"/>
                <w:kern w:val="0"/>
                <w:sz w:val="24"/>
                <w:szCs w:val="24"/>
                <w:lang w:val="en-US" w:eastAsia="zh-CN" w:bidi="ar"/>
              </w:rPr>
              <w:t>2020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bCs/>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EBIT</w:t>
            </w:r>
          </w:p>
        </w:tc>
        <w:tc>
          <w:tcPr>
            <w:tcW w:w="1366" w:type="dxa"/>
            <w:vAlign w:val="center"/>
          </w:tcPr>
          <w:p>
            <w:pPr>
              <w:keepNext w:val="0"/>
              <w:keepLines w:val="0"/>
              <w:pageBreakBefore w:val="0"/>
              <w:widowControl/>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5825,700</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1605,000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Interest Expense</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469,800</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437,000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554"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snapToGrid w:val="0"/>
                <w:color w:val="000000"/>
                <w:kern w:val="0"/>
                <w:sz w:val="24"/>
                <w:szCs w:val="24"/>
                <w:lang w:val="en-US" w:eastAsia="zh-CN" w:bidi="ar"/>
              </w:rPr>
            </w:pPr>
            <w:r>
              <w:rPr>
                <w:rFonts w:hint="default" w:ascii="Times New Roman" w:hAnsi="Times New Roman" w:eastAsia="宋体" w:cs="Times New Roman"/>
                <w:snapToGrid w:val="0"/>
                <w:color w:val="000000"/>
                <w:kern w:val="0"/>
                <w:sz w:val="24"/>
                <w:szCs w:val="24"/>
                <w:lang w:val="en-US" w:eastAsia="zh-CN" w:bidi="ar"/>
              </w:rPr>
              <w:t>Interest Coverage Ratio</w:t>
            </w:r>
          </w:p>
        </w:tc>
        <w:tc>
          <w:tcPr>
            <w:tcW w:w="1366"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12.4</w:t>
            </w:r>
          </w:p>
        </w:tc>
        <w:tc>
          <w:tcPr>
            <w:tcW w:w="1370" w:type="dxa"/>
            <w:vAlign w:val="center"/>
          </w:tcPr>
          <w:p>
            <w:pPr>
              <w:keepNext w:val="0"/>
              <w:keepLines w:val="0"/>
              <w:pageBreakBefore w:val="0"/>
              <w:widowControl w:val="0"/>
              <w:suppressLineNumbers w:val="0"/>
              <w:kinsoku w:val="0"/>
              <w:wordWrap/>
              <w:overflowPunct/>
              <w:topLinePunct w:val="0"/>
              <w:autoSpaceDE w:val="0"/>
              <w:autoSpaceDN w:val="0"/>
              <w:bidi w:val="0"/>
              <w:adjustRightInd w:val="0"/>
              <w:snapToGrid w:val="0"/>
              <w:spacing w:before="0" w:beforeAutospacing="0" w:after="0" w:afterAutospacing="0" w:line="360" w:lineRule="auto"/>
              <w:ind w:left="0" w:right="0"/>
              <w:jc w:val="center"/>
              <w:textAlignment w:val="baseline"/>
              <w:rPr>
                <w:rFonts w:hint="default" w:ascii="Times New Roman" w:hAnsi="Times New Roman" w:eastAsia="宋体" w:cs="Times New Roman"/>
                <w:b w:val="0"/>
                <w:bCs w:val="0"/>
                <w:sz w:val="24"/>
                <w:szCs w:val="24"/>
                <w:vertAlign w:val="baseline"/>
                <w:lang w:val="en-US" w:eastAsia="zh-CN"/>
              </w:rPr>
            </w:pPr>
            <w:r>
              <w:rPr>
                <w:rFonts w:hint="default" w:ascii="Times New Roman" w:hAnsi="Times New Roman" w:eastAsia="宋体" w:cs="Times New Roman"/>
                <w:b w:val="0"/>
                <w:bCs w:val="0"/>
                <w:sz w:val="24"/>
                <w:szCs w:val="24"/>
                <w:vertAlign w:val="baseline"/>
                <w:lang w:val="en-US" w:eastAsia="zh-CN"/>
              </w:rPr>
              <w:t>3.67</w:t>
            </w:r>
          </w:p>
        </w:tc>
      </w:tr>
    </w:tbl>
    <w:p>
      <w:pPr>
        <w:keepNext w:val="0"/>
        <w:keepLines w:val="0"/>
        <w:pageBreakBefore w:val="0"/>
        <w:kinsoku w:val="0"/>
        <w:wordWrap/>
        <w:overflowPunct/>
        <w:topLinePunct w:val="0"/>
        <w:autoSpaceDE w:val="0"/>
        <w:autoSpaceDN w:val="0"/>
        <w:bidi w:val="0"/>
        <w:adjustRightInd w:val="0"/>
        <w:snapToGrid w:val="0"/>
        <w:spacing w:line="360" w:lineRule="auto"/>
        <w:ind w:left="21"/>
        <w:jc w:val="both"/>
        <w:textAlignment w:val="baseline"/>
        <w:rPr>
          <w:rFonts w:hint="default" w:ascii="Times New Roman" w:hAnsi="Times New Roman" w:eastAsia="宋体" w:cs="Times New Roman"/>
          <w:b w:val="0"/>
          <w:bCs w:val="0"/>
          <w:spacing w:val="-1"/>
          <w:sz w:val="24"/>
          <w:szCs w:val="24"/>
          <w:lang w:val="en-US" w:eastAsia="zh-CN"/>
        </w:rPr>
      </w:pP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The interest coverage ratio for Starbucks Inc. increased from 2020 to 2021 and was higher than the industry average of 11.01 in that year.</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With this ratio, it can be observed that Starbucks' operating earnings in 2021 will be sufficient to pay for its interest payments 12.4 times as opposed to 3.67 times in 2020. In summary, the company is in a good position to repay the interest on its loan.</w:t>
      </w:r>
    </w:p>
    <w:p>
      <w:pPr>
        <w:keepNext w:val="0"/>
        <w:keepLines w:val="0"/>
        <w:pageBreakBefore w:val="0"/>
        <w:widowControl w:val="0"/>
        <w:kinsoku w:val="0"/>
        <w:wordWrap/>
        <w:overflowPunct/>
        <w:topLinePunct w:val="0"/>
        <w:autoSpaceDE w:val="0"/>
        <w:autoSpaceDN w:val="0"/>
        <w:bidi w:val="0"/>
        <w:adjustRightInd w:val="0"/>
        <w:snapToGrid w:val="0"/>
        <w:spacing w:line="360" w:lineRule="auto"/>
        <w:ind w:left="23"/>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Profitability is enough to guarantee interest payments and take away the possibility of defaulting on debt. Together with paying interest on bank loans, Starbucks earnings</w:t>
      </w:r>
      <w:r>
        <w:rPr>
          <w:rFonts w:hint="eastAsia" w:ascii="Times New Roman" w:hAnsi="Times New Roman" w:eastAsia="宋体" w:cs="Times New Roman"/>
          <w:b w:val="0"/>
          <w:bCs w:val="0"/>
          <w:spacing w:val="-1"/>
          <w:sz w:val="24"/>
          <w:szCs w:val="24"/>
          <w:lang w:val="en-US" w:eastAsia="zh-CN"/>
        </w:rPr>
        <w:t xml:space="preserve"> </w:t>
      </w:r>
      <w:r>
        <w:rPr>
          <w:rFonts w:hint="default" w:ascii="Times New Roman" w:hAnsi="Times New Roman" w:eastAsia="宋体" w:cs="Times New Roman"/>
          <w:b w:val="0"/>
          <w:bCs w:val="0"/>
          <w:spacing w:val="-1"/>
          <w:sz w:val="24"/>
          <w:szCs w:val="24"/>
          <w:lang w:val="en-US" w:eastAsia="zh-CN"/>
        </w:rPr>
        <w:t>can be used to increase manufacturing and replenish working capital.</w:t>
      </w:r>
    </w:p>
    <w:p>
      <w:pPr>
        <w:keepNext w:val="0"/>
        <w:keepLines w:val="0"/>
        <w:pageBreakBefore w:val="0"/>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pacing w:val="-1"/>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4" w:name="_Toc28803"/>
      <w:r>
        <w:rPr>
          <w:rFonts w:hint="default" w:ascii="Times New Roman" w:hAnsi="Times New Roman" w:cs="Times New Roman"/>
          <w:sz w:val="24"/>
          <w:szCs w:val="24"/>
          <w:lang w:val="en-US" w:eastAsia="zh-CN"/>
        </w:rPr>
        <w:t>Limitations of Ratio Analysis</w:t>
      </w:r>
      <w:bookmarkEnd w:id="24"/>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Corporate ratio analysis results are based on historical performance. These might not accurately reflect a company's status today or in the future. Performance ratio evaluations are frequently misleading when other factors that might not always be simple to measure are ignored, like client contentment. It's possible that some of the measures used in ratio analysis are inconsistent.</w:t>
      </w:r>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color w:val="auto"/>
          <w:sz w:val="24"/>
          <w:szCs w:val="24"/>
        </w:rPr>
      </w:pPr>
      <w:r>
        <w:rPr>
          <w:rFonts w:hint="default" w:ascii="Times New Roman" w:hAnsi="Times New Roman" w:eastAsia="宋体" w:cs="Times New Roman"/>
          <w:b w:val="0"/>
          <w:bCs w:val="0"/>
          <w:spacing w:val="-1"/>
          <w:sz w:val="24"/>
          <w:szCs w:val="24"/>
          <w:lang w:val="en-US" w:eastAsia="zh-CN"/>
        </w:rPr>
        <w:t xml:space="preserve">Calculating the ratios for a single company for a specific year is also fairly challenging. It would be more appropriate to compare businesses that compete in the same industry and look at how a company has evolved over the years. </w:t>
      </w:r>
      <w:r>
        <w:rPr>
          <w:rFonts w:hint="eastAsia" w:ascii="Times New Roman" w:hAnsi="Times New Roman" w:eastAsia="宋体" w:cs="Times New Roman"/>
          <w:color w:val="auto"/>
          <w:sz w:val="24"/>
          <w:szCs w:val="24"/>
          <w:lang w:val="en-US" w:eastAsia="zh-CN"/>
        </w:rPr>
        <w:t>Considering</w:t>
      </w:r>
      <w:r>
        <w:rPr>
          <w:rFonts w:hint="default" w:ascii="Times New Roman" w:hAnsi="Times New Roman" w:eastAsia="宋体" w:cs="Times New Roman"/>
          <w:color w:val="auto"/>
          <w:sz w:val="24"/>
          <w:szCs w:val="24"/>
        </w:rPr>
        <w:t xml:space="preserve"> that all ratios are pertinent for all sectors may </w:t>
      </w:r>
      <w:r>
        <w:rPr>
          <w:rFonts w:hint="eastAsia" w:ascii="Times New Roman" w:hAnsi="Times New Roman" w:eastAsia="宋体" w:cs="Times New Roman"/>
          <w:color w:val="auto"/>
          <w:sz w:val="24"/>
          <w:szCs w:val="24"/>
          <w:lang w:val="en-US" w:eastAsia="zh-CN"/>
        </w:rPr>
        <w:t xml:space="preserve">also </w:t>
      </w:r>
      <w:r>
        <w:rPr>
          <w:rFonts w:hint="default" w:ascii="Times New Roman" w:hAnsi="Times New Roman" w:eastAsia="宋体" w:cs="Times New Roman"/>
          <w:color w:val="auto"/>
          <w:sz w:val="24"/>
          <w:szCs w:val="24"/>
        </w:rPr>
        <w:t>produce incorrect results. Ratios' information would vary for various industries</w:t>
      </w:r>
      <w:r>
        <w:rPr>
          <w:rFonts w:hint="eastAsia" w:ascii="Times New Roman" w:hAnsi="Times New Roman" w:eastAsia="宋体" w:cs="Times New Roman"/>
          <w:color w:val="auto"/>
          <w:sz w:val="24"/>
          <w:szCs w:val="24"/>
          <w:lang w:val="en-US" w:eastAsia="zh-CN"/>
        </w:rPr>
        <w:t xml:space="preserve"> (Nadar and Wadhwa, 2019)</w:t>
      </w:r>
      <w:r>
        <w:rPr>
          <w:rFonts w:hint="default" w:ascii="Times New Roman" w:hAnsi="Times New Roman" w:eastAsia="宋体" w:cs="Times New Roman"/>
          <w:color w:val="auto"/>
          <w:sz w:val="24"/>
          <w:szCs w:val="24"/>
        </w:rPr>
        <w:t>.</w:t>
      </w:r>
    </w:p>
    <w:p>
      <w:pPr>
        <w:keepNext w:val="0"/>
        <w:keepLines w:val="0"/>
        <w:pageBreakBefore w:val="0"/>
        <w:numPr>
          <w:ilvl w:val="0"/>
          <w:numId w:val="0"/>
        </w:numPr>
        <w:kinsoku w:val="0"/>
        <w:wordWrap/>
        <w:overflowPunct/>
        <w:topLinePunct w:val="0"/>
        <w:autoSpaceDE w:val="0"/>
        <w:autoSpaceDN w:val="0"/>
        <w:bidi w:val="0"/>
        <w:adjustRightInd w:val="0"/>
        <w:snapToGrid w:val="0"/>
        <w:spacing w:line="360" w:lineRule="auto"/>
        <w:ind w:leftChars="0"/>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Yet, difficulties always exist because it is sometimes hard to identify another firm that is exactly comparable to the firm under examination. Also, there's a chance that the organization has changed so drastically in latest days that any conclusions drawn about ratio changes are now meaningless.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eastAsia="宋体" w:cs="Times New Roman"/>
          <w:b w:val="0"/>
          <w:bCs w:val="0"/>
          <w:color w:val="auto"/>
          <w:sz w:val="24"/>
          <w:szCs w:val="24"/>
          <w:lang w:val="en-US" w:eastAsia="zh-CN"/>
        </w:rPr>
      </w:pPr>
      <w:r>
        <w:rPr>
          <w:rFonts w:hint="eastAsia" w:ascii="Times New Roman" w:hAnsi="Times New Roman" w:eastAsia="宋体" w:cs="Times New Roman"/>
          <w:color w:val="auto"/>
          <w:sz w:val="24"/>
          <w:szCs w:val="24"/>
          <w:lang w:val="en-US" w:eastAsia="zh-CN"/>
        </w:rPr>
        <w:t xml:space="preserve">Also, the expansion of a number of financial ratios to demonstrate connections between different financial indicators has presented difficulties for a variety of stakeholders </w:t>
      </w:r>
      <w:r>
        <w:rPr>
          <w:rFonts w:hint="default" w:ascii="Times New Roman" w:hAnsi="Times New Roman" w:eastAsia="宋体" w:cs="Times New Roman"/>
          <w:color w:val="auto"/>
          <w:sz w:val="24"/>
          <w:szCs w:val="24"/>
        </w:rPr>
        <w:t>(Bhattacharya, 2007)</w:t>
      </w:r>
      <w:r>
        <w:rPr>
          <w:rFonts w:hint="eastAsia" w:ascii="Times New Roman" w:hAnsi="Times New Roman" w:eastAsia="宋体" w:cs="Times New Roman"/>
          <w:color w:val="auto"/>
          <w:sz w:val="24"/>
          <w:szCs w:val="24"/>
          <w:lang w:val="en-US" w:eastAsia="zh-CN"/>
        </w:rPr>
        <w:t>.</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5" w:name="_Toc5917"/>
      <w:r>
        <w:rPr>
          <w:rFonts w:hint="default" w:ascii="Times New Roman" w:hAnsi="Times New Roman" w:cs="Times New Roman"/>
          <w:sz w:val="24"/>
          <w:szCs w:val="24"/>
          <w:lang w:val="en-US" w:eastAsia="zh-CN"/>
        </w:rPr>
        <w:t>Conclusion</w:t>
      </w:r>
      <w:bookmarkEnd w:id="25"/>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According to an examination of Starbucks' financial statements' many components, the business is doing well. Although the company lacks long-term solvency, it has a robust financial structure thanks to strong short-term liquidity and great profitability.</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The fiscal 2021 statistics for Starbucks show the general durability and power of </w:t>
      </w:r>
      <w:r>
        <w:rPr>
          <w:rFonts w:hint="eastAsia" w:ascii="Times New Roman" w:hAnsi="Times New Roman" w:cs="Times New Roman"/>
          <w:b w:val="0"/>
          <w:bCs w:val="0"/>
          <w:sz w:val="24"/>
          <w:szCs w:val="24"/>
          <w:lang w:val="en-US" w:eastAsia="zh-CN"/>
        </w:rPr>
        <w:t>the</w:t>
      </w:r>
      <w:bookmarkStart w:id="39" w:name="_GoBack"/>
      <w:bookmarkEnd w:id="39"/>
      <w:r>
        <w:rPr>
          <w:rFonts w:hint="default" w:ascii="Times New Roman" w:hAnsi="Times New Roman" w:cs="Times New Roman"/>
          <w:b w:val="0"/>
          <w:bCs w:val="0"/>
          <w:sz w:val="24"/>
          <w:szCs w:val="24"/>
          <w:lang w:val="en-US" w:eastAsia="zh-CN"/>
        </w:rPr>
        <w:t xml:space="preserve"> business. Consolidated revenues rose 24% to $29.1 billion in fiscal 2021 from $23.5 billion in fiscal 2020, partly as a result of the corporate sector's COVID-19 pandemic recovery. This is a sign of a successful and economically secure business since it makes it simpler for the business to make investments in cutting-edge equipment and to develop additional areas within and beyond the United States with such income.</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increase in operating margins was principally the result of sales leverage from the business recovery and the lapping of higher COVID-19-related expenditures from the previous year.</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1"/>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6" w:name="_Toc10158"/>
      <w:r>
        <w:rPr>
          <w:rFonts w:hint="default" w:ascii="Times New Roman" w:hAnsi="Times New Roman" w:cs="Times New Roman"/>
          <w:sz w:val="24"/>
          <w:szCs w:val="24"/>
          <w:lang w:val="en-US" w:eastAsia="zh-CN"/>
        </w:rPr>
        <w:t>Recommendation</w:t>
      </w:r>
      <w:bookmarkEnd w:id="26"/>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Due to the downturn in asset turnover, which also impacted the company's sales capacity, asset utilization efficiency has declined.</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decline in our credit ratings should be taken into consideration by Starbucks as it may restrict the amount of new funding that is available and raise the cost of acquiring financing to support our ambitions.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company should employ more equity financing to cover its debts, which remain a vulnerability, as shown by the leverage ratios, as the company can reduce the interest costs that would be paid if it used loans and other borrowing instruments.</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Because it gives the business the chance to ensure growth by ensuring that efficiency is good and they are earning the maximum return to make up for the shortage they are now experiencing, Starbucks should increase its working capital ratio.</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To ensure that it has a solid liquidity position to deal with its short liabilities, the management needs to increase its purchases of current assets and maintain its inventory level control.</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val="0"/>
          <w:bCs w:val="0"/>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Part 2 Wales Company Investment Programme</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Executive Summary</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The aim of the </w:t>
      </w:r>
      <w:r>
        <w:rPr>
          <w:rFonts w:hint="eastAsia" w:ascii="Times New Roman" w:hAnsi="Times New Roman" w:eastAsia="宋体" w:cs="Times New Roman"/>
          <w:sz w:val="24"/>
          <w:szCs w:val="24"/>
          <w:lang w:val="en-US" w:eastAsia="zh-CN"/>
        </w:rPr>
        <w:t>report</w:t>
      </w:r>
      <w:r>
        <w:rPr>
          <w:rFonts w:hint="default" w:ascii="Times New Roman" w:hAnsi="Times New Roman" w:eastAsia="宋体" w:cs="Times New Roman"/>
          <w:sz w:val="24"/>
          <w:szCs w:val="24"/>
        </w:rPr>
        <w:t xml:space="preserve"> is to present how investment decisions are made </w:t>
      </w:r>
      <w:r>
        <w:rPr>
          <w:rFonts w:hint="eastAsia" w:ascii="Times New Roman" w:hAnsi="Times New Roman" w:eastAsia="宋体" w:cs="Times New Roman"/>
          <w:sz w:val="24"/>
          <w:szCs w:val="24"/>
          <w:lang w:val="en-US" w:eastAsia="zh-CN"/>
        </w:rPr>
        <w:t xml:space="preserve">for Wales Company on programme (A) or (B). </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r>
        <w:rPr>
          <w:rFonts w:hint="eastAsia" w:ascii="Times New Roman" w:hAnsi="Times New Roman" w:eastAsia="宋体" w:cs="Times New Roman"/>
          <w:i w:val="0"/>
          <w:iCs w:val="0"/>
          <w:color w:val="000000"/>
          <w:kern w:val="0"/>
          <w:sz w:val="24"/>
          <w:szCs w:val="24"/>
          <w:lang w:val="en-US" w:eastAsia="zh-CN" w:bidi="ar"/>
        </w:rPr>
        <w:t xml:space="preserve">There are six sections to this report. </w:t>
      </w:r>
      <w:r>
        <w:rPr>
          <w:rFonts w:hint="default" w:ascii="Times New Roman" w:hAnsi="Times New Roman" w:eastAsia="宋体" w:cs="Times New Roman"/>
          <w:i w:val="0"/>
          <w:iCs w:val="0"/>
          <w:color w:val="000000"/>
          <w:kern w:val="0"/>
          <w:sz w:val="24"/>
          <w:szCs w:val="24"/>
          <w:lang w:val="en-US" w:eastAsia="zh-CN" w:bidi="ar"/>
        </w:rPr>
        <w:t xml:space="preserve">The first section includes a succinct </w:t>
      </w:r>
      <w:r>
        <w:rPr>
          <w:rFonts w:hint="eastAsia" w:ascii="Times New Roman" w:hAnsi="Times New Roman" w:eastAsia="宋体" w:cs="Times New Roman"/>
          <w:i w:val="0"/>
          <w:iCs w:val="0"/>
          <w:color w:val="000000"/>
          <w:kern w:val="0"/>
          <w:sz w:val="24"/>
          <w:szCs w:val="24"/>
          <w:lang w:val="en-US" w:eastAsia="zh-CN" w:bidi="ar"/>
        </w:rPr>
        <w:t>introduction</w:t>
      </w:r>
      <w:r>
        <w:rPr>
          <w:rFonts w:hint="default" w:ascii="Times New Roman" w:hAnsi="Times New Roman" w:eastAsia="宋体" w:cs="Times New Roman"/>
          <w:i w:val="0"/>
          <w:iCs w:val="0"/>
          <w:color w:val="000000"/>
          <w:kern w:val="0"/>
          <w:sz w:val="24"/>
          <w:szCs w:val="24"/>
          <w:lang w:val="en-US" w:eastAsia="zh-CN" w:bidi="ar"/>
        </w:rPr>
        <w:t xml:space="preserve"> of </w:t>
      </w:r>
      <w:r>
        <w:rPr>
          <w:rFonts w:hint="eastAsia" w:ascii="Times New Roman" w:hAnsi="Times New Roman" w:eastAsia="宋体" w:cs="Times New Roman"/>
          <w:i w:val="0"/>
          <w:iCs w:val="0"/>
          <w:color w:val="000000"/>
          <w:kern w:val="0"/>
          <w:sz w:val="24"/>
          <w:szCs w:val="24"/>
          <w:lang w:val="en-US" w:eastAsia="zh-CN" w:bidi="ar"/>
        </w:rPr>
        <w:t>investment decision</w:t>
      </w:r>
      <w:r>
        <w:rPr>
          <w:rFonts w:hint="default" w:ascii="Times New Roman" w:hAnsi="Times New Roman" w:eastAsia="宋体" w:cs="Times New Roman"/>
          <w:i w:val="0"/>
          <w:iCs w:val="0"/>
          <w:color w:val="000000"/>
          <w:kern w:val="0"/>
          <w:sz w:val="24"/>
          <w:szCs w:val="24"/>
          <w:lang w:val="en-US" w:eastAsia="zh-CN" w:bidi="ar"/>
        </w:rPr>
        <w:t>.</w:t>
      </w:r>
      <w:r>
        <w:rPr>
          <w:rFonts w:hint="eastAsia" w:ascii="Times New Roman" w:hAnsi="Times New Roman" w:eastAsia="宋体" w:cs="Times New Roman"/>
          <w:i w:val="0"/>
          <w:iCs w:val="0"/>
          <w:color w:val="000000"/>
          <w:kern w:val="0"/>
          <w:sz w:val="24"/>
          <w:szCs w:val="24"/>
          <w:lang w:val="en-US" w:eastAsia="zh-CN" w:bidi="ar"/>
        </w:rPr>
        <w:t xml:space="preserve"> </w:t>
      </w:r>
      <w:r>
        <w:rPr>
          <w:rFonts w:hint="default" w:ascii="Times New Roman" w:hAnsi="Times New Roman" w:eastAsia="宋体" w:cs="Times New Roman"/>
          <w:i w:val="0"/>
          <w:iCs w:val="0"/>
          <w:color w:val="000000"/>
          <w:kern w:val="0"/>
          <w:sz w:val="24"/>
          <w:szCs w:val="24"/>
          <w:lang w:val="en-US" w:eastAsia="zh-CN" w:bidi="ar"/>
        </w:rPr>
        <w:t xml:space="preserve">Second, </w:t>
      </w:r>
      <w:r>
        <w:rPr>
          <w:rFonts w:hint="eastAsia" w:ascii="Times New Roman" w:hAnsi="Times New Roman" w:eastAsia="宋体" w:cs="Times New Roman"/>
          <w:i w:val="0"/>
          <w:iCs w:val="0"/>
          <w:color w:val="000000"/>
          <w:kern w:val="0"/>
          <w:sz w:val="24"/>
          <w:szCs w:val="24"/>
          <w:lang w:val="en-US" w:eastAsia="zh-CN" w:bidi="ar"/>
        </w:rPr>
        <w:t>utilise four methods</w:t>
      </w:r>
      <w:r>
        <w:rPr>
          <w:rFonts w:hint="default" w:ascii="Times New Roman" w:hAnsi="Times New Roman" w:eastAsia="宋体" w:cs="Times New Roman"/>
          <w:i w:val="0"/>
          <w:iCs w:val="0"/>
          <w:color w:val="000000"/>
          <w:kern w:val="0"/>
          <w:sz w:val="24"/>
          <w:szCs w:val="24"/>
          <w:lang w:val="en-US" w:eastAsia="zh-CN" w:bidi="ar"/>
        </w:rPr>
        <w:t xml:space="preserve"> to study the </w:t>
      </w:r>
      <w:r>
        <w:rPr>
          <w:rFonts w:hint="eastAsia" w:ascii="Times New Roman" w:hAnsi="Times New Roman" w:eastAsia="宋体" w:cs="Times New Roman"/>
          <w:i w:val="0"/>
          <w:iCs w:val="0"/>
          <w:color w:val="000000"/>
          <w:kern w:val="0"/>
          <w:sz w:val="24"/>
          <w:szCs w:val="24"/>
          <w:lang w:val="en-US" w:eastAsia="zh-CN" w:bidi="ar"/>
        </w:rPr>
        <w:t>sound investment decision between two programme, including ARR, NPV, IRR and PP</w:t>
      </w:r>
      <w:r>
        <w:rPr>
          <w:rFonts w:hint="default" w:ascii="Times New Roman" w:hAnsi="Times New Roman" w:eastAsia="宋体" w:cs="Times New Roman"/>
          <w:i w:val="0"/>
          <w:iCs w:val="0"/>
          <w:color w:val="000000"/>
          <w:kern w:val="0"/>
          <w:sz w:val="24"/>
          <w:szCs w:val="24"/>
          <w:lang w:val="en-US" w:eastAsia="zh-CN" w:bidi="ar"/>
        </w:rPr>
        <w:t xml:space="preserve">. The third part is to </w:t>
      </w:r>
      <w:r>
        <w:rPr>
          <w:rFonts w:hint="eastAsia" w:ascii="Times New Roman" w:hAnsi="Times New Roman" w:eastAsia="宋体" w:cs="Times New Roman"/>
          <w:i w:val="0"/>
          <w:iCs w:val="0"/>
          <w:color w:val="000000"/>
          <w:kern w:val="0"/>
          <w:sz w:val="24"/>
          <w:szCs w:val="24"/>
          <w:lang w:val="en-US" w:eastAsia="zh-CN" w:bidi="ar"/>
        </w:rPr>
        <w:t>analyse why decision-makers continue to prefer non-discounting methods. The fourth part assesses other factors that should be considered before making an investment decision. Conclusion and recommendations are presented in the final two sections for Wales Company</w:t>
      </w:r>
      <w:r>
        <w:rPr>
          <w:rFonts w:hint="default" w:ascii="Times New Roman" w:hAnsi="Times New Roman" w:eastAsia="宋体" w:cs="Times New Roman"/>
          <w:i w:val="0"/>
          <w:iCs w:val="0"/>
          <w:color w:val="000000"/>
          <w:kern w:val="0"/>
          <w:sz w:val="24"/>
          <w:szCs w:val="24"/>
          <w:lang w:val="en-US" w:eastAsia="zh-CN" w:bidi="ar"/>
        </w:rPr>
        <w:t>’</w:t>
      </w:r>
      <w:r>
        <w:rPr>
          <w:rFonts w:hint="eastAsia" w:ascii="Times New Roman" w:hAnsi="Times New Roman" w:eastAsia="宋体" w:cs="Times New Roman"/>
          <w:i w:val="0"/>
          <w:iCs w:val="0"/>
          <w:color w:val="000000"/>
          <w:kern w:val="0"/>
          <w:sz w:val="24"/>
          <w:szCs w:val="24"/>
          <w:lang w:val="en-US" w:eastAsia="zh-CN" w:bidi="ar"/>
        </w:rPr>
        <w:t>s potential development.</w:t>
      </w: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0"/>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olor w:val="000000"/>
          <w:kern w:val="0"/>
          <w:sz w:val="24"/>
          <w:szCs w:val="24"/>
          <w:lang w:val="en-US" w:eastAsia="zh-CN" w:bidi="ar"/>
        </w:rPr>
      </w:pPr>
    </w:p>
    <w:sdt>
      <w:sdtPr>
        <w:rPr>
          <w:rFonts w:hint="default" w:ascii="Times New Roman" w:hAnsi="Times New Roman" w:eastAsia="宋体" w:cs="Times New Roman"/>
          <w:b/>
          <w:bCs/>
          <w:kern w:val="2"/>
          <w:sz w:val="24"/>
          <w:szCs w:val="24"/>
          <w:lang w:val="en-US" w:eastAsia="zh-CN" w:bidi="ar-SA"/>
        </w:rPr>
        <w:id w:val="147456370"/>
        <w15:color w:val="DBDBDB"/>
        <w:docPartObj>
          <w:docPartGallery w:val="Table of Contents"/>
          <w:docPartUnique/>
        </w:docPartObj>
      </w:sdtPr>
      <w:sdtEndPr>
        <w:rPr>
          <w:rFonts w:hint="default" w:ascii="Times New Roman" w:hAnsi="Times New Roman" w:cs="Times New Roman" w:eastAsiaTheme="minorEastAsia"/>
          <w:b/>
          <w:bCs/>
          <w:kern w:val="2"/>
          <w:sz w:val="21"/>
          <w:szCs w:val="24"/>
          <w:lang w:val="en-US" w:eastAsia="zh-CN" w:bidi="ar-SA"/>
        </w:rPr>
      </w:sdtEndPr>
      <w:sdtContent>
        <w:p>
          <w:pPr>
            <w:spacing w:before="0" w:beforeLines="0" w:after="0" w:afterLines="0" w:line="240" w:lineRule="auto"/>
            <w:ind w:left="0" w:leftChars="0" w:right="0" w:rightChars="0" w:firstLine="0" w:firstLineChars="0"/>
            <w:jc w:val="center"/>
            <w:rPr>
              <w:rFonts w:hint="default" w:ascii="Times New Roman" w:hAnsi="Times New Roman" w:cs="Times New Roman"/>
              <w:b/>
              <w:bCs/>
              <w:sz w:val="24"/>
              <w:szCs w:val="24"/>
              <w:lang w:val="en-US"/>
            </w:rPr>
          </w:pPr>
          <w:r>
            <w:rPr>
              <w:rFonts w:hint="default" w:ascii="Times New Roman" w:hAnsi="Times New Roman" w:eastAsia="宋体" w:cs="Times New Roman"/>
              <w:b/>
              <w:bCs/>
              <w:kern w:val="2"/>
              <w:sz w:val="24"/>
              <w:szCs w:val="24"/>
              <w:lang w:val="en-US" w:eastAsia="zh-CN" w:bidi="ar-SA"/>
            </w:rPr>
            <w:t>CONTENT</w:t>
          </w:r>
        </w:p>
        <w:p>
          <w:pPr>
            <w:pStyle w:val="6"/>
            <w:tabs>
              <w:tab w:val="right" w:leader="dot" w:pos="8306"/>
            </w:tabs>
            <w:rPr>
              <w:rFonts w:hint="default" w:ascii="Times New Roman" w:hAnsi="Times New Roman" w:cs="Times New Roman"/>
            </w:rPr>
          </w:pPr>
          <w:r>
            <w:rPr>
              <w:rFonts w:hint="default" w:ascii="Times New Roman" w:hAnsi="Times New Roman" w:cs="Times New Roman"/>
              <w:b/>
              <w:bCs/>
              <w:sz w:val="24"/>
              <w:szCs w:val="24"/>
              <w:lang w:val="en-US" w:eastAsia="zh-CN"/>
            </w:rPr>
            <w:fldChar w:fldCharType="begin"/>
          </w:r>
          <w:r>
            <w:rPr>
              <w:rFonts w:hint="default" w:ascii="Times New Roman" w:hAnsi="Times New Roman" w:cs="Times New Roman"/>
              <w:b/>
              <w:bCs/>
              <w:sz w:val="24"/>
              <w:szCs w:val="24"/>
              <w:lang w:val="en-US" w:eastAsia="zh-CN"/>
            </w:rPr>
            <w:instrText xml:space="preserve">TOC \o "1-3" \h \u </w:instrText>
          </w:r>
          <w:r>
            <w:rPr>
              <w:rFonts w:hint="default" w:ascii="Times New Roman" w:hAnsi="Times New Roman" w:cs="Times New Roman"/>
              <w:b/>
              <w:bCs/>
              <w:sz w:val="24"/>
              <w:szCs w:val="24"/>
              <w:lang w:val="en-US" w:eastAsia="zh-CN"/>
            </w:rPr>
            <w:fldChar w:fldCharType="separate"/>
          </w: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_Toc8705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1. </w:t>
          </w:r>
          <w:r>
            <w:rPr>
              <w:rFonts w:hint="default" w:ascii="Times New Roman" w:hAnsi="Times New Roman" w:cs="Times New Roman"/>
              <w:szCs w:val="24"/>
              <w:lang w:val="en-US" w:eastAsia="zh-CN"/>
            </w:rPr>
            <w:t>Introduction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_Toc8705 \h </w:instrText>
          </w:r>
          <w:r>
            <w:rPr>
              <w:rFonts w:hint="default" w:ascii="Times New Roman" w:hAnsi="Times New Roman" w:cs="Times New Roman"/>
            </w:rPr>
            <w:fldChar w:fldCharType="separate"/>
          </w:r>
          <w:r>
            <w:rPr>
              <w:rFonts w:hint="default" w:ascii="Times New Roman" w:hAnsi="Times New Roman" w:cs="Times New Roman"/>
            </w:rPr>
            <w:t>4</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_Toc9160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2. </w:t>
          </w:r>
          <w:r>
            <w:rPr>
              <w:rFonts w:hint="default" w:ascii="Times New Roman" w:hAnsi="Times New Roman" w:cs="Times New Roman"/>
              <w:szCs w:val="24"/>
              <w:lang w:val="en-US" w:eastAsia="zh-CN"/>
            </w:rPr>
            <w:t>Evaluation of Investment Options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_Toc9160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_Toc23217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 Discounted Cash Flow Analysis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_Toc23217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_Toc23020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2.1.1 Net present value</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_Toc23020 \h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_Toc9805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2.1.2 Internal Rate of Return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_Toc9805 \h </w:instrText>
          </w:r>
          <w:r>
            <w:rPr>
              <w:rFonts w:hint="default" w:ascii="Times New Roman" w:hAnsi="Times New Roman" w:cs="Times New Roman"/>
            </w:rPr>
            <w:fldChar w:fldCharType="separate"/>
          </w:r>
          <w:r>
            <w:rPr>
              <w:rFonts w:hint="default" w:ascii="Times New Roman" w:hAnsi="Times New Roman" w:cs="Times New Roman"/>
            </w:rPr>
            <w:t>6</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7"/>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_Toc292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2.2 Non-discounting Approaches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_Toc292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_Toc5662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2.2.1 ARR</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_Toc5662 \h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5"/>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_Toc30302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szCs w:val="24"/>
              <w:lang w:val="en-US" w:eastAsia="zh-CN"/>
            </w:rPr>
            <w:t>2.1.2 Payback period</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_Toc30302 \h </w:instrText>
          </w:r>
          <w:r>
            <w:rPr>
              <w:rFonts w:hint="default" w:ascii="Times New Roman" w:hAnsi="Times New Roman" w:cs="Times New Roman"/>
            </w:rPr>
            <w:fldChar w:fldCharType="separate"/>
          </w:r>
          <w:r>
            <w:rPr>
              <w:rFonts w:hint="default" w:ascii="Times New Roman" w:hAnsi="Times New Roman" w:cs="Times New Roman"/>
            </w:rPr>
            <w:t>8</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_Toc2305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3. </w:t>
          </w:r>
          <w:r>
            <w:rPr>
              <w:rFonts w:hint="default" w:ascii="Times New Roman" w:hAnsi="Times New Roman" w:cs="Times New Roman"/>
              <w:szCs w:val="24"/>
              <w:lang w:val="en-US" w:eastAsia="zh-CN"/>
            </w:rPr>
            <w:t>Popularity of non-discounting methods</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_Toc2305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_Toc17443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4. </w:t>
          </w:r>
          <w:r>
            <w:rPr>
              <w:rFonts w:hint="default" w:ascii="Times New Roman" w:hAnsi="Times New Roman" w:cs="Times New Roman"/>
              <w:szCs w:val="24"/>
              <w:lang w:val="en-US" w:eastAsia="zh-CN"/>
            </w:rPr>
            <w:t>Other factors considered before making investment decision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_Toc17443 \h </w:instrText>
          </w:r>
          <w:r>
            <w:rPr>
              <w:rFonts w:hint="default" w:ascii="Times New Roman" w:hAnsi="Times New Roman" w:cs="Times New Roman"/>
            </w:rPr>
            <w:fldChar w:fldCharType="separate"/>
          </w:r>
          <w:r>
            <w:rPr>
              <w:rFonts w:hint="default" w:ascii="Times New Roman" w:hAnsi="Times New Roman" w:cs="Times New Roman"/>
            </w:rPr>
            <w:t>10</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_Toc21004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5. </w:t>
          </w:r>
          <w:r>
            <w:rPr>
              <w:rFonts w:hint="default" w:ascii="Times New Roman" w:hAnsi="Times New Roman" w:cs="Times New Roman"/>
              <w:szCs w:val="24"/>
              <w:lang w:val="en-US" w:eastAsia="zh-CN"/>
            </w:rPr>
            <w:t>Recommendation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_Toc21004 \h </w:instrText>
          </w:r>
          <w:r>
            <w:rPr>
              <w:rFonts w:hint="default" w:ascii="Times New Roman" w:hAnsi="Times New Roman" w:cs="Times New Roman"/>
            </w:rPr>
            <w:fldChar w:fldCharType="separate"/>
          </w:r>
          <w:r>
            <w:rPr>
              <w:rFonts w:hint="default" w:ascii="Times New Roman" w:hAnsi="Times New Roman" w:cs="Times New Roman"/>
            </w:rPr>
            <w:t>11</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pStyle w:val="6"/>
            <w:tabs>
              <w:tab w:val="right" w:leader="dot" w:pos="8306"/>
            </w:tabs>
            <w:rPr>
              <w:rFonts w:hint="default" w:ascii="Times New Roman" w:hAnsi="Times New Roman" w:cs="Times New Roman"/>
            </w:rPr>
          </w:pPr>
          <w:r>
            <w:rPr>
              <w:rFonts w:hint="default" w:ascii="Times New Roman" w:hAnsi="Times New Roman" w:cs="Times New Roman"/>
              <w:bCs/>
              <w:szCs w:val="24"/>
              <w:lang w:val="en-US" w:eastAsia="zh-CN"/>
            </w:rPr>
            <w:fldChar w:fldCharType="begin"/>
          </w:r>
          <w:r>
            <w:rPr>
              <w:rFonts w:hint="default" w:ascii="Times New Roman" w:hAnsi="Times New Roman" w:cs="Times New Roman"/>
              <w:bCs/>
              <w:szCs w:val="24"/>
              <w:lang w:val="en-US" w:eastAsia="zh-CN"/>
            </w:rPr>
            <w:instrText xml:space="preserve"> HYPERLINK \l _Toc24856 </w:instrText>
          </w:r>
          <w:r>
            <w:rPr>
              <w:rFonts w:hint="default" w:ascii="Times New Roman" w:hAnsi="Times New Roman" w:cs="Times New Roman"/>
              <w:bCs/>
              <w:szCs w:val="24"/>
              <w:lang w:val="en-US" w:eastAsia="zh-CN"/>
            </w:rPr>
            <w:fldChar w:fldCharType="separate"/>
          </w:r>
          <w:r>
            <w:rPr>
              <w:rFonts w:hint="default" w:ascii="Times New Roman" w:hAnsi="Times New Roman" w:cs="Times New Roman"/>
              <w:bCs/>
              <w:szCs w:val="24"/>
              <w:lang w:val="en-US" w:eastAsia="zh-CN"/>
            </w:rPr>
            <w:t xml:space="preserve">6. </w:t>
          </w:r>
          <w:r>
            <w:rPr>
              <w:rFonts w:hint="default" w:ascii="Times New Roman" w:hAnsi="Times New Roman" w:cs="Times New Roman"/>
              <w:szCs w:val="24"/>
              <w:lang w:val="en-US" w:eastAsia="zh-CN"/>
            </w:rPr>
            <w:t>Conclusion</w:t>
          </w:r>
          <w:r>
            <w:rPr>
              <w:rFonts w:hint="default" w:ascii="Times New Roman" w:hAnsi="Times New Roman" w:cs="Times New Roman"/>
            </w:rPr>
            <w:tab/>
          </w:r>
          <w:r>
            <w:rPr>
              <w:rFonts w:hint="default" w:ascii="Times New Roman" w:hAnsi="Times New Roman" w:cs="Times New Roman"/>
            </w:rPr>
            <w:fldChar w:fldCharType="begin"/>
          </w:r>
          <w:r>
            <w:rPr>
              <w:rFonts w:hint="default" w:ascii="Times New Roman" w:hAnsi="Times New Roman" w:cs="Times New Roman"/>
            </w:rPr>
            <w:instrText xml:space="preserve"> PAGEREF _Toc24856 \h </w:instrText>
          </w:r>
          <w:r>
            <w:rPr>
              <w:rFonts w:hint="default" w:ascii="Times New Roman" w:hAnsi="Times New Roman" w:cs="Times New Roman"/>
            </w:rPr>
            <w:fldChar w:fldCharType="separate"/>
          </w:r>
          <w:r>
            <w:rPr>
              <w:rFonts w:hint="default" w:ascii="Times New Roman" w:hAnsi="Times New Roman" w:cs="Times New Roman"/>
            </w:rPr>
            <w:t>12</w:t>
          </w:r>
          <w:r>
            <w:rPr>
              <w:rFonts w:hint="default" w:ascii="Times New Roman" w:hAnsi="Times New Roman" w:cs="Times New Roman"/>
            </w:rPr>
            <w:fldChar w:fldCharType="end"/>
          </w:r>
          <w:r>
            <w:rPr>
              <w:rFonts w:hint="default" w:ascii="Times New Roman" w:hAnsi="Times New Roman" w:cs="Times New Roman"/>
              <w:bCs/>
              <w:szCs w:val="24"/>
              <w:lang w:val="en-US" w:eastAsia="zh-CN"/>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r>
            <w:rPr>
              <w:rFonts w:hint="default" w:ascii="Times New Roman" w:hAnsi="Times New Roman" w:cs="Times New Roman"/>
              <w:bCs/>
              <w:szCs w:val="24"/>
              <w:lang w:val="en-US" w:eastAsia="zh-CN"/>
            </w:rPr>
            <w:fldChar w:fldCharType="end"/>
          </w:r>
        </w:p>
      </w:sdtContent>
    </w:sdt>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7" w:name="_Toc8705"/>
      <w:r>
        <w:rPr>
          <w:rFonts w:hint="default" w:ascii="Times New Roman" w:hAnsi="Times New Roman" w:cs="Times New Roman"/>
          <w:sz w:val="24"/>
          <w:szCs w:val="24"/>
          <w:lang w:val="en-US" w:eastAsia="zh-CN"/>
        </w:rPr>
        <w:t>Introduction</w:t>
      </w:r>
      <w:bookmarkEnd w:id="27"/>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For a business to grow and survive in the fierce marketplace, it must make investments.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An organi</w:t>
      </w:r>
      <w:r>
        <w:rPr>
          <w:rFonts w:hint="eastAsia" w:ascii="Times New Roman" w:hAnsi="Times New Roman" w:eastAsia="宋体" w:cs="Times New Roman"/>
          <w:sz w:val="24"/>
          <w:szCs w:val="24"/>
          <w:lang w:val="en-US" w:eastAsia="zh-CN"/>
        </w:rPr>
        <w:t>s</w:t>
      </w:r>
      <w:r>
        <w:rPr>
          <w:rFonts w:hint="default" w:ascii="Times New Roman" w:hAnsi="Times New Roman" w:eastAsia="宋体" w:cs="Times New Roman"/>
          <w:sz w:val="24"/>
          <w:szCs w:val="24"/>
        </w:rPr>
        <w:t>ation's long-term capital assets are distributed with a concentration on tactical capital spending. It emphasized the importance of cash flow over profit (Pike et al., 2018).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For businesses to survive and succeed in the long run, good financial management and capital investment decisions are essential.</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Investment choices allow businesses to put money into actual assets, which bring in money and provide revenues to assist the business pay its debts and stay afloat (Brealey et al., 2011).</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Analysis of potential investments in long-term assets that are anticipated to yield benefits is done through capital budgeting (Peterson and Fabozzi, 2002). Each investment study should contain a DCF, which incorporates several discounting models such as NPV and IRR and considers the time value of money (Brigham and Ehrhardt, 2002).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bCs/>
          <w:sz w:val="24"/>
          <w:szCs w:val="24"/>
          <w:lang w:val="en-US" w:eastAsia="zh-CN"/>
        </w:rPr>
      </w:pPr>
      <w:r>
        <w:rPr>
          <w:rFonts w:hint="eastAsia" w:ascii="Times New Roman" w:hAnsi="Times New Roman" w:eastAsia="宋体" w:cs="Times New Roman"/>
          <w:i w:val="0"/>
          <w:iCs w:val="0"/>
          <w:caps w:val="0"/>
          <w:color w:val="1C1D1E"/>
          <w:spacing w:val="0"/>
          <w:sz w:val="24"/>
          <w:szCs w:val="24"/>
          <w:shd w:val="clear" w:fill="FFFFFF"/>
          <w:lang w:val="en-US" w:eastAsia="zh-CN"/>
        </w:rPr>
        <w:t>Moreover, there are a few investment analysis tools that do not use cash flow discounting. Among them, the accounting rate of return (ARR) and payback period (PP) are the two most widely used (Ross, 2007).</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hAnsi="Cambria Math" w:cs="Times New Roman"/>
          <w:bCs/>
          <w:i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8" w:name="_Toc9160"/>
      <w:r>
        <w:rPr>
          <w:rFonts w:hint="default" w:ascii="Times New Roman" w:hAnsi="Times New Roman" w:cs="Times New Roman"/>
          <w:sz w:val="24"/>
          <w:szCs w:val="24"/>
          <w:lang w:val="en-US" w:eastAsia="zh-CN"/>
        </w:rPr>
        <w:t>Evaluation of Investment Options</w:t>
      </w:r>
      <w:bookmarkEnd w:id="28"/>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29" w:name="_Toc23217"/>
      <w:r>
        <w:rPr>
          <w:rFonts w:hint="default" w:ascii="Times New Roman" w:hAnsi="Times New Roman" w:cs="Times New Roman"/>
          <w:sz w:val="24"/>
          <w:szCs w:val="24"/>
          <w:lang w:val="en-US" w:eastAsia="zh-CN"/>
        </w:rPr>
        <w:t>2.1 Discounted Cash Flow Analysis</w:t>
      </w:r>
      <w:bookmarkEnd w:id="29"/>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Discounted cash flow (DCF) analysis is commonly employed as a financial and economic method to evaluate the sustainability of an investment and in capital budgeting (David and Maria, 2008).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It emphasizes the significance of the time value of money theory. Most major commercial organizations use net present value (NPV) and internal rate of return (IRR), which are seen as more comprehensive than the conventional payback and accounting rate of return approaches.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0" w:name="_Toc23020"/>
      <w:r>
        <w:rPr>
          <w:rFonts w:hint="default" w:ascii="Times New Roman" w:hAnsi="Times New Roman" w:cs="Times New Roman"/>
          <w:sz w:val="24"/>
          <w:szCs w:val="24"/>
          <w:lang w:val="en-US" w:eastAsia="zh-CN"/>
        </w:rPr>
        <w:t>2.1.1 Net present value</w:t>
      </w:r>
      <w:bookmarkEnd w:id="30"/>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Net present value is calculated by deducting the initial expenditures from the total of the net yearly cash flows, which have been discounted at a rat</w:t>
      </w:r>
      <w:r>
        <w:rPr>
          <w:rFonts w:hint="eastAsia" w:ascii="Times New Roman" w:hAnsi="Times New Roman" w:eastAsia="宋体" w:cs="Times New Roman"/>
          <w:sz w:val="24"/>
          <w:szCs w:val="24"/>
          <w:lang w:val="en-US" w:eastAsia="zh-CN"/>
        </w:rPr>
        <w:t>io</w:t>
      </w:r>
      <w:r>
        <w:rPr>
          <w:rFonts w:hint="default" w:ascii="Times New Roman" w:hAnsi="Times New Roman" w:eastAsia="宋体" w:cs="Times New Roman"/>
          <w:sz w:val="24"/>
          <w:szCs w:val="24"/>
        </w:rPr>
        <w:t xml:space="preserve"> that re</w:t>
      </w:r>
      <w:r>
        <w:rPr>
          <w:rFonts w:hint="eastAsia" w:ascii="Times New Roman" w:hAnsi="Times New Roman" w:eastAsia="宋体" w:cs="Times New Roman"/>
          <w:sz w:val="24"/>
          <w:szCs w:val="24"/>
          <w:lang w:val="en-US" w:eastAsia="zh-CN"/>
        </w:rPr>
        <w:t>flects</w:t>
      </w:r>
      <w:r>
        <w:rPr>
          <w:rFonts w:hint="default" w:ascii="Times New Roman" w:hAnsi="Times New Roman" w:eastAsia="宋体" w:cs="Times New Roman"/>
          <w:sz w:val="24"/>
          <w:szCs w:val="24"/>
        </w:rPr>
        <w:t xml:space="preserve"> the cost of </w:t>
      </w:r>
      <w:r>
        <w:rPr>
          <w:rFonts w:hint="eastAsia" w:ascii="Times New Roman" w:hAnsi="Times New Roman" w:eastAsia="宋体" w:cs="Times New Roman"/>
          <w:sz w:val="24"/>
          <w:szCs w:val="24"/>
          <w:lang w:val="en-US" w:eastAsia="zh-CN"/>
        </w:rPr>
        <w:t>an investment in the</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financial</w:t>
      </w:r>
      <w:r>
        <w:rPr>
          <w:rFonts w:hint="default" w:ascii="Times New Roman" w:hAnsi="Times New Roman" w:eastAsia="宋体" w:cs="Times New Roman"/>
          <w:sz w:val="24"/>
          <w:szCs w:val="24"/>
        </w:rPr>
        <w:t xml:space="preserve"> market with a </w:t>
      </w:r>
      <w:r>
        <w:rPr>
          <w:rFonts w:hint="eastAsia" w:ascii="Times New Roman" w:hAnsi="Times New Roman" w:eastAsia="宋体" w:cs="Times New Roman"/>
          <w:sz w:val="24"/>
          <w:szCs w:val="24"/>
          <w:lang w:val="en-US" w:eastAsia="zh-CN"/>
        </w:rPr>
        <w:t>comparable</w:t>
      </w:r>
      <w:r>
        <w:rPr>
          <w:rFonts w:hint="default" w:ascii="Times New Roman" w:hAnsi="Times New Roman" w:eastAsia="宋体" w:cs="Times New Roman"/>
          <w:sz w:val="24"/>
          <w:szCs w:val="24"/>
        </w:rPr>
        <w:t xml:space="preserve"> risk level. If a project has a positive NPV, it is viable.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NPV takes time value of money into consideration. Discounting converts cash flows at many different times to a single valuation foundation, allowing for direct comparison. It </w:t>
      </w:r>
      <w:r>
        <w:rPr>
          <w:rFonts w:hint="eastAsia" w:ascii="Times New Roman" w:hAnsi="Times New Roman" w:eastAsia="宋体" w:cs="Times New Roman"/>
          <w:sz w:val="24"/>
          <w:szCs w:val="24"/>
          <w:lang w:val="en-US" w:eastAsia="zh-CN"/>
        </w:rPr>
        <w:t>has a close</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connection</w:t>
      </w:r>
      <w:r>
        <w:rPr>
          <w:rFonts w:hint="default" w:ascii="Times New Roman" w:hAnsi="Times New Roman" w:eastAsia="宋体" w:cs="Times New Roman"/>
          <w:sz w:val="24"/>
          <w:szCs w:val="24"/>
        </w:rPr>
        <w:t xml:space="preserve"> to the </w:t>
      </w:r>
      <w:r>
        <w:rPr>
          <w:rFonts w:hint="eastAsia" w:ascii="Times New Roman" w:hAnsi="Times New Roman" w:eastAsia="宋体" w:cs="Times New Roman"/>
          <w:sz w:val="24"/>
          <w:szCs w:val="24"/>
          <w:lang w:val="en-US" w:eastAsia="zh-CN"/>
        </w:rPr>
        <w:t xml:space="preserve">objective </w:t>
      </w:r>
      <w:r>
        <w:rPr>
          <w:rFonts w:hint="default" w:ascii="Times New Roman" w:hAnsi="Times New Roman" w:eastAsia="宋体" w:cs="Times New Roman"/>
          <w:sz w:val="24"/>
          <w:szCs w:val="24"/>
        </w:rPr>
        <w:t xml:space="preserve">of </w:t>
      </w:r>
      <w:r>
        <w:rPr>
          <w:rFonts w:hint="eastAsia" w:ascii="Times New Roman" w:hAnsi="Times New Roman" w:eastAsia="宋体" w:cs="Times New Roman"/>
          <w:sz w:val="24"/>
          <w:szCs w:val="24"/>
          <w:lang w:val="en-US" w:eastAsia="zh-CN"/>
        </w:rPr>
        <w:t>investors</w:t>
      </w:r>
      <w:r>
        <w:rPr>
          <w:rFonts w:hint="default"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return</w:t>
      </w:r>
      <w:r>
        <w:rPr>
          <w:rFonts w:hint="default" w:ascii="Times New Roman" w:hAnsi="Times New Roman" w:eastAsia="宋体" w:cs="Times New Roman"/>
          <w:sz w:val="24"/>
          <w:szCs w:val="24"/>
        </w:rPr>
        <w: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sz w:val="24"/>
          <w:szCs w:val="24"/>
          <w:lang w:val="en-US" w:eastAsia="zh-CN"/>
        </w:rPr>
      </w:pPr>
      <w:r>
        <w:rPr>
          <w:rFonts w:hint="eastAsia" w:ascii="Times New Roman" w:hAnsi="Times New Roman" w:eastAsia="宋体" w:cs="Times New Roman"/>
          <w:b/>
          <w:bCs/>
          <w:sz w:val="24"/>
          <w:szCs w:val="24"/>
          <w:lang w:val="en-US" w:eastAsia="zh-CN"/>
        </w:rPr>
        <w:t>NPV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Machine (A) could be sold for ￡30,000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Discount rate: 20%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NPV=CF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    =(</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r>
          <m:rPr>
            <m:sty m:val="p"/>
          </m:rPr>
          <w:rPr>
            <w:rFonts w:hint="default" w:ascii="Cambria Math" w:hAnsi="Cambria Math" w:cs="Times New Roman"/>
            <w:sz w:val="24"/>
            <w:szCs w:val="24"/>
            <w:lang w:val="en-US" w:eastAsia="zh-CN"/>
          </w:rPr>
          <m:t>+</m:t>
        </m:r>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30,000+30,000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100,000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w:t>
      </w:r>
      <w:r>
        <w:rPr>
          <w:rFonts w:hint="default" w:ascii="Times New Roman" w:hAnsi="Times New Roman" w:cs="Times New Roman"/>
          <w:b w:val="0"/>
          <w:bCs w:val="0"/>
          <w:i w:val="0"/>
          <w:sz w:val="24"/>
          <w:szCs w:val="24"/>
          <w:lang w:val="en-US" w:eastAsia="zh-CN"/>
        </w:rPr>
        <w:t>45,698.30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i w:val="0"/>
          <w:sz w:val="24"/>
          <w:szCs w:val="24"/>
          <w:lang w:val="en-US" w:eastAsia="zh-CN"/>
        </w:rPr>
      </w:pPr>
      <w:r>
        <w:rPr>
          <w:rFonts w:hint="default" w:ascii="Times New Roman" w:hAnsi="Times New Roman" w:cs="Times New Roman"/>
          <w:b/>
          <w:bCs/>
          <w:i w:val="0"/>
          <w:sz w:val="24"/>
          <w:szCs w:val="24"/>
          <w:lang w:val="en-US" w:eastAsia="zh-CN"/>
        </w:rPr>
        <w:t>NPV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Machine (B)</w:t>
      </w:r>
      <w:r>
        <w:rPr>
          <w:rFonts w:hint="eastAsia" w:ascii="Times New Roman" w:hAnsi="Times New Roman" w:cs="Times New Roman"/>
          <w:b w:val="0"/>
          <w:bCs w:val="0"/>
          <w:i w:val="0"/>
          <w:sz w:val="24"/>
          <w:szCs w:val="24"/>
          <w:lang w:val="en-US" w:eastAsia="zh-CN"/>
        </w:rPr>
        <w:t xml:space="preserve"> could be sold for ￡25,000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i w:val="0"/>
          <w:sz w:val="24"/>
          <w:szCs w:val="24"/>
          <w:lang w:val="en-US" w:eastAsia="zh-CN"/>
        </w:rPr>
      </w:pPr>
      <w:r>
        <w:rPr>
          <w:rFonts w:hint="eastAsia" w:ascii="Times New Roman" w:hAnsi="Times New Roman" w:cs="Times New Roman"/>
          <w:b w:val="0"/>
          <w:bCs w:val="0"/>
          <w:i w:val="0"/>
          <w:sz w:val="24"/>
          <w:szCs w:val="24"/>
          <w:lang w:val="en-US" w:eastAsia="zh-CN"/>
        </w:rPr>
        <w:t>Discount rate: 20%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NPV=CF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(1+i)</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    =(</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r>
          <m:rPr>
            <m:sty m:val="p"/>
          </m:rPr>
          <w:rPr>
            <w:rFonts w:hint="default" w:ascii="Cambria Math" w:hAnsi="Cambria Math" w:cs="Times New Roman"/>
            <w:sz w:val="24"/>
            <w:szCs w:val="24"/>
            <w:lang w:val="en-US" w:eastAsia="zh-CN"/>
          </w:rPr>
          <m:t>+</m:t>
        </m:r>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75.000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25,000+25,000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100,000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1+0.2</m:t>
            </m:r>
            <m:ctrlPr>
              <w:rPr>
                <w:rFonts w:hint="default" w:ascii="Cambria Math" w:hAnsi="Cambria Math" w:cs="Times New Roman"/>
                <w:b w:val="0"/>
                <w:bCs w:val="0"/>
                <w:sz w:val="24"/>
                <w:szCs w:val="24"/>
                <w:lang w:val="en-US" w:eastAsia="zh-CN"/>
              </w:rPr>
            </m:ctrlPr>
          </m:den>
        </m:f>
      </m:oMath>
    </w:p>
    <w:p>
      <w:pPr>
        <w:keepNext w:val="0"/>
        <w:keepLines w:val="0"/>
        <w:pageBreakBefore w:val="0"/>
        <w:widowControl w:val="0"/>
        <w:kinsoku/>
        <w:wordWrap/>
        <w:overflowPunct/>
        <w:topLinePunct w:val="0"/>
        <w:autoSpaceDE/>
        <w:autoSpaceDN/>
        <w:bidi w:val="0"/>
        <w:adjustRightInd/>
        <w:snapToGrid/>
        <w:spacing w:line="360" w:lineRule="auto"/>
        <w:ind w:firstLine="480"/>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w:t>
      </w:r>
      <w:r>
        <w:rPr>
          <w:rFonts w:hint="default" w:ascii="Times New Roman" w:hAnsi="Times New Roman" w:cs="Times New Roman"/>
          <w:b w:val="0"/>
          <w:bCs w:val="0"/>
          <w:i w:val="0"/>
          <w:sz w:val="24"/>
          <w:szCs w:val="24"/>
          <w:lang w:val="en-US" w:eastAsia="zh-CN"/>
        </w:rPr>
        <w:t>25,128.60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i w:val="0"/>
          <w:sz w:val="24"/>
          <w:szCs w:val="24"/>
          <w:lang w:val="en-US" w:eastAsia="zh-CN"/>
        </w:rPr>
      </w:pPr>
      <w:r>
        <w:rPr>
          <w:rFonts w:hint="default" w:ascii="Times New Roman" w:hAnsi="Times New Roman" w:cs="Times New Roman"/>
          <w:b/>
          <w:bCs/>
          <w:i w:val="0"/>
          <w:sz w:val="24"/>
          <w:szCs w:val="24"/>
          <w:lang w:val="en-US" w:eastAsia="zh-CN"/>
        </w:rPr>
        <w:t>Choice of machine on basis of NPV</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i w:val="0"/>
          <w:sz w:val="24"/>
          <w:szCs w:val="24"/>
          <w:lang w:val="en-US" w:eastAsia="zh-CN"/>
        </w:rPr>
        <w:t xml:space="preserve">Both projects have positive NPVs when using a 20% discount rate, which increases shareholders value. </w:t>
      </w:r>
      <w:r>
        <w:rPr>
          <w:rFonts w:hint="eastAsia" w:ascii="Times New Roman" w:hAnsi="Times New Roman" w:cs="Times New Roman"/>
          <w:b w:val="0"/>
          <w:bCs w:val="0"/>
          <w:i w:val="0"/>
          <w:sz w:val="24"/>
          <w:szCs w:val="24"/>
          <w:lang w:val="en-US" w:eastAsia="zh-CN"/>
        </w:rPr>
        <w:t>An improvement in the company</w:t>
      </w:r>
      <w:r>
        <w:rPr>
          <w:rFonts w:hint="default" w:ascii="Times New Roman" w:hAnsi="Times New Roman" w:cs="Times New Roman"/>
          <w:b w:val="0"/>
          <w:bCs w:val="0"/>
          <w:i w:val="0"/>
          <w:sz w:val="24"/>
          <w:szCs w:val="24"/>
          <w:lang w:val="en-US" w:eastAsia="zh-CN"/>
        </w:rPr>
        <w:t>’</w:t>
      </w:r>
      <w:r>
        <w:rPr>
          <w:rFonts w:hint="eastAsia" w:ascii="Times New Roman" w:hAnsi="Times New Roman" w:cs="Times New Roman"/>
          <w:b w:val="0"/>
          <w:bCs w:val="0"/>
          <w:i w:val="0"/>
          <w:sz w:val="24"/>
          <w:szCs w:val="24"/>
          <w:lang w:val="en-US" w:eastAsia="zh-CN"/>
        </w:rPr>
        <w:t>s financial performance and a yield greater than the required minimum rate are both indicated by a positive NPV</w:t>
      </w:r>
      <w:r>
        <w:rPr>
          <w:rFonts w:hint="default" w:ascii="Times New Roman" w:hAnsi="Times New Roman" w:cs="Times New Roman"/>
          <w:b w:val="0"/>
          <w:bCs w:val="0"/>
          <w:i w:val="0"/>
          <w:sz w:val="24"/>
          <w:szCs w:val="24"/>
          <w:lang w:val="en-US" w:eastAsia="zh-CN"/>
        </w:rPr>
        <w:t xml:space="preserve"> (Fabozzi and Drake, 2009). But, Machine A is better than Machine B since it generates more revenue.</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1" w:name="_Toc9805"/>
      <w:r>
        <w:rPr>
          <w:rFonts w:hint="default" w:ascii="Times New Roman" w:hAnsi="Times New Roman" w:cs="Times New Roman"/>
          <w:sz w:val="24"/>
          <w:szCs w:val="24"/>
          <w:lang w:val="en-US" w:eastAsia="zh-CN"/>
        </w:rPr>
        <w:t>2.1.2 Internal Rate of Return</w:t>
      </w:r>
      <w:bookmarkEnd w:id="31"/>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11111"/>
          <w:spacing w:val="0"/>
          <w:sz w:val="24"/>
          <w:szCs w:val="24"/>
          <w:shd w:val="clear" w:fill="FFFFFF"/>
        </w:rPr>
      </w:pPr>
      <w:r>
        <w:rPr>
          <w:rFonts w:hint="default" w:ascii="Times New Roman" w:hAnsi="Times New Roman" w:eastAsia="sans-serif" w:cs="Times New Roman"/>
          <w:i w:val="0"/>
          <w:iCs w:val="0"/>
          <w:caps w:val="0"/>
          <w:color w:val="111111"/>
          <w:spacing w:val="0"/>
          <w:sz w:val="24"/>
          <w:szCs w:val="24"/>
          <w:shd w:val="clear" w:fill="FFFFFF"/>
        </w:rPr>
        <w:t>The internal rate of return</w:t>
      </w:r>
      <w:r>
        <w:rPr>
          <w:rFonts w:hint="eastAsia" w:ascii="Times New Roman" w:hAnsi="Times New Roman" w:eastAsia="宋体" w:cs="Times New Roman"/>
          <w:i w:val="0"/>
          <w:iCs w:val="0"/>
          <w:caps w:val="0"/>
          <w:color w:val="111111"/>
          <w:spacing w:val="0"/>
          <w:sz w:val="24"/>
          <w:szCs w:val="24"/>
          <w:shd w:val="clear" w:fill="FFFFFF"/>
          <w:lang w:val="en-US" w:eastAsia="zh-CN"/>
        </w:rPr>
        <w:t xml:space="preserve"> (IRR)</w:t>
      </w:r>
      <w:r>
        <w:rPr>
          <w:rFonts w:hint="default" w:ascii="Times New Roman" w:hAnsi="Times New Roman" w:eastAsia="sans-serif" w:cs="Times New Roman"/>
          <w:i w:val="0"/>
          <w:iCs w:val="0"/>
          <w:caps w:val="0"/>
          <w:color w:val="111111"/>
          <w:spacing w:val="0"/>
          <w:sz w:val="24"/>
          <w:szCs w:val="24"/>
          <w:shd w:val="clear" w:fill="FFFFFF"/>
        </w:rPr>
        <w:t xml:space="preserve"> is a term used in financial evaluation to measure the sustainability of investment options. The net present value (NPV) of all cash flows is set to zero in a discounted cash flow analysis via the use of the internal rate of return (Vernimmen, 2018).</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The time of all financial flows is logically managed while being considered. IRR's primary flaw, though, is that it doesn't deal with how shareholders' wealth is created in a direct manner. Hence, it can typically provide the same messages as NPV, but it might be misleading in cases when there are competing projects of various sizes.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11111"/>
          <w:spacing w:val="0"/>
          <w:sz w:val="24"/>
          <w:szCs w:val="24"/>
          <w:shd w:val="clear" w:fill="FFFFFF"/>
        </w:rPr>
      </w:pPr>
      <w:r>
        <w:rPr>
          <w:rFonts w:hint="default" w:ascii="Times New Roman" w:hAnsi="Times New Roman" w:eastAsia="sans-serif" w:cs="Times New Roman"/>
          <w:i w:val="0"/>
          <w:iCs w:val="0"/>
          <w:caps w:val="0"/>
          <w:color w:val="111111"/>
          <w:spacing w:val="0"/>
          <w:sz w:val="24"/>
          <w:szCs w:val="24"/>
          <w:shd w:val="clear" w:fill="FFFFFF"/>
        </w:rPr>
        <w:t>IRR must be determined repeatedly by trial and error or by utilizing software designed to compute IRR because it cannot be determined simply by using analysis tools.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IRR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-100,000+</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55,000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30,000+30,000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IRR=38.31%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IRR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i w:val="0"/>
          <w:sz w:val="24"/>
          <w:szCs w:val="24"/>
          <w:lang w:val="en-US" w:eastAsia="zh-CN"/>
        </w:rPr>
      </w:pPr>
      <w:r>
        <w:rPr>
          <w:rFonts w:hint="default" w:ascii="Times New Roman" w:hAnsi="Times New Roman" w:cs="Times New Roman"/>
          <w:b w:val="0"/>
          <w:bCs w:val="0"/>
          <w:sz w:val="24"/>
          <w:szCs w:val="24"/>
          <w:lang w:val="en-US" w:eastAsia="zh-CN"/>
        </w:rPr>
        <w:t>CF</w:t>
      </w:r>
      <w:r>
        <w:rPr>
          <w:rFonts w:hint="default" w:ascii="Times New Roman" w:hAnsi="Times New Roman" w:cs="Times New Roman"/>
          <w:b w:val="0"/>
          <w:bCs w:val="0"/>
          <w:sz w:val="24"/>
          <w:szCs w:val="24"/>
          <w:vertAlign w:val="subscript"/>
          <w:lang w:val="en-US" w:eastAsia="zh-CN"/>
        </w:rPr>
        <w:t>0</w:t>
      </w:r>
      <w:r>
        <w:rPr>
          <w:rFonts w:hint="default" w:ascii="Times New Roman" w:hAnsi="Times New Roman" w:cs="Times New Roman"/>
          <w:b w:val="0"/>
          <w:bCs w:val="0"/>
          <w:sz w:val="24"/>
          <w:szCs w:val="24"/>
          <w:vertAlign w:val="baseline"/>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1</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 xml:space="preserve"> ... +</w:t>
      </w:r>
      <m:oMath>
        <m:f>
          <m:fPr>
            <m:ctrlPr>
              <w:rPr>
                <w:rFonts w:hint="default" w:ascii="Cambria Math" w:hAnsi="Cambria Math" w:cs="Times New Roman"/>
                <w:b w:val="0"/>
                <w:bCs w:val="0"/>
                <w:sz w:val="24"/>
                <w:szCs w:val="24"/>
                <w:lang w:val="en-US" w:eastAsia="zh-CN"/>
              </w:rPr>
            </m:ctrlPr>
          </m:fPr>
          <m:num>
            <m:sSub>
              <m:sSubPr>
                <m:ctrlPr>
                  <w:rPr>
                    <w:rFonts w:hint="default" w:ascii="Cambria Math" w:hAnsi="Cambria Math" w:cs="Times New Roman"/>
                    <w:b w:val="0"/>
                    <w:bCs w:val="0"/>
                    <w:sz w:val="24"/>
                    <w:szCs w:val="24"/>
                    <w:lang w:val="en-US" w:eastAsia="zh-CN"/>
                  </w:rPr>
                </m:ctrlPr>
              </m:sSubPr>
              <m:e>
                <m:r>
                  <m:rPr>
                    <m:sty m:val="p"/>
                  </m:rPr>
                  <w:rPr>
                    <w:rFonts w:hint="default" w:ascii="Cambria Math" w:hAnsi="Cambria Math" w:cs="Times New Roman"/>
                    <w:sz w:val="24"/>
                    <w:szCs w:val="24"/>
                    <w:lang w:val="en-US" w:eastAsia="zh-CN"/>
                  </w:rPr>
                  <m:t>CF</m:t>
                </m:r>
                <m:ctrlPr>
                  <w:rPr>
                    <w:rFonts w:hint="default" w:ascii="Cambria Math" w:hAnsi="Cambria Math" w:cs="Times New Roman"/>
                    <w:b w:val="0"/>
                    <w:bCs w:val="0"/>
                    <w:sz w:val="24"/>
                    <w:szCs w:val="24"/>
                    <w:lang w:val="en-US" w:eastAsia="zh-CN"/>
                  </w:rPr>
                </m:ctrlPr>
              </m:e>
              <m:sub>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b>
            </m:sSub>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n</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val="0"/>
          <w:bCs w:val="0"/>
          <w:sz w:val="24"/>
          <w:szCs w:val="24"/>
          <w:lang w:val="en-US" w:eastAsia="zh-CN"/>
        </w:rPr>
        <w:t>-100,000+</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m:t>
            </m:r>
            <m:ctrlPr>
              <w:rPr>
                <w:rFonts w:hint="default" w:ascii="Cambria Math" w:hAnsi="Cambria Math" w:cs="Times New Roman"/>
                <w:b w:val="0"/>
                <w:bCs w:val="0"/>
                <w:sz w:val="24"/>
                <w:szCs w:val="24"/>
                <w:lang w:val="en-US" w:eastAsia="zh-CN"/>
              </w:rPr>
            </m:ctrlPr>
          </m:num>
          <m:den>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40,000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2</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35,000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3</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75,000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4</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w:t>
      </w:r>
      <m:oMath>
        <m:f>
          <m:fPr>
            <m:ctrlPr>
              <w:rPr>
                <w:rFonts w:hint="default" w:ascii="Cambria Math" w:hAnsi="Cambria Math" w:cs="Times New Roman"/>
                <w:b w:val="0"/>
                <w:bCs w:val="0"/>
                <w:sz w:val="24"/>
                <w:szCs w:val="24"/>
                <w:lang w:val="en-US" w:eastAsia="zh-CN"/>
              </w:rPr>
            </m:ctrlPr>
          </m:fPr>
          <m:num>
            <m:r>
              <m:rPr>
                <m:sty m:val="p"/>
              </m:rPr>
              <w:rPr>
                <w:rFonts w:hint="default" w:ascii="Cambria Math" w:hAnsi="Cambria Math" w:cs="Times New Roman"/>
                <w:sz w:val="24"/>
                <w:szCs w:val="24"/>
                <w:lang w:val="en-US" w:eastAsia="zh-CN"/>
              </w:rPr>
              <m:t>25,000+25,000</m:t>
            </m:r>
            <m:ctrlPr>
              <w:rPr>
                <w:rFonts w:hint="default" w:ascii="Cambria Math" w:hAnsi="Cambria Math" w:cs="Times New Roman"/>
                <w:b w:val="0"/>
                <w:bCs w:val="0"/>
                <w:sz w:val="24"/>
                <w:szCs w:val="24"/>
                <w:lang w:val="en-US" w:eastAsia="zh-CN"/>
              </w:rPr>
            </m:ctrlPr>
          </m:num>
          <m:den>
            <m:sSup>
              <m:sSupPr>
                <m:ctrlPr>
                  <w:rPr>
                    <w:rFonts w:hint="default" w:ascii="Cambria Math" w:hAnsi="Cambria Math" w:cs="Times New Roman"/>
                    <w:b w:val="0"/>
                    <w:bCs w:val="0"/>
                    <w:sz w:val="24"/>
                    <w:szCs w:val="24"/>
                    <w:lang w:val="en-US" w:eastAsia="zh-CN"/>
                  </w:rPr>
                </m:ctrlPr>
              </m:sSupPr>
              <m:e>
                <m:r>
                  <m:rPr>
                    <m:sty m:val="p"/>
                  </m:rPr>
                  <w:rPr>
                    <w:rFonts w:hint="default" w:ascii="Cambria Math" w:hAnsi="Cambria Math" w:cs="Times New Roman"/>
                    <w:sz w:val="24"/>
                    <w:szCs w:val="24"/>
                    <w:lang w:val="en-US" w:eastAsia="zh-CN"/>
                  </w:rPr>
                  <m:t>(1+r)</m:t>
                </m:r>
                <m:ctrlPr>
                  <w:rPr>
                    <w:rFonts w:hint="default" w:ascii="Cambria Math" w:hAnsi="Cambria Math" w:cs="Times New Roman"/>
                    <w:b w:val="0"/>
                    <w:bCs w:val="0"/>
                    <w:sz w:val="24"/>
                    <w:szCs w:val="24"/>
                    <w:lang w:val="en-US" w:eastAsia="zh-CN"/>
                  </w:rPr>
                </m:ctrlPr>
              </m:e>
              <m:sup>
                <m:r>
                  <m:rPr>
                    <m:sty m:val="p"/>
                  </m:rPr>
                  <w:rPr>
                    <w:rFonts w:hint="default" w:ascii="Cambria Math" w:hAnsi="Cambria Math" w:cs="Times New Roman"/>
                    <w:sz w:val="24"/>
                    <w:szCs w:val="24"/>
                    <w:lang w:val="en-US" w:eastAsia="zh-CN"/>
                  </w:rPr>
                  <m:t>5</m:t>
                </m:r>
                <m:ctrlPr>
                  <w:rPr>
                    <w:rFonts w:hint="default" w:ascii="Cambria Math" w:hAnsi="Cambria Math" w:cs="Times New Roman"/>
                    <w:b w:val="0"/>
                    <w:bCs w:val="0"/>
                    <w:sz w:val="24"/>
                    <w:szCs w:val="24"/>
                    <w:lang w:val="en-US" w:eastAsia="zh-CN"/>
                  </w:rPr>
                </m:ctrlPr>
              </m:sup>
            </m:sSup>
            <m:ctrlPr>
              <w:rPr>
                <w:rFonts w:hint="default" w:ascii="Cambria Math" w:hAnsi="Cambria Math" w:cs="Times New Roman"/>
                <w:b w:val="0"/>
                <w:bCs w:val="0"/>
                <w:sz w:val="24"/>
                <w:szCs w:val="24"/>
                <w:lang w:val="en-US" w:eastAsia="zh-CN"/>
              </w:rPr>
            </m:ctrlPr>
          </m:den>
        </m:f>
      </m:oMath>
      <w:r>
        <w:rPr>
          <w:rFonts w:hint="default" w:ascii="Times New Roman" w:hAnsi="Times New Roman" w:cs="Times New Roman"/>
          <w:b w:val="0"/>
          <w:bCs w:val="0"/>
          <w:i w:val="0"/>
          <w:sz w:val="24"/>
          <w:szCs w:val="24"/>
          <w:lang w:val="en-US" w:eastAsia="zh-CN"/>
        </w:rPr>
        <w:t>=0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IRR=29.36%</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color w:val="auto"/>
          <w:sz w:val="24"/>
          <w:szCs w:val="24"/>
          <w:lang w:val="en-US" w:eastAsia="zh-CN"/>
        </w:rPr>
      </w:pPr>
      <w:r>
        <w:rPr>
          <w:rFonts w:hint="default" w:ascii="Times New Roman" w:hAnsi="Times New Roman" w:cs="Times New Roman"/>
          <w:b/>
          <w:bCs/>
          <w:color w:val="auto"/>
          <w:sz w:val="24"/>
          <w:szCs w:val="24"/>
          <w:lang w:val="en-US" w:eastAsia="zh-CN"/>
        </w:rPr>
        <w:t>Choice of machine on basis of IRR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The term IRR, which includes the potential revenues and expenses over the course of a project, stands for average percentage return on investment. Programmes with an IRR over the cost of capital are achievable; the larger the IRR, the more attractive the project.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It could seem that the project with the larger IRR is the better option. Programme (A) is ranked higher in this instance than Programme (B).</w:t>
      </w:r>
    </w:p>
    <w:p>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2" w:name="_Toc292"/>
      <w:r>
        <w:rPr>
          <w:rFonts w:hint="default" w:ascii="Times New Roman" w:hAnsi="Times New Roman" w:cs="Times New Roman"/>
          <w:sz w:val="24"/>
          <w:szCs w:val="24"/>
          <w:lang w:val="en-US" w:eastAsia="zh-CN"/>
        </w:rPr>
        <w:t>2.2 Non-discounting Approaches</w:t>
      </w:r>
      <w:bookmarkEnd w:id="32"/>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Non-time value techniques, which are frequently employed as assessment instruments, do not compare the worth of money today to that in the future. The accounting rate of return and the payback method are two non-time value evaluative methods.</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3" w:name="_Toc5662"/>
      <w:r>
        <w:rPr>
          <w:rFonts w:hint="default" w:ascii="Times New Roman" w:hAnsi="Times New Roman" w:cs="Times New Roman"/>
          <w:sz w:val="24"/>
          <w:szCs w:val="24"/>
          <w:lang w:val="en-US" w:eastAsia="zh-CN"/>
        </w:rPr>
        <w:t>2.2.1 ARR</w:t>
      </w:r>
      <w:bookmarkEnd w:id="33"/>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The accounting rate of return is to give an indication of the project's profitability over the course of the asset's life. Instead of cash flows, it compares the project's average yield to the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Instead of concentrating only on the cash flows generated, this strategy may offer a more comprehensive understanding of the effect by reviewing earnings, cost reductions, and expenditures related to the investment. ARR is limited, however, in that it lacks the consideration of the time worth of money, much like the payback approach does. Moreover, this strategy relies on profits rather than financial flows. ARR is unsuitable as the primary investment assessment approach due to these significant flaws.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
          <w:bCs/>
          <w:color w:val="auto"/>
          <w:sz w:val="24"/>
          <w:szCs w:val="24"/>
          <w:lang w:val="en-US" w:eastAsia="zh-CN"/>
        </w:rPr>
      </w:pPr>
      <w:r>
        <w:rPr>
          <w:rFonts w:hint="default" w:ascii="Times New Roman" w:hAnsi="Times New Roman" w:cs="Times New Roman"/>
          <w:b w:val="0"/>
          <w:bCs w:val="0"/>
          <w:color w:val="auto"/>
          <w:sz w:val="24"/>
          <w:szCs w:val="24"/>
          <w:lang w:val="en-US" w:eastAsia="zh-CN"/>
        </w:rPr>
        <w:t>ARR=</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Average annual operating profit</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Average investment to earn tℎat profit</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rPr>
        <w:t>×</w:t>
      </w:r>
      <w:r>
        <w:rPr>
          <w:rFonts w:hint="default" w:ascii="Times New Roman" w:hAnsi="Times New Roman" w:cs="Times New Roman"/>
          <w:bCs/>
          <w:i w:val="0"/>
          <w:color w:val="auto"/>
          <w:sz w:val="24"/>
          <w:szCs w:val="24"/>
          <w:lang w:val="en-US" w:eastAsia="zh-CN"/>
        </w:rPr>
        <w:t>100%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color w:val="auto"/>
          <w:sz w:val="24"/>
          <w:szCs w:val="24"/>
          <w:lang w:val="en-US" w:eastAsia="zh-CN"/>
        </w:rPr>
      </w:pPr>
      <w:r>
        <w:rPr>
          <w:rFonts w:hint="eastAsia" w:ascii="Times New Roman" w:hAnsi="Times New Roman" w:cs="Times New Roman"/>
          <w:b/>
          <w:bCs/>
          <w:color w:val="auto"/>
          <w:sz w:val="24"/>
          <w:szCs w:val="24"/>
          <w:lang w:val="en-US" w:eastAsia="zh-CN"/>
        </w:rPr>
        <w:t>ARR for Machine A</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(A)</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55,000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30,000+30,000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Average annual operating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val="0"/>
          <w:bCs w:val="0"/>
          <w:color w:val="auto"/>
          <w:sz w:val="24"/>
          <w:szCs w:val="24"/>
          <w:lang w:val="en-US" w:eastAsia="zh-CN"/>
        </w:rPr>
      </w:pP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40,000+50,000+55,000+45,000+60,000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5</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 xml:space="preserve"> - </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100,000−30,000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5</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 xml:space="preserve"> = 50,000-14,000=</w:t>
      </w:r>
      <w:r>
        <w:rPr>
          <w:rFonts w:hint="eastAsia" w:ascii="Times New Roman" w:hAnsi="Times New Roman" w:cs="Times New Roman"/>
          <w:bCs/>
          <w:i w:val="0"/>
          <w:color w:val="auto"/>
          <w:sz w:val="24"/>
          <w:szCs w:val="24"/>
          <w:lang w:val="en-US" w:eastAsia="zh-CN"/>
        </w:rPr>
        <w:t>￡</w:t>
      </w:r>
      <w:r>
        <w:rPr>
          <w:rFonts w:hint="default" w:ascii="Times New Roman" w:hAnsi="Times New Roman" w:cs="Times New Roman"/>
          <w:bCs/>
          <w:i w:val="0"/>
          <w:color w:val="auto"/>
          <w:sz w:val="24"/>
          <w:szCs w:val="24"/>
          <w:lang w:val="en-US" w:eastAsia="zh-CN"/>
        </w:rPr>
        <w:t>36,000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Average investment = </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cost of macℎine+disposal value</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2</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100,000−30,000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2</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w:t>
      </w:r>
      <w:r>
        <w:rPr>
          <w:rFonts w:hint="eastAsia" w:ascii="Times New Roman" w:hAnsi="Times New Roman" w:cs="Times New Roman"/>
          <w:bCs/>
          <w:i w:val="0"/>
          <w:color w:val="auto"/>
          <w:sz w:val="24"/>
          <w:szCs w:val="24"/>
          <w:lang w:val="en-US" w:eastAsia="zh-CN"/>
        </w:rPr>
        <w:t>￡</w:t>
      </w:r>
      <w:r>
        <w:rPr>
          <w:rFonts w:hint="default" w:ascii="Times New Roman" w:hAnsi="Times New Roman" w:cs="Times New Roman"/>
          <w:bCs/>
          <w:i w:val="0"/>
          <w:color w:val="auto"/>
          <w:sz w:val="24"/>
          <w:szCs w:val="24"/>
          <w:lang w:val="en-US" w:eastAsia="zh-CN"/>
        </w:rPr>
        <w:t>35,000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color w:val="auto"/>
          <w:sz w:val="24"/>
          <w:szCs w:val="24"/>
          <w:lang w:val="en-US" w:eastAsia="zh-CN"/>
        </w:rPr>
      </w:pPr>
      <w:r>
        <w:rPr>
          <w:rFonts w:hint="default" w:ascii="Times New Roman" w:hAnsi="Times New Roman" w:cs="Times New Roman"/>
          <w:b w:val="0"/>
          <w:bCs w:val="0"/>
          <w:color w:val="auto"/>
          <w:sz w:val="24"/>
          <w:szCs w:val="24"/>
          <w:lang w:val="en-US" w:eastAsia="zh-CN"/>
        </w:rPr>
        <w:t>ARR=</w:t>
      </w:r>
      <m:oMath>
        <m:f>
          <m:fPr>
            <m:ctrlPr>
              <w:rPr>
                <w:rFonts w:hint="default" w:ascii="Cambria Math" w:hAnsi="Cambria Math" w:cs="Times New Roman"/>
                <w:bCs/>
                <w:i/>
                <w:color w:val="auto"/>
                <w:sz w:val="24"/>
                <w:szCs w:val="24"/>
                <w:lang w:val="en-US"/>
              </w:rPr>
            </m:ctrlPr>
          </m:fPr>
          <m:num>
            <m:r>
              <m:rPr/>
              <w:rPr>
                <w:rFonts w:hint="default" w:ascii="Cambria Math" w:hAnsi="Cambria Math" w:cs="Times New Roman"/>
                <w:color w:val="auto"/>
                <w:sz w:val="24"/>
                <w:szCs w:val="24"/>
                <w:lang w:val="en-US" w:eastAsia="zh-CN"/>
              </w:rPr>
              <m:t>36,000</m:t>
            </m:r>
            <m:ctrlPr>
              <w:rPr>
                <w:rFonts w:hint="default" w:ascii="Cambria Math" w:hAnsi="Cambria Math" w:cs="Times New Roman"/>
                <w:bCs/>
                <w:i/>
                <w:color w:val="auto"/>
                <w:sz w:val="24"/>
                <w:szCs w:val="24"/>
                <w:lang w:val="en-US"/>
              </w:rPr>
            </m:ctrlPr>
          </m:num>
          <m:den>
            <m:r>
              <m:rPr/>
              <w:rPr>
                <w:rFonts w:hint="default" w:ascii="Cambria Math" w:hAnsi="Cambria Math" w:cs="Times New Roman"/>
                <w:color w:val="auto"/>
                <w:sz w:val="24"/>
                <w:szCs w:val="24"/>
                <w:lang w:val="en-US" w:eastAsia="zh-CN"/>
              </w:rPr>
              <m:t>35,000</m:t>
            </m:r>
            <m:ctrlPr>
              <w:rPr>
                <w:rFonts w:hint="default" w:ascii="Cambria Math" w:hAnsi="Cambria Math" w:cs="Times New Roman"/>
                <w:bCs/>
                <w:i/>
                <w:color w:val="auto"/>
                <w:sz w:val="24"/>
                <w:szCs w:val="24"/>
                <w:lang w:val="en-US"/>
              </w:rPr>
            </m:ctrlPr>
          </m:den>
        </m:f>
      </m:oMath>
      <w:r>
        <w:rPr>
          <w:rFonts w:hint="default" w:ascii="Times New Roman" w:hAnsi="Times New Roman" w:cs="Times New Roman"/>
          <w:bCs/>
          <w:i w:val="0"/>
          <w:color w:val="auto"/>
          <w:sz w:val="24"/>
          <w:szCs w:val="24"/>
          <w:lang w:val="en-US" w:eastAsia="zh-CN"/>
        </w:rPr>
        <w:t>=1.02</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val="0"/>
          <w:i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val="0"/>
          <w:i w:val="0"/>
          <w:sz w:val="24"/>
          <w:szCs w:val="24"/>
          <w:lang w:val="en-US" w:eastAsia="zh-CN"/>
        </w:rPr>
      </w:pPr>
      <w:r>
        <w:rPr>
          <w:rFonts w:hint="eastAsia" w:ascii="Times New Roman" w:hAnsi="Times New Roman" w:cs="Times New Roman"/>
          <w:b/>
          <w:bCs w:val="0"/>
          <w:i w:val="0"/>
          <w:sz w:val="24"/>
          <w:szCs w:val="24"/>
          <w:lang w:val="en-US" w:eastAsia="zh-CN"/>
        </w:rPr>
        <w:t>ARR for Machine B</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5"/>
        <w:gridCol w:w="1207"/>
        <w:gridCol w:w="1200"/>
        <w:gridCol w:w="1200"/>
        <w:gridCol w:w="1201"/>
        <w:gridCol w:w="1201"/>
        <w:gridCol w:w="1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bCs/>
                <w:sz w:val="18"/>
                <w:szCs w:val="18"/>
                <w:vertAlign w:val="baseline"/>
                <w:lang w:val="en-US" w:eastAsia="zh-CN"/>
              </w:rPr>
            </w:pP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1</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2</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3</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4</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Year 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Machine (B)</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(100,000)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w:t>
            </w:r>
          </w:p>
        </w:tc>
        <w:tc>
          <w:tcPr>
            <w:tcW w:w="121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40,000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35,000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75,000</w:t>
            </w:r>
          </w:p>
        </w:tc>
        <w:tc>
          <w:tcPr>
            <w:tcW w:w="1218"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cs="Times New Roman"/>
                <w:b w:val="0"/>
                <w:bCs w:val="0"/>
                <w:sz w:val="18"/>
                <w:szCs w:val="18"/>
                <w:vertAlign w:val="baseline"/>
                <w:lang w:val="en-US" w:eastAsia="zh-CN"/>
              </w:rPr>
            </w:pPr>
            <w:r>
              <w:rPr>
                <w:rFonts w:hint="eastAsia" w:ascii="Times New Roman" w:hAnsi="Times New Roman" w:cs="Times New Roman"/>
                <w:b w:val="0"/>
                <w:bCs w:val="0"/>
                <w:sz w:val="18"/>
                <w:szCs w:val="18"/>
                <w:vertAlign w:val="baseline"/>
                <w:lang w:val="en-US" w:eastAsia="zh-CN"/>
              </w:rPr>
              <w:t>25,000+25,000</w:t>
            </w:r>
          </w:p>
        </w:tc>
      </w:tr>
    </w:tbl>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Cs/>
          <w:i w:val="0"/>
          <w:color w:val="auto"/>
          <w:sz w:val="24"/>
          <w:szCs w:val="24"/>
          <w:lang w:val="en-US" w:eastAsia="zh-CN"/>
        </w:rPr>
      </w:pPr>
      <w:r>
        <w:rPr>
          <w:rFonts w:hint="default" w:ascii="Times New Roman" w:hAnsi="Times New Roman" w:cs="Times New Roman"/>
          <w:bCs/>
          <w:i w:val="0"/>
          <w:color w:val="auto"/>
          <w:sz w:val="24"/>
          <w:szCs w:val="24"/>
          <w:lang w:val="en-US" w:eastAsia="zh-CN"/>
        </w:rPr>
        <w:t>Average annual operating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sz w:val="24"/>
          <w:szCs w:val="24"/>
          <w:lang w:val="en-US" w:eastAsia="zh-CN"/>
        </w:rPr>
      </w:pP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25,000+40,000+35,000+75,000+50,000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5</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 xml:space="preserve"> - </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100,000−25,000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5</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=45,000-15,000=</w:t>
      </w:r>
      <w:r>
        <w:rPr>
          <w:rFonts w:hint="eastAsia" w:ascii="Times New Roman" w:hAnsi="Times New Roman" w:cs="Times New Roman"/>
          <w:bCs/>
          <w:i w:val="0"/>
          <w:sz w:val="24"/>
          <w:szCs w:val="24"/>
          <w:lang w:val="en-US" w:eastAsia="zh-CN"/>
        </w:rPr>
        <w:t>￡</w:t>
      </w:r>
      <w:r>
        <w:rPr>
          <w:rFonts w:hint="default" w:ascii="Times New Roman" w:hAnsi="Times New Roman" w:cs="Times New Roman"/>
          <w:bCs/>
          <w:i w:val="0"/>
          <w:sz w:val="24"/>
          <w:szCs w:val="24"/>
          <w:lang w:val="en-US" w:eastAsia="zh-CN"/>
        </w:rPr>
        <w:t>30,000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Cs/>
          <w:i w:val="0"/>
          <w:sz w:val="24"/>
          <w:szCs w:val="24"/>
          <w:lang w:val="en-US" w:eastAsia="zh-CN"/>
        </w:rPr>
      </w:pPr>
      <w:r>
        <w:rPr>
          <w:rFonts w:hint="eastAsia" w:hAnsi="Cambria Math" w:cs="Times New Roman"/>
          <w:bCs/>
          <w:i w:val="0"/>
          <w:sz w:val="24"/>
          <w:szCs w:val="24"/>
          <w:lang w:val="en-US" w:eastAsia="zh-CN"/>
        </w:rPr>
        <w:t xml:space="preserve">Average investment= </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100,000−25,000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2</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 xml:space="preserve"> =</w:t>
      </w:r>
      <w:r>
        <w:rPr>
          <w:rFonts w:hint="eastAsia" w:ascii="Times New Roman" w:hAnsi="Times New Roman" w:cs="Times New Roman"/>
          <w:bCs/>
          <w:i w:val="0"/>
          <w:sz w:val="24"/>
          <w:szCs w:val="24"/>
          <w:lang w:val="en-US" w:eastAsia="zh-CN"/>
        </w:rPr>
        <w:t>￡</w:t>
      </w:r>
      <w:r>
        <w:rPr>
          <w:rFonts w:hint="default" w:ascii="Times New Roman" w:hAnsi="Times New Roman" w:cs="Times New Roman"/>
          <w:bCs/>
          <w:i w:val="0"/>
          <w:sz w:val="24"/>
          <w:szCs w:val="24"/>
          <w:lang w:val="en-US" w:eastAsia="zh-CN"/>
        </w:rPr>
        <w:t>37,500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eastAsiaTheme="minorEastAsia"/>
          <w:bCs/>
          <w:i w:val="0"/>
          <w:sz w:val="24"/>
          <w:szCs w:val="24"/>
          <w:lang w:val="en-US" w:eastAsia="zh-CN"/>
        </w:rPr>
      </w:pPr>
      <w:r>
        <w:rPr>
          <w:rFonts w:hint="default" w:ascii="Times New Roman" w:hAnsi="Times New Roman" w:cs="Times New Roman"/>
          <w:bCs/>
          <w:i w:val="0"/>
          <w:sz w:val="24"/>
          <w:szCs w:val="24"/>
          <w:lang w:val="en-US" w:eastAsia="zh-CN"/>
        </w:rPr>
        <w:t>ARR=</w:t>
      </w:r>
      <m:oMath>
        <m:f>
          <m:fPr>
            <m:ctrlPr>
              <w:rPr>
                <w:rFonts w:hint="default" w:ascii="Cambria Math" w:hAnsi="Cambria Math" w:cs="Times New Roman"/>
                <w:bCs/>
                <w:i/>
                <w:sz w:val="24"/>
                <w:szCs w:val="24"/>
                <w:lang w:val="en-US"/>
              </w:rPr>
            </m:ctrlPr>
          </m:fPr>
          <m:num>
            <m:r>
              <m:rPr/>
              <w:rPr>
                <w:rFonts w:hint="default" w:ascii="Cambria Math" w:hAnsi="Cambria Math" w:cs="Times New Roman"/>
                <w:sz w:val="24"/>
                <w:szCs w:val="24"/>
                <w:lang w:val="en-US" w:eastAsia="zh-CN"/>
              </w:rPr>
              <m:t>30,000</m:t>
            </m:r>
            <m:ctrlPr>
              <w:rPr>
                <w:rFonts w:hint="default" w:ascii="Cambria Math" w:hAnsi="Cambria Math" w:cs="Times New Roman"/>
                <w:bCs/>
                <w:i/>
                <w:sz w:val="24"/>
                <w:szCs w:val="24"/>
                <w:lang w:val="en-US"/>
              </w:rPr>
            </m:ctrlPr>
          </m:num>
          <m:den>
            <m:r>
              <m:rPr/>
              <w:rPr>
                <w:rFonts w:hint="default" w:ascii="Cambria Math" w:hAnsi="Cambria Math" w:cs="Times New Roman"/>
                <w:sz w:val="24"/>
                <w:szCs w:val="24"/>
                <w:lang w:val="en-US" w:eastAsia="zh-CN"/>
              </w:rPr>
              <m:t>37,500</m:t>
            </m:r>
            <m:ctrlPr>
              <w:rPr>
                <w:rFonts w:hint="default" w:ascii="Cambria Math" w:hAnsi="Cambria Math" w:cs="Times New Roman"/>
                <w:bCs/>
                <w:i/>
                <w:sz w:val="24"/>
                <w:szCs w:val="24"/>
                <w:lang w:val="en-US"/>
              </w:rPr>
            </m:ctrlPr>
          </m:den>
        </m:f>
      </m:oMath>
      <w:r>
        <w:rPr>
          <w:rFonts w:hint="default" w:ascii="Times New Roman" w:hAnsi="Times New Roman" w:cs="Times New Roman"/>
          <w:bCs/>
          <w:i w:val="0"/>
          <w:sz w:val="24"/>
          <w:szCs w:val="24"/>
          <w:lang w:val="en-US" w:eastAsia="zh-CN"/>
        </w:rPr>
        <w:t>=80%</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val="0"/>
          <w:i w:val="0"/>
          <w:sz w:val="24"/>
          <w:szCs w:val="24"/>
          <w:lang w:val="en-US" w:eastAsia="zh-CN"/>
        </w:rPr>
      </w:pPr>
      <w:r>
        <w:rPr>
          <w:rFonts w:hint="default" w:ascii="Times New Roman" w:hAnsi="Times New Roman" w:cs="Times New Roman"/>
          <w:b/>
          <w:bCs w:val="0"/>
          <w:i w:val="0"/>
          <w:sz w:val="24"/>
          <w:szCs w:val="24"/>
          <w:lang w:val="en-US" w:eastAsia="zh-CN"/>
        </w:rPr>
        <w:t>Choice of machine on basis of ARR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The ARR measures the project's average accounting profit as a percentage of the average investment; Project profitability grows alongside rising ARR.</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color w:val="auto"/>
          <w:sz w:val="24"/>
          <w:szCs w:val="24"/>
          <w:lang w:val="en-US" w:eastAsia="zh-CN"/>
        </w:rPr>
      </w:pPr>
      <w:r>
        <w:rPr>
          <w:rFonts w:hint="eastAsia" w:ascii="Times New Roman" w:hAnsi="Times New Roman" w:cs="Times New Roman"/>
          <w:b w:val="0"/>
          <w:bCs w:val="0"/>
          <w:color w:val="auto"/>
          <w:sz w:val="24"/>
          <w:szCs w:val="24"/>
          <w:lang w:val="en-US" w:eastAsia="zh-CN"/>
        </w:rPr>
        <w:t xml:space="preserve">The ARR of </w:t>
      </w:r>
      <w:r>
        <w:rPr>
          <w:rFonts w:hint="default" w:ascii="Times New Roman" w:hAnsi="Times New Roman" w:cs="Times New Roman"/>
          <w:b w:val="0"/>
          <w:bCs w:val="0"/>
          <w:color w:val="auto"/>
          <w:sz w:val="24"/>
          <w:szCs w:val="24"/>
          <w:lang w:val="en-US" w:eastAsia="zh-CN"/>
        </w:rPr>
        <w:t xml:space="preserve">Machine A is 102%. Machine B's ARR is 80%. Thus, Machine A </w:t>
      </w:r>
      <w:r>
        <w:rPr>
          <w:rFonts w:hint="eastAsia" w:ascii="Times New Roman" w:hAnsi="Times New Roman" w:cs="Times New Roman"/>
          <w:b w:val="0"/>
          <w:bCs w:val="0"/>
          <w:color w:val="auto"/>
          <w:sz w:val="24"/>
          <w:szCs w:val="24"/>
          <w:lang w:val="en-US" w:eastAsia="zh-CN"/>
        </w:rPr>
        <w:t>is more appealing.</w:t>
      </w:r>
    </w:p>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4" w:name="_Toc30302"/>
      <w:r>
        <w:rPr>
          <w:rFonts w:hint="default" w:ascii="Times New Roman" w:hAnsi="Times New Roman" w:cs="Times New Roman"/>
          <w:sz w:val="24"/>
          <w:szCs w:val="24"/>
          <w:lang w:val="en-US" w:eastAsia="zh-CN"/>
        </w:rPr>
        <w:t>2.1.2 Payback period</w:t>
      </w:r>
      <w:bookmarkEnd w:id="34"/>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default" w:ascii="Times New Roman" w:hAnsi="Times New Roman" w:eastAsia="Helvetica" w:cs="Times New Roman"/>
          <w:i w:val="0"/>
          <w:iCs w:val="0"/>
          <w:caps w:val="0"/>
          <w:color w:val="auto"/>
          <w:spacing w:val="0"/>
          <w:sz w:val="24"/>
          <w:szCs w:val="24"/>
          <w:shd w:val="clear" w:fill="FFFFFF"/>
        </w:rPr>
        <w:t>Payback period (PP) analysis is another method for evaluating potential investments. This is the amount of time needed for net cash inflows to equal initial investment for a project. Since it takes into account time and works with cash instead of earnings, the PP approach aims to address the ARR method's two main drawbacks.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When estimating how quickly an investment will recoup its cash outlay and when assessing if a project is suitable for investment, payback period is a relevant indicator (Boardman et al., 1982).</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timing of cash flows, however, is unimportant to the PP technique. After-payback cash flows are not taken into account. As a result, it disregards the entire profitability of an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auto"/>
          <w:spacing w:val="0"/>
          <w:sz w:val="24"/>
          <w:szCs w:val="24"/>
          <w:shd w:val="clear" w:fill="FFFFFF"/>
          <w:lang w:val="en-US" w:eastAsia="zh-CN"/>
        </w:rPr>
      </w:pPr>
      <w:r>
        <w:rPr>
          <w:rFonts w:hint="eastAsia" w:ascii="Times New Roman" w:hAnsi="Times New Roman" w:eastAsia="宋体" w:cs="Times New Roman"/>
          <w:b/>
          <w:bCs/>
          <w:i w:val="0"/>
          <w:iCs w:val="0"/>
          <w:caps w:val="0"/>
          <w:color w:val="auto"/>
          <w:spacing w:val="0"/>
          <w:sz w:val="24"/>
          <w:szCs w:val="24"/>
          <w:shd w:val="clear" w:fill="FFFFFF"/>
          <w:lang w:val="en-US" w:eastAsia="zh-CN"/>
        </w:rPr>
        <w:t xml:space="preserve">PP for </w:t>
      </w:r>
      <w:r>
        <w:rPr>
          <w:rFonts w:hint="default" w:ascii="Times New Roman" w:hAnsi="Times New Roman" w:eastAsia="宋体" w:cs="Times New Roman"/>
          <w:b/>
          <w:bCs/>
          <w:i w:val="0"/>
          <w:iCs w:val="0"/>
          <w:caps w:val="0"/>
          <w:color w:val="auto"/>
          <w:spacing w:val="0"/>
          <w:sz w:val="24"/>
          <w:szCs w:val="24"/>
          <w:shd w:val="clear" w:fill="FFFFFF"/>
          <w:lang w:val="en-US" w:eastAsia="zh-CN"/>
        </w:rPr>
        <w:t>Machine A</w:t>
      </w:r>
    </w:p>
    <w:tbl>
      <w:tblPr>
        <w:tblStyle w:val="10"/>
        <w:tblW w:w="0" w:type="auto"/>
        <w:tblInd w:w="13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60"/>
        <w:gridCol w:w="1524"/>
        <w:gridCol w:w="19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Year</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Cash flow</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olor w:val="auto"/>
                <w:spacing w:val="0"/>
                <w:sz w:val="18"/>
                <w:szCs w:val="18"/>
                <w:shd w:val="clear" w:fill="FFFFFF"/>
                <w:vertAlign w:val="baseline"/>
                <w:lang w:val="en-US" w:eastAsia="zh-CN"/>
              </w:rPr>
              <w:t>C</w:t>
            </w:r>
            <w:r>
              <w:rPr>
                <w:rFonts w:hint="eastAsia" w:ascii="Helvetica" w:hAnsi="Helvetica" w:eastAsia="Helvetica" w:cs="Helvetica"/>
                <w:i w:val="0"/>
                <w:iCs w:val="0"/>
                <w:caps w:val="0"/>
                <w:color w:val="auto"/>
                <w:spacing w:val="0"/>
                <w:sz w:val="18"/>
                <w:szCs w:val="18"/>
                <w:shd w:val="clear" w:fill="FFFFFF"/>
                <w:vertAlign w:val="baseline"/>
                <w:lang w:val="en-US" w:eastAsia="zh-CN"/>
              </w:rPr>
              <w:t>umulative cash flow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55,000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45,000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90,000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126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w:t>
            </w:r>
          </w:p>
        </w:tc>
        <w:tc>
          <w:tcPr>
            <w:tcW w:w="152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60,000</w:t>
            </w:r>
          </w:p>
        </w:tc>
        <w:tc>
          <w:tcPr>
            <w:tcW w:w="1934"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150,000</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bCs/>
          <w:sz w:val="24"/>
          <w:szCs w:val="24"/>
          <w:lang w:val="en-US" w:eastAsia="zh-CN"/>
        </w:rPr>
      </w:pPr>
      <w:r>
        <w:rPr>
          <w:rFonts w:hint="default" w:ascii="Times New Roman" w:hAnsi="Times New Roman" w:eastAsia="Helvetica" w:cs="Times New Roman"/>
          <w:i w:val="0"/>
          <w:iCs w:val="0"/>
          <w:caps w:val="0"/>
          <w:color w:val="auto"/>
          <w:spacing w:val="0"/>
          <w:sz w:val="24"/>
          <w:szCs w:val="24"/>
          <w:shd w:val="clear" w:fill="FFFFFF"/>
        </w:rPr>
        <w:t xml:space="preserve">Towards the end of the third year, as can be seen, the total cash flows start to turn positive. The exact payback period would be: </w:t>
      </w:r>
      <w:r>
        <w:rPr>
          <w:rFonts w:hint="default" w:ascii="Times New Roman" w:hAnsi="Times New Roman" w:eastAsia="宋体" w:cs="Times New Roman"/>
          <w:i w:val="0"/>
          <w:iCs w:val="0"/>
          <w:caps w:val="0"/>
          <w:color w:val="auto"/>
          <w:spacing w:val="0"/>
          <w:sz w:val="24"/>
          <w:szCs w:val="24"/>
          <w:shd w:val="clear" w:fill="FFFFFF"/>
          <w:lang w:val="en-US" w:eastAsia="zh-CN"/>
        </w:rPr>
        <w:t>2 years+(</w:t>
      </w:r>
      <m:oMath>
        <m:f>
          <m:fPr>
            <m:ctrlPr>
              <w:rPr>
                <w:rFonts w:hint="default" w:ascii="Cambria Math" w:hAnsi="Cambria Math" w:cs="Times New Roman"/>
                <w:i/>
                <w:iCs w:val="0"/>
                <w:caps w:val="0"/>
                <w:color w:val="auto"/>
                <w:spacing w:val="0"/>
                <w:sz w:val="24"/>
                <w:szCs w:val="24"/>
                <w:shd w:val="clear" w:fill="FFFFFF"/>
                <w:lang w:val="en-US"/>
              </w:rPr>
            </m:ctrlPr>
          </m:fPr>
          <m:num>
            <m:r>
              <m:rPr/>
              <w:rPr>
                <w:rFonts w:hint="default" w:ascii="Cambria Math" w:hAnsi="Cambria Math" w:cs="Times New Roman"/>
                <w:caps w:val="0"/>
                <w:color w:val="auto"/>
                <w:spacing w:val="0"/>
                <w:sz w:val="24"/>
                <w:szCs w:val="24"/>
                <w:shd w:val="clear" w:fill="FFFFFF"/>
                <w:lang w:val="en-US" w:eastAsia="zh-CN"/>
              </w:rPr>
              <m:t>10,000</m:t>
            </m:r>
            <m:ctrlPr>
              <w:rPr>
                <w:rFonts w:hint="default" w:ascii="Cambria Math" w:hAnsi="Cambria Math" w:cs="Times New Roman"/>
                <w:i/>
                <w:iCs w:val="0"/>
                <w:caps w:val="0"/>
                <w:color w:val="auto"/>
                <w:spacing w:val="0"/>
                <w:sz w:val="24"/>
                <w:szCs w:val="24"/>
                <w:shd w:val="clear" w:fill="FFFFFF"/>
                <w:lang w:val="en-US"/>
              </w:rPr>
            </m:ctrlPr>
          </m:num>
          <m:den>
            <m:r>
              <m:rPr/>
              <w:rPr>
                <w:rFonts w:hint="default" w:ascii="Cambria Math" w:hAnsi="Cambria Math" w:cs="Times New Roman"/>
                <w:caps w:val="0"/>
                <w:color w:val="auto"/>
                <w:spacing w:val="0"/>
                <w:sz w:val="24"/>
                <w:szCs w:val="24"/>
                <w:shd w:val="clear" w:fill="FFFFFF"/>
                <w:lang w:val="en-US" w:eastAsia="zh-CN"/>
              </w:rPr>
              <m:t>55,000</m:t>
            </m:r>
            <m:ctrlPr>
              <w:rPr>
                <w:rFonts w:hint="default" w:ascii="Cambria Math" w:hAnsi="Cambria Math" w:cs="Times New Roman"/>
                <w:i/>
                <w:iCs w:val="0"/>
                <w:caps w:val="0"/>
                <w:color w:val="auto"/>
                <w:spacing w:val="0"/>
                <w:sz w:val="24"/>
                <w:szCs w:val="24"/>
                <w:shd w:val="clear" w:fill="FFFFFF"/>
                <w:lang w:val="en-US"/>
              </w:rPr>
            </m:ctrlPr>
          </m:den>
        </m:f>
      </m:oMath>
      <w:r>
        <w:rPr>
          <w:rFonts w:hint="default" w:ascii="Times New Roman" w:hAnsi="Times New Roman" w:eastAsia="宋体" w:cs="Times New Roman"/>
          <w:i w:val="0"/>
          <w:iCs w:val="0"/>
          <w:caps w:val="0"/>
          <w:color w:val="auto"/>
          <w:spacing w:val="0"/>
          <w:sz w:val="24"/>
          <w:szCs w:val="24"/>
          <w:shd w:val="clear" w:fill="FFFFFF"/>
          <w:lang w:val="en-US" w:eastAsia="zh-CN"/>
        </w:rPr>
        <w:t>) years=2.18 years</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PP for Machine B</w:t>
      </w:r>
    </w:p>
    <w:tbl>
      <w:tblPr>
        <w:tblStyle w:val="10"/>
        <w:tblW w:w="0" w:type="auto"/>
        <w:tblInd w:w="123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23"/>
        <w:gridCol w:w="1797"/>
        <w:gridCol w:w="22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Year</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Cash flow</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olor w:val="auto"/>
                <w:spacing w:val="0"/>
                <w:sz w:val="18"/>
                <w:szCs w:val="18"/>
                <w:shd w:val="clear" w:fill="FFFFFF"/>
                <w:vertAlign w:val="baseline"/>
                <w:lang w:val="en-US" w:eastAsia="zh-CN"/>
              </w:rPr>
              <w:t>C</w:t>
            </w:r>
            <w:r>
              <w:rPr>
                <w:rFonts w:hint="eastAsia" w:ascii="Helvetica" w:hAnsi="Helvetica" w:eastAsia="Helvetica" w:cs="Helvetica"/>
                <w:i w:val="0"/>
                <w:iCs w:val="0"/>
                <w:caps w:val="0"/>
                <w:color w:val="auto"/>
                <w:spacing w:val="0"/>
                <w:sz w:val="18"/>
                <w:szCs w:val="18"/>
                <w:shd w:val="clear" w:fill="FFFFFF"/>
                <w:vertAlign w:val="baseline"/>
                <w:lang w:val="en-US" w:eastAsia="zh-CN"/>
              </w:rPr>
              <w:t>umulative cash flow</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2</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35,000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4</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75,000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0" w:hRule="atLeast"/>
        </w:trPr>
        <w:tc>
          <w:tcPr>
            <w:tcW w:w="1123"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w:t>
            </w:r>
          </w:p>
        </w:tc>
        <w:tc>
          <w:tcPr>
            <w:tcW w:w="1797"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50,000</w:t>
            </w:r>
          </w:p>
        </w:tc>
        <w:tc>
          <w:tcPr>
            <w:tcW w:w="2270" w:type="dxa"/>
            <w:vAlign w:val="center"/>
          </w:tcPr>
          <w:p>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Helvetica" w:hAnsi="Helvetica" w:eastAsia="Helvetica" w:cs="Helvetica"/>
                <w:i w:val="0"/>
                <w:iCs w:val="0"/>
                <w:caps w:val="0"/>
                <w:color w:val="auto"/>
                <w:spacing w:val="0"/>
                <w:sz w:val="18"/>
                <w:szCs w:val="18"/>
                <w:shd w:val="clear" w:fill="FFFFFF"/>
                <w:vertAlign w:val="baseline"/>
                <w:lang w:val="en-US" w:eastAsia="zh-CN"/>
              </w:rPr>
            </w:pPr>
            <w:r>
              <w:rPr>
                <w:rFonts w:hint="eastAsia" w:ascii="Helvetica" w:hAnsi="Helvetica" w:eastAsia="Helvetica" w:cs="Helvetica"/>
                <w:i w:val="0"/>
                <w:iCs w:val="0"/>
                <w:caps w:val="0"/>
                <w:color w:val="auto"/>
                <w:spacing w:val="0"/>
                <w:sz w:val="18"/>
                <w:szCs w:val="18"/>
                <w:shd w:val="clear" w:fill="FFFFFF"/>
                <w:vertAlign w:val="baseline"/>
                <w:lang w:val="en-US" w:eastAsia="zh-CN"/>
              </w:rPr>
              <w:t>125,000</w:t>
            </w:r>
          </w:p>
        </w:tc>
      </w:tr>
    </w:tbl>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val="0"/>
          <w:bCs w:val="0"/>
          <w:color w:val="auto"/>
          <w:sz w:val="24"/>
          <w:szCs w:val="24"/>
          <w:lang w:val="en-US" w:eastAsia="zh-CN"/>
        </w:rPr>
        <w:t>Towards the conclusion of the third year, the total cash flows start to turn positive. The payback period would be: 3 years.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Choice of machine on basis of Payback period</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Managers that are focused in increasing shareholders</w:t>
      </w:r>
      <w:r>
        <w:rPr>
          <w:rFonts w:hint="default" w:ascii="Times New Roman" w:hAnsi="Times New Roman" w:cs="Times New Roman"/>
          <w:b w:val="0"/>
          <w:bCs w:val="0"/>
          <w:sz w:val="24"/>
          <w:szCs w:val="24"/>
          <w:lang w:val="en-US" w:eastAsia="zh-CN"/>
        </w:rPr>
        <w:t>’</w:t>
      </w:r>
      <w:r>
        <w:rPr>
          <w:rFonts w:hint="eastAsia" w:ascii="Times New Roman" w:hAnsi="Times New Roman" w:cs="Times New Roman"/>
          <w:b w:val="0"/>
          <w:bCs w:val="0"/>
          <w:sz w:val="24"/>
          <w:szCs w:val="24"/>
          <w:lang w:val="en-US" w:eastAsia="zh-CN"/>
        </w:rPr>
        <w:t xml:space="preserve"> value should prioritize the early cash inflows from Machine A. Most of the investment's startup investment have been recovered by the end of the second year. Also, there have been larger cash inflows overall during the programme.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corporation has a stronger chance of making money thanks to Programme A, which will pay off faster. The first programme, according to the payback period method, is a preferable investment if the company wants to stress quickly recovering its capital spending.</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5" w:name="_Toc2305"/>
      <w:r>
        <w:rPr>
          <w:rFonts w:hint="default" w:ascii="Times New Roman" w:hAnsi="Times New Roman" w:cs="Times New Roman"/>
          <w:sz w:val="24"/>
          <w:szCs w:val="24"/>
          <w:lang w:val="en-US" w:eastAsia="zh-CN"/>
        </w:rPr>
        <w:t>Popularity of non-discounting methods</w:t>
      </w:r>
      <w:bookmarkEnd w:id="35"/>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Helvetica" w:cs="Times New Roman"/>
          <w:i w:val="0"/>
          <w:iCs w:val="0"/>
          <w:caps w:val="0"/>
          <w:color w:val="auto"/>
          <w:spacing w:val="0"/>
          <w:sz w:val="24"/>
          <w:szCs w:val="24"/>
          <w:shd w:val="clear" w:fill="FFFFFF"/>
        </w:rPr>
      </w:pPr>
      <w:r>
        <w:rPr>
          <w:rFonts w:hint="eastAsia" w:ascii="Times New Roman" w:hAnsi="Times New Roman" w:eastAsia="宋体" w:cs="Times New Roman"/>
          <w:i w:val="0"/>
          <w:iCs w:val="0"/>
          <w:caps w:val="0"/>
          <w:color w:val="auto"/>
          <w:spacing w:val="0"/>
          <w:sz w:val="24"/>
          <w:szCs w:val="24"/>
          <w:shd w:val="clear" w:fill="FFFFFF"/>
          <w:lang w:val="en-US" w:eastAsia="zh-CN"/>
        </w:rPr>
        <w:t xml:space="preserve">Firstly, </w:t>
      </w:r>
      <w:r>
        <w:rPr>
          <w:rFonts w:hint="default" w:ascii="Times New Roman" w:hAnsi="Times New Roman" w:eastAsia="Helvetica" w:cs="Times New Roman"/>
          <w:i w:val="0"/>
          <w:iCs w:val="0"/>
          <w:caps w:val="0"/>
          <w:color w:val="auto"/>
          <w:spacing w:val="0"/>
          <w:sz w:val="24"/>
          <w:szCs w:val="24"/>
          <w:shd w:val="clear" w:fill="FFFFFF"/>
        </w:rPr>
        <w:t>PP is simple to use and comprehend. It can prevent the issues associated with making long-term predictions. When there is a higher degree of confidence in the correctness of their expected value, early cash flows are given greater significance. It accentuates the necessity of liquidity.</w:t>
      </w: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eastAsia" w:ascii="Times New Roman" w:hAnsi="Times New Roman" w:eastAsia="Helvetica"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Secondly</w:t>
      </w:r>
      <w:r>
        <w:rPr>
          <w:rFonts w:hint="default" w:ascii="Times New Roman" w:hAnsi="Times New Roman" w:eastAsia="Helvetica" w:cs="Times New Roman"/>
          <w:i w:val="0"/>
          <w:iCs w:val="0"/>
          <w:caps w:val="0"/>
          <w:color w:val="auto"/>
          <w:spacing w:val="0"/>
          <w:sz w:val="24"/>
          <w:szCs w:val="24"/>
          <w:shd w:val="clear" w:fill="FFFFFF"/>
        </w:rPr>
        <w:t>, the time of the break-even point is solely taken into account by the PP. It can be applied as a risk timing indicator in analyses of capital budgets. For a long time prior to the break-even point, executives are inclined to be great risk evaders</w:t>
      </w:r>
      <w:r>
        <w:rPr>
          <w:rFonts w:hint="eastAsia" w:ascii="Times New Roman" w:hAnsi="Times New Roman" w:eastAsia="宋体" w:cs="Times New Roman"/>
          <w:b w:val="0"/>
          <w:bCs w:val="0"/>
          <w:sz w:val="24"/>
          <w:szCs w:val="24"/>
          <w:lang w:val="en-US" w:eastAsia="zh-CN"/>
        </w:rPr>
        <w:t xml:space="preserve"> (Choi and Levary, 1987).</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Helvetica" w:cs="Times New Roman"/>
          <w:i w:val="0"/>
          <w:iCs w:val="0"/>
          <w:caps w:val="0"/>
          <w:color w:val="auto"/>
          <w:spacing w:val="0"/>
          <w:sz w:val="24"/>
          <w:szCs w:val="24"/>
          <w:shd w:val="clear" w:fill="FFFFFF"/>
          <w:lang w:val="en-US"/>
        </w:rPr>
      </w:pPr>
      <w:r>
        <w:rPr>
          <w:rFonts w:hint="eastAsia" w:ascii="Times New Roman" w:hAnsi="Times New Roman" w:cs="Times New Roman"/>
          <w:b w:val="0"/>
          <w:bCs w:val="0"/>
          <w:sz w:val="24"/>
          <w:szCs w:val="24"/>
          <w:lang w:val="en-US" w:eastAsia="zh-CN"/>
        </w:rPr>
        <w:t>Thirdly, when it comes to the timing of cash flows from investment projects, shareholders and managers have distinct preferences. Regardless of which investment project has a shorter payback period, most stockholders are unconcerned about the difference between two projects with similar net present values. Professional managers, on the other hand, frequently take the safe route when it comes to investment projects. They frequently choose shorter payback periods and tend to be risk-averse. This may help to explain why, in spite of being long regarded as a less suitable decision rule than discounted cash flow approaches, the payback method is still widely used in operation (Chen and Clark, 1994).</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Third, the prevalence of PP may also suggest an absence of managerial competence. In comparison to bigger companies, smaller ones use discounted cash flow methods (NPV and IRR) significantly less frequently</w:t>
      </w:r>
      <w:r>
        <w:rPr>
          <w:rFonts w:hint="default" w:ascii="Times New Roman" w:hAnsi="Times New Roman" w:eastAsia="Helvetica" w:cs="Times New Roman"/>
          <w:i w:val="0"/>
          <w:iCs w:val="0"/>
          <w:caps w:val="0"/>
          <w:color w:val="auto"/>
          <w:spacing w:val="0"/>
          <w:sz w:val="24"/>
          <w:szCs w:val="24"/>
          <w:shd w:val="clear" w:fill="FFFFFF"/>
        </w:rPr>
        <w:t xml:space="preserve"> </w:t>
      </w:r>
      <w:r>
        <w:rPr>
          <w:rFonts w:hint="eastAsia" w:ascii="Times New Roman" w:hAnsi="Times New Roman" w:cs="Times New Roman"/>
          <w:b w:val="0"/>
          <w:bCs w:val="0"/>
          <w:sz w:val="24"/>
          <w:szCs w:val="24"/>
          <w:lang w:val="en-US" w:eastAsia="zh-CN"/>
        </w:rPr>
        <w:t>(Atrill and McLaney, 2019).</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6" w:name="_Toc17443"/>
      <w:r>
        <w:rPr>
          <w:rFonts w:hint="default" w:ascii="Times New Roman" w:hAnsi="Times New Roman" w:cs="Times New Roman"/>
          <w:sz w:val="24"/>
          <w:szCs w:val="24"/>
          <w:lang w:val="en-US" w:eastAsia="zh-CN"/>
        </w:rPr>
        <w:t>Other factors considered before making investment decision</w:t>
      </w:r>
      <w:bookmarkEnd w:id="36"/>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bCs/>
          <w:i w:val="0"/>
          <w:iCs w:val="0"/>
          <w:caps w:val="0"/>
          <w:color w:val="auto"/>
          <w:spacing w:val="0"/>
          <w:sz w:val="24"/>
          <w:szCs w:val="24"/>
          <w:lang w:val="en-US" w:eastAsia="zh-CN"/>
        </w:rPr>
      </w:pPr>
      <w:r>
        <w:rPr>
          <w:rFonts w:hint="eastAsia" w:ascii="Times New Roman" w:hAnsi="Times New Roman" w:eastAsia="宋体" w:cs="Times New Roman"/>
          <w:b/>
          <w:bCs/>
          <w:i w:val="0"/>
          <w:iCs w:val="0"/>
          <w:caps w:val="0"/>
          <w:color w:val="auto"/>
          <w:spacing w:val="0"/>
          <w:sz w:val="24"/>
          <w:szCs w:val="24"/>
          <w:lang w:val="en-US" w:eastAsia="zh-CN"/>
        </w:rPr>
        <w:t>Inflation Rate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b w:val="0"/>
          <w:bCs w:val="0"/>
          <w:i w:val="0"/>
          <w:iCs w:val="0"/>
          <w:caps w:val="0"/>
          <w:color w:val="auto"/>
          <w:spacing w:val="0"/>
          <w:sz w:val="24"/>
          <w:szCs w:val="24"/>
          <w:lang w:val="en-US" w:eastAsia="zh-CN"/>
        </w:rPr>
      </w:pPr>
      <w:r>
        <w:rPr>
          <w:rFonts w:hint="eastAsia" w:ascii="Times New Roman" w:hAnsi="Times New Roman" w:eastAsia="宋体" w:cs="Times New Roman"/>
          <w:b w:val="0"/>
          <w:bCs w:val="0"/>
          <w:i w:val="0"/>
          <w:iCs w:val="0"/>
          <w:caps w:val="0"/>
          <w:color w:val="auto"/>
          <w:spacing w:val="0"/>
          <w:sz w:val="24"/>
          <w:szCs w:val="24"/>
          <w:lang w:val="en-US" w:eastAsia="zh-CN"/>
        </w:rPr>
        <w:t>Consistent increases in the cost of basic goods and services cause inflation, which lowers the purchasing power of money.</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b/>
          <w:bCs/>
          <w:i w:val="0"/>
          <w:iCs w:val="0"/>
          <w:caps w:val="0"/>
          <w:color w:val="auto"/>
          <w:spacing w:val="0"/>
          <w:sz w:val="24"/>
          <w:szCs w:val="24"/>
          <w:lang w:val="en-US" w:eastAsia="zh-CN"/>
        </w:rPr>
      </w:pPr>
      <w:r>
        <w:rPr>
          <w:rFonts w:hint="default" w:ascii="Times New Roman" w:hAnsi="Times New Roman" w:eastAsia="宋体" w:cs="Times New Roman"/>
          <w:b/>
          <w:bCs/>
          <w:i w:val="0"/>
          <w:iCs w:val="0"/>
          <w:caps w:val="0"/>
          <w:color w:val="auto"/>
          <w:spacing w:val="0"/>
          <w:sz w:val="24"/>
          <w:szCs w:val="24"/>
          <w:lang w:val="en-US" w:eastAsia="zh-CN"/>
        </w:rPr>
        <w:t>Taxation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宋体" w:cs="Times New Roman"/>
          <w:b w:val="0"/>
          <w:bCs w:val="0"/>
          <w:i w:val="0"/>
          <w:iCs w:val="0"/>
          <w:caps w:val="0"/>
          <w:color w:val="auto"/>
          <w:spacing w:val="0"/>
          <w:sz w:val="24"/>
          <w:szCs w:val="24"/>
          <w:lang w:val="en-US" w:eastAsia="zh-CN"/>
        </w:rPr>
      </w:pPr>
      <w:r>
        <w:rPr>
          <w:rFonts w:hint="eastAsia" w:ascii="Times New Roman" w:hAnsi="Times New Roman" w:eastAsia="宋体" w:cs="Times New Roman"/>
          <w:b w:val="0"/>
          <w:bCs w:val="0"/>
          <w:i w:val="0"/>
          <w:iCs w:val="0"/>
          <w:caps w:val="0"/>
          <w:color w:val="auto"/>
          <w:spacing w:val="0"/>
          <w:sz w:val="24"/>
          <w:szCs w:val="24"/>
          <w:lang w:val="en-US" w:eastAsia="zh-CN"/>
        </w:rPr>
        <w:t>Corporate taxes differ based on the kind of investment. The investor must consider the impact of income taxes in order to obtain a massive net after-tax profit.</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W</w:t>
      </w:r>
      <w:r>
        <w:rPr>
          <w:rFonts w:hint="default" w:ascii="Times New Roman" w:hAnsi="Times New Roman" w:cs="Times New Roman"/>
          <w:b/>
          <w:bCs/>
          <w:sz w:val="24"/>
          <w:szCs w:val="24"/>
          <w:lang w:val="en-US" w:eastAsia="zh-CN"/>
        </w:rPr>
        <w:t>orking capital</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Long-term asset investments and any additional rises in working capital must be represented as cash outflows as needed over the course of one or more years, which must be balanced out by cash inflows to bring the overall balance to zero by the project's conclusion.</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cs="Times New Roman"/>
          <w:b/>
          <w:bCs/>
          <w:sz w:val="24"/>
          <w:szCs w:val="24"/>
          <w:lang w:val="en-US" w:eastAsia="zh-CN"/>
        </w:rPr>
      </w:pPr>
      <w:r>
        <w:rPr>
          <w:rFonts w:hint="default" w:ascii="Times New Roman" w:hAnsi="Times New Roman" w:cs="Times New Roman"/>
          <w:b/>
          <w:bCs/>
          <w:sz w:val="24"/>
          <w:szCs w:val="24"/>
          <w:lang w:val="en-US" w:eastAsia="zh-CN"/>
        </w:rPr>
        <w:t>The length of the project</w:t>
      </w:r>
      <w:r>
        <w:rPr>
          <w:rFonts w:hint="eastAsia" w:ascii="Times New Roman" w:hAnsi="Times New Roman" w:cs="Times New Roman"/>
          <w:b/>
          <w:bCs/>
          <w:sz w:val="24"/>
          <w:szCs w:val="24"/>
          <w:lang w:val="en-US" w:eastAsia="zh-CN"/>
        </w:rPr>
        <w:t xml:space="preserve"> and risk</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Expected and actual results frequently deviate greatly from one another. When it comes to capital expenditure, the longer the project will take to complete, the more time there will be for errors can occur; therefore, the influence might be bigger with a huge investment (David and Crawford, 2011).</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7" w:name="_Toc21004"/>
      <w:r>
        <w:rPr>
          <w:rFonts w:hint="default" w:ascii="Times New Roman" w:hAnsi="Times New Roman" w:cs="Times New Roman"/>
          <w:sz w:val="24"/>
          <w:szCs w:val="24"/>
          <w:lang w:val="en-US" w:eastAsia="zh-CN"/>
        </w:rPr>
        <w:t>Recommendation</w:t>
      </w:r>
      <w:bookmarkEnd w:id="37"/>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The biggest advantage of </w:t>
      </w:r>
      <w:r>
        <w:rPr>
          <w:rFonts w:hint="eastAsia" w:ascii="Times New Roman" w:hAnsi="Times New Roman" w:eastAsia="宋体" w:cs="Times New Roman"/>
          <w:i w:val="0"/>
          <w:iCs w:val="0"/>
          <w:caps w:val="0"/>
          <w:color w:val="auto"/>
          <w:spacing w:val="0"/>
          <w:sz w:val="24"/>
          <w:szCs w:val="24"/>
          <w:shd w:val="clear" w:fill="FFFFFF"/>
          <w:lang w:val="en-US" w:eastAsia="zh-CN"/>
        </w:rPr>
        <w:t>programme A</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is that its NPV is far greater than </w:t>
      </w:r>
      <w:r>
        <w:rPr>
          <w:rFonts w:hint="eastAsia" w:ascii="Times New Roman" w:hAnsi="Times New Roman" w:eastAsia="宋体" w:cs="Times New Roman"/>
          <w:i w:val="0"/>
          <w:iCs w:val="0"/>
          <w:caps w:val="0"/>
          <w:color w:val="auto"/>
          <w:spacing w:val="0"/>
          <w:sz w:val="24"/>
          <w:szCs w:val="24"/>
          <w:shd w:val="clear" w:fill="FFFFFF"/>
          <w:lang w:val="en-US" w:eastAsia="zh-CN"/>
        </w:rPr>
        <w:t>programme</w:t>
      </w:r>
      <w:r>
        <w:rPr>
          <w:rFonts w:hint="default" w:ascii="Times New Roman" w:hAnsi="Times New Roman" w:eastAsia="宋体" w:cs="Times New Roman"/>
          <w:i w:val="0"/>
          <w:iCs w:val="0"/>
          <w:caps w:val="0"/>
          <w:color w:val="auto"/>
          <w:spacing w:val="0"/>
          <w:sz w:val="24"/>
          <w:szCs w:val="24"/>
          <w:shd w:val="clear" w:fill="FFFFFF"/>
          <w:lang w:val="en-US" w:eastAsia="zh-CN"/>
        </w:rPr>
        <w:t xml:space="preserve"> B</w:t>
      </w:r>
      <w:r>
        <w:rPr>
          <w:rFonts w:hint="eastAsia" w:ascii="Times New Roman" w:hAnsi="Times New Roman" w:eastAsia="宋体" w:cs="Times New Roman"/>
          <w:i w:val="0"/>
          <w:iCs w:val="0"/>
          <w:caps w:val="0"/>
          <w:color w:val="auto"/>
          <w:spacing w:val="0"/>
          <w:sz w:val="24"/>
          <w:szCs w:val="24"/>
          <w:shd w:val="clear" w:fill="FFFFFF"/>
          <w:lang w:val="en-US" w:eastAsia="zh-CN"/>
        </w:rPr>
        <w:t>. Meanwhile, this is also where the largest weakness of programme B.</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The programme A's estimated NPV of £45,698.30 indicates that the project's future cash flows will be ample for the company to cover all project financing expenses and to give shareholders a fair return.</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From the perspective of the shareholder, this indicates that the business could borrow £145,698.30 (the cost plus the NPV) to buy the equipment, distribute a dividend</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宋体" w:cs="Times New Roman"/>
          <w:i w:val="0"/>
          <w:iCs w:val="0"/>
          <w:caps w:val="0"/>
          <w:color w:val="auto"/>
          <w:spacing w:val="0"/>
          <w:sz w:val="24"/>
          <w:szCs w:val="24"/>
          <w:shd w:val="clear" w:fill="FFFFFF"/>
          <w:lang w:val="en-US" w:eastAsia="zh-CN"/>
        </w:rPr>
        <w:t>of £45,698.30, and continue to use the money left over from the project to pay the interest.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The internal rate of return for investment machine A is 38.31%, which is greater than programme B's 29.36% and indicates that the project can endure the maximum annual currency devaluation of that amount.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ARR and payback period are also greater for Programme A because this is often a less riskier investment. The less risk a business has of suffering a possible loss on the venture, the faster it may recover its initial investment.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eastAsia" w:ascii="Times New Roman" w:hAnsi="Times New Roman" w:cs="Times New Roman"/>
          <w:b w:val="0"/>
          <w:bCs w:val="0"/>
          <w:sz w:val="24"/>
          <w:szCs w:val="24"/>
          <w:lang w:val="en-US" w:eastAsia="zh-CN"/>
        </w:rPr>
        <w:t>Based on the above four analysis methods, Wales Company should invest in machine A</w:t>
      </w:r>
      <w:r>
        <w:rPr>
          <w:rFonts w:hint="eastAsia" w:ascii="Times New Roman" w:hAnsi="Times New Roman" w:cs="Times New Roman"/>
          <w:b w:val="0"/>
          <w:bCs w:val="0"/>
          <w:color w:val="000000" w:themeColor="text1"/>
          <w:sz w:val="24"/>
          <w:szCs w:val="24"/>
          <w:lang w:val="en-US" w:eastAsia="zh-CN"/>
          <w14:textFill>
            <w14:solidFill>
              <w14:schemeClr w14:val="tx1"/>
            </w14:solidFill>
          </w14:textFill>
        </w:rPr>
        <w:t xml:space="preserve">.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It</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xml:space="preserve"> has the highest net present value and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thus is </w:t>
      </w:r>
      <w:r>
        <w:rPr>
          <w:rFonts w:hint="default" w:ascii="Times New Roman" w:hAnsi="Times New Roman" w:eastAsia="Helvetica" w:cs="Times New Roman"/>
          <w:i w:val="0"/>
          <w:iCs w:val="0"/>
          <w:caps w:val="0"/>
          <w:color w:val="000000" w:themeColor="text1"/>
          <w:spacing w:val="0"/>
          <w:sz w:val="24"/>
          <w:szCs w:val="24"/>
          <w:shd w:val="clear" w:fill="FFFFFF"/>
          <w14:textFill>
            <w14:solidFill>
              <w14:schemeClr w14:val="tx1"/>
            </w14:solidFill>
          </w14:textFill>
        </w:rPr>
        <w:t xml:space="preserve">the most attractive to shareholders. </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cs="Times New Roman"/>
          <w:b/>
          <w:bCs/>
          <w:sz w:val="24"/>
          <w:szCs w:val="24"/>
          <w:lang w:val="en-US" w:eastAsia="zh-CN"/>
        </w:rPr>
      </w:pP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textAlignment w:val="auto"/>
        <w:rPr>
          <w:rFonts w:hint="default" w:ascii="Times New Roman" w:hAnsi="Times New Roman" w:cs="Times New Roman"/>
          <w:sz w:val="24"/>
          <w:szCs w:val="24"/>
          <w:lang w:val="en-US" w:eastAsia="zh-CN"/>
        </w:rPr>
      </w:pPr>
      <w:bookmarkStart w:id="38" w:name="_Toc24856"/>
      <w:r>
        <w:rPr>
          <w:rFonts w:hint="default" w:ascii="Times New Roman" w:hAnsi="Times New Roman" w:cs="Times New Roman"/>
          <w:sz w:val="24"/>
          <w:szCs w:val="24"/>
          <w:lang w:val="en-US" w:eastAsia="zh-CN"/>
        </w:rPr>
        <w:t>Conclusion</w:t>
      </w:r>
      <w:bookmarkEnd w:id="38"/>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Information that is pertinent and valuable may be obtained using non-time value approaches like payback period and accounting rate of return. There are, however, more sophisticated models that may be applied. These models frequently employ the time value of money concept.</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Only NPV is a totally reasonable strategy for evaluating the efficacy of each of these strategies. As it accounts for the time value of money and evaluates in absolute amounts of cash, NPV offers a more effective method for evaluating investment prospects than either ARR or PP.</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cs="Times New Roman"/>
          <w:b/>
          <w:bCs/>
          <w:sz w:val="24"/>
          <w:szCs w:val="24"/>
          <w:lang w:val="en-US" w:eastAsia="zh-CN"/>
        </w:rPr>
      </w:pPr>
      <w:r>
        <w:rPr>
          <w:rFonts w:hint="eastAsia" w:ascii="Times New Roman" w:hAnsi="Times New Roman" w:eastAsia="宋体" w:cs="Times New Roman"/>
          <w:i w:val="0"/>
          <w:iCs w:val="0"/>
          <w:caps w:val="0"/>
          <w:color w:val="auto"/>
          <w:spacing w:val="0"/>
          <w:sz w:val="24"/>
          <w:szCs w:val="24"/>
          <w:shd w:val="clear" w:fill="FFFFFF"/>
          <w:lang w:val="en-US" w:eastAsia="zh-CN"/>
        </w:rPr>
        <w:t>With the use of four investment analysis techniques, which demonstrate that program A is more lucrative than B, The Wales Company should invest machine A.</w:t>
      </w:r>
    </w:p>
    <w:p>
      <w:pPr>
        <w:keepNext w:val="0"/>
        <w:keepLines w:val="0"/>
        <w:pageBreakBefore w:val="0"/>
        <w:widowControl/>
        <w:suppressLineNumbers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eastAsiaTheme="minorEastAsia"/>
          <w:b/>
          <w:bCs/>
          <w:kern w:val="2"/>
          <w:sz w:val="21"/>
          <w:szCs w:val="24"/>
          <w:lang w:val="en-US" w:eastAsia="zh-CN" w:bidi="ar-SA"/>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eastAsia" w:ascii="Times New Roman" w:hAnsi="Times New Roman" w:cs="Times New Roman"/>
          <w:b/>
          <w:bCs/>
          <w:sz w:val="24"/>
          <w:szCs w:val="24"/>
          <w:lang w:val="en-US" w:eastAsia="zh-CN"/>
        </w:rPr>
      </w:pPr>
      <w:r>
        <w:rPr>
          <w:rFonts w:hint="eastAsia" w:ascii="Times New Roman" w:hAnsi="Times New Roman" w:cs="Times New Roman"/>
          <w:b/>
          <w:bCs/>
          <w:sz w:val="24"/>
          <w:szCs w:val="24"/>
          <w:lang w:val="en-US" w:eastAsia="zh-CN"/>
        </w:rPr>
        <w:t>Reference</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r>
        <w:rPr>
          <w:rFonts w:hint="default" w:ascii="Times New Roman" w:hAnsi="Times New Roman" w:cs="Times New Roman"/>
          <w:b w:val="0"/>
          <w:bCs w:val="0"/>
          <w:color w:val="auto"/>
          <w:sz w:val="24"/>
          <w:szCs w:val="24"/>
          <w:lang w:val="en-US" w:eastAsia="zh-CN"/>
        </w:rPr>
        <w:t xml:space="preserve">Atrill, P. and McLaney, E.J. (2019) </w:t>
      </w:r>
      <w:r>
        <w:rPr>
          <w:rFonts w:hint="default" w:ascii="Times New Roman" w:hAnsi="Times New Roman" w:cs="Times New Roman"/>
          <w:b w:val="0"/>
          <w:bCs w:val="0"/>
          <w:i/>
          <w:iCs/>
          <w:color w:val="auto"/>
          <w:sz w:val="24"/>
          <w:szCs w:val="24"/>
          <w:lang w:val="en-US" w:eastAsia="zh-CN"/>
        </w:rPr>
        <w:t>Accounting and finance for non-specialists</w:t>
      </w:r>
      <w:r>
        <w:rPr>
          <w:rFonts w:hint="default" w:ascii="Times New Roman" w:hAnsi="Times New Roman" w:cs="Times New Roman"/>
          <w:b w:val="0"/>
          <w:bCs w:val="0"/>
          <w:color w:val="auto"/>
          <w:sz w:val="24"/>
          <w:szCs w:val="24"/>
          <w:lang w:val="en-US" w:eastAsia="zh-CN"/>
        </w:rPr>
        <w:t>. Eleventh edition. Harlow: Pearson.</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sz w:val="24"/>
          <w:szCs w:val="24"/>
        </w:rPr>
        <w:t>Bhattacharya, H. (2007). Total management by ratios an analytic approach to management control hrishikes bhattacharya (2nd ed.). Sage publications.</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color w:val="auto"/>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Boardman, C. M., Reinhart, W. J., </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and</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Celec, S. E. (1982). THE ROLE OF THE PAYBACK PERIOD IN THE THEORY AND APPLICATION OF DURATION TO CAPITAL BUDGETING.</w:t>
      </w:r>
      <w:r>
        <w:rPr>
          <w:rFonts w:hint="default" w:ascii="Times New Roman" w:hAnsi="Times New Roman" w:eastAsia="monospace" w:cs="Times New Roman"/>
          <w:i/>
          <w:iCs/>
          <w:caps w:val="0"/>
          <w:color w:val="000000" w:themeColor="text1"/>
          <w:spacing w:val="0"/>
          <w:sz w:val="24"/>
          <w:szCs w:val="24"/>
          <w:shd w:val="clear" w:fill="FFFFFF"/>
          <w14:textFill>
            <w14:solidFill>
              <w14:schemeClr w14:val="tx1"/>
            </w14:solidFill>
          </w14:textFill>
        </w:rPr>
        <w:t xml:space="preserve"> Journal of Business Finance &amp; Accounting</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9(4), </w:t>
      </w:r>
      <w:r>
        <w:rPr>
          <w:rFonts w:hint="default"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pp. </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511–522.</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1C1D1E"/>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Brealey, R., Myers, S., &amp; Allen, F. (2011). </w:t>
      </w:r>
      <w:r>
        <w:rPr>
          <w:rFonts w:hint="default" w:ascii="Times New Roman" w:hAnsi="Times New Roman" w:eastAsia="sans-serif" w:cs="Times New Roman"/>
          <w:i/>
          <w:iCs/>
          <w:caps w:val="0"/>
          <w:color w:val="1C1D1E"/>
          <w:spacing w:val="0"/>
          <w:sz w:val="24"/>
          <w:szCs w:val="24"/>
          <w:shd w:val="clear" w:fill="FFFFFF"/>
        </w:rPr>
        <w:t>Principles of corporate finance</w:t>
      </w:r>
      <w:r>
        <w:rPr>
          <w:rFonts w:hint="default" w:ascii="Times New Roman" w:hAnsi="Times New Roman" w:eastAsia="sans-serif" w:cs="Times New Roman"/>
          <w:i w:val="0"/>
          <w:iCs w:val="0"/>
          <w:caps w:val="0"/>
          <w:color w:val="1C1D1E"/>
          <w:spacing w:val="0"/>
          <w:sz w:val="24"/>
          <w:szCs w:val="24"/>
          <w:shd w:val="clear" w:fill="FFFFFF"/>
        </w:rPr>
        <w:t> ( Tenth ed.). McGraw-Hill/Irwin.</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46" w:afterAutospacing="0" w:line="360" w:lineRule="auto"/>
        <w:ind w:left="0" w:right="0"/>
        <w:jc w:val="both"/>
        <w:textAlignment w:val="auto"/>
        <w:rPr>
          <w:rFonts w:hint="default" w:ascii="Times New Roman" w:hAnsi="Times New Roman" w:eastAsia="sans-serif" w:cs="Times New Roman"/>
          <w:i w:val="0"/>
          <w:iCs w:val="0"/>
          <w:caps w:val="0"/>
          <w:color w:val="1C1D1E"/>
          <w:spacing w:val="0"/>
          <w:kern w:val="2"/>
          <w:sz w:val="24"/>
          <w:szCs w:val="24"/>
          <w:shd w:val="clear" w:fill="FFFFFF"/>
          <w:lang w:val="en-US" w:eastAsia="zh-CN" w:bidi="ar-SA"/>
        </w:rPr>
      </w:pPr>
      <w:r>
        <w:rPr>
          <w:rFonts w:hint="default" w:ascii="Times New Roman" w:hAnsi="Times New Roman" w:eastAsia="sans-serif" w:cs="Times New Roman"/>
          <w:i w:val="0"/>
          <w:iCs w:val="0"/>
          <w:caps w:val="0"/>
          <w:color w:val="1C1D1E"/>
          <w:spacing w:val="0"/>
          <w:kern w:val="2"/>
          <w:sz w:val="24"/>
          <w:szCs w:val="24"/>
          <w:shd w:val="clear" w:fill="FFFFFF"/>
          <w:lang w:val="en-US" w:eastAsia="zh-CN" w:bidi="ar-SA"/>
        </w:rPr>
        <w:t>Brigham, E.F. and Ehrhardt, M.C. (2002), Financial Management: Theory and Practice, 10th ed., South-Western, Mason, OH.</w:t>
      </w: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宋体" w:cs="Times New Roman"/>
          <w:i w:val="0"/>
          <w:iCs w:val="0"/>
          <w:caps w:val="0"/>
          <w:color w:val="auto"/>
          <w:spacing w:val="0"/>
          <w:sz w:val="24"/>
          <w:szCs w:val="24"/>
          <w:shd w:val="clear" w:fill="FFFFFF"/>
          <w:lang w:val="en-US" w:eastAsia="zh-CN"/>
        </w:rPr>
        <w:t xml:space="preserve">Carmichael, D.G. and Balatbat, M.C.A. (2008) ‘Probabilistic DCF Analysis and Capital Budgeting and Investment-a Survey’, </w:t>
      </w:r>
      <w:r>
        <w:rPr>
          <w:rFonts w:hint="default" w:ascii="Times New Roman" w:hAnsi="Times New Roman" w:eastAsia="宋体" w:cs="Times New Roman"/>
          <w:i/>
          <w:iCs/>
          <w:caps w:val="0"/>
          <w:color w:val="auto"/>
          <w:spacing w:val="0"/>
          <w:sz w:val="24"/>
          <w:szCs w:val="24"/>
          <w:shd w:val="clear" w:fill="FFFFFF"/>
          <w:lang w:val="en-US" w:eastAsia="zh-CN"/>
        </w:rPr>
        <w:t>The Engineering economist</w:t>
      </w:r>
      <w:r>
        <w:rPr>
          <w:rFonts w:hint="default" w:ascii="Times New Roman" w:hAnsi="Times New Roman" w:eastAsia="宋体" w:cs="Times New Roman"/>
          <w:i w:val="0"/>
          <w:iCs w:val="0"/>
          <w:caps w:val="0"/>
          <w:color w:val="auto"/>
          <w:spacing w:val="0"/>
          <w:sz w:val="24"/>
          <w:szCs w:val="24"/>
          <w:shd w:val="clear" w:fill="FFFFFF"/>
          <w:lang w:val="en-US" w:eastAsia="zh-CN"/>
        </w:rPr>
        <w:t>, 53(1), pp. 84–102.</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cs="Times New Roman"/>
          <w:b w:val="0"/>
          <w:bCs w:val="0"/>
          <w:sz w:val="24"/>
          <w:szCs w:val="24"/>
          <w:lang w:val="en-US" w:eastAsia="zh-CN"/>
        </w:rPr>
      </w:pPr>
      <w:r>
        <w:rPr>
          <w:rFonts w:hint="default" w:ascii="Times New Roman" w:hAnsi="Times New Roman" w:cs="Times New Roman"/>
          <w:b w:val="0"/>
          <w:bCs w:val="0"/>
          <w:sz w:val="24"/>
          <w:szCs w:val="24"/>
          <w:lang w:val="en-US" w:eastAsia="zh-CN"/>
        </w:rPr>
        <w:t xml:space="preserve">Chen, S. and Clark, R.L. (1994) ‘Management Compensation and Payback Method in Capital Budgeting: A Path Analysis’, </w:t>
      </w:r>
      <w:r>
        <w:rPr>
          <w:rFonts w:hint="default" w:ascii="Times New Roman" w:hAnsi="Times New Roman" w:cs="Times New Roman"/>
          <w:b w:val="0"/>
          <w:bCs w:val="0"/>
          <w:i/>
          <w:iCs/>
          <w:sz w:val="24"/>
          <w:szCs w:val="24"/>
          <w:lang w:val="en-US" w:eastAsia="zh-CN"/>
        </w:rPr>
        <w:t>Accounting and business research</w:t>
      </w:r>
      <w:r>
        <w:rPr>
          <w:rFonts w:hint="default" w:ascii="Times New Roman" w:hAnsi="Times New Roman" w:cs="Times New Roman"/>
          <w:b w:val="0"/>
          <w:bCs w:val="0"/>
          <w:sz w:val="24"/>
          <w:szCs w:val="24"/>
          <w:lang w:val="en-US" w:eastAsia="zh-CN"/>
        </w:rPr>
        <w:t xml:space="preserve">, 24(94), pp. 121–132. </w:t>
      </w: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pPr>
    </w:p>
    <w:p>
      <w:pPr>
        <w:keepNext w:val="0"/>
        <w:keepLines w:val="0"/>
        <w:pageBreakBefore w:val="0"/>
        <w:widowControl w:val="0"/>
        <w:numPr>
          <w:ilvl w:val="0"/>
          <w:numId w:val="0"/>
        </w:numPr>
        <w:tabs>
          <w:tab w:val="left" w:pos="2160"/>
        </w:tabs>
        <w:kinsoku/>
        <w:wordWrap/>
        <w:overflowPunct/>
        <w:topLinePunct w:val="0"/>
        <w:autoSpaceDE/>
        <w:autoSpaceDN/>
        <w:bidi w:val="0"/>
        <w:adjustRightInd/>
        <w:snapToGrid/>
        <w:spacing w:line="360" w:lineRule="auto"/>
        <w:ind w:right="23" w:rightChars="0"/>
        <w:jc w:val="both"/>
        <w:textAlignment w:val="auto"/>
        <w:rPr>
          <w:rFonts w:hint="default" w:ascii="Times New Roman" w:hAnsi="Times New Roman" w:eastAsia="宋体" w:cs="Times New Roman"/>
          <w:b w:val="0"/>
          <w:bCs w:val="0"/>
          <w:color w:val="000000" w:themeColor="text1"/>
          <w:sz w:val="24"/>
          <w:szCs w:val="24"/>
          <w:lang w:val="en-US" w:eastAsia="zh-CN"/>
          <w14:textFill>
            <w14:solidFill>
              <w14:schemeClr w14:val="tx1"/>
            </w14:solidFill>
          </w14:textFill>
        </w:rPr>
      </w:pP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Choi, T. S., &amp; Levary, R. R. (1987). Payback Method in Capital Budgeting: A New Insight.</w:t>
      </w:r>
      <w:r>
        <w:rPr>
          <w:rFonts w:hint="default" w:ascii="Times New Roman" w:hAnsi="Times New Roman" w:eastAsia="monospace" w:cs="Times New Roman"/>
          <w:i/>
          <w:iCs/>
          <w:caps w:val="0"/>
          <w:color w:val="000000" w:themeColor="text1"/>
          <w:spacing w:val="0"/>
          <w:sz w:val="24"/>
          <w:szCs w:val="24"/>
          <w:shd w:val="clear" w:fill="FFFFFF"/>
          <w14:textFill>
            <w14:solidFill>
              <w14:schemeClr w14:val="tx1"/>
            </w14:solidFill>
          </w14:textFill>
        </w:rPr>
        <w:t xml:space="preserve"> Journal of Information and Optimization Sciences</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 xml:space="preserve">, 8(1), </w:t>
      </w:r>
      <w:r>
        <w:rPr>
          <w:rFonts w:hint="eastAsia" w:ascii="Times New Roman" w:hAnsi="Times New Roman" w:eastAsia="宋体" w:cs="Times New Roman"/>
          <w:i w:val="0"/>
          <w:iCs w:val="0"/>
          <w:caps w:val="0"/>
          <w:color w:val="000000" w:themeColor="text1"/>
          <w:spacing w:val="0"/>
          <w:sz w:val="24"/>
          <w:szCs w:val="24"/>
          <w:shd w:val="clear" w:fill="FFFFFF"/>
          <w:lang w:val="en-US" w:eastAsia="zh-CN"/>
          <w14:textFill>
            <w14:solidFill>
              <w14:schemeClr w14:val="tx1"/>
            </w14:solidFill>
          </w14:textFill>
        </w:rPr>
        <w:t xml:space="preserve">pp. </w:t>
      </w:r>
      <w:r>
        <w:rPr>
          <w:rFonts w:hint="default" w:ascii="Times New Roman" w:hAnsi="Times New Roman" w:eastAsia="monospace" w:cs="Times New Roman"/>
          <w:i w:val="0"/>
          <w:iCs w:val="0"/>
          <w:caps w:val="0"/>
          <w:color w:val="000000" w:themeColor="text1"/>
          <w:spacing w:val="0"/>
          <w:sz w:val="24"/>
          <w:szCs w:val="24"/>
          <w:shd w:val="clear" w:fill="FFFFFF"/>
          <w14:textFill>
            <w14:solidFill>
              <w14:schemeClr w14:val="tx1"/>
            </w14:solidFill>
          </w14:textFill>
        </w:rPr>
        <w:t>57–63.</w:t>
      </w: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line="360" w:lineRule="auto"/>
        <w:jc w:val="both"/>
        <w:textAlignment w:val="baseline"/>
        <w:rPr>
          <w:rFonts w:hint="default" w:ascii="Times New Roman" w:hAnsi="Times New Roman" w:eastAsia="宋体" w:cs="Times New Roman"/>
          <w:b w:val="0"/>
          <w:bCs w:val="0"/>
          <w:sz w:val="24"/>
          <w:szCs w:val="24"/>
          <w:lang w:val="en-US" w:eastAsia="zh-CN"/>
        </w:rPr>
      </w:pPr>
      <w:r>
        <w:rPr>
          <w:rFonts w:hint="default" w:ascii="Times New Roman" w:hAnsi="Times New Roman" w:eastAsia="宋体" w:cs="Times New Roman"/>
          <w:b w:val="0"/>
          <w:bCs w:val="0"/>
          <w:sz w:val="24"/>
          <w:szCs w:val="24"/>
          <w:lang w:val="en-US" w:eastAsia="zh-CN"/>
        </w:rPr>
        <w:t xml:space="preserve">Davies, T. et al. (2011) </w:t>
      </w:r>
      <w:r>
        <w:rPr>
          <w:rFonts w:hint="default" w:ascii="Times New Roman" w:hAnsi="Times New Roman" w:eastAsia="宋体" w:cs="Times New Roman"/>
          <w:b w:val="0"/>
          <w:bCs w:val="0"/>
          <w:i/>
          <w:iCs/>
          <w:sz w:val="24"/>
          <w:szCs w:val="24"/>
          <w:lang w:val="en-US" w:eastAsia="zh-CN"/>
        </w:rPr>
        <w:t>Business accounting and finance</w:t>
      </w:r>
      <w:r>
        <w:rPr>
          <w:rFonts w:hint="default" w:ascii="Times New Roman" w:hAnsi="Times New Roman" w:eastAsia="宋体" w:cs="Times New Roman"/>
          <w:b w:val="0"/>
          <w:bCs w:val="0"/>
          <w:sz w:val="24"/>
          <w:szCs w:val="24"/>
          <w:lang w:val="en-US" w:eastAsia="zh-CN"/>
        </w:rPr>
        <w:t>. 1st ed. Harlow, England: Pearson.</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Dechow</w:t>
      </w:r>
      <w:r>
        <w:rPr>
          <w:rFonts w:hint="eastAsia" w:ascii="Times New Roman" w:hAnsi="Times New Roman" w:eastAsia="宋体" w:cs="Times New Roman"/>
          <w:sz w:val="24"/>
          <w:szCs w:val="24"/>
          <w:lang w:val="en-US" w:eastAsia="zh-CN"/>
        </w:rPr>
        <w:t>,</w:t>
      </w:r>
      <w:r>
        <w:rPr>
          <w:rFonts w:hint="default" w:ascii="Times New Roman" w:hAnsi="Times New Roman" w:eastAsia="宋体" w:cs="Times New Roman"/>
          <w:sz w:val="24"/>
          <w:szCs w:val="24"/>
        </w:rPr>
        <w:t xml:space="preserve"> P. (1994). ‘Accounting earnings and cash flows as measures of firm performance: the role of accounting accruals’. </w:t>
      </w:r>
      <w:r>
        <w:rPr>
          <w:rFonts w:hint="default" w:ascii="Times New Roman" w:hAnsi="Times New Roman" w:eastAsia="宋体" w:cs="Times New Roman"/>
          <w:i/>
          <w:iCs/>
          <w:sz w:val="24"/>
          <w:szCs w:val="24"/>
        </w:rPr>
        <w:t>Journal of Accounting and Economics</w:t>
      </w:r>
      <w:r>
        <w:rPr>
          <w:rFonts w:hint="default" w:ascii="Times New Roman" w:hAnsi="Times New Roman" w:eastAsia="宋体" w:cs="Times New Roman"/>
          <w:sz w:val="24"/>
          <w:szCs w:val="24"/>
        </w:rPr>
        <w:t xml:space="preserve">. (July):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3-42.</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ascii="Times New Roman" w:hAnsi="Times New Roman" w:eastAsia="sans-serif" w:cs="Times New Roman"/>
          <w:i w:val="0"/>
          <w:iCs w:val="0"/>
          <w:caps w:val="0"/>
          <w:color w:val="005274"/>
          <w:spacing w:val="0"/>
          <w:sz w:val="24"/>
          <w:szCs w:val="24"/>
          <w:u w:val="none"/>
          <w:shd w:val="clear" w:fill="FFFFFF"/>
        </w:rPr>
      </w:pPr>
      <w:r>
        <w:rPr>
          <w:rFonts w:hint="default" w:ascii="Times New Roman" w:hAnsi="Times New Roman" w:eastAsia="sans-serif" w:cs="Times New Roman"/>
          <w:i w:val="0"/>
          <w:iCs w:val="0"/>
          <w:caps w:val="0"/>
          <w:color w:val="1C1D1E"/>
          <w:spacing w:val="0"/>
          <w:sz w:val="24"/>
          <w:szCs w:val="24"/>
          <w:shd w:val="clear" w:fill="FFFFFF"/>
        </w:rPr>
        <w:t xml:space="preserve">Drake, P.P. and Fabozzi, F.J. (2012). </w:t>
      </w:r>
      <w:r>
        <w:rPr>
          <w:rFonts w:hint="default" w:ascii="Times New Roman" w:hAnsi="Times New Roman" w:eastAsia="sans-serif" w:cs="Times New Roman"/>
          <w:i/>
          <w:iCs/>
          <w:caps w:val="0"/>
          <w:color w:val="1C1D1E"/>
          <w:spacing w:val="0"/>
          <w:sz w:val="24"/>
          <w:szCs w:val="24"/>
          <w:shd w:val="clear" w:fill="FFFFFF"/>
        </w:rPr>
        <w:t>Financial Ratio Analysis. In Encyclopedia of Financial Models</w:t>
      </w:r>
      <w:r>
        <w:rPr>
          <w:rFonts w:hint="default" w:ascii="Times New Roman" w:hAnsi="Times New Roman" w:eastAsia="sans-serif" w:cs="Times New Roman"/>
          <w:i w:val="0"/>
          <w:iCs w:val="0"/>
          <w:caps w:val="0"/>
          <w:color w:val="1C1D1E"/>
          <w:spacing w:val="0"/>
          <w:sz w:val="24"/>
          <w:szCs w:val="24"/>
          <w:shd w:val="clear" w:fill="FFFFFF"/>
        </w:rPr>
        <w:t>, F.J. Fabozzi (Ed.). </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sans-serif" w:cs="Times New Roman"/>
          <w:i w:val="0"/>
          <w:iCs w:val="0"/>
          <w:caps w:val="0"/>
          <w:color w:val="1C1D1E"/>
          <w:spacing w:val="0"/>
          <w:sz w:val="24"/>
          <w:szCs w:val="24"/>
          <w:shd w:val="clear" w:fill="FFFFFF"/>
        </w:rPr>
        <w:t>Fabozzi, F.J. and Drake, P.P. (2009). Capital Budgeting Techniques. In Finance (eds F.J. Fabozzi and P.P. Drake).</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val="0"/>
          <w:iCs w:val="0"/>
          <w:caps w:val="0"/>
          <w:color w:val="auto"/>
          <w:spacing w:val="0"/>
          <w:sz w:val="24"/>
          <w:szCs w:val="24"/>
          <w:shd w:val="clear" w:fill="FFFFFF"/>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default" w:ascii="Times New Roman" w:hAnsi="Times New Roman" w:eastAsia="monospace" w:cs="Times New Roman"/>
          <w:i/>
          <w:iCs/>
          <w:caps w:val="0"/>
          <w:color w:val="auto"/>
          <w:spacing w:val="0"/>
          <w:sz w:val="24"/>
          <w:szCs w:val="24"/>
          <w:shd w:val="clear" w:fill="FFFFFF"/>
        </w:rPr>
      </w:pPr>
      <w:r>
        <w:rPr>
          <w:rFonts w:hint="default" w:ascii="Times New Roman" w:hAnsi="Times New Roman" w:eastAsia="monospace" w:cs="Times New Roman"/>
          <w:i w:val="0"/>
          <w:iCs w:val="0"/>
          <w:caps w:val="0"/>
          <w:color w:val="auto"/>
          <w:spacing w:val="0"/>
          <w:sz w:val="24"/>
          <w:szCs w:val="24"/>
          <w:shd w:val="clear" w:fill="FFFFFF"/>
        </w:rPr>
        <w:t xml:space="preserve">Fadel, H., </w:t>
      </w:r>
      <w:r>
        <w:rPr>
          <w:rFonts w:hint="default" w:ascii="Times New Roman" w:hAnsi="Times New Roman" w:eastAsia="宋体" w:cs="Times New Roman"/>
          <w:i w:val="0"/>
          <w:iCs w:val="0"/>
          <w:caps w:val="0"/>
          <w:color w:val="auto"/>
          <w:spacing w:val="0"/>
          <w:sz w:val="24"/>
          <w:szCs w:val="24"/>
          <w:shd w:val="clear" w:fill="FFFFFF"/>
          <w:lang w:val="en-US" w:eastAsia="zh-CN"/>
        </w:rPr>
        <w:t>and</w:t>
      </w:r>
      <w:r>
        <w:rPr>
          <w:rFonts w:hint="default" w:ascii="Times New Roman" w:hAnsi="Times New Roman" w:eastAsia="monospace" w:cs="Times New Roman"/>
          <w:i w:val="0"/>
          <w:iCs w:val="0"/>
          <w:caps w:val="0"/>
          <w:color w:val="auto"/>
          <w:spacing w:val="0"/>
          <w:sz w:val="24"/>
          <w:szCs w:val="24"/>
          <w:shd w:val="clear" w:fill="FFFFFF"/>
        </w:rPr>
        <w:t xml:space="preserve"> Parkinson, J. M. (1978). </w:t>
      </w:r>
      <w:r>
        <w:rPr>
          <w:rFonts w:hint="default" w:ascii="Times New Roman" w:hAnsi="Times New Roman" w:eastAsia="monospace" w:cs="Times New Roman"/>
          <w:i/>
          <w:iCs/>
          <w:caps w:val="0"/>
          <w:color w:val="auto"/>
          <w:spacing w:val="0"/>
          <w:sz w:val="24"/>
          <w:szCs w:val="24"/>
          <w:shd w:val="clear" w:fill="FFFFFF"/>
        </w:rPr>
        <w:t xml:space="preserve">Liquidity Evaluation by Means of Ratio Analysis. Accounting and Business Research, 8(30), </w:t>
      </w:r>
      <w:r>
        <w:rPr>
          <w:rFonts w:hint="default" w:ascii="Times New Roman" w:hAnsi="Times New Roman" w:eastAsia="宋体" w:cs="Times New Roman"/>
          <w:i/>
          <w:iCs/>
          <w:caps w:val="0"/>
          <w:color w:val="auto"/>
          <w:spacing w:val="0"/>
          <w:sz w:val="24"/>
          <w:szCs w:val="24"/>
          <w:shd w:val="clear" w:fill="FFFFFF"/>
          <w:lang w:val="en-US" w:eastAsia="zh-CN"/>
        </w:rPr>
        <w:t xml:space="preserve">pp. </w:t>
      </w:r>
      <w:r>
        <w:rPr>
          <w:rFonts w:hint="default" w:ascii="Times New Roman" w:hAnsi="Times New Roman" w:eastAsia="monospace" w:cs="Times New Roman"/>
          <w:i/>
          <w:iCs/>
          <w:caps w:val="0"/>
          <w:color w:val="auto"/>
          <w:spacing w:val="0"/>
          <w:sz w:val="24"/>
          <w:szCs w:val="24"/>
          <w:shd w:val="clear" w:fill="FFFFFF"/>
        </w:rPr>
        <w:t>101–107.</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Gitman, L.J. (2008) Principles of managerial finance. Brief 4th ed. Boston, Mass. ;: Addison-Wesley.</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Roboto" w:cs="Times New Roman"/>
          <w:i w:val="0"/>
          <w:iCs w:val="0"/>
          <w:caps w:val="0"/>
          <w:color w:val="auto"/>
          <w:spacing w:val="0"/>
          <w:sz w:val="24"/>
          <w:szCs w:val="24"/>
          <w:shd w:val="clear" w:fill="FFFFFF"/>
        </w:rPr>
      </w:pPr>
      <w:r>
        <w:rPr>
          <w:rFonts w:hint="default" w:ascii="Times New Roman" w:hAnsi="Times New Roman" w:eastAsia="Roboto" w:cs="Times New Roman"/>
          <w:i w:val="0"/>
          <w:iCs w:val="0"/>
          <w:caps w:val="0"/>
          <w:color w:val="auto"/>
          <w:spacing w:val="0"/>
          <w:sz w:val="24"/>
          <w:szCs w:val="24"/>
          <w:shd w:val="clear" w:fill="FFFFFF"/>
        </w:rPr>
        <w:t>Peterson, P.P. and Fabozzi, F.J. (2002), Capital Budgeting: Theory and Practice, Wiley &amp; Sons, New York, NY.</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 xml:space="preserve">Pike, R. et al. (2018) </w:t>
      </w:r>
      <w:r>
        <w:rPr>
          <w:rFonts w:hint="default" w:ascii="Times New Roman" w:hAnsi="Times New Roman" w:eastAsia="宋体" w:cs="Times New Roman"/>
          <w:i/>
          <w:iCs/>
          <w:sz w:val="24"/>
          <w:szCs w:val="24"/>
          <w:lang w:val="en-US" w:eastAsia="zh-CN"/>
        </w:rPr>
        <w:t>Corporate finance and investment : decisions and strategies</w:t>
      </w:r>
      <w:r>
        <w:rPr>
          <w:rFonts w:hint="default" w:ascii="Times New Roman" w:hAnsi="Times New Roman" w:eastAsia="宋体" w:cs="Times New Roman"/>
          <w:sz w:val="24"/>
          <w:szCs w:val="24"/>
          <w:lang w:val="en-US" w:eastAsia="zh-CN"/>
        </w:rPr>
        <w:t>. 9th ed. Harlow, United Kingdom: Pearson Education Limited.</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40"/>
        <w:jc w:val="both"/>
        <w:textAlignment w:val="baseline"/>
        <w:rPr>
          <w:rFonts w:hint="eastAsia"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 xml:space="preserve">Rivero, Orlando. (2015). Starbucks Corporation: Leading Innovation in the 21st Century. </w:t>
      </w:r>
      <w:r>
        <w:rPr>
          <w:rFonts w:hint="default" w:ascii="Times New Roman" w:hAnsi="Times New Roman" w:eastAsia="宋体" w:cs="Times New Roman"/>
          <w:i/>
          <w:iCs/>
          <w:sz w:val="24"/>
          <w:szCs w:val="24"/>
        </w:rPr>
        <w:t>Journal of Alternative Perspectives in the Social Sciences</w:t>
      </w:r>
      <w:r>
        <w:rPr>
          <w:rFonts w:hint="default" w:ascii="Times New Roman" w:hAnsi="Times New Roman" w:eastAsia="宋体" w:cs="Times New Roman"/>
          <w:sz w:val="24"/>
          <w:szCs w:val="24"/>
        </w:rPr>
        <w:t xml:space="preserve">. </w:t>
      </w:r>
      <w:r>
        <w:rPr>
          <w:rFonts w:hint="eastAsia" w:ascii="Times New Roman" w:hAnsi="Times New Roman" w:eastAsia="宋体" w:cs="Times New Roman"/>
          <w:sz w:val="24"/>
          <w:szCs w:val="24"/>
          <w:lang w:val="en-US" w:eastAsia="zh-CN"/>
        </w:rPr>
        <w:t xml:space="preserve">Volume </w:t>
      </w:r>
      <w:r>
        <w:rPr>
          <w:rFonts w:hint="default" w:ascii="Times New Roman" w:hAnsi="Times New Roman" w:eastAsia="宋体" w:cs="Times New Roman"/>
          <w:sz w:val="24"/>
          <w:szCs w:val="24"/>
        </w:rPr>
        <w:t xml:space="preserve">7.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 xml:space="preserve">23-38. </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eastAsia="宋体" w:cs="Arial"/>
          <w:b/>
          <w:bCs/>
          <w:spacing w:val="-1"/>
          <w:sz w:val="21"/>
          <w:szCs w:val="21"/>
          <w:lang w:val="en-US" w:eastAsia="zh-CN"/>
        </w:rPr>
      </w:pPr>
    </w:p>
    <w:p>
      <w:pPr>
        <w:pStyle w:val="8"/>
        <w:keepNext w:val="0"/>
        <w:keepLines w:val="0"/>
        <w:pageBreakBefore w:val="0"/>
        <w:widowControl/>
        <w:suppressLineNumbers w:val="0"/>
        <w:kinsoku/>
        <w:wordWrap/>
        <w:overflowPunct/>
        <w:topLinePunct w:val="0"/>
        <w:autoSpaceDE/>
        <w:autoSpaceDN/>
        <w:bidi w:val="0"/>
        <w:adjustRightInd/>
        <w:snapToGrid/>
        <w:spacing w:before="0" w:beforeAutospacing="0" w:after="146" w:afterAutospacing="0" w:line="360" w:lineRule="auto"/>
        <w:ind w:left="0" w:right="0"/>
        <w:jc w:val="both"/>
        <w:textAlignment w:val="auto"/>
        <w:rPr>
          <w:rFonts w:hint="default" w:ascii="Times New Roman" w:hAnsi="Times New Roman" w:eastAsia="sans-serif" w:cs="Times New Roman"/>
          <w:i w:val="0"/>
          <w:iCs w:val="0"/>
          <w:caps w:val="0"/>
          <w:color w:val="auto"/>
          <w:spacing w:val="0"/>
          <w:kern w:val="2"/>
          <w:sz w:val="24"/>
          <w:szCs w:val="24"/>
          <w:shd w:val="clear" w:fill="FFFFFF"/>
          <w:lang w:val="en-US" w:eastAsia="zh-CN" w:bidi="ar-SA"/>
        </w:rPr>
      </w:pPr>
      <w:r>
        <w:rPr>
          <w:rFonts w:hint="default" w:ascii="Times New Roman" w:hAnsi="Times New Roman" w:eastAsia="Roboto" w:cs="Times New Roman"/>
          <w:i w:val="0"/>
          <w:iCs w:val="0"/>
          <w:caps w:val="0"/>
          <w:color w:val="auto"/>
          <w:spacing w:val="0"/>
          <w:sz w:val="24"/>
          <w:szCs w:val="24"/>
          <w:shd w:val="clear" w:fill="FFFFFF"/>
        </w:rPr>
        <w:t>Ross, S.A</w:t>
      </w:r>
      <w:r>
        <w:rPr>
          <w:rFonts w:hint="eastAsia" w:ascii="Times New Roman" w:hAnsi="Times New Roman" w:eastAsia="宋体" w:cs="Times New Roman"/>
          <w:i w:val="0"/>
          <w:iCs w:val="0"/>
          <w:caps w:val="0"/>
          <w:color w:val="auto"/>
          <w:spacing w:val="0"/>
          <w:sz w:val="24"/>
          <w:szCs w:val="24"/>
          <w:shd w:val="clear" w:fill="FFFFFF"/>
          <w:lang w:val="en-US" w:eastAsia="zh-CN"/>
        </w:rPr>
        <w:t xml:space="preserve">. </w:t>
      </w:r>
      <w:r>
        <w:rPr>
          <w:rFonts w:hint="default" w:ascii="Times New Roman" w:hAnsi="Times New Roman" w:eastAsia="Roboto" w:cs="Times New Roman"/>
          <w:i w:val="0"/>
          <w:iCs w:val="0"/>
          <w:caps w:val="0"/>
          <w:color w:val="auto"/>
          <w:spacing w:val="0"/>
          <w:sz w:val="24"/>
          <w:szCs w:val="24"/>
          <w:shd w:val="clear" w:fill="FFFFFF"/>
        </w:rPr>
        <w:t>(2007), Fundamentals of Corporate Finance, 4th ed., McGraw Hill, Sydney.</w:t>
      </w:r>
    </w:p>
    <w:p>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default" w:eastAsia="宋体" w:cs="Arial"/>
          <w:b/>
          <w:bCs/>
          <w:spacing w:val="-1"/>
          <w:sz w:val="21"/>
          <w:szCs w:val="21"/>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jc w:val="both"/>
        <w:textAlignment w:val="baseline"/>
        <w:rPr>
          <w:rFonts w:hint="default" w:ascii="Times New Roman" w:hAnsi="Times New Roman" w:eastAsia="宋体" w:cs="Times New Roman"/>
          <w:b w:val="0"/>
          <w:bCs w:val="0"/>
          <w:spacing w:val="-1"/>
          <w:sz w:val="24"/>
          <w:szCs w:val="24"/>
          <w:lang w:val="en-US" w:eastAsia="zh-CN"/>
        </w:rPr>
      </w:pPr>
      <w:r>
        <w:rPr>
          <w:rFonts w:hint="default" w:ascii="Times New Roman" w:hAnsi="Times New Roman" w:eastAsia="宋体" w:cs="Times New Roman"/>
          <w:b w:val="0"/>
          <w:bCs w:val="0"/>
          <w:spacing w:val="-1"/>
          <w:sz w:val="24"/>
          <w:szCs w:val="24"/>
          <w:lang w:val="en-US" w:eastAsia="zh-CN"/>
        </w:rPr>
        <w:t xml:space="preserve">Lewis, R. and Pendrill, D. (2004) </w:t>
      </w:r>
      <w:r>
        <w:rPr>
          <w:rFonts w:hint="default" w:ascii="Times New Roman" w:hAnsi="Times New Roman" w:eastAsia="宋体" w:cs="Times New Roman"/>
          <w:b w:val="0"/>
          <w:bCs w:val="0"/>
          <w:i/>
          <w:iCs/>
          <w:spacing w:val="-1"/>
          <w:sz w:val="24"/>
          <w:szCs w:val="24"/>
          <w:lang w:val="en-US" w:eastAsia="zh-CN"/>
        </w:rPr>
        <w:t>Advanced financial accounting</w:t>
      </w:r>
      <w:r>
        <w:rPr>
          <w:rFonts w:hint="default" w:ascii="Times New Roman" w:hAnsi="Times New Roman" w:eastAsia="宋体" w:cs="Times New Roman"/>
          <w:b w:val="0"/>
          <w:bCs w:val="0"/>
          <w:spacing w:val="-1"/>
          <w:sz w:val="24"/>
          <w:szCs w:val="24"/>
          <w:lang w:val="en-US" w:eastAsia="zh-CN"/>
        </w:rPr>
        <w:t>. 7th ed. Harlow: Financial Times Prentice Hall.</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jc w:val="both"/>
        <w:textAlignment w:val="baseline"/>
        <w:rPr>
          <w:rFonts w:hint="eastAsia" w:ascii="Times New Roman" w:hAnsi="Times New Roman" w:eastAsia="宋体" w:cs="Times New Roman"/>
          <w:b w:val="0"/>
          <w:bCs w:val="0"/>
          <w:spacing w:val="-1"/>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t xml:space="preserve">Lev, B. (1989). ‘On the usefulness of earnings and earnings research: lessons from two decades of empirical research’. Journal of Accounting Research (Supplement): </w:t>
      </w:r>
      <w:r>
        <w:rPr>
          <w:rFonts w:hint="eastAsia" w:ascii="Times New Roman" w:hAnsi="Times New Roman" w:eastAsia="宋体" w:cs="Times New Roman"/>
          <w:sz w:val="24"/>
          <w:szCs w:val="24"/>
          <w:lang w:val="en-US" w:eastAsia="zh-CN"/>
        </w:rPr>
        <w:t xml:space="preserve">pp. </w:t>
      </w:r>
      <w:r>
        <w:rPr>
          <w:rFonts w:hint="default" w:ascii="Times New Roman" w:hAnsi="Times New Roman" w:eastAsia="宋体" w:cs="Times New Roman"/>
          <w:sz w:val="24"/>
          <w:szCs w:val="24"/>
        </w:rPr>
        <w:t>153-189.</w:t>
      </w: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sz w:val="24"/>
          <w:szCs w:val="24"/>
        </w:rPr>
      </w:pPr>
    </w:p>
    <w:p>
      <w:pPr>
        <w:keepNext w:val="0"/>
        <w:keepLines w:val="0"/>
        <w:pageBreakBefore w:val="0"/>
        <w:widowControl/>
        <w:kinsoku w:val="0"/>
        <w:wordWrap/>
        <w:overflowPunct/>
        <w:topLinePunct w:val="0"/>
        <w:autoSpaceDE w:val="0"/>
        <w:autoSpaceDN w:val="0"/>
        <w:bidi w:val="0"/>
        <w:adjustRightInd w:val="0"/>
        <w:snapToGrid w:val="0"/>
        <w:spacing w:before="60" w:line="360" w:lineRule="auto"/>
        <w:ind w:left="21"/>
        <w:jc w:val="both"/>
        <w:textAlignment w:val="baseline"/>
        <w:rPr>
          <w:rFonts w:hint="default" w:ascii="Times New Roman" w:hAnsi="Times New Roman" w:eastAsia="宋体" w:cs="Times New Roman"/>
          <w:color w:val="auto"/>
          <w:sz w:val="24"/>
          <w:szCs w:val="24"/>
        </w:rPr>
      </w:pPr>
      <w:r>
        <w:rPr>
          <w:rFonts w:hint="default" w:ascii="Times New Roman" w:hAnsi="Times New Roman" w:eastAsia="Roboto" w:cs="Times New Roman"/>
          <w:i w:val="0"/>
          <w:iCs w:val="0"/>
          <w:caps w:val="0"/>
          <w:color w:val="auto"/>
          <w:spacing w:val="0"/>
          <w:sz w:val="24"/>
          <w:szCs w:val="24"/>
          <w:shd w:val="clear" w:fill="FFFFFF"/>
        </w:rPr>
        <w:t>Nadar, D.S., &amp; Wadhwa, B. (2019). Theoretical Review of the Role of Financial Ratios. </w:t>
      </w:r>
      <w:r>
        <w:rPr>
          <w:rStyle w:val="12"/>
          <w:rFonts w:hint="default" w:ascii="Times New Roman" w:hAnsi="Times New Roman" w:eastAsia="Roboto" w:cs="Times New Roman"/>
          <w:i/>
          <w:iCs/>
          <w:caps w:val="0"/>
          <w:color w:val="auto"/>
          <w:spacing w:val="0"/>
          <w:sz w:val="24"/>
          <w:szCs w:val="24"/>
        </w:rPr>
        <w:t>Finance Educator: Courses</w:t>
      </w:r>
      <w:r>
        <w:rPr>
          <w:rFonts w:hint="default" w:ascii="Times New Roman" w:hAnsi="Times New Roman" w:eastAsia="Roboto" w:cs="Times New Roman"/>
          <w:i w:val="0"/>
          <w:iCs w:val="0"/>
          <w:caps w:val="0"/>
          <w:color w:val="auto"/>
          <w:spacing w:val="0"/>
          <w:sz w:val="24"/>
          <w:szCs w:val="24"/>
          <w:shd w:val="clear" w:fill="FFFFFF"/>
        </w:rPr>
        <w: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eastAsia" w:ascii="Times New Roman" w:hAnsi="Times New Roman" w:eastAsia="宋体" w:cs="Times New Roman"/>
          <w:sz w:val="24"/>
          <w:szCs w:val="24"/>
          <w:lang w:val="en-US" w:eastAsia="zh-CN"/>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eastAsia" w:ascii="Times New Roman" w:hAnsi="Times New Roman" w:eastAsia="宋体" w:cs="Times New Roman"/>
          <w:sz w:val="24"/>
          <w:szCs w:val="24"/>
          <w:lang w:val="en-US" w:eastAsia="zh-CN"/>
        </w:rPr>
      </w:pPr>
      <w:r>
        <w:rPr>
          <w:rFonts w:hint="eastAsia" w:ascii="Times New Roman" w:hAnsi="Times New Roman" w:eastAsia="宋体" w:cs="Times New Roman"/>
          <w:sz w:val="24"/>
          <w:szCs w:val="24"/>
          <w:lang w:val="en-US" w:eastAsia="zh-CN"/>
        </w:rPr>
        <w:t xml:space="preserve">Starbucks (2023). </w:t>
      </w:r>
      <w:r>
        <w:rPr>
          <w:rFonts w:hint="eastAsia" w:ascii="Times New Roman" w:hAnsi="Times New Roman" w:eastAsia="宋体" w:cs="Times New Roman"/>
          <w:i/>
          <w:iCs/>
          <w:sz w:val="24"/>
          <w:szCs w:val="24"/>
          <w:lang w:val="en-US" w:eastAsia="zh-CN"/>
        </w:rPr>
        <w:t>About us.</w:t>
      </w:r>
      <w:r>
        <w:rPr>
          <w:rFonts w:hint="eastAsia" w:ascii="Times New Roman" w:hAnsi="Times New Roman" w:eastAsia="宋体" w:cs="Times New Roman"/>
          <w:sz w:val="24"/>
          <w:szCs w:val="24"/>
          <w:lang w:val="en-US" w:eastAsia="zh-CN"/>
        </w:rPr>
        <w:t xml:space="preserve"> Available at:</w:t>
      </w:r>
    </w:p>
    <w:p>
      <w:pPr>
        <w:keepNext w:val="0"/>
        <w:keepLines w:val="0"/>
        <w:pageBreakBefore w:val="0"/>
        <w:widowControl/>
        <w:kinsoku w:val="0"/>
        <w:wordWrap/>
        <w:overflowPunct/>
        <w:topLinePunct w:val="0"/>
        <w:autoSpaceDE w:val="0"/>
        <w:autoSpaceDN w:val="0"/>
        <w:bidi w:val="0"/>
        <w:adjustRightInd w:val="0"/>
        <w:snapToGrid w:val="0"/>
        <w:spacing w:before="69" w:line="360" w:lineRule="auto"/>
        <w:jc w:val="both"/>
        <w:textAlignment w:val="baseline"/>
        <w:rPr>
          <w:rFonts w:hint="default" w:ascii="Times New Roman" w:hAnsi="Times New Roman" w:eastAsia="宋体" w:cs="Times New Roman"/>
          <w:sz w:val="24"/>
          <w:szCs w:val="24"/>
        </w:rPr>
      </w:pP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 HYPERLINK "https://www.starbucks.co.uk/about-us" </w:instrText>
      </w:r>
      <w:r>
        <w:rPr>
          <w:rFonts w:hint="default" w:ascii="Times New Roman" w:hAnsi="Times New Roman" w:eastAsia="宋体" w:cs="Times New Roman"/>
          <w:sz w:val="24"/>
          <w:szCs w:val="24"/>
        </w:rPr>
        <w:fldChar w:fldCharType="separate"/>
      </w:r>
      <w:r>
        <w:rPr>
          <w:rStyle w:val="13"/>
          <w:rFonts w:hint="default" w:ascii="Times New Roman" w:hAnsi="Times New Roman" w:eastAsia="宋体" w:cs="Times New Roman"/>
          <w:sz w:val="24"/>
          <w:szCs w:val="24"/>
        </w:rPr>
        <w:t>https://www.starbucks.co.uk/about-us</w:t>
      </w:r>
      <w:r>
        <w:rPr>
          <w:rFonts w:hint="default" w:ascii="Times New Roman" w:hAnsi="Times New Roman" w:eastAsia="宋体" w:cs="Times New Roman"/>
          <w:sz w:val="24"/>
          <w:szCs w:val="24"/>
        </w:rPr>
        <w:fldChar w:fldCharType="end"/>
      </w:r>
      <w:r>
        <w:rPr>
          <w:rFonts w:hint="eastAsia" w:ascii="Times New Roman" w:hAnsi="Times New Roman" w:eastAsia="宋体" w:cs="Times New Roman"/>
          <w:sz w:val="24"/>
          <w:szCs w:val="24"/>
          <w:lang w:val="en-US" w:eastAsia="zh-CN"/>
        </w:rPr>
        <w:t xml:space="preserve"> (Accessed: 22 February 2023)</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kinsoku w:val="0"/>
        <w:wordWrap/>
        <w:overflowPunct/>
        <w:topLinePunct w:val="0"/>
        <w:autoSpaceDE w:val="0"/>
        <w:autoSpaceDN w:val="0"/>
        <w:bidi w:val="0"/>
        <w:adjustRightInd w:val="0"/>
        <w:snapToGrid w:val="0"/>
        <w:spacing w:before="69" w:line="360" w:lineRule="auto"/>
        <w:ind w:left="23"/>
        <w:jc w:val="both"/>
        <w:textAlignment w:val="baseline"/>
        <w:rPr>
          <w:rFonts w:hint="eastAsia" w:ascii="Times New Roman" w:hAnsi="Times New Roman" w:eastAsia="宋体" w:cs="Times New Roman"/>
          <w:i w:val="0"/>
          <w:iCs w:val="0"/>
          <w:caps w:val="0"/>
          <w:color w:val="auto"/>
          <w:spacing w:val="0"/>
          <w:sz w:val="24"/>
          <w:szCs w:val="24"/>
          <w:shd w:val="clear" w:fill="FFFFFF"/>
          <w:lang w:val="en-US" w:eastAsia="zh-CN"/>
        </w:rPr>
      </w:pPr>
      <w:r>
        <w:rPr>
          <w:rFonts w:hint="default" w:ascii="Times New Roman" w:hAnsi="Times New Roman" w:eastAsia="NexusSansWebPro" w:cs="Times New Roman"/>
          <w:i w:val="0"/>
          <w:iCs w:val="0"/>
          <w:caps w:val="0"/>
          <w:color w:val="auto"/>
          <w:spacing w:val="0"/>
          <w:sz w:val="24"/>
          <w:szCs w:val="24"/>
          <w:shd w:val="clear" w:fill="FFFFFF"/>
        </w:rPr>
        <w:t>Velez-Pareja, Ignacio</w:t>
      </w:r>
      <w:r>
        <w:rPr>
          <w:rFonts w:hint="eastAsia" w:ascii="Times New Roman" w:hAnsi="Times New Roman" w:eastAsia="宋体" w:cs="Times New Roman"/>
          <w:i w:val="0"/>
          <w:iCs w:val="0"/>
          <w:caps w:val="0"/>
          <w:color w:val="auto"/>
          <w:spacing w:val="0"/>
          <w:sz w:val="24"/>
          <w:szCs w:val="24"/>
          <w:shd w:val="clear" w:fill="FFFFFF"/>
          <w:lang w:val="en-US" w:eastAsia="zh-CN"/>
        </w:rPr>
        <w:t>. (2012)</w:t>
      </w:r>
      <w:r>
        <w:rPr>
          <w:rFonts w:hint="default" w:ascii="Times New Roman" w:hAnsi="Times New Roman" w:eastAsia="NexusSansWebPro" w:cs="Times New Roman"/>
          <w:i w:val="0"/>
          <w:iCs w:val="0"/>
          <w:caps w:val="0"/>
          <w:color w:val="auto"/>
          <w:spacing w:val="0"/>
          <w:sz w:val="24"/>
          <w:szCs w:val="24"/>
          <w:shd w:val="clear" w:fill="FFFFFF"/>
        </w:rPr>
        <w:t xml:space="preserve"> Financial Analysis and Control - Financial Ratio Analysis</w:t>
      </w:r>
      <w:r>
        <w:rPr>
          <w:rFonts w:hint="eastAsia" w:ascii="Times New Roman" w:hAnsi="Times New Roman" w:eastAsia="宋体" w:cs="Times New Roman"/>
          <w:i w:val="0"/>
          <w:iCs w:val="0"/>
          <w:caps w:val="0"/>
          <w:color w:val="auto"/>
          <w:spacing w:val="0"/>
          <w:sz w:val="24"/>
          <w:szCs w:val="24"/>
          <w:shd w:val="clear" w:fill="FFFFFF"/>
          <w:lang w:val="en-US" w:eastAsia="zh-CN"/>
        </w:rPr>
        <w:t>.</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val="0"/>
        <w:kinsoku/>
        <w:wordWrap/>
        <w:overflowPunct/>
        <w:topLinePunct w:val="0"/>
        <w:autoSpaceDE/>
        <w:autoSpaceDN/>
        <w:bidi w:val="0"/>
        <w:adjustRightInd/>
        <w:snapToGrid/>
        <w:spacing w:line="360" w:lineRule="auto"/>
        <w:jc w:val="both"/>
        <w:textAlignment w:val="auto"/>
        <w:rPr>
          <w:rFonts w:hint="default" w:ascii="Times New Roman" w:hAnsi="Times New Roman" w:eastAsia="sans-serif" w:cs="Times New Roman"/>
          <w:i w:val="0"/>
          <w:iCs w:val="0"/>
          <w:caps w:val="0"/>
          <w:color w:val="auto"/>
          <w:spacing w:val="0"/>
          <w:sz w:val="24"/>
          <w:szCs w:val="24"/>
          <w:shd w:val="clear" w:fill="FFFFFF"/>
        </w:rPr>
      </w:pPr>
      <w:r>
        <w:rPr>
          <w:rFonts w:hint="default" w:ascii="Times New Roman" w:hAnsi="Times New Roman" w:eastAsia="sans-serif" w:cs="Times New Roman"/>
          <w:i w:val="0"/>
          <w:iCs w:val="0"/>
          <w:caps w:val="0"/>
          <w:color w:val="1C1D1E"/>
          <w:spacing w:val="0"/>
          <w:sz w:val="24"/>
          <w:szCs w:val="24"/>
          <w:shd w:val="clear" w:fill="FFFFFF"/>
        </w:rPr>
        <w:t>Vernimmen, P. (2018). </w:t>
      </w:r>
      <w:r>
        <w:rPr>
          <w:rFonts w:hint="default" w:ascii="Times New Roman" w:hAnsi="Times New Roman" w:eastAsia="sans-serif" w:cs="Times New Roman"/>
          <w:i/>
          <w:iCs/>
          <w:caps w:val="0"/>
          <w:color w:val="1C1D1E"/>
          <w:spacing w:val="0"/>
          <w:sz w:val="24"/>
          <w:szCs w:val="24"/>
          <w:shd w:val="clear" w:fill="FFFFFF"/>
        </w:rPr>
        <w:t>Corporate finance theory and practice</w:t>
      </w:r>
      <w:r>
        <w:rPr>
          <w:rFonts w:hint="default" w:ascii="Times New Roman" w:hAnsi="Times New Roman" w:eastAsia="sans-serif" w:cs="Times New Roman"/>
          <w:i w:val="0"/>
          <w:iCs w:val="0"/>
          <w:caps w:val="0"/>
          <w:color w:val="1C1D1E"/>
          <w:spacing w:val="0"/>
          <w:sz w:val="24"/>
          <w:szCs w:val="24"/>
          <w:shd w:val="clear" w:fill="FFFFFF"/>
        </w:rPr>
        <w:t> ( Fifth ed.). John Wiley and Sons Ltd.</w:t>
      </w:r>
    </w:p>
    <w:p>
      <w:pPr>
        <w:keepNext w:val="0"/>
        <w:keepLines w:val="0"/>
        <w:pageBreakBefore w:val="0"/>
        <w:widowControl/>
        <w:suppressLineNumbers w:val="0"/>
        <w:shd w:val="clear" w:fill="FFFFFF"/>
        <w:kinsoku w:val="0"/>
        <w:wordWrap/>
        <w:overflowPunct/>
        <w:topLinePunct w:val="0"/>
        <w:autoSpaceDE w:val="0"/>
        <w:autoSpaceDN w:val="0"/>
        <w:bidi w:val="0"/>
        <w:adjustRightInd w:val="0"/>
        <w:snapToGrid w:val="0"/>
        <w:spacing w:line="360" w:lineRule="auto"/>
        <w:ind w:left="0" w:firstLine="0"/>
        <w:jc w:val="both"/>
        <w:textAlignment w:val="baseline"/>
        <w:rPr>
          <w:rFonts w:hint="default" w:ascii="Times New Roman" w:hAnsi="Times New Roman" w:eastAsia="ff2" w:cs="Times New Roman"/>
          <w:i w:val="0"/>
          <w:iCs w:val="0"/>
          <w:caps w:val="0"/>
          <w:snapToGrid w:val="0"/>
          <w:color w:val="000000"/>
          <w:spacing w:val="0"/>
          <w:kern w:val="0"/>
          <w:sz w:val="24"/>
          <w:szCs w:val="24"/>
          <w:shd w:val="clear" w:fill="FFFFFF"/>
          <w:lang w:val="en-US" w:eastAsia="zh-CN" w:bidi="ar"/>
        </w:rPr>
      </w:pPr>
    </w:p>
    <w:p>
      <w:pPr>
        <w:keepNext w:val="0"/>
        <w:keepLines w:val="0"/>
        <w:pageBreakBefore w:val="0"/>
        <w:widowControl/>
        <w:kinsoku w:val="0"/>
        <w:wordWrap/>
        <w:overflowPunct/>
        <w:topLinePunct w:val="0"/>
        <w:autoSpaceDE w:val="0"/>
        <w:autoSpaceDN w:val="0"/>
        <w:bidi w:val="0"/>
        <w:adjustRightInd w:val="0"/>
        <w:snapToGrid w:val="0"/>
        <w:spacing w:line="360" w:lineRule="auto"/>
        <w:ind w:left="21"/>
        <w:textAlignment w:val="baseline"/>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spacing w:line="198" w:lineRule="auto"/>
        <w:ind w:left="21"/>
        <w:rPr>
          <w:rFonts w:hint="default" w:eastAsia="宋体" w:cs="Arial"/>
          <w:b/>
          <w:bCs/>
          <w:spacing w:val="-1"/>
          <w:sz w:val="21"/>
          <w:szCs w:val="21"/>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p>
    <w:p>
      <w:pPr>
        <w:spacing w:line="198" w:lineRule="auto"/>
        <w:rPr>
          <w:rFonts w:hint="default" w:ascii="Times New Roman" w:hAnsi="Times New Roman" w:eastAsia="宋体" w:cs="Times New Roman"/>
          <w:b/>
          <w:bCs/>
          <w:spacing w:val="-1"/>
          <w:sz w:val="24"/>
          <w:szCs w:val="24"/>
          <w:lang w:val="en-US" w:eastAsia="zh-CN"/>
        </w:rPr>
      </w:pPr>
      <w:r>
        <w:rPr>
          <w:rFonts w:hint="default" w:ascii="Times New Roman" w:hAnsi="Times New Roman" w:eastAsia="宋体" w:cs="Times New Roman"/>
          <w:b/>
          <w:bCs/>
          <w:spacing w:val="-1"/>
          <w:sz w:val="24"/>
          <w:szCs w:val="24"/>
          <w:lang w:val="en-US" w:eastAsia="zh-CN"/>
        </w:rPr>
        <w:t>Appendix</w:t>
      </w:r>
    </w:p>
    <w:p>
      <w:pPr>
        <w:keepNext w:val="0"/>
        <w:keepLines w:val="0"/>
        <w:widowControl/>
        <w:suppressLineNumbers w:val="0"/>
        <w:spacing w:before="0" w:beforeAutospacing="0" w:after="0" w:afterAutospacing="0" w:line="256" w:lineRule="auto"/>
        <w:ind w:right="0" w:firstLine="2091" w:firstLineChars="1100"/>
        <w:jc w:val="both"/>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0" w:right="2836"/>
        <w:jc w:val="center"/>
        <w:rPr>
          <w:lang w:val="en-US"/>
        </w:rPr>
      </w:pPr>
      <w:r>
        <w:rPr>
          <w:rFonts w:hint="eastAsia" w:ascii="Times New Roman" w:hAnsi="Times New Roman" w:eastAsia="Times New Roman" w:cs="Times New Roman"/>
          <w:b/>
          <w:bCs w:val="0"/>
          <w:snapToGrid w:val="0"/>
          <w:color w:val="000000"/>
          <w:kern w:val="2"/>
          <w:sz w:val="19"/>
          <w:szCs w:val="22"/>
          <w:lang w:val="en-US" w:eastAsia="zh-CN" w:bidi="ar"/>
        </w:rPr>
        <w:t xml:space="preserve">             </w:t>
      </w:r>
      <w:r>
        <w:rPr>
          <w:rFonts w:hint="default" w:ascii="Times New Roman" w:hAnsi="Times New Roman" w:eastAsia="Times New Roman" w:cs="Times New Roman"/>
          <w:b/>
          <w:bCs w:val="0"/>
          <w:snapToGrid w:val="0"/>
          <w:color w:val="000000"/>
          <w:kern w:val="2"/>
          <w:sz w:val="19"/>
          <w:szCs w:val="22"/>
          <w:lang w:val="en-US" w:eastAsia="zh-CN" w:bidi="ar"/>
        </w:rPr>
        <w:t>CONSOLIDATED STATEMENTS OF EARNINGS</w:t>
      </w:r>
    </w:p>
    <w:p>
      <w:pPr>
        <w:keepNext w:val="0"/>
        <w:keepLines w:val="0"/>
        <w:widowControl/>
        <w:suppressLineNumbers w:val="0"/>
        <w:spacing w:before="0" w:beforeAutospacing="0" w:after="0" w:afterAutospacing="0" w:line="256" w:lineRule="auto"/>
        <w:ind w:right="0" w:firstLine="2090" w:firstLineChars="1100"/>
        <w:jc w:val="both"/>
        <w:rPr>
          <w:lang w:val="en-US"/>
        </w:rPr>
      </w:pPr>
      <w:r>
        <w:rPr>
          <w:rFonts w:hint="default" w:ascii="Times New Roman" w:hAnsi="Times New Roman" w:eastAsia="Times New Roman" w:cs="Times New Roman"/>
          <w:i/>
          <w:iCs w:val="0"/>
          <w:snapToGrid w:val="0"/>
          <w:color w:val="000000"/>
          <w:kern w:val="2"/>
          <w:sz w:val="19"/>
          <w:szCs w:val="22"/>
          <w:lang w:val="en-US" w:eastAsia="zh-CN" w:bidi="ar"/>
        </w:rPr>
        <w:t>(in millions, except per share data)</w:t>
      </w:r>
    </w:p>
    <w:p>
      <w:pPr>
        <w:spacing w:line="198" w:lineRule="auto"/>
        <w:rPr>
          <w:rFonts w:hint="default" w:eastAsia="宋体" w:cs="Arial"/>
          <w:b/>
          <w:bCs/>
          <w:spacing w:val="-1"/>
          <w:sz w:val="21"/>
          <w:szCs w:val="21"/>
          <w:lang w:val="en-US" w:eastAsia="zh-CN"/>
        </w:rPr>
      </w:pPr>
    </w:p>
    <w:p>
      <w:pPr>
        <w:spacing w:line="198" w:lineRule="auto"/>
        <w:rPr>
          <w:rFonts w:hint="default" w:eastAsia="宋体" w:cs="Arial"/>
          <w:b/>
          <w:bCs/>
          <w:spacing w:val="-1"/>
          <w:sz w:val="21"/>
          <w:szCs w:val="21"/>
          <w:lang w:val="en-US" w:eastAsia="zh-CN"/>
        </w:rPr>
      </w:pPr>
    </w:p>
    <w:p>
      <w:pPr>
        <w:spacing w:line="198" w:lineRule="auto"/>
      </w:pPr>
      <w:r>
        <w:drawing>
          <wp:inline distT="0" distB="0" distL="114300" distR="114300">
            <wp:extent cx="4650105" cy="3871595"/>
            <wp:effectExtent l="0" t="0" r="17145" b="1460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5"/>
                    <a:stretch>
                      <a:fillRect/>
                    </a:stretch>
                  </pic:blipFill>
                  <pic:spPr>
                    <a:xfrm>
                      <a:off x="0" y="0"/>
                      <a:ext cx="4650105" cy="3871595"/>
                    </a:xfrm>
                    <a:prstGeom prst="rect">
                      <a:avLst/>
                    </a:prstGeom>
                    <a:noFill/>
                    <a:ln>
                      <a:noFill/>
                    </a:ln>
                  </pic:spPr>
                </pic:pic>
              </a:graphicData>
            </a:graphic>
          </wp:inline>
        </w:drawing>
      </w:r>
    </w:p>
    <w:p>
      <w:pPr>
        <w:spacing w:line="198" w:lineRule="auto"/>
      </w:pPr>
    </w:p>
    <w:p>
      <w:pPr>
        <w:spacing w:line="198" w:lineRule="auto"/>
      </w:pPr>
    </w:p>
    <w:p>
      <w:pPr>
        <w:spacing w:line="198" w:lineRule="auto"/>
      </w:pPr>
    </w:p>
    <w:p>
      <w:pPr>
        <w:spacing w:line="198" w:lineRule="auto"/>
      </w:pP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10" w:right="33"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CONSOLIDATED BALANCE SHEETS</w:t>
      </w:r>
    </w:p>
    <w:p>
      <w:pPr>
        <w:keepNext w:val="0"/>
        <w:keepLines w:val="0"/>
        <w:widowControl/>
        <w:suppressLineNumbers w:val="0"/>
        <w:spacing w:before="0" w:beforeAutospacing="0" w:after="0" w:afterAutospacing="0" w:line="256" w:lineRule="auto"/>
        <w:ind w:left="0" w:right="34"/>
        <w:jc w:val="center"/>
        <w:rPr>
          <w:rFonts w:hint="default" w:ascii="Times New Roman" w:hAnsi="Times New Roman" w:eastAsia="Times New Roman" w:cs="Times New Roman"/>
          <w:i/>
          <w:iCs w:val="0"/>
          <w:snapToGrid w:val="0"/>
          <w:color w:val="000000"/>
          <w:kern w:val="2"/>
          <w:sz w:val="19"/>
          <w:szCs w:val="22"/>
          <w:lang w:val="en-US" w:eastAsia="zh-CN" w:bidi="ar"/>
        </w:rPr>
      </w:pPr>
      <w:r>
        <w:rPr>
          <w:rFonts w:hint="default" w:ascii="Times New Roman" w:hAnsi="Times New Roman" w:eastAsia="Times New Roman" w:cs="Times New Roman"/>
          <w:i/>
          <w:iCs w:val="0"/>
          <w:snapToGrid w:val="0"/>
          <w:color w:val="000000"/>
          <w:kern w:val="2"/>
          <w:sz w:val="19"/>
          <w:szCs w:val="22"/>
          <w:lang w:val="en-US" w:eastAsia="zh-CN" w:bidi="ar"/>
        </w:rPr>
        <w:t>(in millions, except per share data)</w:t>
      </w:r>
    </w:p>
    <w:p>
      <w:pPr>
        <w:keepNext w:val="0"/>
        <w:keepLines w:val="0"/>
        <w:widowControl/>
        <w:suppressLineNumbers w:val="0"/>
        <w:spacing w:before="0" w:beforeAutospacing="0" w:after="0" w:afterAutospacing="0" w:line="256" w:lineRule="auto"/>
        <w:ind w:left="0" w:right="34"/>
        <w:jc w:val="center"/>
        <w:rPr>
          <w:rFonts w:hint="default" w:ascii="Times New Roman" w:hAnsi="Times New Roman" w:eastAsia="Times New Roman" w:cs="Times New Roman"/>
          <w:i/>
          <w:iCs w:val="0"/>
          <w:snapToGrid w:val="0"/>
          <w:color w:val="000000"/>
          <w:kern w:val="2"/>
          <w:sz w:val="19"/>
          <w:szCs w:val="22"/>
          <w:lang w:val="en-US" w:eastAsia="zh-CN" w:bidi="ar"/>
        </w:rPr>
      </w:pPr>
    </w:p>
    <w:p>
      <w:pPr>
        <w:keepNext w:val="0"/>
        <w:keepLines w:val="0"/>
        <w:widowControl/>
        <w:suppressLineNumbers w:val="0"/>
        <w:spacing w:before="0" w:beforeAutospacing="0" w:after="34" w:afterAutospacing="0" w:line="256" w:lineRule="auto"/>
        <w:ind w:left="0" w:right="0"/>
        <w:jc w:val="left"/>
        <w:rPr>
          <w:lang w:val="en-US"/>
        </w:rPr>
      </w:pPr>
      <w:r>
        <w:rPr>
          <w:rFonts w:hint="default" w:ascii="Calibri" w:hAnsi="Calibri" w:eastAsia="Calibri" w:cs="Calibri"/>
          <w:snapToGrid w:val="0"/>
          <w:color w:val="000000"/>
          <w:kern w:val="2"/>
          <w:sz w:val="22"/>
          <w:szCs w:val="22"/>
          <w:lang w:val="en-US" w:eastAsia="zh-CN" w:bidi="ar"/>
        </w:rPr>
        <mc:AlternateContent>
          <mc:Choice Requires="wpg">
            <w:drawing>
              <wp:inline distT="0" distB="0" distL="114300" distR="114300">
                <wp:extent cx="4954270" cy="447675"/>
                <wp:effectExtent l="0" t="0" r="17780" b="9525"/>
                <wp:docPr id="17" name="Group 270003"/>
                <wp:cNvGraphicFramePr/>
                <a:graphic xmlns:a="http://schemas.openxmlformats.org/drawingml/2006/main">
                  <a:graphicData uri="http://schemas.microsoft.com/office/word/2010/wordprocessingGroup">
                    <wpg:wgp>
                      <wpg:cNvGrpSpPr/>
                      <wpg:grpSpPr>
                        <a:xfrm>
                          <a:off x="0" y="0"/>
                          <a:ext cx="4954264" cy="447717"/>
                          <a:chOff x="-162" y="0"/>
                          <a:chExt cx="63228" cy="4650"/>
                        </a:xfrm>
                      </wpg:grpSpPr>
                      <wps:wsp>
                        <wps:cNvPr id="3" name="Shape 279656"/>
                        <wps:cNvSpPr/>
                        <wps:spPr>
                          <a:xfrm>
                            <a:off x="-162" y="3080"/>
                            <a:ext cx="63066" cy="1570"/>
                          </a:xfrm>
                          <a:custGeom>
                            <a:avLst/>
                            <a:gdLst>
                              <a:gd name="txL" fmla="*/ 0 w 6306617"/>
                              <a:gd name="txT" fmla="*/ 0 h 156743"/>
                              <a:gd name="txR" fmla="*/ 6306617 w 6306617"/>
                              <a:gd name="txB" fmla="*/ 156743 h 156743"/>
                            </a:gdLst>
                            <a:ahLst/>
                            <a:cxnLst/>
                            <a:rect l="txL" t="txT" r="txR" b="txB"/>
                            <a:pathLst>
                              <a:path w="6306617" h="156743">
                                <a:moveTo>
                                  <a:pt x="0" y="0"/>
                                </a:moveTo>
                                <a:lnTo>
                                  <a:pt x="6306617" y="0"/>
                                </a:lnTo>
                                <a:lnTo>
                                  <a:pt x="6306617" y="156743"/>
                                </a:lnTo>
                                <a:lnTo>
                                  <a:pt x="0" y="156743"/>
                                </a:lnTo>
                                <a:lnTo>
                                  <a:pt x="0" y="0"/>
                                </a:lnTo>
                              </a:path>
                            </a:pathLst>
                          </a:custGeom>
                          <a:solidFill>
                            <a:srgbClr val="CDE0D8"/>
                          </a:solidFill>
                          <a:ln w="0">
                            <a:noFill/>
                          </a:ln>
                        </wps:spPr>
                        <wps:bodyPr wrap="square" upright="1"/>
                      </wps:wsp>
                      <wps:wsp>
                        <wps:cNvPr id="4" name="Shape 279657"/>
                        <wps:cNvSpPr/>
                        <wps:spPr>
                          <a:xfrm>
                            <a:off x="42505" y="0"/>
                            <a:ext cx="10050" cy="2489"/>
                          </a:xfrm>
                          <a:custGeom>
                            <a:avLst/>
                            <a:gdLst>
                              <a:gd name="txL" fmla="*/ 0 w 1005002"/>
                              <a:gd name="txT" fmla="*/ 0 h 248945"/>
                              <a:gd name="txR" fmla="*/ 1005002 w 1005002"/>
                              <a:gd name="txB" fmla="*/ 248945 h 248945"/>
                            </a:gdLst>
                            <a:ahLst/>
                            <a:cxnLst/>
                            <a:rect l="txL" t="txT" r="txR" b="txB"/>
                            <a:pathLst>
                              <a:path w="1005002" h="248945">
                                <a:moveTo>
                                  <a:pt x="0" y="0"/>
                                </a:moveTo>
                                <a:lnTo>
                                  <a:pt x="1005002" y="0"/>
                                </a:lnTo>
                                <a:lnTo>
                                  <a:pt x="1005002" y="248945"/>
                                </a:lnTo>
                                <a:lnTo>
                                  <a:pt x="0" y="248945"/>
                                </a:lnTo>
                                <a:lnTo>
                                  <a:pt x="0" y="0"/>
                                </a:lnTo>
                              </a:path>
                            </a:pathLst>
                          </a:custGeom>
                          <a:solidFill>
                            <a:srgbClr val="00613F"/>
                          </a:solidFill>
                          <a:ln w="0">
                            <a:noFill/>
                          </a:ln>
                        </wps:spPr>
                        <wps:bodyPr wrap="square" upright="1"/>
                      </wps:wsp>
                      <wps:wsp>
                        <wps:cNvPr id="5" name="Shape 279658"/>
                        <wps:cNvSpPr/>
                        <wps:spPr>
                          <a:xfrm>
                            <a:off x="53016" y="0"/>
                            <a:ext cx="10050" cy="2489"/>
                          </a:xfrm>
                          <a:custGeom>
                            <a:avLst/>
                            <a:gdLst>
                              <a:gd name="txL" fmla="*/ 0 w 1005002"/>
                              <a:gd name="txT" fmla="*/ 0 h 248945"/>
                              <a:gd name="txR" fmla="*/ 1005002 w 1005002"/>
                              <a:gd name="txB" fmla="*/ 248945 h 248945"/>
                            </a:gdLst>
                            <a:ahLst/>
                            <a:cxnLst/>
                            <a:rect l="txL" t="txT" r="txR" b="txB"/>
                            <a:pathLst>
                              <a:path w="1005002" h="248945">
                                <a:moveTo>
                                  <a:pt x="0" y="0"/>
                                </a:moveTo>
                                <a:lnTo>
                                  <a:pt x="1005002" y="0"/>
                                </a:lnTo>
                                <a:lnTo>
                                  <a:pt x="1005002" y="248945"/>
                                </a:lnTo>
                                <a:lnTo>
                                  <a:pt x="0" y="248945"/>
                                </a:lnTo>
                                <a:lnTo>
                                  <a:pt x="0" y="0"/>
                                </a:lnTo>
                              </a:path>
                            </a:pathLst>
                          </a:custGeom>
                          <a:solidFill>
                            <a:srgbClr val="00613F"/>
                          </a:solidFill>
                          <a:ln w="0">
                            <a:noFill/>
                          </a:ln>
                        </wps:spPr>
                        <wps:bodyPr wrap="square" upright="1"/>
                      </wps:wsp>
                      <wps:wsp>
                        <wps:cNvPr id="6" name="Rectangle 4866"/>
                        <wps:cNvSpPr/>
                        <wps:spPr>
                          <a:xfrm>
                            <a:off x="46274" y="233"/>
                            <a:ext cx="3342" cy="1449"/>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Oct 3,</w:t>
                              </w:r>
                            </w:p>
                          </w:txbxContent>
                        </wps:txbx>
                        <wps:bodyPr wrap="square" lIns="0" tIns="0" rIns="0" bIns="0" upright="1"/>
                      </wps:wsp>
                      <wps:wsp>
                        <wps:cNvPr id="7" name="Rectangle 4867"/>
                        <wps:cNvSpPr/>
                        <wps:spPr>
                          <a:xfrm>
                            <a:off x="46545" y="1217"/>
                            <a:ext cx="2616" cy="1448"/>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2021</w:t>
                              </w:r>
                            </w:p>
                          </w:txbxContent>
                        </wps:txbx>
                        <wps:bodyPr wrap="square" lIns="0" tIns="0" rIns="0" bIns="0" upright="1"/>
                      </wps:wsp>
                      <wps:wsp>
                        <wps:cNvPr id="8" name="Rectangle 4868"/>
                        <wps:cNvSpPr/>
                        <wps:spPr>
                          <a:xfrm>
                            <a:off x="56539" y="233"/>
                            <a:ext cx="3994" cy="1449"/>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Sep 27,</w:t>
                              </w:r>
                            </w:p>
                          </w:txbxContent>
                        </wps:txbx>
                        <wps:bodyPr wrap="square" lIns="0" tIns="0" rIns="0" bIns="0" upright="1"/>
                      </wps:wsp>
                      <wps:wsp>
                        <wps:cNvPr id="9" name="Rectangle 4869"/>
                        <wps:cNvSpPr/>
                        <wps:spPr>
                          <a:xfrm>
                            <a:off x="57056" y="1217"/>
                            <a:ext cx="2616" cy="1448"/>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2020</w:t>
                              </w:r>
                            </w:p>
                          </w:txbxContent>
                        </wps:txbx>
                        <wps:bodyPr wrap="square" lIns="0" tIns="0" rIns="0" bIns="0" upright="1"/>
                      </wps:wsp>
                      <wps:wsp>
                        <wps:cNvPr id="10" name="Rectangle 4870"/>
                        <wps:cNvSpPr/>
                        <wps:spPr>
                          <a:xfrm>
                            <a:off x="18964" y="2687"/>
                            <a:ext cx="6085" cy="1810"/>
                          </a:xfrm>
                          <a:prstGeom prst="rect">
                            <a:avLst/>
                          </a:prstGeom>
                          <a:noFill/>
                          <a:ln>
                            <a:noFill/>
                          </a:ln>
                        </wps:spPr>
                        <wps:txbx>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9"/>
                                  <w:szCs w:val="22"/>
                                  <w:lang w:val="en-US" w:eastAsia="zh-CN" w:bidi="ar"/>
                                </w:rPr>
                                <w:t>ASSETS</w:t>
                              </w:r>
                            </w:p>
                          </w:txbxContent>
                        </wps:txbx>
                        <wps:bodyPr wrap="square" lIns="0" tIns="0" rIns="0" bIns="0" upright="1"/>
                      </wps:wsp>
                      <wps:wsp>
                        <wps:cNvPr id="11" name="Shape 4981"/>
                        <wps:cNvSpPr/>
                        <wps:spPr>
                          <a:xfrm>
                            <a:off x="42505" y="2489"/>
                            <a:ext cx="10050" cy="0"/>
                          </a:xfrm>
                          <a:custGeom>
                            <a:avLst/>
                            <a:gdLst>
                              <a:gd name="txL" fmla="*/ 0 w 1005002"/>
                              <a:gd name="txT" fmla="*/ 0 h 0"/>
                              <a:gd name="txR" fmla="*/ 1005002 w 1005002"/>
                              <a:gd name="txB" fmla="*/ 0 h 0"/>
                            </a:gdLst>
                            <a:ahLst/>
                            <a:cxnLst/>
                            <a:rect l="txL" t="txT" r="txR" b="txB"/>
                            <a:pathLst>
                              <a:path w="1005002">
                                <a:moveTo>
                                  <a:pt x="0" y="0"/>
                                </a:moveTo>
                                <a:lnTo>
                                  <a:pt x="1005002" y="0"/>
                                </a:lnTo>
                              </a:path>
                            </a:pathLst>
                          </a:custGeom>
                          <a:noFill/>
                          <a:ln w="12294" cap="flat" cmpd="sng">
                            <a:solidFill>
                              <a:srgbClr val="181717"/>
                            </a:solidFill>
                            <a:prstDash val="solid"/>
                            <a:miter lim="1018167297"/>
                            <a:headEnd type="none" w="med" len="med"/>
                            <a:tailEnd type="none" w="med" len="med"/>
                          </a:ln>
                        </wps:spPr>
                        <wps:bodyPr wrap="square" upright="1"/>
                      </wps:wsp>
                      <wps:wsp>
                        <wps:cNvPr id="14" name="Shape 4983"/>
                        <wps:cNvSpPr/>
                        <wps:spPr>
                          <a:xfrm>
                            <a:off x="53016" y="2489"/>
                            <a:ext cx="10050" cy="0"/>
                          </a:xfrm>
                          <a:custGeom>
                            <a:avLst/>
                            <a:gdLst>
                              <a:gd name="txL" fmla="*/ 0 w 1005002"/>
                              <a:gd name="txT" fmla="*/ 0 h 0"/>
                              <a:gd name="txR" fmla="*/ 1005002 w 1005002"/>
                              <a:gd name="txB" fmla="*/ 0 h 0"/>
                            </a:gdLst>
                            <a:ahLst/>
                            <a:cxnLst/>
                            <a:rect l="txL" t="txT" r="txR" b="txB"/>
                            <a:pathLst>
                              <a:path w="1005002">
                                <a:moveTo>
                                  <a:pt x="0" y="0"/>
                                </a:moveTo>
                                <a:lnTo>
                                  <a:pt x="1005002" y="0"/>
                                </a:lnTo>
                              </a:path>
                            </a:pathLst>
                          </a:custGeom>
                          <a:noFill/>
                          <a:ln w="12294" cap="flat" cmpd="sng">
                            <a:solidFill>
                              <a:srgbClr val="181717"/>
                            </a:solidFill>
                            <a:prstDash val="solid"/>
                            <a:miter lim="1018167297"/>
                            <a:headEnd type="none" w="med" len="med"/>
                            <a:tailEnd type="none" w="med" len="med"/>
                          </a:ln>
                        </wps:spPr>
                        <wps:bodyPr wrap="square" upright="1"/>
                      </wps:wsp>
                    </wpg:wgp>
                  </a:graphicData>
                </a:graphic>
              </wp:inline>
            </w:drawing>
          </mc:Choice>
          <mc:Fallback>
            <w:pict>
              <v:group id="Group 270003" o:spid="_x0000_s1026" o:spt="203" style="height:35.25pt;width:390.1pt;" coordorigin="-162,0" coordsize="63228,4650" o:gfxdata="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">
                <o:lock v:ext="edit" aspectratio="f"/>
                <v:shape id="Shape 279656" o:spid="_x0000_s1026" o:spt="100" style="position:absolute;left:-162;top:3080;height:1570;width:63066;" fillcolor="#CDE0D8" filled="t" stroked="f" coordsize="6306617,156743" o:gfxdata="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5gE3f7sAAADa&#10;AAAADwAAAAAAAAABACAAAAAiAAAAZHJzL2Rvd25yZXYueG1sUEsBAhQAFAAAAAgAh07iQDMvBZ47&#10;AAAAOQAAABAAAAAAAAAAAQAgAAAACgEAAGRycy9zaGFwZXhtbC54bWxQSwUGAAAAAAYABgBbAQAA&#10;tAMAAAAA&#10;" path="m0,0l6306617,0,6306617,156743,0,156743,0,0e">
                  <v:fill on="t" focussize="0,0"/>
                  <v:stroke on="f" weight="0pt"/>
                  <v:imagedata o:title=""/>
                  <o:lock v:ext="edit" aspectratio="f"/>
                </v:shape>
                <v:shape id="Shape 279657" o:spid="_x0000_s1026" o:spt="100" style="position:absolute;left:42505;top:0;height:2489;width:10050;" fillcolor="#00613F" filled="t" stroked="f" coordsize="1005002,248945" o:gfxdata="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iU4DxvQAA&#10;ANoAAAAPAAAAAAAAAAEAIAAAACIAAABkcnMvZG93bnJldi54bWxQSwECFAAUAAAACACHTuJAMy8F&#10;njsAAAA5AAAAEAAAAAAAAAABACAAAAAMAQAAZHJzL3NoYXBleG1sLnhtbFBLBQYAAAAABgAGAFsB&#10;AAC2AwAAAAA=&#10;" path="m0,0l1005002,0,1005002,248945,0,248945,0,0e">
                  <v:fill on="t" focussize="0,0"/>
                  <v:stroke on="f" weight="0pt"/>
                  <v:imagedata o:title=""/>
                  <o:lock v:ext="edit" aspectratio="f"/>
                </v:shape>
                <v:shape id="Shape 279658" o:spid="_x0000_s1026" o:spt="100" style="position:absolute;left:53016;top:0;height:2489;width:10050;" fillcolor="#00613F" filled="t" stroked="f" coordsize="1005002,248945" o:gfxdata="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HyVqvQAA&#10;ANoAAAAPAAAAAAAAAAEAIAAAACIAAABkcnMvZG93bnJldi54bWxQSwECFAAUAAAACACHTuJAMy8F&#10;njsAAAA5AAAAEAAAAAAAAAABACAAAAAMAQAAZHJzL3NoYXBleG1sLnhtbFBLBQYAAAAABgAGAFsB&#10;AAC2AwAAAAA=&#10;" path="m0,0l1005002,0,1005002,248945,0,248945,0,0e">
                  <v:fill on="t" focussize="0,0"/>
                  <v:stroke on="f" weight="0pt"/>
                  <v:imagedata o:title=""/>
                  <o:lock v:ext="edit" aspectratio="f"/>
                </v:shape>
                <v:rect id="Rectangle 4866" o:spid="_x0000_s1026" o:spt="1" style="position:absolute;left:46274;top:233;height:1449;width:3342;" filled="f" stroked="f" coordsize="21600,21600" o:gfxdata="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kILC5r4A&#10;AADa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Oct 3,</w:t>
                        </w:r>
                      </w:p>
                    </w:txbxContent>
                  </v:textbox>
                </v:rect>
                <v:rect id="Rectangle 4867" o:spid="_x0000_s1026" o:spt="1" style="position:absolute;left:46545;top:1217;height:1448;width:2616;" filled="f" stroked="f" coordsize="21600,21600" o:gfxdata="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md9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2021</w:t>
                        </w:r>
                      </w:p>
                    </w:txbxContent>
                  </v:textbox>
                </v:rect>
                <v:rect id="Rectangle 4868" o:spid="_x0000_s1026" o:spt="1" style="position:absolute;left:56539;top:233;height:1449;width:3994;" filled="f" stroked="f" coordsize="21600,21600" o:gfxdata="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I5R8w+2AAAA2gAAAA8A&#10;AAAAAAAAAQAgAAAAIgAAAGRycy9kb3ducmV2LnhtbFBLAQIUABQAAAAIAIdO4kAzLwWeOwAAADkA&#10;AAAQAAAAAAAAAAEAIAAAAAUBAABkcnMvc2hhcGV4bWwueG1sUEsFBgAAAAAGAAYAWwEAAK8DAAAA&#10;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Sep 27,</w:t>
                        </w:r>
                      </w:p>
                    </w:txbxContent>
                  </v:textbox>
                </v:rect>
                <v:rect id="Rectangle 4869" o:spid="_x0000_s1026" o:spt="1" style="position:absolute;left:57056;top:1217;height:1448;width:2616;" filled="f" stroked="f" coordsize="21600,21600" o:gfxdata="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hHVaUvQAA&#10;ANo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5"/>
                            <w:szCs w:val="22"/>
                            <w:lang w:val="en-US" w:eastAsia="zh-CN" w:bidi="ar"/>
                          </w:rPr>
                          <w:t>2020</w:t>
                        </w:r>
                      </w:p>
                    </w:txbxContent>
                  </v:textbox>
                </v:rect>
                <v:rect id="Rectangle 4870" o:spid="_x0000_s1026" o:spt="1" style="position:absolute;left:18964;top:2687;height:1810;width:6085;" filled="f" stroked="f" coordsize="21600,21600" o:gfxdata="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hD74A&#10;AADb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keepNext w:val="0"/>
                          <w:keepLines w:val="0"/>
                          <w:widowControl/>
                          <w:suppressLineNumbers w:val="0"/>
                          <w:spacing w:before="0" w:beforeAutospacing="0" w:after="160" w:afterAutospacing="0" w:line="256" w:lineRule="auto"/>
                          <w:ind w:left="0" w:right="0"/>
                          <w:jc w:val="left"/>
                          <w:rPr>
                            <w:lang w:val="en-US"/>
                          </w:rPr>
                        </w:pPr>
                        <w:r>
                          <w:rPr>
                            <w:rFonts w:hint="default" w:ascii="Times New Roman" w:hAnsi="Times New Roman" w:eastAsia="Times New Roman" w:cs="Times New Roman"/>
                            <w:b/>
                            <w:bCs w:val="0"/>
                            <w:snapToGrid w:val="0"/>
                            <w:color w:val="000000"/>
                            <w:kern w:val="2"/>
                            <w:sz w:val="19"/>
                            <w:szCs w:val="22"/>
                            <w:lang w:val="en-US" w:eastAsia="zh-CN" w:bidi="ar"/>
                          </w:rPr>
                          <w:t>ASSETS</w:t>
                        </w:r>
                      </w:p>
                    </w:txbxContent>
                  </v:textbox>
                </v:rect>
                <v:shape id="Shape 4981" o:spid="_x0000_s1026" o:spt="100" style="position:absolute;left:42505;top:2489;height:0;width:10050;" filled="f" stroked="t" coordsize="1005002,1" o:gfxdata="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2qYWUugAAANsA&#10;AAAPAAAAAAAAAAEAIAAAACIAAABkcnMvZG93bnJldi54bWxQSwECFAAUAAAACACHTuJAMy8FnjsA&#10;AAA5AAAAEAAAAAAAAAABACAAAAAJAQAAZHJzL3NoYXBleG1sLnhtbFBLBQYAAAAABgAGAFsBAACz&#10;AwAAAAA=&#10;" path="m0,0l1005002,0e">
                  <v:fill on="f" focussize="0,0"/>
                  <v:stroke weight="0.968031496062992pt" color="#181717" miterlimit="10181" joinstyle="miter"/>
                  <v:imagedata o:title=""/>
                  <o:lock v:ext="edit" aspectratio="f"/>
                </v:shape>
                <v:shape id="Shape 4983" o:spid="_x0000_s1026" o:spt="100" style="position:absolute;left:53016;top:2489;height:0;width:10050;" filled="f" stroked="t" coordsize="1005002,1" o:gfxdata="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beJgy8AAAA&#10;2wAAAA8AAAAAAAAAAQAgAAAAIgAAAGRycy9kb3ducmV2LnhtbFBLAQIUABQAAAAIAIdO4kAzLwWe&#10;OwAAADkAAAAQAAAAAAAAAAEAIAAAAAsBAABkcnMvc2hhcGV4bWwueG1sUEsFBgAAAAAGAAYAWwEA&#10;ALUDAAAAAA==&#10;" path="m0,0l1005002,0e">
                  <v:fill on="f" focussize="0,0"/>
                  <v:stroke weight="0.968031496062992pt" color="#181717" miterlimit="10181" joinstyle="miter"/>
                  <v:imagedata o:title=""/>
                  <o:lock v:ext="edit" aspectratio="f"/>
                </v:shape>
                <w10:wrap type="none"/>
                <w10:anchorlock/>
              </v:group>
            </w:pict>
          </mc:Fallback>
        </mc:AlternateContent>
      </w:r>
    </w:p>
    <w:p>
      <w:pPr>
        <w:keepNext w:val="0"/>
        <w:keepLines w:val="0"/>
        <w:widowControl/>
        <w:suppressLineNumbers w:val="0"/>
        <w:spacing w:before="0" w:beforeAutospacing="0" w:after="0" w:afterAutospacing="0" w:line="256" w:lineRule="auto"/>
        <w:ind w:left="51" w:right="0"/>
        <w:jc w:val="left"/>
        <w:rPr>
          <w:lang w:val="en-US"/>
        </w:rPr>
      </w:pPr>
      <w:r>
        <w:rPr>
          <w:rFonts w:hint="default" w:ascii="Times New Roman" w:hAnsi="Times New Roman" w:eastAsia="Times New Roman" w:cs="Times New Roman"/>
          <w:snapToGrid w:val="0"/>
          <w:color w:val="000000"/>
          <w:kern w:val="2"/>
          <w:sz w:val="19"/>
          <w:szCs w:val="22"/>
          <w:lang w:val="en-US" w:eastAsia="zh-CN" w:bidi="ar"/>
        </w:rPr>
        <w:t>Current assets:</w:t>
      </w:r>
    </w:p>
    <w:tbl>
      <w:tblPr>
        <w:tblStyle w:val="14"/>
        <w:tblW w:w="77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4" w:type="dxa"/>
          <w:left w:w="0" w:type="dxa"/>
          <w:bottom w:w="1" w:type="dxa"/>
          <w:right w:w="0" w:type="dxa"/>
        </w:tblCellMar>
      </w:tblPr>
      <w:tblGrid>
        <w:gridCol w:w="5253"/>
        <w:gridCol w:w="422"/>
        <w:gridCol w:w="907"/>
        <w:gridCol w:w="391"/>
        <w:gridCol w:w="80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Cash and cash equivalents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6,455.7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4,350.9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Short-term investments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162.2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281.2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Accounts receivable,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940.0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883.4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Inventories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1,603.9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1,551.4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Prepaid expenses and other current assets</w:t>
            </w:r>
          </w:p>
        </w:tc>
        <w:tc>
          <w:tcPr>
            <w:tcW w:w="42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594.6 </w:t>
            </w:r>
          </w:p>
        </w:tc>
        <w:tc>
          <w:tcPr>
            <w:tcW w:w="39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current assets</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9,756.4 </w:t>
            </w: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7,806.4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Long-term investments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281.7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206.1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Equity investments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268.5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478.7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Property, plant and equipment,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6,369.5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6,241.4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Operating lease, right-of-use asset</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8,236.0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8,134.1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Deferred income taxes, net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1,874.8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1,789.9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long-term assets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578.5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568.6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intangible assets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349.9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552.1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Goodwill</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3,677.3 </w:t>
            </w:r>
          </w:p>
        </w:tc>
        <w:tc>
          <w:tcPr>
            <w:tcW w:w="39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3,597.2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96"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ASSETS</w:t>
            </w:r>
          </w:p>
        </w:tc>
        <w:tc>
          <w:tcPr>
            <w:tcW w:w="42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71"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31,392.6 </w:t>
            </w:r>
          </w:p>
        </w:tc>
        <w:tc>
          <w:tcPr>
            <w:tcW w:w="394"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0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29,374.5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409"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0" w:right="51"/>
              <w:jc w:val="center"/>
              <w:rPr>
                <w:rFonts w:hint="eastAsia"/>
                <w:lang w:val="en-US"/>
              </w:rPr>
            </w:pPr>
            <w:r>
              <w:rPr>
                <w:rFonts w:hint="default" w:ascii="Times New Roman" w:hAnsi="Times New Roman" w:eastAsia="Times New Roman" w:cs="Times New Roman"/>
                <w:b/>
                <w:bCs w:val="0"/>
                <w:snapToGrid w:val="0"/>
                <w:color w:val="000000"/>
                <w:kern w:val="2"/>
                <w:sz w:val="19"/>
                <w:szCs w:val="22"/>
                <w:lang w:val="en-US" w:eastAsia="zh-CN" w:bidi="ar"/>
              </w:rPr>
              <w:t>LIABILITIES AND SHAREHOLDERS' EQUITY/(DEFICIT)</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383"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liabilities:</w:t>
            </w:r>
          </w:p>
        </w:tc>
        <w:tc>
          <w:tcPr>
            <w:tcW w:w="425"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Accounts payable</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1,211.6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997.9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Accrued liabilities</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1,973.2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1,160.7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Accrued payroll and benefits</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772.3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696.0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Income taxes payable</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348.0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98.2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portion of operating lease liability</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1,251.3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1,248.8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Stored value card liability and current portion of deferred revenue </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1,596.1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1,456.5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Short-term debt</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717"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438.8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Current portion of long-term debt</w:t>
            </w:r>
          </w:p>
        </w:tc>
        <w:tc>
          <w:tcPr>
            <w:tcW w:w="42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998.9 </w:t>
            </w:r>
          </w:p>
        </w:tc>
        <w:tc>
          <w:tcPr>
            <w:tcW w:w="39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1,249.9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current liabilities</w:t>
            </w:r>
          </w:p>
        </w:tc>
        <w:tc>
          <w:tcPr>
            <w:tcW w:w="42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8,151.4 </w:t>
            </w:r>
          </w:p>
        </w:tc>
        <w:tc>
          <w:tcPr>
            <w:tcW w:w="394"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7,346.8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Long-term debt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13,616.9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14,659.6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Operating lease liability</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7,738.0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7,661.7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Deferred revenue </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top"/>
          </w:tcPr>
          <w:p>
            <w:pPr>
              <w:keepNext w:val="0"/>
              <w:keepLines w:val="0"/>
              <w:widowControl/>
              <w:suppressLineNumbers w:val="0"/>
              <w:spacing w:before="0" w:beforeAutospacing="0" w:after="0" w:afterAutospacing="0" w:line="256" w:lineRule="auto"/>
              <w:ind w:left="32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6,463.0 </w:t>
            </w:r>
          </w:p>
        </w:tc>
        <w:tc>
          <w:tcPr>
            <w:tcW w:w="39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6,598.5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Other long-term liabilities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737.8 </w:t>
            </w:r>
          </w:p>
        </w:tc>
        <w:tc>
          <w:tcPr>
            <w:tcW w:w="39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907.3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liabilities</w:t>
            </w:r>
          </w:p>
        </w:tc>
        <w:tc>
          <w:tcPr>
            <w:tcW w:w="42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30" w:right="0"/>
              <w:jc w:val="center"/>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36,707.1 </w:t>
            </w:r>
          </w:p>
        </w:tc>
        <w:tc>
          <w:tcPr>
            <w:tcW w:w="39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37,173.9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383"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Shareholders’ deficit:</w:t>
            </w:r>
          </w:p>
        </w:tc>
        <w:tc>
          <w:tcPr>
            <w:tcW w:w="425"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71"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394"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c>
          <w:tcPr>
            <w:tcW w:w="805"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428"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Common stock ($0.001 par value) — authorized, 2,400.0 shares; issued and outstanding, 1,180.0 and 1,173.3 shares, respectively</w:t>
            </w:r>
          </w:p>
        </w:tc>
        <w:tc>
          <w:tcPr>
            <w:tcW w:w="425" w:type="dxa"/>
            <w:shd w:val="clear" w:color="auto" w:fill="CDE0D8"/>
            <w:vAlign w:val="bottom"/>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CDE0D8"/>
            <w:vAlign w:val="bottom"/>
          </w:tcPr>
          <w:p>
            <w:pPr>
              <w:keepNext w:val="0"/>
              <w:keepLines w:val="0"/>
              <w:widowControl/>
              <w:suppressLineNumbers w:val="0"/>
              <w:spacing w:before="0" w:beforeAutospacing="0" w:after="0" w:afterAutospacing="0" w:line="256" w:lineRule="auto"/>
              <w:ind w:left="66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 </w:t>
            </w:r>
          </w:p>
        </w:tc>
        <w:tc>
          <w:tcPr>
            <w:tcW w:w="394" w:type="dxa"/>
            <w:shd w:val="clear" w:color="auto" w:fill="CDE0D8"/>
            <w:vAlign w:val="bottom"/>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CDE0D8"/>
            <w:vAlign w:val="bottom"/>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1.2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Additional paid-in capital</w:t>
            </w: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71" w:type="dxa"/>
            <w:shd w:val="clear" w:color="auto" w:fill="FFFEFD"/>
            <w:vAlign w:val="top"/>
          </w:tcPr>
          <w:p>
            <w:pPr>
              <w:keepNext w:val="0"/>
              <w:keepLines w:val="0"/>
              <w:widowControl/>
              <w:suppressLineNumbers w:val="0"/>
              <w:spacing w:before="0" w:beforeAutospacing="0" w:after="0" w:afterAutospacing="0" w:line="256" w:lineRule="auto"/>
              <w:ind w:left="47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846.1 </w:t>
            </w:r>
          </w:p>
        </w:tc>
        <w:tc>
          <w:tcPr>
            <w:tcW w:w="39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373.9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Retained deficit</w:t>
            </w: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(6,315.7)  </w:t>
            </w:r>
          </w:p>
        </w:tc>
        <w:tc>
          <w:tcPr>
            <w:tcW w:w="805"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(7,815.6)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Accumulated other comprehensive income/(loss)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nil"/>
              <w:left w:val="nil"/>
              <w:bottom w:val="single" w:color="181717" w:sz="8" w:space="0"/>
              <w:right w:val="nil"/>
            </w:tcBorders>
            <w:shd w:val="clear" w:color="auto" w:fill="FFFEFD"/>
            <w:vAlign w:val="top"/>
          </w:tcPr>
          <w:p>
            <w:pPr>
              <w:keepNext w:val="0"/>
              <w:keepLines w:val="0"/>
              <w:widowControl/>
              <w:suppressLineNumbers w:val="0"/>
              <w:tabs>
                <w:tab w:val="center" w:pos="692"/>
                <w:tab w:val="center" w:pos="1113"/>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147.2 </w:t>
            </w:r>
            <w:r>
              <w:rPr>
                <w:rFonts w:hint="default" w:ascii="Times New Roman" w:hAnsi="Times New Roman" w:eastAsia="Times New Roman" w:cs="Times New Roman"/>
                <w:snapToGrid w:val="0"/>
                <w:color w:val="000000"/>
                <w:kern w:val="2"/>
                <w:sz w:val="19"/>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(364.6)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shareholders’ deficit</w:t>
            </w:r>
          </w:p>
        </w:tc>
        <w:tc>
          <w:tcPr>
            <w:tcW w:w="42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(5,321.2)  </w:t>
            </w:r>
          </w:p>
        </w:tc>
        <w:tc>
          <w:tcPr>
            <w:tcW w:w="805"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(7,805.1)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50"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399"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Noncontrolling interests</w:t>
            </w:r>
          </w:p>
        </w:tc>
        <w:tc>
          <w:tcPr>
            <w:tcW w:w="42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nil"/>
              <w:left w:val="nil"/>
              <w:bottom w:val="single" w:color="181717" w:sz="8" w:space="0"/>
              <w:right w:val="nil"/>
            </w:tcBorders>
            <w:shd w:val="clear" w:color="auto" w:fill="FFFEFD"/>
            <w:vAlign w:val="top"/>
          </w:tcPr>
          <w:p>
            <w:pPr>
              <w:keepNext w:val="0"/>
              <w:keepLines w:val="0"/>
              <w:widowControl/>
              <w:suppressLineNumbers w:val="0"/>
              <w:tabs>
                <w:tab w:val="center" w:pos="789"/>
                <w:tab w:val="center" w:pos="1113"/>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6.7 </w:t>
            </w:r>
            <w:r>
              <w:rPr>
                <w:rFonts w:hint="default" w:ascii="Times New Roman" w:hAnsi="Times New Roman" w:eastAsia="Times New Roman" w:cs="Times New Roman"/>
                <w:snapToGrid w:val="0"/>
                <w:color w:val="000000"/>
                <w:kern w:val="2"/>
                <w:sz w:val="19"/>
                <w:szCs w:val="22"/>
                <w:lang w:val="en-US" w:eastAsia="zh-CN" w:bidi="ar"/>
              </w:rPr>
              <w:tab/>
            </w: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805"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285" w:hRule="atLeast"/>
        </w:trPr>
        <w:tc>
          <w:tcPr>
            <w:tcW w:w="5283" w:type="dxa"/>
            <w:shd w:val="clear" w:color="auto" w:fill="CDE0D8"/>
            <w:vAlign w:val="top"/>
          </w:tcPr>
          <w:p>
            <w:pPr>
              <w:keepNext w:val="0"/>
              <w:keepLines w:val="0"/>
              <w:widowControl/>
              <w:suppressLineNumbers w:val="0"/>
              <w:spacing w:before="0" w:beforeAutospacing="0" w:after="0" w:afterAutospacing="0" w:line="256" w:lineRule="auto"/>
              <w:ind w:left="748"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deficit</w:t>
            </w:r>
          </w:p>
        </w:tc>
        <w:tc>
          <w:tcPr>
            <w:tcW w:w="42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 </w:t>
            </w:r>
          </w:p>
        </w:tc>
        <w:tc>
          <w:tcPr>
            <w:tcW w:w="1265" w:type="dxa"/>
            <w:gridSpan w:val="2"/>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265"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(5,314.5)  </w:t>
            </w:r>
          </w:p>
        </w:tc>
        <w:tc>
          <w:tcPr>
            <w:tcW w:w="805" w:type="dxa"/>
            <w:tcBorders>
              <w:top w:val="single" w:color="181717" w:sz="8" w:space="0"/>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 xml:space="preserve">(7,799.4)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4" w:type="dxa"/>
            <w:left w:w="0" w:type="dxa"/>
            <w:bottom w:w="1" w:type="dxa"/>
            <w:right w:w="0" w:type="dxa"/>
          </w:tblCellMar>
        </w:tblPrEx>
        <w:trPr>
          <w:trHeight w:val="306" w:hRule="atLeast"/>
        </w:trPr>
        <w:tc>
          <w:tcPr>
            <w:tcW w:w="5283"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lang w:val="en-US"/>
              </w:rPr>
            </w:pPr>
            <w:r>
              <w:rPr>
                <w:rFonts w:hint="default" w:ascii="Times New Roman" w:hAnsi="Times New Roman" w:eastAsia="Times New Roman" w:cs="Times New Roman"/>
                <w:snapToGrid w:val="0"/>
                <w:color w:val="000000"/>
                <w:kern w:val="2"/>
                <w:sz w:val="19"/>
                <w:szCs w:val="22"/>
                <w:lang w:val="en-US" w:eastAsia="zh-CN" w:bidi="ar"/>
              </w:rPr>
              <w:t>TOTAL LIABILITIES AND SHAREHOLDERS’ EQUITY/(DEFICIT)</w:t>
            </w:r>
          </w:p>
        </w:tc>
        <w:tc>
          <w:tcPr>
            <w:tcW w:w="425"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1265" w:type="dxa"/>
            <w:gridSpan w:val="2"/>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71"/>
                <w:tab w:val="center" w:pos="1161"/>
              </w:tabs>
              <w:spacing w:before="0" w:beforeAutospacing="0" w:after="0" w:afterAutospacing="0" w:line="256" w:lineRule="auto"/>
              <w:ind w:left="0" w:right="0"/>
              <w:jc w:val="left"/>
              <w:rPr>
                <w:rFonts w:hint="eastAsia"/>
                <w:lang w:val="en-US"/>
              </w:rPr>
            </w:pPr>
            <w:r>
              <w:rPr>
                <w:rFonts w:hint="default" w:ascii="Calibri" w:hAnsi="Calibri" w:eastAsia="Calibri" w:cs="Calibri"/>
                <w:snapToGrid w:val="0"/>
                <w:color w:val="000000"/>
                <w:kern w:val="2"/>
                <w:sz w:val="22"/>
                <w:szCs w:val="22"/>
                <w:lang w:val="en-US" w:eastAsia="zh-CN" w:bidi="ar"/>
              </w:rPr>
              <w:tab/>
            </w:r>
            <w:r>
              <w:rPr>
                <w:rFonts w:hint="default" w:ascii="Times New Roman" w:hAnsi="Times New Roman" w:eastAsia="Times New Roman" w:cs="Times New Roman"/>
                <w:snapToGrid w:val="0"/>
                <w:color w:val="000000"/>
                <w:kern w:val="2"/>
                <w:sz w:val="19"/>
                <w:szCs w:val="22"/>
                <w:u w:val="single" w:color="181717"/>
                <w:lang w:val="en-US" w:eastAsia="zh-CN" w:bidi="ar"/>
              </w:rPr>
              <w:t xml:space="preserve">31,392.6 </w:t>
            </w:r>
            <w:r>
              <w:rPr>
                <w:rFonts w:hint="default" w:ascii="Times New Roman" w:hAnsi="Times New Roman" w:eastAsia="Times New Roman" w:cs="Times New Roman"/>
                <w:snapToGrid w:val="0"/>
                <w:color w:val="000000"/>
                <w:kern w:val="2"/>
                <w:sz w:val="19"/>
                <w:szCs w:val="22"/>
                <w:u w:val="single" w:color="181717"/>
                <w:lang w:val="en-US" w:eastAsia="zh-CN" w:bidi="ar"/>
              </w:rPr>
              <w:tab/>
            </w:r>
            <w:r>
              <w:rPr>
                <w:rFonts w:hint="default" w:ascii="Times New Roman" w:hAnsi="Times New Roman" w:eastAsia="Times New Roman" w:cs="Times New Roman"/>
                <w:snapToGrid w:val="0"/>
                <w:color w:val="000000"/>
                <w:kern w:val="2"/>
                <w:sz w:val="19"/>
                <w:szCs w:val="22"/>
                <w:u w:val="single" w:color="181717"/>
                <w:lang w:val="en-US" w:eastAsia="zh-CN" w:bidi="ar"/>
              </w:rPr>
              <w:t xml:space="preserve">$ </w:t>
            </w:r>
          </w:p>
        </w:tc>
        <w:tc>
          <w:tcPr>
            <w:tcW w:w="805"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lang w:val="en-US"/>
              </w:rPr>
            </w:pPr>
            <w:r>
              <w:rPr>
                <w:rFonts w:hint="default" w:ascii="Times New Roman" w:hAnsi="Times New Roman" w:eastAsia="Times New Roman" w:cs="Times New Roman"/>
                <w:snapToGrid w:val="0"/>
                <w:color w:val="000000"/>
                <w:kern w:val="2"/>
                <w:sz w:val="19"/>
                <w:szCs w:val="22"/>
                <w:u w:val="single" w:color="181717"/>
                <w:lang w:val="en-US" w:eastAsia="zh-CN" w:bidi="ar"/>
              </w:rPr>
              <w:t xml:space="preserve">29,374.5 </w:t>
            </w:r>
          </w:p>
        </w:tc>
      </w:tr>
    </w:tbl>
    <w:p>
      <w:pPr>
        <w:spacing w:line="198" w:lineRule="auto"/>
        <w:rPr>
          <w:rFonts w:hint="default"/>
          <w:lang w:val="en-US" w:eastAsia="zh-CN"/>
        </w:rPr>
      </w:pPr>
    </w:p>
    <w:p>
      <w:pPr>
        <w:spacing w:line="198" w:lineRule="auto"/>
        <w:rPr>
          <w:rFonts w:hint="default"/>
          <w:lang w:val="en-US" w:eastAsia="zh-CN"/>
        </w:rPr>
      </w:pPr>
    </w:p>
    <w:p>
      <w:pPr>
        <w:spacing w:line="198" w:lineRule="auto"/>
        <w:rPr>
          <w:rFonts w:hint="default"/>
          <w:lang w:val="en-US" w:eastAsia="zh-CN"/>
        </w:rPr>
      </w:pP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STARBUCKS CORPORATION</w:t>
      </w:r>
    </w:p>
    <w:p>
      <w:pPr>
        <w:keepNext w:val="0"/>
        <w:keepLines w:val="0"/>
        <w:widowControl/>
        <w:suppressLineNumbers w:val="0"/>
        <w:spacing w:before="0" w:beforeAutospacing="0" w:after="0" w:afterAutospacing="0" w:line="256" w:lineRule="auto"/>
        <w:ind w:left="10" w:right="34" w:hanging="10"/>
        <w:jc w:val="center"/>
        <w:rPr>
          <w:lang w:val="en-US"/>
        </w:rPr>
      </w:pPr>
      <w:r>
        <w:rPr>
          <w:rFonts w:hint="default" w:ascii="Times New Roman" w:hAnsi="Times New Roman" w:eastAsia="Times New Roman" w:cs="Times New Roman"/>
          <w:b/>
          <w:bCs w:val="0"/>
          <w:snapToGrid w:val="0"/>
          <w:color w:val="000000"/>
          <w:kern w:val="2"/>
          <w:sz w:val="19"/>
          <w:szCs w:val="22"/>
          <w:lang w:val="en-US" w:eastAsia="zh-CN" w:bidi="ar"/>
        </w:rPr>
        <w:t>CONSOLIDATED STATEMENTS OF CASH FLOWS</w:t>
      </w:r>
    </w:p>
    <w:p>
      <w:pPr>
        <w:keepNext w:val="0"/>
        <w:keepLines w:val="0"/>
        <w:widowControl/>
        <w:suppressLineNumbers w:val="0"/>
        <w:spacing w:before="0" w:beforeAutospacing="0" w:after="31" w:afterAutospacing="0" w:line="256" w:lineRule="auto"/>
        <w:ind w:left="0" w:right="33"/>
        <w:jc w:val="center"/>
        <w:rPr>
          <w:rFonts w:hint="eastAsia" w:ascii="Times New Roman" w:hAnsi="Times New Roman" w:eastAsia="Times New Roman" w:cs="Times New Roman"/>
          <w:i/>
          <w:iCs w:val="0"/>
          <w:snapToGrid w:val="0"/>
          <w:color w:val="000000"/>
          <w:kern w:val="2"/>
          <w:sz w:val="19"/>
          <w:szCs w:val="22"/>
          <w:lang w:val="en-US" w:eastAsia="zh-CN" w:bidi="ar"/>
        </w:rPr>
      </w:pPr>
      <w:r>
        <w:rPr>
          <w:rFonts w:hint="default" w:ascii="Times New Roman" w:hAnsi="Times New Roman" w:eastAsia="Times New Roman" w:cs="Times New Roman"/>
          <w:i/>
          <w:iCs w:val="0"/>
          <w:snapToGrid w:val="0"/>
          <w:color w:val="000000"/>
          <w:kern w:val="2"/>
          <w:sz w:val="19"/>
          <w:szCs w:val="22"/>
          <w:lang w:val="en-US" w:eastAsia="zh-CN" w:bidi="ar"/>
        </w:rPr>
        <w:t>(in millions)</w:t>
      </w:r>
      <w:r>
        <w:rPr>
          <w:rFonts w:hint="eastAsia" w:ascii="Times New Roman" w:hAnsi="Times New Roman" w:eastAsia="Times New Roman" w:cs="Times New Roman"/>
          <w:i/>
          <w:iCs w:val="0"/>
          <w:snapToGrid w:val="0"/>
          <w:color w:val="000000"/>
          <w:kern w:val="2"/>
          <w:sz w:val="19"/>
          <w:szCs w:val="22"/>
          <w:lang w:val="en-US" w:eastAsia="zh-CN" w:bidi="ar"/>
        </w:rPr>
        <w:t xml:space="preserve">                              </w:t>
      </w:r>
    </w:p>
    <w:p>
      <w:pPr>
        <w:keepNext w:val="0"/>
        <w:keepLines w:val="0"/>
        <w:widowControl/>
        <w:suppressLineNumbers w:val="0"/>
        <w:spacing w:before="0" w:beforeAutospacing="0" w:after="31" w:afterAutospacing="0" w:line="256" w:lineRule="auto"/>
        <w:ind w:left="0" w:right="33" w:firstLine="3990" w:firstLineChars="2100"/>
        <w:jc w:val="both"/>
        <w:rPr>
          <w:rFonts w:hint="default" w:ascii="Times New Roman" w:hAnsi="Times New Roman" w:eastAsia="Times New Roman" w:cs="Times New Roman"/>
          <w:i/>
          <w:iCs w:val="0"/>
          <w:snapToGrid w:val="0"/>
          <w:color w:val="000000"/>
          <w:kern w:val="2"/>
          <w:sz w:val="19"/>
          <w:szCs w:val="22"/>
          <w:lang w:val="en-US" w:eastAsia="zh-CN" w:bidi="ar"/>
        </w:rPr>
      </w:pPr>
      <w:r>
        <w:rPr>
          <w:rFonts w:hint="eastAsia" w:ascii="Times New Roman" w:hAnsi="Times New Roman" w:eastAsia="Times New Roman" w:cs="Times New Roman"/>
          <w:i/>
          <w:iCs w:val="0"/>
          <w:snapToGrid w:val="0"/>
          <w:color w:val="000000"/>
          <w:kern w:val="2"/>
          <w:sz w:val="19"/>
          <w:szCs w:val="22"/>
          <w:lang w:val="en-US" w:eastAsia="zh-CN" w:bidi="ar"/>
        </w:rPr>
        <w:t xml:space="preserve">              Oct 3,     Sep 27         Sep 29,</w:t>
      </w:r>
    </w:p>
    <w:p>
      <w:pPr>
        <w:keepNext w:val="0"/>
        <w:keepLines w:val="0"/>
        <w:widowControl/>
        <w:suppressLineNumbers w:val="0"/>
        <w:spacing w:before="0" w:beforeAutospacing="0" w:after="31" w:afterAutospacing="0" w:line="256" w:lineRule="auto"/>
        <w:ind w:left="0" w:right="33" w:firstLine="3990" w:firstLineChars="2100"/>
        <w:jc w:val="both"/>
        <w:rPr>
          <w:rFonts w:hint="default" w:ascii="Times New Roman" w:hAnsi="Times New Roman" w:eastAsia="Times New Roman" w:cs="Times New Roman"/>
          <w:i/>
          <w:iCs w:val="0"/>
          <w:snapToGrid w:val="0"/>
          <w:color w:val="000000"/>
          <w:kern w:val="2"/>
          <w:sz w:val="19"/>
          <w:szCs w:val="22"/>
          <w:lang w:val="en-US" w:eastAsia="zh-CN" w:bidi="ar"/>
        </w:rPr>
      </w:pPr>
      <w:r>
        <w:rPr>
          <w:rFonts w:hint="eastAsia" w:ascii="Times New Roman" w:hAnsi="Times New Roman" w:eastAsia="Times New Roman" w:cs="Times New Roman"/>
          <w:i/>
          <w:iCs w:val="0"/>
          <w:snapToGrid w:val="0"/>
          <w:color w:val="000000"/>
          <w:kern w:val="2"/>
          <w:sz w:val="19"/>
          <w:szCs w:val="22"/>
          <w:lang w:val="en-US" w:eastAsia="zh-CN" w:bidi="ar"/>
        </w:rPr>
        <w:t xml:space="preserve">               2021       2020          2019                                                              </w:t>
      </w:r>
    </w:p>
    <w:p>
      <w:pPr>
        <w:spacing w:line="198" w:lineRule="auto"/>
        <w:rPr>
          <w:rFonts w:hint="default" w:ascii="Calibri" w:hAnsi="Calibri" w:eastAsia="Calibri" w:cs="Calibri"/>
          <w:snapToGrid w:val="0"/>
          <w:color w:val="000000"/>
          <w:kern w:val="2"/>
          <w:sz w:val="22"/>
          <w:szCs w:val="22"/>
          <w:lang w:val="en-US" w:eastAsia="zh-CN" w:bidi="ar"/>
        </w:rPr>
      </w:pPr>
      <w:r>
        <w:rPr>
          <w:rFonts w:hint="default" w:ascii="Times New Roman" w:hAnsi="Times New Roman" w:eastAsia="Times New Roman" w:cs="Times New Roman"/>
          <w:b/>
          <w:bCs w:val="0"/>
          <w:color w:val="181717"/>
          <w:sz w:val="11"/>
          <w:szCs w:val="20"/>
          <w:u w:val="single" w:color="181717"/>
          <w:lang w:val="en-US" w:eastAsia="zh-CN" w:bidi="ar"/>
        </w:rPr>
        <w:t>Fiscal Year Ended</w:t>
      </w:r>
      <w:r>
        <w:rPr>
          <w:rFonts w:hint="default" w:ascii="Times New Roman" w:hAnsi="Times New Roman" w:eastAsia="Times New Roman" w:cs="Times New Roman"/>
          <w:b/>
          <w:bCs w:val="0"/>
          <w:color w:val="181717"/>
          <w:sz w:val="11"/>
          <w:szCs w:val="20"/>
          <w:u w:val="single" w:color="181717"/>
          <w:lang w:val="en-US" w:eastAsia="zh-CN" w:bidi="ar"/>
        </w:rPr>
        <w:tab/>
      </w:r>
      <w:r>
        <w:rPr>
          <w:rFonts w:hint="eastAsia" w:ascii="Times New Roman" w:hAnsi="Times New Roman" w:eastAsia="Times New Roman" w:cs="Times New Roman"/>
          <w:b/>
          <w:bCs w:val="0"/>
          <w:color w:val="181717"/>
          <w:sz w:val="11"/>
          <w:szCs w:val="20"/>
          <w:u w:val="single" w:color="181717"/>
          <w:lang w:val="en-US" w:eastAsia="zh-CN" w:bidi="ar"/>
        </w:rPr>
        <w:t xml:space="preserve">                                                                                                                                                         </w:t>
      </w:r>
    </w:p>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OPERATING ACTIVITIES:</w:t>
      </w:r>
    </w:p>
    <w:p>
      <w:pPr>
        <w:keepNext w:val="0"/>
        <w:keepLines w:val="0"/>
        <w:widowControl/>
        <w:suppressLineNumbers w:val="0"/>
        <w:tabs>
          <w:tab w:val="center" w:pos="5530"/>
          <w:tab w:val="center" w:pos="6513"/>
          <w:tab w:val="center" w:pos="7055"/>
          <w:tab w:val="center" w:pos="8111"/>
          <w:tab w:val="center" w:pos="8579"/>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earnings including noncontrolling interests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$ 4,200.3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$ 924.7</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$ 3,594.6 </w:t>
      </w:r>
    </w:p>
    <w:p>
      <w:pPr>
        <w:keepNext w:val="0"/>
        <w:keepLines w:val="0"/>
        <w:widowControl/>
        <w:suppressLineNumbers w:val="0"/>
        <w:spacing w:before="0" w:beforeAutospacing="0" w:after="4" w:afterAutospacing="0" w:line="256" w:lineRule="auto"/>
        <w:ind w:left="46" w:right="436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Adjustments to reconcile net earnings to net cash provided by operating activities:</w:t>
      </w:r>
    </w:p>
    <w:p>
      <w:pPr>
        <w:keepNext w:val="0"/>
        <w:keepLines w:val="0"/>
        <w:widowControl/>
        <w:suppressLineNumbers w:val="0"/>
        <w:tabs>
          <w:tab w:val="center" w:pos="1576"/>
          <w:tab w:val="center" w:pos="5482"/>
          <w:tab w:val="center" w:pos="6513"/>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Depreciation and amortization</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1,524.1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1,503.2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1,449.3 </w:t>
      </w:r>
    </w:p>
    <w:p>
      <w:pPr>
        <w:keepNext w:val="0"/>
        <w:keepLines w:val="0"/>
        <w:widowControl/>
        <w:suppressLineNumbers w:val="0"/>
        <w:tabs>
          <w:tab w:val="center" w:pos="1442"/>
          <w:tab w:val="center" w:pos="5482"/>
          <w:tab w:val="center" w:pos="6586"/>
          <w:tab w:val="center" w:pos="8159"/>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Deferred income taxes, net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(25.8)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(1,495.4) </w:t>
      </w:r>
    </w:p>
    <w:p>
      <w:pPr>
        <w:keepNext w:val="0"/>
        <w:keepLines w:val="0"/>
        <w:widowControl/>
        <w:suppressLineNumbers w:val="0"/>
        <w:tabs>
          <w:tab w:val="center" w:pos="2143"/>
          <w:tab w:val="center" w:pos="5482"/>
          <w:tab w:val="center" w:pos="658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Income earned from equity method investees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(347.3)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(280.7)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(250.6) </w:t>
      </w:r>
    </w:p>
    <w:p>
      <w:pPr>
        <w:keepNext w:val="0"/>
        <w:keepLines w:val="0"/>
        <w:widowControl/>
        <w:suppressLineNumbers w:val="0"/>
        <w:tabs>
          <w:tab w:val="center" w:pos="2428"/>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Distributions received from equity method investees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336.0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227.7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216.8 </w:t>
      </w:r>
    </w:p>
    <w:p>
      <w:pPr>
        <w:keepNext w:val="0"/>
        <w:keepLines w:val="0"/>
        <w:widowControl/>
        <w:suppressLineNumbers w:val="0"/>
        <w:tabs>
          <w:tab w:val="center" w:pos="2556"/>
          <w:tab w:val="center" w:pos="5482"/>
          <w:tab w:val="center" w:pos="658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Net gain resulting from divestiture of certain operations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(864.5)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(622.8) </w:t>
      </w:r>
    </w:p>
    <w:p>
      <w:pPr>
        <w:keepNext w:val="0"/>
        <w:keepLines w:val="0"/>
        <w:widowControl/>
        <w:suppressLineNumbers w:val="0"/>
        <w:tabs>
          <w:tab w:val="center" w:pos="1434"/>
          <w:tab w:val="center" w:pos="5482"/>
          <w:tab w:val="center" w:pos="6586"/>
          <w:tab w:val="center" w:pos="7006"/>
          <w:tab w:val="center" w:pos="8111"/>
          <w:tab w:val="center" w:pos="8531"/>
          <w:tab w:val="right" w:pos="9966"/>
        </w:tabs>
        <w:spacing w:before="0" w:beforeAutospacing="0" w:after="32"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Stock-based compensation</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319.1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248.6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308.0 </w:t>
      </w:r>
    </w:p>
    <w:p>
      <w:pPr>
        <w:keepNext w:val="0"/>
        <w:keepLines w:val="0"/>
        <w:widowControl/>
        <w:suppressLineNumbers w:val="0"/>
        <w:tabs>
          <w:tab w:val="center" w:pos="1273"/>
          <w:tab w:val="center" w:pos="5482"/>
          <w:tab w:val="center" w:pos="6707"/>
          <w:tab w:val="center" w:pos="700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Goodwill impairments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10.5 </w:t>
      </w:r>
    </w:p>
    <w:p>
      <w:pPr>
        <w:keepNext w:val="0"/>
        <w:keepLines w:val="0"/>
        <w:widowControl/>
        <w:suppressLineNumbers w:val="0"/>
        <w:tabs>
          <w:tab w:val="center" w:pos="1168"/>
          <w:tab w:val="center" w:pos="5482"/>
          <w:tab w:val="center" w:pos="6513"/>
          <w:tab w:val="center" w:pos="7006"/>
          <w:tab w:val="center" w:pos="8038"/>
          <w:tab w:val="center" w:pos="8531"/>
          <w:tab w:val="right" w:pos="9966"/>
        </w:tabs>
        <w:spacing w:before="0" w:beforeAutospacing="0" w:after="3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Non-cash lease cost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1,248.6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1,197.6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2113"/>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Loss on retirement and impairment of assets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226.2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454.4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142.6 </w:t>
      </w:r>
    </w:p>
    <w:p>
      <w:pPr>
        <w:keepNext w:val="0"/>
        <w:keepLines w:val="0"/>
        <w:widowControl/>
        <w:suppressLineNumbers w:val="0"/>
        <w:tabs>
          <w:tab w:val="center" w:pos="620"/>
          <w:tab w:val="center" w:pos="5482"/>
          <w:tab w:val="center" w:pos="6683"/>
          <w:tab w:val="center" w:pos="8159"/>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Other</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(6.0)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24.5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45.3 </w:t>
      </w:r>
    </w:p>
    <w:p>
      <w:pPr>
        <w:keepNext w:val="0"/>
        <w:keepLines w:val="0"/>
        <w:widowControl/>
        <w:suppressLineNumbers w:val="0"/>
        <w:spacing w:before="0" w:beforeAutospacing="0" w:after="4" w:afterAutospacing="0" w:line="256" w:lineRule="auto"/>
        <w:ind w:left="410" w:right="4167"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provided by/(used in) changes in operating assets and liabilities:</w:t>
      </w:r>
    </w:p>
    <w:p>
      <w:pPr>
        <w:keepNext w:val="0"/>
        <w:keepLines w:val="0"/>
        <w:widowControl/>
        <w:suppressLineNumbers w:val="0"/>
        <w:tabs>
          <w:tab w:val="center" w:pos="1535"/>
          <w:tab w:val="center" w:pos="5482"/>
          <w:tab w:val="center" w:pos="6634"/>
          <w:tab w:val="center" w:pos="8207"/>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Accounts receivable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(43.0)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(197.7) </w:t>
      </w:r>
    </w:p>
    <w:p>
      <w:pPr>
        <w:keepNext w:val="0"/>
        <w:keepLines w:val="0"/>
        <w:widowControl/>
        <w:suppressLineNumbers w:val="0"/>
        <w:tabs>
          <w:tab w:val="center" w:pos="1183"/>
          <w:tab w:val="center" w:pos="5482"/>
          <w:tab w:val="center" w:pos="6634"/>
          <w:tab w:val="center" w:pos="8159"/>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Inventories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(49.8)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(10.9)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(173.0) </w:t>
      </w:r>
    </w:p>
    <w:p>
      <w:pPr>
        <w:keepNext w:val="0"/>
        <w:keepLines w:val="0"/>
        <w:widowControl/>
        <w:suppressLineNumbers w:val="0"/>
        <w:tabs>
          <w:tab w:val="center" w:pos="2352"/>
          <w:tab w:val="center" w:pos="5482"/>
          <w:tab w:val="center" w:pos="6586"/>
          <w:tab w:val="center" w:pos="700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Prepaid expenses and other current assets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251.1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(317.5)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922.0 </w:t>
      </w:r>
    </w:p>
    <w:p>
      <w:pPr>
        <w:keepNext w:val="0"/>
        <w:keepLines w:val="0"/>
        <w:widowControl/>
        <w:suppressLineNumbers w:val="0"/>
        <w:tabs>
          <w:tab w:val="center" w:pos="1586"/>
          <w:tab w:val="center" w:pos="5482"/>
          <w:tab w:val="center" w:pos="6586"/>
          <w:tab w:val="center" w:pos="7006"/>
          <w:tab w:val="center" w:pos="8038"/>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Income taxes payable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286.1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(1,214.6)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1,237.1 </w:t>
      </w:r>
    </w:p>
    <w:p>
      <w:pPr>
        <w:keepNext w:val="0"/>
        <w:keepLines w:val="0"/>
        <w:widowControl/>
        <w:suppressLineNumbers w:val="0"/>
        <w:tabs>
          <w:tab w:val="center" w:pos="1439"/>
          <w:tab w:val="center" w:pos="5482"/>
          <w:tab w:val="center" w:pos="6586"/>
          <w:tab w:val="center" w:pos="7006"/>
          <w:tab w:val="center" w:pos="811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Accounts payable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189.9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(210.8)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31.9 </w:t>
      </w:r>
    </w:p>
    <w:p>
      <w:pPr>
        <w:keepNext w:val="0"/>
        <w:keepLines w:val="0"/>
        <w:widowControl/>
        <w:suppressLineNumbers w:val="0"/>
        <w:tabs>
          <w:tab w:val="center" w:pos="1422"/>
          <w:tab w:val="center" w:pos="5482"/>
          <w:tab w:val="center" w:pos="6683"/>
          <w:tab w:val="center" w:pos="8159"/>
          <w:tab w:val="center" w:pos="8531"/>
          <w:tab w:val="right" w:pos="9966"/>
        </w:tabs>
        <w:spacing w:before="0" w:beforeAutospacing="0" w:after="27"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Deferred revenue</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(6.1)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31.0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(30.5) </w:t>
      </w:r>
    </w:p>
    <w:p>
      <w:pPr>
        <w:keepNext w:val="0"/>
        <w:keepLines w:val="0"/>
        <w:widowControl/>
        <w:suppressLineNumbers w:val="0"/>
        <w:tabs>
          <w:tab w:val="center" w:pos="1677"/>
          <w:tab w:val="center" w:pos="5482"/>
          <w:tab w:val="center" w:pos="6513"/>
          <w:tab w:val="center" w:pos="8038"/>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Operating lease liability</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(1,488.1)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(1,231.4)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2155"/>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Other operating assets and liabilities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358.7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280.5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(141.1) </w:t>
      </w:r>
    </w:p>
    <w:p>
      <w:pPr>
        <w:keepNext w:val="0"/>
        <w:keepLines w:val="0"/>
        <w:widowControl/>
        <w:suppressLineNumbers w:val="0"/>
        <w:tabs>
          <w:tab w:val="center" w:pos="5482"/>
          <w:tab w:val="center" w:pos="6513"/>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cash provided by operating activities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5,989.1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1,597.8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5,047.0 </w:t>
      </w:r>
    </w:p>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INVESTING ACTIVITIES:</w:t>
      </w:r>
    </w:p>
    <w:p>
      <w:pPr>
        <w:keepNext w:val="0"/>
        <w:keepLines w:val="0"/>
        <w:widowControl/>
        <w:suppressLineNumbers w:val="0"/>
        <w:tabs>
          <w:tab w:val="center" w:pos="5482"/>
          <w:tab w:val="center" w:pos="6586"/>
          <w:tab w:val="center" w:pos="811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Purchases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(432.0)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(443.9)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(190.4) </w:t>
      </w:r>
    </w:p>
    <w:p>
      <w:pPr>
        <w:keepNext w:val="0"/>
        <w:keepLines w:val="0"/>
        <w:widowControl/>
        <w:suppressLineNumbers w:val="0"/>
        <w:tabs>
          <w:tab w:val="center" w:pos="5482"/>
          <w:tab w:val="center" w:pos="6586"/>
          <w:tab w:val="center" w:pos="7006"/>
          <w:tab w:val="center" w:pos="8111"/>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Sales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143.2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186.7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298.3 </w:t>
      </w:r>
    </w:p>
    <w:p>
      <w:pPr>
        <w:keepNext w:val="0"/>
        <w:keepLines w:val="0"/>
        <w:widowControl/>
        <w:suppressLineNumbers w:val="0"/>
        <w:tabs>
          <w:tab w:val="center" w:pos="5482"/>
          <w:tab w:val="center" w:pos="6586"/>
          <w:tab w:val="center" w:pos="7006"/>
          <w:tab w:val="center" w:pos="8159"/>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Maturities and calls of investments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345.5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73.7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59.8 </w:t>
      </w:r>
    </w:p>
    <w:p>
      <w:pPr>
        <w:keepNext w:val="0"/>
        <w:keepLines w:val="0"/>
        <w:widowControl/>
        <w:suppressLineNumbers w:val="0"/>
        <w:tabs>
          <w:tab w:val="center" w:pos="5482"/>
          <w:tab w:val="center" w:pos="6513"/>
          <w:tab w:val="center" w:pos="8038"/>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Additions to property, plant and equipment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(1,470.0)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(1,483.6)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(1,806.6) </w:t>
      </w:r>
    </w:p>
    <w:p>
      <w:pPr>
        <w:keepNext w:val="0"/>
        <w:keepLines w:val="0"/>
        <w:widowControl/>
        <w:suppressLineNumbers w:val="0"/>
        <w:tabs>
          <w:tab w:val="center" w:pos="5482"/>
          <w:tab w:val="center" w:pos="6513"/>
          <w:tab w:val="center" w:pos="7006"/>
          <w:tab w:val="center" w:pos="8232"/>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proceeds from the divestiture of certain operations</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1,175.0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684.3 </w:t>
      </w:r>
    </w:p>
    <w:p>
      <w:pPr>
        <w:keepNext w:val="0"/>
        <w:keepLines w:val="0"/>
        <w:widowControl/>
        <w:suppressLineNumbers w:val="0"/>
        <w:spacing w:before="0" w:beforeAutospacing="0" w:after="4" w:afterAutospacing="0" w:line="256" w:lineRule="auto"/>
        <w:ind w:left="202" w:leftChars="17" w:right="0" w:hanging="166" w:hangingChars="104"/>
        <w:jc w:val="left"/>
        <w:rPr>
          <w:rFonts w:hint="default" w:ascii="Times New Roman" w:hAnsi="Times New Roman" w:eastAsia="Times New Roman" w:cs="Times New Roman"/>
          <w:snapToGrid w:val="0"/>
          <w:color w:val="000000"/>
          <w:kern w:val="2"/>
          <w:sz w:val="16"/>
          <w:szCs w:val="20"/>
          <w:lang w:val="en-US" w:eastAsia="zh-CN" w:bidi="ar"/>
        </w:rPr>
      </w:pPr>
      <w:r>
        <w:rPr>
          <w:rFonts w:hint="default" w:ascii="Times New Roman" w:hAnsi="Times New Roman" w:eastAsia="Times New Roman" w:cs="Times New Roman"/>
          <w:snapToGrid w:val="0"/>
          <w:color w:val="000000"/>
          <w:kern w:val="2"/>
          <w:sz w:val="16"/>
          <w:szCs w:val="20"/>
          <w:lang w:val="en-US" w:eastAsia="zh-CN" w:bidi="ar"/>
        </w:rPr>
        <w:t>Other</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(81.2)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(44.4)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(56.2) </w:t>
      </w:r>
    </w:p>
    <w:p>
      <w:pPr>
        <w:keepNext w:val="0"/>
        <w:keepLines w:val="0"/>
        <w:widowControl/>
        <w:suppressLineNumbers w:val="0"/>
        <w:spacing w:before="0" w:beforeAutospacing="0" w:after="4" w:afterAutospacing="0" w:line="256" w:lineRule="auto"/>
        <w:ind w:left="202" w:leftChars="17" w:right="0" w:hanging="166" w:hangingChars="104"/>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Net cash used in investing activities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(319.5)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(1,711.5)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(1,010.8) </w:t>
      </w:r>
    </w:p>
    <w:p>
      <w:pPr>
        <w:keepNext w:val="0"/>
        <w:keepLines w:val="0"/>
        <w:widowControl/>
        <w:suppressLineNumbers w:val="0"/>
        <w:spacing w:before="0" w:beforeAutospacing="0" w:after="51"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FINANCING ACTIVITIES:</w:t>
      </w:r>
    </w:p>
    <w:p>
      <w:pPr>
        <w:keepNext w:val="0"/>
        <w:keepLines w:val="0"/>
        <w:widowControl/>
        <w:suppressLineNumbers w:val="0"/>
        <w:tabs>
          <w:tab w:val="center" w:pos="5482"/>
          <w:tab w:val="center" w:pos="6586"/>
          <w:tab w:val="center" w:pos="8232"/>
          <w:tab w:val="center" w:pos="8531"/>
          <w:tab w:val="right" w:pos="9966"/>
        </w:tabs>
        <w:spacing w:before="0" w:beforeAutospacing="0" w:after="40"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commercial paper</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(296.5)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586"/>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short-term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215.1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1,406.6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586"/>
          <w:tab w:val="center" w:pos="8111"/>
          <w:tab w:val="right" w:pos="9966"/>
        </w:tabs>
        <w:spacing w:before="0" w:beforeAutospacing="0" w:after="4" w:afterAutospacing="0" w:line="256" w:lineRule="auto"/>
        <w:ind w:left="0" w:right="0"/>
        <w:jc w:val="left"/>
        <w:rPr>
          <w:rFonts w:hint="default"/>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short-term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(349.8)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(967.7)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p>
    <w:p>
      <w:pPr>
        <w:keepNext w:val="0"/>
        <w:keepLines w:val="0"/>
        <w:widowControl/>
        <w:suppressLineNumbers w:val="0"/>
        <w:tabs>
          <w:tab w:val="center" w:pos="5482"/>
          <w:tab w:val="center" w:pos="6707"/>
          <w:tab w:val="center" w:pos="7006"/>
          <w:tab w:val="center" w:pos="8038"/>
          <w:tab w:val="center" w:pos="8531"/>
          <w:tab w:val="right" w:pos="9966"/>
        </w:tabs>
        <w:spacing w:before="0" w:beforeAutospacing="0" w:after="4" w:afterAutospacing="0" w:line="256" w:lineRule="auto"/>
        <w:ind w:left="0" w:right="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long-term debt</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4,727.6 </w:t>
      </w:r>
      <w:r>
        <w:rPr>
          <w:rFonts w:hint="default" w:ascii="Times New Roman" w:hAnsi="Times New Roman" w:eastAsia="Times New Roman" w:cs="Times New Roman"/>
          <w:snapToGrid w:val="0"/>
          <w:color w:val="000000"/>
          <w:kern w:val="2"/>
          <w:sz w:val="16"/>
          <w:szCs w:val="20"/>
          <w:lang w:val="en-US" w:eastAsia="zh-CN" w:bidi="ar"/>
        </w:rPr>
        <w:tab/>
      </w:r>
      <w:r>
        <w:rPr>
          <w:rFonts w:hint="eastAsia"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 xml:space="preserve">1,996.0 </w:t>
      </w:r>
    </w:p>
    <w:tbl>
      <w:tblPr>
        <w:tblStyle w:val="14"/>
        <w:tblW w:w="883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879"/>
        <w:gridCol w:w="424"/>
        <w:gridCol w:w="1322"/>
        <w:gridCol w:w="1356"/>
        <w:gridCol w:w="85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Repayments of long-term debt</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(1,250.0)  </w:t>
            </w:r>
          </w:p>
        </w:tc>
        <w:tc>
          <w:tcPr>
            <w:tcW w:w="1356" w:type="dxa"/>
            <w:shd w:val="clear" w:color="auto" w:fill="CDE0D8"/>
            <w:vAlign w:val="top"/>
          </w:tcPr>
          <w:p>
            <w:pPr>
              <w:keepNext w:val="0"/>
              <w:keepLines w:val="0"/>
              <w:widowControl/>
              <w:suppressLineNumbers w:val="0"/>
              <w:tabs>
                <w:tab w:val="center" w:pos="787"/>
                <w:tab w:val="center" w:pos="1086"/>
              </w:tabs>
              <w:spacing w:before="0" w:beforeAutospacing="0" w:after="0" w:afterAutospacing="0" w:line="256" w:lineRule="auto"/>
              <w:ind w:left="0" w:right="0" w:firstLine="640" w:firstLineChars="40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(350.0)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Proceeds from issuance of common stock</w:t>
            </w:r>
          </w:p>
        </w:tc>
        <w:tc>
          <w:tcPr>
            <w:tcW w:w="42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FFFEFD"/>
            <w:vAlign w:val="top"/>
          </w:tcPr>
          <w:p>
            <w:pPr>
              <w:keepNext w:val="0"/>
              <w:keepLines w:val="0"/>
              <w:widowControl/>
              <w:suppressLineNumbers w:val="0"/>
              <w:tabs>
                <w:tab w:val="center" w:pos="627"/>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246.2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shd w:val="clear" w:color="auto" w:fill="FFFEFD"/>
            <w:vAlign w:val="top"/>
          </w:tcPr>
          <w:p>
            <w:pPr>
              <w:keepNext w:val="0"/>
              <w:keepLines w:val="0"/>
              <w:widowControl/>
              <w:suppressLineNumbers w:val="0"/>
              <w:tabs>
                <w:tab w:val="center" w:pos="666"/>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298.8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409.8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dividends paid</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(2,119.0)  </w:t>
            </w:r>
          </w:p>
        </w:tc>
        <w:tc>
          <w:tcPr>
            <w:tcW w:w="1356" w:type="dxa"/>
            <w:shd w:val="clear" w:color="auto" w:fill="CDE0D8"/>
            <w:vAlign w:val="top"/>
          </w:tcPr>
          <w:p>
            <w:pPr>
              <w:keepNext w:val="0"/>
              <w:keepLines w:val="0"/>
              <w:widowControl/>
              <w:suppressLineNumbers w:val="0"/>
              <w:spacing w:before="0" w:beforeAutospacing="0" w:after="0" w:afterAutospacing="0" w:line="256" w:lineRule="auto"/>
              <w:ind w:left="23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(1,923.5)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(1,761.3)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Repurchase of common stock</w:t>
            </w:r>
          </w:p>
        </w:tc>
        <w:tc>
          <w:tcPr>
            <w:tcW w:w="424"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FFFEFD"/>
            <w:vAlign w:val="top"/>
          </w:tcPr>
          <w:p>
            <w:pPr>
              <w:keepNext w:val="0"/>
              <w:keepLines w:val="0"/>
              <w:widowControl/>
              <w:suppressLineNumbers w:val="0"/>
              <w:tabs>
                <w:tab w:val="center" w:pos="748"/>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shd w:val="clear" w:color="auto" w:fill="FFFEFD"/>
            <w:vAlign w:val="top"/>
          </w:tcPr>
          <w:p>
            <w:pPr>
              <w:keepNext w:val="0"/>
              <w:keepLines w:val="0"/>
              <w:widowControl/>
              <w:suppressLineNumbers w:val="0"/>
              <w:spacing w:before="0" w:beforeAutospacing="0" w:after="0" w:afterAutospacing="0" w:line="256" w:lineRule="auto"/>
              <w:ind w:left="23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(1,698.9)  </w:t>
            </w:r>
          </w:p>
        </w:tc>
        <w:tc>
          <w:tcPr>
            <w:tcW w:w="857" w:type="dxa"/>
            <w:shd w:val="clear" w:color="auto" w:fill="FFFEFD"/>
            <w:vAlign w:val="top"/>
          </w:tcPr>
          <w:p>
            <w:pPr>
              <w:keepNext w:val="0"/>
              <w:keepLines w:val="0"/>
              <w:widowControl/>
              <w:suppressLineNumbers w:val="0"/>
              <w:spacing w:before="0" w:beforeAutospacing="0" w:after="0" w:afterAutospacing="0" w:line="256" w:lineRule="auto"/>
              <w:ind w:left="142"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(10,222.3)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Minimum tax withholdings on share-based awards</w:t>
            </w:r>
          </w:p>
        </w:tc>
        <w:tc>
          <w:tcPr>
            <w:tcW w:w="424"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shd w:val="clear" w:color="auto" w:fill="CDE0D8"/>
            <w:vAlign w:val="top"/>
          </w:tcPr>
          <w:p>
            <w:pPr>
              <w:keepNext w:val="0"/>
              <w:keepLines w:val="0"/>
              <w:widowControl/>
              <w:suppressLineNumbers w:val="0"/>
              <w:spacing w:before="0" w:beforeAutospacing="0" w:after="0" w:afterAutospacing="0" w:line="256" w:lineRule="auto"/>
              <w:ind w:left="0" w:right="135"/>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(97.0)  </w:t>
            </w:r>
          </w:p>
        </w:tc>
        <w:tc>
          <w:tcPr>
            <w:tcW w:w="1356" w:type="dxa"/>
            <w:shd w:val="clear" w:color="auto" w:fill="CDE0D8"/>
            <w:vAlign w:val="top"/>
          </w:tcPr>
          <w:p>
            <w:pPr>
              <w:keepNext w:val="0"/>
              <w:keepLines w:val="0"/>
              <w:widowControl/>
              <w:suppressLineNumbers w:val="0"/>
              <w:spacing w:before="0" w:beforeAutospacing="0" w:after="0" w:afterAutospacing="0" w:line="256" w:lineRule="auto"/>
              <w:ind w:left="0" w:right="96"/>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(91.9)  </w:t>
            </w:r>
          </w:p>
        </w:tc>
        <w:tc>
          <w:tcPr>
            <w:tcW w:w="857" w:type="dxa"/>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(111.6)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Other</w:t>
            </w:r>
          </w:p>
        </w:tc>
        <w:tc>
          <w:tcPr>
            <w:tcW w:w="42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748"/>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96"/>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(37.7)  </w:t>
            </w:r>
          </w:p>
        </w:tc>
        <w:tc>
          <w:tcPr>
            <w:tcW w:w="857"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(17.5)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cash provided by/(used in) financing activities</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20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(3,651.0)  </w:t>
            </w: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1,713.3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142"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(10,056.9)</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Effect of exchange rate changes on cash and cash equivalents</w:t>
            </w:r>
          </w:p>
        </w:tc>
        <w:tc>
          <w:tcPr>
            <w:tcW w:w="424"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675"/>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86.2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FFFEFD"/>
            <w:vAlign w:val="top"/>
          </w:tcPr>
          <w:p>
            <w:pPr>
              <w:keepNext w:val="0"/>
              <w:keepLines w:val="0"/>
              <w:widowControl/>
              <w:suppressLineNumbers w:val="0"/>
              <w:tabs>
                <w:tab w:val="center" w:pos="714"/>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64.7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nil"/>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(49.0)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6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Net increase/(decrease) in cash and cash equivalents</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54"/>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2,104.8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1,664.3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0" w:afterAutospacing="0" w:line="256" w:lineRule="auto"/>
              <w:ind w:left="0" w:right="15"/>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(6,069.7)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397"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AND CASH EQUIVALENTS:</w:t>
            </w:r>
          </w:p>
        </w:tc>
        <w:tc>
          <w:tcPr>
            <w:tcW w:w="424"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22"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56"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857"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40"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Beginning of period</w:t>
            </w:r>
          </w:p>
        </w:tc>
        <w:tc>
          <w:tcPr>
            <w:tcW w:w="424"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22" w:type="dxa"/>
            <w:tcBorders>
              <w:top w:val="nil"/>
              <w:left w:val="nil"/>
              <w:bottom w:val="single" w:color="181717" w:sz="8" w:space="0"/>
              <w:right w:val="nil"/>
            </w:tcBorders>
            <w:shd w:val="clear" w:color="auto" w:fill="CDE0D8"/>
            <w:vAlign w:val="top"/>
          </w:tcPr>
          <w:p>
            <w:pPr>
              <w:keepNext w:val="0"/>
              <w:keepLines w:val="0"/>
              <w:widowControl/>
              <w:suppressLineNumbers w:val="0"/>
              <w:tabs>
                <w:tab w:val="center" w:pos="554"/>
                <w:tab w:val="center" w:pos="1047"/>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4,350.9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1356" w:type="dxa"/>
            <w:tcBorders>
              <w:top w:val="nil"/>
              <w:left w:val="nil"/>
              <w:bottom w:val="single" w:color="181717" w:sz="8" w:space="0"/>
              <w:right w:val="nil"/>
            </w:tcBorders>
            <w:shd w:val="clear" w:color="auto" w:fill="CDE0D8"/>
            <w:vAlign w:val="top"/>
          </w:tcPr>
          <w:p>
            <w:pPr>
              <w:keepNext w:val="0"/>
              <w:keepLines w:val="0"/>
              <w:widowControl/>
              <w:suppressLineNumbers w:val="0"/>
              <w:tabs>
                <w:tab w:val="center" w:pos="593"/>
                <w:tab w:val="center" w:pos="108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2,686.6 </w:t>
            </w:r>
            <w:r>
              <w:rPr>
                <w:rFonts w:hint="default" w:ascii="Times New Roman" w:hAnsi="Times New Roman" w:eastAsia="Times New Roman" w:cs="Times New Roman"/>
                <w:snapToGrid w:val="0"/>
                <w:color w:val="000000"/>
                <w:kern w:val="2"/>
                <w:sz w:val="16"/>
                <w:szCs w:val="20"/>
                <w:lang w:val="en-US" w:eastAsia="zh-CN" w:bidi="ar"/>
              </w:rPr>
              <w:tab/>
            </w: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7" w:type="dxa"/>
            <w:tcBorders>
              <w:top w:val="nil"/>
              <w:left w:val="nil"/>
              <w:bottom w:val="single" w:color="181717" w:sz="8" w:space="0"/>
              <w:right w:val="nil"/>
            </w:tcBorders>
            <w:shd w:val="clear" w:color="auto" w:fill="CDE0D8"/>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8,756.3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59" w:hRule="atLeast"/>
        </w:trPr>
        <w:tc>
          <w:tcPr>
            <w:tcW w:w="4879"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End of period</w:t>
            </w:r>
          </w:p>
        </w:tc>
        <w:tc>
          <w:tcPr>
            <w:tcW w:w="424"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1322"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54"/>
                <w:tab w:val="center" w:pos="1096"/>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6,455.7 </w:t>
            </w:r>
            <w:r>
              <w:rPr>
                <w:rFonts w:hint="default" w:ascii="Times New Roman" w:hAnsi="Times New Roman" w:eastAsia="Times New Roman" w:cs="Times New Roman"/>
                <w:snapToGrid w:val="0"/>
                <w:color w:val="000000"/>
                <w:kern w:val="2"/>
                <w:sz w:val="16"/>
                <w:szCs w:val="20"/>
                <w:u w:val="single" w:color="181717"/>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1356"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tabs>
                <w:tab w:val="center" w:pos="593"/>
                <w:tab w:val="center" w:pos="1135"/>
              </w:tabs>
              <w:spacing w:before="0" w:beforeAutospacing="0" w:after="0" w:afterAutospacing="0" w:line="256" w:lineRule="auto"/>
              <w:ind w:left="0" w:right="0"/>
              <w:jc w:val="left"/>
              <w:rPr>
                <w:rFonts w:hint="eastAsia"/>
                <w:sz w:val="20"/>
                <w:szCs w:val="20"/>
                <w:lang w:val="en-US"/>
              </w:rPr>
            </w:pPr>
            <w:r>
              <w:rPr>
                <w:rFonts w:hint="default" w:ascii="Calibri" w:hAnsi="Calibri" w:eastAsia="Calibri" w:cs="Calibri"/>
                <w:snapToGrid w:val="0"/>
                <w:color w:val="000000"/>
                <w:kern w:val="2"/>
                <w:sz w:val="20"/>
                <w:szCs w:val="20"/>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4,350.9 </w:t>
            </w:r>
            <w:r>
              <w:rPr>
                <w:rFonts w:hint="default" w:ascii="Times New Roman" w:hAnsi="Times New Roman" w:eastAsia="Times New Roman" w:cs="Times New Roman"/>
                <w:snapToGrid w:val="0"/>
                <w:color w:val="000000"/>
                <w:kern w:val="2"/>
                <w:sz w:val="16"/>
                <w:szCs w:val="20"/>
                <w:u w:val="single" w:color="181717"/>
                <w:lang w:val="en-US" w:eastAsia="zh-CN" w:bidi="ar"/>
              </w:rPr>
              <w:tab/>
            </w:r>
            <w:r>
              <w:rPr>
                <w:rFonts w:hint="default" w:ascii="Times New Roman" w:hAnsi="Times New Roman" w:eastAsia="Times New Roman" w:cs="Times New Roman"/>
                <w:snapToGrid w:val="0"/>
                <w:color w:val="000000"/>
                <w:kern w:val="2"/>
                <w:sz w:val="16"/>
                <w:szCs w:val="20"/>
                <w:u w:val="single" w:color="181717"/>
                <w:lang w:val="en-US" w:eastAsia="zh-CN" w:bidi="ar"/>
              </w:rPr>
              <w:t xml:space="preserve">$ </w:t>
            </w:r>
          </w:p>
        </w:tc>
        <w:tc>
          <w:tcPr>
            <w:tcW w:w="857" w:type="dxa"/>
            <w:tcBorders>
              <w:top w:val="single" w:color="181717" w:sz="8" w:space="0"/>
              <w:left w:val="nil"/>
              <w:bottom w:val="single" w:color="181717" w:sz="8" w:space="0"/>
              <w:right w:val="nil"/>
            </w:tcBorders>
            <w:shd w:val="clear" w:color="auto" w:fill="FFFEFD"/>
            <w:vAlign w:val="top"/>
          </w:tcPr>
          <w:p>
            <w:pPr>
              <w:keepNext w:val="0"/>
              <w:keepLines w:val="0"/>
              <w:widowControl/>
              <w:suppressLineNumbers w:val="0"/>
              <w:spacing w:before="0" w:beforeAutospacing="0" w:after="0" w:afterAutospacing="0" w:line="256" w:lineRule="auto"/>
              <w:ind w:left="0" w:right="79"/>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u w:val="single" w:color="181717"/>
                <w:lang w:val="en-US" w:eastAsia="zh-CN" w:bidi="ar"/>
              </w:rPr>
              <w:t xml:space="preserve">2,686.6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17" w:hRule="atLeast"/>
        </w:trPr>
        <w:tc>
          <w:tcPr>
            <w:tcW w:w="4879"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SUPPLEMENTAL DISCLOSURE OF CASH FLOW INFORMATION:</w:t>
            </w:r>
          </w:p>
        </w:tc>
        <w:tc>
          <w:tcPr>
            <w:tcW w:w="424"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22"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1356"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857" w:type="dxa"/>
            <w:tcBorders>
              <w:top w:val="single" w:color="181717" w:sz="8" w:space="0"/>
              <w:left w:val="nil"/>
              <w:bottom w:val="nil"/>
              <w:right w:val="nil"/>
            </w:tcBorders>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r>
    </w:tbl>
    <w:p>
      <w:pPr>
        <w:keepNext w:val="0"/>
        <w:keepLines w:val="0"/>
        <w:widowControl/>
        <w:suppressLineNumbers w:val="0"/>
        <w:spacing w:before="0" w:beforeAutospacing="0" w:after="4" w:afterAutospacing="0" w:line="256" w:lineRule="auto"/>
        <w:ind w:left="46" w:right="0" w:hanging="10"/>
        <w:jc w:val="left"/>
        <w:rPr>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Cash paid during the period for:</w:t>
      </w:r>
    </w:p>
    <w:tbl>
      <w:tblPr>
        <w:tblStyle w:val="14"/>
        <w:tblW w:w="8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31" w:type="dxa"/>
        </w:tblCellMar>
      </w:tblPr>
      <w:tblGrid>
        <w:gridCol w:w="2752"/>
        <w:gridCol w:w="2136"/>
        <w:gridCol w:w="425"/>
        <w:gridCol w:w="933"/>
        <w:gridCol w:w="391"/>
        <w:gridCol w:w="968"/>
        <w:gridCol w:w="390"/>
        <w:gridCol w:w="85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31" w:type="dxa"/>
          </w:tblCellMar>
        </w:tblPrEx>
        <w:trPr>
          <w:trHeight w:val="364" w:hRule="atLeast"/>
        </w:trPr>
        <w:tc>
          <w:tcPr>
            <w:tcW w:w="2752" w:type="dxa"/>
            <w:shd w:val="clear" w:color="auto" w:fill="CDE0D8"/>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Interest, net of capitalized interest</w:t>
            </w:r>
          </w:p>
        </w:tc>
        <w:tc>
          <w:tcPr>
            <w:tcW w:w="2136" w:type="dxa"/>
            <w:shd w:val="clear" w:color="auto" w:fill="CDE0D8"/>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425"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33" w:type="dxa"/>
            <w:shd w:val="clear" w:color="auto" w:fill="CDE0D8"/>
            <w:vAlign w:val="top"/>
          </w:tcPr>
          <w:p>
            <w:pPr>
              <w:keepNext w:val="0"/>
              <w:keepLines w:val="0"/>
              <w:widowControl/>
              <w:suppressLineNumbers w:val="0"/>
              <w:spacing w:before="0" w:beforeAutospacing="0" w:after="0" w:afterAutospacing="0" w:line="256" w:lineRule="auto"/>
              <w:ind w:left="409"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501.1 </w:t>
            </w:r>
          </w:p>
        </w:tc>
        <w:tc>
          <w:tcPr>
            <w:tcW w:w="391"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68" w:type="dxa"/>
            <w:shd w:val="clear" w:color="auto" w:fill="CDE0D8"/>
            <w:vAlign w:val="top"/>
          </w:tcPr>
          <w:p>
            <w:pPr>
              <w:keepNext w:val="0"/>
              <w:keepLines w:val="0"/>
              <w:widowControl/>
              <w:suppressLineNumbers w:val="0"/>
              <w:spacing w:before="0" w:beforeAutospacing="0" w:after="0" w:afterAutospacing="0" w:line="256" w:lineRule="auto"/>
              <w:ind w:left="448"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396.9 </w:t>
            </w:r>
          </w:p>
        </w:tc>
        <w:tc>
          <w:tcPr>
            <w:tcW w:w="390" w:type="dxa"/>
            <w:shd w:val="clear" w:color="auto" w:fill="CDE0D8"/>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9" w:type="dxa"/>
            <w:shd w:val="clear" w:color="auto" w:fill="CDE0D8"/>
            <w:vAlign w:val="top"/>
          </w:tcPr>
          <w:p>
            <w:pPr>
              <w:keepNext w:val="0"/>
              <w:keepLines w:val="0"/>
              <w:widowControl/>
              <w:suppressLineNumbers w:val="0"/>
              <w:spacing w:before="0" w:beforeAutospacing="0" w:after="0" w:afterAutospacing="0" w:line="256" w:lineRule="auto"/>
              <w:ind w:left="0" w:right="48"/>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299.5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31" w:type="dxa"/>
          </w:tblCellMar>
        </w:tblPrEx>
        <w:trPr>
          <w:trHeight w:val="364" w:hRule="atLeast"/>
        </w:trPr>
        <w:tc>
          <w:tcPr>
            <w:tcW w:w="2752" w:type="dxa"/>
            <w:shd w:val="clear" w:color="auto" w:fill="FFFEFD"/>
            <w:vAlign w:val="top"/>
          </w:tcPr>
          <w:p>
            <w:pPr>
              <w:keepNext w:val="0"/>
              <w:keepLines w:val="0"/>
              <w:widowControl/>
              <w:suppressLineNumbers w:val="0"/>
              <w:spacing w:before="0" w:beforeAutospacing="0" w:after="0" w:afterAutospacing="0" w:line="256" w:lineRule="auto"/>
              <w:ind w:left="51"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Income taxes</w:t>
            </w:r>
          </w:p>
        </w:tc>
        <w:tc>
          <w:tcPr>
            <w:tcW w:w="2136" w:type="dxa"/>
            <w:shd w:val="clear" w:color="auto" w:fill="FFFEFD"/>
            <w:vAlign w:val="top"/>
          </w:tcPr>
          <w:p>
            <w:pPr>
              <w:keepNext w:val="0"/>
              <w:keepLines w:val="0"/>
              <w:widowControl/>
              <w:suppressLineNumbers w:val="0"/>
              <w:spacing w:before="0" w:beforeAutospacing="0" w:after="160" w:afterAutospacing="0" w:line="256" w:lineRule="auto"/>
              <w:ind w:left="0" w:right="0"/>
              <w:jc w:val="left"/>
              <w:rPr>
                <w:rFonts w:hint="eastAsia"/>
                <w:sz w:val="20"/>
                <w:szCs w:val="20"/>
                <w:lang w:val="en-US"/>
              </w:rPr>
            </w:pPr>
          </w:p>
        </w:tc>
        <w:tc>
          <w:tcPr>
            <w:tcW w:w="425"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33" w:type="dxa"/>
            <w:shd w:val="clear" w:color="auto" w:fill="FFFEFD"/>
            <w:vAlign w:val="top"/>
          </w:tcPr>
          <w:p>
            <w:pPr>
              <w:keepNext w:val="0"/>
              <w:keepLines w:val="0"/>
              <w:widowControl/>
              <w:suppressLineNumbers w:val="0"/>
              <w:spacing w:before="0" w:beforeAutospacing="0" w:after="0" w:afterAutospacing="0" w:line="256" w:lineRule="auto"/>
              <w:ind w:left="409"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756.3 </w:t>
            </w:r>
          </w:p>
        </w:tc>
        <w:tc>
          <w:tcPr>
            <w:tcW w:w="391"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968" w:type="dxa"/>
            <w:shd w:val="clear" w:color="auto" w:fill="FFFEFD"/>
            <w:vAlign w:val="top"/>
          </w:tcPr>
          <w:p>
            <w:pPr>
              <w:keepNext w:val="0"/>
              <w:keepLines w:val="0"/>
              <w:widowControl/>
              <w:suppressLineNumbers w:val="0"/>
              <w:spacing w:before="0" w:beforeAutospacing="0" w:after="0" w:afterAutospacing="0" w:line="256" w:lineRule="auto"/>
              <w:ind w:left="131" w:right="0"/>
              <w:jc w:val="center"/>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1,699.1 </w:t>
            </w:r>
          </w:p>
        </w:tc>
        <w:tc>
          <w:tcPr>
            <w:tcW w:w="390" w:type="dxa"/>
            <w:shd w:val="clear" w:color="auto" w:fill="FFFEFD"/>
            <w:vAlign w:val="top"/>
          </w:tcPr>
          <w:p>
            <w:pPr>
              <w:keepNext w:val="0"/>
              <w:keepLines w:val="0"/>
              <w:widowControl/>
              <w:suppressLineNumbers w:val="0"/>
              <w:spacing w:before="0" w:beforeAutospacing="0" w:after="0" w:afterAutospacing="0" w:line="256" w:lineRule="auto"/>
              <w:ind w:left="0" w:right="0"/>
              <w:jc w:val="lef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 </w:t>
            </w:r>
          </w:p>
        </w:tc>
        <w:tc>
          <w:tcPr>
            <w:tcW w:w="859" w:type="dxa"/>
            <w:shd w:val="clear" w:color="auto" w:fill="FFFEFD"/>
            <w:vAlign w:val="top"/>
          </w:tcPr>
          <w:p>
            <w:pPr>
              <w:keepNext w:val="0"/>
              <w:keepLines w:val="0"/>
              <w:widowControl/>
              <w:suppressLineNumbers w:val="0"/>
              <w:spacing w:before="0" w:beforeAutospacing="0" w:after="0" w:afterAutospacing="0" w:line="256" w:lineRule="auto"/>
              <w:ind w:left="0" w:right="48"/>
              <w:jc w:val="right"/>
              <w:rPr>
                <w:rFonts w:hint="eastAsia"/>
                <w:sz w:val="20"/>
                <w:szCs w:val="20"/>
                <w:lang w:val="en-US"/>
              </w:rPr>
            </w:pPr>
            <w:r>
              <w:rPr>
                <w:rFonts w:hint="default" w:ascii="Times New Roman" w:hAnsi="Times New Roman" w:eastAsia="Times New Roman" w:cs="Times New Roman"/>
                <w:snapToGrid w:val="0"/>
                <w:color w:val="000000"/>
                <w:kern w:val="2"/>
                <w:sz w:val="16"/>
                <w:szCs w:val="20"/>
                <w:lang w:val="en-US" w:eastAsia="zh-CN" w:bidi="ar"/>
              </w:rPr>
              <w:t xml:space="preserve">470.1 </w:t>
            </w:r>
          </w:p>
        </w:tc>
      </w:tr>
    </w:tbl>
    <w:p>
      <w:pPr>
        <w:spacing w:line="198" w:lineRule="auto"/>
        <w:rPr>
          <w:rFonts w:hint="default" w:ascii="Calibri" w:hAnsi="Calibri" w:eastAsia="Calibri" w:cs="Calibri"/>
          <w:snapToGrid w:val="0"/>
          <w:color w:val="000000"/>
          <w:kern w:val="2"/>
          <w:sz w:val="22"/>
          <w:szCs w:val="22"/>
          <w:lang w:val="en-US" w:eastAsia="zh-CN" w:bidi="ar"/>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cs="Times New Roman"/>
          <w:b/>
          <w:bCs/>
          <w:sz w:val="24"/>
          <w:szCs w:val="24"/>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sans-serif">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auto"/>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Roboto">
    <w:panose1 w:val="02000000000000000000"/>
    <w:charset w:val="00"/>
    <w:family w:val="auto"/>
    <w:pitch w:val="default"/>
    <w:sig w:usb0="E0000AFF" w:usb1="5000217F" w:usb2="0000002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ff2">
    <w:altName w:val="Segoe Print"/>
    <w:panose1 w:val="00000000000000000000"/>
    <w:charset w:val="00"/>
    <w:family w:val="auto"/>
    <w:pitch w:val="default"/>
    <w:sig w:usb0="00000000" w:usb1="00000000" w:usb2="00000000" w:usb3="00000000" w:csb0="00000000" w:csb1="00000000"/>
  </w:font>
  <w:font w:name="NexusSansWebPro">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90751B"/>
    <w:multiLevelType w:val="multilevel"/>
    <w:tmpl w:val="A890751B"/>
    <w:lvl w:ilvl="0" w:tentative="0">
      <w:start w:val="1"/>
      <w:numFmt w:val="decimal"/>
      <w:suff w:val="space"/>
      <w:lvlText w:val="%1."/>
      <w:lvlJc w:val="left"/>
      <w:rPr>
        <w:rFonts w:hint="default"/>
        <w:b/>
        <w:bCs/>
        <w:sz w:val="24"/>
        <w:szCs w:val="24"/>
      </w:rPr>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abstractNum w:abstractNumId="1">
    <w:nsid w:val="D4EAACA3"/>
    <w:multiLevelType w:val="multilevel"/>
    <w:tmpl w:val="D4EAACA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ascii="Times New Roman" w:hAnsi="Times New Roman" w:cs="Times New Roman"/>
        <w:sz w:val="24"/>
        <w:szCs w:val="24"/>
      </w:rPr>
    </w:lvl>
    <w:lvl w:ilvl="2" w:tentative="0">
      <w:start w:val="1"/>
      <w:numFmt w:val="decimal"/>
      <w:suff w:val="space"/>
      <w:lvlText w:val="%1.%2.%3"/>
      <w:lvlJc w:val="left"/>
      <w:pPr>
        <w:ind w:left="0" w:leftChars="0" w:firstLine="0" w:firstLineChars="0"/>
      </w:pPr>
      <w:rPr>
        <w:rFonts w:hint="default" w:ascii="Times New Roman" w:hAnsi="Times New Roman" w:cs="Times New Roman"/>
        <w:b/>
        <w:bCs/>
        <w:sz w:val="24"/>
        <w:szCs w:val="24"/>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zU0ZWY2OTk0M2IwOGI2OGY0MWEzNDNiOWM4ODYifQ=="/>
  </w:docVars>
  <w:rsids>
    <w:rsidRoot w:val="00000000"/>
    <w:rsid w:val="000717DA"/>
    <w:rsid w:val="003A0914"/>
    <w:rsid w:val="005E0AA6"/>
    <w:rsid w:val="007402CA"/>
    <w:rsid w:val="007A0CF5"/>
    <w:rsid w:val="012662E8"/>
    <w:rsid w:val="01341807"/>
    <w:rsid w:val="014A20F2"/>
    <w:rsid w:val="015679D0"/>
    <w:rsid w:val="015C2B0C"/>
    <w:rsid w:val="017D31AE"/>
    <w:rsid w:val="018E19BE"/>
    <w:rsid w:val="01E46D89"/>
    <w:rsid w:val="023870D5"/>
    <w:rsid w:val="027125E7"/>
    <w:rsid w:val="02A209F3"/>
    <w:rsid w:val="02A91D81"/>
    <w:rsid w:val="02B250DA"/>
    <w:rsid w:val="02C941D1"/>
    <w:rsid w:val="02ED1C6E"/>
    <w:rsid w:val="03CC5D27"/>
    <w:rsid w:val="04814D63"/>
    <w:rsid w:val="04A70542"/>
    <w:rsid w:val="04A96068"/>
    <w:rsid w:val="04AE1710"/>
    <w:rsid w:val="04E33A5F"/>
    <w:rsid w:val="04F82B4C"/>
    <w:rsid w:val="04FF3EDA"/>
    <w:rsid w:val="050F55D1"/>
    <w:rsid w:val="052D3B24"/>
    <w:rsid w:val="05362844"/>
    <w:rsid w:val="056D30B8"/>
    <w:rsid w:val="0582430A"/>
    <w:rsid w:val="05924D4E"/>
    <w:rsid w:val="05940AC6"/>
    <w:rsid w:val="05B85040"/>
    <w:rsid w:val="05BE5B43"/>
    <w:rsid w:val="05D47115"/>
    <w:rsid w:val="05EA2DDC"/>
    <w:rsid w:val="06053772"/>
    <w:rsid w:val="061B4D44"/>
    <w:rsid w:val="06430CCF"/>
    <w:rsid w:val="064C314F"/>
    <w:rsid w:val="06572FFE"/>
    <w:rsid w:val="069A3EBB"/>
    <w:rsid w:val="070B6A07"/>
    <w:rsid w:val="077E1A2E"/>
    <w:rsid w:val="07834179"/>
    <w:rsid w:val="07E15B19"/>
    <w:rsid w:val="08206641"/>
    <w:rsid w:val="082208B6"/>
    <w:rsid w:val="086F1377"/>
    <w:rsid w:val="08C47915"/>
    <w:rsid w:val="08CF5189"/>
    <w:rsid w:val="09516A81"/>
    <w:rsid w:val="09DC2C72"/>
    <w:rsid w:val="09F438AE"/>
    <w:rsid w:val="0A122902"/>
    <w:rsid w:val="0A310FDA"/>
    <w:rsid w:val="0A9501C8"/>
    <w:rsid w:val="0B00275A"/>
    <w:rsid w:val="0BF56037"/>
    <w:rsid w:val="0BF901E0"/>
    <w:rsid w:val="0C774C9E"/>
    <w:rsid w:val="0C931AD8"/>
    <w:rsid w:val="0CF63E15"/>
    <w:rsid w:val="0D63331F"/>
    <w:rsid w:val="0DBD4932"/>
    <w:rsid w:val="0DC31439"/>
    <w:rsid w:val="0E0130FC"/>
    <w:rsid w:val="0E1327A4"/>
    <w:rsid w:val="0E1924B1"/>
    <w:rsid w:val="0F0F7410"/>
    <w:rsid w:val="0F3B1FB3"/>
    <w:rsid w:val="0F5A292E"/>
    <w:rsid w:val="0F625791"/>
    <w:rsid w:val="0FB2289F"/>
    <w:rsid w:val="0FFE370C"/>
    <w:rsid w:val="1001144E"/>
    <w:rsid w:val="10060813"/>
    <w:rsid w:val="1070092E"/>
    <w:rsid w:val="10AF2C58"/>
    <w:rsid w:val="10F468BD"/>
    <w:rsid w:val="10F863AD"/>
    <w:rsid w:val="11544228"/>
    <w:rsid w:val="117143B2"/>
    <w:rsid w:val="11877731"/>
    <w:rsid w:val="11951E4E"/>
    <w:rsid w:val="11EE03DD"/>
    <w:rsid w:val="12AD1419"/>
    <w:rsid w:val="12D15108"/>
    <w:rsid w:val="12FC7CAB"/>
    <w:rsid w:val="137D703E"/>
    <w:rsid w:val="13AA5959"/>
    <w:rsid w:val="13C22CA3"/>
    <w:rsid w:val="13D35879"/>
    <w:rsid w:val="13ED41C3"/>
    <w:rsid w:val="14887A48"/>
    <w:rsid w:val="149C7998"/>
    <w:rsid w:val="14C36CD2"/>
    <w:rsid w:val="14D964F6"/>
    <w:rsid w:val="14E65FCF"/>
    <w:rsid w:val="14EF7A20"/>
    <w:rsid w:val="154D47EE"/>
    <w:rsid w:val="155618F4"/>
    <w:rsid w:val="15A72150"/>
    <w:rsid w:val="15BC2DAE"/>
    <w:rsid w:val="162639BD"/>
    <w:rsid w:val="164034DE"/>
    <w:rsid w:val="165247B2"/>
    <w:rsid w:val="16801192"/>
    <w:rsid w:val="16B73C96"/>
    <w:rsid w:val="16D50F3F"/>
    <w:rsid w:val="171F21BA"/>
    <w:rsid w:val="17485BB5"/>
    <w:rsid w:val="174F3A55"/>
    <w:rsid w:val="1752433D"/>
    <w:rsid w:val="17710C68"/>
    <w:rsid w:val="17A27073"/>
    <w:rsid w:val="17E3217F"/>
    <w:rsid w:val="1801286E"/>
    <w:rsid w:val="18090EA0"/>
    <w:rsid w:val="18155A97"/>
    <w:rsid w:val="18510A99"/>
    <w:rsid w:val="18CB25F9"/>
    <w:rsid w:val="18DA6BFB"/>
    <w:rsid w:val="19031D93"/>
    <w:rsid w:val="19061883"/>
    <w:rsid w:val="193D1C1D"/>
    <w:rsid w:val="194C5F25"/>
    <w:rsid w:val="19B60BB4"/>
    <w:rsid w:val="19EE2A43"/>
    <w:rsid w:val="1A141D7E"/>
    <w:rsid w:val="1A293B59"/>
    <w:rsid w:val="1A604FC3"/>
    <w:rsid w:val="1A937147"/>
    <w:rsid w:val="1AE300CE"/>
    <w:rsid w:val="1AE654C9"/>
    <w:rsid w:val="1AF5395E"/>
    <w:rsid w:val="1B223E33"/>
    <w:rsid w:val="1BE834C2"/>
    <w:rsid w:val="1C0F4EF3"/>
    <w:rsid w:val="1C784349"/>
    <w:rsid w:val="1C784846"/>
    <w:rsid w:val="1CF87735"/>
    <w:rsid w:val="1D30365D"/>
    <w:rsid w:val="1DC37D43"/>
    <w:rsid w:val="1DC87107"/>
    <w:rsid w:val="1E1F5102"/>
    <w:rsid w:val="1E2702D2"/>
    <w:rsid w:val="1E5D1F46"/>
    <w:rsid w:val="1E870D71"/>
    <w:rsid w:val="1EAB0F03"/>
    <w:rsid w:val="1ED02718"/>
    <w:rsid w:val="1F5F3A9B"/>
    <w:rsid w:val="1FB5190D"/>
    <w:rsid w:val="1FC971DA"/>
    <w:rsid w:val="2059673D"/>
    <w:rsid w:val="209A0A52"/>
    <w:rsid w:val="211B39F2"/>
    <w:rsid w:val="212D20A3"/>
    <w:rsid w:val="2159764F"/>
    <w:rsid w:val="21997739"/>
    <w:rsid w:val="21AC2EDE"/>
    <w:rsid w:val="21EE41D8"/>
    <w:rsid w:val="228D26CE"/>
    <w:rsid w:val="235002CB"/>
    <w:rsid w:val="23582CDC"/>
    <w:rsid w:val="236C3357"/>
    <w:rsid w:val="2378337E"/>
    <w:rsid w:val="23C6233B"/>
    <w:rsid w:val="23C95987"/>
    <w:rsid w:val="23E5690E"/>
    <w:rsid w:val="24572F93"/>
    <w:rsid w:val="249146F7"/>
    <w:rsid w:val="24997A50"/>
    <w:rsid w:val="249E6E14"/>
    <w:rsid w:val="24CD581B"/>
    <w:rsid w:val="255F65A3"/>
    <w:rsid w:val="25FF38E2"/>
    <w:rsid w:val="262127D4"/>
    <w:rsid w:val="268D5392"/>
    <w:rsid w:val="26DE799C"/>
    <w:rsid w:val="27BA3F65"/>
    <w:rsid w:val="27D8263D"/>
    <w:rsid w:val="28186EDD"/>
    <w:rsid w:val="28812CD5"/>
    <w:rsid w:val="288602EB"/>
    <w:rsid w:val="28DA4193"/>
    <w:rsid w:val="28DF17A9"/>
    <w:rsid w:val="290B259E"/>
    <w:rsid w:val="291458F7"/>
    <w:rsid w:val="293146FB"/>
    <w:rsid w:val="2A611415"/>
    <w:rsid w:val="2AA003B5"/>
    <w:rsid w:val="2AA42CAA"/>
    <w:rsid w:val="2B1C4F36"/>
    <w:rsid w:val="2B2D7144"/>
    <w:rsid w:val="2B597F39"/>
    <w:rsid w:val="2B5E554F"/>
    <w:rsid w:val="2BD15D21"/>
    <w:rsid w:val="2BED4469"/>
    <w:rsid w:val="2C161986"/>
    <w:rsid w:val="2C6C2A6D"/>
    <w:rsid w:val="2C723060"/>
    <w:rsid w:val="2C892158"/>
    <w:rsid w:val="2CA13945"/>
    <w:rsid w:val="2CF55A3F"/>
    <w:rsid w:val="2D053ED4"/>
    <w:rsid w:val="2D4A5D8B"/>
    <w:rsid w:val="2D8A43D9"/>
    <w:rsid w:val="2E0F48DF"/>
    <w:rsid w:val="2E206AEC"/>
    <w:rsid w:val="2E850263"/>
    <w:rsid w:val="2E982B26"/>
    <w:rsid w:val="2F0B4C2F"/>
    <w:rsid w:val="2F1F0B51"/>
    <w:rsid w:val="2F567DE0"/>
    <w:rsid w:val="2FA572A9"/>
    <w:rsid w:val="2FFE4C0B"/>
    <w:rsid w:val="30073ABF"/>
    <w:rsid w:val="30146BDF"/>
    <w:rsid w:val="30360848"/>
    <w:rsid w:val="30D20571"/>
    <w:rsid w:val="30D53BBD"/>
    <w:rsid w:val="31097D0B"/>
    <w:rsid w:val="3115045E"/>
    <w:rsid w:val="31456F95"/>
    <w:rsid w:val="31711D2B"/>
    <w:rsid w:val="31B5579D"/>
    <w:rsid w:val="31F2254D"/>
    <w:rsid w:val="31F75DB5"/>
    <w:rsid w:val="32193F7E"/>
    <w:rsid w:val="329E5D4B"/>
    <w:rsid w:val="32A61CB5"/>
    <w:rsid w:val="32D22AAA"/>
    <w:rsid w:val="331035D3"/>
    <w:rsid w:val="33353039"/>
    <w:rsid w:val="334212B2"/>
    <w:rsid w:val="33DB773D"/>
    <w:rsid w:val="34054AFB"/>
    <w:rsid w:val="343B642D"/>
    <w:rsid w:val="345D2848"/>
    <w:rsid w:val="35260E8C"/>
    <w:rsid w:val="3546508A"/>
    <w:rsid w:val="358B6F41"/>
    <w:rsid w:val="35BA1823"/>
    <w:rsid w:val="35CF4406"/>
    <w:rsid w:val="35E52AF5"/>
    <w:rsid w:val="367D0F7F"/>
    <w:rsid w:val="36987B67"/>
    <w:rsid w:val="36A04C6E"/>
    <w:rsid w:val="36D55BA7"/>
    <w:rsid w:val="36E032BC"/>
    <w:rsid w:val="37C14E9C"/>
    <w:rsid w:val="37D746BF"/>
    <w:rsid w:val="37F94635"/>
    <w:rsid w:val="38247FC1"/>
    <w:rsid w:val="382947EF"/>
    <w:rsid w:val="38303DCF"/>
    <w:rsid w:val="383B4C4E"/>
    <w:rsid w:val="383E473E"/>
    <w:rsid w:val="385B52F0"/>
    <w:rsid w:val="3862667F"/>
    <w:rsid w:val="38D34E86"/>
    <w:rsid w:val="39753FDA"/>
    <w:rsid w:val="39972358"/>
    <w:rsid w:val="399A59A4"/>
    <w:rsid w:val="39A20CFD"/>
    <w:rsid w:val="39E40627"/>
    <w:rsid w:val="39FD29A0"/>
    <w:rsid w:val="3A103EB8"/>
    <w:rsid w:val="3A5A2380"/>
    <w:rsid w:val="3A6A7A6C"/>
    <w:rsid w:val="3AA0523C"/>
    <w:rsid w:val="3ACF78CF"/>
    <w:rsid w:val="3AFF042F"/>
    <w:rsid w:val="3B244975"/>
    <w:rsid w:val="3B6C3370"/>
    <w:rsid w:val="3B912DD7"/>
    <w:rsid w:val="3BBE0E9C"/>
    <w:rsid w:val="3BF5780A"/>
    <w:rsid w:val="3C022969"/>
    <w:rsid w:val="3C410359"/>
    <w:rsid w:val="3C54795B"/>
    <w:rsid w:val="3C681D8A"/>
    <w:rsid w:val="3C85183C"/>
    <w:rsid w:val="3D0B0882"/>
    <w:rsid w:val="3D145A6E"/>
    <w:rsid w:val="3D4F2F4A"/>
    <w:rsid w:val="3DB37034"/>
    <w:rsid w:val="3DFD4754"/>
    <w:rsid w:val="3E0930F8"/>
    <w:rsid w:val="3E265A58"/>
    <w:rsid w:val="3F147FA7"/>
    <w:rsid w:val="3F23643C"/>
    <w:rsid w:val="3F310B59"/>
    <w:rsid w:val="3FB35A12"/>
    <w:rsid w:val="3FC22FF9"/>
    <w:rsid w:val="40460634"/>
    <w:rsid w:val="406A72FE"/>
    <w:rsid w:val="40AD420F"/>
    <w:rsid w:val="40BC08F6"/>
    <w:rsid w:val="414C62F9"/>
    <w:rsid w:val="424E1A22"/>
    <w:rsid w:val="42522137"/>
    <w:rsid w:val="426E5C20"/>
    <w:rsid w:val="429C09DF"/>
    <w:rsid w:val="42A47894"/>
    <w:rsid w:val="42BC4BDD"/>
    <w:rsid w:val="42BC698B"/>
    <w:rsid w:val="42BF46CD"/>
    <w:rsid w:val="42CD0B98"/>
    <w:rsid w:val="43120CA1"/>
    <w:rsid w:val="435A629B"/>
    <w:rsid w:val="43805C0B"/>
    <w:rsid w:val="43CD4BC8"/>
    <w:rsid w:val="43DB1093"/>
    <w:rsid w:val="44305883"/>
    <w:rsid w:val="445E38A7"/>
    <w:rsid w:val="44833B83"/>
    <w:rsid w:val="448A0E85"/>
    <w:rsid w:val="449C6A74"/>
    <w:rsid w:val="449F47B6"/>
    <w:rsid w:val="44F56185"/>
    <w:rsid w:val="452F78E8"/>
    <w:rsid w:val="455530C7"/>
    <w:rsid w:val="45633A36"/>
    <w:rsid w:val="458F65D9"/>
    <w:rsid w:val="459E5E98"/>
    <w:rsid w:val="45AC0F39"/>
    <w:rsid w:val="45CD0EAF"/>
    <w:rsid w:val="45E95E81"/>
    <w:rsid w:val="46222FA9"/>
    <w:rsid w:val="46C6602A"/>
    <w:rsid w:val="46D02A05"/>
    <w:rsid w:val="475A49C5"/>
    <w:rsid w:val="476E221E"/>
    <w:rsid w:val="47B73BC5"/>
    <w:rsid w:val="47E349BA"/>
    <w:rsid w:val="480A63EB"/>
    <w:rsid w:val="4828061F"/>
    <w:rsid w:val="487C235B"/>
    <w:rsid w:val="488A12DA"/>
    <w:rsid w:val="491D01E1"/>
    <w:rsid w:val="49535B70"/>
    <w:rsid w:val="49543DC1"/>
    <w:rsid w:val="498D1081"/>
    <w:rsid w:val="49FE3D2D"/>
    <w:rsid w:val="4A235542"/>
    <w:rsid w:val="4A3634C7"/>
    <w:rsid w:val="4A96265D"/>
    <w:rsid w:val="4A9D52F4"/>
    <w:rsid w:val="4AD54A8E"/>
    <w:rsid w:val="4B245A16"/>
    <w:rsid w:val="4C3E6663"/>
    <w:rsid w:val="4CAC5CC3"/>
    <w:rsid w:val="4CD11285"/>
    <w:rsid w:val="4D1F46E6"/>
    <w:rsid w:val="4D3B0DF4"/>
    <w:rsid w:val="4D7B2E31"/>
    <w:rsid w:val="4D902EEE"/>
    <w:rsid w:val="4D97427D"/>
    <w:rsid w:val="4DAB7D28"/>
    <w:rsid w:val="4DAD3AA0"/>
    <w:rsid w:val="4E2B2C17"/>
    <w:rsid w:val="4E2D4BE1"/>
    <w:rsid w:val="4E4B1494"/>
    <w:rsid w:val="4E636855"/>
    <w:rsid w:val="4E65437B"/>
    <w:rsid w:val="4E6F51FA"/>
    <w:rsid w:val="4E7445BE"/>
    <w:rsid w:val="4E7A6D0A"/>
    <w:rsid w:val="4E7E368F"/>
    <w:rsid w:val="4EB04235"/>
    <w:rsid w:val="4EC76DE4"/>
    <w:rsid w:val="4F443F90"/>
    <w:rsid w:val="4F8922EB"/>
    <w:rsid w:val="4FC357FD"/>
    <w:rsid w:val="4FF534DD"/>
    <w:rsid w:val="502B5E7F"/>
    <w:rsid w:val="5086682B"/>
    <w:rsid w:val="50E7376D"/>
    <w:rsid w:val="50FE1E88"/>
    <w:rsid w:val="51F36142"/>
    <w:rsid w:val="5371731E"/>
    <w:rsid w:val="53755060"/>
    <w:rsid w:val="53D77AC9"/>
    <w:rsid w:val="5495703C"/>
    <w:rsid w:val="5594602E"/>
    <w:rsid w:val="561623FF"/>
    <w:rsid w:val="561A1EEF"/>
    <w:rsid w:val="5647080A"/>
    <w:rsid w:val="566273F2"/>
    <w:rsid w:val="56FE536D"/>
    <w:rsid w:val="57601B83"/>
    <w:rsid w:val="577527BF"/>
    <w:rsid w:val="57EF1159"/>
    <w:rsid w:val="58823D7B"/>
    <w:rsid w:val="58931AE5"/>
    <w:rsid w:val="58B24E9C"/>
    <w:rsid w:val="58EB3CDA"/>
    <w:rsid w:val="5A1F5D26"/>
    <w:rsid w:val="5A75799E"/>
    <w:rsid w:val="5AAE0E58"/>
    <w:rsid w:val="5ABF4E13"/>
    <w:rsid w:val="5AE1122D"/>
    <w:rsid w:val="5B9C5154"/>
    <w:rsid w:val="5BDE39BF"/>
    <w:rsid w:val="5BED775E"/>
    <w:rsid w:val="5C666A3C"/>
    <w:rsid w:val="5C787AB7"/>
    <w:rsid w:val="5C950521"/>
    <w:rsid w:val="5CA82EFD"/>
    <w:rsid w:val="5CB10FE2"/>
    <w:rsid w:val="5CB66B3C"/>
    <w:rsid w:val="5D663C6C"/>
    <w:rsid w:val="5DEA29DF"/>
    <w:rsid w:val="5E1E4546"/>
    <w:rsid w:val="5E2F22B0"/>
    <w:rsid w:val="5E912F6A"/>
    <w:rsid w:val="5EB01642"/>
    <w:rsid w:val="5EBE690B"/>
    <w:rsid w:val="5F87683C"/>
    <w:rsid w:val="5FDB26EF"/>
    <w:rsid w:val="5FFC2665"/>
    <w:rsid w:val="60002155"/>
    <w:rsid w:val="600B1F49"/>
    <w:rsid w:val="603C0CB4"/>
    <w:rsid w:val="60A54AAB"/>
    <w:rsid w:val="615838CB"/>
    <w:rsid w:val="61667A3F"/>
    <w:rsid w:val="622540F5"/>
    <w:rsid w:val="624327CD"/>
    <w:rsid w:val="62A3326C"/>
    <w:rsid w:val="62B86D17"/>
    <w:rsid w:val="62D81168"/>
    <w:rsid w:val="62FD297C"/>
    <w:rsid w:val="642301C1"/>
    <w:rsid w:val="642E6B65"/>
    <w:rsid w:val="644B5969"/>
    <w:rsid w:val="6518584B"/>
    <w:rsid w:val="65270184"/>
    <w:rsid w:val="65515201"/>
    <w:rsid w:val="658438E9"/>
    <w:rsid w:val="658630FD"/>
    <w:rsid w:val="65D73126"/>
    <w:rsid w:val="665723A3"/>
    <w:rsid w:val="669929BC"/>
    <w:rsid w:val="669E2B1C"/>
    <w:rsid w:val="66AD46B9"/>
    <w:rsid w:val="66B07D06"/>
    <w:rsid w:val="66CD4D5B"/>
    <w:rsid w:val="671256BC"/>
    <w:rsid w:val="671B5AC7"/>
    <w:rsid w:val="672C3830"/>
    <w:rsid w:val="674C7A2E"/>
    <w:rsid w:val="675C1E9F"/>
    <w:rsid w:val="678455BD"/>
    <w:rsid w:val="67D22629"/>
    <w:rsid w:val="68104F00"/>
    <w:rsid w:val="68442DFB"/>
    <w:rsid w:val="68727968"/>
    <w:rsid w:val="687C4343"/>
    <w:rsid w:val="68A5389A"/>
    <w:rsid w:val="68B27D65"/>
    <w:rsid w:val="68BE670A"/>
    <w:rsid w:val="68DB550E"/>
    <w:rsid w:val="69005A5E"/>
    <w:rsid w:val="69034A64"/>
    <w:rsid w:val="692A3D9F"/>
    <w:rsid w:val="692F585A"/>
    <w:rsid w:val="69935DE8"/>
    <w:rsid w:val="69F745C9"/>
    <w:rsid w:val="6A0E36C1"/>
    <w:rsid w:val="6A3053E5"/>
    <w:rsid w:val="6A7A48B2"/>
    <w:rsid w:val="6ACF10A2"/>
    <w:rsid w:val="6AFE54E3"/>
    <w:rsid w:val="6B770F66"/>
    <w:rsid w:val="6BBB1626"/>
    <w:rsid w:val="6BEE2744"/>
    <w:rsid w:val="6C0C1E82"/>
    <w:rsid w:val="6CF03552"/>
    <w:rsid w:val="6CF272CA"/>
    <w:rsid w:val="6CFC1EF7"/>
    <w:rsid w:val="6D0668D1"/>
    <w:rsid w:val="6D1A412B"/>
    <w:rsid w:val="6D604233"/>
    <w:rsid w:val="6D77157D"/>
    <w:rsid w:val="6DA34120"/>
    <w:rsid w:val="6E82642B"/>
    <w:rsid w:val="6F101C89"/>
    <w:rsid w:val="6F5161E8"/>
    <w:rsid w:val="6FAD1286"/>
    <w:rsid w:val="6FB71AF7"/>
    <w:rsid w:val="70894095"/>
    <w:rsid w:val="70AD3C34"/>
    <w:rsid w:val="711F7F62"/>
    <w:rsid w:val="713003C1"/>
    <w:rsid w:val="716D6F1F"/>
    <w:rsid w:val="71810C1C"/>
    <w:rsid w:val="71900E5F"/>
    <w:rsid w:val="719646C8"/>
    <w:rsid w:val="71C823A7"/>
    <w:rsid w:val="721E58E3"/>
    <w:rsid w:val="72587BCF"/>
    <w:rsid w:val="72880E54"/>
    <w:rsid w:val="732775A1"/>
    <w:rsid w:val="738A025C"/>
    <w:rsid w:val="73C623AB"/>
    <w:rsid w:val="73DC6178"/>
    <w:rsid w:val="73F73418"/>
    <w:rsid w:val="74237D69"/>
    <w:rsid w:val="74BD01BD"/>
    <w:rsid w:val="75030878"/>
    <w:rsid w:val="75151DA7"/>
    <w:rsid w:val="758A2545"/>
    <w:rsid w:val="75D457BF"/>
    <w:rsid w:val="763E0E8A"/>
    <w:rsid w:val="76EF6628"/>
    <w:rsid w:val="77976AA4"/>
    <w:rsid w:val="77BC1F58"/>
    <w:rsid w:val="78AE5182"/>
    <w:rsid w:val="78D45AD6"/>
    <w:rsid w:val="78E026CC"/>
    <w:rsid w:val="79075EAB"/>
    <w:rsid w:val="79711576"/>
    <w:rsid w:val="79817A0B"/>
    <w:rsid w:val="7A3D1AF3"/>
    <w:rsid w:val="7A7C4677"/>
    <w:rsid w:val="7AA634A2"/>
    <w:rsid w:val="7AC2652D"/>
    <w:rsid w:val="7B18614D"/>
    <w:rsid w:val="7B1F572E"/>
    <w:rsid w:val="7B430CF1"/>
    <w:rsid w:val="7B4F58E7"/>
    <w:rsid w:val="7B784299"/>
    <w:rsid w:val="7C0466D2"/>
    <w:rsid w:val="7C556F2D"/>
    <w:rsid w:val="7D44147C"/>
    <w:rsid w:val="7D9B080E"/>
    <w:rsid w:val="7DB008BF"/>
    <w:rsid w:val="7DBB1012"/>
    <w:rsid w:val="7DEB326C"/>
    <w:rsid w:val="7E5C5697"/>
    <w:rsid w:val="7E747B3F"/>
    <w:rsid w:val="7EA06B86"/>
    <w:rsid w:val="7ECA59B1"/>
    <w:rsid w:val="7EF0118F"/>
    <w:rsid w:val="7FA501CC"/>
    <w:rsid w:val="7FF01447"/>
    <w:rsid w:val="7FF058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5">
    <w:name w:val="toc 3"/>
    <w:basedOn w:val="1"/>
    <w:next w:val="1"/>
    <w:qFormat/>
    <w:uiPriority w:val="0"/>
    <w:pPr>
      <w:ind w:left="840" w:leftChars="400"/>
    </w:pPr>
  </w:style>
  <w:style w:type="paragraph" w:styleId="6">
    <w:name w:val="toc 1"/>
    <w:basedOn w:val="1"/>
    <w:next w:val="1"/>
    <w:qFormat/>
    <w:uiPriority w:val="0"/>
  </w:style>
  <w:style w:type="paragraph" w:styleId="7">
    <w:name w:val="toc 2"/>
    <w:basedOn w:val="1"/>
    <w:next w:val="1"/>
    <w:qFormat/>
    <w:uiPriority w:val="0"/>
    <w:pPr>
      <w:ind w:left="420" w:leftChars="200"/>
    </w:p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Emphasis"/>
    <w:basedOn w:val="11"/>
    <w:qFormat/>
    <w:uiPriority w:val="0"/>
    <w:rPr>
      <w:i/>
    </w:rPr>
  </w:style>
  <w:style w:type="character" w:styleId="13">
    <w:name w:val="Hyperlink"/>
    <w:basedOn w:val="11"/>
    <w:qFormat/>
    <w:uiPriority w:val="0"/>
    <w:rPr>
      <w:color w:val="0000FF"/>
      <w:u w:val="single"/>
    </w:rPr>
  </w:style>
  <w:style w:type="table" w:customStyle="1" w:styleId="14">
    <w:name w:val="TableGrid"/>
    <w:basedOn w:val="9"/>
    <w:qFormat/>
    <w:uiPriority w:val="0"/>
    <w:pPr>
      <w:keepNext w:val="0"/>
      <w:keepLines w:val="0"/>
      <w:widowControl/>
      <w:suppressLineNumbers w:val="0"/>
      <w:spacing w:before="0" w:beforeAutospacing="0" w:after="0" w:afterAutospacing="0"/>
      <w:ind w:left="0" w:right="0"/>
    </w:pPr>
    <w:rPr>
      <w:rFonts w:hint="eastAsia" w:ascii="等线" w:hAnsi="等线" w:eastAsia="等线" w:cs="等线"/>
      <w:kern w:val="2"/>
      <w:sz w:val="21"/>
      <w:szCs w:val="22"/>
    </w:rPr>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2023-03-02T06:41:00Z</dcterms:created>
  <dc:creator>Patrick</dc:creator>
  <cp:lastModifiedBy>文档存本地丢失不负责</cp:lastModifiedBy>
  <dcterms:modified xsi:type="dcterms:W3CDTF">2023-03-13T14:48:20Z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A4F98A604D8F48CC8A4B082D2926C6D2</vt:lpwstr>
  </property>
</Properties>
</file>