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000001" w14:textId="77777777" w:rsidR="00BA00E8" w:rsidRDefault="00000000">
      <w:pPr>
        <w:pStyle w:val="Title"/>
      </w:pPr>
      <w:r>
        <w:t>BA Business Management</w:t>
      </w:r>
    </w:p>
    <w:p w14:paraId="00000002" w14:textId="4F5D633D" w:rsidR="00BA00E8" w:rsidRDefault="0076573F">
      <w:pPr>
        <w:pStyle w:val="Title"/>
      </w:pPr>
      <w:bookmarkStart w:id="0" w:name="_8bu0ofeomhgg" w:colFirst="0" w:colLast="0"/>
      <w:bookmarkEnd w:id="0"/>
      <w:r>
        <w:t>Community Engagement</w:t>
      </w:r>
    </w:p>
    <w:p w14:paraId="00000003" w14:textId="77777777" w:rsidR="00BA00E8" w:rsidRDefault="00000000">
      <w:pPr>
        <w:pStyle w:val="Title"/>
      </w:pPr>
      <w:r>
        <w:t>LCBB4002</w:t>
      </w:r>
    </w:p>
    <w:p w14:paraId="00000004" w14:textId="77777777" w:rsidR="00BA00E8" w:rsidRDefault="00000000">
      <w:pPr>
        <w:pStyle w:val="Title"/>
      </w:pPr>
      <w:bookmarkStart w:id="1" w:name="_qxv34466lhg7" w:colFirst="0" w:colLast="0"/>
      <w:bookmarkEnd w:id="1"/>
      <w:r>
        <w:t>Component 2:</w:t>
      </w:r>
    </w:p>
    <w:p w14:paraId="00000005" w14:textId="77777777" w:rsidR="00BA00E8" w:rsidRDefault="00000000">
      <w:pPr>
        <w:pStyle w:val="Title"/>
      </w:pPr>
      <w:bookmarkStart w:id="2" w:name="_4fu7nc7gi7b0" w:colFirst="0" w:colLast="0"/>
      <w:bookmarkEnd w:id="2"/>
      <w:r>
        <w:t>Coursework: Reflective</w:t>
      </w:r>
    </w:p>
    <w:p w14:paraId="00000006" w14:textId="77777777" w:rsidR="00BA00E8" w:rsidRDefault="00000000">
      <w:pPr>
        <w:pStyle w:val="Title"/>
      </w:pPr>
      <w:bookmarkStart w:id="3" w:name="_s6kah9jglbn1" w:colFirst="0" w:colLast="0"/>
      <w:bookmarkEnd w:id="3"/>
      <w:r>
        <w:t>Evaluation (Report)</w:t>
      </w:r>
    </w:p>
    <w:p w14:paraId="55055439" w14:textId="77777777" w:rsidR="0076573F" w:rsidRDefault="0076573F" w:rsidP="0076573F"/>
    <w:p w14:paraId="7C8A422A" w14:textId="77777777" w:rsidR="0076573F" w:rsidRDefault="0076573F" w:rsidP="0076573F"/>
    <w:p w14:paraId="6603A333" w14:textId="77777777" w:rsidR="0076573F" w:rsidRDefault="0076573F" w:rsidP="0076573F"/>
    <w:p w14:paraId="65ED9538" w14:textId="77777777" w:rsidR="0076573F" w:rsidRDefault="0076573F" w:rsidP="0076573F"/>
    <w:p w14:paraId="33453757" w14:textId="77777777" w:rsidR="0076573F" w:rsidRDefault="0076573F" w:rsidP="0076573F"/>
    <w:p w14:paraId="2F332CB3" w14:textId="77777777" w:rsidR="0076573F" w:rsidRDefault="0076573F" w:rsidP="0076573F"/>
    <w:p w14:paraId="04DD9FF1" w14:textId="77777777" w:rsidR="0076573F" w:rsidRDefault="0076573F" w:rsidP="0076573F"/>
    <w:p w14:paraId="4AB6536A" w14:textId="77777777" w:rsidR="0076573F" w:rsidRDefault="0076573F" w:rsidP="0076573F"/>
    <w:p w14:paraId="6B75ECC4" w14:textId="77777777" w:rsidR="0076573F" w:rsidRDefault="0076573F" w:rsidP="0076573F"/>
    <w:p w14:paraId="45846114" w14:textId="77777777" w:rsidR="0076573F" w:rsidRDefault="0076573F" w:rsidP="0076573F"/>
    <w:p w14:paraId="79E377FC" w14:textId="77777777" w:rsidR="0076573F" w:rsidRDefault="0076573F" w:rsidP="0076573F"/>
    <w:p w14:paraId="71814EAD" w14:textId="0171845B" w:rsidR="0076573F" w:rsidRPr="0076573F" w:rsidRDefault="0076573F" w:rsidP="0076573F">
      <w:pPr>
        <w:rPr>
          <w:b/>
          <w:bCs/>
        </w:rPr>
      </w:pPr>
      <w:r>
        <w:t xml:space="preserve">Name: </w:t>
      </w:r>
      <w:r w:rsidRPr="0076573F">
        <w:rPr>
          <w:b/>
          <w:bCs/>
        </w:rPr>
        <w:t>Dumitru Ciprian Iancu</w:t>
      </w:r>
    </w:p>
    <w:p w14:paraId="49E8917C" w14:textId="2F3B3ABD" w:rsidR="0076573F" w:rsidRPr="0076573F" w:rsidRDefault="0076573F" w:rsidP="0076573F">
      <w:r>
        <w:t xml:space="preserve">Student ID: </w:t>
      </w:r>
      <w:r w:rsidRPr="0076573F">
        <w:rPr>
          <w:b/>
          <w:bCs/>
        </w:rPr>
        <w:t>2133738</w:t>
      </w:r>
    </w:p>
    <w:p w14:paraId="00000007" w14:textId="77777777" w:rsidR="00BA00E8" w:rsidRDefault="00BA00E8">
      <w:pPr>
        <w:pStyle w:val="Title"/>
      </w:pPr>
      <w:bookmarkStart w:id="4" w:name="_ixjmy1ayp0lg" w:colFirst="0" w:colLast="0"/>
      <w:bookmarkEnd w:id="4"/>
    </w:p>
    <w:p w14:paraId="00000008" w14:textId="77777777" w:rsidR="00BA00E8" w:rsidRDefault="00000000">
      <w:r>
        <w:br w:type="page"/>
      </w:r>
    </w:p>
    <w:p w14:paraId="00000009" w14:textId="77777777" w:rsidR="00BA00E8" w:rsidRDefault="00000000">
      <w:pPr>
        <w:jc w:val="center"/>
        <w:rPr>
          <w:b/>
        </w:rPr>
      </w:pPr>
      <w:r>
        <w:rPr>
          <w:b/>
        </w:rPr>
        <w:lastRenderedPageBreak/>
        <w:t>Table of Contents</w:t>
      </w:r>
    </w:p>
    <w:sdt>
      <w:sdtPr>
        <w:id w:val="-56010424"/>
        <w:docPartObj>
          <w:docPartGallery w:val="Table of Contents"/>
          <w:docPartUnique/>
        </w:docPartObj>
      </w:sdtPr>
      <w:sdtContent>
        <w:p w14:paraId="0000000A" w14:textId="77777777" w:rsidR="00BA00E8" w:rsidRDefault="00000000">
          <w:pPr>
            <w:widowControl w:val="0"/>
            <w:tabs>
              <w:tab w:val="right" w:pos="12000"/>
            </w:tabs>
            <w:spacing w:before="60"/>
            <w:jc w:val="left"/>
            <w:rPr>
              <w:b/>
              <w:color w:val="000000"/>
            </w:rPr>
          </w:pPr>
          <w:r>
            <w:fldChar w:fldCharType="begin"/>
          </w:r>
          <w:r>
            <w:instrText xml:space="preserve"> TOC \h \u \z \t "Heading 1,1,Heading 2,2,Heading 3,3,Heading 4,4,Heading 5,5,Heading 6,6,"</w:instrText>
          </w:r>
          <w:r>
            <w:fldChar w:fldCharType="separate"/>
          </w:r>
          <w:hyperlink w:anchor="_2uwjgchg5m2t">
            <w:r>
              <w:rPr>
                <w:b/>
                <w:color w:val="000000"/>
              </w:rPr>
              <w:t>Introduction</w:t>
            </w:r>
            <w:r>
              <w:rPr>
                <w:b/>
                <w:color w:val="000000"/>
              </w:rPr>
              <w:tab/>
              <w:t>2</w:t>
            </w:r>
          </w:hyperlink>
        </w:p>
        <w:p w14:paraId="0000000B" w14:textId="77777777" w:rsidR="00BA00E8" w:rsidRDefault="00000000">
          <w:pPr>
            <w:widowControl w:val="0"/>
            <w:tabs>
              <w:tab w:val="right" w:pos="12000"/>
            </w:tabs>
            <w:spacing w:before="60"/>
            <w:jc w:val="left"/>
            <w:rPr>
              <w:b/>
              <w:color w:val="000000"/>
            </w:rPr>
          </w:pPr>
          <w:hyperlink w:anchor="_rmcu506o6hqn">
            <w:r>
              <w:rPr>
                <w:b/>
                <w:color w:val="000000"/>
              </w:rPr>
              <w:t>Description of the Project:</w:t>
            </w:r>
            <w:r>
              <w:rPr>
                <w:b/>
                <w:color w:val="000000"/>
              </w:rPr>
              <w:tab/>
              <w:t>2</w:t>
            </w:r>
          </w:hyperlink>
        </w:p>
        <w:p w14:paraId="0000000C" w14:textId="77777777" w:rsidR="00BA00E8" w:rsidRDefault="00000000">
          <w:pPr>
            <w:widowControl w:val="0"/>
            <w:tabs>
              <w:tab w:val="right" w:pos="12000"/>
            </w:tabs>
            <w:spacing w:before="60"/>
            <w:jc w:val="left"/>
            <w:rPr>
              <w:b/>
              <w:color w:val="000000"/>
            </w:rPr>
          </w:pPr>
          <w:hyperlink w:anchor="_dpqv81iicpv2">
            <w:r>
              <w:rPr>
                <w:b/>
                <w:color w:val="000000"/>
              </w:rPr>
              <w:t>Justifications to Aims and Objectives:</w:t>
            </w:r>
            <w:r>
              <w:rPr>
                <w:b/>
                <w:color w:val="000000"/>
              </w:rPr>
              <w:tab/>
              <w:t>2</w:t>
            </w:r>
          </w:hyperlink>
        </w:p>
        <w:p w14:paraId="0000000D" w14:textId="77777777" w:rsidR="00BA00E8" w:rsidRDefault="00000000">
          <w:pPr>
            <w:widowControl w:val="0"/>
            <w:tabs>
              <w:tab w:val="right" w:pos="12000"/>
            </w:tabs>
            <w:spacing w:before="60"/>
            <w:jc w:val="left"/>
            <w:rPr>
              <w:b/>
              <w:color w:val="000000"/>
            </w:rPr>
          </w:pPr>
          <w:hyperlink w:anchor="_duqd8gf9u71z">
            <w:r>
              <w:rPr>
                <w:b/>
                <w:color w:val="000000"/>
              </w:rPr>
              <w:t>Analysis of Adopted Community Engagement Approaches:</w:t>
            </w:r>
            <w:r>
              <w:rPr>
                <w:b/>
                <w:color w:val="000000"/>
              </w:rPr>
              <w:tab/>
              <w:t>3</w:t>
            </w:r>
          </w:hyperlink>
        </w:p>
        <w:p w14:paraId="0000000E" w14:textId="77777777" w:rsidR="00BA00E8" w:rsidRDefault="00000000">
          <w:pPr>
            <w:widowControl w:val="0"/>
            <w:tabs>
              <w:tab w:val="right" w:pos="12000"/>
            </w:tabs>
            <w:spacing w:before="60"/>
            <w:jc w:val="left"/>
            <w:rPr>
              <w:b/>
              <w:color w:val="000000"/>
            </w:rPr>
          </w:pPr>
          <w:hyperlink w:anchor="_4e3ity91u3mi">
            <w:r>
              <w:rPr>
                <w:b/>
                <w:color w:val="000000"/>
              </w:rPr>
              <w:t>Reflection on What Could Have Been Done Differently:</w:t>
            </w:r>
            <w:r>
              <w:rPr>
                <w:b/>
                <w:color w:val="000000"/>
              </w:rPr>
              <w:tab/>
              <w:t>3</w:t>
            </w:r>
          </w:hyperlink>
        </w:p>
        <w:p w14:paraId="0000000F" w14:textId="77777777" w:rsidR="00BA00E8" w:rsidRDefault="00000000">
          <w:pPr>
            <w:widowControl w:val="0"/>
            <w:tabs>
              <w:tab w:val="right" w:pos="12000"/>
            </w:tabs>
            <w:spacing w:before="60"/>
            <w:jc w:val="left"/>
            <w:rPr>
              <w:b/>
              <w:color w:val="000000"/>
            </w:rPr>
          </w:pPr>
          <w:hyperlink w:anchor="_bn5k3tpcan8y">
            <w:r>
              <w:rPr>
                <w:b/>
                <w:color w:val="000000"/>
              </w:rPr>
              <w:t>Impact of Active Consultation, Communication, and Stakeholders' Participation:</w:t>
            </w:r>
            <w:r>
              <w:rPr>
                <w:b/>
                <w:color w:val="000000"/>
              </w:rPr>
              <w:tab/>
              <w:t>3</w:t>
            </w:r>
          </w:hyperlink>
        </w:p>
        <w:p w14:paraId="00000010" w14:textId="77777777" w:rsidR="00BA00E8" w:rsidRDefault="00000000">
          <w:pPr>
            <w:widowControl w:val="0"/>
            <w:tabs>
              <w:tab w:val="right" w:pos="12000"/>
            </w:tabs>
            <w:spacing w:before="60"/>
            <w:jc w:val="left"/>
            <w:rPr>
              <w:b/>
              <w:color w:val="000000"/>
            </w:rPr>
          </w:pPr>
          <w:hyperlink w:anchor="_3s9ybewchjc3">
            <w:r>
              <w:rPr>
                <w:b/>
                <w:color w:val="000000"/>
              </w:rPr>
              <w:t>Impact of Diversity and Inclusion:</w:t>
            </w:r>
            <w:r>
              <w:rPr>
                <w:b/>
                <w:color w:val="000000"/>
              </w:rPr>
              <w:tab/>
              <w:t>4</w:t>
            </w:r>
          </w:hyperlink>
        </w:p>
        <w:p w14:paraId="00000011" w14:textId="77777777" w:rsidR="00BA00E8" w:rsidRDefault="00000000">
          <w:pPr>
            <w:widowControl w:val="0"/>
            <w:tabs>
              <w:tab w:val="right" w:pos="12000"/>
            </w:tabs>
            <w:spacing w:before="60"/>
            <w:jc w:val="left"/>
            <w:rPr>
              <w:b/>
              <w:color w:val="000000"/>
            </w:rPr>
          </w:pPr>
          <w:hyperlink w:anchor="_7hv6r1cun3ty">
            <w:r>
              <w:rPr>
                <w:b/>
                <w:color w:val="000000"/>
              </w:rPr>
              <w:t>Impact of Multi-Agency Collaborations:</w:t>
            </w:r>
            <w:r>
              <w:rPr>
                <w:b/>
                <w:color w:val="000000"/>
              </w:rPr>
              <w:tab/>
              <w:t>4</w:t>
            </w:r>
          </w:hyperlink>
        </w:p>
        <w:p w14:paraId="00000012" w14:textId="77777777" w:rsidR="00BA00E8" w:rsidRDefault="00000000">
          <w:pPr>
            <w:widowControl w:val="0"/>
            <w:tabs>
              <w:tab w:val="right" w:pos="12000"/>
            </w:tabs>
            <w:spacing w:before="60"/>
            <w:jc w:val="left"/>
            <w:rPr>
              <w:b/>
              <w:color w:val="000000"/>
            </w:rPr>
          </w:pPr>
          <w:hyperlink w:anchor="_3laid3tmpfn8">
            <w:r>
              <w:rPr>
                <w:b/>
                <w:color w:val="000000"/>
              </w:rPr>
              <w:t>Research Methodology and Community Mapping:</w:t>
            </w:r>
            <w:r>
              <w:rPr>
                <w:b/>
                <w:color w:val="000000"/>
              </w:rPr>
              <w:tab/>
              <w:t>5</w:t>
            </w:r>
          </w:hyperlink>
        </w:p>
        <w:p w14:paraId="00000013" w14:textId="77777777" w:rsidR="00BA00E8" w:rsidRDefault="00000000">
          <w:pPr>
            <w:widowControl w:val="0"/>
            <w:tabs>
              <w:tab w:val="right" w:pos="12000"/>
            </w:tabs>
            <w:spacing w:before="60"/>
            <w:jc w:val="left"/>
            <w:rPr>
              <w:b/>
              <w:color w:val="000000"/>
            </w:rPr>
          </w:pPr>
          <w:hyperlink w:anchor="_7nzrd1z10i0">
            <w:r>
              <w:rPr>
                <w:b/>
                <w:color w:val="000000"/>
              </w:rPr>
              <w:t>Social Engagement through Social Media Platforms:</w:t>
            </w:r>
            <w:r>
              <w:rPr>
                <w:b/>
                <w:color w:val="000000"/>
              </w:rPr>
              <w:tab/>
              <w:t>5</w:t>
            </w:r>
          </w:hyperlink>
        </w:p>
        <w:p w14:paraId="00000014" w14:textId="77777777" w:rsidR="00BA00E8" w:rsidRDefault="00000000">
          <w:pPr>
            <w:widowControl w:val="0"/>
            <w:tabs>
              <w:tab w:val="right" w:pos="12000"/>
            </w:tabs>
            <w:spacing w:before="60"/>
            <w:jc w:val="left"/>
            <w:rPr>
              <w:b/>
              <w:color w:val="000000"/>
            </w:rPr>
          </w:pPr>
          <w:hyperlink w:anchor="_muv4q7610f3b">
            <w:r>
              <w:rPr>
                <w:b/>
                <w:color w:val="000000"/>
              </w:rPr>
              <w:t>Justification of Best Practices:</w:t>
            </w:r>
            <w:r>
              <w:rPr>
                <w:b/>
                <w:color w:val="000000"/>
              </w:rPr>
              <w:tab/>
              <w:t>5</w:t>
            </w:r>
          </w:hyperlink>
        </w:p>
        <w:p w14:paraId="00000015" w14:textId="77777777" w:rsidR="00BA00E8" w:rsidRDefault="00000000">
          <w:pPr>
            <w:widowControl w:val="0"/>
            <w:tabs>
              <w:tab w:val="right" w:pos="12000"/>
            </w:tabs>
            <w:spacing w:before="60"/>
            <w:jc w:val="left"/>
            <w:rPr>
              <w:b/>
              <w:color w:val="000000"/>
            </w:rPr>
          </w:pPr>
          <w:hyperlink w:anchor="_edytdu2wmc0v">
            <w:r>
              <w:rPr>
                <w:b/>
                <w:color w:val="000000"/>
              </w:rPr>
              <w:t>Conclusion</w:t>
            </w:r>
            <w:r>
              <w:rPr>
                <w:b/>
                <w:color w:val="000000"/>
              </w:rPr>
              <w:tab/>
              <w:t>6</w:t>
            </w:r>
          </w:hyperlink>
        </w:p>
        <w:p w14:paraId="00000016" w14:textId="77777777" w:rsidR="00BA00E8" w:rsidRDefault="00000000">
          <w:pPr>
            <w:widowControl w:val="0"/>
            <w:tabs>
              <w:tab w:val="right" w:pos="12000"/>
            </w:tabs>
            <w:spacing w:before="60"/>
            <w:jc w:val="left"/>
            <w:rPr>
              <w:b/>
              <w:color w:val="000000"/>
            </w:rPr>
          </w:pPr>
          <w:hyperlink w:anchor="_qvqz0he0c2ye">
            <w:r>
              <w:rPr>
                <w:b/>
                <w:color w:val="000000"/>
              </w:rPr>
              <w:t>Reference</w:t>
            </w:r>
            <w:r>
              <w:rPr>
                <w:b/>
                <w:color w:val="000000"/>
              </w:rPr>
              <w:tab/>
              <w:t>8</w:t>
            </w:r>
          </w:hyperlink>
          <w:r>
            <w:fldChar w:fldCharType="end"/>
          </w:r>
        </w:p>
      </w:sdtContent>
    </w:sdt>
    <w:p w14:paraId="00000017" w14:textId="77777777" w:rsidR="00BA00E8" w:rsidRDefault="00BA00E8">
      <w:pPr>
        <w:rPr>
          <w:b/>
        </w:rPr>
      </w:pPr>
    </w:p>
    <w:p w14:paraId="00000018" w14:textId="77777777" w:rsidR="00BA00E8" w:rsidRDefault="00000000">
      <w:pPr>
        <w:pStyle w:val="Heading1"/>
      </w:pPr>
      <w:bookmarkStart w:id="5" w:name="_sbwf2fzaem3t" w:colFirst="0" w:colLast="0"/>
      <w:bookmarkEnd w:id="5"/>
      <w:r>
        <w:br w:type="page"/>
      </w:r>
    </w:p>
    <w:p w14:paraId="00000019" w14:textId="77777777" w:rsidR="00BA00E8" w:rsidRDefault="00000000">
      <w:pPr>
        <w:pStyle w:val="Heading1"/>
      </w:pPr>
      <w:bookmarkStart w:id="6" w:name="_2uwjgchg5m2t" w:colFirst="0" w:colLast="0"/>
      <w:bookmarkEnd w:id="6"/>
      <w:r>
        <w:lastRenderedPageBreak/>
        <w:t xml:space="preserve">Introduction </w:t>
      </w:r>
    </w:p>
    <w:p w14:paraId="0000001A" w14:textId="77777777" w:rsidR="00BA00E8" w:rsidRDefault="00000000">
      <w:r>
        <w:t>The "Green Streets Initiative" is a dynamic community engagement idea that addresses urban social and environmental challenges. This East London transformation project has been a fascinating tapestry for community engagement practitioners. The effort to improve the environment, offer community places, and promote awareness is a model for modern community development. Our reflective evaluation investigates the project's aims, rationale, methodology, and impact of diverse and inclusive engagement. We reflect to learn, celebrate successes, and identify community participation improvements as we traverse this community-led project. The "Green Streets Initiative" began in a town with limited green spaces and poor environmental awareness. The project sought to improve urban landscapes, neighborhood pride, education, and society. To realize its revolutionary potential, the initiative incorporated local individuals, community organizations, schools, and companies. Urban transformation and environmental awareness were predicted, generating a positive shift narrative. As we consider the "Green Streets Initiative," we consider its inception, implementation, and major influence on the community it was designed to improve.</w:t>
      </w:r>
    </w:p>
    <w:p w14:paraId="0000001B" w14:textId="77777777" w:rsidR="00BA00E8" w:rsidRDefault="00000000">
      <w:pPr>
        <w:pStyle w:val="Heading1"/>
      </w:pPr>
      <w:bookmarkStart w:id="7" w:name="_rmcu506o6hqn" w:colFirst="0" w:colLast="0"/>
      <w:bookmarkEnd w:id="7"/>
      <w:r>
        <w:t>Description of the Project:</w:t>
      </w:r>
    </w:p>
    <w:p w14:paraId="0000001C" w14:textId="77777777" w:rsidR="00BA00E8" w:rsidRDefault="00000000">
      <w:r>
        <w:t>The program was initiated as a consequence of a desire to address environmental degradation and a demand for new common spaces in East London. The "Green Streets Initiative" was the beginning point for the initiative. Enhancing social relationships, reviving cityscapes, cultivating a better sense of civic pride, and equipping young people with the skills necessary to be successful as adults were some of the goals that were aimed to be accomplished (Diva, 2019). In the end, the strategic engagement of the project was significantly increased as a result of the participation of local residents, businesses, and organizations in the project. There is a hypothesis that a change in urban aesthetics will coincide with an increase in environmental consciousness that is proportional to the difference in aesthetics.</w:t>
      </w:r>
    </w:p>
    <w:p w14:paraId="0000001D" w14:textId="77777777" w:rsidR="00BA00E8" w:rsidRDefault="00000000">
      <w:pPr>
        <w:pStyle w:val="Heading1"/>
      </w:pPr>
      <w:bookmarkStart w:id="8" w:name="_dpqv81iicpv2" w:colFirst="0" w:colLast="0"/>
      <w:bookmarkEnd w:id="8"/>
      <w:r>
        <w:t>Justifications to Aims and Objectives:</w:t>
      </w:r>
    </w:p>
    <w:p w14:paraId="0000001E" w14:textId="77777777" w:rsidR="00BA00E8" w:rsidRDefault="00000000">
      <w:r>
        <w:t xml:space="preserve">The "Green Streets Initiative" was able to successfully accomplish its goals because it was able to meet a genuine demand that existed within the community. After conducting comprehensive needs evaluations through the use of questionnaires and workshops, it was discovered that there is a significant demand for green areas (WF, 2021). The objectives of the project were supported by a number of community development goals, which included the enhancement of the environment, the development of relationships within the community, and the promotion of educational achievement. When it comes to the responsiveness of the community, it is vital </w:t>
      </w:r>
      <w:r>
        <w:lastRenderedPageBreak/>
        <w:t>to have a strategy that places a priority on the needs and wishes of the members of the community and makes an attempt to satisfy those demands.</w:t>
      </w:r>
    </w:p>
    <w:p w14:paraId="0000001F" w14:textId="77777777" w:rsidR="00BA00E8" w:rsidRDefault="00000000">
      <w:pPr>
        <w:pStyle w:val="Heading1"/>
      </w:pPr>
      <w:bookmarkStart w:id="9" w:name="_duqd8gf9u71z" w:colFirst="0" w:colLast="0"/>
      <w:bookmarkEnd w:id="9"/>
      <w:r>
        <w:t>Analysis of Adopted Community Engagement Approaches:</w:t>
      </w:r>
    </w:p>
    <w:p w14:paraId="00000020" w14:textId="77777777" w:rsidR="00BA00E8" w:rsidRDefault="00000000">
      <w:r>
        <w:t xml:space="preserve">The "Green Streets Initiative" was successful in achieving its goals for community engagement because it was able to build upon the foundation that was established by prior involvement projects. The significance of hosting seminars that allowed for unrestricted conversation between participants who came from a wide range of backgrounds grew more and more obvious through the course of the event (Butt </w:t>
      </w:r>
      <w:r>
        <w:rPr>
          <w:i/>
        </w:rPr>
        <w:t>et al</w:t>
      </w:r>
      <w:r>
        <w:t>., 2022). The initiative has a diverse pool of participants, which is a reflection of the openness of the minds and hearts of the people who are participating in the project. The persons who engaged in the project made use of contemporary ways of communication by sharing information through a number of web platforms and social media. It was vital to recruit volunteers in order to accomplish the goals of adequately allocating responsibilities and building a cohesive society in which individuals took pleasure in their work.</w:t>
      </w:r>
    </w:p>
    <w:p w14:paraId="00000021" w14:textId="77777777" w:rsidR="00BA00E8" w:rsidRDefault="00000000">
      <w:pPr>
        <w:pStyle w:val="Heading1"/>
      </w:pPr>
      <w:bookmarkStart w:id="10" w:name="_4e3ity91u3mi" w:colFirst="0" w:colLast="0"/>
      <w:bookmarkEnd w:id="10"/>
      <w:r>
        <w:t>Reflection on What Could Have Been Done Differently:</w:t>
      </w:r>
    </w:p>
    <w:p w14:paraId="00000022" w14:textId="77777777" w:rsidR="00BA00E8" w:rsidRDefault="00000000">
      <w:r>
        <w:t>It is impossible to stress the significance of retaining a development mindset and being ready to adapt to new circumstances, regardless of the success or failure of the project. It is of the utmost importance to conduct research into the participation rates of specific demographic groupings (</w:t>
      </w:r>
      <w:proofErr w:type="spellStart"/>
      <w:r>
        <w:t>Portlandsto</w:t>
      </w:r>
      <w:proofErr w:type="spellEnd"/>
      <w:r>
        <w:t>, 2023). If we want our community to be more diverse and welcoming to people of all backgrounds, we ought to provide more people the opportunity to have a say in the decisions that are made on the priorities and policies of our community. It is possible that the campaign would have been able to get a more diversified representation of the population and a wider diversity of candidates if it had made a conscious effort to seek out neighborhoods with low incomes.</w:t>
      </w:r>
    </w:p>
    <w:p w14:paraId="00000023" w14:textId="77777777" w:rsidR="00BA00E8" w:rsidRDefault="00000000">
      <w:pPr>
        <w:pStyle w:val="Heading1"/>
      </w:pPr>
      <w:bookmarkStart w:id="11" w:name="_bn5k3tpcan8y" w:colFirst="0" w:colLast="0"/>
      <w:bookmarkEnd w:id="11"/>
      <w:r>
        <w:t>Impact of Active Consultation, Communication, and Stakeholders' Participation:</w:t>
      </w:r>
    </w:p>
    <w:p w14:paraId="00000024" w14:textId="77777777" w:rsidR="00BA00E8" w:rsidRDefault="00000000">
      <w:r>
        <w:t xml:space="preserve">As a consequence of the participation of stakeholders, the upkeep of open lines of communication, and the implementation of active consulting: One of the most important factors that contributed to the accomplishment of the endeavor was the degree of participation, communication, and consultation that was provided by all of the stakeholders (FR, 2019). There was a heightened sense of appreciation and participation among the members of the community as a result of the fact that there were frequent meetings and surveys. In the process of developing project assessments, local businesses and individuals played a vital part, which </w:t>
      </w:r>
      <w:r>
        <w:lastRenderedPageBreak/>
        <w:t>ultimately led to the evaluations being more dependable and consistent over the course of time. According to these strategies, including project stakeholders in the project makes the community feel more invested in the project, which in turn enhances the legitimacy of the project and the support it receives (</w:t>
      </w:r>
      <w:proofErr w:type="spellStart"/>
      <w:r>
        <w:t>Streimikiene</w:t>
      </w:r>
      <w:proofErr w:type="spellEnd"/>
      <w:r>
        <w:t xml:space="preserve"> </w:t>
      </w:r>
      <w:r>
        <w:rPr>
          <w:i/>
        </w:rPr>
        <w:t>et al</w:t>
      </w:r>
      <w:r>
        <w:t>., 2021). Moreover, the community feels supported more by the project.</w:t>
      </w:r>
    </w:p>
    <w:p w14:paraId="00000025" w14:textId="77777777" w:rsidR="00BA00E8" w:rsidRDefault="00000000">
      <w:pPr>
        <w:pStyle w:val="Heading1"/>
      </w:pPr>
      <w:bookmarkStart w:id="12" w:name="_3s9ybewchjc3" w:colFirst="0" w:colLast="0"/>
      <w:bookmarkEnd w:id="12"/>
      <w:r>
        <w:t>Impact of Diversity and Inclusion:</w:t>
      </w:r>
    </w:p>
    <w:p w14:paraId="00000026" w14:textId="77777777" w:rsidR="00BA00E8" w:rsidRDefault="00000000">
      <w:r>
        <w:t>In addition to being one of the most important factors that contributed to the success of the "Green Streets Initiative," the focus that was placed on diversity and inclusiveness was also quite crucial. An effort was made to design the buildings and amenities of the project in such a way that they would be representative of the various ethnic groups who would be residing in the town (HC, 2019). One of the most important factors that contributed considerably to the amazing success of the inclusive seminars was the enthusiastic engagement of people of the community in the brainstorming sessions. Two things occurred as a result of this: first, it drew a bigger number of people to engage in the project, and second, it reinforced the relationships among the participants by bringing them together in a shared respect of variety. Both of these outcomes were a direct result of this (Mansoor, 2021). Because of the sincere efforts that were made to embrace a diversity of perspectives for everyone to take into consideration, the program was open to participation from every member of the community from the very beginning.</w:t>
      </w:r>
    </w:p>
    <w:p w14:paraId="00000027" w14:textId="77777777" w:rsidR="00BA00E8" w:rsidRDefault="00000000">
      <w:pPr>
        <w:pStyle w:val="Heading1"/>
      </w:pPr>
      <w:bookmarkStart w:id="13" w:name="_7hv6r1cun3ty" w:colFirst="0" w:colLast="0"/>
      <w:bookmarkEnd w:id="13"/>
      <w:r>
        <w:t>Impact of Multi-Agency Collaborations:</w:t>
      </w:r>
    </w:p>
    <w:p w14:paraId="00000028" w14:textId="77777777" w:rsidR="00BA00E8" w:rsidRDefault="00000000">
      <w:r>
        <w:t xml:space="preserve">The success of the "Green Streets Initiative," which was a cooperation of local groups, schools, and businesses, is a shining illustration of the relevance of such collaborations. The initiative was a partnership between several entities. The combination of knowledge and resources that were made available by these collaborations resulted in a major expansion of the project's potential. This enhancement was made possible as a result of the partnerships (Price-Whelan </w:t>
      </w:r>
      <w:r>
        <w:rPr>
          <w:i/>
        </w:rPr>
        <w:t>et al</w:t>
      </w:r>
      <w:r>
        <w:t>., 2022). The planning of the presentations was the responsibility of community organizations, corporations contributed financial contributions, and schools were principally responsible for the creation of the materials. The outcomes illustrate how effective a coherent and cohesive group of people can be in achieving their goals. The idea's prospects of being successful and sustainable for a long time were boosted as a consequence of the participation of numerous parties in order to make it a reality. This was done in order to make the idea a reality. Through the efforts of these individuals working together, the effectiveness of the program was enhanced.</w:t>
      </w:r>
    </w:p>
    <w:p w14:paraId="00000029" w14:textId="77777777" w:rsidR="00BA00E8" w:rsidRDefault="00000000">
      <w:pPr>
        <w:pStyle w:val="Heading1"/>
      </w:pPr>
      <w:bookmarkStart w:id="14" w:name="_3laid3tmpfn8" w:colFirst="0" w:colLast="0"/>
      <w:bookmarkEnd w:id="14"/>
      <w:r>
        <w:lastRenderedPageBreak/>
        <w:t>Research Methodology and Community Mapping:</w:t>
      </w:r>
    </w:p>
    <w:p w14:paraId="0000002A" w14:textId="77777777" w:rsidR="00BA00E8" w:rsidRDefault="00000000">
      <w:r>
        <w:t>The "Green Streets Initiative" carried out a survey of the residents of the neighborhood and held in-person gatherings in order to ascertain the requirements of the community. Due to the fact that we stuck to this strategy to the letter, we were able to successfully fulfill the community's desire for additional green space (</w:t>
      </w:r>
      <w:proofErr w:type="spellStart"/>
      <w:r>
        <w:t>Nacto</w:t>
      </w:r>
      <w:proofErr w:type="spellEnd"/>
      <w:r>
        <w:t>, 2019). The mapping of the community was essential in order to acquire an understanding of the social structure of the community and to ascertain the location of resources that were of assistance. When mapping is utilized, it is feasible to establish a more nuanced and context-specific approach by displaying the distribution of resources and tailoring the project to the different characteristics of diverse community sites. This is made possible through the employment of mapping.</w:t>
      </w:r>
    </w:p>
    <w:p w14:paraId="0000002B" w14:textId="77777777" w:rsidR="00BA00E8" w:rsidRDefault="00000000">
      <w:pPr>
        <w:pStyle w:val="Heading1"/>
      </w:pPr>
      <w:bookmarkStart w:id="15" w:name="_7nzrd1z10i0" w:colFirst="0" w:colLast="0"/>
      <w:bookmarkEnd w:id="15"/>
      <w:r>
        <w:t>Social Engagement through Social Media Platforms:</w:t>
      </w:r>
    </w:p>
    <w:p w14:paraId="0000002C" w14:textId="77777777" w:rsidR="00BA00E8" w:rsidRDefault="00000000">
      <w:r>
        <w:t xml:space="preserve">It was absolutely essential for the "Green Streets Initiative'' to have members actively participate in online forums in order for it to be a successful endeavor. The utilization of social media platforms such as Facebook and Instagram, in addition to web-based discussion forums, made it feasible to have instant communication, to provide status updates, and to collect the opinions of users (Zhang </w:t>
      </w:r>
      <w:r>
        <w:rPr>
          <w:i/>
        </w:rPr>
        <w:t>et al</w:t>
      </w:r>
      <w:r>
        <w:t xml:space="preserve">., 2020). The fact that younger generations have a high level of interest in their communities is one of the most visible </w:t>
      </w:r>
      <w:proofErr w:type="gramStart"/>
      <w:r>
        <w:t>evidence</w:t>
      </w:r>
      <w:proofErr w:type="gramEnd"/>
      <w:r>
        <w:t xml:space="preserve"> of the influence. It is clear to us that the impact could have been substantially greater if we had utilized analytics and targeting that were more precise. This is something that we can see when we look back. It is possible that the analysis of data obtained from social media platforms will lead to the development of interaction strategies that are more precise and productive.</w:t>
      </w:r>
    </w:p>
    <w:p w14:paraId="0000002D" w14:textId="77777777" w:rsidR="00BA00E8" w:rsidRDefault="00000000">
      <w:pPr>
        <w:pStyle w:val="Heading1"/>
      </w:pPr>
      <w:bookmarkStart w:id="16" w:name="_muv4q7610f3b" w:colFirst="0" w:colLast="0"/>
      <w:bookmarkEnd w:id="16"/>
      <w:r>
        <w:t>Justification of Best Practices:</w:t>
      </w:r>
    </w:p>
    <w:p w14:paraId="0000002E" w14:textId="77777777" w:rsidR="00BA00E8" w:rsidRDefault="00000000">
      <w:r>
        <w:t>The "Green Streets Initiative" made use of a wide range of effective strategies, and we selected them on the basis of the influence they had on the final result. It was decided to hold inclusive workshops in order to ensure that the design was culturally competent and appropriate for the audience that was going to view it. This was done in accordance with the concept of community-driven projects. Because of the adaptability of the internet, it is possible to incorporate new forms of communication within a very straightforward manner (</w:t>
      </w:r>
      <w:proofErr w:type="spellStart"/>
      <w:r>
        <w:t>Taori</w:t>
      </w:r>
      <w:proofErr w:type="spellEnd"/>
      <w:r>
        <w:t xml:space="preserve"> and Hashimoto, 2023, July). This opens the door for the kind of continuous two-way conversation that is necessary in this era of digital technology. Each and every individual who is a part of the network is able to attest to the fact that volunteers played a significant role in ensuring the continuation of the project and fostering community involvement. The principles of contemporary community participation, which include being open, transparent, and responsive, </w:t>
      </w:r>
      <w:r>
        <w:lastRenderedPageBreak/>
        <w:t>are substantially complimented by these tactics, which perform wonderfully with them. These principles are to be open, transparent, and responsive.</w:t>
      </w:r>
    </w:p>
    <w:p w14:paraId="0000002F" w14:textId="77777777" w:rsidR="00BA00E8" w:rsidRDefault="00000000">
      <w:pPr>
        <w:pStyle w:val="Heading1"/>
      </w:pPr>
      <w:bookmarkStart w:id="17" w:name="_edytdu2wmc0v" w:colFirst="0" w:colLast="0"/>
      <w:bookmarkEnd w:id="17"/>
      <w:r>
        <w:t xml:space="preserve">Conclusion </w:t>
      </w:r>
    </w:p>
    <w:p w14:paraId="00000030" w14:textId="77777777" w:rsidR="00BA00E8" w:rsidRDefault="00000000">
      <w:r>
        <w:t xml:space="preserve">The "Green Streets Initiative" engages communities </w:t>
      </w:r>
      <w:proofErr w:type="gramStart"/>
      <w:r>
        <w:t>well,</w:t>
      </w:r>
      <w:proofErr w:type="gramEnd"/>
      <w:r>
        <w:t xml:space="preserve"> however it should identify areas for improvement. The initiative matched community needs and generated tangible benefits through inclusivity, transparency, and responsiveness. Principled community-driven projects include needs appraisals and objective alignment with community development goals. Inclusive seminars, online platforms, and volunteer recruitment efforts demonstrate modern community ownership and participation methods. Reflecting on development opportunities improves demographic participation understanding and inclusion strategy. The initiative reached most community segments, but reflection allows for greater representation. A better method for involving hard-to-reach populations could have improved community development and completeness. Community ownership was high throughout the project due to consultation, communication, and stakeholder participation. Regular community meetings, surveys, and stakeholder engagement, including local residents and businesses, have legitimized and sustained the "Green Streets Initiative." variety and inclusion have helped the initiative meet the needs of different community segments and promote social cohesion by celebrating variety. Interagency partnerships with schools, companies, and community organizations are effective. These coalitions' experience and resources improved the program, showing that collective action can build communities. Research, community mapping, and social media helped accomplish the initiative. Needs evaluations led interventions through surveys and seminars, and community mapping targeted distinct communities. Social media allowed real-time updates and community interaction. A closer analysis suggests that strategic analytics and focused outreach may have maximized impact and offered valuable engagement strategy feedback. Modern community engagement values of inclusivity, transparency, and responsiveness guide the "Green Streets </w:t>
      </w:r>
      <w:proofErr w:type="spellStart"/>
      <w:r>
        <w:t>Initiative"'s</w:t>
      </w:r>
      <w:proofErr w:type="spellEnd"/>
      <w:r>
        <w:t xml:space="preserve"> best practices. Along with community-driven activities, inclusive workshops ensured a representative and culturally sensitive design. Real-time communication and participation on online platforms showed flexibility to new communication methods. Volunteer recruitment ensured community involvement and project sustainability, showing commitment to achievement.</w:t>
      </w:r>
    </w:p>
    <w:p w14:paraId="00000031" w14:textId="77777777" w:rsidR="00BA00E8" w:rsidRDefault="00BA00E8"/>
    <w:p w14:paraId="00000032" w14:textId="77777777" w:rsidR="00BA00E8" w:rsidRDefault="00000000">
      <w:pPr>
        <w:rPr>
          <w:b/>
        </w:rPr>
      </w:pPr>
      <w:r>
        <w:br w:type="page"/>
      </w:r>
    </w:p>
    <w:p w14:paraId="00000033" w14:textId="77777777" w:rsidR="00BA00E8" w:rsidRDefault="00000000">
      <w:pPr>
        <w:pStyle w:val="Heading1"/>
      </w:pPr>
      <w:bookmarkStart w:id="18" w:name="_qvqz0he0c2ye" w:colFirst="0" w:colLast="0"/>
      <w:bookmarkEnd w:id="18"/>
      <w:r>
        <w:lastRenderedPageBreak/>
        <w:t>Reference</w:t>
      </w:r>
    </w:p>
    <w:p w14:paraId="00000034" w14:textId="77777777" w:rsidR="00BA00E8" w:rsidRDefault="00000000">
      <w:r>
        <w:t>Diva, 2019, “</w:t>
      </w:r>
      <w:r>
        <w:rPr>
          <w:i/>
        </w:rPr>
        <w:t>Start with the park Creating sustainable urban green spaces in areas of housing growth and renewal</w:t>
      </w:r>
      <w:r>
        <w:t xml:space="preserve">”, Available at: </w:t>
      </w:r>
      <w:hyperlink r:id="rId4">
        <w:r>
          <w:rPr>
            <w:color w:val="1155CC"/>
            <w:u w:val="single"/>
          </w:rPr>
          <w:t>https://www.diva-portal.org/smash/get/diva2:1134199/FULLTEXT01.pdf</w:t>
        </w:r>
      </w:hyperlink>
      <w:r>
        <w:t xml:space="preserve"> [Accessed on 22nd November 2023]</w:t>
      </w:r>
    </w:p>
    <w:p w14:paraId="00000035" w14:textId="77777777" w:rsidR="00BA00E8" w:rsidRDefault="00000000">
      <w:r>
        <w:t xml:space="preserve">Butt, T., </w:t>
      </w:r>
      <w:proofErr w:type="spellStart"/>
      <w:r>
        <w:t>Mohareb</w:t>
      </w:r>
      <w:proofErr w:type="spellEnd"/>
      <w:r>
        <w:t xml:space="preserve">, E., </w:t>
      </w:r>
      <w:proofErr w:type="spellStart"/>
      <w:r>
        <w:t>Egbor</w:t>
      </w:r>
      <w:proofErr w:type="spellEnd"/>
      <w:r>
        <w:t xml:space="preserve">, K., Hashemi, A. and Heidrich, O., 2022. Analysis of greenhouse gas mitigation performance in UK urban areas. </w:t>
      </w:r>
      <w:r>
        <w:rPr>
          <w:i/>
        </w:rPr>
        <w:t>Carbon Management, 13</w:t>
      </w:r>
      <w:r>
        <w:t>(1), pp.463-481.</w:t>
      </w:r>
    </w:p>
    <w:p w14:paraId="00000036" w14:textId="77777777" w:rsidR="00BA00E8" w:rsidRDefault="00000000">
      <w:r>
        <w:t>FR, 2019, “</w:t>
      </w:r>
      <w:r>
        <w:rPr>
          <w:i/>
        </w:rPr>
        <w:t>Street trees</w:t>
      </w:r>
      <w:r>
        <w:t xml:space="preserve">”, Available at: </w:t>
      </w:r>
      <w:hyperlink r:id="rId5">
        <w:r>
          <w:rPr>
            <w:color w:val="1155CC"/>
            <w:u w:val="single"/>
          </w:rPr>
          <w:t>https://www.forestresearch.gov.uk/tools-and-resources/fthr/urban-regeneration-and-greenspace-partnership/greenspace-initiatives/street-trees-2/</w:t>
        </w:r>
      </w:hyperlink>
      <w:r>
        <w:t xml:space="preserve"> [Accessed on 22nd November 2023]</w:t>
      </w:r>
    </w:p>
    <w:p w14:paraId="00000037" w14:textId="77777777" w:rsidR="00BA00E8" w:rsidRDefault="00000000">
      <w:r>
        <w:t>HC, 2019, “</w:t>
      </w:r>
      <w:r>
        <w:rPr>
          <w:i/>
        </w:rPr>
        <w:t>Local Flood Risk Management Strategy</w:t>
      </w:r>
      <w:r>
        <w:t xml:space="preserve">”, Available at: </w:t>
      </w:r>
      <w:hyperlink r:id="rId6">
        <w:r>
          <w:rPr>
            <w:color w:val="1155CC"/>
            <w:u w:val="single"/>
          </w:rPr>
          <w:t>https://www.haringey.gov.uk/sites/haringeygovuk/files/20190730_haringey_lfrms.pdf</w:t>
        </w:r>
      </w:hyperlink>
      <w:r>
        <w:t xml:space="preserve"> [Accessed on 22nd November 2023]</w:t>
      </w:r>
    </w:p>
    <w:p w14:paraId="00000038" w14:textId="77777777" w:rsidR="00BA00E8" w:rsidRDefault="00000000">
      <w:r>
        <w:t xml:space="preserve">Mansoor, M., 2021. Citizens' trust in government as a function of good governance and government agency's provision of quality information on social media during COVID-19. </w:t>
      </w:r>
      <w:r>
        <w:rPr>
          <w:i/>
        </w:rPr>
        <w:t>Government information quarterly, 38</w:t>
      </w:r>
      <w:r>
        <w:t>(4), p.101597.</w:t>
      </w:r>
    </w:p>
    <w:p w14:paraId="00000039" w14:textId="77777777" w:rsidR="00BA00E8" w:rsidRDefault="00000000">
      <w:proofErr w:type="spellStart"/>
      <w:r>
        <w:t>Nacto</w:t>
      </w:r>
      <w:proofErr w:type="spellEnd"/>
      <w:r>
        <w:t>, 2019, “</w:t>
      </w:r>
      <w:r>
        <w:rPr>
          <w:i/>
        </w:rPr>
        <w:t>The forgotten and the future: reclaiming back alleys for a sustainable city</w:t>
      </w:r>
      <w:r>
        <w:t xml:space="preserve">”, Available at: </w:t>
      </w:r>
      <w:hyperlink r:id="rId7">
        <w:r>
          <w:rPr>
            <w:color w:val="1155CC"/>
            <w:u w:val="single"/>
          </w:rPr>
          <w:t>https://nacto.org/docs/usdg/the_forgotten_and_the_future_wolch.pdf</w:t>
        </w:r>
      </w:hyperlink>
      <w:r>
        <w:t xml:space="preserve"> [Accessed on 22nd November 2023]</w:t>
      </w:r>
    </w:p>
    <w:p w14:paraId="0000003A" w14:textId="77777777" w:rsidR="00BA00E8" w:rsidRDefault="00000000">
      <w:proofErr w:type="spellStart"/>
      <w:r>
        <w:t>Portlandsto</w:t>
      </w:r>
      <w:proofErr w:type="spellEnd"/>
      <w:r>
        <w:t>, 2023, “</w:t>
      </w:r>
      <w:r>
        <w:rPr>
          <w:i/>
        </w:rPr>
        <w:t>Placemaking in the Port Lands + Connecting South of Eastern</w:t>
      </w:r>
      <w:r>
        <w:t xml:space="preserve">”, Available at: </w:t>
      </w:r>
      <w:hyperlink r:id="rId8">
        <w:r>
          <w:rPr>
            <w:color w:val="1155CC"/>
            <w:u w:val="single"/>
          </w:rPr>
          <w:t>https://portlandsto.ca/wp-content/uploads/PLPF-Nov.pdf</w:t>
        </w:r>
      </w:hyperlink>
      <w:r>
        <w:t xml:space="preserve"> [Accessed on 22nd November 2023]</w:t>
      </w:r>
    </w:p>
    <w:p w14:paraId="0000003B" w14:textId="77777777" w:rsidR="00BA00E8" w:rsidRDefault="00000000">
      <w:r>
        <w:t xml:space="preserve">Price-Whelan, A.M., Lim, P.L., Earl, N., Starkman, N., Bradley, L., Shupe, D.L., Patil, A.A., Corrales, L., Brasseur, C.E., </w:t>
      </w:r>
      <w:proofErr w:type="spellStart"/>
      <w:r>
        <w:t>Nöthe</w:t>
      </w:r>
      <w:proofErr w:type="spellEnd"/>
      <w:r>
        <w:t xml:space="preserve">, M. and Donath, A., 2022. The </w:t>
      </w:r>
      <w:proofErr w:type="spellStart"/>
      <w:r>
        <w:t>Astropy</w:t>
      </w:r>
      <w:proofErr w:type="spellEnd"/>
      <w:r>
        <w:t xml:space="preserve"> Project: sustaining and growing a community-oriented open-source project and the latest major release (v5. 0) of the core package. </w:t>
      </w:r>
      <w:r>
        <w:rPr>
          <w:i/>
        </w:rPr>
        <w:t>The Astrophysical Journal, 935</w:t>
      </w:r>
      <w:r>
        <w:t>(2), p.167.</w:t>
      </w:r>
    </w:p>
    <w:p w14:paraId="0000003C" w14:textId="77777777" w:rsidR="00BA00E8" w:rsidRDefault="00000000">
      <w:proofErr w:type="spellStart"/>
      <w:r>
        <w:t>Streimikiene</w:t>
      </w:r>
      <w:proofErr w:type="spellEnd"/>
      <w:r>
        <w:t xml:space="preserve">, D., </w:t>
      </w:r>
      <w:proofErr w:type="spellStart"/>
      <w:r>
        <w:t>Svagzdiene</w:t>
      </w:r>
      <w:proofErr w:type="spellEnd"/>
      <w:r>
        <w:t xml:space="preserve">, B., </w:t>
      </w:r>
      <w:proofErr w:type="spellStart"/>
      <w:r>
        <w:t>Jasinskas</w:t>
      </w:r>
      <w:proofErr w:type="spellEnd"/>
      <w:r>
        <w:t xml:space="preserve">, E. and </w:t>
      </w:r>
      <w:proofErr w:type="spellStart"/>
      <w:r>
        <w:t>Simanavicius</w:t>
      </w:r>
      <w:proofErr w:type="spellEnd"/>
      <w:r>
        <w:t xml:space="preserve">, A., 2021. Sustainable tourism development and competitiveness: The systematic literature review. </w:t>
      </w:r>
      <w:r>
        <w:rPr>
          <w:i/>
        </w:rPr>
        <w:t>Sustainable development, 29</w:t>
      </w:r>
      <w:r>
        <w:t>(1), pp.259-271.</w:t>
      </w:r>
    </w:p>
    <w:p w14:paraId="0000003D" w14:textId="77777777" w:rsidR="00BA00E8" w:rsidRDefault="00000000">
      <w:proofErr w:type="spellStart"/>
      <w:r>
        <w:t>Taori</w:t>
      </w:r>
      <w:proofErr w:type="spellEnd"/>
      <w:r>
        <w:t xml:space="preserve">, R. and Hashimoto, T., 2023, July. Data feedback loops: Model-driven amplification of dataset biases. In </w:t>
      </w:r>
      <w:r>
        <w:rPr>
          <w:i/>
        </w:rPr>
        <w:t>International Conference on Machine Learning</w:t>
      </w:r>
      <w:r>
        <w:t xml:space="preserve"> (pp. 33883-33920). PMLR.</w:t>
      </w:r>
    </w:p>
    <w:p w14:paraId="0000003E" w14:textId="77777777" w:rsidR="00BA00E8" w:rsidRDefault="00000000">
      <w:r>
        <w:t>WF, 2021, “</w:t>
      </w:r>
      <w:r>
        <w:rPr>
          <w:i/>
        </w:rPr>
        <w:t>Waltham Forest Climate Change Evidence Base Study</w:t>
      </w:r>
      <w:r>
        <w:t xml:space="preserve">”, Available at: </w:t>
      </w:r>
      <w:hyperlink r:id="rId9">
        <w:r>
          <w:rPr>
            <w:color w:val="1155CC"/>
            <w:u w:val="single"/>
          </w:rPr>
          <w:t>https://www.walthamforest.gov.uk/sites/default/files/2021-12/ke32-waltham-forest-climate-change-evidence-base_0.pdf</w:t>
        </w:r>
      </w:hyperlink>
      <w:r>
        <w:t xml:space="preserve"> [Accessed on 22nd November 2023]</w:t>
      </w:r>
    </w:p>
    <w:p w14:paraId="0000003F" w14:textId="77777777" w:rsidR="00BA00E8" w:rsidRDefault="00000000">
      <w:r>
        <w:lastRenderedPageBreak/>
        <w:t xml:space="preserve">Zhang, Y., Liu, H., Kang, S.C. and Al-Hussein, M., 2020. Virtual reality applications for the built environment: Research trends and opportunities. </w:t>
      </w:r>
      <w:r>
        <w:rPr>
          <w:i/>
        </w:rPr>
        <w:t>Automation in Construction, 118</w:t>
      </w:r>
      <w:r>
        <w:t>, p.103311.</w:t>
      </w:r>
    </w:p>
    <w:sectPr w:rsidR="00BA00E8" w:rsidSect="0059243A">
      <w:pgSz w:w="11906" w:h="16838"/>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0E8"/>
    <w:rsid w:val="0059243A"/>
    <w:rsid w:val="0076573F"/>
    <w:rsid w:val="00BA00E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950BE"/>
  <w15:docId w15:val="{7AA76CC0-1F65-40CA-9569-7F05F6425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semiHidden/>
    <w:unhideWhenUsed/>
    <w:qFormat/>
    <w:pPr>
      <w:keepNext/>
      <w:keepLines/>
      <w:outlineLvl w:val="1"/>
    </w:pPr>
    <w:rPr>
      <w:b/>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40"/>
      <w:szCs w:val="40"/>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portlandsto.ca/wp-content/uploads/PLPF-Nov.pdf" TargetMode="External"/><Relationship Id="rId3" Type="http://schemas.openxmlformats.org/officeDocument/2006/relationships/webSettings" Target="webSettings.xml"/><Relationship Id="rId7" Type="http://schemas.openxmlformats.org/officeDocument/2006/relationships/hyperlink" Target="https://nacto.org/docs/usdg/the_forgotten_and_the_future_wolch.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aringey.gov.uk/sites/haringeygovuk/files/20190730_haringey_lfrms.pdf" TargetMode="External"/><Relationship Id="rId11" Type="http://schemas.openxmlformats.org/officeDocument/2006/relationships/theme" Target="theme/theme1.xml"/><Relationship Id="rId5" Type="http://schemas.openxmlformats.org/officeDocument/2006/relationships/hyperlink" Target="https://www.forestresearch.gov.uk/tools-and-resources/fthr/urban-regeneration-and-greenspace-partnership/greenspace-initiatives/street-trees-2/" TargetMode="External"/><Relationship Id="rId10" Type="http://schemas.openxmlformats.org/officeDocument/2006/relationships/fontTable" Target="fontTable.xml"/><Relationship Id="rId4" Type="http://schemas.openxmlformats.org/officeDocument/2006/relationships/hyperlink" Target="https://www.diva-portal.org/smash/get/diva2:1134199/FULLTEXT01.pdf" TargetMode="External"/><Relationship Id="rId9" Type="http://schemas.openxmlformats.org/officeDocument/2006/relationships/hyperlink" Target="https://www.walthamforest.gov.uk/sites/default/files/2021-12/ke32-waltham-forest-climate-change-evidence-base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2693</Words>
  <Characters>15353</Characters>
  <Application>Microsoft Office Word</Application>
  <DocSecurity>0</DocSecurity>
  <Lines>127</Lines>
  <Paragraphs>36</Paragraphs>
  <ScaleCrop>false</ScaleCrop>
  <Company/>
  <LinksUpToDate>false</LinksUpToDate>
  <CharactersWithSpaces>18010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alexi</dc:creator>
  <cp:lastModifiedBy>Mihaela-Ruxandra Iancu (2133740)</cp:lastModifiedBy>
  <cp:revision>2</cp:revision>
  <dcterms:created xsi:type="dcterms:W3CDTF">2023-11-25T21:17:00Z</dcterms:created>
  <dcterms:modified xsi:type="dcterms:W3CDTF">2023-11-25T21:17:00Z</dcterms:modified>
</cp:coreProperties>
</file>