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8BCAF" w14:textId="77777777" w:rsidR="00D36B26" w:rsidRDefault="00D36B26" w:rsidP="0026202F">
      <w:pPr>
        <w:spacing w:line="360" w:lineRule="auto"/>
        <w:jc w:val="center"/>
        <w:rPr>
          <w:rFonts w:ascii="Times New Roman" w:eastAsia="Times New Roman" w:hAnsi="Times New Roman" w:cs="Times New Roman"/>
          <w:sz w:val="24"/>
          <w:szCs w:val="24"/>
        </w:rPr>
      </w:pPr>
    </w:p>
    <w:p w14:paraId="49BB833B" w14:textId="77777777" w:rsidR="00D36B26" w:rsidRDefault="00D36B26" w:rsidP="0026202F">
      <w:pPr>
        <w:spacing w:line="360" w:lineRule="auto"/>
        <w:jc w:val="center"/>
        <w:rPr>
          <w:rFonts w:ascii="Times New Roman" w:eastAsia="Times New Roman" w:hAnsi="Times New Roman" w:cs="Times New Roman"/>
          <w:sz w:val="24"/>
          <w:szCs w:val="24"/>
        </w:rPr>
      </w:pPr>
    </w:p>
    <w:p w14:paraId="39A6395D" w14:textId="77777777" w:rsidR="00D36B26" w:rsidRDefault="00D36B26" w:rsidP="0026202F">
      <w:pPr>
        <w:spacing w:line="360" w:lineRule="auto"/>
        <w:jc w:val="center"/>
        <w:rPr>
          <w:rFonts w:ascii="Times New Roman" w:eastAsia="Times New Roman" w:hAnsi="Times New Roman" w:cs="Times New Roman"/>
          <w:sz w:val="24"/>
          <w:szCs w:val="24"/>
        </w:rPr>
      </w:pPr>
    </w:p>
    <w:p w14:paraId="38F370D7" w14:textId="32CC29D1" w:rsidR="00D36B26" w:rsidRDefault="0029184F" w:rsidP="0026202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WHAT DOES THE STUDY OF NEANDERTHAL BURIALS TELL US</w:t>
      </w:r>
      <w:r w:rsidR="00345459">
        <w:rPr>
          <w:rFonts w:ascii="Times New Roman" w:eastAsia="Times New Roman" w:hAnsi="Times New Roman" w:cs="Times New Roman"/>
          <w:sz w:val="24"/>
          <w:szCs w:val="24"/>
        </w:rPr>
        <w:t xml:space="preserve"> ABOUT THE AFTERLIFE</w:t>
      </w:r>
      <w:r>
        <w:rPr>
          <w:rFonts w:ascii="Times New Roman" w:eastAsia="Times New Roman" w:hAnsi="Times New Roman" w:cs="Times New Roman"/>
          <w:sz w:val="24"/>
          <w:szCs w:val="24"/>
        </w:rPr>
        <w:t>?</w:t>
      </w:r>
    </w:p>
    <w:p w14:paraId="6E3CA997" w14:textId="77777777" w:rsidR="00D36B26" w:rsidRDefault="00D36B26" w:rsidP="0026202F">
      <w:pPr>
        <w:spacing w:line="360" w:lineRule="auto"/>
        <w:jc w:val="center"/>
        <w:rPr>
          <w:rFonts w:ascii="Times New Roman" w:eastAsia="Times New Roman" w:hAnsi="Times New Roman" w:cs="Times New Roman"/>
          <w:sz w:val="24"/>
          <w:szCs w:val="24"/>
        </w:rPr>
      </w:pPr>
      <w:r w:rsidRPr="6E65E166">
        <w:rPr>
          <w:rFonts w:ascii="Times New Roman" w:eastAsia="Times New Roman" w:hAnsi="Times New Roman" w:cs="Times New Roman"/>
          <w:sz w:val="24"/>
          <w:szCs w:val="24"/>
        </w:rPr>
        <w:t>Evan Davies</w:t>
      </w:r>
    </w:p>
    <w:p w14:paraId="2842FC9E" w14:textId="77777777" w:rsidR="00D36B26" w:rsidRDefault="00D36B26" w:rsidP="0026202F">
      <w:pPr>
        <w:spacing w:line="360" w:lineRule="auto"/>
        <w:jc w:val="center"/>
        <w:rPr>
          <w:rFonts w:ascii="Times New Roman" w:eastAsia="Times New Roman" w:hAnsi="Times New Roman" w:cs="Times New Roman"/>
          <w:sz w:val="24"/>
          <w:szCs w:val="24"/>
        </w:rPr>
      </w:pPr>
    </w:p>
    <w:p w14:paraId="2CE20F7E" w14:textId="77777777" w:rsidR="00D36B26" w:rsidRDefault="00D36B26" w:rsidP="0026202F">
      <w:pPr>
        <w:spacing w:line="360" w:lineRule="auto"/>
        <w:jc w:val="center"/>
        <w:rPr>
          <w:rFonts w:ascii="Times New Roman" w:eastAsia="Times New Roman" w:hAnsi="Times New Roman" w:cs="Times New Roman"/>
          <w:sz w:val="24"/>
          <w:szCs w:val="24"/>
        </w:rPr>
      </w:pPr>
    </w:p>
    <w:p w14:paraId="7779234C" w14:textId="77777777" w:rsidR="00D36B26" w:rsidRDefault="00D36B26" w:rsidP="0026202F">
      <w:pPr>
        <w:spacing w:line="360" w:lineRule="auto"/>
        <w:jc w:val="center"/>
        <w:rPr>
          <w:rFonts w:ascii="Times New Roman" w:eastAsia="Times New Roman" w:hAnsi="Times New Roman" w:cs="Times New Roman"/>
          <w:sz w:val="24"/>
          <w:szCs w:val="24"/>
        </w:rPr>
      </w:pPr>
    </w:p>
    <w:p w14:paraId="7D4C023B" w14:textId="77777777" w:rsidR="00D36B26" w:rsidRDefault="00D36B26" w:rsidP="0026202F">
      <w:pPr>
        <w:spacing w:line="360" w:lineRule="auto"/>
        <w:jc w:val="center"/>
        <w:rPr>
          <w:rFonts w:ascii="Times New Roman" w:eastAsia="Times New Roman" w:hAnsi="Times New Roman" w:cs="Times New Roman"/>
          <w:sz w:val="24"/>
          <w:szCs w:val="24"/>
        </w:rPr>
      </w:pPr>
    </w:p>
    <w:p w14:paraId="67FE99BA" w14:textId="77777777" w:rsidR="00D36B26" w:rsidRDefault="00D36B26" w:rsidP="0026202F">
      <w:pPr>
        <w:spacing w:line="360" w:lineRule="auto"/>
        <w:jc w:val="center"/>
        <w:rPr>
          <w:rFonts w:ascii="Times New Roman" w:eastAsia="Times New Roman" w:hAnsi="Times New Roman" w:cs="Times New Roman"/>
          <w:sz w:val="24"/>
          <w:szCs w:val="24"/>
        </w:rPr>
      </w:pPr>
    </w:p>
    <w:p w14:paraId="2D5C5DFF" w14:textId="77777777" w:rsidR="00D36B26" w:rsidRDefault="00D36B26" w:rsidP="0026202F">
      <w:pPr>
        <w:spacing w:line="360" w:lineRule="auto"/>
        <w:jc w:val="center"/>
        <w:rPr>
          <w:rFonts w:ascii="Times New Roman" w:eastAsia="Times New Roman" w:hAnsi="Times New Roman" w:cs="Times New Roman"/>
          <w:sz w:val="24"/>
          <w:szCs w:val="24"/>
        </w:rPr>
      </w:pPr>
    </w:p>
    <w:p w14:paraId="4B8EC8EB" w14:textId="77777777" w:rsidR="00D36B26" w:rsidRDefault="00D36B26" w:rsidP="0026202F">
      <w:pPr>
        <w:spacing w:line="360" w:lineRule="auto"/>
        <w:jc w:val="center"/>
        <w:rPr>
          <w:rFonts w:ascii="Times New Roman" w:eastAsia="Times New Roman" w:hAnsi="Times New Roman" w:cs="Times New Roman"/>
          <w:sz w:val="24"/>
          <w:szCs w:val="24"/>
        </w:rPr>
      </w:pPr>
    </w:p>
    <w:p w14:paraId="3FBEAB93" w14:textId="77777777" w:rsidR="00D36B26" w:rsidRDefault="00D36B26" w:rsidP="0026202F">
      <w:pPr>
        <w:spacing w:line="360" w:lineRule="auto"/>
        <w:jc w:val="center"/>
        <w:rPr>
          <w:rFonts w:ascii="Times New Roman" w:eastAsia="Times New Roman" w:hAnsi="Times New Roman" w:cs="Times New Roman"/>
          <w:sz w:val="24"/>
          <w:szCs w:val="24"/>
        </w:rPr>
      </w:pPr>
    </w:p>
    <w:p w14:paraId="10C8F5D4" w14:textId="77777777" w:rsidR="00D36B26" w:rsidRDefault="00D36B26" w:rsidP="0026202F">
      <w:pPr>
        <w:spacing w:line="360" w:lineRule="auto"/>
        <w:jc w:val="center"/>
        <w:rPr>
          <w:rFonts w:ascii="Times New Roman" w:eastAsia="Times New Roman" w:hAnsi="Times New Roman" w:cs="Times New Roman"/>
          <w:sz w:val="24"/>
          <w:szCs w:val="24"/>
        </w:rPr>
      </w:pPr>
    </w:p>
    <w:p w14:paraId="088B8E2D" w14:textId="77777777" w:rsidR="00D36B26" w:rsidRDefault="00D36B26" w:rsidP="0026202F">
      <w:pPr>
        <w:spacing w:line="360" w:lineRule="auto"/>
        <w:jc w:val="center"/>
        <w:rPr>
          <w:rFonts w:ascii="Times New Roman" w:eastAsia="Times New Roman" w:hAnsi="Times New Roman" w:cs="Times New Roman"/>
          <w:sz w:val="24"/>
          <w:szCs w:val="24"/>
        </w:rPr>
      </w:pPr>
    </w:p>
    <w:p w14:paraId="6CDA04C0" w14:textId="77777777" w:rsidR="00D36B26" w:rsidRDefault="00D36B26" w:rsidP="0026202F">
      <w:pPr>
        <w:spacing w:line="360" w:lineRule="auto"/>
        <w:jc w:val="center"/>
        <w:rPr>
          <w:rFonts w:ascii="Times New Roman" w:eastAsia="Times New Roman" w:hAnsi="Times New Roman" w:cs="Times New Roman"/>
          <w:sz w:val="24"/>
          <w:szCs w:val="24"/>
        </w:rPr>
      </w:pPr>
    </w:p>
    <w:p w14:paraId="02F520A1" w14:textId="4BC6CF9E" w:rsidR="00D36B26" w:rsidRDefault="00D36B26" w:rsidP="0026202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Death, Burial and the </w:t>
      </w:r>
      <w:r w:rsidR="00475914">
        <w:rPr>
          <w:rFonts w:ascii="Times New Roman" w:eastAsia="Times New Roman" w:hAnsi="Times New Roman" w:cs="Times New Roman"/>
          <w:sz w:val="24"/>
          <w:szCs w:val="24"/>
        </w:rPr>
        <w:t>A</w:t>
      </w:r>
      <w:r>
        <w:rPr>
          <w:rFonts w:ascii="Times New Roman" w:eastAsia="Times New Roman" w:hAnsi="Times New Roman" w:cs="Times New Roman"/>
          <w:sz w:val="24"/>
          <w:szCs w:val="24"/>
        </w:rPr>
        <w:t>fterlife</w:t>
      </w:r>
      <w:r w:rsidR="00475914">
        <w:rPr>
          <w:rFonts w:ascii="Times New Roman" w:eastAsia="Times New Roman" w:hAnsi="Times New Roman" w:cs="Times New Roman"/>
          <w:sz w:val="24"/>
          <w:szCs w:val="24"/>
        </w:rPr>
        <w:t xml:space="preserve"> HPHP4002</w:t>
      </w:r>
    </w:p>
    <w:p w14:paraId="10F1831A" w14:textId="72B3FBCC" w:rsidR="00D36B26" w:rsidRDefault="00D36B26" w:rsidP="0026202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Thomas Humphreys</w:t>
      </w:r>
    </w:p>
    <w:p w14:paraId="1C3F4249" w14:textId="77777777" w:rsidR="00D36B26" w:rsidRDefault="00D36B26" w:rsidP="0026202F">
      <w:pPr>
        <w:spacing w:line="360" w:lineRule="auto"/>
        <w:jc w:val="center"/>
        <w:rPr>
          <w:rFonts w:ascii="Times New Roman" w:eastAsia="Times New Roman" w:hAnsi="Times New Roman" w:cs="Times New Roman"/>
          <w:sz w:val="24"/>
          <w:szCs w:val="24"/>
        </w:rPr>
      </w:pPr>
      <w:r w:rsidRPr="6E65E166">
        <w:rPr>
          <w:rFonts w:ascii="Times New Roman" w:eastAsia="Times New Roman" w:hAnsi="Times New Roman" w:cs="Times New Roman"/>
          <w:sz w:val="24"/>
          <w:szCs w:val="24"/>
        </w:rPr>
        <w:t>University of Wales Trinity Saint David</w:t>
      </w:r>
    </w:p>
    <w:p w14:paraId="41DE99B9" w14:textId="68DF806C" w:rsidR="00D36B26" w:rsidRDefault="00D36B26" w:rsidP="0026202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March 1</w:t>
      </w:r>
      <w:r w:rsidR="00D34CAE">
        <w:rPr>
          <w:rFonts w:ascii="Times New Roman" w:eastAsia="Times New Roman" w:hAnsi="Times New Roman" w:cs="Times New Roman"/>
          <w:sz w:val="24"/>
          <w:szCs w:val="24"/>
        </w:rPr>
        <w:t>3</w:t>
      </w:r>
      <w:r w:rsidRPr="6E65E166">
        <w:rPr>
          <w:rFonts w:ascii="Times New Roman" w:eastAsia="Times New Roman" w:hAnsi="Times New Roman" w:cs="Times New Roman"/>
          <w:sz w:val="24"/>
          <w:szCs w:val="24"/>
        </w:rPr>
        <w:t>, 202</w:t>
      </w:r>
      <w:r>
        <w:rPr>
          <w:rFonts w:ascii="Times New Roman" w:eastAsia="Times New Roman" w:hAnsi="Times New Roman" w:cs="Times New Roman"/>
          <w:sz w:val="24"/>
          <w:szCs w:val="24"/>
        </w:rPr>
        <w:t>4</w:t>
      </w:r>
    </w:p>
    <w:p w14:paraId="13BC38AF" w14:textId="77777777" w:rsidR="00D36B26" w:rsidRDefault="00D36B26" w:rsidP="0026202F">
      <w:pPr>
        <w:spacing w:line="360" w:lineRule="auto"/>
        <w:jc w:val="center"/>
        <w:rPr>
          <w:rFonts w:ascii="Times New Roman" w:eastAsia="Times New Roman" w:hAnsi="Times New Roman" w:cs="Times New Roman"/>
          <w:sz w:val="24"/>
          <w:szCs w:val="24"/>
        </w:rPr>
      </w:pPr>
    </w:p>
    <w:p w14:paraId="36D74952" w14:textId="77777777" w:rsidR="00D36B26" w:rsidRDefault="00D36B26" w:rsidP="0026202F">
      <w:pPr>
        <w:spacing w:line="360" w:lineRule="auto"/>
        <w:jc w:val="center"/>
        <w:rPr>
          <w:rFonts w:ascii="Times New Roman" w:eastAsia="Times New Roman" w:hAnsi="Times New Roman" w:cs="Times New Roman"/>
          <w:sz w:val="24"/>
          <w:szCs w:val="24"/>
        </w:rPr>
      </w:pPr>
    </w:p>
    <w:p w14:paraId="7C24AE05" w14:textId="77777777" w:rsidR="00D36B26" w:rsidRDefault="00D36B26" w:rsidP="0026202F">
      <w:pPr>
        <w:spacing w:line="360" w:lineRule="auto"/>
        <w:jc w:val="center"/>
        <w:rPr>
          <w:rFonts w:ascii="Times New Roman" w:eastAsia="Times New Roman" w:hAnsi="Times New Roman" w:cs="Times New Roman"/>
          <w:sz w:val="24"/>
          <w:szCs w:val="24"/>
        </w:rPr>
      </w:pPr>
    </w:p>
    <w:p w14:paraId="2634F0DA" w14:textId="77777777" w:rsidR="00D36B26" w:rsidRDefault="00D36B26" w:rsidP="0026202F">
      <w:pPr>
        <w:spacing w:line="360" w:lineRule="auto"/>
      </w:pPr>
    </w:p>
    <w:p w14:paraId="7BABA90F" w14:textId="6C0F229D" w:rsidR="002E4723" w:rsidRDefault="00407E16" w:rsidP="0026202F">
      <w:pPr>
        <w:spacing w:line="360" w:lineRule="auto"/>
        <w:rPr>
          <w:rFonts w:ascii="Times New Roman" w:hAnsi="Times New Roman" w:cs="Times New Roman"/>
          <w:sz w:val="24"/>
          <w:szCs w:val="24"/>
        </w:rPr>
      </w:pPr>
      <w:r w:rsidRPr="00070CF3">
        <w:rPr>
          <w:sz w:val="24"/>
          <w:szCs w:val="24"/>
        </w:rPr>
        <w:lastRenderedPageBreak/>
        <w:tab/>
      </w:r>
      <w:r w:rsidRPr="00070CF3">
        <w:rPr>
          <w:rFonts w:ascii="Times New Roman" w:hAnsi="Times New Roman" w:cs="Times New Roman"/>
          <w:sz w:val="24"/>
          <w:szCs w:val="24"/>
        </w:rPr>
        <w:t xml:space="preserve">There will be a discussion on the study of Neanderthal burials, looking at Shanidar cave and </w:t>
      </w:r>
      <w:r w:rsidR="00954074" w:rsidRPr="00070CF3">
        <w:rPr>
          <w:rFonts w:ascii="Times New Roman" w:hAnsi="Times New Roman" w:cs="Times New Roman"/>
          <w:sz w:val="24"/>
          <w:szCs w:val="24"/>
        </w:rPr>
        <w:t>Sunghir</w:t>
      </w:r>
      <w:r w:rsidR="00551E2B">
        <w:rPr>
          <w:rFonts w:ascii="Times New Roman" w:hAnsi="Times New Roman" w:cs="Times New Roman"/>
          <w:sz w:val="24"/>
          <w:szCs w:val="24"/>
        </w:rPr>
        <w:t>, as well as less known ones</w:t>
      </w:r>
      <w:r w:rsidR="00954074" w:rsidRPr="00070CF3">
        <w:rPr>
          <w:rFonts w:ascii="Times New Roman" w:hAnsi="Times New Roman" w:cs="Times New Roman"/>
          <w:sz w:val="24"/>
          <w:szCs w:val="24"/>
        </w:rPr>
        <w:t xml:space="preserve">. Using these archaeological discoveries, there will be an indepth discussion </w:t>
      </w:r>
      <w:r w:rsidR="0028363E">
        <w:rPr>
          <w:rFonts w:ascii="Times New Roman" w:hAnsi="Times New Roman" w:cs="Times New Roman"/>
          <w:sz w:val="24"/>
          <w:szCs w:val="24"/>
        </w:rPr>
        <w:t>on</w:t>
      </w:r>
      <w:r w:rsidR="00954074" w:rsidRPr="00070CF3">
        <w:rPr>
          <w:rFonts w:ascii="Times New Roman" w:hAnsi="Times New Roman" w:cs="Times New Roman"/>
          <w:sz w:val="24"/>
          <w:szCs w:val="24"/>
        </w:rPr>
        <w:t xml:space="preserve"> the different </w:t>
      </w:r>
      <w:r w:rsidR="0028363E">
        <w:rPr>
          <w:rFonts w:ascii="Times New Roman" w:hAnsi="Times New Roman" w:cs="Times New Roman"/>
          <w:sz w:val="24"/>
          <w:szCs w:val="24"/>
        </w:rPr>
        <w:t>“</w:t>
      </w:r>
      <w:r w:rsidR="00954074" w:rsidRPr="00070CF3">
        <w:rPr>
          <w:rFonts w:ascii="Times New Roman" w:hAnsi="Times New Roman" w:cs="Times New Roman"/>
          <w:sz w:val="24"/>
          <w:szCs w:val="24"/>
        </w:rPr>
        <w:t>burials</w:t>
      </w:r>
      <w:r w:rsidR="0028363E">
        <w:rPr>
          <w:rFonts w:ascii="Times New Roman" w:hAnsi="Times New Roman" w:cs="Times New Roman"/>
          <w:sz w:val="24"/>
          <w:szCs w:val="24"/>
        </w:rPr>
        <w:t>”</w:t>
      </w:r>
      <w:r w:rsidR="00954074" w:rsidRPr="00070CF3">
        <w:rPr>
          <w:rFonts w:ascii="Times New Roman" w:hAnsi="Times New Roman" w:cs="Times New Roman"/>
          <w:sz w:val="24"/>
          <w:szCs w:val="24"/>
        </w:rPr>
        <w:t xml:space="preserve"> made by Neanderthals, and what they can tell us about their cultures and views on the afterlife. </w:t>
      </w:r>
      <w:r w:rsidR="00CB7362">
        <w:rPr>
          <w:rFonts w:ascii="Times New Roman" w:hAnsi="Times New Roman" w:cs="Times New Roman"/>
          <w:sz w:val="24"/>
          <w:szCs w:val="24"/>
        </w:rPr>
        <w:t>D</w:t>
      </w:r>
      <w:r w:rsidR="00A25D02">
        <w:rPr>
          <w:rFonts w:ascii="Times New Roman" w:hAnsi="Times New Roman" w:cs="Times New Roman"/>
          <w:sz w:val="24"/>
          <w:szCs w:val="24"/>
        </w:rPr>
        <w:t xml:space="preserve">uring the </w:t>
      </w:r>
      <w:r w:rsidR="00F6412A">
        <w:rPr>
          <w:rFonts w:ascii="Times New Roman" w:hAnsi="Times New Roman" w:cs="Times New Roman"/>
          <w:sz w:val="24"/>
          <w:szCs w:val="24"/>
        </w:rPr>
        <w:t xml:space="preserve">Middle </w:t>
      </w:r>
      <w:r w:rsidR="00A25D02">
        <w:rPr>
          <w:rFonts w:ascii="Times New Roman" w:hAnsi="Times New Roman" w:cs="Times New Roman"/>
          <w:sz w:val="24"/>
          <w:szCs w:val="24"/>
        </w:rPr>
        <w:t>Palaeolithic</w:t>
      </w:r>
      <w:r w:rsidR="00F35CB6">
        <w:rPr>
          <w:rFonts w:ascii="Times New Roman" w:hAnsi="Times New Roman" w:cs="Times New Roman"/>
          <w:sz w:val="24"/>
          <w:szCs w:val="24"/>
        </w:rPr>
        <w:t xml:space="preserve"> and Mid-Upper Palaeolithic</w:t>
      </w:r>
      <w:r w:rsidR="00A25D02">
        <w:rPr>
          <w:rFonts w:ascii="Times New Roman" w:hAnsi="Times New Roman" w:cs="Times New Roman"/>
          <w:sz w:val="24"/>
          <w:szCs w:val="24"/>
        </w:rPr>
        <w:t xml:space="preserve">, the Neanderthals </w:t>
      </w:r>
      <w:r w:rsidR="0028363E">
        <w:rPr>
          <w:rFonts w:ascii="Times New Roman" w:hAnsi="Times New Roman" w:cs="Times New Roman"/>
          <w:sz w:val="24"/>
          <w:szCs w:val="24"/>
        </w:rPr>
        <w:t>may have</w:t>
      </w:r>
      <w:r w:rsidR="00A25D02">
        <w:rPr>
          <w:rFonts w:ascii="Times New Roman" w:hAnsi="Times New Roman" w:cs="Times New Roman"/>
          <w:sz w:val="24"/>
          <w:szCs w:val="24"/>
        </w:rPr>
        <w:t xml:space="preserve"> practice</w:t>
      </w:r>
      <w:r w:rsidR="0028363E">
        <w:rPr>
          <w:rFonts w:ascii="Times New Roman" w:hAnsi="Times New Roman" w:cs="Times New Roman"/>
          <w:sz w:val="24"/>
          <w:szCs w:val="24"/>
        </w:rPr>
        <w:t>d</w:t>
      </w:r>
      <w:r w:rsidR="00A25D02">
        <w:rPr>
          <w:rFonts w:ascii="Times New Roman" w:hAnsi="Times New Roman" w:cs="Times New Roman"/>
          <w:sz w:val="24"/>
          <w:szCs w:val="24"/>
        </w:rPr>
        <w:t xml:space="preserve"> many “human-like”</w:t>
      </w:r>
      <w:r w:rsidR="001214C4">
        <w:rPr>
          <w:rFonts w:ascii="Times New Roman" w:hAnsi="Times New Roman" w:cs="Times New Roman"/>
          <w:sz w:val="24"/>
          <w:szCs w:val="24"/>
        </w:rPr>
        <w:t xml:space="preserve"> practices, such as possible art and recording information, and most importantly burials</w:t>
      </w:r>
      <w:r w:rsidR="00F35CB6">
        <w:rPr>
          <w:rFonts w:ascii="Times New Roman" w:hAnsi="Times New Roman" w:cs="Times New Roman"/>
          <w:sz w:val="24"/>
          <w:szCs w:val="24"/>
        </w:rPr>
        <w:t>, which will be discussed in this essay</w:t>
      </w:r>
      <w:r w:rsidR="001214C4">
        <w:rPr>
          <w:rFonts w:ascii="Times New Roman" w:hAnsi="Times New Roman" w:cs="Times New Roman"/>
          <w:sz w:val="24"/>
          <w:szCs w:val="24"/>
        </w:rPr>
        <w:t>. To be more specific, ritualistic burials</w:t>
      </w:r>
      <w:r w:rsidR="008C4AC3">
        <w:rPr>
          <w:rFonts w:ascii="Times New Roman" w:hAnsi="Times New Roman" w:cs="Times New Roman"/>
          <w:sz w:val="24"/>
          <w:szCs w:val="24"/>
        </w:rPr>
        <w:t>, inferring that the death and burial of a Neanderthal in a community would be treated similiarly to how Homo Sapiens (Modern Humans)</w:t>
      </w:r>
      <w:r w:rsidR="00C22A10">
        <w:rPr>
          <w:rFonts w:ascii="Times New Roman" w:hAnsi="Times New Roman" w:cs="Times New Roman"/>
          <w:sz w:val="24"/>
          <w:szCs w:val="24"/>
        </w:rPr>
        <w:t xml:space="preserve"> buried their dead. </w:t>
      </w:r>
      <w:r w:rsidR="0033401D">
        <w:rPr>
          <w:rFonts w:ascii="Times New Roman" w:hAnsi="Times New Roman" w:cs="Times New Roman"/>
          <w:sz w:val="24"/>
          <w:szCs w:val="24"/>
        </w:rPr>
        <w:t xml:space="preserve">The first case study that will be looked at in this paper will be </w:t>
      </w:r>
      <w:r w:rsidR="001F6089">
        <w:rPr>
          <w:rFonts w:ascii="Times New Roman" w:hAnsi="Times New Roman" w:cs="Times New Roman"/>
          <w:sz w:val="24"/>
          <w:szCs w:val="24"/>
        </w:rPr>
        <w:t xml:space="preserve">from the article written by </w:t>
      </w:r>
      <w:r w:rsidR="00AE6AC8">
        <w:rPr>
          <w:rFonts w:ascii="Times New Roman" w:hAnsi="Times New Roman" w:cs="Times New Roman"/>
          <w:sz w:val="24"/>
          <w:szCs w:val="24"/>
        </w:rPr>
        <w:t>Christ, O. Hunt and more, named “Shanidar et ses fleur? Reflections on the palynology of the Neanderthal ‘Flower Burial’ hypothesis.”</w:t>
      </w:r>
      <w:r w:rsidR="00E7719B">
        <w:rPr>
          <w:rFonts w:ascii="Times New Roman" w:hAnsi="Times New Roman" w:cs="Times New Roman"/>
          <w:sz w:val="24"/>
          <w:szCs w:val="24"/>
        </w:rPr>
        <w:t xml:space="preserve"> Looking into this article to see the probability on whether it was an intentional burial, or whether it was an accidental death. Which is Solecki’s argument for most Neanderthal “burials”. Solecki will be mentioned</w:t>
      </w:r>
      <w:r w:rsidR="004C5DDC">
        <w:rPr>
          <w:rFonts w:ascii="Times New Roman" w:hAnsi="Times New Roman" w:cs="Times New Roman"/>
          <w:sz w:val="24"/>
          <w:szCs w:val="24"/>
        </w:rPr>
        <w:t xml:space="preserve"> often in this essay, to give more perspectives and arguments in the discussion. </w:t>
      </w:r>
    </w:p>
    <w:p w14:paraId="6B9DD927" w14:textId="114268D0" w:rsidR="00CB7362" w:rsidRDefault="00F9692E" w:rsidP="0026202F">
      <w:pPr>
        <w:spacing w:line="360" w:lineRule="auto"/>
        <w:rPr>
          <w:rFonts w:ascii="Times New Roman" w:hAnsi="Times New Roman" w:cs="Times New Roman"/>
          <w:sz w:val="24"/>
          <w:szCs w:val="24"/>
        </w:rPr>
      </w:pPr>
      <w:r>
        <w:rPr>
          <w:rFonts w:ascii="Times New Roman" w:hAnsi="Times New Roman" w:cs="Times New Roman"/>
          <w:noProof/>
          <w:sz w:val="24"/>
          <w:szCs w:val="24"/>
          <w14:ligatures w14:val="standardContextual"/>
        </w:rPr>
        <mc:AlternateContent>
          <mc:Choice Requires="wps">
            <w:drawing>
              <wp:anchor distT="0" distB="0" distL="114300" distR="114300" simplePos="0" relativeHeight="251659264" behindDoc="0" locked="0" layoutInCell="1" allowOverlap="1" wp14:anchorId="0B40AFA3" wp14:editId="59BA88B8">
                <wp:simplePos x="0" y="0"/>
                <wp:positionH relativeFrom="column">
                  <wp:posOffset>3476625</wp:posOffset>
                </wp:positionH>
                <wp:positionV relativeFrom="paragraph">
                  <wp:posOffset>2991485</wp:posOffset>
                </wp:positionV>
                <wp:extent cx="2249170" cy="463550"/>
                <wp:effectExtent l="0" t="0" r="17780" b="12700"/>
                <wp:wrapSquare wrapText="bothSides"/>
                <wp:docPr id="771476079" name="Text Box 4"/>
                <wp:cNvGraphicFramePr/>
                <a:graphic xmlns:a="http://schemas.openxmlformats.org/drawingml/2006/main">
                  <a:graphicData uri="http://schemas.microsoft.com/office/word/2010/wordprocessingShape">
                    <wps:wsp>
                      <wps:cNvSpPr txBox="1"/>
                      <wps:spPr>
                        <a:xfrm>
                          <a:off x="0" y="0"/>
                          <a:ext cx="2249170" cy="463550"/>
                        </a:xfrm>
                        <a:prstGeom prst="rect">
                          <a:avLst/>
                        </a:prstGeom>
                        <a:solidFill>
                          <a:schemeClr val="lt1"/>
                        </a:solidFill>
                        <a:ln w="6350">
                          <a:solidFill>
                            <a:schemeClr val="bg1"/>
                          </a:solidFill>
                        </a:ln>
                      </wps:spPr>
                      <wps:txbx>
                        <w:txbxContent>
                          <w:p w14:paraId="7B4F79F2" w14:textId="384589A9" w:rsidR="00F9692E" w:rsidRPr="00F9692E" w:rsidRDefault="008246DD" w:rsidP="008246DD">
                            <w:pPr>
                              <w:jc w:val="center"/>
                              <w:rPr>
                                <w:rFonts w:ascii="Times New Roman" w:hAnsi="Times New Roman" w:cs="Times New Roman"/>
                                <w:sz w:val="24"/>
                                <w:szCs w:val="24"/>
                              </w:rPr>
                            </w:pPr>
                            <w:r w:rsidRPr="008246DD">
                              <w:rPr>
                                <w:rStyle w:val="label"/>
                                <w:rFonts w:ascii="Times New Roman" w:hAnsi="Times New Roman" w:cs="Times New Roman"/>
                                <w:color w:val="1F1F1F"/>
                                <w:sz w:val="24"/>
                                <w:szCs w:val="24"/>
                              </w:rPr>
                              <w:t>Fig. 1</w:t>
                            </w:r>
                            <w:r w:rsidRPr="008246DD">
                              <w:rPr>
                                <w:rFonts w:ascii="Times New Roman" w:hAnsi="Times New Roman" w:cs="Times New Roman"/>
                                <w:color w:val="1F1F1F"/>
                                <w:sz w:val="24"/>
                                <w:szCs w:val="24"/>
                              </w:rPr>
                              <w:t>. Wild flowers at Shanidar Cave</w:t>
                            </w:r>
                            <w:r w:rsidRPr="008246DD">
                              <w:rPr>
                                <w:rFonts w:ascii="Times New Roman" w:hAnsi="Times New Roman" w:cs="Times New Roman"/>
                                <w:color w:val="1F1F1F"/>
                                <w:sz w:val="24"/>
                                <w:szCs w:val="24"/>
                              </w:rPr>
                              <w:t xml:space="preserve"> (Hunt, </w:t>
                            </w:r>
                            <w:r w:rsidRPr="008246DD">
                              <w:rPr>
                                <w:rFonts w:ascii="Times New Roman" w:hAnsi="Times New Roman" w:cs="Times New Roman"/>
                                <w:color w:val="1F1F1F"/>
                                <w:sz w:val="24"/>
                                <w:szCs w:val="24"/>
                              </w:rPr>
                              <w:t>2023</w:t>
                            </w:r>
                            <w:r w:rsidRPr="008246DD">
                              <w:rPr>
                                <w:rFonts w:ascii="Times New Roman" w:hAnsi="Times New Roman" w:cs="Times New Roman"/>
                                <w:color w:val="1F1F1F"/>
                                <w:sz w:val="24"/>
                                <w:szCs w:val="24"/>
                              </w:rPr>
                              <w:t>)</w:t>
                            </w:r>
                            <w:r w:rsidRPr="008246DD">
                              <w:rPr>
                                <w:rFonts w:ascii="Times New Roman" w:hAnsi="Times New Roman" w:cs="Times New Roman"/>
                                <w:color w:val="1F1F1F"/>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B40AFA3" id="_x0000_t202" coordsize="21600,21600" o:spt="202" path="m,l,21600r21600,l21600,xe">
                <v:stroke joinstyle="miter"/>
                <v:path gradientshapeok="t" o:connecttype="rect"/>
              </v:shapetype>
              <v:shape id="Text Box 4" o:spid="_x0000_s1026" type="#_x0000_t202" style="position:absolute;margin-left:273.75pt;margin-top:235.55pt;width:177.1pt;height:3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" fillcolor="white [3201]" strokecolor="white [3212]" strokeweight=".5pt">
                <v:textbox>
                  <w:txbxContent>
                    <w:p w14:paraId="7B4F79F2" w14:textId="384589A9" w:rsidR="00F9692E" w:rsidRPr="00F9692E" w:rsidRDefault="008246DD" w:rsidP="008246DD">
                      <w:pPr>
                        <w:jc w:val="center"/>
                        <w:rPr>
                          <w:rFonts w:ascii="Times New Roman" w:hAnsi="Times New Roman" w:cs="Times New Roman"/>
                          <w:sz w:val="24"/>
                          <w:szCs w:val="24"/>
                        </w:rPr>
                      </w:pPr>
                      <w:r w:rsidRPr="008246DD">
                        <w:rPr>
                          <w:rStyle w:val="label"/>
                          <w:rFonts w:ascii="Times New Roman" w:hAnsi="Times New Roman" w:cs="Times New Roman"/>
                          <w:color w:val="1F1F1F"/>
                          <w:sz w:val="24"/>
                          <w:szCs w:val="24"/>
                        </w:rPr>
                        <w:t>Fig. 1</w:t>
                      </w:r>
                      <w:r w:rsidRPr="008246DD">
                        <w:rPr>
                          <w:rFonts w:ascii="Times New Roman" w:hAnsi="Times New Roman" w:cs="Times New Roman"/>
                          <w:color w:val="1F1F1F"/>
                          <w:sz w:val="24"/>
                          <w:szCs w:val="24"/>
                        </w:rPr>
                        <w:t>. Wild flowers at Shanidar Cave</w:t>
                      </w:r>
                      <w:r w:rsidRPr="008246DD">
                        <w:rPr>
                          <w:rFonts w:ascii="Times New Roman" w:hAnsi="Times New Roman" w:cs="Times New Roman"/>
                          <w:color w:val="1F1F1F"/>
                          <w:sz w:val="24"/>
                          <w:szCs w:val="24"/>
                        </w:rPr>
                        <w:t xml:space="preserve"> (Hunt, </w:t>
                      </w:r>
                      <w:r w:rsidRPr="008246DD">
                        <w:rPr>
                          <w:rFonts w:ascii="Times New Roman" w:hAnsi="Times New Roman" w:cs="Times New Roman"/>
                          <w:color w:val="1F1F1F"/>
                          <w:sz w:val="24"/>
                          <w:szCs w:val="24"/>
                        </w:rPr>
                        <w:t>2023</w:t>
                      </w:r>
                      <w:r w:rsidRPr="008246DD">
                        <w:rPr>
                          <w:rFonts w:ascii="Times New Roman" w:hAnsi="Times New Roman" w:cs="Times New Roman"/>
                          <w:color w:val="1F1F1F"/>
                          <w:sz w:val="24"/>
                          <w:szCs w:val="24"/>
                        </w:rPr>
                        <w:t>)</w:t>
                      </w:r>
                      <w:r w:rsidRPr="008246DD">
                        <w:rPr>
                          <w:rFonts w:ascii="Times New Roman" w:hAnsi="Times New Roman" w:cs="Times New Roman"/>
                          <w:color w:val="1F1F1F"/>
                          <w:sz w:val="24"/>
                          <w:szCs w:val="24"/>
                        </w:rPr>
                        <w:t>.</w:t>
                      </w:r>
                    </w:p>
                  </w:txbxContent>
                </v:textbox>
                <w10:wrap type="square"/>
              </v:shape>
            </w:pict>
          </mc:Fallback>
        </mc:AlternateContent>
      </w:r>
      <w:r>
        <w:rPr>
          <w:rFonts w:ascii="Times New Roman" w:hAnsi="Times New Roman" w:cs="Times New Roman"/>
          <w:noProof/>
          <w:sz w:val="24"/>
          <w:szCs w:val="24"/>
          <w14:ligatures w14:val="standardContextual"/>
        </w:rPr>
        <w:drawing>
          <wp:anchor distT="0" distB="0" distL="114300" distR="114300" simplePos="0" relativeHeight="251658240" behindDoc="0" locked="0" layoutInCell="1" allowOverlap="1" wp14:anchorId="28EFF703" wp14:editId="641BD07C">
            <wp:simplePos x="0" y="0"/>
            <wp:positionH relativeFrom="margin">
              <wp:align>right</wp:align>
            </wp:positionH>
            <wp:positionV relativeFrom="paragraph">
              <wp:posOffset>13335</wp:posOffset>
            </wp:positionV>
            <wp:extent cx="2239645" cy="2984500"/>
            <wp:effectExtent l="0" t="0" r="8255" b="6350"/>
            <wp:wrapSquare wrapText="bothSides"/>
            <wp:docPr id="1919844037" name="Picture 3" descr="A cave in a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844037" name="Picture 3" descr="A cave in a mountai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39645" cy="2984500"/>
                    </a:xfrm>
                    <a:prstGeom prst="rect">
                      <a:avLst/>
                    </a:prstGeom>
                  </pic:spPr>
                </pic:pic>
              </a:graphicData>
            </a:graphic>
            <wp14:sizeRelH relativeFrom="margin">
              <wp14:pctWidth>0</wp14:pctWidth>
            </wp14:sizeRelH>
            <wp14:sizeRelV relativeFrom="margin">
              <wp14:pctHeight>0</wp14:pctHeight>
            </wp14:sizeRelV>
          </wp:anchor>
        </w:drawing>
      </w:r>
      <w:r w:rsidR="00CB7362">
        <w:rPr>
          <w:rFonts w:ascii="Times New Roman" w:hAnsi="Times New Roman" w:cs="Times New Roman"/>
          <w:sz w:val="24"/>
          <w:szCs w:val="24"/>
        </w:rPr>
        <w:tab/>
      </w:r>
      <w:r w:rsidR="00946F6F">
        <w:rPr>
          <w:rFonts w:ascii="Times New Roman" w:hAnsi="Times New Roman" w:cs="Times New Roman"/>
          <w:sz w:val="24"/>
          <w:szCs w:val="24"/>
        </w:rPr>
        <w:t>The remains of the first case study was found within Shanidar Cave</w:t>
      </w:r>
      <w:r w:rsidR="002B23C2">
        <w:rPr>
          <w:rFonts w:ascii="Times New Roman" w:hAnsi="Times New Roman" w:cs="Times New Roman"/>
          <w:sz w:val="24"/>
          <w:szCs w:val="24"/>
        </w:rPr>
        <w:t>, Iraq</w:t>
      </w:r>
      <w:r w:rsidR="003357C8">
        <w:rPr>
          <w:rFonts w:ascii="Times New Roman" w:hAnsi="Times New Roman" w:cs="Times New Roman"/>
          <w:sz w:val="24"/>
          <w:szCs w:val="24"/>
        </w:rPr>
        <w:t xml:space="preserve"> Kurdistan region</w:t>
      </w:r>
      <w:r w:rsidR="008246DD">
        <w:rPr>
          <w:rFonts w:ascii="Times New Roman" w:hAnsi="Times New Roman" w:cs="Times New Roman"/>
          <w:sz w:val="24"/>
          <w:szCs w:val="24"/>
        </w:rPr>
        <w:t xml:space="preserve"> (see fig 1)</w:t>
      </w:r>
      <w:r w:rsidR="00946F6F">
        <w:rPr>
          <w:rFonts w:ascii="Times New Roman" w:hAnsi="Times New Roman" w:cs="Times New Roman"/>
          <w:sz w:val="24"/>
          <w:szCs w:val="24"/>
        </w:rPr>
        <w:t xml:space="preserve"> (Hunt</w:t>
      </w:r>
      <w:r w:rsidR="001F2F23">
        <w:rPr>
          <w:rFonts w:ascii="Times New Roman" w:hAnsi="Times New Roman" w:cs="Times New Roman"/>
          <w:sz w:val="24"/>
          <w:szCs w:val="24"/>
        </w:rPr>
        <w:t>,</w:t>
      </w:r>
      <w:r w:rsidR="00946F6F">
        <w:rPr>
          <w:rFonts w:ascii="Times New Roman" w:hAnsi="Times New Roman" w:cs="Times New Roman"/>
          <w:sz w:val="24"/>
          <w:szCs w:val="24"/>
        </w:rPr>
        <w:t xml:space="preserve"> 2023). </w:t>
      </w:r>
      <w:r w:rsidR="00E13EA0">
        <w:rPr>
          <w:rFonts w:ascii="Times New Roman" w:hAnsi="Times New Roman" w:cs="Times New Roman"/>
          <w:sz w:val="24"/>
          <w:szCs w:val="24"/>
        </w:rPr>
        <w:t>Groups of pollen w</w:t>
      </w:r>
      <w:r w:rsidR="0014442B">
        <w:rPr>
          <w:rFonts w:ascii="Times New Roman" w:hAnsi="Times New Roman" w:cs="Times New Roman"/>
          <w:sz w:val="24"/>
          <w:szCs w:val="24"/>
        </w:rPr>
        <w:t>here found alongside the skeleton known as Shanidar 4 (Hunt</w:t>
      </w:r>
      <w:r w:rsidR="001F2F23">
        <w:rPr>
          <w:rFonts w:ascii="Times New Roman" w:hAnsi="Times New Roman" w:cs="Times New Roman"/>
          <w:sz w:val="24"/>
          <w:szCs w:val="24"/>
        </w:rPr>
        <w:t>,</w:t>
      </w:r>
      <w:r w:rsidR="0014442B">
        <w:rPr>
          <w:rFonts w:ascii="Times New Roman" w:hAnsi="Times New Roman" w:cs="Times New Roman"/>
          <w:sz w:val="24"/>
          <w:szCs w:val="24"/>
        </w:rPr>
        <w:t xml:space="preserve"> 20</w:t>
      </w:r>
      <w:r w:rsidR="00946F6F">
        <w:rPr>
          <w:rFonts w:ascii="Times New Roman" w:hAnsi="Times New Roman" w:cs="Times New Roman"/>
          <w:sz w:val="24"/>
          <w:szCs w:val="24"/>
        </w:rPr>
        <w:t>23). This suggests that the burial that had taken place included the use of flowers, which is a very “human-like” thing to do (Hunt</w:t>
      </w:r>
      <w:r w:rsidR="00987D43">
        <w:rPr>
          <w:rFonts w:ascii="Times New Roman" w:hAnsi="Times New Roman" w:cs="Times New Roman"/>
          <w:sz w:val="24"/>
          <w:szCs w:val="24"/>
        </w:rPr>
        <w:t>,</w:t>
      </w:r>
      <w:r w:rsidR="00946F6F">
        <w:rPr>
          <w:rFonts w:ascii="Times New Roman" w:hAnsi="Times New Roman" w:cs="Times New Roman"/>
          <w:sz w:val="24"/>
          <w:szCs w:val="24"/>
        </w:rPr>
        <w:t xml:space="preserve"> 2023). </w:t>
      </w:r>
      <w:r w:rsidR="00F46860">
        <w:rPr>
          <w:rFonts w:ascii="Times New Roman" w:hAnsi="Times New Roman" w:cs="Times New Roman"/>
          <w:sz w:val="24"/>
          <w:szCs w:val="24"/>
        </w:rPr>
        <w:t>The hypothesis for the burial</w:t>
      </w:r>
      <w:r w:rsidR="0013505B">
        <w:rPr>
          <w:rFonts w:ascii="Times New Roman" w:hAnsi="Times New Roman" w:cs="Times New Roman"/>
          <w:sz w:val="24"/>
          <w:szCs w:val="24"/>
        </w:rPr>
        <w:t xml:space="preserve"> including flowers came from Arlette Leroi-Gourhan in 1975 says Hunt. </w:t>
      </w:r>
      <w:r w:rsidR="00FB5168">
        <w:rPr>
          <w:rFonts w:ascii="Times New Roman" w:hAnsi="Times New Roman" w:cs="Times New Roman"/>
          <w:sz w:val="24"/>
          <w:szCs w:val="24"/>
        </w:rPr>
        <w:t>Which was also develpoed by Ralph Solecki.</w:t>
      </w:r>
      <w:r w:rsidR="00FA13A1">
        <w:rPr>
          <w:rFonts w:ascii="Times New Roman" w:hAnsi="Times New Roman" w:cs="Times New Roman"/>
          <w:sz w:val="24"/>
          <w:szCs w:val="24"/>
        </w:rPr>
        <w:t xml:space="preserve"> </w:t>
      </w:r>
      <w:r w:rsidR="00F547D7">
        <w:rPr>
          <w:rFonts w:ascii="Times New Roman" w:hAnsi="Times New Roman" w:cs="Times New Roman"/>
          <w:sz w:val="24"/>
          <w:szCs w:val="24"/>
        </w:rPr>
        <w:t>When the pollen clutches were discovered under Shanidar 4, Willem van Zeist assisted as he was a pollen analys</w:t>
      </w:r>
      <w:r w:rsidR="003C0E4E">
        <w:rPr>
          <w:rFonts w:ascii="Times New Roman" w:hAnsi="Times New Roman" w:cs="Times New Roman"/>
          <w:sz w:val="24"/>
          <w:szCs w:val="24"/>
        </w:rPr>
        <w:t>t (Hunt</w:t>
      </w:r>
      <w:r w:rsidR="001F2F23">
        <w:rPr>
          <w:rFonts w:ascii="Times New Roman" w:hAnsi="Times New Roman" w:cs="Times New Roman"/>
          <w:sz w:val="24"/>
          <w:szCs w:val="24"/>
        </w:rPr>
        <w:t>,</w:t>
      </w:r>
      <w:r w:rsidR="003C0E4E">
        <w:rPr>
          <w:rFonts w:ascii="Times New Roman" w:hAnsi="Times New Roman" w:cs="Times New Roman"/>
          <w:sz w:val="24"/>
          <w:szCs w:val="24"/>
        </w:rPr>
        <w:t xml:space="preserve"> 2023). </w:t>
      </w:r>
      <w:r w:rsidR="00777255">
        <w:rPr>
          <w:rFonts w:ascii="Times New Roman" w:hAnsi="Times New Roman" w:cs="Times New Roman"/>
          <w:sz w:val="24"/>
          <w:szCs w:val="24"/>
        </w:rPr>
        <w:t xml:space="preserve">Despite a </w:t>
      </w:r>
      <w:r w:rsidR="0056531F">
        <w:rPr>
          <w:rFonts w:ascii="Times New Roman" w:hAnsi="Times New Roman" w:cs="Times New Roman"/>
          <w:sz w:val="24"/>
          <w:szCs w:val="24"/>
        </w:rPr>
        <w:t xml:space="preserve">significant amount of support with the theory that flowers were intentionally placed at the burial, </w:t>
      </w:r>
      <w:r w:rsidR="001F2F23">
        <w:rPr>
          <w:rFonts w:ascii="Times New Roman" w:hAnsi="Times New Roman" w:cs="Times New Roman"/>
          <w:sz w:val="24"/>
          <w:szCs w:val="24"/>
        </w:rPr>
        <w:t>Chase, Dibble and Sommer have all argued against this (Hunt, 2023). Suggesting that it was done by small rodents burrowing rather than the original theory (Hunt</w:t>
      </w:r>
      <w:r w:rsidR="00C21917">
        <w:rPr>
          <w:rFonts w:ascii="Times New Roman" w:hAnsi="Times New Roman" w:cs="Times New Roman"/>
          <w:sz w:val="24"/>
          <w:szCs w:val="24"/>
        </w:rPr>
        <w:t>,</w:t>
      </w:r>
      <w:r w:rsidR="001F2F23">
        <w:rPr>
          <w:rFonts w:ascii="Times New Roman" w:hAnsi="Times New Roman" w:cs="Times New Roman"/>
          <w:sz w:val="24"/>
          <w:szCs w:val="24"/>
        </w:rPr>
        <w:t xml:space="preserve"> 2023).</w:t>
      </w:r>
      <w:r w:rsidR="007F4C43">
        <w:rPr>
          <w:rFonts w:ascii="Times New Roman" w:hAnsi="Times New Roman" w:cs="Times New Roman"/>
          <w:sz w:val="24"/>
          <w:szCs w:val="24"/>
        </w:rPr>
        <w:t xml:space="preserve"> There is a suggestion that the flowers were invited into the cave by burrowing </w:t>
      </w:r>
      <w:r w:rsidR="0095387F">
        <w:rPr>
          <w:rFonts w:ascii="Times New Roman" w:hAnsi="Times New Roman" w:cs="Times New Roman"/>
          <w:sz w:val="24"/>
          <w:szCs w:val="24"/>
        </w:rPr>
        <w:t>rodents named jirds, their scientific name is Meriones persicus (Sommer, 1999).</w:t>
      </w:r>
      <w:r w:rsidR="003302E5">
        <w:rPr>
          <w:rFonts w:ascii="Times New Roman" w:hAnsi="Times New Roman" w:cs="Times New Roman"/>
          <w:sz w:val="24"/>
          <w:szCs w:val="24"/>
        </w:rPr>
        <w:t xml:space="preserve"> Jirds are also known to be found in Shanidar cav</w:t>
      </w:r>
      <w:r w:rsidR="00DE209D">
        <w:rPr>
          <w:rFonts w:ascii="Times New Roman" w:hAnsi="Times New Roman" w:cs="Times New Roman"/>
          <w:sz w:val="24"/>
          <w:szCs w:val="24"/>
        </w:rPr>
        <w:t xml:space="preserve">e </w:t>
      </w:r>
      <w:r w:rsidR="00454819">
        <w:rPr>
          <w:rFonts w:ascii="Times New Roman" w:hAnsi="Times New Roman" w:cs="Times New Roman"/>
          <w:sz w:val="24"/>
          <w:szCs w:val="24"/>
        </w:rPr>
        <w:t>(</w:t>
      </w:r>
      <w:r w:rsidR="00DE209D">
        <w:rPr>
          <w:rFonts w:ascii="Times New Roman" w:hAnsi="Times New Roman" w:cs="Times New Roman"/>
          <w:sz w:val="24"/>
          <w:szCs w:val="24"/>
        </w:rPr>
        <w:t>Tilby et al, 2022).</w:t>
      </w:r>
      <w:r w:rsidR="009F0C14">
        <w:rPr>
          <w:rFonts w:ascii="Times New Roman" w:hAnsi="Times New Roman" w:cs="Times New Roman"/>
          <w:sz w:val="24"/>
          <w:szCs w:val="24"/>
        </w:rPr>
        <w:t xml:space="preserve"> There are other theories that go against Leroi-Gourhan</w:t>
      </w:r>
      <w:r w:rsidR="00D9618C">
        <w:rPr>
          <w:rFonts w:ascii="Times New Roman" w:hAnsi="Times New Roman" w:cs="Times New Roman"/>
          <w:sz w:val="24"/>
          <w:szCs w:val="24"/>
        </w:rPr>
        <w:t xml:space="preserve"> for different reasons. </w:t>
      </w:r>
      <w:r w:rsidR="00263492">
        <w:rPr>
          <w:rFonts w:ascii="Times New Roman" w:hAnsi="Times New Roman" w:cs="Times New Roman"/>
          <w:sz w:val="24"/>
          <w:szCs w:val="24"/>
        </w:rPr>
        <w:lastRenderedPageBreak/>
        <w:t>What does</w:t>
      </w:r>
      <w:r w:rsidR="00317D71">
        <w:rPr>
          <w:rFonts w:ascii="Times New Roman" w:hAnsi="Times New Roman" w:cs="Times New Roman"/>
          <w:sz w:val="24"/>
          <w:szCs w:val="24"/>
        </w:rPr>
        <w:t xml:space="preserve"> the theory that the Neanderthals </w:t>
      </w:r>
      <w:r w:rsidR="00263492">
        <w:rPr>
          <w:rFonts w:ascii="Times New Roman" w:hAnsi="Times New Roman" w:cs="Times New Roman"/>
          <w:sz w:val="24"/>
          <w:szCs w:val="24"/>
        </w:rPr>
        <w:t>buried Shanidar 4 with flowers tell us about their views on the afterlife?</w:t>
      </w:r>
      <w:r w:rsidR="00044642">
        <w:rPr>
          <w:rFonts w:ascii="Times New Roman" w:hAnsi="Times New Roman" w:cs="Times New Roman"/>
          <w:sz w:val="24"/>
          <w:szCs w:val="24"/>
        </w:rPr>
        <w:t xml:space="preserve"> </w:t>
      </w:r>
      <w:r w:rsidR="005D2BBD">
        <w:rPr>
          <w:rFonts w:ascii="Times New Roman" w:hAnsi="Times New Roman" w:cs="Times New Roman"/>
          <w:sz w:val="24"/>
          <w:szCs w:val="24"/>
        </w:rPr>
        <w:t>Inferring that the pollen are flowers brought in by other Neanderthals during the burial</w:t>
      </w:r>
      <w:r w:rsidR="00DC5171">
        <w:rPr>
          <w:rFonts w:ascii="Times New Roman" w:hAnsi="Times New Roman" w:cs="Times New Roman"/>
          <w:sz w:val="24"/>
          <w:szCs w:val="24"/>
        </w:rPr>
        <w:t xml:space="preserve">, suggests that the culture of Neanderthals may have viewed flowers </w:t>
      </w:r>
      <w:r w:rsidR="003C1C94">
        <w:rPr>
          <w:rFonts w:ascii="Times New Roman" w:hAnsi="Times New Roman" w:cs="Times New Roman"/>
          <w:sz w:val="24"/>
          <w:szCs w:val="24"/>
        </w:rPr>
        <w:t xml:space="preserve">in a ritualistic context. However, this could not be the case, and instead the flowers could have been used just to pay respects. </w:t>
      </w:r>
      <w:r w:rsidR="006C73AA">
        <w:rPr>
          <w:rFonts w:ascii="Times New Roman" w:hAnsi="Times New Roman" w:cs="Times New Roman"/>
          <w:sz w:val="24"/>
          <w:szCs w:val="24"/>
        </w:rPr>
        <w:t xml:space="preserve">Such as Modern Humans do today in North America and Europe. </w:t>
      </w:r>
      <w:r w:rsidR="00DA395E">
        <w:rPr>
          <w:rFonts w:ascii="Times New Roman" w:hAnsi="Times New Roman" w:cs="Times New Roman"/>
          <w:sz w:val="24"/>
          <w:szCs w:val="24"/>
        </w:rPr>
        <w:t xml:space="preserve">In terms of the afterlife aspect of the potential burial practices. The Neanderthals of Shanidar may have believed that giving flowers may help them with achieving peace in the afterlife, as in a modern context flowers are seen as beautiful and peacful. Although, using a modern example of how flowers are percieved </w:t>
      </w:r>
      <w:r w:rsidR="004C373A">
        <w:rPr>
          <w:rFonts w:ascii="Times New Roman" w:hAnsi="Times New Roman" w:cs="Times New Roman"/>
          <w:sz w:val="24"/>
          <w:szCs w:val="24"/>
        </w:rPr>
        <w:t>limits creativity on how the Neanderthals of Shanidar thought. The</w:t>
      </w:r>
      <w:r w:rsidR="00631066">
        <w:rPr>
          <w:rFonts w:ascii="Times New Roman" w:hAnsi="Times New Roman" w:cs="Times New Roman"/>
          <w:sz w:val="24"/>
          <w:szCs w:val="24"/>
        </w:rPr>
        <w:t xml:space="preserve"> flowers do not suggest anything specifc, and leave many interpretations open. But, the theory that suggest that the Neanderthals of Shanidar went out of their way to </w:t>
      </w:r>
      <w:r w:rsidR="00CF4DF5">
        <w:rPr>
          <w:rFonts w:ascii="Times New Roman" w:hAnsi="Times New Roman" w:cs="Times New Roman"/>
          <w:sz w:val="24"/>
          <w:szCs w:val="24"/>
        </w:rPr>
        <w:t xml:space="preserve">add flowers to the burial infers that it must have meaning, as it would </w:t>
      </w:r>
      <w:r w:rsidR="00194B78">
        <w:rPr>
          <w:rFonts w:ascii="Times New Roman" w:hAnsi="Times New Roman" w:cs="Times New Roman"/>
          <w:sz w:val="24"/>
          <w:szCs w:val="24"/>
        </w:rPr>
        <w:t xml:space="preserve">otherwise waste valuable energy. </w:t>
      </w:r>
    </w:p>
    <w:p w14:paraId="25D67E8B" w14:textId="087F4108" w:rsidR="0051550B" w:rsidRDefault="00564D21" w:rsidP="0051550B">
      <w:pPr>
        <w:spacing w:line="360" w:lineRule="auto"/>
        <w:rPr>
          <w:rFonts w:ascii="Times New Roman" w:hAnsi="Times New Roman" w:cs="Times New Roman"/>
          <w:sz w:val="24"/>
          <w:szCs w:val="24"/>
        </w:rPr>
      </w:pPr>
      <w:r>
        <w:rPr>
          <w:rFonts w:ascii="Times New Roman" w:hAnsi="Times New Roman" w:cs="Times New Roman"/>
          <w:sz w:val="24"/>
          <w:szCs w:val="24"/>
        </w:rPr>
        <w:tab/>
      </w:r>
      <w:r w:rsidR="0051550B">
        <w:rPr>
          <w:rFonts w:ascii="Times New Roman" w:hAnsi="Times New Roman" w:cs="Times New Roman"/>
          <w:noProof/>
          <w:sz w:val="24"/>
          <w:szCs w:val="24"/>
          <w14:ligatures w14:val="standardContextual"/>
        </w:rPr>
        <mc:AlternateContent>
          <mc:Choice Requires="wps">
            <w:drawing>
              <wp:anchor distT="0" distB="0" distL="114300" distR="114300" simplePos="0" relativeHeight="251662336" behindDoc="0" locked="0" layoutInCell="1" allowOverlap="1" wp14:anchorId="0406ED8E" wp14:editId="18D408E6">
                <wp:simplePos x="0" y="0"/>
                <wp:positionH relativeFrom="margin">
                  <wp:align>left</wp:align>
                </wp:positionH>
                <wp:positionV relativeFrom="paragraph">
                  <wp:posOffset>2621280</wp:posOffset>
                </wp:positionV>
                <wp:extent cx="3246755" cy="463550"/>
                <wp:effectExtent l="0" t="0" r="10795" b="12700"/>
                <wp:wrapSquare wrapText="bothSides"/>
                <wp:docPr id="957958172" name="Text Box 4"/>
                <wp:cNvGraphicFramePr/>
                <a:graphic xmlns:a="http://schemas.openxmlformats.org/drawingml/2006/main">
                  <a:graphicData uri="http://schemas.microsoft.com/office/word/2010/wordprocessingShape">
                    <wps:wsp>
                      <wps:cNvSpPr txBox="1"/>
                      <wps:spPr>
                        <a:xfrm>
                          <a:off x="0" y="0"/>
                          <a:ext cx="3246755" cy="463550"/>
                        </a:xfrm>
                        <a:prstGeom prst="rect">
                          <a:avLst/>
                        </a:prstGeom>
                        <a:solidFill>
                          <a:schemeClr val="lt1"/>
                        </a:solidFill>
                        <a:ln w="6350">
                          <a:solidFill>
                            <a:schemeClr val="bg1"/>
                          </a:solidFill>
                        </a:ln>
                      </wps:spPr>
                      <wps:txbx>
                        <w:txbxContent>
                          <w:p w14:paraId="158B8E15" w14:textId="77777777" w:rsidR="0051550B" w:rsidRPr="00F9692E" w:rsidRDefault="0051550B" w:rsidP="0051550B">
                            <w:pPr>
                              <w:jc w:val="center"/>
                              <w:rPr>
                                <w:rFonts w:ascii="Times New Roman" w:hAnsi="Times New Roman" w:cs="Times New Roman"/>
                                <w:sz w:val="24"/>
                                <w:szCs w:val="24"/>
                              </w:rPr>
                            </w:pPr>
                            <w:r w:rsidRPr="008246DD">
                              <w:rPr>
                                <w:rStyle w:val="label"/>
                                <w:rFonts w:ascii="Times New Roman" w:hAnsi="Times New Roman" w:cs="Times New Roman"/>
                                <w:color w:val="1F1F1F"/>
                                <w:sz w:val="24"/>
                                <w:szCs w:val="24"/>
                              </w:rPr>
                              <w:t xml:space="preserve">Fig. </w:t>
                            </w:r>
                            <w:r>
                              <w:rPr>
                                <w:rStyle w:val="label"/>
                                <w:rFonts w:ascii="Times New Roman" w:hAnsi="Times New Roman" w:cs="Times New Roman"/>
                                <w:color w:val="1F1F1F"/>
                                <w:sz w:val="24"/>
                                <w:szCs w:val="24"/>
                              </w:rPr>
                              <w:t>2</w:t>
                            </w:r>
                            <w:r w:rsidRPr="008246DD">
                              <w:rPr>
                                <w:rFonts w:ascii="Times New Roman" w:hAnsi="Times New Roman" w:cs="Times New Roman"/>
                                <w:color w:val="1F1F1F"/>
                                <w:sz w:val="24"/>
                                <w:szCs w:val="24"/>
                              </w:rPr>
                              <w:t>. </w:t>
                            </w:r>
                            <w:r>
                              <w:rPr>
                                <w:rFonts w:ascii="Times New Roman" w:hAnsi="Times New Roman" w:cs="Times New Roman"/>
                                <w:color w:val="1F1F1F"/>
                                <w:sz w:val="24"/>
                                <w:szCs w:val="24"/>
                              </w:rPr>
                              <w:t>Cranium and Mandible of Shanidar 1</w:t>
                            </w:r>
                            <w:r w:rsidRPr="008246DD">
                              <w:rPr>
                                <w:rFonts w:ascii="Times New Roman" w:hAnsi="Times New Roman" w:cs="Times New Roman"/>
                                <w:color w:val="1F1F1F"/>
                                <w:sz w:val="24"/>
                                <w:szCs w:val="24"/>
                              </w:rPr>
                              <w:t xml:space="preserve"> (</w:t>
                            </w:r>
                            <w:r>
                              <w:rPr>
                                <w:rFonts w:ascii="Times New Roman" w:hAnsi="Times New Roman" w:cs="Times New Roman"/>
                                <w:color w:val="1F1F1F"/>
                                <w:sz w:val="24"/>
                                <w:szCs w:val="24"/>
                              </w:rPr>
                              <w:t>Pomeroy et al</w:t>
                            </w:r>
                            <w:r w:rsidRPr="008246DD">
                              <w:rPr>
                                <w:rFonts w:ascii="Times New Roman" w:hAnsi="Times New Roman" w:cs="Times New Roman"/>
                                <w:color w:val="1F1F1F"/>
                                <w:sz w:val="24"/>
                                <w:szCs w:val="24"/>
                              </w:rPr>
                              <w:t>, 202</w:t>
                            </w:r>
                            <w:r>
                              <w:rPr>
                                <w:rFonts w:ascii="Times New Roman" w:hAnsi="Times New Roman" w:cs="Times New Roman"/>
                                <w:color w:val="1F1F1F"/>
                                <w:sz w:val="24"/>
                                <w:szCs w:val="24"/>
                              </w:rPr>
                              <w:t>0</w:t>
                            </w:r>
                            <w:r w:rsidRPr="008246DD">
                              <w:rPr>
                                <w:rFonts w:ascii="Times New Roman" w:hAnsi="Times New Roman" w:cs="Times New Roman"/>
                                <w:color w:val="1F1F1F"/>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406ED8E" id="_x0000_s1027" type="#_x0000_t202" style="position:absolute;margin-left:0;margin-top:206.4pt;width:255.65pt;height:36.5pt;z-index:2516623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" fillcolor="white [3201]" strokecolor="white [3212]" strokeweight=".5pt">
                <v:textbox>
                  <w:txbxContent>
                    <w:p w14:paraId="158B8E15" w14:textId="77777777" w:rsidR="0051550B" w:rsidRPr="00F9692E" w:rsidRDefault="0051550B" w:rsidP="0051550B">
                      <w:pPr>
                        <w:jc w:val="center"/>
                        <w:rPr>
                          <w:rFonts w:ascii="Times New Roman" w:hAnsi="Times New Roman" w:cs="Times New Roman"/>
                          <w:sz w:val="24"/>
                          <w:szCs w:val="24"/>
                        </w:rPr>
                      </w:pPr>
                      <w:r w:rsidRPr="008246DD">
                        <w:rPr>
                          <w:rStyle w:val="label"/>
                          <w:rFonts w:ascii="Times New Roman" w:hAnsi="Times New Roman" w:cs="Times New Roman"/>
                          <w:color w:val="1F1F1F"/>
                          <w:sz w:val="24"/>
                          <w:szCs w:val="24"/>
                        </w:rPr>
                        <w:t xml:space="preserve">Fig. </w:t>
                      </w:r>
                      <w:r>
                        <w:rPr>
                          <w:rStyle w:val="label"/>
                          <w:rFonts w:ascii="Times New Roman" w:hAnsi="Times New Roman" w:cs="Times New Roman"/>
                          <w:color w:val="1F1F1F"/>
                          <w:sz w:val="24"/>
                          <w:szCs w:val="24"/>
                        </w:rPr>
                        <w:t>2</w:t>
                      </w:r>
                      <w:r w:rsidRPr="008246DD">
                        <w:rPr>
                          <w:rFonts w:ascii="Times New Roman" w:hAnsi="Times New Roman" w:cs="Times New Roman"/>
                          <w:color w:val="1F1F1F"/>
                          <w:sz w:val="24"/>
                          <w:szCs w:val="24"/>
                        </w:rPr>
                        <w:t>. </w:t>
                      </w:r>
                      <w:r>
                        <w:rPr>
                          <w:rFonts w:ascii="Times New Roman" w:hAnsi="Times New Roman" w:cs="Times New Roman"/>
                          <w:color w:val="1F1F1F"/>
                          <w:sz w:val="24"/>
                          <w:szCs w:val="24"/>
                        </w:rPr>
                        <w:t>Cranium and Mandible of Shanidar 1</w:t>
                      </w:r>
                      <w:r w:rsidRPr="008246DD">
                        <w:rPr>
                          <w:rFonts w:ascii="Times New Roman" w:hAnsi="Times New Roman" w:cs="Times New Roman"/>
                          <w:color w:val="1F1F1F"/>
                          <w:sz w:val="24"/>
                          <w:szCs w:val="24"/>
                        </w:rPr>
                        <w:t xml:space="preserve"> (</w:t>
                      </w:r>
                      <w:r>
                        <w:rPr>
                          <w:rFonts w:ascii="Times New Roman" w:hAnsi="Times New Roman" w:cs="Times New Roman"/>
                          <w:color w:val="1F1F1F"/>
                          <w:sz w:val="24"/>
                          <w:szCs w:val="24"/>
                        </w:rPr>
                        <w:t>Pomeroy et al</w:t>
                      </w:r>
                      <w:r w:rsidRPr="008246DD">
                        <w:rPr>
                          <w:rFonts w:ascii="Times New Roman" w:hAnsi="Times New Roman" w:cs="Times New Roman"/>
                          <w:color w:val="1F1F1F"/>
                          <w:sz w:val="24"/>
                          <w:szCs w:val="24"/>
                        </w:rPr>
                        <w:t>, 202</w:t>
                      </w:r>
                      <w:r>
                        <w:rPr>
                          <w:rFonts w:ascii="Times New Roman" w:hAnsi="Times New Roman" w:cs="Times New Roman"/>
                          <w:color w:val="1F1F1F"/>
                          <w:sz w:val="24"/>
                          <w:szCs w:val="24"/>
                        </w:rPr>
                        <w:t>0</w:t>
                      </w:r>
                      <w:r w:rsidRPr="008246DD">
                        <w:rPr>
                          <w:rFonts w:ascii="Times New Roman" w:hAnsi="Times New Roman" w:cs="Times New Roman"/>
                          <w:color w:val="1F1F1F"/>
                          <w:sz w:val="24"/>
                          <w:szCs w:val="24"/>
                        </w:rPr>
                        <w:t>).</w:t>
                      </w:r>
                    </w:p>
                  </w:txbxContent>
                </v:textbox>
                <w10:wrap type="square" anchorx="margin"/>
              </v:shape>
            </w:pict>
          </mc:Fallback>
        </mc:AlternateContent>
      </w:r>
      <w:r w:rsidR="0051550B">
        <w:rPr>
          <w:rFonts w:ascii="Times New Roman" w:hAnsi="Times New Roman" w:cs="Times New Roman"/>
          <w:noProof/>
          <w:sz w:val="24"/>
          <w:szCs w:val="24"/>
          <w14:ligatures w14:val="standardContextual"/>
        </w:rPr>
        <w:drawing>
          <wp:anchor distT="0" distB="0" distL="114300" distR="114300" simplePos="0" relativeHeight="251661312" behindDoc="0" locked="0" layoutInCell="1" allowOverlap="1" wp14:anchorId="19662EC2" wp14:editId="001C7BBB">
            <wp:simplePos x="0" y="0"/>
            <wp:positionH relativeFrom="margin">
              <wp:align>left</wp:align>
            </wp:positionH>
            <wp:positionV relativeFrom="paragraph">
              <wp:posOffset>10795</wp:posOffset>
            </wp:positionV>
            <wp:extent cx="3256280" cy="2619375"/>
            <wp:effectExtent l="0" t="0" r="1270" b="9525"/>
            <wp:wrapSquare wrapText="bothSides"/>
            <wp:docPr id="1137627662" name="Picture 6" descr="A close-up of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627662" name="Picture 6" descr="A close-up of a rock&#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56280" cy="2619375"/>
                    </a:xfrm>
                    <a:prstGeom prst="rect">
                      <a:avLst/>
                    </a:prstGeom>
                  </pic:spPr>
                </pic:pic>
              </a:graphicData>
            </a:graphic>
            <wp14:sizeRelH relativeFrom="page">
              <wp14:pctWidth>0</wp14:pctWidth>
            </wp14:sizeRelH>
            <wp14:sizeRelV relativeFrom="page">
              <wp14:pctHeight>0</wp14:pctHeight>
            </wp14:sizeRelV>
          </wp:anchor>
        </w:drawing>
      </w:r>
      <w:r w:rsidR="0051550B">
        <w:rPr>
          <w:rFonts w:ascii="Times New Roman" w:hAnsi="Times New Roman" w:cs="Times New Roman"/>
          <w:sz w:val="24"/>
          <w:szCs w:val="24"/>
        </w:rPr>
        <w:tab/>
        <w:t xml:space="preserve">In order ot give skeletal evidence in the mortuary behaviour of </w:t>
      </w:r>
      <w:r w:rsidR="00CC4454">
        <w:rPr>
          <w:rFonts w:ascii="Times New Roman" w:hAnsi="Times New Roman" w:cs="Times New Roman"/>
          <w:sz w:val="24"/>
          <w:szCs w:val="24"/>
        </w:rPr>
        <w:t>N</w:t>
      </w:r>
      <w:r w:rsidR="0051550B">
        <w:rPr>
          <w:rFonts w:ascii="Times New Roman" w:hAnsi="Times New Roman" w:cs="Times New Roman"/>
          <w:sz w:val="24"/>
          <w:szCs w:val="24"/>
        </w:rPr>
        <w:t xml:space="preserve">eanderthals. One must look at the placement of said skeletons. For example, in Shanidar cave. The reexamaniation of Shanidar 1 shows that the placement of the skull and mandible seems to look unnatural (see fig 2) (Pomeroy et al, 2020). This suggests that the Neanderthal named Shanidar 1 must have been intentionally placed in Shanidar Cave. Pomeroy and more continue to look more deeply into some of Solecki’s work. Analysing the bone breakage of some Neanderthal bones. The reason why the breakage of bones is being analysed in this study, is because bone breaks differently depending on its state (Pomeroy et al, 2020). Solecki often uses the idea that most of the Neanderthal remains that can fall under the catergory of a “burial” are rockfall deaths. However, looking at other factors rather than skeletal evidence, the sedementary and stratigraphic aspects can be looked into for mortuary activity. </w:t>
      </w:r>
    </w:p>
    <w:p w14:paraId="6721231A" w14:textId="333E807C" w:rsidR="00564D21" w:rsidRDefault="0051550B" w:rsidP="0026202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t>I</w:t>
      </w:r>
      <w:r w:rsidR="003A2D92">
        <w:rPr>
          <w:rFonts w:ascii="Times New Roman" w:hAnsi="Times New Roman" w:cs="Times New Roman"/>
          <w:sz w:val="24"/>
          <w:szCs w:val="24"/>
        </w:rPr>
        <w:t xml:space="preserve">n the levant during the Middle Palaeolithic, </w:t>
      </w:r>
      <w:r w:rsidR="009D5974">
        <w:rPr>
          <w:rFonts w:ascii="Times New Roman" w:hAnsi="Times New Roman" w:cs="Times New Roman"/>
          <w:sz w:val="24"/>
          <w:szCs w:val="24"/>
        </w:rPr>
        <w:t xml:space="preserve">Homo Sapiens (Anatomically Modern Humans) and Neanderthals co-inhabited the </w:t>
      </w:r>
      <w:r w:rsidR="002635BB">
        <w:rPr>
          <w:rFonts w:ascii="Times New Roman" w:hAnsi="Times New Roman" w:cs="Times New Roman"/>
          <w:sz w:val="24"/>
          <w:szCs w:val="24"/>
        </w:rPr>
        <w:t xml:space="preserve">region (Been, 2017). </w:t>
      </w:r>
      <w:r w:rsidR="00AE3F8D">
        <w:rPr>
          <w:rFonts w:ascii="Times New Roman" w:hAnsi="Times New Roman" w:cs="Times New Roman"/>
          <w:sz w:val="24"/>
          <w:szCs w:val="24"/>
        </w:rPr>
        <w:t>Some Neanderthal remains have been discovered to</w:t>
      </w:r>
      <w:r w:rsidR="00F9683C">
        <w:rPr>
          <w:rFonts w:ascii="Times New Roman" w:hAnsi="Times New Roman" w:cs="Times New Roman"/>
          <w:sz w:val="24"/>
          <w:szCs w:val="24"/>
        </w:rPr>
        <w:t xml:space="preserve"> be associated with flint artefacts (Been, 2017). </w:t>
      </w:r>
      <w:r w:rsidR="006175BE">
        <w:rPr>
          <w:rFonts w:ascii="Times New Roman" w:hAnsi="Times New Roman" w:cs="Times New Roman"/>
          <w:sz w:val="24"/>
          <w:szCs w:val="24"/>
        </w:rPr>
        <w:t xml:space="preserve">These flint artefacts could have been accidentally placed in the site. However, viewing the placement of the flint artefacts as intentionally placed. It can infer a plethora of </w:t>
      </w:r>
      <w:r w:rsidR="000C1065">
        <w:rPr>
          <w:rFonts w:ascii="Times New Roman" w:hAnsi="Times New Roman" w:cs="Times New Roman"/>
          <w:sz w:val="24"/>
          <w:szCs w:val="24"/>
        </w:rPr>
        <w:t>hypotheses about Neanderthals and how they view the afterlife and their burial practices. Looking at the last paragraph</w:t>
      </w:r>
      <w:r w:rsidR="00D61786">
        <w:rPr>
          <w:rFonts w:ascii="Times New Roman" w:hAnsi="Times New Roman" w:cs="Times New Roman"/>
          <w:sz w:val="24"/>
          <w:szCs w:val="24"/>
        </w:rPr>
        <w:t xml:space="preserve">. Where there was a discussion on Shanidar 4 and the flower burial. This can give “evidence” to an extent on object being intentionally placed. Using one of the idea used above. The flint artefacts may have been added to the burial for ritualistic, ceremonial, and respect reasons. </w:t>
      </w:r>
      <w:r w:rsidR="00FC64F8">
        <w:rPr>
          <w:rFonts w:ascii="Times New Roman" w:hAnsi="Times New Roman" w:cs="Times New Roman"/>
          <w:sz w:val="24"/>
          <w:szCs w:val="24"/>
        </w:rPr>
        <w:t xml:space="preserve">This might infer that the Neanderthal view on the afterlife is perhaps materialistic. </w:t>
      </w:r>
      <w:r w:rsidR="006119ED">
        <w:rPr>
          <w:rFonts w:ascii="Times New Roman" w:hAnsi="Times New Roman" w:cs="Times New Roman"/>
          <w:sz w:val="24"/>
          <w:szCs w:val="24"/>
        </w:rPr>
        <w:t xml:space="preserve">Such as many Human cultures today, where they would take the valuables into </w:t>
      </w:r>
      <w:r w:rsidR="00DA45F7">
        <w:rPr>
          <w:rFonts w:ascii="Times New Roman" w:hAnsi="Times New Roman" w:cs="Times New Roman"/>
          <w:sz w:val="24"/>
          <w:szCs w:val="24"/>
        </w:rPr>
        <w:t xml:space="preserve">the afterlife. </w:t>
      </w:r>
      <w:r w:rsidR="002763FF">
        <w:rPr>
          <w:rFonts w:ascii="Times New Roman" w:hAnsi="Times New Roman" w:cs="Times New Roman"/>
          <w:sz w:val="24"/>
          <w:szCs w:val="24"/>
        </w:rPr>
        <w:t>There is a common belief t</w:t>
      </w:r>
      <w:r w:rsidR="00434A72">
        <w:rPr>
          <w:rFonts w:ascii="Times New Roman" w:hAnsi="Times New Roman" w:cs="Times New Roman"/>
          <w:sz w:val="24"/>
          <w:szCs w:val="24"/>
        </w:rPr>
        <w:t>hat the Neanderthals would practice rituals, this also suggests that they did have an idea on an afterlife (</w:t>
      </w:r>
      <w:r w:rsidR="00481AC1">
        <w:rPr>
          <w:rFonts w:ascii="Times New Roman" w:hAnsi="Times New Roman" w:cs="Times New Roman"/>
          <w:sz w:val="24"/>
          <w:szCs w:val="24"/>
        </w:rPr>
        <w:t>Gargett, 1989).</w:t>
      </w:r>
      <w:r w:rsidR="002245C2">
        <w:rPr>
          <w:rFonts w:ascii="Times New Roman" w:hAnsi="Times New Roman" w:cs="Times New Roman"/>
          <w:sz w:val="24"/>
          <w:szCs w:val="24"/>
        </w:rPr>
        <w:t xml:space="preserve"> There have been stone cysts containing the skulls of bears in </w:t>
      </w:r>
      <w:r w:rsidR="007D76F0">
        <w:rPr>
          <w:rFonts w:ascii="Times New Roman" w:hAnsi="Times New Roman" w:cs="Times New Roman"/>
          <w:sz w:val="24"/>
          <w:szCs w:val="24"/>
        </w:rPr>
        <w:t>Drachenloch, and there are also broken bones that do suggest a practice of cannibalism amognst Neanderthals (Gargett, 1989).</w:t>
      </w:r>
      <w:r w:rsidR="002F1668">
        <w:rPr>
          <w:rFonts w:ascii="Times New Roman" w:hAnsi="Times New Roman" w:cs="Times New Roman"/>
          <w:sz w:val="24"/>
          <w:szCs w:val="24"/>
        </w:rPr>
        <w:t xml:space="preserve"> These could have been practices used to ensure a peaceful afterlife</w:t>
      </w:r>
    </w:p>
    <w:p w14:paraId="43E27A96" w14:textId="270383F9" w:rsidR="004E38EC" w:rsidRDefault="004E38EC" w:rsidP="0026202F">
      <w:pPr>
        <w:spacing w:line="360" w:lineRule="auto"/>
        <w:rPr>
          <w:rFonts w:ascii="Times New Roman" w:hAnsi="Times New Roman" w:cs="Times New Roman"/>
          <w:sz w:val="24"/>
          <w:szCs w:val="24"/>
        </w:rPr>
      </w:pPr>
      <w:r>
        <w:rPr>
          <w:rFonts w:ascii="Times New Roman" w:hAnsi="Times New Roman" w:cs="Times New Roman"/>
          <w:sz w:val="24"/>
          <w:szCs w:val="24"/>
        </w:rPr>
        <w:tab/>
        <w:t>In 1908 at La Chapelle-aux-Saints</w:t>
      </w:r>
      <w:r w:rsidR="0051608F">
        <w:rPr>
          <w:rFonts w:ascii="Times New Roman" w:hAnsi="Times New Roman" w:cs="Times New Roman"/>
          <w:sz w:val="24"/>
          <w:szCs w:val="24"/>
        </w:rPr>
        <w:t>, there was a fairly complete skeleton of a Neanderthal (Gargett, 1989).</w:t>
      </w:r>
      <w:r w:rsidR="000A10BE">
        <w:rPr>
          <w:rFonts w:ascii="Times New Roman" w:hAnsi="Times New Roman" w:cs="Times New Roman"/>
          <w:sz w:val="24"/>
          <w:szCs w:val="24"/>
        </w:rPr>
        <w:t xml:space="preserve"> </w:t>
      </w:r>
      <w:r w:rsidR="00E55EC8">
        <w:rPr>
          <w:rFonts w:ascii="Times New Roman" w:hAnsi="Times New Roman" w:cs="Times New Roman"/>
          <w:sz w:val="24"/>
          <w:szCs w:val="24"/>
        </w:rPr>
        <w:t>One of the reasons why La Chapelle-aux-Saints can be viewed as a burial is due to the size of the cave itself (Gargett, 1989). The size of the case would cause it to be</w:t>
      </w:r>
      <w:r w:rsidR="007547AA">
        <w:rPr>
          <w:rFonts w:ascii="Times New Roman" w:hAnsi="Times New Roman" w:cs="Times New Roman"/>
          <w:sz w:val="24"/>
          <w:szCs w:val="24"/>
        </w:rPr>
        <w:t xml:space="preserve"> too uncomfortable to live in with multiple Neanderthals. </w:t>
      </w:r>
      <w:r w:rsidR="007B6001">
        <w:rPr>
          <w:rFonts w:ascii="Times New Roman" w:hAnsi="Times New Roman" w:cs="Times New Roman"/>
          <w:sz w:val="24"/>
          <w:szCs w:val="24"/>
        </w:rPr>
        <w:t>The possible age of the Neanderthal found at La Chapelle-aux-Saints must have been elderly (Gargett, 1989)</w:t>
      </w:r>
      <w:r w:rsidR="005F6BE4">
        <w:rPr>
          <w:rFonts w:ascii="Times New Roman" w:hAnsi="Times New Roman" w:cs="Times New Roman"/>
          <w:sz w:val="24"/>
          <w:szCs w:val="24"/>
        </w:rPr>
        <w:t xml:space="preserve">. If the Neanderthal was elderly, this gives some more evidence that </w:t>
      </w:r>
      <w:r w:rsidR="00F2626F">
        <w:rPr>
          <w:rFonts w:ascii="Times New Roman" w:hAnsi="Times New Roman" w:cs="Times New Roman"/>
          <w:sz w:val="24"/>
          <w:szCs w:val="24"/>
        </w:rPr>
        <w:t xml:space="preserve">they were carried by other family members into the small den/cave and buried there after death or before. </w:t>
      </w:r>
      <w:r w:rsidR="0051608F">
        <w:rPr>
          <w:rFonts w:ascii="Times New Roman" w:hAnsi="Times New Roman" w:cs="Times New Roman"/>
          <w:sz w:val="24"/>
          <w:szCs w:val="24"/>
        </w:rPr>
        <w:t xml:space="preserve"> </w:t>
      </w:r>
    </w:p>
    <w:p w14:paraId="2CF2FF39" w14:textId="643E0585" w:rsidR="00FD0574" w:rsidRDefault="00FD0574" w:rsidP="0026202F">
      <w:pPr>
        <w:spacing w:line="360" w:lineRule="auto"/>
        <w:rPr>
          <w:rFonts w:ascii="Times New Roman" w:hAnsi="Times New Roman" w:cs="Times New Roman"/>
          <w:sz w:val="24"/>
          <w:szCs w:val="24"/>
        </w:rPr>
      </w:pPr>
      <w:r>
        <w:rPr>
          <w:rFonts w:ascii="Times New Roman" w:hAnsi="Times New Roman" w:cs="Times New Roman"/>
          <w:sz w:val="24"/>
          <w:szCs w:val="24"/>
        </w:rPr>
        <w:tab/>
        <w:t>During the Mid-Upper Palaeolithic Neanderthal named today Sunghir 1</w:t>
      </w:r>
      <w:r w:rsidR="001D4312">
        <w:rPr>
          <w:rFonts w:ascii="Times New Roman" w:hAnsi="Times New Roman" w:cs="Times New Roman"/>
          <w:sz w:val="24"/>
          <w:szCs w:val="24"/>
        </w:rPr>
        <w:t>, which was an older adult male</w:t>
      </w:r>
      <w:r w:rsidR="0058022C">
        <w:rPr>
          <w:rFonts w:ascii="Times New Roman" w:hAnsi="Times New Roman" w:cs="Times New Roman"/>
          <w:sz w:val="24"/>
          <w:szCs w:val="24"/>
        </w:rPr>
        <w:t xml:space="preserve"> (</w:t>
      </w:r>
      <w:r w:rsidR="00467DD1">
        <w:rPr>
          <w:rFonts w:ascii="Times New Roman" w:hAnsi="Times New Roman" w:cs="Times New Roman"/>
          <w:sz w:val="24"/>
          <w:szCs w:val="24"/>
        </w:rPr>
        <w:t>Trinkaus, 2010).</w:t>
      </w:r>
      <w:r w:rsidR="0058022C">
        <w:rPr>
          <w:rFonts w:ascii="Times New Roman" w:hAnsi="Times New Roman" w:cs="Times New Roman"/>
          <w:sz w:val="24"/>
          <w:szCs w:val="24"/>
        </w:rPr>
        <w:t xml:space="preserve"> </w:t>
      </w:r>
      <w:r w:rsidR="00467DD1">
        <w:rPr>
          <w:rFonts w:ascii="Times New Roman" w:hAnsi="Times New Roman" w:cs="Times New Roman"/>
          <w:sz w:val="24"/>
          <w:szCs w:val="24"/>
        </w:rPr>
        <w:t>I</w:t>
      </w:r>
      <w:r w:rsidR="0058022C">
        <w:rPr>
          <w:rFonts w:ascii="Times New Roman" w:hAnsi="Times New Roman" w:cs="Times New Roman"/>
          <w:sz w:val="24"/>
          <w:szCs w:val="24"/>
        </w:rPr>
        <w:t xml:space="preserve">t is by far </w:t>
      </w:r>
      <w:r w:rsidR="001D4312">
        <w:rPr>
          <w:rFonts w:ascii="Times New Roman" w:hAnsi="Times New Roman" w:cs="Times New Roman"/>
          <w:sz w:val="24"/>
          <w:szCs w:val="24"/>
        </w:rPr>
        <w:t xml:space="preserve">one of the most elaborate burials known from Neanderthals </w:t>
      </w:r>
      <w:r w:rsidR="0058022C">
        <w:rPr>
          <w:rFonts w:ascii="Times New Roman" w:hAnsi="Times New Roman" w:cs="Times New Roman"/>
          <w:sz w:val="24"/>
          <w:szCs w:val="24"/>
        </w:rPr>
        <w:t xml:space="preserve"> due to t</w:t>
      </w:r>
      <w:r w:rsidR="001D4312">
        <w:rPr>
          <w:rFonts w:ascii="Times New Roman" w:hAnsi="Times New Roman" w:cs="Times New Roman"/>
          <w:sz w:val="24"/>
          <w:szCs w:val="24"/>
        </w:rPr>
        <w:t>he</w:t>
      </w:r>
      <w:r w:rsidR="00D65590">
        <w:rPr>
          <w:rFonts w:ascii="Times New Roman" w:hAnsi="Times New Roman" w:cs="Times New Roman"/>
          <w:sz w:val="24"/>
          <w:szCs w:val="24"/>
        </w:rPr>
        <w:t xml:space="preserve"> assemblage</w:t>
      </w:r>
      <w:r w:rsidR="0058022C">
        <w:rPr>
          <w:rFonts w:ascii="Times New Roman" w:hAnsi="Times New Roman" w:cs="Times New Roman"/>
          <w:sz w:val="24"/>
          <w:szCs w:val="24"/>
        </w:rPr>
        <w:t>, which</w:t>
      </w:r>
      <w:r w:rsidR="00D65590">
        <w:rPr>
          <w:rFonts w:ascii="Times New Roman" w:hAnsi="Times New Roman" w:cs="Times New Roman"/>
          <w:sz w:val="24"/>
          <w:szCs w:val="24"/>
        </w:rPr>
        <w:t xml:space="preserve"> consisted of thousands of mammoth ivory beads</w:t>
      </w:r>
      <w:r w:rsidR="00383171">
        <w:rPr>
          <w:rFonts w:ascii="Times New Roman" w:hAnsi="Times New Roman" w:cs="Times New Roman"/>
          <w:sz w:val="24"/>
          <w:szCs w:val="24"/>
        </w:rPr>
        <w:t xml:space="preserve"> and body ornaments </w:t>
      </w:r>
      <w:r w:rsidR="006661D4">
        <w:rPr>
          <w:rFonts w:ascii="Times New Roman" w:hAnsi="Times New Roman" w:cs="Times New Roman"/>
          <w:sz w:val="24"/>
          <w:szCs w:val="24"/>
        </w:rPr>
        <w:t xml:space="preserve">(see fig 3) </w:t>
      </w:r>
      <w:r w:rsidR="00383171">
        <w:rPr>
          <w:rFonts w:ascii="Times New Roman" w:hAnsi="Times New Roman" w:cs="Times New Roman"/>
          <w:sz w:val="24"/>
          <w:szCs w:val="24"/>
        </w:rPr>
        <w:t xml:space="preserve">(Trinkaus, 2010). </w:t>
      </w:r>
      <w:r w:rsidR="00056517">
        <w:rPr>
          <w:rFonts w:ascii="Times New Roman" w:hAnsi="Times New Roman" w:cs="Times New Roman"/>
          <w:sz w:val="24"/>
          <w:szCs w:val="24"/>
        </w:rPr>
        <w:t xml:space="preserve">The body ornaments found were red ochre, arms bands, and pendants </w:t>
      </w:r>
      <w:r w:rsidR="006661D4">
        <w:rPr>
          <w:rFonts w:ascii="Times New Roman" w:hAnsi="Times New Roman" w:cs="Times New Roman"/>
          <w:sz w:val="24"/>
          <w:szCs w:val="24"/>
        </w:rPr>
        <w:t xml:space="preserve">(see fig 3) </w:t>
      </w:r>
      <w:r w:rsidR="00056517">
        <w:rPr>
          <w:rFonts w:ascii="Times New Roman" w:hAnsi="Times New Roman" w:cs="Times New Roman"/>
          <w:sz w:val="24"/>
          <w:szCs w:val="24"/>
        </w:rPr>
        <w:t xml:space="preserve">(Trinkaus, 2010). </w:t>
      </w:r>
      <w:r w:rsidR="00D45D8E">
        <w:rPr>
          <w:rFonts w:ascii="Times New Roman" w:hAnsi="Times New Roman" w:cs="Times New Roman"/>
          <w:sz w:val="24"/>
          <w:szCs w:val="24"/>
        </w:rPr>
        <w:t>The position of Sunghir 1 is also incredibly thought provoking.</w:t>
      </w:r>
      <w:r w:rsidR="00254672">
        <w:rPr>
          <w:rFonts w:ascii="Times New Roman" w:hAnsi="Times New Roman" w:cs="Times New Roman"/>
          <w:sz w:val="24"/>
          <w:szCs w:val="24"/>
        </w:rPr>
        <w:t xml:space="preserve"> His hands are crossing covering his pelvis</w:t>
      </w:r>
      <w:r w:rsidR="00704D5C">
        <w:rPr>
          <w:rFonts w:ascii="Times New Roman" w:hAnsi="Times New Roman" w:cs="Times New Roman"/>
          <w:sz w:val="24"/>
          <w:szCs w:val="24"/>
        </w:rPr>
        <w:t xml:space="preserve">, </w:t>
      </w:r>
      <w:r w:rsidR="007E4839">
        <w:rPr>
          <w:rFonts w:ascii="Times New Roman" w:hAnsi="Times New Roman" w:cs="Times New Roman"/>
          <w:sz w:val="24"/>
          <w:szCs w:val="24"/>
        </w:rPr>
        <w:t>and his</w:t>
      </w:r>
      <w:r w:rsidR="00704D5C">
        <w:rPr>
          <w:rFonts w:ascii="Times New Roman" w:hAnsi="Times New Roman" w:cs="Times New Roman"/>
          <w:sz w:val="24"/>
          <w:szCs w:val="24"/>
        </w:rPr>
        <w:t xml:space="preserve"> legs and feet are fully extented (see fig 3) (Trinkaus, 2010).</w:t>
      </w:r>
      <w:r w:rsidR="00312A17">
        <w:rPr>
          <w:rFonts w:ascii="Times New Roman" w:hAnsi="Times New Roman" w:cs="Times New Roman"/>
          <w:sz w:val="24"/>
          <w:szCs w:val="24"/>
        </w:rPr>
        <w:t xml:space="preserve"> How Sunghir 1 met his death was violent</w:t>
      </w:r>
      <w:r w:rsidR="00E40283">
        <w:rPr>
          <w:rFonts w:ascii="Times New Roman" w:hAnsi="Times New Roman" w:cs="Times New Roman"/>
          <w:sz w:val="24"/>
          <w:szCs w:val="24"/>
        </w:rPr>
        <w:t xml:space="preserve">, and may have possibly died from human weaponry (Trinkaus, 2010). </w:t>
      </w:r>
      <w:r w:rsidR="008B79F0">
        <w:rPr>
          <w:rFonts w:ascii="Times New Roman" w:hAnsi="Times New Roman" w:cs="Times New Roman"/>
          <w:sz w:val="24"/>
          <w:szCs w:val="24"/>
        </w:rPr>
        <w:t>There is a piercing blow across his cranial ninth rib, which would have caused him to get</w:t>
      </w:r>
      <w:r w:rsidR="00A070C1">
        <w:rPr>
          <w:rFonts w:ascii="Times New Roman" w:hAnsi="Times New Roman" w:cs="Times New Roman"/>
          <w:sz w:val="24"/>
          <w:szCs w:val="24"/>
        </w:rPr>
        <w:t xml:space="preserve"> a penumothorax (Trinkaus, 2010). This would have caused Sunghir 1 to die weeks later after </w:t>
      </w:r>
      <w:r w:rsidR="00A070C1">
        <w:rPr>
          <w:rFonts w:ascii="Times New Roman" w:hAnsi="Times New Roman" w:cs="Times New Roman"/>
          <w:sz w:val="24"/>
          <w:szCs w:val="24"/>
        </w:rPr>
        <w:lastRenderedPageBreak/>
        <w:t xml:space="preserve">the incident, and not instantly (Trinkaus, 2010). </w:t>
      </w:r>
      <w:r w:rsidR="009B7F16">
        <w:rPr>
          <w:rFonts w:ascii="Times New Roman" w:hAnsi="Times New Roman" w:cs="Times New Roman"/>
          <w:sz w:val="24"/>
          <w:szCs w:val="24"/>
        </w:rPr>
        <w:t>To give more context to the cause of death of Sunghir 1</w:t>
      </w:r>
      <w:r w:rsidR="00C53A02">
        <w:rPr>
          <w:rFonts w:ascii="Times New Roman" w:hAnsi="Times New Roman" w:cs="Times New Roman"/>
          <w:sz w:val="24"/>
          <w:szCs w:val="24"/>
        </w:rPr>
        <w:t xml:space="preserve">, there will be 2 theories looked into. Firstly, </w:t>
      </w:r>
      <w:r w:rsidR="00EE2C52">
        <w:rPr>
          <w:rFonts w:ascii="Times New Roman" w:hAnsi="Times New Roman" w:cs="Times New Roman"/>
          <w:sz w:val="24"/>
          <w:szCs w:val="24"/>
        </w:rPr>
        <w:t>this could have been a ritual killing, which might give an idea on why there were so many mammoth ivory beads and body ornaments (Trinkaus, 2010). Secondly, it may have been a hunting accident</w:t>
      </w:r>
      <w:r w:rsidR="006018D4">
        <w:rPr>
          <w:rFonts w:ascii="Times New Roman" w:hAnsi="Times New Roman" w:cs="Times New Roman"/>
          <w:sz w:val="24"/>
          <w:szCs w:val="24"/>
        </w:rPr>
        <w:t xml:space="preserve">, caused by a spear that was thrown and aimed poorly the target (Trinkaus, 2010). </w:t>
      </w:r>
      <w:r w:rsidR="00F863B9">
        <w:rPr>
          <w:rFonts w:ascii="Times New Roman" w:hAnsi="Times New Roman" w:cs="Times New Roman"/>
          <w:sz w:val="24"/>
          <w:szCs w:val="24"/>
        </w:rPr>
        <w:t xml:space="preserve">These two theories are the most probable, in comparison to the others that were </w:t>
      </w:r>
      <w:r w:rsidR="008E711F">
        <w:rPr>
          <w:rFonts w:ascii="Times New Roman" w:hAnsi="Times New Roman" w:cs="Times New Roman"/>
          <w:sz w:val="24"/>
          <w:szCs w:val="24"/>
        </w:rPr>
        <w:t xml:space="preserve">in the paper. </w:t>
      </w:r>
      <w:r w:rsidR="003D407B">
        <w:rPr>
          <w:rFonts w:ascii="Times New Roman" w:hAnsi="Times New Roman" w:cs="Times New Roman"/>
          <w:sz w:val="24"/>
          <w:szCs w:val="24"/>
        </w:rPr>
        <w:t xml:space="preserve">What does </w:t>
      </w:r>
      <w:r w:rsidR="00701534">
        <w:rPr>
          <w:rFonts w:ascii="Times New Roman" w:hAnsi="Times New Roman" w:cs="Times New Roman"/>
          <w:sz w:val="24"/>
          <w:szCs w:val="24"/>
        </w:rPr>
        <w:t>all the information provided so far infer about how Neanderthals viewed the afterlife</w:t>
      </w:r>
      <w:r w:rsidR="00F63EE7">
        <w:rPr>
          <w:rFonts w:ascii="Times New Roman" w:hAnsi="Times New Roman" w:cs="Times New Roman"/>
          <w:sz w:val="24"/>
          <w:szCs w:val="24"/>
        </w:rPr>
        <w:t>? Firstly, the conte</w:t>
      </w:r>
      <w:r w:rsidR="00127AAE">
        <w:rPr>
          <w:rFonts w:ascii="Times New Roman" w:hAnsi="Times New Roman" w:cs="Times New Roman"/>
          <w:sz w:val="24"/>
          <w:szCs w:val="24"/>
        </w:rPr>
        <w:t>x</w:t>
      </w:r>
      <w:r w:rsidR="00F63EE7">
        <w:rPr>
          <w:rFonts w:ascii="Times New Roman" w:hAnsi="Times New Roman" w:cs="Times New Roman"/>
          <w:sz w:val="24"/>
          <w:szCs w:val="24"/>
        </w:rPr>
        <w:t>t can be looked into. If the ritual theory of Sunhir 1’s death is to be the mos</w:t>
      </w:r>
      <w:r w:rsidR="00EE03AB">
        <w:rPr>
          <w:rFonts w:ascii="Times New Roman" w:hAnsi="Times New Roman" w:cs="Times New Roman"/>
          <w:sz w:val="24"/>
          <w:szCs w:val="24"/>
        </w:rPr>
        <w:t>t probable out of the two, then this could suggest a religious or mythological ideology that they may have had.</w:t>
      </w:r>
      <w:r w:rsidR="005A508B">
        <w:rPr>
          <w:rFonts w:ascii="Times New Roman" w:hAnsi="Times New Roman" w:cs="Times New Roman"/>
          <w:sz w:val="24"/>
          <w:szCs w:val="24"/>
        </w:rPr>
        <w:t xml:space="preserve"> Since Homo Sapiens have been committing ritualisitic sacrficies since the beginning and this is usually due to </w:t>
      </w:r>
      <w:r w:rsidR="00582B3A">
        <w:rPr>
          <w:rFonts w:ascii="Times New Roman" w:hAnsi="Times New Roman" w:cs="Times New Roman"/>
          <w:sz w:val="24"/>
          <w:szCs w:val="24"/>
        </w:rPr>
        <w:t xml:space="preserve">homage to a higher power. </w:t>
      </w:r>
      <w:r w:rsidR="005B134F">
        <w:rPr>
          <w:rFonts w:ascii="Times New Roman" w:hAnsi="Times New Roman" w:cs="Times New Roman"/>
          <w:sz w:val="24"/>
          <w:szCs w:val="24"/>
        </w:rPr>
        <w:t xml:space="preserve">If the theory for accidental death due to a hunting accident is correct. Then this shows that the Neanderthals of Sunghir had compasion, and cared for one another. As the effort that must have been put into the burial would have wasted energy on the group. </w:t>
      </w:r>
      <w:r w:rsidR="00C806A4">
        <w:rPr>
          <w:rFonts w:ascii="Times New Roman" w:hAnsi="Times New Roman" w:cs="Times New Roman"/>
          <w:sz w:val="24"/>
          <w:szCs w:val="24"/>
        </w:rPr>
        <w:t>This act of grieving for the death of a fellow family member or friend may infer that the view on afterlife was tranquil</w:t>
      </w:r>
      <w:r w:rsidR="00B85C1F">
        <w:rPr>
          <w:rFonts w:ascii="Times New Roman" w:hAnsi="Times New Roman" w:cs="Times New Roman"/>
          <w:sz w:val="24"/>
          <w:szCs w:val="24"/>
        </w:rPr>
        <w:t xml:space="preserve"> and accepting. Perhaps, all of the material that w</w:t>
      </w:r>
      <w:r w:rsidR="0080181C">
        <w:rPr>
          <w:rFonts w:ascii="Times New Roman" w:hAnsi="Times New Roman" w:cs="Times New Roman"/>
          <w:sz w:val="24"/>
          <w:szCs w:val="24"/>
        </w:rPr>
        <w:t>as</w:t>
      </w:r>
      <w:r w:rsidR="00B85C1F">
        <w:rPr>
          <w:rFonts w:ascii="Times New Roman" w:hAnsi="Times New Roman" w:cs="Times New Roman"/>
          <w:sz w:val="24"/>
          <w:szCs w:val="24"/>
        </w:rPr>
        <w:t xml:space="preserve"> added into the burial of Sunghir 1 was so that they can take it with them to the afterlife, such as the way other Ancient Humans did it. </w:t>
      </w:r>
    </w:p>
    <w:p w14:paraId="4CFFD4F0" w14:textId="0436F603" w:rsidR="00F2626F" w:rsidRDefault="00F2626F" w:rsidP="002D30CD">
      <w:pPr>
        <w:spacing w:line="360" w:lineRule="auto"/>
        <w:jc w:val="center"/>
        <w:rPr>
          <w:rFonts w:ascii="Times New Roman" w:hAnsi="Times New Roman" w:cs="Times New Roman"/>
          <w:sz w:val="24"/>
          <w:szCs w:val="24"/>
        </w:rPr>
      </w:pPr>
      <w:r>
        <w:rPr>
          <w:rFonts w:ascii="Times New Roman" w:hAnsi="Times New Roman" w:cs="Times New Roman"/>
          <w:noProof/>
          <w:sz w:val="24"/>
          <w:szCs w:val="24"/>
          <w14:ligatures w14:val="standardContextual"/>
        </w:rPr>
        <w:drawing>
          <wp:anchor distT="0" distB="0" distL="114300" distR="114300" simplePos="0" relativeHeight="251663360" behindDoc="1" locked="0" layoutInCell="1" allowOverlap="1" wp14:anchorId="2320C539" wp14:editId="054276CF">
            <wp:simplePos x="0" y="0"/>
            <wp:positionH relativeFrom="margin">
              <wp:align>center</wp:align>
            </wp:positionH>
            <wp:positionV relativeFrom="paragraph">
              <wp:posOffset>26670</wp:posOffset>
            </wp:positionV>
            <wp:extent cx="3371850" cy="3848735"/>
            <wp:effectExtent l="0" t="0" r="0" b="0"/>
            <wp:wrapSquare wrapText="bothSides"/>
            <wp:docPr id="1565662847" name="Picture 7" descr="A collage of skelet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662847" name="Picture 7" descr="A collage of skeleton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71850" cy="3848735"/>
                    </a:xfrm>
                    <a:prstGeom prst="rect">
                      <a:avLst/>
                    </a:prstGeom>
                  </pic:spPr>
                </pic:pic>
              </a:graphicData>
            </a:graphic>
          </wp:anchor>
        </w:drawing>
      </w:r>
    </w:p>
    <w:p w14:paraId="3DFA1F24" w14:textId="4E3FE4BD" w:rsidR="00F2626F" w:rsidRDefault="00F2626F" w:rsidP="002D30CD">
      <w:pPr>
        <w:spacing w:line="360" w:lineRule="auto"/>
        <w:jc w:val="center"/>
        <w:rPr>
          <w:rFonts w:ascii="Times New Roman" w:hAnsi="Times New Roman" w:cs="Times New Roman"/>
          <w:sz w:val="24"/>
          <w:szCs w:val="24"/>
        </w:rPr>
      </w:pPr>
    </w:p>
    <w:p w14:paraId="1B498F07" w14:textId="185945A6" w:rsidR="00F2626F" w:rsidRDefault="00F2626F" w:rsidP="002D30CD">
      <w:pPr>
        <w:spacing w:line="360" w:lineRule="auto"/>
        <w:jc w:val="center"/>
        <w:rPr>
          <w:rFonts w:ascii="Times New Roman" w:hAnsi="Times New Roman" w:cs="Times New Roman"/>
          <w:sz w:val="24"/>
          <w:szCs w:val="24"/>
        </w:rPr>
      </w:pPr>
    </w:p>
    <w:p w14:paraId="7F6861B6" w14:textId="77777777" w:rsidR="00F2626F" w:rsidRDefault="00F2626F" w:rsidP="002D30CD">
      <w:pPr>
        <w:spacing w:line="360" w:lineRule="auto"/>
        <w:jc w:val="center"/>
        <w:rPr>
          <w:rFonts w:ascii="Times New Roman" w:hAnsi="Times New Roman" w:cs="Times New Roman"/>
          <w:sz w:val="24"/>
          <w:szCs w:val="24"/>
        </w:rPr>
      </w:pPr>
    </w:p>
    <w:p w14:paraId="67B8D4AD" w14:textId="77777777" w:rsidR="00F2626F" w:rsidRDefault="00F2626F" w:rsidP="002D30CD">
      <w:pPr>
        <w:spacing w:line="360" w:lineRule="auto"/>
        <w:jc w:val="center"/>
        <w:rPr>
          <w:rFonts w:ascii="Times New Roman" w:hAnsi="Times New Roman" w:cs="Times New Roman"/>
          <w:sz w:val="24"/>
          <w:szCs w:val="24"/>
        </w:rPr>
      </w:pPr>
    </w:p>
    <w:p w14:paraId="4D4E9090" w14:textId="77777777" w:rsidR="00F2626F" w:rsidRDefault="00F2626F" w:rsidP="002D30CD">
      <w:pPr>
        <w:spacing w:line="360" w:lineRule="auto"/>
        <w:jc w:val="center"/>
        <w:rPr>
          <w:rFonts w:ascii="Times New Roman" w:hAnsi="Times New Roman" w:cs="Times New Roman"/>
          <w:sz w:val="24"/>
          <w:szCs w:val="24"/>
        </w:rPr>
      </w:pPr>
    </w:p>
    <w:p w14:paraId="353297FD" w14:textId="77777777" w:rsidR="00F2626F" w:rsidRDefault="00F2626F" w:rsidP="002D30CD">
      <w:pPr>
        <w:spacing w:line="360" w:lineRule="auto"/>
        <w:jc w:val="center"/>
        <w:rPr>
          <w:rFonts w:ascii="Times New Roman" w:hAnsi="Times New Roman" w:cs="Times New Roman"/>
          <w:sz w:val="24"/>
          <w:szCs w:val="24"/>
        </w:rPr>
      </w:pPr>
    </w:p>
    <w:p w14:paraId="4B58AD96" w14:textId="77777777" w:rsidR="00F2626F" w:rsidRDefault="00F2626F" w:rsidP="002D30CD">
      <w:pPr>
        <w:spacing w:line="360" w:lineRule="auto"/>
        <w:jc w:val="center"/>
        <w:rPr>
          <w:rFonts w:ascii="Times New Roman" w:hAnsi="Times New Roman" w:cs="Times New Roman"/>
          <w:sz w:val="24"/>
          <w:szCs w:val="24"/>
        </w:rPr>
      </w:pPr>
    </w:p>
    <w:p w14:paraId="6B270BDF" w14:textId="77777777" w:rsidR="00F2626F" w:rsidRDefault="00F2626F" w:rsidP="002D30CD">
      <w:pPr>
        <w:spacing w:line="360" w:lineRule="auto"/>
        <w:jc w:val="center"/>
        <w:rPr>
          <w:rFonts w:ascii="Times New Roman" w:hAnsi="Times New Roman" w:cs="Times New Roman"/>
          <w:sz w:val="24"/>
          <w:szCs w:val="24"/>
        </w:rPr>
      </w:pPr>
    </w:p>
    <w:p w14:paraId="089A91BB" w14:textId="77777777" w:rsidR="00F2626F" w:rsidRDefault="00F2626F" w:rsidP="002D30CD">
      <w:pPr>
        <w:spacing w:line="360" w:lineRule="auto"/>
        <w:jc w:val="center"/>
        <w:rPr>
          <w:rFonts w:ascii="Times New Roman" w:hAnsi="Times New Roman" w:cs="Times New Roman"/>
          <w:sz w:val="24"/>
          <w:szCs w:val="24"/>
        </w:rPr>
      </w:pPr>
    </w:p>
    <w:p w14:paraId="12C0B091" w14:textId="77777777" w:rsidR="00F2626F" w:rsidRDefault="00F2626F" w:rsidP="002D30CD">
      <w:pPr>
        <w:spacing w:line="360" w:lineRule="auto"/>
        <w:jc w:val="center"/>
        <w:rPr>
          <w:rFonts w:ascii="Times New Roman" w:hAnsi="Times New Roman" w:cs="Times New Roman"/>
          <w:sz w:val="24"/>
          <w:szCs w:val="24"/>
        </w:rPr>
      </w:pPr>
    </w:p>
    <w:p w14:paraId="6181D7BB" w14:textId="2CD56CEE" w:rsidR="005712A9" w:rsidRDefault="005712A9" w:rsidP="002D30CD">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Figure 3, </w:t>
      </w:r>
      <w:r w:rsidR="005D74D3">
        <w:rPr>
          <w:rFonts w:ascii="Times New Roman" w:hAnsi="Times New Roman" w:cs="Times New Roman"/>
          <w:sz w:val="24"/>
          <w:szCs w:val="24"/>
        </w:rPr>
        <w:t>Burial of Sunghir 1 covered in mammoth ivory beads and body ornaments (</w:t>
      </w:r>
      <w:r w:rsidR="002D30CD">
        <w:rPr>
          <w:rFonts w:ascii="Times New Roman" w:hAnsi="Times New Roman" w:cs="Times New Roman"/>
          <w:sz w:val="24"/>
          <w:szCs w:val="24"/>
        </w:rPr>
        <w:t>Trinkaus, 2010).</w:t>
      </w:r>
    </w:p>
    <w:p w14:paraId="09CAD2E5" w14:textId="5234EEB7" w:rsidR="004E7F3E" w:rsidRDefault="00F84A9E" w:rsidP="00F84A9E">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In the image above are photographs of Sunghir 1. </w:t>
      </w:r>
      <w:r w:rsidR="001B5417">
        <w:rPr>
          <w:rFonts w:ascii="Times New Roman" w:hAnsi="Times New Roman" w:cs="Times New Roman"/>
          <w:sz w:val="24"/>
          <w:szCs w:val="24"/>
        </w:rPr>
        <w:t>The image shows all of the mammoth ivory beads and the body ornaments that were found with the skeleton on Sunghir 1. The photograph also shows the</w:t>
      </w:r>
      <w:r w:rsidR="000E139D">
        <w:rPr>
          <w:rFonts w:ascii="Times New Roman" w:hAnsi="Times New Roman" w:cs="Times New Roman"/>
          <w:sz w:val="24"/>
          <w:szCs w:val="24"/>
        </w:rPr>
        <w:t xml:space="preserve"> position of the skeleton which was used to prove the theory of the burial of Sunghir 1. The photographs were found in Trinkaus’ paper on Sunghir 1. </w:t>
      </w:r>
    </w:p>
    <w:p w14:paraId="4AA47A87" w14:textId="4C706B63" w:rsidR="00DF2527" w:rsidRDefault="00DF2527" w:rsidP="00F84A9E">
      <w:pPr>
        <w:spacing w:line="360" w:lineRule="auto"/>
        <w:rPr>
          <w:rFonts w:ascii="Times New Roman" w:hAnsi="Times New Roman" w:cs="Times New Roman"/>
          <w:sz w:val="24"/>
          <w:szCs w:val="24"/>
        </w:rPr>
      </w:pPr>
      <w:r>
        <w:rPr>
          <w:rFonts w:ascii="Times New Roman" w:hAnsi="Times New Roman" w:cs="Times New Roman"/>
          <w:sz w:val="24"/>
          <w:szCs w:val="24"/>
        </w:rPr>
        <w:tab/>
        <w:t>T</w:t>
      </w:r>
      <w:r w:rsidR="00DD1F1A">
        <w:rPr>
          <w:rFonts w:ascii="Times New Roman" w:hAnsi="Times New Roman" w:cs="Times New Roman"/>
          <w:sz w:val="24"/>
          <w:szCs w:val="24"/>
        </w:rPr>
        <w:t>o conclude.</w:t>
      </w:r>
      <w:r w:rsidR="00644187">
        <w:rPr>
          <w:rFonts w:ascii="Times New Roman" w:hAnsi="Times New Roman" w:cs="Times New Roman"/>
          <w:sz w:val="24"/>
          <w:szCs w:val="24"/>
        </w:rPr>
        <w:t xml:space="preserve"> The examples used of Neanderthal burial practices for the discussion</w:t>
      </w:r>
      <w:r w:rsidR="00BF108F">
        <w:rPr>
          <w:rFonts w:ascii="Times New Roman" w:hAnsi="Times New Roman" w:cs="Times New Roman"/>
          <w:sz w:val="24"/>
          <w:szCs w:val="24"/>
        </w:rPr>
        <w:t>,</w:t>
      </w:r>
      <w:r w:rsidR="00644187">
        <w:rPr>
          <w:rFonts w:ascii="Times New Roman" w:hAnsi="Times New Roman" w:cs="Times New Roman"/>
          <w:sz w:val="24"/>
          <w:szCs w:val="24"/>
        </w:rPr>
        <w:t xml:space="preserve"> help a conclusion to arise</w:t>
      </w:r>
      <w:r w:rsidR="00140A8D">
        <w:rPr>
          <w:rFonts w:ascii="Times New Roman" w:hAnsi="Times New Roman" w:cs="Times New Roman"/>
          <w:sz w:val="24"/>
          <w:szCs w:val="24"/>
        </w:rPr>
        <w:t xml:space="preserve"> on the</w:t>
      </w:r>
      <w:r w:rsidR="00BF108F">
        <w:rPr>
          <w:rFonts w:ascii="Times New Roman" w:hAnsi="Times New Roman" w:cs="Times New Roman"/>
          <w:sz w:val="24"/>
          <w:szCs w:val="24"/>
        </w:rPr>
        <w:t xml:space="preserve"> Neanderthals </w:t>
      </w:r>
      <w:r w:rsidR="00140A8D">
        <w:rPr>
          <w:rFonts w:ascii="Times New Roman" w:hAnsi="Times New Roman" w:cs="Times New Roman"/>
          <w:sz w:val="24"/>
          <w:szCs w:val="24"/>
        </w:rPr>
        <w:t xml:space="preserve">views of the afterlife. </w:t>
      </w:r>
      <w:r w:rsidR="00BF108F">
        <w:rPr>
          <w:rFonts w:ascii="Times New Roman" w:hAnsi="Times New Roman" w:cs="Times New Roman"/>
          <w:sz w:val="24"/>
          <w:szCs w:val="24"/>
        </w:rPr>
        <w:t>To clarify, the ideologies the Neanderthals may have had on the afterlife would have mostly varied from region to region</w:t>
      </w:r>
      <w:r w:rsidR="006378B2">
        <w:rPr>
          <w:rFonts w:ascii="Times New Roman" w:hAnsi="Times New Roman" w:cs="Times New Roman"/>
          <w:sz w:val="24"/>
          <w:szCs w:val="24"/>
        </w:rPr>
        <w:t>, simiarly to how modern humans are today. However, analysing and studying the burial practices of both Shanidar 4 and Sunghir 1, have helped an understanding of what those spec</w:t>
      </w:r>
      <w:r w:rsidR="00A45817">
        <w:rPr>
          <w:rFonts w:ascii="Times New Roman" w:hAnsi="Times New Roman" w:cs="Times New Roman"/>
          <w:sz w:val="24"/>
          <w:szCs w:val="24"/>
        </w:rPr>
        <w:t xml:space="preserve">ific areas’ ideology could have been on the afterlife. Firstly, looking at both of them, there is a idea of a materialistic </w:t>
      </w:r>
      <w:r w:rsidR="00D26260">
        <w:rPr>
          <w:rFonts w:ascii="Times New Roman" w:hAnsi="Times New Roman" w:cs="Times New Roman"/>
          <w:sz w:val="24"/>
          <w:szCs w:val="24"/>
        </w:rPr>
        <w:t>style of burial. Shanidar 4 being found with pollen clumps indicating the existence of flowers at the burial provide partial evidence for this</w:t>
      </w:r>
      <w:r w:rsidR="001F789E">
        <w:rPr>
          <w:rFonts w:ascii="Times New Roman" w:hAnsi="Times New Roman" w:cs="Times New Roman"/>
          <w:sz w:val="24"/>
          <w:szCs w:val="24"/>
        </w:rPr>
        <w:t xml:space="preserve"> (Hunt, 2023)</w:t>
      </w:r>
      <w:r w:rsidR="00D26260">
        <w:rPr>
          <w:rFonts w:ascii="Times New Roman" w:hAnsi="Times New Roman" w:cs="Times New Roman"/>
          <w:sz w:val="24"/>
          <w:szCs w:val="24"/>
        </w:rPr>
        <w:t>. But, the most concrete evidence for materialistic burials come from the excavation of Sunghir 1, being covered in mammoth ivory beads and body ornaments of different kinds show this almost clearly</w:t>
      </w:r>
      <w:r w:rsidR="001F789E">
        <w:rPr>
          <w:rFonts w:ascii="Times New Roman" w:hAnsi="Times New Roman" w:cs="Times New Roman"/>
          <w:sz w:val="24"/>
          <w:szCs w:val="24"/>
        </w:rPr>
        <w:t xml:space="preserve"> (Trinkaus, 2010)</w:t>
      </w:r>
      <w:r w:rsidR="00D26260">
        <w:rPr>
          <w:rFonts w:ascii="Times New Roman" w:hAnsi="Times New Roman" w:cs="Times New Roman"/>
          <w:sz w:val="24"/>
          <w:szCs w:val="24"/>
        </w:rPr>
        <w:t xml:space="preserve">. </w:t>
      </w:r>
      <w:r w:rsidR="00DC57D0">
        <w:rPr>
          <w:rFonts w:ascii="Times New Roman" w:hAnsi="Times New Roman" w:cs="Times New Roman"/>
          <w:sz w:val="24"/>
          <w:szCs w:val="24"/>
        </w:rPr>
        <w:t xml:space="preserve">Using the idea of a materialistic burial, this could infer that they viewed death as a payment perhaps were one must take belongings with them, or that it was a sign of respect towards those who passed away. </w:t>
      </w:r>
      <w:r w:rsidR="008C3BBB">
        <w:rPr>
          <w:rFonts w:ascii="Times New Roman" w:hAnsi="Times New Roman" w:cs="Times New Roman"/>
          <w:sz w:val="24"/>
          <w:szCs w:val="24"/>
        </w:rPr>
        <w:t xml:space="preserve">Focusing more on Sunghir 1, the idea that Sunghir 1 was sacrificed brings </w:t>
      </w:r>
      <w:r w:rsidR="00EF2A05">
        <w:rPr>
          <w:rFonts w:ascii="Times New Roman" w:hAnsi="Times New Roman" w:cs="Times New Roman"/>
          <w:sz w:val="24"/>
          <w:szCs w:val="24"/>
        </w:rPr>
        <w:t>much curiostiy to the ideas of afterlife</w:t>
      </w:r>
      <w:r w:rsidR="001F789E">
        <w:rPr>
          <w:rFonts w:ascii="Times New Roman" w:hAnsi="Times New Roman" w:cs="Times New Roman"/>
          <w:sz w:val="24"/>
          <w:szCs w:val="24"/>
        </w:rPr>
        <w:t xml:space="preserve"> (Trinkaus, 2010)</w:t>
      </w:r>
      <w:r w:rsidR="00EF2A05">
        <w:rPr>
          <w:rFonts w:ascii="Times New Roman" w:hAnsi="Times New Roman" w:cs="Times New Roman"/>
          <w:sz w:val="24"/>
          <w:szCs w:val="24"/>
        </w:rPr>
        <w:t xml:space="preserve">. As if this is the case did the Neanderthals have a religion or a diety they respected? Despite these theories and “evidence” to help the narrative that Neanderthal burials were a thing. One must also look into Ralph Solecki’s works that argue against it. Especially in regards to Shanidar 4’s burial. </w:t>
      </w:r>
      <w:r w:rsidR="005C4B49">
        <w:rPr>
          <w:rFonts w:ascii="Times New Roman" w:hAnsi="Times New Roman" w:cs="Times New Roman"/>
          <w:sz w:val="24"/>
          <w:szCs w:val="24"/>
        </w:rPr>
        <w:t xml:space="preserve">Solcki looks at the </w:t>
      </w:r>
      <w:r w:rsidR="00141FA0">
        <w:rPr>
          <w:rFonts w:ascii="Times New Roman" w:hAnsi="Times New Roman" w:cs="Times New Roman"/>
          <w:sz w:val="24"/>
          <w:szCs w:val="24"/>
        </w:rPr>
        <w:t xml:space="preserve">evidence of the flowers in Shanidar 4’s assemblage to be introduced by jirds, which are a type of burrowing animal. </w:t>
      </w:r>
      <w:r w:rsidR="002F1668">
        <w:rPr>
          <w:rFonts w:ascii="Times New Roman" w:hAnsi="Times New Roman" w:cs="Times New Roman"/>
          <w:sz w:val="24"/>
          <w:szCs w:val="24"/>
        </w:rPr>
        <w:t xml:space="preserve">Despite the “evidence” of Neanderthal burials and the potentials of their views on the afterlife. There is no 100% fact that they even did this or thought like this. Therefore, one must be cautious when creating these to not be too confident in their decisions. </w:t>
      </w:r>
    </w:p>
    <w:p w14:paraId="3D2894E8" w14:textId="6A555C27" w:rsidR="00256441" w:rsidRDefault="00256441" w:rsidP="0026202F">
      <w:pPr>
        <w:spacing w:line="360" w:lineRule="auto"/>
        <w:rPr>
          <w:rFonts w:ascii="Times New Roman" w:hAnsi="Times New Roman" w:cs="Times New Roman"/>
          <w:sz w:val="24"/>
          <w:szCs w:val="24"/>
        </w:rPr>
      </w:pPr>
    </w:p>
    <w:p w14:paraId="64907B67" w14:textId="4D0939E5" w:rsidR="00256441" w:rsidRDefault="00256441" w:rsidP="0026202F">
      <w:pPr>
        <w:spacing w:line="360" w:lineRule="auto"/>
        <w:rPr>
          <w:rFonts w:ascii="Times New Roman" w:hAnsi="Times New Roman" w:cs="Times New Roman"/>
          <w:sz w:val="24"/>
          <w:szCs w:val="24"/>
        </w:rPr>
      </w:pPr>
    </w:p>
    <w:p w14:paraId="0673789E" w14:textId="32E22B57" w:rsidR="00666D67" w:rsidRDefault="00B8025A">
      <w:pPr>
        <w:rPr>
          <w:rFonts w:ascii="Times New Roman" w:hAnsi="Times New Roman" w:cs="Times New Roman"/>
          <w:sz w:val="24"/>
          <w:szCs w:val="24"/>
        </w:rPr>
      </w:pPr>
      <w:r>
        <w:rPr>
          <w:rFonts w:ascii="Times New Roman" w:hAnsi="Times New Roman" w:cs="Times New Roman"/>
          <w:sz w:val="24"/>
          <w:szCs w:val="24"/>
        </w:rPr>
        <w:br w:type="page"/>
      </w:r>
    </w:p>
    <w:p w14:paraId="22B2ED1A" w14:textId="1837C42B" w:rsidR="00D34CAE" w:rsidRDefault="00D34CAE" w:rsidP="003843CE">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 List:</w:t>
      </w:r>
    </w:p>
    <w:p w14:paraId="51D167CD" w14:textId="3B116C30" w:rsidR="005E514D" w:rsidRDefault="00010761" w:rsidP="005E514D">
      <w:pPr>
        <w:spacing w:line="360" w:lineRule="auto"/>
        <w:rPr>
          <w:rFonts w:ascii="Times New Roman" w:hAnsi="Times New Roman" w:cs="Times New Roman"/>
          <w:color w:val="000000" w:themeColor="text1"/>
          <w:sz w:val="24"/>
          <w:szCs w:val="24"/>
          <w:shd w:val="clear" w:color="auto" w:fill="FFFFFF"/>
        </w:rPr>
      </w:pPr>
      <w:r w:rsidRPr="00010761">
        <w:rPr>
          <w:rFonts w:ascii="Times New Roman" w:hAnsi="Times New Roman" w:cs="Times New Roman"/>
          <w:color w:val="000000" w:themeColor="text1"/>
          <w:sz w:val="24"/>
          <w:szCs w:val="24"/>
          <w:shd w:val="clear" w:color="auto" w:fill="FFFFFF"/>
        </w:rPr>
        <w:t>Been, E</w:t>
      </w:r>
      <w:r w:rsidR="00F32A17">
        <w:rPr>
          <w:rFonts w:ascii="Times New Roman" w:hAnsi="Times New Roman" w:cs="Times New Roman"/>
          <w:color w:val="000000" w:themeColor="text1"/>
          <w:sz w:val="24"/>
          <w:szCs w:val="24"/>
          <w:shd w:val="clear" w:color="auto" w:fill="FFFFFF"/>
        </w:rPr>
        <w:t>. (</w:t>
      </w:r>
      <w:r w:rsidRPr="00010761">
        <w:rPr>
          <w:rFonts w:ascii="Times New Roman" w:hAnsi="Times New Roman" w:cs="Times New Roman"/>
          <w:color w:val="000000" w:themeColor="text1"/>
          <w:sz w:val="24"/>
          <w:szCs w:val="24"/>
          <w:shd w:val="clear" w:color="auto" w:fill="FFFFFF"/>
        </w:rPr>
        <w:t>2017</w:t>
      </w:r>
      <w:r w:rsidR="00F32A17">
        <w:rPr>
          <w:rFonts w:ascii="Times New Roman" w:hAnsi="Times New Roman" w:cs="Times New Roman"/>
          <w:color w:val="000000" w:themeColor="text1"/>
          <w:sz w:val="24"/>
          <w:szCs w:val="24"/>
          <w:shd w:val="clear" w:color="auto" w:fill="FFFFFF"/>
        </w:rPr>
        <w:t>)</w:t>
      </w:r>
      <w:r w:rsidR="00412FA0">
        <w:rPr>
          <w:rFonts w:ascii="Times New Roman" w:hAnsi="Times New Roman" w:cs="Times New Roman"/>
          <w:color w:val="000000" w:themeColor="text1"/>
          <w:sz w:val="24"/>
          <w:szCs w:val="24"/>
          <w:shd w:val="clear" w:color="auto" w:fill="FFFFFF"/>
        </w:rPr>
        <w:t xml:space="preserve">. </w:t>
      </w:r>
      <w:r w:rsidRPr="00010761">
        <w:rPr>
          <w:rFonts w:ascii="Times New Roman" w:hAnsi="Times New Roman" w:cs="Times New Roman"/>
          <w:color w:val="000000" w:themeColor="text1"/>
          <w:sz w:val="24"/>
          <w:szCs w:val="24"/>
          <w:shd w:val="clear" w:color="auto" w:fill="FFFFFF"/>
        </w:rPr>
        <w:t xml:space="preserve">"The first Neanderthal remains from an open-air Middle Palaeolithic site in </w:t>
      </w:r>
      <w:r w:rsidR="00F32A17">
        <w:rPr>
          <w:rFonts w:ascii="Times New Roman" w:hAnsi="Times New Roman" w:cs="Times New Roman"/>
          <w:color w:val="000000" w:themeColor="text1"/>
          <w:sz w:val="24"/>
          <w:szCs w:val="24"/>
          <w:shd w:val="clear" w:color="auto" w:fill="FFFFFF"/>
        </w:rPr>
        <w:tab/>
      </w:r>
      <w:r w:rsidRPr="00010761">
        <w:rPr>
          <w:rFonts w:ascii="Times New Roman" w:hAnsi="Times New Roman" w:cs="Times New Roman"/>
          <w:color w:val="000000" w:themeColor="text1"/>
          <w:sz w:val="24"/>
          <w:szCs w:val="24"/>
          <w:shd w:val="clear" w:color="auto" w:fill="FFFFFF"/>
        </w:rPr>
        <w:t>the Levant</w:t>
      </w:r>
      <w:r w:rsidR="005D7521">
        <w:rPr>
          <w:rFonts w:ascii="Times New Roman" w:hAnsi="Times New Roman" w:cs="Times New Roman"/>
          <w:color w:val="000000" w:themeColor="text1"/>
          <w:sz w:val="24"/>
          <w:szCs w:val="24"/>
          <w:shd w:val="clear" w:color="auto" w:fill="FFFFFF"/>
        </w:rPr>
        <w:t>.</w:t>
      </w:r>
      <w:r w:rsidRPr="00010761">
        <w:rPr>
          <w:rFonts w:ascii="Times New Roman" w:hAnsi="Times New Roman" w:cs="Times New Roman"/>
          <w:color w:val="000000" w:themeColor="text1"/>
          <w:sz w:val="24"/>
          <w:szCs w:val="24"/>
          <w:shd w:val="clear" w:color="auto" w:fill="FFFFFF"/>
        </w:rPr>
        <w:t>", </w:t>
      </w:r>
      <w:r w:rsidRPr="00010761">
        <w:rPr>
          <w:rFonts w:ascii="Times New Roman" w:hAnsi="Times New Roman" w:cs="Times New Roman"/>
          <w:i/>
          <w:iCs/>
          <w:color w:val="000000" w:themeColor="text1"/>
          <w:sz w:val="24"/>
          <w:szCs w:val="24"/>
          <w:shd w:val="clear" w:color="auto" w:fill="FFFFFF"/>
        </w:rPr>
        <w:t>Scientific Reports (Nature Publisher Group), </w:t>
      </w:r>
      <w:r w:rsidRPr="00010761">
        <w:rPr>
          <w:rFonts w:ascii="Times New Roman" w:hAnsi="Times New Roman" w:cs="Times New Roman"/>
          <w:color w:val="000000" w:themeColor="text1"/>
          <w:sz w:val="24"/>
          <w:szCs w:val="24"/>
          <w:shd w:val="clear" w:color="auto" w:fill="FFFFFF"/>
        </w:rPr>
        <w:t>vol. 7, pp. 1-8.</w:t>
      </w:r>
      <w:r w:rsidR="00F32A17">
        <w:rPr>
          <w:rFonts w:ascii="Times New Roman" w:hAnsi="Times New Roman" w:cs="Times New Roman"/>
          <w:color w:val="000000" w:themeColor="text1"/>
          <w:sz w:val="24"/>
          <w:szCs w:val="24"/>
          <w:shd w:val="clear" w:color="auto" w:fill="FFFFFF"/>
        </w:rPr>
        <w:t xml:space="preserve"> Available </w:t>
      </w:r>
      <w:r w:rsidR="00F32A17">
        <w:rPr>
          <w:rFonts w:ascii="Times New Roman" w:hAnsi="Times New Roman" w:cs="Times New Roman"/>
          <w:color w:val="000000" w:themeColor="text1"/>
          <w:sz w:val="24"/>
          <w:szCs w:val="24"/>
          <w:shd w:val="clear" w:color="auto" w:fill="FFFFFF"/>
        </w:rPr>
        <w:tab/>
        <w:t xml:space="preserve">at: </w:t>
      </w:r>
      <w:r w:rsidR="00F32A17" w:rsidRPr="00F32A17">
        <w:rPr>
          <w:rFonts w:ascii="Times New Roman" w:hAnsi="Times New Roman" w:cs="Times New Roman"/>
          <w:color w:val="000000" w:themeColor="text1"/>
          <w:sz w:val="24"/>
          <w:szCs w:val="24"/>
          <w:shd w:val="clear" w:color="auto" w:fill="FFFFFF"/>
        </w:rPr>
        <w:t>https://www.proquest.com/scholarly-journals/first-neanderthal-remains-open-air-</w:t>
      </w:r>
      <w:r w:rsidR="00F32A17">
        <w:rPr>
          <w:rFonts w:ascii="Times New Roman" w:hAnsi="Times New Roman" w:cs="Times New Roman"/>
          <w:color w:val="000000" w:themeColor="text1"/>
          <w:sz w:val="24"/>
          <w:szCs w:val="24"/>
          <w:shd w:val="clear" w:color="auto" w:fill="FFFFFF"/>
        </w:rPr>
        <w:tab/>
      </w:r>
      <w:r w:rsidR="00F32A17" w:rsidRPr="00F32A17">
        <w:rPr>
          <w:rFonts w:ascii="Times New Roman" w:hAnsi="Times New Roman" w:cs="Times New Roman"/>
          <w:color w:val="000000" w:themeColor="text1"/>
          <w:sz w:val="24"/>
          <w:szCs w:val="24"/>
          <w:shd w:val="clear" w:color="auto" w:fill="FFFFFF"/>
        </w:rPr>
        <w:t>middle/docview/1955537791/se-2?accountid=130472</w:t>
      </w:r>
      <w:r w:rsidR="009E4870">
        <w:rPr>
          <w:rFonts w:ascii="Times New Roman" w:hAnsi="Times New Roman" w:cs="Times New Roman"/>
          <w:color w:val="000000" w:themeColor="text1"/>
          <w:sz w:val="24"/>
          <w:szCs w:val="24"/>
          <w:shd w:val="clear" w:color="auto" w:fill="FFFFFF"/>
        </w:rPr>
        <w:t>. (Accessed: 09 March 2024).</w:t>
      </w:r>
    </w:p>
    <w:p w14:paraId="2AA3BCC2" w14:textId="77161460" w:rsidR="00C421B0" w:rsidRPr="00F5205E" w:rsidRDefault="00C421B0" w:rsidP="00F5205E">
      <w:pPr>
        <w:pStyle w:val="NormalWeb"/>
        <w:spacing w:before="0" w:beforeAutospacing="0" w:after="240" w:afterAutospacing="0" w:line="360" w:lineRule="auto"/>
      </w:pPr>
      <w:r>
        <w:t>Gargett, R.H.</w:t>
      </w:r>
      <w:r>
        <w:t xml:space="preserve"> </w:t>
      </w:r>
      <w:r w:rsidRPr="00C421B0">
        <w:rPr>
          <w:i/>
          <w:iCs/>
        </w:rPr>
        <w:t>et al</w:t>
      </w:r>
      <w:r>
        <w:rPr>
          <w:i/>
          <w:iCs/>
        </w:rPr>
        <w:t>.</w:t>
      </w:r>
      <w:r>
        <w:t xml:space="preserve"> (1989). </w:t>
      </w:r>
      <w:r w:rsidR="0000111F">
        <w:t>“</w:t>
      </w:r>
      <w:r>
        <w:t xml:space="preserve">Grave Shortcomings: The Evidence for Neandertal Burial [and </w:t>
      </w:r>
      <w:r w:rsidR="0000111F">
        <w:tab/>
      </w:r>
      <w:r>
        <w:t>Comments and Reply].</w:t>
      </w:r>
      <w:r w:rsidR="0000111F">
        <w:t>”</w:t>
      </w:r>
      <w:r>
        <w:t xml:space="preserve"> </w:t>
      </w:r>
      <w:r>
        <w:rPr>
          <w:i/>
          <w:iCs/>
        </w:rPr>
        <w:t>Current Anthropology</w:t>
      </w:r>
      <w:r>
        <w:t xml:space="preserve">, [online] 30(2), pp.157–190. Available </w:t>
      </w:r>
      <w:r w:rsidR="0000111F">
        <w:tab/>
      </w:r>
      <w:r>
        <w:t xml:space="preserve">at: </w:t>
      </w:r>
      <w:r w:rsidR="009E4870" w:rsidRPr="009E4870">
        <w:t>https://www.jstor.org/stable/2743544</w:t>
      </w:r>
      <w:r>
        <w:t>.</w:t>
      </w:r>
      <w:r w:rsidR="009E4870">
        <w:t xml:space="preserve"> (Accessed: 08 March 2024).</w:t>
      </w:r>
    </w:p>
    <w:p w14:paraId="2AC2A293" w14:textId="6E5DEE72" w:rsidR="00F8449F" w:rsidRPr="00C421B0" w:rsidRDefault="00F8449F" w:rsidP="005E514D">
      <w:pPr>
        <w:spacing w:line="360" w:lineRule="auto"/>
        <w:rPr>
          <w:rFonts w:ascii="Times New Roman" w:hAnsi="Times New Roman" w:cs="Times New Roman"/>
          <w:sz w:val="24"/>
          <w:szCs w:val="24"/>
        </w:rPr>
      </w:pPr>
      <w:r w:rsidRPr="00C421B0">
        <w:rPr>
          <w:rFonts w:ascii="Times New Roman" w:hAnsi="Times New Roman" w:cs="Times New Roman"/>
          <w:sz w:val="24"/>
          <w:szCs w:val="24"/>
        </w:rPr>
        <w:t xml:space="preserve">Hunt, C., Pomeroy, E., Reynolds, T., Tilby, E. and Barker, G. (2023). </w:t>
      </w:r>
      <w:r w:rsidR="005D7521" w:rsidRPr="00C421B0">
        <w:rPr>
          <w:rFonts w:ascii="Times New Roman" w:hAnsi="Times New Roman" w:cs="Times New Roman"/>
          <w:sz w:val="24"/>
          <w:szCs w:val="24"/>
        </w:rPr>
        <w:t>“</w:t>
      </w:r>
      <w:r w:rsidRPr="00C421B0">
        <w:rPr>
          <w:rFonts w:ascii="Times New Roman" w:hAnsi="Times New Roman" w:cs="Times New Roman"/>
          <w:sz w:val="24"/>
          <w:szCs w:val="24"/>
        </w:rPr>
        <w:t xml:space="preserve">Shanidar et ses fleurs? </w:t>
      </w:r>
      <w:r w:rsidR="00554A16" w:rsidRPr="00C421B0">
        <w:rPr>
          <w:rFonts w:ascii="Times New Roman" w:hAnsi="Times New Roman" w:cs="Times New Roman"/>
          <w:sz w:val="24"/>
          <w:szCs w:val="24"/>
        </w:rPr>
        <w:tab/>
      </w:r>
      <w:r w:rsidRPr="00C421B0">
        <w:rPr>
          <w:rFonts w:ascii="Times New Roman" w:hAnsi="Times New Roman" w:cs="Times New Roman"/>
          <w:sz w:val="24"/>
          <w:szCs w:val="24"/>
        </w:rPr>
        <w:t>Reflections on the palynology of the Neanderthal ‘Flower Burial’ hypothesis.</w:t>
      </w:r>
      <w:r w:rsidR="005D7521" w:rsidRPr="00C421B0">
        <w:rPr>
          <w:rFonts w:ascii="Times New Roman" w:hAnsi="Times New Roman" w:cs="Times New Roman"/>
          <w:sz w:val="24"/>
          <w:szCs w:val="24"/>
        </w:rPr>
        <w:t>”</w:t>
      </w:r>
      <w:r w:rsidRPr="00C421B0">
        <w:rPr>
          <w:rFonts w:ascii="Times New Roman" w:hAnsi="Times New Roman" w:cs="Times New Roman"/>
          <w:sz w:val="24"/>
          <w:szCs w:val="24"/>
        </w:rPr>
        <w:t xml:space="preserve"> </w:t>
      </w:r>
      <w:r w:rsidR="005D7521" w:rsidRPr="00C421B0">
        <w:rPr>
          <w:rFonts w:ascii="Times New Roman" w:hAnsi="Times New Roman" w:cs="Times New Roman"/>
          <w:sz w:val="24"/>
          <w:szCs w:val="24"/>
        </w:rPr>
        <w:tab/>
      </w:r>
      <w:r w:rsidRPr="00C421B0">
        <w:rPr>
          <w:rFonts w:ascii="Times New Roman" w:hAnsi="Times New Roman" w:cs="Times New Roman"/>
          <w:i/>
          <w:iCs/>
          <w:sz w:val="24"/>
          <w:szCs w:val="24"/>
        </w:rPr>
        <w:t>Journal of Archaeological Science</w:t>
      </w:r>
      <w:r w:rsidRPr="00C421B0">
        <w:rPr>
          <w:rFonts w:ascii="Times New Roman" w:hAnsi="Times New Roman" w:cs="Times New Roman"/>
          <w:sz w:val="24"/>
          <w:szCs w:val="24"/>
        </w:rPr>
        <w:t xml:space="preserve">, 159, pp.105822–105822. </w:t>
      </w:r>
      <w:r w:rsidR="003843CE" w:rsidRPr="00C421B0">
        <w:rPr>
          <w:rFonts w:ascii="Times New Roman" w:hAnsi="Times New Roman" w:cs="Times New Roman"/>
          <w:sz w:val="24"/>
          <w:szCs w:val="24"/>
        </w:rPr>
        <w:t xml:space="preserve">Available at: </w:t>
      </w:r>
      <w:r w:rsidR="003843CE" w:rsidRPr="00C421B0">
        <w:rPr>
          <w:rFonts w:ascii="Times New Roman" w:hAnsi="Times New Roman" w:cs="Times New Roman"/>
          <w:sz w:val="24"/>
          <w:szCs w:val="24"/>
        </w:rPr>
        <w:tab/>
      </w:r>
      <w:r w:rsidRPr="00C421B0">
        <w:rPr>
          <w:rFonts w:ascii="Times New Roman" w:hAnsi="Times New Roman" w:cs="Times New Roman"/>
          <w:sz w:val="24"/>
          <w:szCs w:val="24"/>
        </w:rPr>
        <w:t>doi:https://doi.org/10.1016/j.jas.2023.105822.</w:t>
      </w:r>
      <w:r w:rsidR="00E635AA">
        <w:rPr>
          <w:rFonts w:ascii="Times New Roman" w:hAnsi="Times New Roman" w:cs="Times New Roman"/>
          <w:sz w:val="24"/>
          <w:szCs w:val="24"/>
        </w:rPr>
        <w:t xml:space="preserve"> (Accessed</w:t>
      </w:r>
      <w:r w:rsidR="000376EC">
        <w:rPr>
          <w:rFonts w:ascii="Times New Roman" w:hAnsi="Times New Roman" w:cs="Times New Roman"/>
          <w:sz w:val="24"/>
          <w:szCs w:val="24"/>
        </w:rPr>
        <w:t>: 10 March 2024).</w:t>
      </w:r>
    </w:p>
    <w:p w14:paraId="797A23C6" w14:textId="7A2DF19D" w:rsidR="000F3826" w:rsidRDefault="000F3826" w:rsidP="000F3826">
      <w:pPr>
        <w:pStyle w:val="NormalWeb"/>
        <w:spacing w:before="0" w:beforeAutospacing="0" w:after="240" w:afterAutospacing="0" w:line="360" w:lineRule="auto"/>
      </w:pPr>
      <w:r>
        <w:t>Pomeroy, E</w:t>
      </w:r>
      <w:r>
        <w:t>.</w:t>
      </w:r>
      <w:r>
        <w:t xml:space="preserve"> (2020). </w:t>
      </w:r>
      <w:r>
        <w:t>“</w:t>
      </w:r>
      <w:r>
        <w:t xml:space="preserve">Issues of theory and method in the analysis of Paleolithic mortuary </w:t>
      </w:r>
      <w:r w:rsidR="005D7521">
        <w:tab/>
      </w:r>
      <w:r>
        <w:t>behavior: A view from Shanidar Cave</w:t>
      </w:r>
      <w:r w:rsidR="005D7521">
        <w:t>.”</w:t>
      </w:r>
      <w:r>
        <w:t xml:space="preserve"> </w:t>
      </w:r>
      <w:r>
        <w:rPr>
          <w:i/>
          <w:iCs/>
        </w:rPr>
        <w:t xml:space="preserve">Evolutionary Anthropology: Issues, News, </w:t>
      </w:r>
      <w:r w:rsidR="005D7521">
        <w:rPr>
          <w:i/>
          <w:iCs/>
        </w:rPr>
        <w:tab/>
      </w:r>
      <w:r>
        <w:rPr>
          <w:i/>
          <w:iCs/>
        </w:rPr>
        <w:t>and Reviews</w:t>
      </w:r>
      <w:r>
        <w:t xml:space="preserve">, 29(5), pp.263–279. </w:t>
      </w:r>
      <w:r w:rsidR="005D7521">
        <w:t xml:space="preserve">Available at: </w:t>
      </w:r>
      <w:r w:rsidR="005D7521">
        <w:tab/>
      </w:r>
      <w:r>
        <w:t>doi:https://doi.org/10.1002/evan.21854.</w:t>
      </w:r>
      <w:r w:rsidR="00E635AA">
        <w:t xml:space="preserve"> (Accessed</w:t>
      </w:r>
      <w:r w:rsidR="000376EC">
        <w:t>:</w:t>
      </w:r>
      <w:r w:rsidR="00E635AA">
        <w:t xml:space="preserve"> 8 March 2024).</w:t>
      </w:r>
    </w:p>
    <w:p w14:paraId="2A7EE599" w14:textId="36E49829" w:rsidR="00F43998" w:rsidRDefault="00F43998" w:rsidP="000F3826">
      <w:pPr>
        <w:pStyle w:val="NormalWeb"/>
        <w:spacing w:before="0" w:beforeAutospacing="0" w:after="240" w:afterAutospacing="0" w:line="360" w:lineRule="auto"/>
        <w:rPr>
          <w:color w:val="181817"/>
          <w:shd w:val="clear" w:color="auto" w:fill="FFFFFF"/>
        </w:rPr>
      </w:pPr>
      <w:r w:rsidRPr="00F43998">
        <w:rPr>
          <w:color w:val="181817"/>
          <w:shd w:val="clear" w:color="auto" w:fill="FFFFFF"/>
        </w:rPr>
        <w:t>Sommer, J.D. (1999)</w:t>
      </w:r>
      <w:r w:rsidRPr="00F43998">
        <w:rPr>
          <w:color w:val="181817"/>
          <w:shd w:val="clear" w:color="auto" w:fill="FFFFFF"/>
        </w:rPr>
        <w:t>. ”</w:t>
      </w:r>
      <w:r w:rsidRPr="00F43998">
        <w:rPr>
          <w:color w:val="181817"/>
          <w:shd w:val="clear" w:color="auto" w:fill="FFFFFF"/>
        </w:rPr>
        <w:t xml:space="preserve">The Shanidar IV “Flower Burial”: a Re-evaluation of </w:t>
      </w:r>
      <w:r w:rsidRPr="00F43998">
        <w:rPr>
          <w:color w:val="181817"/>
          <w:shd w:val="clear" w:color="auto" w:fill="FFFFFF"/>
        </w:rPr>
        <w:tab/>
      </w:r>
      <w:r w:rsidRPr="00F43998">
        <w:rPr>
          <w:color w:val="181817"/>
          <w:shd w:val="clear" w:color="auto" w:fill="FFFFFF"/>
        </w:rPr>
        <w:t>Neanderthal Burial Ritual</w:t>
      </w:r>
      <w:r w:rsidRPr="00F43998">
        <w:rPr>
          <w:color w:val="181817"/>
          <w:shd w:val="clear" w:color="auto" w:fill="FFFFFF"/>
        </w:rPr>
        <w:t>.”</w:t>
      </w:r>
      <w:r w:rsidRPr="00F43998">
        <w:rPr>
          <w:color w:val="181817"/>
          <w:shd w:val="clear" w:color="auto" w:fill="FFFFFF"/>
        </w:rPr>
        <w:t> </w:t>
      </w:r>
      <w:r w:rsidRPr="00F43998">
        <w:rPr>
          <w:i/>
          <w:iCs/>
          <w:color w:val="181817"/>
          <w:bdr w:val="none" w:sz="0" w:space="0" w:color="auto" w:frame="1"/>
          <w:shd w:val="clear" w:color="auto" w:fill="FFFFFF"/>
        </w:rPr>
        <w:t>Cambridge Archaeological Journal</w:t>
      </w:r>
      <w:r w:rsidRPr="00F43998">
        <w:rPr>
          <w:color w:val="181817"/>
          <w:shd w:val="clear" w:color="auto" w:fill="FFFFFF"/>
        </w:rPr>
        <w:t xml:space="preserve">, 9(1), pp. </w:t>
      </w:r>
      <w:r w:rsidRPr="00F43998">
        <w:rPr>
          <w:color w:val="181817"/>
          <w:shd w:val="clear" w:color="auto" w:fill="FFFFFF"/>
        </w:rPr>
        <w:tab/>
        <w:t xml:space="preserve">Available </w:t>
      </w:r>
      <w:r>
        <w:rPr>
          <w:color w:val="181817"/>
          <w:shd w:val="clear" w:color="auto" w:fill="FFFFFF"/>
        </w:rPr>
        <w:tab/>
      </w:r>
      <w:r w:rsidRPr="00F43998">
        <w:rPr>
          <w:color w:val="181817"/>
          <w:shd w:val="clear" w:color="auto" w:fill="FFFFFF"/>
        </w:rPr>
        <w:t xml:space="preserve">at: </w:t>
      </w:r>
      <w:r w:rsidRPr="00F43998">
        <w:rPr>
          <w:color w:val="181817"/>
          <w:shd w:val="clear" w:color="auto" w:fill="FFFFFF"/>
        </w:rPr>
        <w:t>127–129. doi:10.1017/S0959774300015249.</w:t>
      </w:r>
      <w:r w:rsidRPr="00F43998">
        <w:rPr>
          <w:color w:val="181817"/>
          <w:shd w:val="clear" w:color="auto" w:fill="FFFFFF"/>
        </w:rPr>
        <w:t xml:space="preserve"> (Accessed: 06 March 2024).</w:t>
      </w:r>
    </w:p>
    <w:p w14:paraId="658D89DA" w14:textId="1B1A1840" w:rsidR="002945CF" w:rsidRPr="00F43998" w:rsidRDefault="002945CF" w:rsidP="000F3826">
      <w:pPr>
        <w:pStyle w:val="NormalWeb"/>
        <w:spacing w:before="0" w:beforeAutospacing="0" w:after="240" w:afterAutospacing="0" w:line="360" w:lineRule="auto"/>
      </w:pPr>
      <w:r>
        <w:t xml:space="preserve">Tilby, E., Miracle, P. and Barker, G. (2022). </w:t>
      </w:r>
      <w:r>
        <w:t>“</w:t>
      </w:r>
      <w:r>
        <w:t xml:space="preserve">The Microvertebrates of Shanidar Cave: </w:t>
      </w:r>
      <w:r>
        <w:tab/>
      </w:r>
      <w:r>
        <w:t>Preliminary Taphonomic Findings</w:t>
      </w:r>
      <w:r>
        <w:t>”</w:t>
      </w:r>
      <w:r>
        <w:t xml:space="preserve">. </w:t>
      </w:r>
      <w:r>
        <w:rPr>
          <w:i/>
          <w:iCs/>
        </w:rPr>
        <w:t>Quaternary</w:t>
      </w:r>
      <w:r>
        <w:t xml:space="preserve">, 5(1), p.4. </w:t>
      </w:r>
      <w:r>
        <w:t xml:space="preserve">Available at: </w:t>
      </w:r>
      <w:r>
        <w:tab/>
      </w:r>
      <w:r>
        <w:t>doi:https://doi.org/10.3390/quat5010004.</w:t>
      </w:r>
      <w:r>
        <w:t xml:space="preserve"> (Accessed: 06 March 2024)</w:t>
      </w:r>
      <w:r w:rsidR="0015307D">
        <w:t>.</w:t>
      </w:r>
    </w:p>
    <w:p w14:paraId="34F45660" w14:textId="11BF6856" w:rsidR="008033D9" w:rsidRDefault="008033D9" w:rsidP="008033D9">
      <w:pPr>
        <w:pStyle w:val="NormalWeb"/>
        <w:spacing w:before="0" w:beforeAutospacing="0" w:after="240" w:afterAutospacing="0" w:line="360" w:lineRule="auto"/>
      </w:pPr>
      <w:r>
        <w:t xml:space="preserve">Trinkaus, E. and Buzhilova, A.P. (2010). The death and burial of sunghir 1. </w:t>
      </w:r>
      <w:r>
        <w:rPr>
          <w:i/>
          <w:iCs/>
        </w:rPr>
        <w:t xml:space="preserve">International </w:t>
      </w:r>
      <w:r w:rsidR="0038787C">
        <w:rPr>
          <w:i/>
          <w:iCs/>
        </w:rPr>
        <w:tab/>
      </w:r>
      <w:r>
        <w:rPr>
          <w:i/>
          <w:iCs/>
        </w:rPr>
        <w:t>Journal of Osteoarchaeology</w:t>
      </w:r>
      <w:r>
        <w:t>, 22(6), pp.655–666. doi:https://doi.org/10.1002/oa.1227.</w:t>
      </w:r>
      <w:r>
        <w:t xml:space="preserve"> </w:t>
      </w:r>
      <w:r w:rsidR="0038787C">
        <w:tab/>
      </w:r>
      <w:r>
        <w:t>(Accessed: 0</w:t>
      </w:r>
      <w:r w:rsidR="0038787C">
        <w:t>6</w:t>
      </w:r>
      <w:r>
        <w:t xml:space="preserve"> March 2024).</w:t>
      </w:r>
    </w:p>
    <w:p w14:paraId="35C38285" w14:textId="77777777" w:rsidR="008033D9" w:rsidRDefault="008033D9" w:rsidP="000F3826">
      <w:pPr>
        <w:pStyle w:val="NormalWeb"/>
        <w:spacing w:before="0" w:beforeAutospacing="0" w:after="240" w:afterAutospacing="0" w:line="360" w:lineRule="auto"/>
      </w:pPr>
    </w:p>
    <w:p w14:paraId="3AB06601" w14:textId="77777777" w:rsidR="000F3826" w:rsidRPr="00CB5962" w:rsidRDefault="000F3826" w:rsidP="00070CF3">
      <w:pPr>
        <w:spacing w:line="360" w:lineRule="auto"/>
        <w:rPr>
          <w:rFonts w:ascii="Times New Roman" w:hAnsi="Times New Roman" w:cs="Times New Roman"/>
          <w:sz w:val="28"/>
          <w:szCs w:val="28"/>
        </w:rPr>
      </w:pPr>
    </w:p>
    <w:p w14:paraId="34764CC3" w14:textId="77777777" w:rsidR="00D34CAE" w:rsidRPr="00070CF3" w:rsidRDefault="00D34CAE" w:rsidP="00070CF3">
      <w:pPr>
        <w:spacing w:line="360" w:lineRule="auto"/>
        <w:rPr>
          <w:rFonts w:ascii="Times New Roman" w:hAnsi="Times New Roman" w:cs="Times New Roman"/>
          <w:sz w:val="24"/>
          <w:szCs w:val="24"/>
        </w:rPr>
      </w:pPr>
    </w:p>
    <w:sectPr w:rsidR="00D34CAE" w:rsidRPr="00070CF3">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FA8FC" w14:textId="77777777" w:rsidR="00F36D6D" w:rsidRDefault="00F36D6D" w:rsidP="00F36D6D">
      <w:pPr>
        <w:spacing w:after="0" w:line="240" w:lineRule="auto"/>
      </w:pPr>
      <w:r>
        <w:separator/>
      </w:r>
    </w:p>
  </w:endnote>
  <w:endnote w:type="continuationSeparator" w:id="0">
    <w:p w14:paraId="3B4EDAAF" w14:textId="77777777" w:rsidR="00F36D6D" w:rsidRDefault="00F36D6D" w:rsidP="00F36D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8B923" w14:textId="77777777" w:rsidR="00F36D6D" w:rsidRDefault="00F36D6D" w:rsidP="00F36D6D">
      <w:pPr>
        <w:spacing w:after="0" w:line="240" w:lineRule="auto"/>
      </w:pPr>
      <w:r>
        <w:separator/>
      </w:r>
    </w:p>
  </w:footnote>
  <w:footnote w:type="continuationSeparator" w:id="0">
    <w:p w14:paraId="5C7C744B" w14:textId="77777777" w:rsidR="00F36D6D" w:rsidRDefault="00F36D6D" w:rsidP="00F36D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4153472"/>
      <w:docPartObj>
        <w:docPartGallery w:val="Page Numbers (Top of Page)"/>
        <w:docPartUnique/>
      </w:docPartObj>
    </w:sdtPr>
    <w:sdtEndPr>
      <w:rPr>
        <w:noProof/>
      </w:rPr>
    </w:sdtEndPr>
    <w:sdtContent>
      <w:p w14:paraId="17B43F3D" w14:textId="680A31AE" w:rsidR="00F36D6D" w:rsidRDefault="00F36D6D">
        <w:pPr>
          <w:pStyle w:val="Header"/>
          <w:jc w:val="right"/>
        </w:pPr>
        <w:r>
          <w:t xml:space="preserve">Davies </w:t>
        </w:r>
        <w:r>
          <w:fldChar w:fldCharType="begin"/>
        </w:r>
        <w:r>
          <w:instrText xml:space="preserve"> PAGE   \* MERGEFORMAT </w:instrText>
        </w:r>
        <w:r>
          <w:fldChar w:fldCharType="separate"/>
        </w:r>
        <w:r>
          <w:rPr>
            <w:noProof/>
          </w:rPr>
          <w:t>2</w:t>
        </w:r>
        <w:r>
          <w:rPr>
            <w:noProof/>
          </w:rPr>
          <w:fldChar w:fldCharType="end"/>
        </w:r>
      </w:p>
    </w:sdtContent>
  </w:sdt>
  <w:p w14:paraId="267775FD" w14:textId="77777777" w:rsidR="00F36D6D" w:rsidRDefault="00F36D6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7DA"/>
    <w:rsid w:val="0000111F"/>
    <w:rsid w:val="00010761"/>
    <w:rsid w:val="000376EC"/>
    <w:rsid w:val="00044642"/>
    <w:rsid w:val="00056517"/>
    <w:rsid w:val="00064D44"/>
    <w:rsid w:val="00070CF3"/>
    <w:rsid w:val="000922B5"/>
    <w:rsid w:val="000A097E"/>
    <w:rsid w:val="000A10BE"/>
    <w:rsid w:val="000A303E"/>
    <w:rsid w:val="000B3A47"/>
    <w:rsid w:val="000C1065"/>
    <w:rsid w:val="000C1D9A"/>
    <w:rsid w:val="000C5FC7"/>
    <w:rsid w:val="000E139D"/>
    <w:rsid w:val="000F3826"/>
    <w:rsid w:val="000F3B5A"/>
    <w:rsid w:val="000F67EC"/>
    <w:rsid w:val="001214C4"/>
    <w:rsid w:val="00127AAE"/>
    <w:rsid w:val="00131D9B"/>
    <w:rsid w:val="0013505B"/>
    <w:rsid w:val="00140A8D"/>
    <w:rsid w:val="00141FA0"/>
    <w:rsid w:val="0014442B"/>
    <w:rsid w:val="0015307D"/>
    <w:rsid w:val="00157DCB"/>
    <w:rsid w:val="00194B78"/>
    <w:rsid w:val="001B5417"/>
    <w:rsid w:val="001D4312"/>
    <w:rsid w:val="001F2F23"/>
    <w:rsid w:val="001F6089"/>
    <w:rsid w:val="001F789E"/>
    <w:rsid w:val="002142C6"/>
    <w:rsid w:val="002245C2"/>
    <w:rsid w:val="00254672"/>
    <w:rsid w:val="00256441"/>
    <w:rsid w:val="0026202F"/>
    <w:rsid w:val="00263492"/>
    <w:rsid w:val="002635BB"/>
    <w:rsid w:val="00274B8E"/>
    <w:rsid w:val="002763FF"/>
    <w:rsid w:val="0028363E"/>
    <w:rsid w:val="0029184F"/>
    <w:rsid w:val="002945CF"/>
    <w:rsid w:val="002962D1"/>
    <w:rsid w:val="002B23C2"/>
    <w:rsid w:val="002C086E"/>
    <w:rsid w:val="002D30CD"/>
    <w:rsid w:val="002E4723"/>
    <w:rsid w:val="002E70E1"/>
    <w:rsid w:val="002F1668"/>
    <w:rsid w:val="002F6E7D"/>
    <w:rsid w:val="00312A17"/>
    <w:rsid w:val="003171E6"/>
    <w:rsid w:val="00317D71"/>
    <w:rsid w:val="003302E5"/>
    <w:rsid w:val="0033401D"/>
    <w:rsid w:val="003357C8"/>
    <w:rsid w:val="00345459"/>
    <w:rsid w:val="00383171"/>
    <w:rsid w:val="003843CE"/>
    <w:rsid w:val="0038787C"/>
    <w:rsid w:val="003A2D92"/>
    <w:rsid w:val="003C0A05"/>
    <w:rsid w:val="003C0E4E"/>
    <w:rsid w:val="003C1C94"/>
    <w:rsid w:val="003D407B"/>
    <w:rsid w:val="00407E16"/>
    <w:rsid w:val="00412FA0"/>
    <w:rsid w:val="00426266"/>
    <w:rsid w:val="00434A72"/>
    <w:rsid w:val="00454233"/>
    <w:rsid w:val="00454819"/>
    <w:rsid w:val="00467DD1"/>
    <w:rsid w:val="00475914"/>
    <w:rsid w:val="00481AC1"/>
    <w:rsid w:val="004C373A"/>
    <w:rsid w:val="004C5DDC"/>
    <w:rsid w:val="004E38EC"/>
    <w:rsid w:val="004E7F3E"/>
    <w:rsid w:val="005142C4"/>
    <w:rsid w:val="0051550B"/>
    <w:rsid w:val="0051608F"/>
    <w:rsid w:val="00551E2B"/>
    <w:rsid w:val="00554A16"/>
    <w:rsid w:val="00554A67"/>
    <w:rsid w:val="00564D21"/>
    <w:rsid w:val="0056531F"/>
    <w:rsid w:val="005712A9"/>
    <w:rsid w:val="0058022C"/>
    <w:rsid w:val="00582871"/>
    <w:rsid w:val="00582B3A"/>
    <w:rsid w:val="005A508B"/>
    <w:rsid w:val="005B134F"/>
    <w:rsid w:val="005C4B49"/>
    <w:rsid w:val="005C6E1F"/>
    <w:rsid w:val="005D2BBD"/>
    <w:rsid w:val="005D74D3"/>
    <w:rsid w:val="005D7521"/>
    <w:rsid w:val="005E514D"/>
    <w:rsid w:val="005F6BE4"/>
    <w:rsid w:val="00601405"/>
    <w:rsid w:val="006018D4"/>
    <w:rsid w:val="006119ED"/>
    <w:rsid w:val="006175BE"/>
    <w:rsid w:val="00631066"/>
    <w:rsid w:val="006378B2"/>
    <w:rsid w:val="00644187"/>
    <w:rsid w:val="00647268"/>
    <w:rsid w:val="006661D4"/>
    <w:rsid w:val="00666D67"/>
    <w:rsid w:val="006C73AA"/>
    <w:rsid w:val="00701534"/>
    <w:rsid w:val="00704D5C"/>
    <w:rsid w:val="007547AA"/>
    <w:rsid w:val="00777255"/>
    <w:rsid w:val="007B255B"/>
    <w:rsid w:val="007B6001"/>
    <w:rsid w:val="007D76F0"/>
    <w:rsid w:val="007E4839"/>
    <w:rsid w:val="007F0332"/>
    <w:rsid w:val="007F4C43"/>
    <w:rsid w:val="0080181C"/>
    <w:rsid w:val="008033D9"/>
    <w:rsid w:val="008246DD"/>
    <w:rsid w:val="008B79F0"/>
    <w:rsid w:val="008C3BBB"/>
    <w:rsid w:val="008C4AC3"/>
    <w:rsid w:val="008D64BC"/>
    <w:rsid w:val="008E711F"/>
    <w:rsid w:val="008F46D0"/>
    <w:rsid w:val="00946F6F"/>
    <w:rsid w:val="0095387F"/>
    <w:rsid w:val="00954074"/>
    <w:rsid w:val="00987D43"/>
    <w:rsid w:val="009935A3"/>
    <w:rsid w:val="009A50EF"/>
    <w:rsid w:val="009B7F16"/>
    <w:rsid w:val="009D5974"/>
    <w:rsid w:val="009E4870"/>
    <w:rsid w:val="009F0C14"/>
    <w:rsid w:val="00A070C1"/>
    <w:rsid w:val="00A169EA"/>
    <w:rsid w:val="00A17B17"/>
    <w:rsid w:val="00A25D02"/>
    <w:rsid w:val="00A41810"/>
    <w:rsid w:val="00A45817"/>
    <w:rsid w:val="00A56C9C"/>
    <w:rsid w:val="00A74EBD"/>
    <w:rsid w:val="00A93E80"/>
    <w:rsid w:val="00AA7757"/>
    <w:rsid w:val="00AE3F8D"/>
    <w:rsid w:val="00AE6AC8"/>
    <w:rsid w:val="00B04865"/>
    <w:rsid w:val="00B8025A"/>
    <w:rsid w:val="00B85C1F"/>
    <w:rsid w:val="00BA6358"/>
    <w:rsid w:val="00BF0F3A"/>
    <w:rsid w:val="00BF108F"/>
    <w:rsid w:val="00BF2783"/>
    <w:rsid w:val="00C21917"/>
    <w:rsid w:val="00C22A10"/>
    <w:rsid w:val="00C421B0"/>
    <w:rsid w:val="00C53A02"/>
    <w:rsid w:val="00C71F62"/>
    <w:rsid w:val="00C806A4"/>
    <w:rsid w:val="00CB5962"/>
    <w:rsid w:val="00CB7362"/>
    <w:rsid w:val="00CC4454"/>
    <w:rsid w:val="00CF4DF5"/>
    <w:rsid w:val="00D26260"/>
    <w:rsid w:val="00D34CAE"/>
    <w:rsid w:val="00D36B26"/>
    <w:rsid w:val="00D45D8E"/>
    <w:rsid w:val="00D47678"/>
    <w:rsid w:val="00D60E65"/>
    <w:rsid w:val="00D61786"/>
    <w:rsid w:val="00D65590"/>
    <w:rsid w:val="00D9618C"/>
    <w:rsid w:val="00DA395E"/>
    <w:rsid w:val="00DA45F7"/>
    <w:rsid w:val="00DC5171"/>
    <w:rsid w:val="00DC57D0"/>
    <w:rsid w:val="00DD1F1A"/>
    <w:rsid w:val="00DE209D"/>
    <w:rsid w:val="00DF2527"/>
    <w:rsid w:val="00DF27DA"/>
    <w:rsid w:val="00E00B8D"/>
    <w:rsid w:val="00E13EA0"/>
    <w:rsid w:val="00E14859"/>
    <w:rsid w:val="00E40283"/>
    <w:rsid w:val="00E544A2"/>
    <w:rsid w:val="00E55EC8"/>
    <w:rsid w:val="00E635AA"/>
    <w:rsid w:val="00E7719B"/>
    <w:rsid w:val="00EA5883"/>
    <w:rsid w:val="00EB47E6"/>
    <w:rsid w:val="00EE03AB"/>
    <w:rsid w:val="00EE2C52"/>
    <w:rsid w:val="00EF2A05"/>
    <w:rsid w:val="00F2626F"/>
    <w:rsid w:val="00F32A17"/>
    <w:rsid w:val="00F35CB6"/>
    <w:rsid w:val="00F36D6D"/>
    <w:rsid w:val="00F43998"/>
    <w:rsid w:val="00F46860"/>
    <w:rsid w:val="00F5205E"/>
    <w:rsid w:val="00F547D7"/>
    <w:rsid w:val="00F63EE7"/>
    <w:rsid w:val="00F6412A"/>
    <w:rsid w:val="00F8449F"/>
    <w:rsid w:val="00F84A9E"/>
    <w:rsid w:val="00F863B9"/>
    <w:rsid w:val="00F9683C"/>
    <w:rsid w:val="00F9692E"/>
    <w:rsid w:val="00FA13A1"/>
    <w:rsid w:val="00FB2B15"/>
    <w:rsid w:val="00FB5168"/>
    <w:rsid w:val="00FC64F8"/>
    <w:rsid w:val="00FD0574"/>
    <w:rsid w:val="00FD3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20F9F"/>
  <w15:chartTrackingRefBased/>
  <w15:docId w15:val="{13048122-82C9-4458-80C4-1A79A4D0E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B26"/>
    <w:rPr>
      <w:kern w:val="0"/>
      <w14:ligatures w14:val="none"/>
    </w:rPr>
  </w:style>
  <w:style w:type="paragraph" w:styleId="Heading1">
    <w:name w:val="heading 1"/>
    <w:basedOn w:val="Normal"/>
    <w:next w:val="Normal"/>
    <w:link w:val="Heading1Char"/>
    <w:uiPriority w:val="9"/>
    <w:qFormat/>
    <w:rsid w:val="00DF27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27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27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27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27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27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27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27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27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7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27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27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27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27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27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27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27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27DA"/>
    <w:rPr>
      <w:rFonts w:eastAsiaTheme="majorEastAsia" w:cstheme="majorBidi"/>
      <w:color w:val="272727" w:themeColor="text1" w:themeTint="D8"/>
    </w:rPr>
  </w:style>
  <w:style w:type="paragraph" w:styleId="Title">
    <w:name w:val="Title"/>
    <w:basedOn w:val="Normal"/>
    <w:next w:val="Normal"/>
    <w:link w:val="TitleChar"/>
    <w:uiPriority w:val="10"/>
    <w:qFormat/>
    <w:rsid w:val="00DF27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27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27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27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27DA"/>
    <w:pPr>
      <w:spacing w:before="160"/>
      <w:jc w:val="center"/>
    </w:pPr>
    <w:rPr>
      <w:i/>
      <w:iCs/>
      <w:color w:val="404040" w:themeColor="text1" w:themeTint="BF"/>
    </w:rPr>
  </w:style>
  <w:style w:type="character" w:customStyle="1" w:styleId="QuoteChar">
    <w:name w:val="Quote Char"/>
    <w:basedOn w:val="DefaultParagraphFont"/>
    <w:link w:val="Quote"/>
    <w:uiPriority w:val="29"/>
    <w:rsid w:val="00DF27DA"/>
    <w:rPr>
      <w:i/>
      <w:iCs/>
      <w:color w:val="404040" w:themeColor="text1" w:themeTint="BF"/>
    </w:rPr>
  </w:style>
  <w:style w:type="paragraph" w:styleId="ListParagraph">
    <w:name w:val="List Paragraph"/>
    <w:basedOn w:val="Normal"/>
    <w:uiPriority w:val="34"/>
    <w:qFormat/>
    <w:rsid w:val="00DF27DA"/>
    <w:pPr>
      <w:ind w:left="720"/>
      <w:contextualSpacing/>
    </w:pPr>
  </w:style>
  <w:style w:type="character" w:styleId="IntenseEmphasis">
    <w:name w:val="Intense Emphasis"/>
    <w:basedOn w:val="DefaultParagraphFont"/>
    <w:uiPriority w:val="21"/>
    <w:qFormat/>
    <w:rsid w:val="00DF27DA"/>
    <w:rPr>
      <w:i/>
      <w:iCs/>
      <w:color w:val="0F4761" w:themeColor="accent1" w:themeShade="BF"/>
    </w:rPr>
  </w:style>
  <w:style w:type="paragraph" w:styleId="IntenseQuote">
    <w:name w:val="Intense Quote"/>
    <w:basedOn w:val="Normal"/>
    <w:next w:val="Normal"/>
    <w:link w:val="IntenseQuoteChar"/>
    <w:uiPriority w:val="30"/>
    <w:qFormat/>
    <w:rsid w:val="00DF27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27DA"/>
    <w:rPr>
      <w:i/>
      <w:iCs/>
      <w:color w:val="0F4761" w:themeColor="accent1" w:themeShade="BF"/>
    </w:rPr>
  </w:style>
  <w:style w:type="character" w:styleId="IntenseReference">
    <w:name w:val="Intense Reference"/>
    <w:basedOn w:val="DefaultParagraphFont"/>
    <w:uiPriority w:val="32"/>
    <w:qFormat/>
    <w:rsid w:val="00DF27DA"/>
    <w:rPr>
      <w:b/>
      <w:bCs/>
      <w:smallCaps/>
      <w:color w:val="0F4761" w:themeColor="accent1" w:themeShade="BF"/>
      <w:spacing w:val="5"/>
    </w:rPr>
  </w:style>
  <w:style w:type="character" w:styleId="Hyperlink">
    <w:name w:val="Hyperlink"/>
    <w:basedOn w:val="DefaultParagraphFont"/>
    <w:uiPriority w:val="99"/>
    <w:unhideWhenUsed/>
    <w:rsid w:val="000922B5"/>
    <w:rPr>
      <w:color w:val="467886" w:themeColor="hyperlink"/>
      <w:u w:val="single"/>
    </w:rPr>
  </w:style>
  <w:style w:type="character" w:styleId="UnresolvedMention">
    <w:name w:val="Unresolved Mention"/>
    <w:basedOn w:val="DefaultParagraphFont"/>
    <w:uiPriority w:val="99"/>
    <w:semiHidden/>
    <w:unhideWhenUsed/>
    <w:rsid w:val="000922B5"/>
    <w:rPr>
      <w:color w:val="605E5C"/>
      <w:shd w:val="clear" w:color="auto" w:fill="E1DFDD"/>
    </w:rPr>
  </w:style>
  <w:style w:type="paragraph" w:styleId="NormalWeb">
    <w:name w:val="Normal (Web)"/>
    <w:basedOn w:val="Normal"/>
    <w:uiPriority w:val="99"/>
    <w:unhideWhenUsed/>
    <w:rsid w:val="00F844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36D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D6D"/>
    <w:rPr>
      <w:kern w:val="0"/>
      <w14:ligatures w14:val="none"/>
    </w:rPr>
  </w:style>
  <w:style w:type="paragraph" w:styleId="Footer">
    <w:name w:val="footer"/>
    <w:basedOn w:val="Normal"/>
    <w:link w:val="FooterChar"/>
    <w:uiPriority w:val="99"/>
    <w:unhideWhenUsed/>
    <w:rsid w:val="00F36D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D6D"/>
    <w:rPr>
      <w:kern w:val="0"/>
      <w14:ligatures w14:val="none"/>
    </w:rPr>
  </w:style>
  <w:style w:type="character" w:customStyle="1" w:styleId="label">
    <w:name w:val="label"/>
    <w:basedOn w:val="DefaultParagraphFont"/>
    <w:rsid w:val="008246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81363">
      <w:bodyDiv w:val="1"/>
      <w:marLeft w:val="0"/>
      <w:marRight w:val="0"/>
      <w:marTop w:val="0"/>
      <w:marBottom w:val="0"/>
      <w:divBdr>
        <w:top w:val="none" w:sz="0" w:space="0" w:color="auto"/>
        <w:left w:val="none" w:sz="0" w:space="0" w:color="auto"/>
        <w:bottom w:val="none" w:sz="0" w:space="0" w:color="auto"/>
        <w:right w:val="none" w:sz="0" w:space="0" w:color="auto"/>
      </w:divBdr>
      <w:divsChild>
        <w:div w:id="125439157">
          <w:marLeft w:val="0"/>
          <w:marRight w:val="0"/>
          <w:marTop w:val="0"/>
          <w:marBottom w:val="0"/>
          <w:divBdr>
            <w:top w:val="none" w:sz="0" w:space="0" w:color="auto"/>
            <w:left w:val="none" w:sz="0" w:space="0" w:color="auto"/>
            <w:bottom w:val="none" w:sz="0" w:space="0" w:color="auto"/>
            <w:right w:val="none" w:sz="0" w:space="0" w:color="auto"/>
          </w:divBdr>
        </w:div>
      </w:divsChild>
    </w:div>
    <w:div w:id="42995141">
      <w:bodyDiv w:val="1"/>
      <w:marLeft w:val="0"/>
      <w:marRight w:val="0"/>
      <w:marTop w:val="0"/>
      <w:marBottom w:val="0"/>
      <w:divBdr>
        <w:top w:val="none" w:sz="0" w:space="0" w:color="auto"/>
        <w:left w:val="none" w:sz="0" w:space="0" w:color="auto"/>
        <w:bottom w:val="none" w:sz="0" w:space="0" w:color="auto"/>
        <w:right w:val="none" w:sz="0" w:space="0" w:color="auto"/>
      </w:divBdr>
    </w:div>
    <w:div w:id="278223034">
      <w:bodyDiv w:val="1"/>
      <w:marLeft w:val="0"/>
      <w:marRight w:val="0"/>
      <w:marTop w:val="0"/>
      <w:marBottom w:val="0"/>
      <w:divBdr>
        <w:top w:val="none" w:sz="0" w:space="0" w:color="auto"/>
        <w:left w:val="none" w:sz="0" w:space="0" w:color="auto"/>
        <w:bottom w:val="none" w:sz="0" w:space="0" w:color="auto"/>
        <w:right w:val="none" w:sz="0" w:space="0" w:color="auto"/>
      </w:divBdr>
      <w:divsChild>
        <w:div w:id="1364011652">
          <w:marLeft w:val="0"/>
          <w:marRight w:val="0"/>
          <w:marTop w:val="0"/>
          <w:marBottom w:val="0"/>
          <w:divBdr>
            <w:top w:val="none" w:sz="0" w:space="0" w:color="auto"/>
            <w:left w:val="none" w:sz="0" w:space="0" w:color="auto"/>
            <w:bottom w:val="none" w:sz="0" w:space="0" w:color="auto"/>
            <w:right w:val="none" w:sz="0" w:space="0" w:color="auto"/>
          </w:divBdr>
        </w:div>
      </w:divsChild>
    </w:div>
    <w:div w:id="334110516">
      <w:bodyDiv w:val="1"/>
      <w:marLeft w:val="0"/>
      <w:marRight w:val="0"/>
      <w:marTop w:val="0"/>
      <w:marBottom w:val="0"/>
      <w:divBdr>
        <w:top w:val="none" w:sz="0" w:space="0" w:color="auto"/>
        <w:left w:val="none" w:sz="0" w:space="0" w:color="auto"/>
        <w:bottom w:val="none" w:sz="0" w:space="0" w:color="auto"/>
        <w:right w:val="none" w:sz="0" w:space="0" w:color="auto"/>
      </w:divBdr>
      <w:divsChild>
        <w:div w:id="1678801649">
          <w:marLeft w:val="0"/>
          <w:marRight w:val="0"/>
          <w:marTop w:val="0"/>
          <w:marBottom w:val="0"/>
          <w:divBdr>
            <w:top w:val="none" w:sz="0" w:space="0" w:color="auto"/>
            <w:left w:val="none" w:sz="0" w:space="0" w:color="auto"/>
            <w:bottom w:val="none" w:sz="0" w:space="0" w:color="auto"/>
            <w:right w:val="none" w:sz="0" w:space="0" w:color="auto"/>
          </w:divBdr>
        </w:div>
      </w:divsChild>
    </w:div>
    <w:div w:id="405806706">
      <w:bodyDiv w:val="1"/>
      <w:marLeft w:val="0"/>
      <w:marRight w:val="0"/>
      <w:marTop w:val="0"/>
      <w:marBottom w:val="0"/>
      <w:divBdr>
        <w:top w:val="none" w:sz="0" w:space="0" w:color="auto"/>
        <w:left w:val="none" w:sz="0" w:space="0" w:color="auto"/>
        <w:bottom w:val="none" w:sz="0" w:space="0" w:color="auto"/>
        <w:right w:val="none" w:sz="0" w:space="0" w:color="auto"/>
      </w:divBdr>
      <w:divsChild>
        <w:div w:id="819808038">
          <w:marLeft w:val="0"/>
          <w:marRight w:val="0"/>
          <w:marTop w:val="0"/>
          <w:marBottom w:val="0"/>
          <w:divBdr>
            <w:top w:val="none" w:sz="0" w:space="0" w:color="auto"/>
            <w:left w:val="none" w:sz="0" w:space="0" w:color="auto"/>
            <w:bottom w:val="none" w:sz="0" w:space="0" w:color="auto"/>
            <w:right w:val="none" w:sz="0" w:space="0" w:color="auto"/>
          </w:divBdr>
        </w:div>
      </w:divsChild>
    </w:div>
    <w:div w:id="525027110">
      <w:bodyDiv w:val="1"/>
      <w:marLeft w:val="0"/>
      <w:marRight w:val="0"/>
      <w:marTop w:val="0"/>
      <w:marBottom w:val="0"/>
      <w:divBdr>
        <w:top w:val="none" w:sz="0" w:space="0" w:color="auto"/>
        <w:left w:val="none" w:sz="0" w:space="0" w:color="auto"/>
        <w:bottom w:val="none" w:sz="0" w:space="0" w:color="auto"/>
        <w:right w:val="none" w:sz="0" w:space="0" w:color="auto"/>
      </w:divBdr>
      <w:divsChild>
        <w:div w:id="556824455">
          <w:marLeft w:val="0"/>
          <w:marRight w:val="0"/>
          <w:marTop w:val="0"/>
          <w:marBottom w:val="0"/>
          <w:divBdr>
            <w:top w:val="none" w:sz="0" w:space="0" w:color="auto"/>
            <w:left w:val="none" w:sz="0" w:space="0" w:color="auto"/>
            <w:bottom w:val="none" w:sz="0" w:space="0" w:color="auto"/>
            <w:right w:val="none" w:sz="0" w:space="0" w:color="auto"/>
          </w:divBdr>
        </w:div>
      </w:divsChild>
    </w:div>
    <w:div w:id="833647299">
      <w:bodyDiv w:val="1"/>
      <w:marLeft w:val="0"/>
      <w:marRight w:val="0"/>
      <w:marTop w:val="0"/>
      <w:marBottom w:val="0"/>
      <w:divBdr>
        <w:top w:val="none" w:sz="0" w:space="0" w:color="auto"/>
        <w:left w:val="none" w:sz="0" w:space="0" w:color="auto"/>
        <w:bottom w:val="none" w:sz="0" w:space="0" w:color="auto"/>
        <w:right w:val="none" w:sz="0" w:space="0" w:color="auto"/>
      </w:divBdr>
    </w:div>
    <w:div w:id="889346341">
      <w:bodyDiv w:val="1"/>
      <w:marLeft w:val="0"/>
      <w:marRight w:val="0"/>
      <w:marTop w:val="0"/>
      <w:marBottom w:val="0"/>
      <w:divBdr>
        <w:top w:val="none" w:sz="0" w:space="0" w:color="auto"/>
        <w:left w:val="none" w:sz="0" w:space="0" w:color="auto"/>
        <w:bottom w:val="none" w:sz="0" w:space="0" w:color="auto"/>
        <w:right w:val="none" w:sz="0" w:space="0" w:color="auto"/>
      </w:divBdr>
      <w:divsChild>
        <w:div w:id="257376202">
          <w:marLeft w:val="0"/>
          <w:marRight w:val="0"/>
          <w:marTop w:val="0"/>
          <w:marBottom w:val="0"/>
          <w:divBdr>
            <w:top w:val="none" w:sz="0" w:space="0" w:color="auto"/>
            <w:left w:val="none" w:sz="0" w:space="0" w:color="auto"/>
            <w:bottom w:val="none" w:sz="0" w:space="0" w:color="auto"/>
            <w:right w:val="none" w:sz="0" w:space="0" w:color="auto"/>
          </w:divBdr>
        </w:div>
      </w:divsChild>
    </w:div>
    <w:div w:id="1554191545">
      <w:bodyDiv w:val="1"/>
      <w:marLeft w:val="0"/>
      <w:marRight w:val="0"/>
      <w:marTop w:val="0"/>
      <w:marBottom w:val="0"/>
      <w:divBdr>
        <w:top w:val="none" w:sz="0" w:space="0" w:color="auto"/>
        <w:left w:val="none" w:sz="0" w:space="0" w:color="auto"/>
        <w:bottom w:val="none" w:sz="0" w:space="0" w:color="auto"/>
        <w:right w:val="none" w:sz="0" w:space="0" w:color="auto"/>
      </w:divBdr>
      <w:divsChild>
        <w:div w:id="1626278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8" ma:contentTypeDescription="Create a new document." ma:contentTypeScope="" ma:versionID="98f44d37f5c216dee093e81bb4cddc49">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abb69ca4f9f9f0063db54b37ea060d94"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6C6A5-7AE4-47EA-AD10-1F8A53562F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679762-4A54-465A-8FA7-1B59C88BC376}">
  <ds:schemaRefs>
    <ds:schemaRef ds:uri="http://schemas.microsoft.com/sharepoint/v3/contenttype/forms"/>
  </ds:schemaRefs>
</ds:datastoreItem>
</file>

<file path=customXml/itemProps3.xml><?xml version="1.0" encoding="utf-8"?>
<ds:datastoreItem xmlns:ds="http://schemas.openxmlformats.org/officeDocument/2006/customXml" ds:itemID="{EDAB22F1-5B93-40C4-A5A7-062731F68C24}">
  <ds:schemaRefs>
    <ds:schemaRef ds:uri="http://purl.org/dc/elements/1.1/"/>
    <ds:schemaRef ds:uri="http://schemas.openxmlformats.org/package/2006/metadata/core-properties"/>
    <ds:schemaRef ds:uri="http://schemas.microsoft.com/office/2006/documentManagement/types"/>
    <ds:schemaRef ds:uri="47a3e2db-67be-4841-b3a5-2f2fb1d7c7b3"/>
    <ds:schemaRef ds:uri="http://www.w3.org/XML/1998/namespace"/>
    <ds:schemaRef ds:uri="http://schemas.microsoft.com/office/2006/metadata/properties"/>
    <ds:schemaRef ds:uri="http://schemas.microsoft.com/office/infopath/2007/PartnerControls"/>
    <ds:schemaRef ds:uri="60ab93c2-c2e2-4a82-ab36-09e8ba3f753e"/>
    <ds:schemaRef ds:uri="http://purl.org/dc/dcmitype/"/>
    <ds:schemaRef ds:uri="http://purl.org/dc/terms/"/>
  </ds:schemaRefs>
</ds:datastoreItem>
</file>

<file path=customXml/itemProps4.xml><?xml version="1.0" encoding="utf-8"?>
<ds:datastoreItem xmlns:ds="http://schemas.openxmlformats.org/officeDocument/2006/customXml" ds:itemID="{33415C97-FD4E-4F74-9F99-D33169445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7001</TotalTime>
  <Pages>7</Pages>
  <Words>2145</Words>
  <Characters>11327</Characters>
  <Application>Microsoft Office Word</Application>
  <DocSecurity>0</DocSecurity>
  <Lines>197</Lines>
  <Paragraphs>23</Paragraphs>
  <ScaleCrop>false</ScaleCrop>
  <Company/>
  <LinksUpToDate>false</LinksUpToDate>
  <CharactersWithSpaces>13479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Davies (2304228)</dc:creator>
  <cp:keywords/>
  <dc:description/>
  <cp:lastModifiedBy>Evan Davies (2304228)</cp:lastModifiedBy>
  <cp:revision>222</cp:revision>
  <dcterms:created xsi:type="dcterms:W3CDTF">2024-03-07T17:31:00Z</dcterms:created>
  <dcterms:modified xsi:type="dcterms:W3CDTF">2024-03-12T14:13:00Z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