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12F87" w14:textId="77777777" w:rsidR="00B61B7B" w:rsidRDefault="009529E2">
      <w:pPr>
        <w:spacing w:after="165" w:line="360" w:lineRule="auto"/>
        <w:rPr>
          <w:sz w:val="24"/>
          <w:szCs w:val="24"/>
        </w:rPr>
      </w:pPr>
      <w:r>
        <w:rPr>
          <w:noProof/>
          <w:sz w:val="24"/>
          <w:szCs w:val="24"/>
        </w:rPr>
        <w:drawing>
          <wp:inline distT="0" distB="0" distL="114300" distR="114300" wp14:anchorId="3EEA864F" wp14:editId="462F5D0A">
            <wp:extent cx="2209165" cy="74422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5"/>
                    <a:srcRect/>
                    <a:stretch>
                      <a:fillRect/>
                    </a:stretch>
                  </pic:blipFill>
                  <pic:spPr>
                    <a:xfrm>
                      <a:off x="0" y="0"/>
                      <a:ext cx="2209165" cy="744220"/>
                    </a:xfrm>
                    <a:prstGeom prst="rect">
                      <a:avLst/>
                    </a:prstGeom>
                    <a:ln/>
                  </pic:spPr>
                </pic:pic>
              </a:graphicData>
            </a:graphic>
          </wp:inline>
        </w:drawing>
      </w:r>
    </w:p>
    <w:p w14:paraId="1DE151B6" w14:textId="77777777" w:rsidR="00B97057" w:rsidRDefault="00B97057">
      <w:pPr>
        <w:spacing w:after="165" w:line="360" w:lineRule="auto"/>
        <w:rPr>
          <w:sz w:val="32"/>
          <w:szCs w:val="32"/>
        </w:rPr>
      </w:pPr>
    </w:p>
    <w:p w14:paraId="09C560F1" w14:textId="0DE178BB" w:rsidR="0023529D" w:rsidRPr="000F5DF6" w:rsidRDefault="009529E2">
      <w:pPr>
        <w:spacing w:after="165" w:line="360" w:lineRule="auto"/>
        <w:rPr>
          <w:sz w:val="32"/>
          <w:szCs w:val="32"/>
        </w:rPr>
      </w:pPr>
      <w:r w:rsidRPr="000F5DF6">
        <w:rPr>
          <w:sz w:val="32"/>
          <w:szCs w:val="32"/>
        </w:rPr>
        <w:t xml:space="preserve">Module Assignment Submission </w:t>
      </w:r>
    </w:p>
    <w:tbl>
      <w:tblPr>
        <w:tblStyle w:val="a"/>
        <w:tblpPr w:leftFromText="180" w:rightFromText="180" w:vertAnchor="text" w:horzAnchor="margin" w:tblpXSpec="center" w:tblpY="612"/>
        <w:tblW w:w="10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7"/>
        <w:gridCol w:w="7684"/>
      </w:tblGrid>
      <w:tr w:rsidR="00083524" w14:paraId="5DD64BDD" w14:textId="77777777" w:rsidTr="00083524">
        <w:tc>
          <w:tcPr>
            <w:tcW w:w="2807" w:type="dxa"/>
            <w:shd w:val="clear" w:color="auto" w:fill="D9D9D9"/>
          </w:tcPr>
          <w:p w14:paraId="354E5BC6" w14:textId="77777777" w:rsidR="00083524" w:rsidRPr="007467FC" w:rsidRDefault="00083524" w:rsidP="00083524">
            <w:pPr>
              <w:spacing w:before="120" w:after="120" w:line="360" w:lineRule="auto"/>
              <w:rPr>
                <w:sz w:val="28"/>
                <w:szCs w:val="28"/>
              </w:rPr>
            </w:pPr>
            <w:r w:rsidRPr="007467FC">
              <w:rPr>
                <w:sz w:val="28"/>
                <w:szCs w:val="28"/>
              </w:rPr>
              <w:t>Student Name:</w:t>
            </w:r>
          </w:p>
        </w:tc>
        <w:tc>
          <w:tcPr>
            <w:tcW w:w="7684" w:type="dxa"/>
          </w:tcPr>
          <w:p w14:paraId="1A237899" w14:textId="27491E6B" w:rsidR="00083524" w:rsidRPr="007467FC" w:rsidRDefault="00083524" w:rsidP="00083524">
            <w:pPr>
              <w:spacing w:before="120" w:after="120" w:line="360" w:lineRule="auto"/>
              <w:rPr>
                <w:sz w:val="28"/>
                <w:szCs w:val="28"/>
              </w:rPr>
            </w:pPr>
            <w:r w:rsidRPr="007467FC">
              <w:rPr>
                <w:sz w:val="28"/>
                <w:szCs w:val="28"/>
              </w:rPr>
              <w:t>Monir Ahme</w:t>
            </w:r>
            <w:r w:rsidR="00743866" w:rsidRPr="007467FC">
              <w:rPr>
                <w:sz w:val="28"/>
                <w:szCs w:val="28"/>
              </w:rPr>
              <w:t>d</w:t>
            </w:r>
          </w:p>
        </w:tc>
      </w:tr>
      <w:tr w:rsidR="00083524" w14:paraId="7F1FB3C9" w14:textId="77777777" w:rsidTr="00083524">
        <w:tc>
          <w:tcPr>
            <w:tcW w:w="2807" w:type="dxa"/>
            <w:shd w:val="clear" w:color="auto" w:fill="D9D9D9"/>
          </w:tcPr>
          <w:p w14:paraId="012945AA" w14:textId="77777777" w:rsidR="00083524" w:rsidRPr="007467FC" w:rsidRDefault="00083524" w:rsidP="00083524">
            <w:pPr>
              <w:spacing w:before="120" w:after="120" w:line="360" w:lineRule="auto"/>
              <w:rPr>
                <w:sz w:val="28"/>
                <w:szCs w:val="28"/>
              </w:rPr>
            </w:pPr>
            <w:r w:rsidRPr="007467FC">
              <w:rPr>
                <w:sz w:val="28"/>
                <w:szCs w:val="28"/>
              </w:rPr>
              <w:t>Student Number:</w:t>
            </w:r>
          </w:p>
        </w:tc>
        <w:tc>
          <w:tcPr>
            <w:tcW w:w="7684" w:type="dxa"/>
          </w:tcPr>
          <w:p w14:paraId="27623F36" w14:textId="77777777" w:rsidR="00083524" w:rsidRPr="007467FC" w:rsidRDefault="00083524" w:rsidP="00083524">
            <w:pPr>
              <w:spacing w:before="120" w:after="120" w:line="360" w:lineRule="auto"/>
              <w:rPr>
                <w:sz w:val="28"/>
                <w:szCs w:val="28"/>
              </w:rPr>
            </w:pPr>
            <w:r w:rsidRPr="007467FC">
              <w:rPr>
                <w:sz w:val="28"/>
                <w:szCs w:val="28"/>
              </w:rPr>
              <w:t>1806400@student.uwtsd.ac.co</w:t>
            </w:r>
          </w:p>
        </w:tc>
      </w:tr>
      <w:tr w:rsidR="00083524" w14:paraId="49781FB5" w14:textId="77777777" w:rsidTr="00083524">
        <w:tc>
          <w:tcPr>
            <w:tcW w:w="2807" w:type="dxa"/>
            <w:shd w:val="clear" w:color="auto" w:fill="D9D9D9"/>
          </w:tcPr>
          <w:p w14:paraId="7E41220F" w14:textId="016531D8" w:rsidR="00083524" w:rsidRPr="007467FC" w:rsidRDefault="00083524" w:rsidP="00083524">
            <w:pPr>
              <w:spacing w:before="120" w:after="120" w:line="360" w:lineRule="auto"/>
              <w:rPr>
                <w:sz w:val="28"/>
                <w:szCs w:val="28"/>
              </w:rPr>
            </w:pPr>
            <w:r w:rsidRPr="007467FC">
              <w:rPr>
                <w:sz w:val="28"/>
                <w:szCs w:val="28"/>
              </w:rPr>
              <w:t>Programme:</w:t>
            </w:r>
          </w:p>
        </w:tc>
        <w:tc>
          <w:tcPr>
            <w:tcW w:w="7684" w:type="dxa"/>
          </w:tcPr>
          <w:p w14:paraId="23C4A199" w14:textId="094520DB" w:rsidR="00083524" w:rsidRPr="007467FC" w:rsidRDefault="000F5DF6" w:rsidP="00083524">
            <w:pPr>
              <w:spacing w:before="120" w:after="120" w:line="360" w:lineRule="auto"/>
              <w:rPr>
                <w:sz w:val="28"/>
                <w:szCs w:val="28"/>
              </w:rPr>
            </w:pPr>
            <w:r w:rsidRPr="007467FC">
              <w:rPr>
                <w:sz w:val="28"/>
                <w:szCs w:val="28"/>
              </w:rPr>
              <w:t xml:space="preserve">Public services, Policing, Criminology and Law portfolio </w:t>
            </w:r>
          </w:p>
        </w:tc>
      </w:tr>
      <w:tr w:rsidR="00083524" w14:paraId="5FED6E5A" w14:textId="77777777" w:rsidTr="00083524">
        <w:trPr>
          <w:trHeight w:val="413"/>
        </w:trPr>
        <w:tc>
          <w:tcPr>
            <w:tcW w:w="2807" w:type="dxa"/>
            <w:shd w:val="clear" w:color="auto" w:fill="D9D9D9"/>
          </w:tcPr>
          <w:p w14:paraId="20653447" w14:textId="64A53578" w:rsidR="00083524" w:rsidRPr="007467FC" w:rsidRDefault="00083524" w:rsidP="00083524">
            <w:pPr>
              <w:spacing w:before="120" w:after="120" w:line="360" w:lineRule="auto"/>
              <w:rPr>
                <w:sz w:val="28"/>
                <w:szCs w:val="28"/>
              </w:rPr>
            </w:pPr>
            <w:r w:rsidRPr="007467FC">
              <w:rPr>
                <w:sz w:val="28"/>
                <w:szCs w:val="28"/>
              </w:rPr>
              <w:t>Module</w:t>
            </w:r>
            <w:r w:rsidR="004723B6" w:rsidRPr="007467FC">
              <w:rPr>
                <w:sz w:val="28"/>
                <w:szCs w:val="28"/>
              </w:rPr>
              <w:t xml:space="preserve"> Name</w:t>
            </w:r>
            <w:r w:rsidRPr="007467FC">
              <w:rPr>
                <w:sz w:val="28"/>
                <w:szCs w:val="28"/>
              </w:rPr>
              <w:t>:</w:t>
            </w:r>
          </w:p>
        </w:tc>
        <w:tc>
          <w:tcPr>
            <w:tcW w:w="7684" w:type="dxa"/>
          </w:tcPr>
          <w:p w14:paraId="6593533E" w14:textId="1BB56DCB" w:rsidR="00083524" w:rsidRPr="007467FC" w:rsidRDefault="004723B6" w:rsidP="00083524">
            <w:pPr>
              <w:rPr>
                <w:sz w:val="28"/>
                <w:szCs w:val="28"/>
              </w:rPr>
            </w:pPr>
            <w:r w:rsidRPr="007467FC">
              <w:rPr>
                <w:sz w:val="28"/>
                <w:szCs w:val="28"/>
              </w:rPr>
              <w:t>Criminal Law</w:t>
            </w:r>
          </w:p>
        </w:tc>
      </w:tr>
      <w:tr w:rsidR="00083524" w14:paraId="168DAB1C" w14:textId="77777777" w:rsidTr="00083524">
        <w:trPr>
          <w:trHeight w:val="413"/>
        </w:trPr>
        <w:tc>
          <w:tcPr>
            <w:tcW w:w="2807" w:type="dxa"/>
            <w:shd w:val="clear" w:color="auto" w:fill="D9D9D9"/>
          </w:tcPr>
          <w:p w14:paraId="32AF6410" w14:textId="043445CB" w:rsidR="00083524" w:rsidRPr="007467FC" w:rsidRDefault="00083524" w:rsidP="00083524">
            <w:pPr>
              <w:spacing w:before="120" w:after="120" w:line="360" w:lineRule="auto"/>
              <w:rPr>
                <w:sz w:val="28"/>
                <w:szCs w:val="28"/>
              </w:rPr>
            </w:pPr>
            <w:r w:rsidRPr="007467FC">
              <w:rPr>
                <w:sz w:val="28"/>
                <w:szCs w:val="28"/>
              </w:rPr>
              <w:t>Module Code:</w:t>
            </w:r>
          </w:p>
        </w:tc>
        <w:tc>
          <w:tcPr>
            <w:tcW w:w="7684" w:type="dxa"/>
          </w:tcPr>
          <w:p w14:paraId="0D9E8CD6" w14:textId="68EB1B26" w:rsidR="00083524" w:rsidRPr="007467FC" w:rsidRDefault="004723B6" w:rsidP="00083524">
            <w:pPr>
              <w:rPr>
                <w:sz w:val="28"/>
                <w:szCs w:val="28"/>
              </w:rPr>
            </w:pPr>
            <w:r w:rsidRPr="007467FC">
              <w:rPr>
                <w:sz w:val="28"/>
                <w:szCs w:val="28"/>
              </w:rPr>
              <w:t>BMLW4002</w:t>
            </w:r>
            <w:r w:rsidR="00417451" w:rsidRPr="007467FC">
              <w:rPr>
                <w:sz w:val="28"/>
                <w:szCs w:val="28"/>
              </w:rPr>
              <w:t xml:space="preserve"> / BMOL4002</w:t>
            </w:r>
          </w:p>
        </w:tc>
      </w:tr>
      <w:tr w:rsidR="00083524" w14:paraId="21667C76" w14:textId="77777777" w:rsidTr="00083524">
        <w:trPr>
          <w:trHeight w:val="413"/>
        </w:trPr>
        <w:tc>
          <w:tcPr>
            <w:tcW w:w="2807" w:type="dxa"/>
            <w:shd w:val="clear" w:color="auto" w:fill="D9D9D9"/>
          </w:tcPr>
          <w:p w14:paraId="53EA21F2" w14:textId="6BAB2C72" w:rsidR="00083524" w:rsidRPr="007467FC" w:rsidRDefault="00083524" w:rsidP="00083524">
            <w:pPr>
              <w:spacing w:before="120" w:after="120" w:line="360" w:lineRule="auto"/>
              <w:rPr>
                <w:sz w:val="28"/>
                <w:szCs w:val="28"/>
              </w:rPr>
            </w:pPr>
            <w:r w:rsidRPr="007467FC">
              <w:rPr>
                <w:sz w:val="28"/>
                <w:szCs w:val="28"/>
              </w:rPr>
              <w:t>Lecturer:</w:t>
            </w:r>
          </w:p>
        </w:tc>
        <w:tc>
          <w:tcPr>
            <w:tcW w:w="7684" w:type="dxa"/>
          </w:tcPr>
          <w:p w14:paraId="58251369" w14:textId="2DA2DF2B" w:rsidR="00083524" w:rsidRPr="007467FC" w:rsidRDefault="004723B6" w:rsidP="00083524">
            <w:pPr>
              <w:rPr>
                <w:sz w:val="28"/>
                <w:szCs w:val="28"/>
              </w:rPr>
            </w:pPr>
            <w:r w:rsidRPr="007467FC">
              <w:rPr>
                <w:sz w:val="28"/>
                <w:szCs w:val="28"/>
              </w:rPr>
              <w:t>Laura Knight</w:t>
            </w:r>
          </w:p>
        </w:tc>
      </w:tr>
      <w:tr w:rsidR="00083524" w14:paraId="4B705B41" w14:textId="77777777" w:rsidTr="00083524">
        <w:trPr>
          <w:trHeight w:val="413"/>
        </w:trPr>
        <w:tc>
          <w:tcPr>
            <w:tcW w:w="2807" w:type="dxa"/>
            <w:shd w:val="clear" w:color="auto" w:fill="D9D9D9"/>
          </w:tcPr>
          <w:p w14:paraId="73C1821F" w14:textId="69D8712C" w:rsidR="00083524" w:rsidRPr="007467FC" w:rsidRDefault="00083524" w:rsidP="00083524">
            <w:pPr>
              <w:spacing w:before="120" w:after="120" w:line="360" w:lineRule="auto"/>
              <w:rPr>
                <w:sz w:val="28"/>
                <w:szCs w:val="28"/>
              </w:rPr>
            </w:pPr>
            <w:r w:rsidRPr="007467FC">
              <w:rPr>
                <w:sz w:val="28"/>
                <w:szCs w:val="28"/>
              </w:rPr>
              <w:t>Assignment Title:</w:t>
            </w:r>
          </w:p>
        </w:tc>
        <w:tc>
          <w:tcPr>
            <w:tcW w:w="7684" w:type="dxa"/>
          </w:tcPr>
          <w:p w14:paraId="61A9D57F" w14:textId="48281EDB" w:rsidR="00083524" w:rsidRPr="007467FC" w:rsidRDefault="002510B0" w:rsidP="00083524">
            <w:pPr>
              <w:rPr>
                <w:sz w:val="28"/>
                <w:szCs w:val="28"/>
              </w:rPr>
            </w:pPr>
            <w:r>
              <w:rPr>
                <w:sz w:val="28"/>
                <w:szCs w:val="28"/>
              </w:rPr>
              <w:t>REFORM OF NON-FATAL OFFENCES AGAINST THE PERSON</w:t>
            </w:r>
          </w:p>
        </w:tc>
      </w:tr>
      <w:tr w:rsidR="00083524" w14:paraId="1C555C2F" w14:textId="77777777" w:rsidTr="00083524">
        <w:trPr>
          <w:trHeight w:val="413"/>
        </w:trPr>
        <w:tc>
          <w:tcPr>
            <w:tcW w:w="2807" w:type="dxa"/>
            <w:shd w:val="clear" w:color="auto" w:fill="D9D9D9"/>
          </w:tcPr>
          <w:p w14:paraId="30699898" w14:textId="5FEA0C8D" w:rsidR="00083524" w:rsidRPr="007467FC" w:rsidRDefault="001313E1" w:rsidP="00083524">
            <w:pPr>
              <w:spacing w:before="120" w:after="120" w:line="360" w:lineRule="auto"/>
              <w:rPr>
                <w:sz w:val="28"/>
                <w:szCs w:val="28"/>
              </w:rPr>
            </w:pPr>
            <w:r w:rsidRPr="007467FC">
              <w:rPr>
                <w:sz w:val="28"/>
                <w:szCs w:val="28"/>
              </w:rPr>
              <w:t>Word count :</w:t>
            </w:r>
          </w:p>
        </w:tc>
        <w:tc>
          <w:tcPr>
            <w:tcW w:w="7684" w:type="dxa"/>
          </w:tcPr>
          <w:p w14:paraId="5E0FB9BC" w14:textId="38178AD6" w:rsidR="00083524" w:rsidRPr="007467FC" w:rsidRDefault="00417451" w:rsidP="00083524">
            <w:pPr>
              <w:rPr>
                <w:sz w:val="28"/>
                <w:szCs w:val="28"/>
              </w:rPr>
            </w:pPr>
            <w:r w:rsidRPr="007467FC">
              <w:rPr>
                <w:sz w:val="28"/>
                <w:szCs w:val="28"/>
              </w:rPr>
              <w:t>2000</w:t>
            </w:r>
            <w:r w:rsidR="00003BFA" w:rsidRPr="007467FC">
              <w:rPr>
                <w:sz w:val="28"/>
                <w:szCs w:val="28"/>
              </w:rPr>
              <w:t xml:space="preserve"> </w:t>
            </w:r>
            <w:r w:rsidRPr="007467FC">
              <w:rPr>
                <w:sz w:val="28"/>
                <w:szCs w:val="28"/>
              </w:rPr>
              <w:t xml:space="preserve"> </w:t>
            </w:r>
            <w:r w:rsidR="00003BFA" w:rsidRPr="007467FC">
              <w:rPr>
                <w:sz w:val="28"/>
                <w:szCs w:val="28"/>
              </w:rPr>
              <w:t xml:space="preserve">( </w:t>
            </w:r>
            <w:r w:rsidRPr="007467FC">
              <w:rPr>
                <w:sz w:val="28"/>
                <w:szCs w:val="28"/>
              </w:rPr>
              <w:t xml:space="preserve">or equivalent </w:t>
            </w:r>
            <w:r w:rsidR="00003BFA" w:rsidRPr="007467FC">
              <w:rPr>
                <w:sz w:val="28"/>
                <w:szCs w:val="28"/>
              </w:rPr>
              <w:t xml:space="preserve"> words )</w:t>
            </w:r>
          </w:p>
        </w:tc>
      </w:tr>
    </w:tbl>
    <w:p w14:paraId="7C491D77" w14:textId="7979B27B" w:rsidR="00B61B7B" w:rsidRPr="000F5DF6" w:rsidRDefault="0023529D">
      <w:pPr>
        <w:spacing w:after="165" w:line="360" w:lineRule="auto"/>
        <w:rPr>
          <w:sz w:val="32"/>
          <w:szCs w:val="32"/>
        </w:rPr>
      </w:pPr>
      <w:r w:rsidRPr="000F5DF6">
        <w:rPr>
          <w:sz w:val="32"/>
          <w:szCs w:val="32"/>
        </w:rPr>
        <w:t>Assignment</w:t>
      </w:r>
      <w:r w:rsidR="00083524" w:rsidRPr="000F5DF6">
        <w:rPr>
          <w:sz w:val="32"/>
          <w:szCs w:val="32"/>
        </w:rPr>
        <w:t xml:space="preserve"> </w:t>
      </w:r>
      <w:r w:rsidR="00B804CB" w:rsidRPr="000F5DF6">
        <w:rPr>
          <w:sz w:val="32"/>
          <w:szCs w:val="32"/>
        </w:rPr>
        <w:t>1</w:t>
      </w:r>
      <w:r w:rsidR="009529E2" w:rsidRPr="000F5DF6">
        <w:rPr>
          <w:sz w:val="32"/>
          <w:szCs w:val="32"/>
        </w:rPr>
        <w:br/>
      </w:r>
    </w:p>
    <w:p w14:paraId="0677ECCB" w14:textId="77777777" w:rsidR="00B61B7B" w:rsidRDefault="009529E2">
      <w:pPr>
        <w:spacing w:before="120" w:after="120" w:line="360" w:lineRule="auto"/>
        <w:rPr>
          <w:sz w:val="24"/>
          <w:szCs w:val="24"/>
        </w:rPr>
      </w:pPr>
      <w:r>
        <w:rPr>
          <w:sz w:val="24"/>
          <w:szCs w:val="24"/>
        </w:rPr>
        <w:t>Statement of Confirmation of Authenticity</w:t>
      </w:r>
    </w:p>
    <w:p w14:paraId="10061F2B" w14:textId="0A59E4B5" w:rsidR="00B61B7B" w:rsidRDefault="009529E2">
      <w:pPr>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83524">
        <w:rPr>
          <w:sz w:val="24"/>
          <w:szCs w:val="24"/>
        </w:rPr>
        <w:t xml:space="preserve"> </w:t>
      </w:r>
      <w:r>
        <w:rPr>
          <w:sz w:val="24"/>
          <w:szCs w:val="24"/>
        </w:rPr>
        <w:t>Attention is drawn to the plagiarism and unfair practice policies of both the University and of ILM.</w:t>
      </w:r>
    </w:p>
    <w:bookmarkStart w:id="0" w:name="_Toc512285724" w:displacedByCustomXml="next"/>
    <w:bookmarkStart w:id="1" w:name="_Toc509481826" w:displacedByCustomXml="next"/>
    <w:sdt>
      <w:sdtPr>
        <w:rPr>
          <w:rFonts w:eastAsiaTheme="minorHAnsi"/>
          <w:lang w:val="en-GB"/>
        </w:rPr>
        <w:id w:val="401494223"/>
        <w:docPartObj>
          <w:docPartGallery w:val="Cover Pages"/>
          <w:docPartUnique/>
        </w:docPartObj>
      </w:sdtPr>
      <w:sdtEndPr>
        <w:rPr>
          <w:rFonts w:ascii="Times New Roman" w:eastAsiaTheme="minorEastAsia" w:hAnsi="Times New Roman" w:cs="Times New Roman"/>
          <w:sz w:val="28"/>
          <w:szCs w:val="28"/>
          <w:lang w:val="en-US"/>
        </w:rPr>
      </w:sdtEndPr>
      <w:sdtContent>
        <w:p w14:paraId="32C48727" w14:textId="3615AABD" w:rsidR="00083524" w:rsidRDefault="00083524" w:rsidP="00083524">
          <w:pPr>
            <w:pStyle w:val="NoSpacing"/>
          </w:pPr>
          <w:r>
            <w:rPr>
              <w:noProof/>
            </w:rPr>
            <mc:AlternateContent>
              <mc:Choice Requires="wps">
                <w:drawing>
                  <wp:anchor distT="0" distB="0" distL="114300" distR="114300" simplePos="0" relativeHeight="251661312" behindDoc="0" locked="0" layoutInCell="1" allowOverlap="1" wp14:anchorId="6A71E5B9" wp14:editId="601342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044FE8"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71E5B9"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044FE8"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v:textbox>
                    <w10:wrap anchorx="page" anchory="page"/>
                  </v:shape>
                </w:pict>
              </mc:Fallback>
            </mc:AlternateContent>
          </w:r>
        </w:p>
        <w:p w14:paraId="12784378" w14:textId="4BD4490D" w:rsidR="004723B6" w:rsidRDefault="004723B6" w:rsidP="00F32CAC">
          <w:pPr>
            <w:pStyle w:val="NoSpacing"/>
            <w:jc w:val="right"/>
            <w:rPr>
              <w:rFonts w:ascii="Times New Roman" w:hAnsi="Times New Roman" w:cs="Times New Roman"/>
              <w:sz w:val="28"/>
              <w:szCs w:val="28"/>
            </w:rPr>
          </w:pPr>
        </w:p>
        <w:p w14:paraId="4CD2F287" w14:textId="77777777" w:rsidR="004723B6" w:rsidRPr="004723B6" w:rsidRDefault="004723B6" w:rsidP="004723B6">
          <w:pPr>
            <w:rPr>
              <w:lang w:val="en-US" w:eastAsia="en-US"/>
            </w:rPr>
          </w:pPr>
        </w:p>
        <w:p w14:paraId="061A96A4" w14:textId="5865CF1D" w:rsidR="004723B6" w:rsidRDefault="00417451" w:rsidP="00417451">
          <w:pPr>
            <w:pStyle w:val="NoSpacing"/>
            <w:rPr>
              <w:b/>
              <w:color w:val="000000"/>
              <w:sz w:val="32"/>
              <w:szCs w:val="32"/>
            </w:rPr>
          </w:pPr>
          <w:r>
            <w:rPr>
              <w:rFonts w:ascii="Times New Roman" w:hAnsi="Times New Roman" w:cs="Times New Roman"/>
              <w:sz w:val="28"/>
              <w:szCs w:val="28"/>
            </w:rPr>
            <w:t xml:space="preserve">            </w:t>
          </w:r>
          <w:r>
            <w:rPr>
              <w:b/>
              <w:color w:val="000000"/>
              <w:sz w:val="32"/>
              <w:szCs w:val="32"/>
            </w:rPr>
            <w:t xml:space="preserve">                         </w:t>
          </w:r>
          <w:r w:rsidR="004723B6">
            <w:rPr>
              <w:b/>
              <w:color w:val="000000"/>
              <w:sz w:val="32"/>
              <w:szCs w:val="32"/>
            </w:rPr>
            <w:t>Table of Contents</w:t>
          </w:r>
        </w:p>
        <w:p w14:paraId="54C76EF7" w14:textId="77777777" w:rsidR="00417451" w:rsidRPr="00417451" w:rsidRDefault="00417451" w:rsidP="00417451">
          <w:pPr>
            <w:pStyle w:val="NoSpacing"/>
            <w:rPr>
              <w:rFonts w:ascii="Times New Roman" w:hAnsi="Times New Roman" w:cs="Times New Roman"/>
              <w:sz w:val="28"/>
              <w:szCs w:val="28"/>
            </w:rPr>
          </w:pPr>
        </w:p>
        <w:sdt>
          <w:sdtPr>
            <w:rPr>
              <w:b/>
              <w:sz w:val="28"/>
              <w:szCs w:val="28"/>
            </w:rPr>
            <w:id w:val="837390853"/>
            <w:docPartObj>
              <w:docPartGallery w:val="Table of Contents"/>
              <w:docPartUnique/>
            </w:docPartObj>
          </w:sdtPr>
          <w:sdtEndPr/>
          <w:sdtContent>
            <w:p w14:paraId="4511C1E8" w14:textId="5EB37C6E" w:rsidR="004723B6" w:rsidRDefault="004723B6" w:rsidP="004723B6">
              <w:pPr>
                <w:tabs>
                  <w:tab w:val="right" w:pos="9016"/>
                </w:tabs>
                <w:spacing w:after="100"/>
                <w:rPr>
                  <w:b/>
                  <w:color w:val="000000"/>
                  <w:sz w:val="28"/>
                  <w:szCs w:val="28"/>
                </w:rPr>
              </w:pPr>
              <w:r>
                <w:rPr>
                  <w:b/>
                  <w:sz w:val="28"/>
                  <w:szCs w:val="28"/>
                </w:rPr>
                <w:fldChar w:fldCharType="begin"/>
              </w:r>
              <w:r>
                <w:rPr>
                  <w:b/>
                  <w:sz w:val="28"/>
                  <w:szCs w:val="28"/>
                </w:rPr>
                <w:instrText xml:space="preserve"> TOC \h \u \z </w:instrText>
              </w:r>
              <w:r>
                <w:rPr>
                  <w:b/>
                  <w:sz w:val="28"/>
                  <w:szCs w:val="28"/>
                </w:rPr>
                <w:fldChar w:fldCharType="separate"/>
              </w:r>
              <w:hyperlink r:id="rId6" w:anchor="_heading=h.gjdgxs" w:history="1">
                <w:r>
                  <w:rPr>
                    <w:rStyle w:val="Hyperlink"/>
                    <w:b/>
                    <w:color w:val="000000"/>
                    <w:sz w:val="28"/>
                    <w:szCs w:val="28"/>
                  </w:rPr>
                  <w:t>Introduction</w:t>
                </w:r>
                <w:r w:rsidR="00044FE8">
                  <w:rPr>
                    <w:rStyle w:val="Hyperlink"/>
                    <w:b/>
                    <w:color w:val="000000"/>
                    <w:sz w:val="28"/>
                    <w:szCs w:val="28"/>
                  </w:rPr>
                  <w:t xml:space="preserve"> ……………………………………………………………………………………..</w:t>
                </w:r>
                <w:r>
                  <w:rPr>
                    <w:rStyle w:val="Hyperlink"/>
                    <w:b/>
                    <w:color w:val="000000"/>
                    <w:sz w:val="28"/>
                    <w:szCs w:val="28"/>
                  </w:rPr>
                  <w:tab/>
                  <w:t>3</w:t>
                </w:r>
              </w:hyperlink>
            </w:p>
            <w:p w14:paraId="5548C130" w14:textId="26B976A2" w:rsidR="004723B6" w:rsidRDefault="00044FE8" w:rsidP="004723B6">
              <w:pPr>
                <w:tabs>
                  <w:tab w:val="right" w:pos="9016"/>
                </w:tabs>
                <w:spacing w:after="100"/>
                <w:rPr>
                  <w:b/>
                  <w:color w:val="000000"/>
                  <w:sz w:val="28"/>
                  <w:szCs w:val="28"/>
                </w:rPr>
              </w:pPr>
              <w:hyperlink r:id="rId7" w:anchor="_heading=h.30j0zll" w:history="1">
                <w:r w:rsidR="004723B6">
                  <w:rPr>
                    <w:rStyle w:val="Hyperlink"/>
                    <w:b/>
                    <w:color w:val="000000"/>
                    <w:sz w:val="28"/>
                    <w:szCs w:val="28"/>
                  </w:rPr>
                  <w:t>Discussion</w:t>
                </w:r>
                <w:r>
                  <w:rPr>
                    <w:rStyle w:val="Hyperlink"/>
                    <w:b/>
                    <w:color w:val="000000"/>
                    <w:sz w:val="28"/>
                    <w:szCs w:val="28"/>
                  </w:rPr>
                  <w:t xml:space="preserve"> </w:t>
                </w:r>
                <w:r w:rsidR="00497DF1">
                  <w:rPr>
                    <w:rStyle w:val="Hyperlink"/>
                    <w:b/>
                    <w:color w:val="000000"/>
                    <w:sz w:val="28"/>
                    <w:szCs w:val="28"/>
                  </w:rPr>
                  <w:t>………………………………………………………………………………………..</w:t>
                </w:r>
                <w:r w:rsidR="004723B6">
                  <w:rPr>
                    <w:rStyle w:val="Hyperlink"/>
                    <w:b/>
                    <w:color w:val="000000"/>
                    <w:sz w:val="28"/>
                    <w:szCs w:val="28"/>
                  </w:rPr>
                  <w:tab/>
                  <w:t>3</w:t>
                </w:r>
              </w:hyperlink>
            </w:p>
            <w:p w14:paraId="63283B75" w14:textId="5ED082A4" w:rsidR="004723B6" w:rsidRDefault="00044FE8" w:rsidP="004723B6">
              <w:pPr>
                <w:tabs>
                  <w:tab w:val="right" w:pos="9016"/>
                </w:tabs>
                <w:spacing w:after="100"/>
                <w:rPr>
                  <w:b/>
                  <w:color w:val="000000"/>
                  <w:sz w:val="28"/>
                  <w:szCs w:val="28"/>
                </w:rPr>
              </w:pPr>
              <w:hyperlink r:id="rId8" w:anchor="_heading=h.3znysh7" w:history="1">
                <w:r w:rsidR="004723B6">
                  <w:rPr>
                    <w:rStyle w:val="Hyperlink"/>
                    <w:b/>
                    <w:color w:val="000000"/>
                    <w:sz w:val="28"/>
                    <w:szCs w:val="28"/>
                    <w:highlight w:val="white"/>
                  </w:rPr>
                  <w:t>Conclusion</w:t>
                </w:r>
              </w:hyperlink>
              <w:r w:rsidR="004723B6">
                <w:rPr>
                  <w:b/>
                  <w:color w:val="000000"/>
                  <w:sz w:val="28"/>
                  <w:szCs w:val="28"/>
                </w:rPr>
                <w:t xml:space="preserve"> </w:t>
              </w:r>
              <w:r w:rsidR="00497DF1">
                <w:rPr>
                  <w:b/>
                  <w:color w:val="000000"/>
                  <w:sz w:val="28"/>
                  <w:szCs w:val="28"/>
                </w:rPr>
                <w:t xml:space="preserve"> ………………………………………………………………………………………</w:t>
              </w:r>
              <w:hyperlink r:id="rId9" w:anchor="_heading=h.3znysh7" w:history="1">
                <w:r w:rsidR="004723B6">
                  <w:rPr>
                    <w:rStyle w:val="Hyperlink"/>
                    <w:b/>
                    <w:color w:val="000000"/>
                    <w:sz w:val="28"/>
                    <w:szCs w:val="28"/>
                  </w:rPr>
                  <w:tab/>
                  <w:t>6</w:t>
                </w:r>
              </w:hyperlink>
            </w:p>
            <w:p w14:paraId="197DDC5C" w14:textId="5400AD6F" w:rsidR="004723B6" w:rsidRDefault="00044FE8" w:rsidP="004723B6">
              <w:pPr>
                <w:tabs>
                  <w:tab w:val="right" w:pos="9016"/>
                </w:tabs>
                <w:spacing w:after="100"/>
                <w:rPr>
                  <w:b/>
                  <w:color w:val="000000"/>
                  <w:sz w:val="28"/>
                  <w:szCs w:val="28"/>
                </w:rPr>
              </w:pPr>
              <w:hyperlink r:id="rId10" w:anchor="_heading=h.2et92p0" w:history="1">
                <w:r w:rsidR="004723B6">
                  <w:rPr>
                    <w:rStyle w:val="Hyperlink"/>
                    <w:b/>
                    <w:color w:val="000000"/>
                    <w:sz w:val="28"/>
                    <w:szCs w:val="28"/>
                  </w:rPr>
                  <w:t>Reference list</w:t>
                </w:r>
                <w:r>
                  <w:rPr>
                    <w:rStyle w:val="Hyperlink"/>
                    <w:b/>
                    <w:color w:val="000000"/>
                    <w:sz w:val="28"/>
                    <w:szCs w:val="28"/>
                  </w:rPr>
                  <w:t xml:space="preserve"> </w:t>
                </w:r>
                <w:r w:rsidR="00497DF1">
                  <w:rPr>
                    <w:rStyle w:val="Hyperlink"/>
                    <w:b/>
                    <w:color w:val="000000"/>
                    <w:sz w:val="28"/>
                    <w:szCs w:val="28"/>
                  </w:rPr>
                  <w:t>……………………………………………………………………………………</w:t>
                </w:r>
                <w:r w:rsidR="004723B6">
                  <w:rPr>
                    <w:rStyle w:val="Hyperlink"/>
                    <w:b/>
                    <w:color w:val="000000"/>
                    <w:sz w:val="28"/>
                    <w:szCs w:val="28"/>
                  </w:rPr>
                  <w:tab/>
                  <w:t>7</w:t>
                </w:r>
              </w:hyperlink>
            </w:p>
            <w:p w14:paraId="0C7B7BA2" w14:textId="77777777" w:rsidR="004723B6" w:rsidRDefault="004723B6" w:rsidP="004723B6">
              <w:pPr>
                <w:rPr>
                  <w:color w:val="000000"/>
                  <w:sz w:val="24"/>
                  <w:szCs w:val="24"/>
                </w:rPr>
              </w:pPr>
              <w:r>
                <w:rPr>
                  <w:b/>
                  <w:sz w:val="28"/>
                  <w:szCs w:val="28"/>
                </w:rPr>
                <w:fldChar w:fldCharType="end"/>
              </w:r>
            </w:p>
          </w:sdtContent>
        </w:sdt>
        <w:p w14:paraId="7842B0E4" w14:textId="77777777" w:rsidR="004723B6" w:rsidRDefault="004723B6" w:rsidP="004723B6">
          <w:pPr>
            <w:spacing w:after="160"/>
            <w:rPr>
              <w:b/>
              <w:bCs/>
              <w:sz w:val="32"/>
              <w:szCs w:val="32"/>
            </w:rPr>
          </w:pPr>
          <w:bookmarkStart w:id="2" w:name="_heading=h.gjdgxs"/>
          <w:bookmarkEnd w:id="2"/>
        </w:p>
        <w:p w14:paraId="31892020" w14:textId="77777777" w:rsidR="004723B6" w:rsidRPr="00417451" w:rsidRDefault="004723B6" w:rsidP="004723B6">
          <w:pPr>
            <w:spacing w:after="160"/>
            <w:rPr>
              <w:b/>
              <w:bCs/>
              <w:color w:val="000000"/>
              <w:sz w:val="32"/>
              <w:szCs w:val="32"/>
            </w:rPr>
          </w:pPr>
          <w:r w:rsidRPr="00417451">
            <w:rPr>
              <w:b/>
              <w:bCs/>
              <w:sz w:val="32"/>
              <w:szCs w:val="32"/>
            </w:rPr>
            <w:t>Introduction</w:t>
          </w:r>
        </w:p>
        <w:p w14:paraId="74A24ADB" w14:textId="77777777" w:rsidR="004723B6" w:rsidRPr="000F5DF6" w:rsidRDefault="004723B6" w:rsidP="004723B6">
          <w:pPr>
            <w:rPr>
              <w:color w:val="000000"/>
              <w:sz w:val="24"/>
              <w:szCs w:val="24"/>
            </w:rPr>
          </w:pPr>
          <w:r w:rsidRPr="007467FC">
            <w:rPr>
              <w:color w:val="000000"/>
              <w:sz w:val="28"/>
              <w:szCs w:val="28"/>
            </w:rPr>
            <w:t>Any legal system's primary intention is to keep society on the right track by eliminating crime or unlawful activities from society. Due to this, when a law is unable to serve the actual needs of the community in the context of the elimination of unlawful activities, it is important to change or reform that particular act. In this essay, the U.K. law Offences against the Person Act 1861 is discussed critically to evaluate whether it actually serves its actual purpose in this modern time or it needs reformation. The essay will discuss this area based on the judgments provided by U.K. Court in different past cases</w:t>
          </w:r>
          <w:r w:rsidRPr="000F5DF6">
            <w:rPr>
              <w:color w:val="000000"/>
              <w:sz w:val="24"/>
              <w:szCs w:val="24"/>
            </w:rPr>
            <w:t>.</w:t>
          </w:r>
        </w:p>
        <w:p w14:paraId="6960BE90" w14:textId="77777777" w:rsidR="00417451" w:rsidRDefault="00417451" w:rsidP="00417451">
          <w:pPr>
            <w:pStyle w:val="Heading10"/>
          </w:pPr>
          <w:bookmarkStart w:id="3" w:name="_heading=h.30j0zll"/>
          <w:bookmarkEnd w:id="3"/>
        </w:p>
        <w:p w14:paraId="111EAE98" w14:textId="463B3B5A" w:rsidR="004723B6" w:rsidRPr="00417451" w:rsidRDefault="004723B6" w:rsidP="00417451">
          <w:pPr>
            <w:pStyle w:val="Heading10"/>
          </w:pPr>
          <w:r w:rsidRPr="00417451">
            <w:t>Discussion</w:t>
          </w:r>
        </w:p>
        <w:p w14:paraId="611CBA95" w14:textId="77777777" w:rsidR="004723B6" w:rsidRPr="007467FC" w:rsidRDefault="004723B6" w:rsidP="004723B6">
          <w:pPr>
            <w:rPr>
              <w:color w:val="000000"/>
              <w:sz w:val="28"/>
              <w:szCs w:val="28"/>
            </w:rPr>
          </w:pPr>
          <w:r w:rsidRPr="007467FC">
            <w:rPr>
              <w:color w:val="000000"/>
              <w:sz w:val="28"/>
              <w:szCs w:val="28"/>
            </w:rPr>
            <w:t>According to the S47 of Offences against the Person Act 1861, if an individual convicts any assault causing any bodily harm to another person, he is liable to imprisonment for five years or less. Here, the term "assault" indicates the incident that is "battery". The term "battery" indicates reckless or intentional infliction of personal violence in an unlawful way on a person (</w:t>
          </w:r>
          <w:r w:rsidRPr="007467FC">
            <w:rPr>
              <w:color w:val="000000"/>
              <w:sz w:val="28"/>
              <w:szCs w:val="28"/>
              <w:highlight w:val="white"/>
            </w:rPr>
            <w:t>Bows and Herring, 2020)</w:t>
          </w:r>
          <w:r w:rsidRPr="007467FC">
            <w:rPr>
              <w:color w:val="000000"/>
              <w:sz w:val="28"/>
              <w:szCs w:val="28"/>
            </w:rPr>
            <w:t>. In the past decades, that is during the 19</w:t>
          </w:r>
          <w:r w:rsidRPr="007467FC">
            <w:rPr>
              <w:color w:val="000000"/>
              <w:sz w:val="28"/>
              <w:szCs w:val="28"/>
              <w:vertAlign w:val="superscript"/>
            </w:rPr>
            <w:t>th</w:t>
          </w:r>
          <w:r w:rsidRPr="007467FC">
            <w:rPr>
              <w:color w:val="000000"/>
              <w:sz w:val="28"/>
              <w:szCs w:val="28"/>
            </w:rPr>
            <w:t xml:space="preserve"> century till the mid of 20</w:t>
          </w:r>
          <w:r w:rsidRPr="007467FC">
            <w:rPr>
              <w:color w:val="000000"/>
              <w:sz w:val="28"/>
              <w:szCs w:val="28"/>
              <w:vertAlign w:val="superscript"/>
            </w:rPr>
            <w:t>th</w:t>
          </w:r>
          <w:r w:rsidRPr="007467FC">
            <w:rPr>
              <w:color w:val="000000"/>
              <w:sz w:val="28"/>
              <w:szCs w:val="28"/>
            </w:rPr>
            <w:t xml:space="preserve"> century, this particular law in the United Kingdom was considered as a very important legal guideline; however, with the passage of time and modernization of the U.K. societies, the importance of this law has reduced. </w:t>
          </w:r>
          <w:r w:rsidRPr="007467FC">
            <w:rPr>
              <w:color w:val="000000"/>
              <w:sz w:val="28"/>
              <w:szCs w:val="28"/>
            </w:rPr>
            <w:lastRenderedPageBreak/>
            <w:t>Many scholars believe that the old rules under this particular act are not suitable for modern society in the U.K. In the year 2015, the Law Commission in the U.K. proposed a reform of the act pointing out the following issues:</w:t>
          </w:r>
        </w:p>
        <w:p w14:paraId="262EDD44" w14:textId="77777777" w:rsidR="004723B6" w:rsidRPr="007467FC" w:rsidRDefault="004723B6" w:rsidP="004723B6">
          <w:pPr>
            <w:rPr>
              <w:color w:val="000000"/>
              <w:sz w:val="28"/>
              <w:szCs w:val="28"/>
            </w:rPr>
          </w:pPr>
          <w:r w:rsidRPr="007467FC">
            <w:rPr>
              <w:color w:val="000000"/>
              <w:sz w:val="28"/>
              <w:szCs w:val="28"/>
            </w:rPr>
            <w:t>Law Commission pointed out that under the Offences against the Person Act 1861, there is no clear grading for the offences; the importance or seriousness of the sections and sub-sections is not understandable by reading the legislation. Moreover, there are several offences mentioned under this act that are narrowly specialized (</w:t>
          </w:r>
          <w:r w:rsidRPr="007467FC">
            <w:rPr>
              <w:color w:val="000000"/>
              <w:sz w:val="28"/>
              <w:szCs w:val="28"/>
              <w:highlight w:val="white"/>
            </w:rPr>
            <w:t xml:space="preserve">van Amsterdam </w:t>
          </w:r>
          <w:r w:rsidRPr="007467FC">
            <w:rPr>
              <w:i/>
              <w:color w:val="000000"/>
              <w:sz w:val="28"/>
              <w:szCs w:val="28"/>
              <w:highlight w:val="white"/>
            </w:rPr>
            <w:t>et al</w:t>
          </w:r>
          <w:r w:rsidRPr="007467FC">
            <w:rPr>
              <w:color w:val="000000"/>
              <w:sz w:val="28"/>
              <w:szCs w:val="28"/>
              <w:highlight w:val="white"/>
            </w:rPr>
            <w:t>. 2020)</w:t>
          </w:r>
          <w:r w:rsidRPr="007467FC">
            <w:rPr>
              <w:color w:val="000000"/>
              <w:sz w:val="28"/>
              <w:szCs w:val="28"/>
            </w:rPr>
            <w:t xml:space="preserve">. </w:t>
          </w:r>
        </w:p>
        <w:p w14:paraId="6EEB4C32" w14:textId="77777777" w:rsidR="004723B6" w:rsidRPr="007467FC" w:rsidRDefault="004723B6" w:rsidP="004723B6">
          <w:pPr>
            <w:rPr>
              <w:color w:val="000000"/>
              <w:sz w:val="28"/>
              <w:szCs w:val="28"/>
            </w:rPr>
          </w:pPr>
          <w:r w:rsidRPr="007467FC">
            <w:rPr>
              <w:color w:val="000000"/>
              <w:sz w:val="28"/>
              <w:szCs w:val="28"/>
            </w:rPr>
            <w:t>At the same time, while explaining any particular offence, the act has mentioned different alternative ways through which the offence can be committed; this has created confusion whether all the alternative ways mean only one offence or they mean several offences; as an example, the Law Commission has mentioned about the section 18 of the act, in which four offences are mentioned that can take place in ten different situations; hence, there is the higher scope of doubt about the situations that describe the offence (</w:t>
          </w:r>
          <w:proofErr w:type="spellStart"/>
          <w:r w:rsidRPr="007467FC">
            <w:rPr>
              <w:color w:val="000000"/>
              <w:sz w:val="28"/>
              <w:szCs w:val="28"/>
              <w:highlight w:val="white"/>
            </w:rPr>
            <w:t>Geulayov</w:t>
          </w:r>
          <w:proofErr w:type="spellEnd"/>
          <w:r w:rsidRPr="007467FC">
            <w:rPr>
              <w:color w:val="000000"/>
              <w:sz w:val="28"/>
              <w:szCs w:val="28"/>
              <w:highlight w:val="white"/>
            </w:rPr>
            <w:t xml:space="preserve"> </w:t>
          </w:r>
          <w:r w:rsidRPr="007467FC">
            <w:rPr>
              <w:i/>
              <w:color w:val="000000"/>
              <w:sz w:val="28"/>
              <w:szCs w:val="28"/>
              <w:highlight w:val="white"/>
            </w:rPr>
            <w:t>et al</w:t>
          </w:r>
          <w:r w:rsidRPr="007467FC">
            <w:rPr>
              <w:color w:val="000000"/>
              <w:sz w:val="28"/>
              <w:szCs w:val="28"/>
              <w:highlight w:val="white"/>
            </w:rPr>
            <w:t>. 2019)</w:t>
          </w:r>
          <w:r w:rsidRPr="007467FC">
            <w:rPr>
              <w:color w:val="000000"/>
              <w:sz w:val="28"/>
              <w:szCs w:val="28"/>
            </w:rPr>
            <w:t>. Another comment made by the Law Commission is about the rare offences, which are no longer taken place in modern society; for example, the Law Commission mentioned the offence of assaulting a magistrate. Moreover, the Law Commission has also argued that the language used in the act is no longer appropriate for modern society, and there are some words, the meaning of which is not clear; for example, the word "maliciously" is not clearly understandable (S3-eu-west-2.amazonaws.com, 2021).</w:t>
          </w:r>
        </w:p>
        <w:p w14:paraId="53D719D7" w14:textId="77777777" w:rsidR="004723B6" w:rsidRPr="007467FC" w:rsidRDefault="004723B6" w:rsidP="004723B6">
          <w:pPr>
            <w:rPr>
              <w:color w:val="000000"/>
              <w:sz w:val="28"/>
              <w:szCs w:val="28"/>
            </w:rPr>
          </w:pPr>
          <w:r w:rsidRPr="007467FC">
            <w:rPr>
              <w:color w:val="000000"/>
              <w:sz w:val="28"/>
              <w:szCs w:val="28"/>
            </w:rPr>
            <w:t>Based on the views and perspectives of the Law Commission on the Offences against the Person Act 1861, it is mentionable that the major issue associated with the act is its lack of clarity in terms of explaining the offences. In this context, the example of D.P.P. vs Smith, 1961 can be mentioned. In this particular case, it was pointed out that understanding the offence is very important for making the judgment regarding the same. In that case, the jury pointed out the issues that the offences might have been done by understanding the consequences of the same or by not understanding the consequences, and if it is done by understanding the consequences, should it be considered as grievous bodily harm or intention of murder (</w:t>
          </w:r>
          <w:r w:rsidRPr="007467FC">
            <w:rPr>
              <w:color w:val="000000"/>
              <w:sz w:val="28"/>
              <w:szCs w:val="28"/>
              <w:highlight w:val="white"/>
            </w:rPr>
            <w:t>S3-eu-west-2.amazonaws.com, 2021</w:t>
          </w:r>
          <w:r w:rsidRPr="007467FC">
            <w:rPr>
              <w:color w:val="000000"/>
              <w:sz w:val="28"/>
              <w:szCs w:val="28"/>
            </w:rPr>
            <w:t xml:space="preserve">). This confusion was created in this case because the </w:t>
          </w:r>
          <w:r w:rsidRPr="007467FC">
            <w:rPr>
              <w:color w:val="000000"/>
              <w:sz w:val="28"/>
              <w:szCs w:val="28"/>
            </w:rPr>
            <w:lastRenderedPageBreak/>
            <w:t>Offences against the Person Act 1861 does not clearly explain grievous bodily harm by a natural and ordinary meaning. In the mentioned case, the jury found that the offence was capital murder rather than grievous bodily harm. In modern society, most people are aware of their rights and the consequences that they may face if they commit any offence; hence, there is no such scope for actual bodily harm, and at the same time, the modern society in the U.K. needs a clear division between grievous bodily harm and murder (</w:t>
          </w:r>
          <w:r w:rsidRPr="007467FC">
            <w:rPr>
              <w:color w:val="000000"/>
              <w:sz w:val="28"/>
              <w:szCs w:val="28"/>
              <w:highlight w:val="white"/>
            </w:rPr>
            <w:t>S3-eu-west-2.amazonaws.com, 2021</w:t>
          </w:r>
          <w:r w:rsidRPr="007467FC">
            <w:rPr>
              <w:color w:val="000000"/>
              <w:sz w:val="28"/>
              <w:szCs w:val="28"/>
            </w:rPr>
            <w:t>).</w:t>
          </w:r>
        </w:p>
        <w:p w14:paraId="7E073AB9" w14:textId="77777777" w:rsidR="004723B6" w:rsidRPr="007467FC" w:rsidRDefault="004723B6" w:rsidP="004723B6">
          <w:pPr>
            <w:rPr>
              <w:color w:val="000000"/>
              <w:sz w:val="28"/>
              <w:szCs w:val="28"/>
            </w:rPr>
          </w:pPr>
          <w:r w:rsidRPr="007467FC">
            <w:rPr>
              <w:color w:val="000000"/>
              <w:sz w:val="28"/>
              <w:szCs w:val="28"/>
            </w:rPr>
            <w:t xml:space="preserve">In reality, the impact of an offence or assault may differ from person to person. One assault may cause a serious issue to an individual causing grievous bodily harm, and to another person, it may not cause serious harm and cannot be considered as grievous bodily harm. In this context, the example of R vs </w:t>
          </w:r>
          <w:proofErr w:type="spellStart"/>
          <w:r w:rsidRPr="007467FC">
            <w:rPr>
              <w:color w:val="000000"/>
              <w:sz w:val="28"/>
              <w:szCs w:val="28"/>
            </w:rPr>
            <w:t>Bollom</w:t>
          </w:r>
          <w:proofErr w:type="spellEnd"/>
          <w:r w:rsidRPr="007467FC">
            <w:rPr>
              <w:color w:val="000000"/>
              <w:sz w:val="28"/>
              <w:szCs w:val="28"/>
            </w:rPr>
            <w:t>, 2004 can be mentioned. In this case, it was determined that to make the judgement against a particular assault; it is needful to understand the gravity of the harm on the victim. In this case, an issue was raised by the jury by mentioning the need for understanding whether the injury was grievous bodily harm or actual bodily harm, and in the end, it was held as actual bodily harm (</w:t>
          </w:r>
          <w:r w:rsidRPr="007467FC">
            <w:rPr>
              <w:color w:val="000000"/>
              <w:sz w:val="28"/>
              <w:szCs w:val="28"/>
              <w:highlight w:val="white"/>
            </w:rPr>
            <w:t>E-lawresources.co.uk, 2021</w:t>
          </w:r>
          <w:r w:rsidRPr="007467FC">
            <w:rPr>
              <w:color w:val="000000"/>
              <w:sz w:val="28"/>
              <w:szCs w:val="28"/>
            </w:rPr>
            <w:t>). The judgment was based on the principle that the impact of an injury caused to an infant is always more serious than the same injury caused to an adult person. However, Offences against the Person Act 1861 does not emphasize this kind of separation in the rules, and due to this, the application of this particular act becomes limited.</w:t>
          </w:r>
        </w:p>
        <w:p w14:paraId="7664C171" w14:textId="77777777" w:rsidR="004723B6" w:rsidRPr="007467FC" w:rsidRDefault="004723B6" w:rsidP="004723B6">
          <w:pPr>
            <w:rPr>
              <w:color w:val="000000"/>
              <w:sz w:val="28"/>
              <w:szCs w:val="28"/>
            </w:rPr>
          </w:pPr>
          <w:bookmarkStart w:id="4" w:name="_heading=h.1fob9te"/>
          <w:bookmarkEnd w:id="4"/>
          <w:r w:rsidRPr="007467FC">
            <w:rPr>
              <w:color w:val="000000"/>
              <w:sz w:val="28"/>
              <w:szCs w:val="28"/>
            </w:rPr>
            <w:t>On the other hand, the act does not mention in detail the mental harm caused by any person. In the case of R v Miller [1954], it was observed that Miller was accused of adultery; however, there was doubt among the jury whether the mental harassment or assault was actual bodily harm. The jury held the decision that the mental assault was actual bodily harm under section 47 of the Offences against the Person Act 1861; however, Mr Miller was not found guilty of rape as the victim was his lawful wife (</w:t>
          </w:r>
          <w:r w:rsidRPr="007467FC">
            <w:rPr>
              <w:color w:val="000000"/>
              <w:sz w:val="28"/>
              <w:szCs w:val="28"/>
              <w:highlight w:val="white"/>
            </w:rPr>
            <w:t>Lawteacher.net, 2021</w:t>
          </w:r>
          <w:r w:rsidRPr="007467FC">
            <w:rPr>
              <w:color w:val="000000"/>
              <w:sz w:val="28"/>
              <w:szCs w:val="28"/>
            </w:rPr>
            <w:t>). In this context, it is mentionable that in today's society in the U.K. in several causes women face mental torture and assault at home and by their husband and these assaults are done intentionally; however, in the law, there is nothing mentioned specifically for such cases (</w:t>
          </w:r>
          <w:r w:rsidRPr="007467FC">
            <w:rPr>
              <w:color w:val="000000"/>
              <w:sz w:val="28"/>
              <w:szCs w:val="28"/>
              <w:highlight w:val="white"/>
            </w:rPr>
            <w:t xml:space="preserve">van Amsterdam </w:t>
          </w:r>
          <w:r w:rsidRPr="007467FC">
            <w:rPr>
              <w:i/>
              <w:color w:val="000000"/>
              <w:sz w:val="28"/>
              <w:szCs w:val="28"/>
              <w:highlight w:val="white"/>
            </w:rPr>
            <w:t>et al</w:t>
          </w:r>
          <w:r w:rsidRPr="007467FC">
            <w:rPr>
              <w:color w:val="000000"/>
              <w:sz w:val="28"/>
              <w:szCs w:val="28"/>
              <w:highlight w:val="white"/>
            </w:rPr>
            <w:t>. 2020)</w:t>
          </w:r>
          <w:r w:rsidRPr="007467FC">
            <w:rPr>
              <w:color w:val="000000"/>
              <w:sz w:val="28"/>
              <w:szCs w:val="28"/>
            </w:rPr>
            <w:t>.</w:t>
          </w:r>
        </w:p>
        <w:p w14:paraId="125DFE2B" w14:textId="77777777" w:rsidR="004723B6" w:rsidRPr="007467FC" w:rsidRDefault="004723B6" w:rsidP="004723B6">
          <w:pPr>
            <w:rPr>
              <w:color w:val="000000"/>
              <w:sz w:val="28"/>
              <w:szCs w:val="28"/>
              <w:highlight w:val="white"/>
            </w:rPr>
          </w:pPr>
          <w:r w:rsidRPr="007467FC">
            <w:rPr>
              <w:color w:val="000000"/>
              <w:sz w:val="28"/>
              <w:szCs w:val="28"/>
            </w:rPr>
            <w:lastRenderedPageBreak/>
            <w:t>To determine how the legal terms can be focused case example of R v Chan-</w:t>
          </w:r>
          <w:proofErr w:type="spellStart"/>
          <w:r w:rsidRPr="007467FC">
            <w:rPr>
              <w:color w:val="000000"/>
              <w:sz w:val="28"/>
              <w:szCs w:val="28"/>
            </w:rPr>
            <w:t>Fook</w:t>
          </w:r>
          <w:proofErr w:type="spellEnd"/>
          <w:r w:rsidRPr="007467FC">
            <w:rPr>
              <w:color w:val="000000"/>
              <w:sz w:val="28"/>
              <w:szCs w:val="28"/>
            </w:rPr>
            <w:t xml:space="preserve"> [1994] can be applied in this context (</w:t>
          </w:r>
          <w:r w:rsidRPr="007467FC">
            <w:rPr>
              <w:color w:val="000000"/>
              <w:sz w:val="28"/>
              <w:szCs w:val="28"/>
              <w:highlight w:val="white"/>
            </w:rPr>
            <w:t>Lawteacher.net, 2021)</w:t>
          </w:r>
          <w:r w:rsidRPr="007467FC">
            <w:rPr>
              <w:color w:val="000000"/>
              <w:sz w:val="28"/>
              <w:szCs w:val="28"/>
            </w:rPr>
            <w:t xml:space="preserve">. This case was regarding the lodging of Mrs Fox, who was appellant. Fox's engagement ring was missing, and a student was interrogated as a victim of the case scenario. The student tried to escape. The appellant was accused against S. 47 </w:t>
          </w:r>
          <w:r w:rsidRPr="007467FC">
            <w:rPr>
              <w:color w:val="000000"/>
              <w:sz w:val="28"/>
              <w:szCs w:val="28"/>
              <w:highlight w:val="white"/>
            </w:rPr>
            <w:t xml:space="preserve">the Person Act 1861. In this case, the conviction was quashed to account for the bodily harm and injury regarding the whole investigation. Conviction of ABH could not be standing there. The prosecutions are not framed to focus on supporting the psychiatric injury. The conducts are made to execute and prevent the legal apprehension that can cause G.B.H. with intent. In the context of justifying the legal acts, it is significant to understand how the offences can be mentioned and focused on different situations (Munro and Aitken, 2018). On the arguments made by different legal cases and scenarios, it can be mentioned to </w:t>
          </w:r>
          <w:proofErr w:type="spellStart"/>
          <w:r w:rsidRPr="007467FC">
            <w:rPr>
              <w:color w:val="000000"/>
              <w:sz w:val="28"/>
              <w:szCs w:val="28"/>
              <w:highlight w:val="white"/>
            </w:rPr>
            <w:t>analyze</w:t>
          </w:r>
          <w:proofErr w:type="spellEnd"/>
          <w:r w:rsidRPr="007467FC">
            <w:rPr>
              <w:color w:val="000000"/>
              <w:sz w:val="28"/>
              <w:szCs w:val="28"/>
              <w:highlight w:val="white"/>
            </w:rPr>
            <w:t xml:space="preserve"> and identify the offences against Person Act 1861. The court held appeal while the jury can be able to focus on unique circumstances from ABH to G.B.H. </w:t>
          </w:r>
        </w:p>
        <w:p w14:paraId="3AEC83AD" w14:textId="77777777" w:rsidR="004723B6" w:rsidRPr="007467FC" w:rsidRDefault="004723B6" w:rsidP="004723B6">
          <w:pPr>
            <w:rPr>
              <w:color w:val="000000"/>
              <w:sz w:val="28"/>
              <w:szCs w:val="28"/>
              <w:highlight w:val="white"/>
            </w:rPr>
          </w:pPr>
          <w:r w:rsidRPr="007467FC">
            <w:rPr>
              <w:color w:val="000000"/>
              <w:sz w:val="28"/>
              <w:szCs w:val="28"/>
              <w:highlight w:val="white"/>
            </w:rPr>
            <w:t xml:space="preserve">R v </w:t>
          </w:r>
          <w:proofErr w:type="spellStart"/>
          <w:r w:rsidRPr="007467FC">
            <w:rPr>
              <w:color w:val="000000"/>
              <w:sz w:val="28"/>
              <w:szCs w:val="28"/>
              <w:highlight w:val="white"/>
            </w:rPr>
            <w:t>Bollom</w:t>
          </w:r>
          <w:proofErr w:type="spellEnd"/>
          <w:r w:rsidRPr="007467FC">
            <w:rPr>
              <w:color w:val="000000"/>
              <w:sz w:val="28"/>
              <w:szCs w:val="28"/>
              <w:highlight w:val="white"/>
            </w:rPr>
            <w:t xml:space="preserve"> [2004] can be cited that it is definite to understand the change in gross of bodily harm that can be redirected to appeal the particular determinations and vulnerabilities (E-lawresources.co.uk, 2021). The victim can be considered as prosecuted as a severe offence. This case example is a perfect example to understand the actual harm suffered by the victims. For the appropriate changes, ABH under section 47 can be represented for a prolonged period. The act can be applied to include how the hierarchy of offences can be contained within modern society. It is significant to apply the laws that have particular offences to the victims and accused. It is significant to identify the case laws and legislations that have accesses to source it.  In the context of instance case, G.B.H. under section 18 was lessened as bringing charges against victim sustainability and necessary to find the G.B.H. In the report of 2015, it is significant to focus on how modern society can use this law to evaluate the cases of bodily harm and other sections related to person act (Munro and Aitken, 2018).  </w:t>
          </w:r>
        </w:p>
        <w:p w14:paraId="1E844556" w14:textId="77777777" w:rsidR="004723B6" w:rsidRPr="007467FC" w:rsidRDefault="004723B6" w:rsidP="004723B6">
          <w:pPr>
            <w:rPr>
              <w:sz w:val="28"/>
              <w:szCs w:val="28"/>
              <w:highlight w:val="white"/>
            </w:rPr>
          </w:pPr>
        </w:p>
        <w:p w14:paraId="5364C4A4" w14:textId="77777777" w:rsidR="004723B6" w:rsidRPr="007467FC" w:rsidRDefault="004723B6" w:rsidP="004723B6">
          <w:pPr>
            <w:rPr>
              <w:color w:val="212529"/>
              <w:sz w:val="28"/>
              <w:szCs w:val="28"/>
              <w:highlight w:val="white"/>
            </w:rPr>
          </w:pPr>
          <w:r w:rsidRPr="007467FC">
            <w:rPr>
              <w:sz w:val="28"/>
              <w:szCs w:val="28"/>
              <w:highlight w:val="white"/>
            </w:rPr>
            <w:t xml:space="preserve">In Ireland v Burstow [1997] case, the victim and the accused were in a relationship for a short period of time. After that, the victim ended the </w:t>
          </w:r>
          <w:r w:rsidRPr="007467FC">
            <w:rPr>
              <w:sz w:val="28"/>
              <w:szCs w:val="28"/>
              <w:highlight w:val="white"/>
            </w:rPr>
            <w:lastRenderedPageBreak/>
            <w:t>relationship; the accused was very upset with this decision and started harassing the victim (</w:t>
          </w:r>
          <w:r w:rsidRPr="007467FC">
            <w:rPr>
              <w:color w:val="000000"/>
              <w:sz w:val="28"/>
              <w:szCs w:val="28"/>
            </w:rPr>
            <w:t>legislation.gov.uk, 2021</w:t>
          </w:r>
          <w:r w:rsidRPr="007467FC">
            <w:rPr>
              <w:sz w:val="28"/>
              <w:szCs w:val="28"/>
              <w:highlight w:val="white"/>
            </w:rPr>
            <w:t xml:space="preserve">). For some months, the accused disturbed the victim by making phone calls, sending hateful emails, disturbing neighbours, which led the victim to face a major depression. In section 18, 20 and 47 of the Offences against the Person Act 1861, mental problems and </w:t>
          </w:r>
          <w:r w:rsidRPr="007467FC">
            <w:rPr>
              <w:color w:val="212529"/>
              <w:sz w:val="28"/>
              <w:szCs w:val="28"/>
              <w:highlight w:val="white"/>
            </w:rPr>
            <w:t>psychiatric problems</w:t>
          </w:r>
          <w:r w:rsidRPr="007467FC">
            <w:rPr>
              <w:rFonts w:ascii="Roboto" w:eastAsia="Roboto" w:hAnsi="Roboto" w:cs="Roboto"/>
              <w:color w:val="212529"/>
              <w:sz w:val="28"/>
              <w:szCs w:val="28"/>
              <w:highlight w:val="white"/>
            </w:rPr>
            <w:t xml:space="preserve"> are </w:t>
          </w:r>
          <w:r w:rsidRPr="007467FC">
            <w:rPr>
              <w:color w:val="212529"/>
              <w:sz w:val="28"/>
              <w:szCs w:val="28"/>
              <w:highlight w:val="white"/>
            </w:rPr>
            <w:t xml:space="preserve">not considered to be bodily harm. It is necessary to bring any psychiatric harm done to a person to be bodily harm under section 20 of the person act. </w:t>
          </w:r>
        </w:p>
        <w:p w14:paraId="5BD89D98" w14:textId="77777777" w:rsidR="004723B6" w:rsidRPr="007467FC" w:rsidRDefault="004723B6" w:rsidP="004723B6">
          <w:pPr>
            <w:rPr>
              <w:color w:val="212529"/>
              <w:sz w:val="28"/>
              <w:szCs w:val="28"/>
              <w:highlight w:val="white"/>
            </w:rPr>
          </w:pPr>
          <w:r w:rsidRPr="007467FC">
            <w:rPr>
              <w:color w:val="212529"/>
              <w:sz w:val="28"/>
              <w:szCs w:val="28"/>
              <w:highlight w:val="white"/>
            </w:rPr>
            <w:t xml:space="preserve"> In Constanza [1997] case, a man was found guilty of harming one of his ex-female workmates. He followed the women for almost a year, sent several letters, called her, went to her house, and also gave threatening letters and many more. The woman went into depression and anxiety due to her actions. This case is also an example that section 47 of the Offence Against the Person Act [1861] needed to be updated (</w:t>
          </w:r>
          <w:r w:rsidRPr="007467FC">
            <w:rPr>
              <w:color w:val="000000"/>
              <w:sz w:val="28"/>
              <w:szCs w:val="28"/>
            </w:rPr>
            <w:t>legislation.gov.uk, 2021</w:t>
          </w:r>
          <w:r w:rsidRPr="007467FC">
            <w:rPr>
              <w:color w:val="212529"/>
              <w:sz w:val="28"/>
              <w:szCs w:val="28"/>
              <w:highlight w:val="white"/>
            </w:rPr>
            <w:t>).The court, in this case, passed an order just in words that the accused did not cause bodily harm to the victim, so there is no punishment in words is enough. The victim appalled that a proper judgement; otherwise, the man can be harmful in future.</w:t>
          </w:r>
        </w:p>
        <w:p w14:paraId="2022BE24" w14:textId="77777777" w:rsidR="004723B6" w:rsidRPr="007467FC" w:rsidRDefault="004723B6" w:rsidP="004723B6">
          <w:pPr>
            <w:rPr>
              <w:b/>
              <w:sz w:val="28"/>
              <w:szCs w:val="28"/>
              <w:highlight w:val="white"/>
            </w:rPr>
          </w:pPr>
        </w:p>
        <w:p w14:paraId="6FE53076" w14:textId="77777777" w:rsidR="004723B6" w:rsidRPr="000F5DF6" w:rsidRDefault="004723B6" w:rsidP="004723B6">
          <w:pPr>
            <w:rPr>
              <w:b/>
              <w:color w:val="212529"/>
              <w:sz w:val="32"/>
              <w:szCs w:val="32"/>
              <w:highlight w:val="white"/>
            </w:rPr>
          </w:pPr>
          <w:r w:rsidRPr="000F5DF6">
            <w:rPr>
              <w:b/>
              <w:sz w:val="32"/>
              <w:szCs w:val="32"/>
              <w:highlight w:val="white"/>
            </w:rPr>
            <w:t>Conclusion</w:t>
          </w:r>
        </w:p>
        <w:p w14:paraId="46810059" w14:textId="77777777" w:rsidR="004723B6" w:rsidRPr="000F5DF6" w:rsidRDefault="004723B6" w:rsidP="004723B6">
          <w:pPr>
            <w:rPr>
              <w:color w:val="212529"/>
              <w:sz w:val="24"/>
              <w:szCs w:val="24"/>
              <w:highlight w:val="white"/>
            </w:rPr>
          </w:pPr>
          <w:r w:rsidRPr="000F5DF6">
            <w:rPr>
              <w:sz w:val="24"/>
              <w:szCs w:val="24"/>
              <w:highlight w:val="white"/>
            </w:rPr>
            <w:t xml:space="preserve">As the cases are considered, it is very necessary to upgrade the Person Act [1861]. The court has given the judgement that since no physical harm is caused to the victims; hence no strict action should be taken for the accused. </w:t>
          </w:r>
          <w:r w:rsidRPr="000F5DF6">
            <w:rPr>
              <w:color w:val="212529"/>
              <w:sz w:val="24"/>
              <w:szCs w:val="24"/>
              <w:highlight w:val="white"/>
            </w:rPr>
            <w:t xml:space="preserve">Although there is no physical harm caused by the accused, still harassing a person, which can lead him/her to mental trauma, should be considered as harm done to the body. It can happen in the future that the accused became more dangerous and caused a more heinous crime to the victim. It is very necessary to give such a judgement so that the accused realizes his/her faults and is fearful of committing any crime in future. Hence all the sections mentioned in the above cases need to be of Person's Act [1861] needed to be upgraded so that the crime rate reduces in future and people are afraid to commit such crimes remembering the past judgments of the court. </w:t>
          </w:r>
        </w:p>
        <w:p w14:paraId="5DF73C4F" w14:textId="77777777" w:rsidR="004723B6" w:rsidRPr="000F5DF6" w:rsidRDefault="004723B6" w:rsidP="004723B6">
          <w:pPr>
            <w:rPr>
              <w:sz w:val="24"/>
              <w:szCs w:val="24"/>
              <w:highlight w:val="white"/>
            </w:rPr>
          </w:pPr>
        </w:p>
        <w:p w14:paraId="70D184B4" w14:textId="77777777" w:rsidR="004723B6" w:rsidRPr="000F5DF6" w:rsidRDefault="004723B6" w:rsidP="004723B6">
          <w:pPr>
            <w:rPr>
              <w:sz w:val="24"/>
              <w:szCs w:val="24"/>
              <w:highlight w:val="white"/>
            </w:rPr>
          </w:pPr>
        </w:p>
        <w:p w14:paraId="6C91C995" w14:textId="77777777" w:rsidR="000F5DF6" w:rsidRDefault="000F5DF6" w:rsidP="004723B6">
          <w:pPr>
            <w:spacing w:after="160"/>
            <w:rPr>
              <w:b/>
              <w:bCs/>
              <w:sz w:val="32"/>
              <w:szCs w:val="32"/>
            </w:rPr>
          </w:pPr>
          <w:bookmarkStart w:id="5" w:name="_heading=h.2et92p0"/>
          <w:bookmarkEnd w:id="5"/>
        </w:p>
        <w:p w14:paraId="089F8D88" w14:textId="77777777" w:rsidR="000F5DF6" w:rsidRDefault="000F5DF6" w:rsidP="004723B6">
          <w:pPr>
            <w:spacing w:after="160"/>
            <w:rPr>
              <w:b/>
              <w:bCs/>
              <w:sz w:val="32"/>
              <w:szCs w:val="32"/>
            </w:rPr>
          </w:pPr>
        </w:p>
        <w:p w14:paraId="30DCDDB6" w14:textId="2FEF410E" w:rsidR="004723B6" w:rsidRPr="000F5DF6" w:rsidRDefault="004723B6" w:rsidP="004723B6">
          <w:pPr>
            <w:spacing w:after="160"/>
            <w:rPr>
              <w:color w:val="000000"/>
              <w:sz w:val="32"/>
              <w:szCs w:val="32"/>
            </w:rPr>
          </w:pPr>
          <w:r w:rsidRPr="000F5DF6">
            <w:rPr>
              <w:b/>
              <w:bCs/>
              <w:sz w:val="32"/>
              <w:szCs w:val="32"/>
            </w:rPr>
            <w:t>Reference list</w:t>
          </w:r>
        </w:p>
        <w:p w14:paraId="24324D62" w14:textId="77777777" w:rsidR="004723B6" w:rsidRPr="007467FC" w:rsidRDefault="004723B6" w:rsidP="004723B6">
          <w:pPr>
            <w:rPr>
              <w:color w:val="000000"/>
              <w:sz w:val="28"/>
              <w:szCs w:val="28"/>
              <w:highlight w:val="white"/>
            </w:rPr>
          </w:pPr>
          <w:r w:rsidRPr="007467FC">
            <w:rPr>
              <w:color w:val="000000"/>
              <w:sz w:val="28"/>
              <w:szCs w:val="28"/>
              <w:highlight w:val="white"/>
            </w:rPr>
            <w:t xml:space="preserve">Bows, H. and Herring, J., 2020. Getting away with murder? A review of thorough sex defence'. </w:t>
          </w:r>
          <w:r w:rsidRPr="007467FC">
            <w:rPr>
              <w:i/>
              <w:color w:val="000000"/>
              <w:sz w:val="28"/>
              <w:szCs w:val="28"/>
              <w:highlight w:val="white"/>
            </w:rPr>
            <w:t>The Journal of Criminal Law</w:t>
          </w:r>
          <w:r w:rsidRPr="007467FC">
            <w:rPr>
              <w:color w:val="000000"/>
              <w:sz w:val="28"/>
              <w:szCs w:val="28"/>
              <w:highlight w:val="white"/>
            </w:rPr>
            <w:t>, </w:t>
          </w:r>
          <w:r w:rsidRPr="007467FC">
            <w:rPr>
              <w:i/>
              <w:color w:val="000000"/>
              <w:sz w:val="28"/>
              <w:szCs w:val="28"/>
              <w:highlight w:val="white"/>
            </w:rPr>
            <w:t>84</w:t>
          </w:r>
          <w:r w:rsidRPr="007467FC">
            <w:rPr>
              <w:color w:val="000000"/>
              <w:sz w:val="28"/>
              <w:szCs w:val="28"/>
              <w:highlight w:val="white"/>
            </w:rPr>
            <w:t>(6), pp.525-538.</w:t>
          </w:r>
        </w:p>
        <w:p w14:paraId="38CF8045" w14:textId="77777777" w:rsidR="004723B6" w:rsidRPr="007467FC" w:rsidRDefault="004723B6" w:rsidP="004723B6">
          <w:pPr>
            <w:rPr>
              <w:color w:val="000000"/>
              <w:sz w:val="28"/>
              <w:szCs w:val="28"/>
            </w:rPr>
          </w:pPr>
          <w:r w:rsidRPr="007467FC">
            <w:rPr>
              <w:color w:val="000000"/>
              <w:sz w:val="28"/>
              <w:szCs w:val="28"/>
              <w:highlight w:val="white"/>
            </w:rPr>
            <w:t>E-lawresources.co.uk. 2021. </w:t>
          </w:r>
          <w:r w:rsidRPr="007467FC">
            <w:rPr>
              <w:i/>
              <w:color w:val="000000"/>
              <w:sz w:val="28"/>
              <w:szCs w:val="28"/>
              <w:highlight w:val="white"/>
            </w:rPr>
            <w:t xml:space="preserve">R v </w:t>
          </w:r>
          <w:proofErr w:type="spellStart"/>
          <w:r w:rsidRPr="007467FC">
            <w:rPr>
              <w:i/>
              <w:color w:val="000000"/>
              <w:sz w:val="28"/>
              <w:szCs w:val="28"/>
              <w:highlight w:val="white"/>
            </w:rPr>
            <w:t>Bollom</w:t>
          </w:r>
          <w:proofErr w:type="spellEnd"/>
          <w:r w:rsidRPr="007467FC">
            <w:rPr>
              <w:color w:val="000000"/>
              <w:sz w:val="28"/>
              <w:szCs w:val="28"/>
              <w:highlight w:val="white"/>
            </w:rPr>
            <w:t>. [online] Available at: &lt;https://www.e-lawresources.co.uk/R-v-Bollom.php&gt; [Accessed on February 2021].</w:t>
          </w:r>
        </w:p>
        <w:p w14:paraId="0B789E7A" w14:textId="77777777" w:rsidR="004723B6" w:rsidRPr="007467FC" w:rsidRDefault="004723B6" w:rsidP="004723B6">
          <w:pPr>
            <w:rPr>
              <w:color w:val="000000"/>
              <w:sz w:val="28"/>
              <w:szCs w:val="28"/>
              <w:highlight w:val="white"/>
            </w:rPr>
          </w:pPr>
          <w:r w:rsidRPr="007467FC">
            <w:rPr>
              <w:color w:val="000000"/>
              <w:sz w:val="28"/>
              <w:szCs w:val="28"/>
              <w:highlight w:val="white"/>
            </w:rPr>
            <w:t>E-lawresources.co.uk. 2021. </w:t>
          </w:r>
          <w:r w:rsidRPr="007467FC">
            <w:rPr>
              <w:i/>
              <w:color w:val="000000"/>
              <w:sz w:val="28"/>
              <w:szCs w:val="28"/>
              <w:highlight w:val="white"/>
            </w:rPr>
            <w:t xml:space="preserve">R v Chan </w:t>
          </w:r>
          <w:proofErr w:type="spellStart"/>
          <w:r w:rsidRPr="007467FC">
            <w:rPr>
              <w:i/>
              <w:color w:val="000000"/>
              <w:sz w:val="28"/>
              <w:szCs w:val="28"/>
              <w:highlight w:val="white"/>
            </w:rPr>
            <w:t>Fook</w:t>
          </w:r>
          <w:proofErr w:type="spellEnd"/>
          <w:r w:rsidRPr="007467FC">
            <w:rPr>
              <w:color w:val="000000"/>
              <w:sz w:val="28"/>
              <w:szCs w:val="28"/>
              <w:highlight w:val="white"/>
            </w:rPr>
            <w:t>. [online] Available at: &lt;http://www.e-lawresources.co.uk/R-v-Chan-Fook.php&gt; [Accessed on February 2021].</w:t>
          </w:r>
        </w:p>
        <w:p w14:paraId="2D6465C5" w14:textId="77777777" w:rsidR="004723B6" w:rsidRPr="007467FC" w:rsidRDefault="004723B6" w:rsidP="004723B6">
          <w:pPr>
            <w:rPr>
              <w:color w:val="000000"/>
              <w:sz w:val="28"/>
              <w:szCs w:val="28"/>
              <w:highlight w:val="white"/>
            </w:rPr>
          </w:pPr>
          <w:proofErr w:type="spellStart"/>
          <w:r w:rsidRPr="007467FC">
            <w:rPr>
              <w:color w:val="000000"/>
              <w:sz w:val="28"/>
              <w:szCs w:val="28"/>
              <w:highlight w:val="white"/>
            </w:rPr>
            <w:t>Geulayov</w:t>
          </w:r>
          <w:proofErr w:type="spellEnd"/>
          <w:r w:rsidRPr="007467FC">
            <w:rPr>
              <w:color w:val="000000"/>
              <w:sz w:val="28"/>
              <w:szCs w:val="28"/>
              <w:highlight w:val="white"/>
            </w:rPr>
            <w:t xml:space="preserve">, G., Casey, D., Bale, L., Brand, F., Clements, C., Farooq, B., </w:t>
          </w:r>
          <w:proofErr w:type="spellStart"/>
          <w:r w:rsidRPr="007467FC">
            <w:rPr>
              <w:color w:val="000000"/>
              <w:sz w:val="28"/>
              <w:szCs w:val="28"/>
              <w:highlight w:val="white"/>
            </w:rPr>
            <w:t>Kapur</w:t>
          </w:r>
          <w:proofErr w:type="spellEnd"/>
          <w:r w:rsidRPr="007467FC">
            <w:rPr>
              <w:color w:val="000000"/>
              <w:sz w:val="28"/>
              <w:szCs w:val="28"/>
              <w:highlight w:val="white"/>
            </w:rPr>
            <w:t xml:space="preserve">, N., Ness, J., Waters, K., </w:t>
          </w:r>
          <w:proofErr w:type="spellStart"/>
          <w:r w:rsidRPr="007467FC">
            <w:rPr>
              <w:color w:val="000000"/>
              <w:sz w:val="28"/>
              <w:szCs w:val="28"/>
              <w:highlight w:val="white"/>
            </w:rPr>
            <w:t>Tsiachristas</w:t>
          </w:r>
          <w:proofErr w:type="spellEnd"/>
          <w:r w:rsidRPr="007467FC">
            <w:rPr>
              <w:color w:val="000000"/>
              <w:sz w:val="28"/>
              <w:szCs w:val="28"/>
              <w:highlight w:val="white"/>
            </w:rPr>
            <w:t xml:space="preserve">, A. and </w:t>
          </w:r>
          <w:proofErr w:type="spellStart"/>
          <w:r w:rsidRPr="007467FC">
            <w:rPr>
              <w:color w:val="000000"/>
              <w:sz w:val="28"/>
              <w:szCs w:val="28"/>
              <w:highlight w:val="white"/>
            </w:rPr>
            <w:t>Hawton</w:t>
          </w:r>
          <w:proofErr w:type="spellEnd"/>
          <w:r w:rsidRPr="007467FC">
            <w:rPr>
              <w:color w:val="000000"/>
              <w:sz w:val="28"/>
              <w:szCs w:val="28"/>
              <w:highlight w:val="white"/>
            </w:rPr>
            <w:t>, K., 2019. Suicide following presentation to hospital for non-fatal self-harm in the Multicentre Study of Self-harm: a long-term follow-up study. </w:t>
          </w:r>
          <w:r w:rsidRPr="007467FC">
            <w:rPr>
              <w:i/>
              <w:color w:val="000000"/>
              <w:sz w:val="28"/>
              <w:szCs w:val="28"/>
              <w:highlight w:val="white"/>
            </w:rPr>
            <w:t>The Lancet Psychiatry</w:t>
          </w:r>
          <w:r w:rsidRPr="007467FC">
            <w:rPr>
              <w:color w:val="000000"/>
              <w:sz w:val="28"/>
              <w:szCs w:val="28"/>
              <w:highlight w:val="white"/>
            </w:rPr>
            <w:t>, </w:t>
          </w:r>
          <w:r w:rsidRPr="007467FC">
            <w:rPr>
              <w:i/>
              <w:color w:val="000000"/>
              <w:sz w:val="28"/>
              <w:szCs w:val="28"/>
              <w:highlight w:val="white"/>
            </w:rPr>
            <w:t>6</w:t>
          </w:r>
          <w:r w:rsidRPr="007467FC">
            <w:rPr>
              <w:color w:val="000000"/>
              <w:sz w:val="28"/>
              <w:szCs w:val="28"/>
              <w:highlight w:val="white"/>
            </w:rPr>
            <w:t>(12), pp.1021-1030.</w:t>
          </w:r>
        </w:p>
        <w:p w14:paraId="7FA0F9EC" w14:textId="77777777" w:rsidR="004723B6" w:rsidRPr="007467FC" w:rsidRDefault="004723B6" w:rsidP="004723B6">
          <w:pPr>
            <w:rPr>
              <w:color w:val="000000"/>
              <w:sz w:val="28"/>
              <w:szCs w:val="28"/>
              <w:highlight w:val="white"/>
            </w:rPr>
          </w:pPr>
          <w:r w:rsidRPr="007467FC">
            <w:rPr>
              <w:color w:val="000000"/>
              <w:sz w:val="28"/>
              <w:szCs w:val="28"/>
              <w:highlight w:val="white"/>
            </w:rPr>
            <w:t>Lawteacher.net. 2021. </w:t>
          </w:r>
          <w:r w:rsidRPr="007467FC">
            <w:rPr>
              <w:i/>
              <w:color w:val="000000"/>
              <w:sz w:val="28"/>
              <w:szCs w:val="28"/>
              <w:highlight w:val="white"/>
            </w:rPr>
            <w:t xml:space="preserve">R v </w:t>
          </w:r>
          <w:proofErr w:type="spellStart"/>
          <w:r w:rsidRPr="007467FC">
            <w:rPr>
              <w:i/>
              <w:color w:val="000000"/>
              <w:sz w:val="28"/>
              <w:szCs w:val="28"/>
              <w:highlight w:val="white"/>
            </w:rPr>
            <w:t>Bollom</w:t>
          </w:r>
          <w:proofErr w:type="spellEnd"/>
          <w:r w:rsidRPr="007467FC">
            <w:rPr>
              <w:color w:val="000000"/>
              <w:sz w:val="28"/>
              <w:szCs w:val="28"/>
              <w:highlight w:val="white"/>
            </w:rPr>
            <w:t>. [online] Available at: &lt;https://www.lawteacher.net/cases/r-v-bollom.php&gt; [Accessed on February 2021].</w:t>
          </w:r>
        </w:p>
        <w:p w14:paraId="5DA0DE40" w14:textId="77777777" w:rsidR="004723B6" w:rsidRPr="007467FC" w:rsidRDefault="004723B6" w:rsidP="004723B6">
          <w:pPr>
            <w:rPr>
              <w:color w:val="000000"/>
              <w:sz w:val="28"/>
              <w:szCs w:val="28"/>
              <w:highlight w:val="white"/>
            </w:rPr>
          </w:pPr>
          <w:r w:rsidRPr="007467FC">
            <w:rPr>
              <w:color w:val="000000"/>
              <w:sz w:val="28"/>
              <w:szCs w:val="28"/>
              <w:highlight w:val="white"/>
            </w:rPr>
            <w:t>Lawteacher.net. 2021. </w:t>
          </w:r>
          <w:r w:rsidRPr="007467FC">
            <w:rPr>
              <w:i/>
              <w:color w:val="000000"/>
              <w:sz w:val="28"/>
              <w:szCs w:val="28"/>
              <w:highlight w:val="white"/>
            </w:rPr>
            <w:t>R v Miller - 1954</w:t>
          </w:r>
          <w:r w:rsidRPr="007467FC">
            <w:rPr>
              <w:color w:val="000000"/>
              <w:sz w:val="28"/>
              <w:szCs w:val="28"/>
              <w:highlight w:val="white"/>
            </w:rPr>
            <w:t>. [online] Available at: &lt;https://www.lawteacher.net/cases/r-v-miller-1954.php&gt; [Accessed on February 2021].</w:t>
          </w:r>
        </w:p>
        <w:p w14:paraId="7F7B1F7A" w14:textId="77777777" w:rsidR="004723B6" w:rsidRPr="007467FC" w:rsidRDefault="004723B6" w:rsidP="004723B6">
          <w:pPr>
            <w:rPr>
              <w:sz w:val="28"/>
              <w:szCs w:val="28"/>
            </w:rPr>
          </w:pPr>
          <w:r w:rsidRPr="007467FC">
            <w:rPr>
              <w:color w:val="000000"/>
              <w:sz w:val="28"/>
              <w:szCs w:val="28"/>
            </w:rPr>
            <w:t xml:space="preserve">legislation.gov.uk,2021.Legislation.gov.UK.Available at:https://www.legislation.gov.uk/ukpga/Vict/24-25/100/contents[Accessed on February </w:t>
          </w:r>
          <w:r w:rsidRPr="007467FC">
            <w:rPr>
              <w:sz w:val="28"/>
              <w:szCs w:val="28"/>
            </w:rPr>
            <w:t>2021]</w:t>
          </w:r>
        </w:p>
        <w:p w14:paraId="3173908B" w14:textId="77777777" w:rsidR="004723B6" w:rsidRPr="007467FC" w:rsidRDefault="004723B6" w:rsidP="004723B6">
          <w:pPr>
            <w:rPr>
              <w:color w:val="000000"/>
              <w:sz w:val="28"/>
              <w:szCs w:val="28"/>
              <w:highlight w:val="white"/>
            </w:rPr>
          </w:pPr>
          <w:r w:rsidRPr="007467FC">
            <w:rPr>
              <w:color w:val="000000"/>
              <w:sz w:val="28"/>
              <w:szCs w:val="28"/>
              <w:highlight w:val="white"/>
            </w:rPr>
            <w:t>Munro, V. and Aitken, R., 2018. Adding insult to injury? The criminal law’s response to domestic abuse-related suicide in England and Wales’. </w:t>
          </w:r>
          <w:r w:rsidRPr="007467FC">
            <w:rPr>
              <w:i/>
              <w:color w:val="000000"/>
              <w:sz w:val="28"/>
              <w:szCs w:val="28"/>
              <w:highlight w:val="white"/>
            </w:rPr>
            <w:t>Criminal Law Review</w:t>
          </w:r>
          <w:r w:rsidRPr="007467FC">
            <w:rPr>
              <w:color w:val="000000"/>
              <w:sz w:val="28"/>
              <w:szCs w:val="28"/>
              <w:highlight w:val="white"/>
            </w:rPr>
            <w:t>, </w:t>
          </w:r>
          <w:r w:rsidRPr="007467FC">
            <w:rPr>
              <w:i/>
              <w:color w:val="000000"/>
              <w:sz w:val="28"/>
              <w:szCs w:val="28"/>
              <w:highlight w:val="white"/>
            </w:rPr>
            <w:t>9</w:t>
          </w:r>
          <w:r w:rsidRPr="007467FC">
            <w:rPr>
              <w:color w:val="000000"/>
              <w:sz w:val="28"/>
              <w:szCs w:val="28"/>
              <w:highlight w:val="white"/>
            </w:rPr>
            <w:t>, pp.732-741.</w:t>
          </w:r>
        </w:p>
        <w:p w14:paraId="397CFCD6" w14:textId="77777777" w:rsidR="004723B6" w:rsidRPr="007467FC" w:rsidRDefault="004723B6" w:rsidP="004723B6">
          <w:pPr>
            <w:shd w:val="clear" w:color="auto" w:fill="FFFFFF"/>
            <w:ind w:hanging="120"/>
            <w:rPr>
              <w:color w:val="000000"/>
              <w:sz w:val="28"/>
              <w:szCs w:val="28"/>
            </w:rPr>
          </w:pPr>
          <w:r w:rsidRPr="007467FC">
            <w:rPr>
              <w:color w:val="000000"/>
              <w:sz w:val="28"/>
              <w:szCs w:val="28"/>
            </w:rPr>
            <w:t xml:space="preserve">  S3-eu-west-2.amazonaws.com. 2021. [online] Available at: &lt;https://s3-eu-west2.amazonaws.com/lawcom-prod-storage-11jsxou24uy7q/uploads/2015/11/lc361_offences_against_the_person_summary_new.pdf&gt; [Accessed, February 2021].</w:t>
          </w:r>
        </w:p>
        <w:p w14:paraId="0AFC7D81" w14:textId="77777777" w:rsidR="004723B6" w:rsidRPr="007467FC" w:rsidRDefault="004723B6" w:rsidP="004723B6">
          <w:pPr>
            <w:rPr>
              <w:color w:val="000000"/>
              <w:sz w:val="28"/>
              <w:szCs w:val="28"/>
            </w:rPr>
          </w:pPr>
          <w:r w:rsidRPr="007467FC">
            <w:rPr>
              <w:color w:val="000000"/>
              <w:sz w:val="28"/>
              <w:szCs w:val="28"/>
              <w:highlight w:val="white"/>
            </w:rPr>
            <w:lastRenderedPageBreak/>
            <w:t>S3-eu-west-2.amazonaws.com. 2021. [online] Available at: &lt;https://s3-eu-west-2.amazonaws.com/lawcom-prod-storage-11jsxou24uy7q/uploads/2016/08/LC.-010-IMPUTED-CRIMINAL-INTENT-DIRECTOR-OF-PUBLIC-PROSECUTIONS-v.-SMITH.pdf&gt; [Accessed, February 2021].</w:t>
          </w:r>
        </w:p>
        <w:p w14:paraId="13677696" w14:textId="77777777" w:rsidR="004723B6" w:rsidRPr="000F5DF6" w:rsidRDefault="004723B6" w:rsidP="004723B6">
          <w:pPr>
            <w:rPr>
              <w:color w:val="000000"/>
              <w:sz w:val="24"/>
              <w:szCs w:val="24"/>
              <w:highlight w:val="white"/>
            </w:rPr>
          </w:pPr>
          <w:r w:rsidRPr="007467FC">
            <w:rPr>
              <w:color w:val="000000"/>
              <w:sz w:val="28"/>
              <w:szCs w:val="28"/>
              <w:highlight w:val="white"/>
            </w:rPr>
            <w:t xml:space="preserve">van Amsterdam, J., </w:t>
          </w:r>
          <w:proofErr w:type="spellStart"/>
          <w:r w:rsidRPr="007467FC">
            <w:rPr>
              <w:color w:val="000000"/>
              <w:sz w:val="28"/>
              <w:szCs w:val="28"/>
              <w:highlight w:val="white"/>
            </w:rPr>
            <w:t>Pennings</w:t>
          </w:r>
          <w:proofErr w:type="spellEnd"/>
          <w:r w:rsidRPr="007467FC">
            <w:rPr>
              <w:color w:val="000000"/>
              <w:sz w:val="28"/>
              <w:szCs w:val="28"/>
              <w:highlight w:val="white"/>
            </w:rPr>
            <w:t>, E. and van den Brink, W., 2020. Fatal and non-fatal health incidents related to recreational ecstasy use. </w:t>
          </w:r>
          <w:r w:rsidRPr="007467FC">
            <w:rPr>
              <w:i/>
              <w:color w:val="000000"/>
              <w:sz w:val="28"/>
              <w:szCs w:val="28"/>
              <w:highlight w:val="white"/>
            </w:rPr>
            <w:t>Journal of psychopharmacology</w:t>
          </w:r>
          <w:r w:rsidRPr="007467FC">
            <w:rPr>
              <w:color w:val="000000"/>
              <w:sz w:val="28"/>
              <w:szCs w:val="28"/>
              <w:highlight w:val="white"/>
            </w:rPr>
            <w:t>, </w:t>
          </w:r>
          <w:r w:rsidRPr="007467FC">
            <w:rPr>
              <w:i/>
              <w:color w:val="000000"/>
              <w:sz w:val="28"/>
              <w:szCs w:val="28"/>
              <w:highlight w:val="white"/>
            </w:rPr>
            <w:t>34</w:t>
          </w:r>
          <w:r w:rsidRPr="007467FC">
            <w:rPr>
              <w:color w:val="000000"/>
              <w:sz w:val="28"/>
              <w:szCs w:val="28"/>
              <w:highlight w:val="white"/>
            </w:rPr>
            <w:t>(6), pp.591-</w:t>
          </w:r>
          <w:r w:rsidRPr="000F5DF6">
            <w:rPr>
              <w:color w:val="000000"/>
              <w:sz w:val="24"/>
              <w:szCs w:val="24"/>
              <w:highlight w:val="white"/>
            </w:rPr>
            <w:t>599.</w:t>
          </w:r>
        </w:p>
        <w:p w14:paraId="4D9C8BD0" w14:textId="033D1F3B" w:rsidR="004723B6" w:rsidRPr="000F5DF6" w:rsidRDefault="004723B6" w:rsidP="004723B6">
          <w:pPr>
            <w:pStyle w:val="NoSpacing"/>
            <w:tabs>
              <w:tab w:val="left" w:pos="1293"/>
            </w:tabs>
            <w:rPr>
              <w:rFonts w:ascii="Times New Roman" w:hAnsi="Times New Roman" w:cs="Times New Roman"/>
              <w:sz w:val="24"/>
              <w:szCs w:val="24"/>
            </w:rPr>
          </w:pPr>
        </w:p>
        <w:p w14:paraId="3881A64E" w14:textId="49B8B24A" w:rsidR="00083524" w:rsidRPr="00F32CAC" w:rsidRDefault="00083524" w:rsidP="00F32CAC">
          <w:pPr>
            <w:pStyle w:val="NoSpacing"/>
            <w:jc w:val="right"/>
            <w:rPr>
              <w:color w:val="FFFFFF" w:themeColor="background1"/>
              <w:sz w:val="28"/>
              <w:szCs w:val="28"/>
            </w:rPr>
          </w:pPr>
          <w:r w:rsidRPr="000F5DF6">
            <w:rPr>
              <w:sz w:val="24"/>
              <w:szCs w:val="24"/>
            </w:rPr>
            <w:br w:type="page"/>
          </w: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EndPr/>
            <w:sdtContent>
              <w:r w:rsidR="000A5E16">
                <w:rPr>
                  <w:color w:val="FFFFFF" w:themeColor="background1"/>
                  <w:sz w:val="28"/>
                  <w:szCs w:val="28"/>
                </w:rPr>
                <w:t xml:space="preserve">     </w:t>
              </w:r>
            </w:sdtContent>
          </w:sdt>
        </w:p>
      </w:sdtContent>
    </w:sdt>
    <w:p w14:paraId="18A506A5" w14:textId="30D4732C" w:rsidR="009529E2" w:rsidRPr="009529E2" w:rsidRDefault="009529E2" w:rsidP="009529E2">
      <w:bookmarkStart w:id="6" w:name="_gjdgxs" w:colFirst="0" w:colLast="0"/>
      <w:bookmarkEnd w:id="1"/>
      <w:bookmarkEnd w:id="0"/>
      <w:bookmarkEnd w:id="6"/>
    </w:p>
    <w:p w14:paraId="4E63DCB2" w14:textId="77777777" w:rsidR="00B61B7B" w:rsidRDefault="00B61B7B">
      <w:pPr>
        <w:rPr>
          <w:sz w:val="24"/>
          <w:szCs w:val="24"/>
        </w:rPr>
      </w:pPr>
    </w:p>
    <w:p w14:paraId="681669ED" w14:textId="77777777" w:rsidR="00B61B7B" w:rsidRDefault="00B61B7B">
      <w:pPr>
        <w:jc w:val="center"/>
        <w:rPr>
          <w:color w:val="000000"/>
          <w:sz w:val="24"/>
          <w:szCs w:val="24"/>
          <w:u w:val="single"/>
        </w:rPr>
      </w:pPr>
    </w:p>
    <w:sectPr w:rsidR="00B61B7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007C8"/>
    <w:multiLevelType w:val="hybridMultilevel"/>
    <w:tmpl w:val="8542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130A7"/>
    <w:multiLevelType w:val="hybridMultilevel"/>
    <w:tmpl w:val="9E16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F1FF4"/>
    <w:multiLevelType w:val="hybridMultilevel"/>
    <w:tmpl w:val="3790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3875D7"/>
    <w:multiLevelType w:val="hybridMultilevel"/>
    <w:tmpl w:val="276A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7B"/>
    <w:rsid w:val="00003BFA"/>
    <w:rsid w:val="00044FE8"/>
    <w:rsid w:val="00083524"/>
    <w:rsid w:val="00087A92"/>
    <w:rsid w:val="000A5E16"/>
    <w:rsid w:val="000F5DF6"/>
    <w:rsid w:val="001313E1"/>
    <w:rsid w:val="0021516C"/>
    <w:rsid w:val="0023529D"/>
    <w:rsid w:val="002510B0"/>
    <w:rsid w:val="002852D3"/>
    <w:rsid w:val="00310799"/>
    <w:rsid w:val="003A32DE"/>
    <w:rsid w:val="00411FB3"/>
    <w:rsid w:val="00417451"/>
    <w:rsid w:val="00435840"/>
    <w:rsid w:val="00453E36"/>
    <w:rsid w:val="004723B6"/>
    <w:rsid w:val="00497DF1"/>
    <w:rsid w:val="006957A3"/>
    <w:rsid w:val="0072603D"/>
    <w:rsid w:val="00743866"/>
    <w:rsid w:val="007467FC"/>
    <w:rsid w:val="00767B5D"/>
    <w:rsid w:val="007B78E5"/>
    <w:rsid w:val="00825D28"/>
    <w:rsid w:val="009529E2"/>
    <w:rsid w:val="009D537A"/>
    <w:rsid w:val="00A17F20"/>
    <w:rsid w:val="00B45B7D"/>
    <w:rsid w:val="00B61B7B"/>
    <w:rsid w:val="00B76F96"/>
    <w:rsid w:val="00B804CB"/>
    <w:rsid w:val="00B97057"/>
    <w:rsid w:val="00C637FD"/>
    <w:rsid w:val="00F32CAC"/>
    <w:rsid w:val="00FA7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636A"/>
  <w15:docId w15:val="{6A9A6052-AF12-445B-B754-91AFE1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Spacing">
    <w:name w:val="No Spacing"/>
    <w:link w:val="NoSpacingChar"/>
    <w:uiPriority w:val="1"/>
    <w:qFormat/>
    <w:rsid w:val="00083524"/>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83524"/>
    <w:rPr>
      <w:rFonts w:asciiTheme="minorHAnsi" w:eastAsiaTheme="minorEastAsia" w:hAnsiTheme="minorHAnsi" w:cstheme="minorBidi"/>
      <w:lang w:val="en-US" w:eastAsia="en-US"/>
    </w:rPr>
  </w:style>
  <w:style w:type="table" w:styleId="TableGrid">
    <w:name w:val="Table Grid"/>
    <w:basedOn w:val="TableNormal"/>
    <w:rsid w:val="0008352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83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83524"/>
  </w:style>
  <w:style w:type="character" w:customStyle="1" w:styleId="eop">
    <w:name w:val="eop"/>
    <w:basedOn w:val="DefaultParagraphFont"/>
    <w:rsid w:val="00083524"/>
  </w:style>
  <w:style w:type="paragraph" w:styleId="ListParagraph">
    <w:name w:val="List Paragraph"/>
    <w:basedOn w:val="Normal"/>
    <w:uiPriority w:val="34"/>
    <w:qFormat/>
    <w:rsid w:val="00083524"/>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83524"/>
    <w:rPr>
      <w:color w:val="0000FF" w:themeColor="hyperlink"/>
      <w:u w:val="single"/>
    </w:rPr>
  </w:style>
  <w:style w:type="character" w:customStyle="1" w:styleId="Heading1Char">
    <w:name w:val="Heading 1 Char"/>
    <w:basedOn w:val="DefaultParagraphFont"/>
    <w:link w:val="Heading10"/>
    <w:locked/>
    <w:rsid w:val="00417451"/>
    <w:rPr>
      <w:rFonts w:ascii="Arial" w:hAnsi="Arial" w:cs="Arial"/>
      <w:b/>
      <w:sz w:val="32"/>
      <w:szCs w:val="40"/>
    </w:rPr>
  </w:style>
  <w:style w:type="paragraph" w:customStyle="1" w:styleId="Heading10">
    <w:name w:val="Heading 1_0"/>
    <w:basedOn w:val="Normal"/>
    <w:next w:val="Normal"/>
    <w:link w:val="Heading1Char"/>
    <w:autoRedefine/>
    <w:qFormat/>
    <w:rsid w:val="00417451"/>
    <w:pPr>
      <w:keepNext/>
      <w:keepLines/>
      <w:spacing w:before="160" w:after="0" w:line="360" w:lineRule="auto"/>
      <w:jc w:val="both"/>
      <w:outlineLvl w:val="0"/>
    </w:pPr>
    <w:rPr>
      <w:rFonts w:ascii="Arial" w:hAnsi="Arial" w:cs="Arial"/>
      <w:b/>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278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uni%20doc\All%20Modules%20Assignments\Criminal%20Law\Yahea%20Criminal%204002.docx" TargetMode="External"/><Relationship Id="rId3" Type="http://schemas.openxmlformats.org/officeDocument/2006/relationships/settings" Target="settings.xml"/><Relationship Id="rId7" Type="http://schemas.openxmlformats.org/officeDocument/2006/relationships/hyperlink" Target="file:///C:\Users\User\Desktop\uni%20doc\All%20Modules%20Assignments\Criminal%20Law\Yahea%20Criminal%204002.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Desktop\uni%20doc\All%20Modules%20Assignments\Criminal%20Law\Yahea%20Criminal%204002.docx"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file:///C:\Users\User\Desktop\uni%20doc\All%20Modules%20Assignments\Criminal%20Law\Yahea%20Criminal%204002.docx" TargetMode="External"/><Relationship Id="rId4" Type="http://schemas.openxmlformats.org/officeDocument/2006/relationships/webSettings" Target="webSettings.xml"/><Relationship Id="rId9" Type="http://schemas.openxmlformats.org/officeDocument/2006/relationships/hyperlink" Target="file:///C:\Users\User\Desktop\uni%20doc\All%20Modules%20Assignments\Criminal%20Law\Yahea%20Criminal%2040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2020-11-05T21:43:00Z</dcterms:created>
  <dcterms:modified xsi:type="dcterms:W3CDTF">2021-03-01T17:45:00Z</dcterms:modified>
</cp:coreProperties>
</file>