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828B19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467A8">
              <w:rPr>
                <w:rFonts w:ascii="Times New Roman" w:hAnsi="Times New Roman" w:cs="Times New Roman"/>
                <w:b/>
                <w:color w:val="auto"/>
                <w:sz w:val="48"/>
              </w:rPr>
              <w:t>Jenny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0AD0FC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467A8">
              <w:rPr>
                <w:rFonts w:ascii="Times New Roman" w:hAnsi="Times New Roman" w:cs="Times New Roman"/>
                <w:b/>
                <w:color w:val="auto"/>
                <w:sz w:val="48"/>
              </w:rPr>
              <w:t xml:space="preserve"> </w:t>
            </w:r>
            <w:r w:rsidR="000E08C9">
              <w:rPr>
                <w:rFonts w:ascii="Times New Roman" w:hAnsi="Times New Roman" w:cs="Times New Roman"/>
                <w:b/>
                <w:color w:val="auto"/>
                <w:sz w:val="48"/>
              </w:rPr>
              <w:t>2520757</w:t>
            </w:r>
            <w:r w:rsidR="00801A85">
              <w:rPr>
                <w:rFonts w:ascii="Times New Roman" w:hAnsi="Times New Roman" w:cs="Times New Roman"/>
                <w:b/>
                <w:color w:val="auto"/>
                <w:sz w:val="48"/>
              </w:rPr>
              <w:t>@student.uwtsd.ac.uk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3695B92" w14:textId="77777777" w:rsidR="00801A85"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01A85">
              <w:rPr>
                <w:rFonts w:ascii="Times New Roman" w:hAnsi="Times New Roman" w:cs="Times New Roman"/>
                <w:b/>
                <w:color w:val="auto"/>
                <w:sz w:val="48"/>
              </w:rPr>
              <w:t xml:space="preserve"> </w:t>
            </w:r>
          </w:p>
          <w:p w14:paraId="0DE696B2" w14:textId="7ECEED0F" w:rsidR="00F927A1" w:rsidRPr="005D3F07" w:rsidRDefault="00801A8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2520757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1ED21FB6" w:rsidR="00FC0334"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5CEF5FB7" w14:textId="77777777" w:rsidR="007A628F" w:rsidRDefault="007A628F" w:rsidP="00FF7EBB">
            <w:pPr>
              <w:jc w:val="both"/>
              <w:rPr>
                <w:b/>
                <w:sz w:val="24"/>
                <w:szCs w:val="24"/>
              </w:rPr>
            </w:pPr>
          </w:p>
          <w:p w14:paraId="6637E3FE" w14:textId="673CCB1F" w:rsidR="007B78A5" w:rsidRPr="007B78A5" w:rsidRDefault="003F43B0" w:rsidP="007B78A5">
            <w:pPr>
              <w:spacing w:line="360" w:lineRule="auto"/>
              <w:rPr>
                <w:rFonts w:asciiTheme="minorHAnsi" w:hAnsiTheme="minorHAnsi" w:cstheme="minorHAnsi"/>
                <w:sz w:val="24"/>
                <w:szCs w:val="24"/>
              </w:rPr>
            </w:pPr>
            <w:r>
              <w:rPr>
                <w:rFonts w:asciiTheme="minorHAnsi" w:hAnsiTheme="minorHAnsi" w:cstheme="minorHAnsi"/>
                <w:sz w:val="24"/>
                <w:szCs w:val="24"/>
              </w:rPr>
              <w:t>Alt</w:t>
            </w:r>
            <w:r w:rsidR="007B78A5" w:rsidRPr="007B78A5">
              <w:rPr>
                <w:rFonts w:asciiTheme="minorHAnsi" w:hAnsiTheme="minorHAnsi" w:cstheme="minorHAnsi"/>
                <w:sz w:val="24"/>
                <w:szCs w:val="24"/>
              </w:rPr>
              <w:t xml:space="preserve">hough my area of work is not within Children's Social Services, it is important that I understand my responsibilities in safeguarding children. Safeguarding practice is underpinned by several pieces of legislation and policy guidance that place duties on professionals to protect children from harm and promote their welfare (Department for Education, 2026). </w:t>
            </w:r>
          </w:p>
          <w:p w14:paraId="0932726D" w14:textId="77777777" w:rsidR="007B78A5" w:rsidRP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 xml:space="preserve">The primary legislation is the Children Act 1989. Under Section 17, local authorities have a duty to safeguard and promote the welfare of children in need and provide services to support them. A child is considered "in need" if they are unlikely to achieve or maintain a reasonable standard of health or development without additional support, if their development is likely to be significantly impaired without services, or if they have a disability (Children Act 1989). </w:t>
            </w:r>
          </w:p>
          <w:p w14:paraId="6F5C6955" w14:textId="77777777" w:rsidR="007B78A5" w:rsidRP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A child may be considered at risk of harm when there are concerns that they are experiencing, or are likely to experience, abuse, neglect, exploitation, or other circumstances that may significantly affect their health, development, or welfare (NSPCC, 2025). Professionals have a responsibility to identify risks and act at the earliest opportunity to prevent further harm (Vandervelde et al., 2021).</w:t>
            </w:r>
          </w:p>
          <w:p w14:paraId="4741C263" w14:textId="77777777" w:rsidR="007B78A5" w:rsidRP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 xml:space="preserve">Where there is reasonable cause to suspect that a child is suffering, or is likely to suffer, significant harm, Section 47 of the Children Act 1989 places a duty on local authorities to undertake enquiries and decide whether action is required to safeguard the child. These enquiries are usually carried out </w:t>
            </w:r>
            <w:r w:rsidRPr="007B78A5">
              <w:rPr>
                <w:rFonts w:asciiTheme="minorHAnsi" w:hAnsiTheme="minorHAnsi" w:cstheme="minorHAnsi"/>
                <w:sz w:val="24"/>
                <w:szCs w:val="24"/>
              </w:rPr>
              <w:lastRenderedPageBreak/>
              <w:t xml:space="preserve">through a multi-agency approach involving social services, police, education, and health professionals (Children Act 1989; Department for Education, 2026). </w:t>
            </w:r>
          </w:p>
          <w:p w14:paraId="40CB2802" w14:textId="77777777" w:rsidR="007B78A5" w:rsidRP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 xml:space="preserve">In Wales, the Social Services and Well-being (Wales) Act 2014 provides the main legal framework for safeguarding. Under Section 37, local authorities have a duty to meet a child's care and support needs where this is necessary to protect them from abuse, neglect, or harm. The Act promotes early intervention, prevention, and partnership working to achieve positive outcomes for children and families (Social Services and Well-being (Wales) Act 2014; NSPCC, 2024). </w:t>
            </w:r>
          </w:p>
          <w:p w14:paraId="4CCA989C" w14:textId="77777777" w:rsidR="007B78A5" w:rsidRP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 xml:space="preserve">The Children Act 1989 also establishes the principle that the child's welfare is paramount. When courts make decisions concerning children, the child's needs and best interests take precedence over the wishes of parents (Children Act 1989, s.1). This can create tensions with Article 8 of the Human Rights Act 1998, which provides the right to a private and family life. However, this right can be overridden where intervention is necessary to protect a child from significant harm (Rebello, 2017). Furthermore, Article 19 of the United Nations Convention on the Rights of the Child (UNCRC) states that children have the right to protection from all forms of abuse, violence, neglect and exploitation (UNICEF, 1989). </w:t>
            </w:r>
          </w:p>
          <w:p w14:paraId="134D883E" w14:textId="77777777" w:rsid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Safeguarding practice is also guided by Working Together to Safeguard Children, which promotes the principle that safeguarding is a shared responsibility. Professionals are expected to work collaboratively with children, families and partner agencies to address concerns and reduce risks (Department for Education, 2026). In Wales, this is supported by the Wales Safeguarding Procedures, which outline the responsibilities of all agencies, including social services, schools, police, health professionals and health visitors, to report and respond appropriately to safeguarding concerns (Safeguarding Wales, 2026). Together, these frameworks ensure that children are protected through effective multi-agency working and timely intervention.</w:t>
            </w:r>
          </w:p>
          <w:p w14:paraId="2EEE92DD" w14:textId="77777777" w:rsidR="007B78A5" w:rsidRPr="007B78A5" w:rsidRDefault="007B78A5" w:rsidP="007B78A5">
            <w:pPr>
              <w:spacing w:line="360" w:lineRule="auto"/>
              <w:rPr>
                <w:rFonts w:asciiTheme="minorHAnsi" w:hAnsiTheme="minorHAnsi" w:cstheme="minorHAnsi"/>
                <w:sz w:val="24"/>
                <w:szCs w:val="24"/>
              </w:rPr>
            </w:pPr>
          </w:p>
          <w:p w14:paraId="15AF2106" w14:textId="60ED6563" w:rsidR="007B78A5" w:rsidRPr="007B78A5" w:rsidRDefault="007B78A5" w:rsidP="007B78A5">
            <w:pPr>
              <w:spacing w:line="360" w:lineRule="auto"/>
              <w:rPr>
                <w:rFonts w:asciiTheme="minorHAnsi" w:hAnsiTheme="minorHAnsi" w:cstheme="minorHAnsi"/>
                <w:sz w:val="24"/>
                <w:szCs w:val="24"/>
              </w:rPr>
            </w:pPr>
            <w:r w:rsidRPr="007B78A5">
              <w:rPr>
                <w:rFonts w:asciiTheme="minorHAnsi" w:hAnsiTheme="minorHAnsi" w:cstheme="minorHAnsi"/>
                <w:sz w:val="24"/>
                <w:szCs w:val="24"/>
              </w:rPr>
              <w:t>Word Count: 538</w:t>
            </w:r>
          </w:p>
          <w:p w14:paraId="32AA4599" w14:textId="77777777" w:rsidR="007B78A5" w:rsidRDefault="007B78A5" w:rsidP="00FF7EBB">
            <w:pPr>
              <w:jc w:val="both"/>
              <w:rPr>
                <w:b/>
                <w:sz w:val="24"/>
                <w:szCs w:val="24"/>
              </w:rPr>
            </w:pPr>
          </w:p>
          <w:p w14:paraId="3B171DA3" w14:textId="77777777" w:rsidR="007B78A5" w:rsidRDefault="007B78A5" w:rsidP="00FF7EBB">
            <w:pPr>
              <w:jc w:val="both"/>
              <w:rPr>
                <w:b/>
                <w:sz w:val="24"/>
                <w:szCs w:val="24"/>
              </w:rPr>
            </w:pPr>
          </w:p>
          <w:p w14:paraId="03BD6D93" w14:textId="56AD433A" w:rsidR="007B78A5" w:rsidRPr="008B28E7" w:rsidRDefault="007B78A5"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345FAC">
        <w:trPr>
          <w:trHeight w:val="9913"/>
        </w:trPr>
        <w:tc>
          <w:tcPr>
            <w:tcW w:w="10278" w:type="dxa"/>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4743235" w14:textId="77777777" w:rsidR="00345FAC" w:rsidRDefault="00345FAC" w:rsidP="00FC0334">
            <w:pPr>
              <w:jc w:val="both"/>
              <w:rPr>
                <w:i/>
                <w:sz w:val="24"/>
                <w:szCs w:val="24"/>
              </w:rPr>
            </w:pPr>
          </w:p>
          <w:p w14:paraId="62762822" w14:textId="77777777" w:rsidR="0004425A" w:rsidRPr="0004425A" w:rsidRDefault="0004425A" w:rsidP="0004425A">
            <w:pPr>
              <w:spacing w:line="360" w:lineRule="auto"/>
              <w:rPr>
                <w:rFonts w:asciiTheme="minorHAnsi" w:hAnsiTheme="minorHAnsi" w:cstheme="minorHAnsi"/>
                <w:sz w:val="24"/>
                <w:szCs w:val="24"/>
              </w:rPr>
            </w:pPr>
            <w:r w:rsidRPr="0004425A">
              <w:rPr>
                <w:rFonts w:asciiTheme="minorHAnsi" w:hAnsiTheme="minorHAnsi" w:cstheme="minorHAnsi"/>
                <w:sz w:val="24"/>
                <w:szCs w:val="24"/>
              </w:rPr>
              <w:t xml:space="preserve">There are significant differences between safeguarding children and safeguarding adults at risk. In children's safeguarding, professionals must balance respect for a child's wishes and feelings with their duty to protect them from harm. The Gillick competency and Fraser guidelines support this approach by recognising that some children may have sufficient understanding and maturity to make decisions about their own welfare (PDUK, 2026). Young people aged 16 and over are generally presumed to have the capacity to make decisions and understand the consequences of those decisions (NSPCC, 2022). However, concerns may still reach a safeguarding threshold where professionals are required to intervene regardless of the child's wishes </w:t>
            </w:r>
            <w:proofErr w:type="gramStart"/>
            <w:r w:rsidRPr="0004425A">
              <w:rPr>
                <w:rFonts w:asciiTheme="minorHAnsi" w:hAnsiTheme="minorHAnsi" w:cstheme="minorHAnsi"/>
                <w:sz w:val="24"/>
                <w:szCs w:val="24"/>
              </w:rPr>
              <w:t>in order to</w:t>
            </w:r>
            <w:proofErr w:type="gramEnd"/>
            <w:r w:rsidRPr="0004425A">
              <w:rPr>
                <w:rFonts w:asciiTheme="minorHAnsi" w:hAnsiTheme="minorHAnsi" w:cstheme="minorHAnsi"/>
                <w:sz w:val="24"/>
                <w:szCs w:val="24"/>
              </w:rPr>
              <w:t xml:space="preserve"> protect them from significant harm (NSPCC, 2022).</w:t>
            </w:r>
          </w:p>
          <w:p w14:paraId="69EE7C36" w14:textId="77777777" w:rsidR="0004425A" w:rsidRPr="0004425A" w:rsidRDefault="0004425A" w:rsidP="0004425A">
            <w:pPr>
              <w:spacing w:line="360" w:lineRule="auto"/>
              <w:rPr>
                <w:rFonts w:asciiTheme="minorHAnsi" w:hAnsiTheme="minorHAnsi" w:cstheme="minorHAnsi"/>
                <w:sz w:val="24"/>
                <w:szCs w:val="24"/>
              </w:rPr>
            </w:pPr>
            <w:r w:rsidRPr="0004425A">
              <w:rPr>
                <w:rFonts w:asciiTheme="minorHAnsi" w:hAnsiTheme="minorHAnsi" w:cstheme="minorHAnsi"/>
                <w:sz w:val="24"/>
                <w:szCs w:val="24"/>
              </w:rPr>
              <w:t>Children have a fundamental right to be protected from abuse, neglect, harm and the impact of poor parental decision-making. Where parental behaviour or circumstances negatively affect a child's wellbeing, safeguarding professionals have a statutory duty to intervene, even if this conflicts with the wishes of the parent or child (Gov.uk, 2023). In these situations, the child's welfare remains the paramount consideration, and professionals must act in their best interests (Gov.uk, 2023).</w:t>
            </w:r>
          </w:p>
          <w:p w14:paraId="7D2017FA" w14:textId="77777777" w:rsidR="0004425A" w:rsidRPr="0004425A" w:rsidRDefault="0004425A" w:rsidP="0004425A">
            <w:pPr>
              <w:spacing w:line="360" w:lineRule="auto"/>
              <w:rPr>
                <w:rFonts w:asciiTheme="minorHAnsi" w:hAnsiTheme="minorHAnsi" w:cstheme="minorHAnsi"/>
                <w:sz w:val="24"/>
                <w:szCs w:val="24"/>
              </w:rPr>
            </w:pPr>
            <w:r w:rsidRPr="0004425A">
              <w:rPr>
                <w:rFonts w:asciiTheme="minorHAnsi" w:hAnsiTheme="minorHAnsi" w:cstheme="minorHAnsi"/>
                <w:sz w:val="24"/>
                <w:szCs w:val="24"/>
              </w:rPr>
              <w:t>In contrast, adult safeguarding is based on the principle of self-determination. Under the Mental Capacity Act 2005, adults are presumed to have capacity unless assessed otherwise and have the right to make decisions about their own lives, including decisions that others may consider unwise (Community Care, 2017). Professionals cannot override an adult who has capacity’s decisions simply because they disagree with them. Where an adult has capacity and their choices do not place others at risk, there is generally no legal basis for intervention (NHS, 2024).</w:t>
            </w:r>
          </w:p>
          <w:p w14:paraId="5344D565" w14:textId="77777777" w:rsidR="0004425A" w:rsidRPr="0004425A" w:rsidRDefault="0004425A" w:rsidP="0004425A">
            <w:pPr>
              <w:spacing w:line="360" w:lineRule="auto"/>
              <w:rPr>
                <w:rFonts w:asciiTheme="minorHAnsi" w:hAnsiTheme="minorHAnsi" w:cstheme="minorHAnsi"/>
                <w:sz w:val="24"/>
                <w:szCs w:val="24"/>
              </w:rPr>
            </w:pPr>
            <w:r w:rsidRPr="0004425A">
              <w:rPr>
                <w:rFonts w:asciiTheme="minorHAnsi" w:hAnsiTheme="minorHAnsi" w:cstheme="minorHAnsi"/>
                <w:sz w:val="24"/>
                <w:szCs w:val="24"/>
              </w:rPr>
              <w:t>Adult safeguarding practice must also consider the Mental Capacity Act 2005 alongside the Wales Safeguarding Procedures. Factors such as coercion, exploitation, lack of consent and risks to others may justify professional intervention in specific circumstances (Safeguarding Wales, 2026). Where an adult lacks capacity to make a particular decision, actions may be taken in their best interests in accordance with the Act.</w:t>
            </w:r>
          </w:p>
          <w:p w14:paraId="12BB5C09" w14:textId="77777777" w:rsidR="0004425A" w:rsidRPr="0004425A" w:rsidRDefault="0004425A" w:rsidP="0004425A">
            <w:pPr>
              <w:spacing w:line="360" w:lineRule="auto"/>
              <w:rPr>
                <w:rFonts w:asciiTheme="minorHAnsi" w:hAnsiTheme="minorHAnsi" w:cstheme="minorHAnsi"/>
                <w:sz w:val="24"/>
                <w:szCs w:val="24"/>
              </w:rPr>
            </w:pPr>
            <w:r w:rsidRPr="0004425A">
              <w:rPr>
                <w:rFonts w:asciiTheme="minorHAnsi" w:hAnsiTheme="minorHAnsi" w:cstheme="minorHAnsi"/>
                <w:sz w:val="24"/>
                <w:szCs w:val="24"/>
              </w:rPr>
              <w:lastRenderedPageBreak/>
              <w:t>These differences demonstrate the contrasting levels of professional authority within children’s and adults’ safeguarding. Social workers hold greater statutory powers to intervene where a child’s welfare is at risk (Karim, 2023). Conversely, adult safeguarding requires a careful balance between protection and respect for autonomy (Yates, 2024). As a result, safeguarding adults often involves supporting informed risk-taking, whereas children’s safeguarding prioritises protection and the duty to act in the child’s best interests (NSPCC, 2019).</w:t>
            </w:r>
          </w:p>
          <w:p w14:paraId="38C67EAA" w14:textId="77777777" w:rsidR="0004425A" w:rsidRPr="0004425A" w:rsidRDefault="0004425A" w:rsidP="0004425A">
            <w:pPr>
              <w:spacing w:line="360" w:lineRule="auto"/>
              <w:rPr>
                <w:rFonts w:asciiTheme="minorHAnsi" w:hAnsiTheme="minorHAnsi" w:cstheme="minorHAnsi"/>
                <w:sz w:val="24"/>
                <w:szCs w:val="24"/>
              </w:rPr>
            </w:pPr>
          </w:p>
          <w:p w14:paraId="08760B3D" w14:textId="6E5DF8C8" w:rsidR="00FC0334" w:rsidRPr="0004425A" w:rsidRDefault="0004425A" w:rsidP="0004425A">
            <w:pPr>
              <w:spacing w:line="360" w:lineRule="auto"/>
              <w:rPr>
                <w:rFonts w:asciiTheme="minorHAnsi" w:hAnsiTheme="minorHAnsi" w:cstheme="minorHAnsi"/>
                <w:sz w:val="24"/>
                <w:szCs w:val="24"/>
              </w:rPr>
            </w:pPr>
            <w:r w:rsidRPr="0004425A">
              <w:rPr>
                <w:rFonts w:asciiTheme="minorHAnsi" w:hAnsiTheme="minorHAnsi" w:cstheme="minorHAnsi"/>
                <w:sz w:val="24"/>
                <w:szCs w:val="24"/>
              </w:rPr>
              <w:t xml:space="preserve">Word Count: 407 </w:t>
            </w: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7D83E" w14:textId="77777777" w:rsidR="00083D5D" w:rsidRDefault="00083D5D">
      <w:r>
        <w:separator/>
      </w:r>
    </w:p>
  </w:endnote>
  <w:endnote w:type="continuationSeparator" w:id="0">
    <w:p w14:paraId="2D27CBAB" w14:textId="77777777" w:rsidR="00083D5D" w:rsidRDefault="0008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D63AA" w14:textId="77777777" w:rsidR="00083D5D" w:rsidRDefault="00083D5D">
      <w:r>
        <w:separator/>
      </w:r>
    </w:p>
  </w:footnote>
  <w:footnote w:type="continuationSeparator" w:id="0">
    <w:p w14:paraId="09EF22DE" w14:textId="77777777" w:rsidR="00083D5D" w:rsidRDefault="00083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425A"/>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5D"/>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8C9"/>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7A8"/>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FAC"/>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3B0"/>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B78A5"/>
    <w:rsid w:val="007C1D94"/>
    <w:rsid w:val="007C556F"/>
    <w:rsid w:val="007C5ABE"/>
    <w:rsid w:val="007C6A87"/>
    <w:rsid w:val="007D0A07"/>
    <w:rsid w:val="007D0F11"/>
    <w:rsid w:val="007D133D"/>
    <w:rsid w:val="007D3EB4"/>
    <w:rsid w:val="007D3F16"/>
    <w:rsid w:val="007F10BD"/>
    <w:rsid w:val="007F312E"/>
    <w:rsid w:val="007F3F7E"/>
    <w:rsid w:val="007F4BA4"/>
    <w:rsid w:val="00801A8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2D1"/>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7C9F"/>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84D8508B77D44B887A2DC9CF6447F9" ma:contentTypeVersion="3" ma:contentTypeDescription="Create a new document." ma:contentTypeScope="" ma:versionID="34e7ce38f15a32c2144b47cb37f5481b">
  <xsd:schema xmlns:xsd="http://www.w3.org/2001/XMLSchema" xmlns:xs="http://www.w3.org/2001/XMLSchema" xmlns:p="http://schemas.microsoft.com/office/2006/metadata/properties" xmlns:ns2="175e71fa-ad2c-4069-a852-228a992f8219" targetNamespace="http://schemas.microsoft.com/office/2006/metadata/properties" ma:root="true" ma:fieldsID="a10bf6e2b187addff98b5211447711da" ns2:_="">
    <xsd:import namespace="175e71fa-ad2c-4069-a852-228a992f821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e71fa-ad2c-4069-a852-228a992f82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849CA-B7FC-4163-AA2F-8BAE3F2B92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01E676BA-27D0-48EF-9CEB-FFFF73AA6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e71fa-ad2c-4069-a852-228a992f8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Jenny M. Thomas</cp:lastModifiedBy>
  <cp:revision>2</cp:revision>
  <cp:lastPrinted>2020-02-11T19:20:00Z</cp:lastPrinted>
  <dcterms:created xsi:type="dcterms:W3CDTF">2026-09-29T15:42:00Z</dcterms:created>
  <dcterms:modified xsi:type="dcterms:W3CDTF">2026-09-29T15:42:00Z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0x010100A584D8508B77D44B887A2DC9CF6447F9</vt:lpwstr>
  </property>
  <property fmtid="{D5CDD505-2E9C-101B-9397-08002B2CF9AE}" pid="3" name="docLang">
    <vt:lpwstr>en</vt:lpwstr>
  </property>
</Properties>
</file>