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EF5C1" w14:textId="368B407E" w:rsidR="001469CE" w:rsidRDefault="00824EE6" w:rsidP="001469CE">
      <w:pPr>
        <w:spacing w:line="360" w:lineRule="auto"/>
        <w:jc w:val="center"/>
        <w:rPr>
          <w:rFonts w:ascii="Arial" w:eastAsiaTheme="minorHAnsi" w:hAnsi="Arial"/>
          <w:b/>
          <w:sz w:val="36"/>
          <w:u w:val="single"/>
          <w:lang w:eastAsia="en-US"/>
        </w:rPr>
      </w:pPr>
      <w:r w:rsidRPr="00824EE6">
        <w:rPr>
          <w:rFonts w:ascii="Arial" w:eastAsiaTheme="minorHAnsi" w:hAnsi="Arial"/>
          <w:b/>
          <w:sz w:val="36"/>
          <w:u w:val="single"/>
          <w:lang w:eastAsia="en-US"/>
        </w:rPr>
        <w:t>A critical evaluation and the identification of next teaching and learning steps focusing on a case study of an individual learner or a group of learners, based on an observed critical incident.</w:t>
      </w:r>
    </w:p>
    <w:p w14:paraId="1735F0AD" w14:textId="77777777" w:rsidR="00FC0F7C" w:rsidRPr="001469CE" w:rsidRDefault="00FC0F7C" w:rsidP="001469CE">
      <w:pPr>
        <w:spacing w:line="360" w:lineRule="auto"/>
        <w:jc w:val="center"/>
        <w:rPr>
          <w:rFonts w:ascii="Arial" w:eastAsiaTheme="minorHAnsi" w:hAnsi="Arial"/>
          <w:b/>
          <w:sz w:val="36"/>
          <w:u w:val="single"/>
          <w:lang w:eastAsia="en-US"/>
        </w:rPr>
      </w:pPr>
    </w:p>
    <w:p w14:paraId="1E36A097" w14:textId="34E62E51" w:rsidR="001469CE" w:rsidRPr="001469CE" w:rsidRDefault="009B61AB" w:rsidP="001469CE">
      <w:pPr>
        <w:spacing w:line="360" w:lineRule="auto"/>
        <w:rPr>
          <w:rFonts w:ascii="Arial" w:eastAsiaTheme="minorHAnsi" w:hAnsi="Arial"/>
          <w:b/>
          <w:sz w:val="28"/>
          <w:lang w:eastAsia="en-US"/>
        </w:rPr>
      </w:pPr>
      <w:r w:rsidRPr="009B61AB">
        <w:rPr>
          <w:rFonts w:ascii="Arial" w:eastAsiaTheme="minorHAnsi" w:hAnsi="Arial"/>
          <w:b/>
          <w:sz w:val="28"/>
          <w:lang w:eastAsia="en-US"/>
        </w:rPr>
        <w:t>Introduction</w:t>
      </w:r>
      <w:r w:rsidR="00F97726">
        <w:rPr>
          <w:rFonts w:ascii="Arial" w:eastAsiaTheme="minorHAnsi" w:hAnsi="Arial"/>
          <w:b/>
          <w:sz w:val="28"/>
          <w:lang w:eastAsia="en-US"/>
        </w:rPr>
        <w:t>.</w:t>
      </w:r>
      <w:r w:rsidRPr="001469CE">
        <w:rPr>
          <w:rFonts w:ascii="Arial" w:eastAsiaTheme="minorHAnsi" w:hAnsi="Arial"/>
          <w:b/>
          <w:sz w:val="28"/>
          <w:lang w:eastAsia="en-US"/>
        </w:rPr>
        <w:t xml:space="preserve"> </w:t>
      </w:r>
    </w:p>
    <w:p w14:paraId="623FF538" w14:textId="0A000F6C" w:rsidR="00C52900" w:rsidRDefault="00582822" w:rsidP="008236A0">
      <w:pPr>
        <w:spacing w:line="360" w:lineRule="auto"/>
        <w:rPr>
          <w:rFonts w:ascii="Arial" w:eastAsiaTheme="minorHAnsi" w:hAnsi="Arial"/>
          <w:lang w:eastAsia="en-US"/>
        </w:rPr>
      </w:pPr>
      <w:r w:rsidRPr="00582822">
        <w:rPr>
          <w:rFonts w:ascii="Arial" w:eastAsiaTheme="minorHAnsi" w:hAnsi="Arial"/>
          <w:lang w:eastAsia="en-US"/>
        </w:rPr>
        <w:t>Tripp’s (2012) critical incident analysis is a technique that teachers can use to reflect upon their practice. A critical incident is any incident that occurs in day-to-day teaching that causes you to stop and think. The incident does not need to be dramatic but is made critical by the individual’s reflection and interpretation of what happened (Mohammed, 2016). In other words, a critical incident is not simply observed</w:t>
      </w:r>
      <w:r w:rsidR="005B02D5">
        <w:rPr>
          <w:rFonts w:ascii="Arial" w:eastAsiaTheme="minorHAnsi" w:hAnsi="Arial"/>
          <w:lang w:eastAsia="en-US"/>
        </w:rPr>
        <w:t xml:space="preserve"> </w:t>
      </w:r>
      <w:r w:rsidRPr="00582822">
        <w:rPr>
          <w:rFonts w:ascii="Arial" w:eastAsiaTheme="minorHAnsi" w:hAnsi="Arial"/>
          <w:lang w:eastAsia="en-US"/>
        </w:rPr>
        <w:t>but made as a product of analysis. This analysis can be used to identify the next teaching and learning steps in a teacher’s professional learning. Teachers are presented with a myriad of situations in which they need to exercise professional judgement. Professional judgement is made up of flexibility, informed opinion and constant self-monitoring, thus not an easy skill to develop.</w:t>
      </w:r>
      <w:r w:rsidR="008860B7">
        <w:rPr>
          <w:rFonts w:ascii="Arial" w:eastAsiaTheme="minorHAnsi" w:hAnsi="Arial"/>
          <w:lang w:eastAsia="en-US"/>
        </w:rPr>
        <w:t xml:space="preserve"> </w:t>
      </w:r>
      <w:r w:rsidRPr="00582822">
        <w:rPr>
          <w:rFonts w:ascii="Arial" w:eastAsiaTheme="minorHAnsi" w:hAnsi="Arial"/>
          <w:lang w:eastAsia="en-US"/>
        </w:rPr>
        <w:t xml:space="preserve">Thus, the aim of the critical incident analysis is to help teachers- and trainee teachers- to develop professional judgement through reflection (Tripp, 2012). This critical evaluation focuses on an observational case study of a group of learners and applies Tripp’s (2012) critical incident analysis to reflect on its meaning in a wider context. The role of critical reflection is discussed, concerning the developing role of teaching in light of recent educational reforms in Wales. The critical incident, and its relation to </w:t>
      </w:r>
      <w:proofErr w:type="spellStart"/>
      <w:r w:rsidRPr="00582822">
        <w:rPr>
          <w:rFonts w:ascii="Arial" w:eastAsiaTheme="minorHAnsi" w:hAnsi="Arial"/>
          <w:lang w:eastAsia="en-US"/>
        </w:rPr>
        <w:t>Donlandson’s</w:t>
      </w:r>
      <w:proofErr w:type="spellEnd"/>
      <w:r w:rsidRPr="00582822">
        <w:rPr>
          <w:rFonts w:ascii="Arial" w:eastAsiaTheme="minorHAnsi" w:hAnsi="Arial"/>
          <w:lang w:eastAsia="en-US"/>
        </w:rPr>
        <w:t xml:space="preserve"> (2015) Four Purposes, is outlined before the reflections are linked to and evaluated by educational research. Such critical evaluation is carried out to identify the next teaching and learning steps for the observer. </w:t>
      </w:r>
    </w:p>
    <w:p w14:paraId="16A839C2" w14:textId="77777777" w:rsidR="00C52900" w:rsidRDefault="00C52900" w:rsidP="008236A0">
      <w:pPr>
        <w:spacing w:line="360" w:lineRule="auto"/>
        <w:rPr>
          <w:rFonts w:ascii="Arial" w:eastAsiaTheme="minorHAnsi" w:hAnsi="Arial"/>
          <w:lang w:eastAsia="en-US"/>
        </w:rPr>
      </w:pPr>
    </w:p>
    <w:p w14:paraId="4B289FE1" w14:textId="212D68C3" w:rsidR="00C52900" w:rsidRPr="00C52900" w:rsidRDefault="00C52900" w:rsidP="00C52900">
      <w:pPr>
        <w:spacing w:line="360" w:lineRule="auto"/>
        <w:rPr>
          <w:rFonts w:ascii="Arial" w:eastAsiaTheme="minorHAnsi" w:hAnsi="Arial"/>
          <w:b/>
          <w:bCs/>
          <w:sz w:val="28"/>
          <w:szCs w:val="28"/>
          <w:lang w:eastAsia="en-US"/>
        </w:rPr>
      </w:pPr>
      <w:r w:rsidRPr="00C52900">
        <w:rPr>
          <w:rFonts w:ascii="Arial" w:eastAsiaTheme="minorHAnsi" w:hAnsi="Arial"/>
          <w:b/>
          <w:bCs/>
          <w:sz w:val="28"/>
          <w:szCs w:val="28"/>
          <w:lang w:eastAsia="en-US"/>
        </w:rPr>
        <w:t>The role of critical reflection</w:t>
      </w:r>
      <w:r w:rsidR="00F97726">
        <w:rPr>
          <w:rFonts w:ascii="Arial" w:eastAsiaTheme="minorHAnsi" w:hAnsi="Arial"/>
          <w:b/>
          <w:bCs/>
          <w:sz w:val="28"/>
          <w:szCs w:val="28"/>
          <w:lang w:eastAsia="en-US"/>
        </w:rPr>
        <w:t>.</w:t>
      </w:r>
    </w:p>
    <w:p w14:paraId="271CDA61" w14:textId="77777777" w:rsidR="00536880" w:rsidRDefault="00C52900" w:rsidP="00C52900">
      <w:pPr>
        <w:spacing w:line="360" w:lineRule="auto"/>
        <w:rPr>
          <w:rFonts w:ascii="Arial" w:eastAsiaTheme="minorHAnsi" w:hAnsi="Arial"/>
          <w:lang w:eastAsia="en-US"/>
        </w:rPr>
      </w:pPr>
      <w:r w:rsidRPr="00C52900">
        <w:rPr>
          <w:rFonts w:ascii="Arial" w:eastAsiaTheme="minorHAnsi" w:hAnsi="Arial"/>
          <w:lang w:eastAsia="en-US"/>
        </w:rPr>
        <w:t xml:space="preserve">Educational reform is underway in Wales, driven by low PISA (Programme for International Student Assessment) results in 2009 (PISA, 2009) and subsequently an independent review of the curriculum and assessment arrangements in Wales (Donaldson, 2015). A central part of ensuring the Donaldson review’s proposals are embedded successfully is what happens inside classrooms (Donaldson, 2015). Supporting professionals to become “reflective practitioners” is often stated as an aim of teacher education. The term “reflection” is ubiquitous and it is taken for granted that it has a common meaning. However, there are </w:t>
      </w:r>
      <w:r w:rsidRPr="00C52900">
        <w:rPr>
          <w:rFonts w:ascii="Arial" w:eastAsiaTheme="minorHAnsi" w:hAnsi="Arial"/>
          <w:lang w:eastAsia="en-US"/>
        </w:rPr>
        <w:lastRenderedPageBreak/>
        <w:t>multiple ways of defining reflection and many different models of how to reflect. Arguably, these are driven more by ideology than empirical evidence (Griffiths, 2000). Non-withstanding problems defining the term, reflection is a key part of teacher development. This is highlighted in the professional standards for teaching and learning in Wales; ongoing critical reflection is one of the ‘Professional Learning’ teaching standards, and in the pedagogical standard of ‘Reflection on Learning’, teachers are directed to encourage reflective practice in their pupils (Welsh Government, 2019). </w:t>
      </w:r>
    </w:p>
    <w:p w14:paraId="2A2BF605" w14:textId="77777777" w:rsidR="00536880" w:rsidRDefault="00536880" w:rsidP="00C52900">
      <w:pPr>
        <w:spacing w:line="360" w:lineRule="auto"/>
        <w:rPr>
          <w:rFonts w:ascii="Arial" w:eastAsiaTheme="minorHAnsi" w:hAnsi="Arial"/>
          <w:lang w:eastAsia="en-US"/>
        </w:rPr>
      </w:pPr>
    </w:p>
    <w:p w14:paraId="708A5E2A" w14:textId="1390DC0E"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The role of teachers has evolved in the modern era. A teacher has to use diverse teaching instruction adapted to different subjects, maintain the classroom environment, apply assessment tools, integrate technology and capture their pupil’s interest. Reflective practice advances teaching when teachers use their perceptions and experiences to evaluate their teaching processes. They observe, evaluate what happened and identify areas for development (</w:t>
      </w:r>
      <w:proofErr w:type="spellStart"/>
      <w:r w:rsidRPr="00C52900">
        <w:rPr>
          <w:rFonts w:ascii="Arial" w:eastAsiaTheme="minorHAnsi" w:hAnsi="Arial"/>
          <w:lang w:eastAsia="en-US"/>
        </w:rPr>
        <w:t>Madiha</w:t>
      </w:r>
      <w:proofErr w:type="spellEnd"/>
      <w:r w:rsidRPr="00C52900">
        <w:rPr>
          <w:rFonts w:ascii="Arial" w:eastAsiaTheme="minorHAnsi" w:hAnsi="Arial"/>
          <w:lang w:eastAsia="en-US"/>
        </w:rPr>
        <w:t xml:space="preserve"> and </w:t>
      </w:r>
      <w:proofErr w:type="spellStart"/>
      <w:r w:rsidRPr="00C52900">
        <w:rPr>
          <w:rFonts w:ascii="Arial" w:eastAsiaTheme="minorHAnsi" w:hAnsi="Arial"/>
          <w:lang w:eastAsia="en-US"/>
        </w:rPr>
        <w:t>Khanam</w:t>
      </w:r>
      <w:proofErr w:type="spellEnd"/>
      <w:r w:rsidRPr="00C52900">
        <w:rPr>
          <w:rFonts w:ascii="Arial" w:eastAsiaTheme="minorHAnsi" w:hAnsi="Arial"/>
          <w:lang w:eastAsia="en-US"/>
        </w:rPr>
        <w:t>, 2019). Reflective practice can take many different forms</w:t>
      </w:r>
      <w:r w:rsidR="002F5315">
        <w:rPr>
          <w:rFonts w:ascii="Arial" w:eastAsiaTheme="minorHAnsi" w:hAnsi="Arial"/>
          <w:lang w:eastAsia="en-US"/>
        </w:rPr>
        <w:t xml:space="preserve"> </w:t>
      </w:r>
      <w:r w:rsidRPr="00C52900">
        <w:rPr>
          <w:rFonts w:ascii="Arial" w:eastAsiaTheme="minorHAnsi" w:hAnsi="Arial"/>
          <w:lang w:eastAsia="en-US"/>
        </w:rPr>
        <w:t xml:space="preserve">but it often involves writing a reflective diary. One method of structuring reflections is </w:t>
      </w:r>
      <w:proofErr w:type="spellStart"/>
      <w:r w:rsidRPr="00C52900">
        <w:rPr>
          <w:rFonts w:ascii="Arial" w:eastAsiaTheme="minorHAnsi" w:hAnsi="Arial"/>
          <w:lang w:eastAsia="en-US"/>
        </w:rPr>
        <w:t>Gibb’s</w:t>
      </w:r>
      <w:proofErr w:type="spellEnd"/>
      <w:r w:rsidRPr="00C52900">
        <w:rPr>
          <w:rFonts w:ascii="Arial" w:eastAsiaTheme="minorHAnsi" w:hAnsi="Arial"/>
          <w:lang w:eastAsia="en-US"/>
        </w:rPr>
        <w:t xml:space="preserve"> (1988) reflective cycle. It is made up of six stages which provide a scaffolded framework for reflection; building up from description and feelings to evaluation and analysis, and then finishing with a conclusion and action plan. Studies have found that using Gibbs (1988) reflective cycle can support teaching staff in managing challenging behaviour in pupils, by helping them turn challenging situations into valuable learning experiences (</w:t>
      </w:r>
      <w:proofErr w:type="spellStart"/>
      <w:r w:rsidRPr="00C52900">
        <w:rPr>
          <w:rFonts w:ascii="Arial" w:eastAsiaTheme="minorHAnsi" w:hAnsi="Arial"/>
          <w:lang w:eastAsia="en-US"/>
        </w:rPr>
        <w:t>Markkanen</w:t>
      </w:r>
      <w:proofErr w:type="spellEnd"/>
      <w:r w:rsidRPr="00C52900">
        <w:rPr>
          <w:rFonts w:ascii="Arial" w:eastAsiaTheme="minorHAnsi" w:hAnsi="Arial"/>
          <w:lang w:eastAsia="en-US"/>
        </w:rPr>
        <w:t> </w:t>
      </w:r>
      <w:r w:rsidRPr="00C52900">
        <w:rPr>
          <w:rFonts w:ascii="Arial" w:eastAsiaTheme="minorHAnsi" w:hAnsi="Arial"/>
          <w:i/>
          <w:iCs/>
          <w:lang w:eastAsia="en-US"/>
        </w:rPr>
        <w:t>et al. </w:t>
      </w:r>
      <w:r w:rsidRPr="00C52900">
        <w:rPr>
          <w:rFonts w:ascii="Arial" w:eastAsiaTheme="minorHAnsi" w:hAnsi="Arial"/>
          <w:lang w:eastAsia="en-US"/>
        </w:rPr>
        <w:t>2020).</w:t>
      </w:r>
    </w:p>
    <w:p w14:paraId="3756AE72" w14:textId="77777777" w:rsidR="00572D71" w:rsidRPr="00C52900" w:rsidRDefault="00572D71" w:rsidP="00C52900">
      <w:pPr>
        <w:spacing w:line="360" w:lineRule="auto"/>
        <w:rPr>
          <w:rFonts w:ascii="Arial" w:eastAsiaTheme="minorHAnsi" w:hAnsi="Arial"/>
          <w:lang w:eastAsia="en-US"/>
        </w:rPr>
      </w:pPr>
    </w:p>
    <w:p w14:paraId="074B72E3" w14:textId="14924CF4"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 xml:space="preserve">Alternatively, </w:t>
      </w:r>
      <w:proofErr w:type="spellStart"/>
      <w:r w:rsidRPr="00C52900">
        <w:rPr>
          <w:rFonts w:ascii="Arial" w:eastAsiaTheme="minorHAnsi" w:hAnsi="Arial"/>
          <w:lang w:eastAsia="en-US"/>
        </w:rPr>
        <w:t>Schon</w:t>
      </w:r>
      <w:proofErr w:type="spellEnd"/>
      <w:r w:rsidRPr="00C52900">
        <w:rPr>
          <w:rFonts w:ascii="Arial" w:eastAsiaTheme="minorHAnsi" w:hAnsi="Arial"/>
          <w:lang w:eastAsia="en-US"/>
        </w:rPr>
        <w:t xml:space="preserve"> (1983), </w:t>
      </w:r>
      <w:r w:rsidR="00572D71">
        <w:rPr>
          <w:rFonts w:ascii="Arial" w:eastAsiaTheme="minorHAnsi" w:hAnsi="Arial"/>
          <w:lang w:eastAsia="en-US"/>
        </w:rPr>
        <w:t>distinguished</w:t>
      </w:r>
      <w:r w:rsidRPr="00C52900">
        <w:rPr>
          <w:rFonts w:ascii="Arial" w:eastAsiaTheme="minorHAnsi" w:hAnsi="Arial"/>
          <w:lang w:eastAsia="en-US"/>
        </w:rPr>
        <w:t xml:space="preserve"> between ‘reflection-on-action’ and ‘ reflection-in-action'. Reflection-on-action involves evaluating past practice to gain insight and improve future action. Whereas, reflection-in-action involves dynamically evaluating actions and responses in the moment. In </w:t>
      </w:r>
      <w:proofErr w:type="spellStart"/>
      <w:r w:rsidRPr="00C52900">
        <w:rPr>
          <w:rFonts w:ascii="Arial" w:eastAsiaTheme="minorHAnsi" w:hAnsi="Arial"/>
          <w:lang w:eastAsia="en-US"/>
        </w:rPr>
        <w:t>Schon’s</w:t>
      </w:r>
      <w:proofErr w:type="spellEnd"/>
      <w:r w:rsidRPr="00C52900">
        <w:rPr>
          <w:rFonts w:ascii="Arial" w:eastAsiaTheme="minorHAnsi" w:hAnsi="Arial"/>
          <w:lang w:eastAsia="en-US"/>
        </w:rPr>
        <w:t xml:space="preserve"> (1983) view, reflection-in-action is at the core of professional judgement. Profession practice is unpredictable and complex. Professionals have to draw on practical experience </w:t>
      </w:r>
      <w:r w:rsidRPr="00C52900">
        <w:rPr>
          <w:rFonts w:ascii="Arial" w:eastAsiaTheme="minorHAnsi" w:hAnsi="Arial"/>
          <w:i/>
          <w:iCs/>
          <w:lang w:eastAsia="en-US"/>
        </w:rPr>
        <w:t>and</w:t>
      </w:r>
      <w:r w:rsidRPr="00C52900">
        <w:rPr>
          <w:rFonts w:ascii="Arial" w:eastAsiaTheme="minorHAnsi" w:hAnsi="Arial"/>
          <w:lang w:eastAsia="en-US"/>
        </w:rPr>
        <w:t> theory to adapt to a wide range of situations and think on their feet, not just follow set protocols. Reflection enables professionals to develop professional judgement and as they become more experienced, this becomes more intuitive and ‘in-action’ (Finlay, 2008). While empirical data on specific models of reflection is limited, research indicates that reflecting on one’s teaching can enhance performance by improving professional judgement and helping to connect knowledge of theory into practice (</w:t>
      </w:r>
      <w:proofErr w:type="spellStart"/>
      <w:r w:rsidRPr="00C52900">
        <w:rPr>
          <w:rFonts w:ascii="Arial" w:eastAsiaTheme="minorHAnsi" w:hAnsi="Arial"/>
          <w:lang w:eastAsia="en-US"/>
        </w:rPr>
        <w:t>Berglund</w:t>
      </w:r>
      <w:proofErr w:type="spellEnd"/>
      <w:r w:rsidRPr="00C52900">
        <w:rPr>
          <w:rFonts w:ascii="Arial" w:eastAsiaTheme="minorHAnsi" w:hAnsi="Arial"/>
          <w:lang w:eastAsia="en-US"/>
        </w:rPr>
        <w:t xml:space="preserve">, </w:t>
      </w:r>
      <w:proofErr w:type="spellStart"/>
      <w:r w:rsidRPr="00C52900">
        <w:rPr>
          <w:rFonts w:ascii="Arial" w:eastAsiaTheme="minorHAnsi" w:hAnsi="Arial"/>
          <w:lang w:eastAsia="en-US"/>
        </w:rPr>
        <w:t>Sjogren</w:t>
      </w:r>
      <w:proofErr w:type="spellEnd"/>
      <w:r w:rsidRPr="00C52900">
        <w:rPr>
          <w:rFonts w:ascii="Arial" w:eastAsiaTheme="minorHAnsi" w:hAnsi="Arial"/>
          <w:lang w:eastAsia="en-US"/>
        </w:rPr>
        <w:t xml:space="preserve"> and </w:t>
      </w:r>
      <w:proofErr w:type="spellStart"/>
      <w:r w:rsidRPr="00C52900">
        <w:rPr>
          <w:rFonts w:ascii="Arial" w:eastAsiaTheme="minorHAnsi" w:hAnsi="Arial"/>
          <w:lang w:eastAsia="en-US"/>
        </w:rPr>
        <w:t>Ekesbergh</w:t>
      </w:r>
      <w:proofErr w:type="spellEnd"/>
      <w:r w:rsidRPr="00C52900">
        <w:rPr>
          <w:rFonts w:ascii="Arial" w:eastAsiaTheme="minorHAnsi" w:hAnsi="Arial"/>
          <w:lang w:eastAsia="en-US"/>
        </w:rPr>
        <w:t>, 2012). An additional study found that critical reflective practice had a positive effect on teachers’ professional development (Kramer, 2018). This highlights the importance of critical reflection in developing teachers’ practice. </w:t>
      </w:r>
    </w:p>
    <w:p w14:paraId="4B9EF7CB" w14:textId="77777777" w:rsidR="004A7E28" w:rsidRPr="00C52900" w:rsidRDefault="004A7E28" w:rsidP="00C52900">
      <w:pPr>
        <w:spacing w:line="360" w:lineRule="auto"/>
        <w:rPr>
          <w:rFonts w:ascii="Arial" w:eastAsiaTheme="minorHAnsi" w:hAnsi="Arial"/>
          <w:lang w:eastAsia="en-US"/>
        </w:rPr>
      </w:pPr>
    </w:p>
    <w:p w14:paraId="74832B3B" w14:textId="6C555FE0" w:rsidR="00C52900" w:rsidRPr="00C52900" w:rsidRDefault="00C52900" w:rsidP="00C52900">
      <w:pPr>
        <w:spacing w:line="360" w:lineRule="auto"/>
        <w:rPr>
          <w:rFonts w:ascii="Arial" w:eastAsiaTheme="minorHAnsi" w:hAnsi="Arial"/>
          <w:b/>
          <w:bCs/>
          <w:sz w:val="28"/>
          <w:szCs w:val="28"/>
          <w:lang w:eastAsia="en-US"/>
        </w:rPr>
      </w:pPr>
      <w:r w:rsidRPr="00C52900">
        <w:rPr>
          <w:rFonts w:ascii="Arial" w:eastAsiaTheme="minorHAnsi" w:hAnsi="Arial"/>
          <w:b/>
          <w:bCs/>
          <w:sz w:val="28"/>
          <w:szCs w:val="28"/>
          <w:lang w:eastAsia="en-US"/>
        </w:rPr>
        <w:lastRenderedPageBreak/>
        <w:t>Observation- School and Class context</w:t>
      </w:r>
      <w:r w:rsidR="004A7E28">
        <w:rPr>
          <w:rFonts w:ascii="Arial" w:eastAsiaTheme="minorHAnsi" w:hAnsi="Arial"/>
          <w:b/>
          <w:bCs/>
          <w:sz w:val="28"/>
          <w:szCs w:val="28"/>
          <w:lang w:eastAsia="en-US"/>
        </w:rPr>
        <w:t>.</w:t>
      </w:r>
    </w:p>
    <w:p w14:paraId="671E5C2F" w14:textId="3EE68A94"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The British Educational Research Association (BERA, 2018, pg. 21) states that “</w:t>
      </w:r>
      <w:r w:rsidR="006C7452">
        <w:rPr>
          <w:rFonts w:ascii="Arial" w:eastAsiaTheme="minorHAnsi" w:hAnsi="Arial"/>
          <w:lang w:eastAsia="en-US"/>
        </w:rPr>
        <w:t>t</w:t>
      </w:r>
      <w:r w:rsidRPr="00C52900">
        <w:rPr>
          <w:rFonts w:ascii="Arial" w:eastAsiaTheme="minorHAnsi" w:hAnsi="Arial"/>
          <w:lang w:eastAsia="en-US"/>
        </w:rPr>
        <w:t>he confidential and anonymous treatment of participants’ data is considered the norm for the conduct of research”. Therefore, the anonymity of the school, staff and pupils observed will be maintained</w:t>
      </w:r>
      <w:r w:rsidR="002F2AA1">
        <w:rPr>
          <w:rFonts w:ascii="Arial" w:eastAsiaTheme="minorHAnsi" w:hAnsi="Arial"/>
          <w:lang w:eastAsia="en-US"/>
        </w:rPr>
        <w:t>.</w:t>
      </w:r>
    </w:p>
    <w:p w14:paraId="2D5F325F" w14:textId="77777777" w:rsidR="002F2AA1" w:rsidRPr="00C52900" w:rsidRDefault="002F2AA1" w:rsidP="00C52900">
      <w:pPr>
        <w:spacing w:line="360" w:lineRule="auto"/>
        <w:rPr>
          <w:rFonts w:ascii="Arial" w:eastAsiaTheme="minorHAnsi" w:hAnsi="Arial"/>
          <w:lang w:eastAsia="en-US"/>
        </w:rPr>
      </w:pPr>
    </w:p>
    <w:p w14:paraId="12C36AB1" w14:textId="5E4AE338"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 xml:space="preserve">The observation was conducted in a mixed-gender English medium primary school located in a small town on the outskirts of Swansea, in the local authority of Swansea. The school has 481 pupils aged between three and eleven on the roll organised into </w:t>
      </w:r>
      <w:r w:rsidR="000D70B9">
        <w:rPr>
          <w:rFonts w:ascii="Arial" w:eastAsiaTheme="minorHAnsi" w:hAnsi="Arial"/>
          <w:lang w:eastAsia="en-US"/>
        </w:rPr>
        <w:t>sixteen</w:t>
      </w:r>
      <w:r w:rsidRPr="00C52900">
        <w:rPr>
          <w:rFonts w:ascii="Arial" w:eastAsiaTheme="minorHAnsi" w:hAnsi="Arial"/>
          <w:lang w:eastAsia="en-US"/>
        </w:rPr>
        <w:t xml:space="preserve"> single-year classes. This includes two nursery classes of 75 part-time pupils. 21% of pupils are eligible for free school meals, which is slightly higher than the average for Wales of 19%. 34% of pupils are identified as having additional learning needs, which is above the national average of 21%. Only a very few pupils have a statement of special educational needs (now referred to as additional learning needs), are in the care of the local authority, speak English as an additional language or speak Welsh at home. (</w:t>
      </w:r>
      <w:proofErr w:type="spellStart"/>
      <w:r w:rsidRPr="00C52900">
        <w:rPr>
          <w:rFonts w:ascii="Arial" w:eastAsiaTheme="minorHAnsi" w:hAnsi="Arial"/>
          <w:lang w:eastAsia="en-US"/>
        </w:rPr>
        <w:t>Estyn</w:t>
      </w:r>
      <w:proofErr w:type="spellEnd"/>
      <w:r w:rsidRPr="00C52900">
        <w:rPr>
          <w:rFonts w:ascii="Arial" w:eastAsiaTheme="minorHAnsi" w:hAnsi="Arial"/>
          <w:lang w:eastAsia="en-US"/>
        </w:rPr>
        <w:t>, 2018). </w:t>
      </w:r>
    </w:p>
    <w:p w14:paraId="2F170BC8" w14:textId="77777777" w:rsidR="002F2AA1" w:rsidRPr="00C52900" w:rsidRDefault="002F2AA1" w:rsidP="00C52900">
      <w:pPr>
        <w:spacing w:line="360" w:lineRule="auto"/>
        <w:rPr>
          <w:rFonts w:ascii="Arial" w:eastAsiaTheme="minorHAnsi" w:hAnsi="Arial"/>
          <w:lang w:eastAsia="en-US"/>
        </w:rPr>
      </w:pPr>
    </w:p>
    <w:p w14:paraId="6DE0C630" w14:textId="16389694" w:rsidR="00C52900" w:rsidRPr="00C52900" w:rsidRDefault="00C52900" w:rsidP="00C52900">
      <w:pPr>
        <w:spacing w:line="360" w:lineRule="auto"/>
        <w:rPr>
          <w:rFonts w:ascii="Arial" w:eastAsiaTheme="minorHAnsi" w:hAnsi="Arial"/>
          <w:b/>
          <w:bCs/>
          <w:sz w:val="28"/>
          <w:szCs w:val="28"/>
          <w:lang w:eastAsia="en-US"/>
        </w:rPr>
      </w:pPr>
      <w:r w:rsidRPr="00C52900">
        <w:rPr>
          <w:rFonts w:ascii="Arial" w:eastAsiaTheme="minorHAnsi" w:hAnsi="Arial"/>
          <w:b/>
          <w:bCs/>
          <w:sz w:val="28"/>
          <w:szCs w:val="28"/>
          <w:lang w:eastAsia="en-US"/>
        </w:rPr>
        <w:t>Critical incident linked to Donaldson’s Four Purposes</w:t>
      </w:r>
      <w:r w:rsidR="005717ED">
        <w:rPr>
          <w:rFonts w:ascii="Arial" w:eastAsiaTheme="minorHAnsi" w:hAnsi="Arial"/>
          <w:b/>
          <w:bCs/>
          <w:sz w:val="28"/>
          <w:szCs w:val="28"/>
          <w:lang w:eastAsia="en-US"/>
        </w:rPr>
        <w:t>.</w:t>
      </w:r>
      <w:r w:rsidRPr="00C52900">
        <w:rPr>
          <w:rFonts w:ascii="Arial" w:eastAsiaTheme="minorHAnsi" w:hAnsi="Arial"/>
          <w:b/>
          <w:bCs/>
          <w:sz w:val="28"/>
          <w:szCs w:val="28"/>
          <w:lang w:eastAsia="en-US"/>
        </w:rPr>
        <w:t> </w:t>
      </w:r>
    </w:p>
    <w:p w14:paraId="632020FD" w14:textId="612E036E"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Across a range of observed lessons, the</w:t>
      </w:r>
      <w:r w:rsidR="00491EED">
        <w:rPr>
          <w:rFonts w:ascii="Arial" w:eastAsiaTheme="minorHAnsi" w:hAnsi="Arial"/>
          <w:lang w:eastAsia="en-US"/>
        </w:rPr>
        <w:t xml:space="preserve"> observed</w:t>
      </w:r>
      <w:r w:rsidRPr="00C52900">
        <w:rPr>
          <w:rFonts w:ascii="Arial" w:eastAsiaTheme="minorHAnsi" w:hAnsi="Arial"/>
          <w:lang w:eastAsia="en-US"/>
        </w:rPr>
        <w:t xml:space="preserve"> teacher used assessment for learning (AfL) strategies to monitor the pupils' progress. AfL is defined by the Assessment Reform Group (2002) as a process of </w:t>
      </w:r>
      <w:r w:rsidR="00491EED">
        <w:rPr>
          <w:rFonts w:ascii="Arial" w:eastAsiaTheme="minorHAnsi" w:hAnsi="Arial"/>
          <w:lang w:eastAsia="en-US"/>
        </w:rPr>
        <w:t>gathering</w:t>
      </w:r>
      <w:r w:rsidRPr="00C52900">
        <w:rPr>
          <w:rFonts w:ascii="Arial" w:eastAsiaTheme="minorHAnsi" w:hAnsi="Arial"/>
          <w:lang w:eastAsia="en-US"/>
        </w:rPr>
        <w:t xml:space="preserve"> and interpreting evidence of </w:t>
      </w:r>
      <w:r w:rsidR="003A13CC">
        <w:rPr>
          <w:rFonts w:ascii="Arial" w:eastAsiaTheme="minorHAnsi" w:hAnsi="Arial"/>
          <w:lang w:eastAsia="en-US"/>
        </w:rPr>
        <w:t xml:space="preserve">learner’s current knowledge and using this </w:t>
      </w:r>
      <w:r w:rsidRPr="00C52900">
        <w:rPr>
          <w:rFonts w:ascii="Arial" w:eastAsiaTheme="minorHAnsi" w:hAnsi="Arial"/>
          <w:lang w:eastAsia="en-US"/>
        </w:rPr>
        <w:t>to decide where they need to go and how to get there. Teachers need to know what has been learnt by their pupils to progress their learning (Wiliam, 2011). AfL is an essential part of teaching and this is made explicit in the new Curriculum for Wales (Donaldson, 2015). AfL is not just for teachers but is crucial in developing young people as owners of their learning, by providing them with feedback on where they currently are and information on how they can progress. This underpins Donaldson’s (2015) purpose of creating “ambitious, capable learners who are ready to learn throughout their lives”. As, if pupils are to become lifelong learners, they need to be able to reflect on their learning to identify the next learning steps (Donaldson, 2015). AfL provides them with the tools to do this (Wiliam, 2011).  </w:t>
      </w:r>
    </w:p>
    <w:p w14:paraId="1906DBC3" w14:textId="77777777" w:rsidR="004B42C8" w:rsidRPr="00C52900" w:rsidRDefault="004B42C8" w:rsidP="00C52900">
      <w:pPr>
        <w:spacing w:line="360" w:lineRule="auto"/>
        <w:rPr>
          <w:rFonts w:ascii="Arial" w:eastAsiaTheme="minorHAnsi" w:hAnsi="Arial"/>
          <w:lang w:eastAsia="en-US"/>
        </w:rPr>
      </w:pPr>
    </w:p>
    <w:p w14:paraId="629E65FF" w14:textId="585C2F67"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 xml:space="preserve">AfL was used in the classroom in several effective ways. The teacher implemented a “no hands up” policy, using lollipop sticks with the pupils’ names written on them to select pupils to answer questions. During a lesson on Blitz, spanning across the area of learning and experience of ‘Language, Literacy and Communication’ and ‘Humanities’, the question “why did Germany struggle to invade the UK?” was posed. Pupils discussed the answer in pairs </w:t>
      </w:r>
      <w:r w:rsidRPr="00C52900">
        <w:rPr>
          <w:rFonts w:ascii="Arial" w:eastAsiaTheme="minorHAnsi" w:hAnsi="Arial"/>
          <w:lang w:eastAsia="en-US"/>
        </w:rPr>
        <w:lastRenderedPageBreak/>
        <w:t>and were told the lollipop sticks were going to be used to select someone to answer. Before selecting a pupil, the teacher reminded the class that it was okay to get an answer wrong and that mistakes were key to learning. This technique provided two important outcomes</w:t>
      </w:r>
      <w:r w:rsidR="00A22BBA">
        <w:rPr>
          <w:rFonts w:ascii="Arial" w:eastAsiaTheme="minorHAnsi" w:hAnsi="Arial"/>
          <w:lang w:eastAsia="en-US"/>
        </w:rPr>
        <w:t>.</w:t>
      </w:r>
      <w:r w:rsidR="000C2BD3">
        <w:rPr>
          <w:rFonts w:ascii="Arial" w:eastAsiaTheme="minorHAnsi" w:hAnsi="Arial"/>
          <w:lang w:eastAsia="en-US"/>
        </w:rPr>
        <w:t xml:space="preserve"> </w:t>
      </w:r>
      <w:r w:rsidR="00A22BBA">
        <w:rPr>
          <w:rFonts w:ascii="Arial" w:eastAsiaTheme="minorHAnsi" w:hAnsi="Arial"/>
          <w:lang w:eastAsia="en-US"/>
        </w:rPr>
        <w:t>F</w:t>
      </w:r>
      <w:r w:rsidR="007A7865">
        <w:rPr>
          <w:rFonts w:ascii="Arial" w:eastAsiaTheme="minorHAnsi" w:hAnsi="Arial"/>
          <w:lang w:eastAsia="en-US"/>
        </w:rPr>
        <w:t>irst</w:t>
      </w:r>
      <w:r w:rsidR="00961711">
        <w:rPr>
          <w:rFonts w:ascii="Arial" w:eastAsiaTheme="minorHAnsi" w:hAnsi="Arial"/>
          <w:lang w:eastAsia="en-US"/>
        </w:rPr>
        <w:t>,</w:t>
      </w:r>
      <w:r w:rsidRPr="00C52900">
        <w:rPr>
          <w:rFonts w:ascii="Arial" w:eastAsiaTheme="minorHAnsi" w:hAnsi="Arial"/>
          <w:lang w:eastAsia="en-US"/>
        </w:rPr>
        <w:t xml:space="preserve"> the teacher collected feedback in a non-biased way, enabling them to get a sample of random pupils from the class to assess understanding. Secon</w:t>
      </w:r>
      <w:r w:rsidR="007A7865">
        <w:rPr>
          <w:rFonts w:ascii="Arial" w:eastAsiaTheme="minorHAnsi" w:hAnsi="Arial"/>
          <w:lang w:eastAsia="en-US"/>
        </w:rPr>
        <w:t xml:space="preserve">d, </w:t>
      </w:r>
      <w:r w:rsidRPr="00C52900">
        <w:rPr>
          <w:rFonts w:ascii="Arial" w:eastAsiaTheme="minorHAnsi" w:hAnsi="Arial"/>
          <w:lang w:eastAsia="en-US"/>
        </w:rPr>
        <w:t>it ensured everyone in the class was engaged and thought of an answer to the question. Otherwise, they could choose to switch off and not raise their hand. On the few occasions that hands-up was used, some students were visibly less engaged and switched off.</w:t>
      </w:r>
    </w:p>
    <w:p w14:paraId="63935C1B" w14:textId="77777777" w:rsidR="00C31495" w:rsidRPr="00C52900" w:rsidRDefault="00C31495" w:rsidP="00C52900">
      <w:pPr>
        <w:spacing w:line="360" w:lineRule="auto"/>
        <w:rPr>
          <w:rFonts w:ascii="Arial" w:eastAsiaTheme="minorHAnsi" w:hAnsi="Arial"/>
          <w:lang w:eastAsia="en-US"/>
        </w:rPr>
      </w:pPr>
    </w:p>
    <w:p w14:paraId="71BBCA8A" w14:textId="1809E07C"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Additionally, the teacher used mini whiteboards as a pre-assessment. This AfL technique provides teachers with essential data about what knowledge the pupils are bringing to the lesson and enables them to plan appropriately (</w:t>
      </w:r>
      <w:proofErr w:type="spellStart"/>
      <w:r w:rsidRPr="00C52900">
        <w:rPr>
          <w:rFonts w:ascii="Arial" w:eastAsiaTheme="minorHAnsi" w:hAnsi="Arial"/>
          <w:lang w:eastAsia="en-US"/>
        </w:rPr>
        <w:t>Hockett</w:t>
      </w:r>
      <w:proofErr w:type="spellEnd"/>
      <w:r w:rsidRPr="00C52900">
        <w:rPr>
          <w:rFonts w:ascii="Arial" w:eastAsiaTheme="minorHAnsi" w:hAnsi="Arial"/>
          <w:lang w:eastAsia="en-US"/>
        </w:rPr>
        <w:t xml:space="preserve"> and </w:t>
      </w:r>
      <w:proofErr w:type="spellStart"/>
      <w:r w:rsidRPr="00C52900">
        <w:rPr>
          <w:rFonts w:ascii="Arial" w:eastAsiaTheme="minorHAnsi" w:hAnsi="Arial"/>
          <w:lang w:eastAsia="en-US"/>
        </w:rPr>
        <w:t>Doubet</w:t>
      </w:r>
      <w:proofErr w:type="spellEnd"/>
      <w:r w:rsidRPr="00C52900">
        <w:rPr>
          <w:rFonts w:ascii="Arial" w:eastAsiaTheme="minorHAnsi" w:hAnsi="Arial"/>
          <w:lang w:eastAsia="en-US"/>
        </w:rPr>
        <w:t>, 2014). This was observed in a mathematics lesson on rounding. The teacher’s initial learning objective was for the pupils to round decimal places. However, to begin the lesson, the teacher used whiteboards to do a quiz with questions on rounding tens, hundreds and thousands. This highlighted that there were significant gaps in the pupil</w:t>
      </w:r>
      <w:r w:rsidR="002E3615">
        <w:rPr>
          <w:rFonts w:ascii="Arial" w:eastAsiaTheme="minorHAnsi" w:hAnsi="Arial"/>
          <w:lang w:eastAsia="en-US"/>
        </w:rPr>
        <w:t>s’</w:t>
      </w:r>
      <w:r w:rsidRPr="00C52900">
        <w:rPr>
          <w:rFonts w:ascii="Arial" w:eastAsiaTheme="minorHAnsi" w:hAnsi="Arial"/>
          <w:lang w:eastAsia="en-US"/>
        </w:rPr>
        <w:t xml:space="preserve"> knowledge. As a result, the teacher adapted their lesson plan and recapped rounding tens, hundreds and thousands with the class, and </w:t>
      </w:r>
      <w:r w:rsidR="002E3615">
        <w:rPr>
          <w:rFonts w:ascii="Arial" w:eastAsiaTheme="minorHAnsi" w:hAnsi="Arial"/>
          <w:lang w:eastAsia="en-US"/>
        </w:rPr>
        <w:t xml:space="preserve">moved </w:t>
      </w:r>
      <w:r w:rsidRPr="00C52900">
        <w:rPr>
          <w:rFonts w:ascii="Arial" w:eastAsiaTheme="minorHAnsi" w:hAnsi="Arial"/>
          <w:lang w:eastAsia="en-US"/>
        </w:rPr>
        <w:t>rounding decimals to a future lesson. If the teacher had omitted this AfL, then the pupils would have struggled to grasp the new concept of rounding decimals as they lacked sufficient background knowledge</w:t>
      </w:r>
      <w:r w:rsidR="00E332F7">
        <w:rPr>
          <w:rFonts w:ascii="Arial" w:eastAsiaTheme="minorHAnsi" w:hAnsi="Arial"/>
          <w:lang w:eastAsia="en-US"/>
        </w:rPr>
        <w:t>. T</w:t>
      </w:r>
      <w:r w:rsidRPr="00C52900">
        <w:rPr>
          <w:rFonts w:ascii="Arial" w:eastAsiaTheme="minorHAnsi" w:hAnsi="Arial"/>
          <w:lang w:eastAsia="en-US"/>
        </w:rPr>
        <w:t>his is likely to have detrimentally affected the learning outcomes of the pupils. </w:t>
      </w:r>
    </w:p>
    <w:p w14:paraId="4DF5BCD4" w14:textId="77777777" w:rsidR="00E332F7" w:rsidRPr="00C52900" w:rsidRDefault="00E332F7" w:rsidP="00C52900">
      <w:pPr>
        <w:spacing w:line="360" w:lineRule="auto"/>
        <w:rPr>
          <w:rFonts w:ascii="Arial" w:eastAsiaTheme="minorHAnsi" w:hAnsi="Arial"/>
          <w:b/>
          <w:bCs/>
          <w:sz w:val="28"/>
          <w:szCs w:val="28"/>
          <w:lang w:eastAsia="en-US"/>
        </w:rPr>
      </w:pPr>
    </w:p>
    <w:p w14:paraId="4C560758" w14:textId="7FA4E473" w:rsidR="00C52900" w:rsidRPr="00C52900" w:rsidRDefault="00C52900" w:rsidP="00C52900">
      <w:pPr>
        <w:spacing w:line="360" w:lineRule="auto"/>
        <w:rPr>
          <w:rFonts w:ascii="Arial" w:eastAsiaTheme="minorHAnsi" w:hAnsi="Arial"/>
          <w:lang w:eastAsia="en-US"/>
        </w:rPr>
      </w:pPr>
      <w:r w:rsidRPr="00C52900">
        <w:rPr>
          <w:rFonts w:ascii="Arial" w:eastAsiaTheme="minorHAnsi" w:hAnsi="Arial"/>
          <w:b/>
          <w:bCs/>
          <w:sz w:val="28"/>
          <w:szCs w:val="28"/>
          <w:lang w:eastAsia="en-US"/>
        </w:rPr>
        <w:t>Literature review</w:t>
      </w:r>
      <w:r w:rsidR="00E332F7" w:rsidRPr="00E332F7">
        <w:rPr>
          <w:rFonts w:ascii="Arial" w:eastAsiaTheme="minorHAnsi" w:hAnsi="Arial"/>
          <w:b/>
          <w:bCs/>
          <w:sz w:val="28"/>
          <w:szCs w:val="28"/>
          <w:lang w:eastAsia="en-US"/>
        </w:rPr>
        <w:t>.</w:t>
      </w:r>
    </w:p>
    <w:p w14:paraId="1B649483" w14:textId="0C505E02"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Raising standards in schools is a common aim of governments across the world, including in Wales. Many initiatives have come and gone in the hope of reaching this aim</w:t>
      </w:r>
      <w:r w:rsidR="006D4D01">
        <w:rPr>
          <w:rFonts w:ascii="Arial" w:eastAsiaTheme="minorHAnsi" w:hAnsi="Arial"/>
          <w:lang w:eastAsia="en-US"/>
        </w:rPr>
        <w:t xml:space="preserve">, </w:t>
      </w:r>
      <w:r w:rsidRPr="00C52900">
        <w:rPr>
          <w:rFonts w:ascii="Arial" w:eastAsiaTheme="minorHAnsi" w:hAnsi="Arial"/>
          <w:lang w:eastAsia="en-US"/>
        </w:rPr>
        <w:t>but arguably the most important factor is what happens inside the ‘black box’ of the classroom (Black and Wiliam, 1998</w:t>
      </w:r>
      <w:r w:rsidR="003950C7">
        <w:rPr>
          <w:rFonts w:ascii="Arial" w:eastAsiaTheme="minorHAnsi" w:hAnsi="Arial"/>
          <w:lang w:eastAsia="en-US"/>
        </w:rPr>
        <w:t>a</w:t>
      </w:r>
      <w:r w:rsidRPr="00C52900">
        <w:rPr>
          <w:rFonts w:ascii="Arial" w:eastAsiaTheme="minorHAnsi" w:hAnsi="Arial"/>
          <w:lang w:eastAsia="en-US"/>
        </w:rPr>
        <w:t>). It is not enough to focus on the inputs (pupils, teachers, resources, standards, tests) and expect the outputs to be more pupil knowledge, better test results and satisfied teachers. We need to look inside the ‘black box’ and focus on what is happening within the classroom and measure whether a particular input is having the desired effect on the output. This was the premise of Black and Wiliam’s (1998</w:t>
      </w:r>
      <w:r w:rsidR="003950C7">
        <w:rPr>
          <w:rFonts w:ascii="Arial" w:eastAsiaTheme="minorHAnsi" w:hAnsi="Arial"/>
          <w:lang w:eastAsia="en-US"/>
        </w:rPr>
        <w:t>a</w:t>
      </w:r>
      <w:r w:rsidRPr="00C52900">
        <w:rPr>
          <w:rFonts w:ascii="Arial" w:eastAsiaTheme="minorHAnsi" w:hAnsi="Arial"/>
          <w:lang w:eastAsia="en-US"/>
        </w:rPr>
        <w:t>) seminal work on assessment in the classroom.  </w:t>
      </w:r>
    </w:p>
    <w:p w14:paraId="492C6FF7" w14:textId="77777777" w:rsidR="002B15F1" w:rsidRPr="00C52900" w:rsidRDefault="002B15F1" w:rsidP="00C52900">
      <w:pPr>
        <w:spacing w:line="360" w:lineRule="auto"/>
        <w:rPr>
          <w:rFonts w:ascii="Arial" w:eastAsiaTheme="minorHAnsi" w:hAnsi="Arial"/>
          <w:lang w:eastAsia="en-US"/>
        </w:rPr>
      </w:pPr>
    </w:p>
    <w:p w14:paraId="7CA21B63" w14:textId="0C61410F"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 xml:space="preserve">David </w:t>
      </w:r>
      <w:proofErr w:type="spellStart"/>
      <w:r w:rsidRPr="00C52900">
        <w:rPr>
          <w:rFonts w:ascii="Arial" w:eastAsiaTheme="minorHAnsi" w:hAnsi="Arial"/>
          <w:lang w:eastAsia="en-US"/>
        </w:rPr>
        <w:t>Ausubel</w:t>
      </w:r>
      <w:proofErr w:type="spellEnd"/>
      <w:r w:rsidRPr="00C52900">
        <w:rPr>
          <w:rFonts w:ascii="Arial" w:eastAsiaTheme="minorHAnsi" w:hAnsi="Arial"/>
          <w:lang w:eastAsia="en-US"/>
        </w:rPr>
        <w:t xml:space="preserve"> (1968, quoted in Brod, 2021) famously argues that prior knowledge is the most important factor in a pupil’s learning and to “ascertain this and teach him accordingly”. This argument is supported by a large-scale review showing that prior knowledge has a </w:t>
      </w:r>
      <w:r w:rsidRPr="00C52900">
        <w:rPr>
          <w:rFonts w:ascii="Arial" w:eastAsiaTheme="minorHAnsi" w:hAnsi="Arial"/>
          <w:lang w:eastAsia="en-US"/>
        </w:rPr>
        <w:lastRenderedPageBreak/>
        <w:t>positive effect on pupils’ learning outcomes (</w:t>
      </w:r>
      <w:proofErr w:type="spellStart"/>
      <w:r w:rsidRPr="00C52900">
        <w:rPr>
          <w:rFonts w:ascii="Arial" w:eastAsiaTheme="minorHAnsi" w:hAnsi="Arial"/>
          <w:lang w:eastAsia="en-US"/>
        </w:rPr>
        <w:t>Dochy</w:t>
      </w:r>
      <w:proofErr w:type="spellEnd"/>
      <w:r w:rsidRPr="00C52900">
        <w:rPr>
          <w:rFonts w:ascii="Arial" w:eastAsiaTheme="minorHAnsi" w:hAnsi="Arial"/>
          <w:lang w:eastAsia="en-US"/>
        </w:rPr>
        <w:t xml:space="preserve">, </w:t>
      </w:r>
      <w:proofErr w:type="spellStart"/>
      <w:r w:rsidRPr="00C52900">
        <w:rPr>
          <w:rFonts w:ascii="Arial" w:eastAsiaTheme="minorHAnsi" w:hAnsi="Arial"/>
          <w:lang w:eastAsia="en-US"/>
        </w:rPr>
        <w:t>Segers</w:t>
      </w:r>
      <w:proofErr w:type="spellEnd"/>
      <w:r w:rsidRPr="00C52900">
        <w:rPr>
          <w:rFonts w:ascii="Arial" w:eastAsiaTheme="minorHAnsi" w:hAnsi="Arial"/>
          <w:lang w:eastAsia="en-US"/>
        </w:rPr>
        <w:t xml:space="preserve"> and </w:t>
      </w:r>
      <w:proofErr w:type="spellStart"/>
      <w:r w:rsidRPr="00C52900">
        <w:rPr>
          <w:rFonts w:ascii="Arial" w:eastAsiaTheme="minorHAnsi" w:hAnsi="Arial"/>
          <w:lang w:eastAsia="en-US"/>
        </w:rPr>
        <w:t>Buehl</w:t>
      </w:r>
      <w:proofErr w:type="spellEnd"/>
      <w:r w:rsidRPr="00C52900">
        <w:rPr>
          <w:rFonts w:ascii="Arial" w:eastAsiaTheme="minorHAnsi" w:hAnsi="Arial"/>
          <w:lang w:eastAsia="en-US"/>
        </w:rPr>
        <w:t>, 1999). While there is debate around the specific circumstances in which prior knowledge will exert a positive, negative or negligible effect (Brod, 2021), it is still worth re-emphasising that the relationship between what a pupil is taught and what they learn is not direct, nor straightforward (Wiliam, 2011). The best-planned and most effectively delivered lesson cannot guarantee the same result for every student, even if they all start from the same place. Thus, assessment is arguably one of the most central processes in effective teaching, as it enables teachers to find out whether their sequence of activities has resulted in the intended learning outcome (Wiliam, 2011).</w:t>
      </w:r>
    </w:p>
    <w:p w14:paraId="0A09909A" w14:textId="77777777" w:rsidR="000D148D" w:rsidRPr="00C52900" w:rsidRDefault="000D148D" w:rsidP="00C52900">
      <w:pPr>
        <w:spacing w:line="360" w:lineRule="auto"/>
        <w:rPr>
          <w:rFonts w:ascii="Arial" w:eastAsiaTheme="minorHAnsi" w:hAnsi="Arial"/>
          <w:lang w:eastAsia="en-US"/>
        </w:rPr>
      </w:pPr>
    </w:p>
    <w:p w14:paraId="72018ED6" w14:textId="7A8D08A1"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 xml:space="preserve">What constitutes as ‘assessment’ is debated in the literature. Bloom (1969) applied the terms “formative” and “summative” to differentiate between the different uses of assessment in the classroom. The former type plays a role in figuring out where learning currently is and moving it forwards, whereas the latter simply assesses where the learning is at a certain point in time. It is not necessarily the nature of the assessment itself that determines whether it is formative or summative, but how it is used. If a teacher uses a weekly quiz to identify areas of student weakness and provide them with feedback on how to improve, this is formative. If it is simply used to judge the standard of the </w:t>
      </w:r>
      <w:r w:rsidR="00B94B67">
        <w:rPr>
          <w:rFonts w:ascii="Arial" w:eastAsiaTheme="minorHAnsi" w:hAnsi="Arial"/>
          <w:lang w:eastAsia="en-US"/>
        </w:rPr>
        <w:t>pupil</w:t>
      </w:r>
      <w:r w:rsidRPr="00C52900">
        <w:rPr>
          <w:rFonts w:ascii="Arial" w:eastAsiaTheme="minorHAnsi" w:hAnsi="Arial"/>
          <w:lang w:eastAsia="en-US"/>
        </w:rPr>
        <w:t>, it is summative (Thompson and Wiliam, 2017). The terms “assessment for learning” and “assessment of learning” are often used interchangeably with “formative” and “summative” assessment respectively. However, “assessment for learning” has been distinguished as an assessment which</w:t>
      </w:r>
      <w:r w:rsidR="00B41957">
        <w:rPr>
          <w:rFonts w:ascii="Arial" w:eastAsiaTheme="minorHAnsi" w:hAnsi="Arial"/>
          <w:lang w:eastAsia="en-US"/>
        </w:rPr>
        <w:t>,</w:t>
      </w:r>
      <w:r w:rsidRPr="00C52900">
        <w:rPr>
          <w:rFonts w:ascii="Arial" w:eastAsiaTheme="minorHAnsi" w:hAnsi="Arial"/>
          <w:lang w:eastAsia="en-US"/>
        </w:rPr>
        <w:t xml:space="preserve"> primarily</w:t>
      </w:r>
      <w:r w:rsidR="00B41957">
        <w:rPr>
          <w:rFonts w:ascii="Arial" w:eastAsiaTheme="minorHAnsi" w:hAnsi="Arial"/>
          <w:lang w:eastAsia="en-US"/>
        </w:rPr>
        <w:t>,</w:t>
      </w:r>
      <w:r w:rsidRPr="00C52900">
        <w:rPr>
          <w:rFonts w:ascii="Arial" w:eastAsiaTheme="minorHAnsi" w:hAnsi="Arial"/>
          <w:lang w:eastAsia="en-US"/>
        </w:rPr>
        <w:t xml:space="preserve"> is designed and used to promote pupils’ learning (Black et al. 2004). There is further discussion of definitions in the literature, but the rest of this review will focus on assessment for learning (AfL) as an umbrella term and its effectiveness and implementation within the classroom. </w:t>
      </w:r>
    </w:p>
    <w:p w14:paraId="0F9102D9" w14:textId="77777777" w:rsidR="00EE4190" w:rsidRPr="00C52900" w:rsidRDefault="00EE4190" w:rsidP="00C52900">
      <w:pPr>
        <w:spacing w:line="360" w:lineRule="auto"/>
        <w:rPr>
          <w:rFonts w:ascii="Arial" w:eastAsiaTheme="minorHAnsi" w:hAnsi="Arial"/>
          <w:lang w:eastAsia="en-US"/>
        </w:rPr>
      </w:pPr>
    </w:p>
    <w:p w14:paraId="40D19AE8" w14:textId="608EF2B1" w:rsidR="00C52900" w:rsidRP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The evidence that AfL is an effective strategy that impacts student achievement has mounted in recent decades. Most notably, Black and Wiliam’s (1998</w:t>
      </w:r>
      <w:r w:rsidR="00220158">
        <w:rPr>
          <w:rFonts w:ascii="Arial" w:eastAsiaTheme="minorHAnsi" w:hAnsi="Arial"/>
          <w:lang w:eastAsia="en-US"/>
        </w:rPr>
        <w:t>a</w:t>
      </w:r>
      <w:r w:rsidRPr="00C52900">
        <w:rPr>
          <w:rFonts w:ascii="Arial" w:eastAsiaTheme="minorHAnsi" w:hAnsi="Arial"/>
          <w:lang w:eastAsia="en-US"/>
        </w:rPr>
        <w:t>) large-scale review of studies that spanned across age ranges, countries and subject areas found that AfL practices are associated with effect size gains between 0.4 and 0.7, which is larger than average for educational interventions. To exemplify this result’s meaning, an effect size of 0.4 equates to an average pupil in the AfL group reaching the same level of achievement as a pupil in the top 35% of those in the control class. (Black and Wiliam, 1998</w:t>
      </w:r>
      <w:r w:rsidR="008D3E3D">
        <w:rPr>
          <w:rFonts w:ascii="Arial" w:eastAsiaTheme="minorHAnsi" w:hAnsi="Arial"/>
          <w:lang w:eastAsia="en-US"/>
        </w:rPr>
        <w:t>b</w:t>
      </w:r>
      <w:r w:rsidRPr="00C52900">
        <w:rPr>
          <w:rFonts w:ascii="Arial" w:eastAsiaTheme="minorHAnsi" w:hAnsi="Arial"/>
          <w:lang w:eastAsia="en-US"/>
        </w:rPr>
        <w:t>). Many of the studies in their review also highlighted that AfL strategies help low-attaining pupils the most, thus reducing the range of attainment in the class while raising attainment for all (Black and Wiliam, 1998</w:t>
      </w:r>
      <w:r w:rsidR="008D3E3D">
        <w:rPr>
          <w:rFonts w:ascii="Arial" w:eastAsiaTheme="minorHAnsi" w:hAnsi="Arial"/>
          <w:lang w:eastAsia="en-US"/>
        </w:rPr>
        <w:t>b</w:t>
      </w:r>
      <w:r w:rsidRPr="00C52900">
        <w:rPr>
          <w:rFonts w:ascii="Arial" w:eastAsiaTheme="minorHAnsi" w:hAnsi="Arial"/>
          <w:lang w:eastAsia="en-US"/>
        </w:rPr>
        <w:t>). </w:t>
      </w:r>
    </w:p>
    <w:p w14:paraId="4430972A" w14:textId="6A943A73"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lastRenderedPageBreak/>
        <w:t xml:space="preserve">While a more detailed discussion of this matter is outside the scope of this review, it is worth noting some of the criticism of the research </w:t>
      </w:r>
      <w:r w:rsidR="00CC4829">
        <w:rPr>
          <w:rFonts w:ascii="Arial" w:eastAsiaTheme="minorHAnsi" w:hAnsi="Arial"/>
          <w:lang w:eastAsia="en-US"/>
        </w:rPr>
        <w:t xml:space="preserve">that </w:t>
      </w:r>
      <w:r w:rsidRPr="00C52900">
        <w:rPr>
          <w:rFonts w:ascii="Arial" w:eastAsiaTheme="minorHAnsi" w:hAnsi="Arial"/>
          <w:lang w:eastAsia="en-US"/>
        </w:rPr>
        <w:t>support</w:t>
      </w:r>
      <w:r w:rsidR="00CC4829">
        <w:rPr>
          <w:rFonts w:ascii="Arial" w:eastAsiaTheme="minorHAnsi" w:hAnsi="Arial"/>
          <w:lang w:eastAsia="en-US"/>
        </w:rPr>
        <w:t>s</w:t>
      </w:r>
      <w:r w:rsidRPr="00C52900">
        <w:rPr>
          <w:rFonts w:ascii="Arial" w:eastAsiaTheme="minorHAnsi" w:hAnsi="Arial"/>
          <w:lang w:eastAsia="en-US"/>
        </w:rPr>
        <w:t xml:space="preserve"> for AfL. The effect size of 0.4-0.7, which is cited in Black and Wiliam (1998</w:t>
      </w:r>
      <w:r w:rsidR="008D3E3D">
        <w:rPr>
          <w:rFonts w:ascii="Arial" w:eastAsiaTheme="minorHAnsi" w:hAnsi="Arial"/>
          <w:lang w:eastAsia="en-US"/>
        </w:rPr>
        <w:t>b</w:t>
      </w:r>
      <w:r w:rsidRPr="00C52900">
        <w:rPr>
          <w:rFonts w:ascii="Arial" w:eastAsiaTheme="minorHAnsi" w:hAnsi="Arial"/>
          <w:lang w:eastAsia="en-US"/>
        </w:rPr>
        <w:t>)</w:t>
      </w:r>
      <w:r w:rsidR="00AC24C3">
        <w:rPr>
          <w:rFonts w:ascii="Arial" w:eastAsiaTheme="minorHAnsi" w:hAnsi="Arial"/>
          <w:lang w:eastAsia="en-US"/>
        </w:rPr>
        <w:t>,</w:t>
      </w:r>
      <w:r w:rsidRPr="00C52900">
        <w:rPr>
          <w:rFonts w:ascii="Arial" w:eastAsiaTheme="minorHAnsi" w:hAnsi="Arial"/>
          <w:lang w:eastAsia="en-US"/>
        </w:rPr>
        <w:t xml:space="preserve"> and often repeated by other researchers, is not based on a quantitative meta-analysis which </w:t>
      </w:r>
      <w:r w:rsidR="00AC24C3">
        <w:rPr>
          <w:rFonts w:ascii="Arial" w:eastAsiaTheme="minorHAnsi" w:hAnsi="Arial"/>
          <w:lang w:eastAsia="en-US"/>
        </w:rPr>
        <w:t>are</w:t>
      </w:r>
      <w:r w:rsidRPr="00C52900">
        <w:rPr>
          <w:rFonts w:ascii="Arial" w:eastAsiaTheme="minorHAnsi" w:hAnsi="Arial"/>
          <w:lang w:eastAsia="en-US"/>
        </w:rPr>
        <w:t xml:space="preserve"> considered the gold standard in research (Bennet, 2011). A meta-analysis produces meaningless results when “the studies are too disparate in topic to make summarisation meaningful” (Bennett, 2011, </w:t>
      </w:r>
      <w:proofErr w:type="spellStart"/>
      <w:r w:rsidRPr="00C52900">
        <w:rPr>
          <w:rFonts w:ascii="Arial" w:eastAsiaTheme="minorHAnsi" w:hAnsi="Arial"/>
          <w:lang w:eastAsia="en-US"/>
        </w:rPr>
        <w:t>pg</w:t>
      </w:r>
      <w:proofErr w:type="spellEnd"/>
      <w:r w:rsidRPr="00C52900">
        <w:rPr>
          <w:rFonts w:ascii="Arial" w:eastAsiaTheme="minorHAnsi" w:hAnsi="Arial"/>
          <w:lang w:eastAsia="en-US"/>
        </w:rPr>
        <w:t xml:space="preserve"> 11). A concern with the Black and Wiliam (1998</w:t>
      </w:r>
      <w:r w:rsidR="00766751">
        <w:rPr>
          <w:rFonts w:ascii="Arial" w:eastAsiaTheme="minorHAnsi" w:hAnsi="Arial"/>
          <w:lang w:eastAsia="en-US"/>
        </w:rPr>
        <w:t>a</w:t>
      </w:r>
      <w:r w:rsidRPr="00C52900">
        <w:rPr>
          <w:rFonts w:ascii="Arial" w:eastAsiaTheme="minorHAnsi" w:hAnsi="Arial"/>
          <w:lang w:eastAsia="en-US"/>
        </w:rPr>
        <w:t>) review is that the research covered is too disparate, as the breadth of studies includes those concerning feedback, self-perception, peer assessment, self-assessment, teacher questioning, teachers' use of tests and more. As such, arguably the studies are too heterogenous to be amalgamated into a mean effect size statistic (Bennett 2011). Black and Wiliam (1998</w:t>
      </w:r>
      <w:r w:rsidR="00EB221E">
        <w:rPr>
          <w:rFonts w:ascii="Arial" w:eastAsiaTheme="minorHAnsi" w:hAnsi="Arial"/>
          <w:lang w:eastAsia="en-US"/>
        </w:rPr>
        <w:t>a</w:t>
      </w:r>
      <w:r w:rsidRPr="00C52900">
        <w:rPr>
          <w:rFonts w:ascii="Arial" w:eastAsiaTheme="minorHAnsi" w:hAnsi="Arial"/>
          <w:lang w:eastAsia="en-US"/>
        </w:rPr>
        <w:t xml:space="preserve">) themselves highlight that their review is not meant to be a meta-analysis for this reason. However, they do quote the effect size range in their Phi Delta </w:t>
      </w:r>
      <w:proofErr w:type="spellStart"/>
      <w:r w:rsidRPr="00C52900">
        <w:rPr>
          <w:rFonts w:ascii="Arial" w:eastAsiaTheme="minorHAnsi" w:hAnsi="Arial"/>
          <w:lang w:eastAsia="en-US"/>
        </w:rPr>
        <w:t>Kappan</w:t>
      </w:r>
      <w:proofErr w:type="spellEnd"/>
      <w:r w:rsidRPr="00C52900">
        <w:rPr>
          <w:rFonts w:ascii="Arial" w:eastAsiaTheme="minorHAnsi" w:hAnsi="Arial"/>
          <w:lang w:eastAsia="en-US"/>
        </w:rPr>
        <w:t xml:space="preserve"> position paper (</w:t>
      </w:r>
      <w:r w:rsidR="00EB221E">
        <w:rPr>
          <w:rFonts w:ascii="Arial" w:eastAsiaTheme="minorHAnsi" w:hAnsi="Arial"/>
          <w:lang w:eastAsia="en-US"/>
        </w:rPr>
        <w:t>Black and Wiliam, 1998b</w:t>
      </w:r>
      <w:r w:rsidRPr="00C52900">
        <w:rPr>
          <w:rFonts w:ascii="Arial" w:eastAsiaTheme="minorHAnsi" w:hAnsi="Arial"/>
          <w:lang w:eastAsia="en-US"/>
        </w:rPr>
        <w:t>), without giving a source. This effect size range is not a quantitative result, from a meta-analysis or otherwise, but it has arguably been mischaracterised as such in the literature (Bennett, 2011). This results in a misinterpretation of the evidence for AfL interventions, with the Black and Wiliam (1998</w:t>
      </w:r>
      <w:r w:rsidR="00EB221E">
        <w:rPr>
          <w:rFonts w:ascii="Arial" w:eastAsiaTheme="minorHAnsi" w:hAnsi="Arial"/>
          <w:lang w:eastAsia="en-US"/>
        </w:rPr>
        <w:t>a</w:t>
      </w:r>
      <w:r w:rsidRPr="00C52900">
        <w:rPr>
          <w:rFonts w:ascii="Arial" w:eastAsiaTheme="minorHAnsi" w:hAnsi="Arial"/>
          <w:lang w:eastAsia="en-US"/>
        </w:rPr>
        <w:t>) paper being interpreted as more robust evidence than, arguably, it is in practice.</w:t>
      </w:r>
    </w:p>
    <w:p w14:paraId="3DCF3880" w14:textId="77777777" w:rsidR="00071EC6" w:rsidRPr="00C52900" w:rsidRDefault="00071EC6" w:rsidP="00C52900">
      <w:pPr>
        <w:spacing w:line="360" w:lineRule="auto"/>
        <w:rPr>
          <w:rFonts w:ascii="Arial" w:eastAsiaTheme="minorHAnsi" w:hAnsi="Arial"/>
          <w:lang w:eastAsia="en-US"/>
        </w:rPr>
      </w:pPr>
    </w:p>
    <w:p w14:paraId="1723FAC8" w14:textId="58C4CC6C"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 xml:space="preserve">An additional concern is that many of the AfL intervention studies only have a brief study window and are not long-term (e.g. </w:t>
      </w:r>
      <w:proofErr w:type="spellStart"/>
      <w:r w:rsidRPr="00C52900">
        <w:rPr>
          <w:rFonts w:ascii="Arial" w:eastAsiaTheme="minorHAnsi" w:hAnsi="Arial"/>
          <w:lang w:eastAsia="en-US"/>
        </w:rPr>
        <w:t>Dignath</w:t>
      </w:r>
      <w:proofErr w:type="spellEnd"/>
      <w:r w:rsidRPr="00C52900">
        <w:rPr>
          <w:rFonts w:ascii="Arial" w:eastAsiaTheme="minorHAnsi" w:hAnsi="Arial"/>
          <w:lang w:eastAsia="en-US"/>
        </w:rPr>
        <w:t xml:space="preserve"> and </w:t>
      </w:r>
      <w:proofErr w:type="spellStart"/>
      <w:r w:rsidRPr="00C52900">
        <w:rPr>
          <w:rFonts w:ascii="Arial" w:eastAsiaTheme="minorHAnsi" w:hAnsi="Arial"/>
          <w:lang w:eastAsia="en-US"/>
        </w:rPr>
        <w:t>Buttner</w:t>
      </w:r>
      <w:proofErr w:type="spellEnd"/>
      <w:r w:rsidRPr="00C52900">
        <w:rPr>
          <w:rFonts w:ascii="Arial" w:eastAsiaTheme="minorHAnsi" w:hAnsi="Arial"/>
          <w:lang w:eastAsia="en-US"/>
        </w:rPr>
        <w:t xml:space="preserve">, 2008). Therefore, they do not necessarily suggest that the effects could be maintained over time (Andersson and Palm, 2017). This concern is highlighted in </w:t>
      </w:r>
      <w:proofErr w:type="spellStart"/>
      <w:r w:rsidRPr="00C52900">
        <w:rPr>
          <w:rFonts w:ascii="Arial" w:eastAsiaTheme="minorHAnsi" w:hAnsi="Arial"/>
          <w:lang w:eastAsia="en-US"/>
        </w:rPr>
        <w:t>Dresel</w:t>
      </w:r>
      <w:proofErr w:type="spellEnd"/>
      <w:r w:rsidRPr="00C52900">
        <w:rPr>
          <w:rFonts w:ascii="Arial" w:eastAsiaTheme="minorHAnsi" w:hAnsi="Arial"/>
          <w:lang w:eastAsia="en-US"/>
        </w:rPr>
        <w:t xml:space="preserve"> and </w:t>
      </w:r>
      <w:proofErr w:type="spellStart"/>
      <w:r w:rsidRPr="00C52900">
        <w:rPr>
          <w:rFonts w:ascii="Arial" w:eastAsiaTheme="minorHAnsi" w:hAnsi="Arial"/>
          <w:lang w:eastAsia="en-US"/>
        </w:rPr>
        <w:t>Haugwitz’s</w:t>
      </w:r>
      <w:proofErr w:type="spellEnd"/>
      <w:r w:rsidRPr="00C52900">
        <w:rPr>
          <w:rFonts w:ascii="Arial" w:eastAsiaTheme="minorHAnsi" w:hAnsi="Arial"/>
          <w:lang w:eastAsia="en-US"/>
        </w:rPr>
        <w:t xml:space="preserve"> (2008) study. After nine sessions of an AfL intervention, they found a positive effect on pupil attainment. However, five months later in a follow-up test, there was no longer a significant difference between the intervention group and the control group. At this stage, the research investigating the long-term effects of AfL is too limited to draw a conclusion.</w:t>
      </w:r>
    </w:p>
    <w:p w14:paraId="10E336C2" w14:textId="77777777" w:rsidR="00A07E9B" w:rsidRPr="00C52900" w:rsidRDefault="00A07E9B" w:rsidP="00C52900">
      <w:pPr>
        <w:spacing w:line="360" w:lineRule="auto"/>
        <w:rPr>
          <w:rFonts w:ascii="Arial" w:eastAsiaTheme="minorHAnsi" w:hAnsi="Arial"/>
          <w:lang w:eastAsia="en-US"/>
        </w:rPr>
      </w:pPr>
    </w:p>
    <w:p w14:paraId="5A5879EF" w14:textId="77B87D0D"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Despite these criticisms, more recent, quantitative studies have shown positive effects of AfL techniques on pupil attainment (Andersson and Palm, 2017; Brown and Harris, 2013). On balance, the evidence supporting AfL techniques is largely positive. Nevertheless, more studies are needed on how to support teachers in their implementation of AfL, how to sustain this long-term and to differentiate between the different facets of AfL to rigorously test their efficacy. </w:t>
      </w:r>
    </w:p>
    <w:p w14:paraId="7BA24DFC" w14:textId="77777777" w:rsidR="00A07E9B" w:rsidRPr="00C52900" w:rsidRDefault="00A07E9B" w:rsidP="00C52900">
      <w:pPr>
        <w:spacing w:line="360" w:lineRule="auto"/>
        <w:rPr>
          <w:rFonts w:ascii="Arial" w:eastAsiaTheme="minorHAnsi" w:hAnsi="Arial"/>
          <w:lang w:eastAsia="en-US"/>
        </w:rPr>
      </w:pPr>
    </w:p>
    <w:p w14:paraId="0F4AB745" w14:textId="1C66DDBF"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One key AfL strateg</w:t>
      </w:r>
      <w:r w:rsidR="002E5F8F">
        <w:rPr>
          <w:rFonts w:ascii="Arial" w:eastAsiaTheme="minorHAnsi" w:hAnsi="Arial"/>
          <w:lang w:eastAsia="en-US"/>
        </w:rPr>
        <w:t>y</w:t>
      </w:r>
      <w:r w:rsidRPr="00C52900">
        <w:rPr>
          <w:rFonts w:ascii="Arial" w:eastAsiaTheme="minorHAnsi" w:hAnsi="Arial"/>
          <w:lang w:eastAsia="en-US"/>
        </w:rPr>
        <w:t xml:space="preserve"> involves creating effective classroom talk and questioning (Leahy et al. 2005). This strategy is focused on gathering evidence from pupils to assess their understanding, but also on engaging pupils in their learning. On the latter point, active </w:t>
      </w:r>
      <w:r w:rsidRPr="00C52900">
        <w:rPr>
          <w:rFonts w:ascii="Arial" w:eastAsiaTheme="minorHAnsi" w:hAnsi="Arial"/>
          <w:lang w:eastAsia="en-US"/>
        </w:rPr>
        <w:lastRenderedPageBreak/>
        <w:t>engagement from pupils is considered to facilitate their learning (Chi and Wylie, 2014). Therefore, it is worth considering the way that teachers pose a question and how this impacts pupils' engagement in the class. If the class knows that the teacher will only select pupils who raise their hand, or if the teacher lets the class know who they’re going to ask before posing the question, pupil engagement and thinking will likely decrease (Wylie and Lyon, 2015). On the former point, teachers need an understanding of where the class is at to move learning forward (</w:t>
      </w:r>
      <w:proofErr w:type="spellStart"/>
      <w:r w:rsidRPr="00C52900">
        <w:rPr>
          <w:rFonts w:ascii="Arial" w:eastAsiaTheme="minorHAnsi" w:hAnsi="Arial"/>
          <w:lang w:eastAsia="en-US"/>
        </w:rPr>
        <w:t>Dochy</w:t>
      </w:r>
      <w:proofErr w:type="spellEnd"/>
      <w:r w:rsidRPr="00C52900">
        <w:rPr>
          <w:rFonts w:ascii="Arial" w:eastAsiaTheme="minorHAnsi" w:hAnsi="Arial"/>
          <w:lang w:eastAsia="en-US"/>
        </w:rPr>
        <w:t xml:space="preserve">, </w:t>
      </w:r>
      <w:proofErr w:type="spellStart"/>
      <w:r w:rsidRPr="00C52900">
        <w:rPr>
          <w:rFonts w:ascii="Arial" w:eastAsiaTheme="minorHAnsi" w:hAnsi="Arial"/>
          <w:lang w:eastAsia="en-US"/>
        </w:rPr>
        <w:t>Segers</w:t>
      </w:r>
      <w:proofErr w:type="spellEnd"/>
      <w:r w:rsidRPr="00C52900">
        <w:rPr>
          <w:rFonts w:ascii="Arial" w:eastAsiaTheme="minorHAnsi" w:hAnsi="Arial"/>
          <w:lang w:eastAsia="en-US"/>
        </w:rPr>
        <w:t xml:space="preserve"> and </w:t>
      </w:r>
      <w:proofErr w:type="spellStart"/>
      <w:r w:rsidRPr="00C52900">
        <w:rPr>
          <w:rFonts w:ascii="Arial" w:eastAsiaTheme="minorHAnsi" w:hAnsi="Arial"/>
          <w:lang w:eastAsia="en-US"/>
        </w:rPr>
        <w:t>Buehl</w:t>
      </w:r>
      <w:proofErr w:type="spellEnd"/>
      <w:r w:rsidRPr="00C52900">
        <w:rPr>
          <w:rFonts w:ascii="Arial" w:eastAsiaTheme="minorHAnsi" w:hAnsi="Arial"/>
          <w:lang w:eastAsia="en-US"/>
        </w:rPr>
        <w:t>, 1999). However, questioning does not always provide a reliable assessment of what the whole class knows. If a teacher poses a question, and pupils respond by raising their hands, then the teacher is generally only going to get an answer from a confident pupil. To get a non-biased assessment of what the class knows, instead, the teacher should give the pupils time to think about the question, and then select a pupil to respond at random (Wiliam and Siobhan, 2016). This technique is often referred to as “no hands up” or “cold-calling”. </w:t>
      </w:r>
    </w:p>
    <w:p w14:paraId="31559917" w14:textId="77777777" w:rsidR="00CF3756" w:rsidRPr="00C52900" w:rsidRDefault="00CF3756" w:rsidP="00C52900">
      <w:pPr>
        <w:spacing w:line="360" w:lineRule="auto"/>
        <w:rPr>
          <w:rFonts w:ascii="Arial" w:eastAsiaTheme="minorHAnsi" w:hAnsi="Arial"/>
          <w:lang w:eastAsia="en-US"/>
        </w:rPr>
      </w:pPr>
    </w:p>
    <w:p w14:paraId="406585B1" w14:textId="697C5CE3"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There are concerns that cold-calling increases anxiety in pupils. Empirical data on this is limited, particularly in primary school classrooms. However, there is some research in universities indicating that cold-calling leads to higher levels of anxiety in students (Cooper, Downing and Browne, 2018). This finding may align with teachers' anecdotal experience</w:t>
      </w:r>
      <w:r w:rsidR="008C064A">
        <w:rPr>
          <w:rFonts w:ascii="Arial" w:eastAsiaTheme="minorHAnsi" w:hAnsi="Arial"/>
          <w:lang w:eastAsia="en-US"/>
        </w:rPr>
        <w:t xml:space="preserve"> or concerns.</w:t>
      </w:r>
      <w:r w:rsidRPr="00C52900">
        <w:rPr>
          <w:rFonts w:ascii="Arial" w:eastAsiaTheme="minorHAnsi" w:hAnsi="Arial"/>
          <w:lang w:eastAsia="en-US"/>
        </w:rPr>
        <w:t xml:space="preserve"> However, another study on university students found a different impact. Firstly, in classes where high levels of cold-calling are used, more students answer questions overall and answer more questions voluntarily. This provides evidence for cold-calling’s efficacy in improving classroom engagement. Additionally, the research shows that when high levels of cold-calling are used, students’ self-rated comfort in participating in classroom discussions increases. Whereas, their comfort rating does not change when there is low cold-calling (</w:t>
      </w:r>
      <w:proofErr w:type="spellStart"/>
      <w:r w:rsidRPr="00C52900">
        <w:rPr>
          <w:rFonts w:ascii="Arial" w:eastAsiaTheme="minorHAnsi" w:hAnsi="Arial"/>
          <w:lang w:eastAsia="en-US"/>
        </w:rPr>
        <w:t>Dallimore</w:t>
      </w:r>
      <w:proofErr w:type="spellEnd"/>
      <w:r w:rsidRPr="00C52900">
        <w:rPr>
          <w:rFonts w:ascii="Arial" w:eastAsiaTheme="minorHAnsi" w:hAnsi="Arial"/>
          <w:lang w:eastAsia="en-US"/>
        </w:rPr>
        <w:t xml:space="preserve">, </w:t>
      </w:r>
      <w:proofErr w:type="spellStart"/>
      <w:r w:rsidRPr="00C52900">
        <w:rPr>
          <w:rFonts w:ascii="Arial" w:eastAsiaTheme="minorHAnsi" w:hAnsi="Arial"/>
          <w:lang w:eastAsia="en-US"/>
        </w:rPr>
        <w:t>Hertenstein</w:t>
      </w:r>
      <w:proofErr w:type="spellEnd"/>
      <w:r w:rsidRPr="00C52900">
        <w:rPr>
          <w:rFonts w:ascii="Arial" w:eastAsiaTheme="minorHAnsi" w:hAnsi="Arial"/>
          <w:lang w:eastAsia="en-US"/>
        </w:rPr>
        <w:t>, and Platt, 2013). Although they cannot be generalised to every classroom setting, these findings are encouraging for teachers concerned about the negative impacts of cold-calling. They indicate that pupils will adapt to this new questioning method and highlight the benefits to the pupils.</w:t>
      </w:r>
    </w:p>
    <w:p w14:paraId="5A8CE00E" w14:textId="77777777" w:rsidR="008A4C78" w:rsidRPr="00C52900" w:rsidRDefault="008A4C78" w:rsidP="00C52900">
      <w:pPr>
        <w:spacing w:line="360" w:lineRule="auto"/>
        <w:rPr>
          <w:rFonts w:ascii="Arial" w:eastAsiaTheme="minorHAnsi" w:hAnsi="Arial"/>
          <w:lang w:eastAsia="en-US"/>
        </w:rPr>
      </w:pPr>
    </w:p>
    <w:p w14:paraId="11C6B6EA" w14:textId="14C1F1F2"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Perhaps then, there is a need to focus on how cold-calling can be implemented in a way that not only engages pupils and provides a non-biased assessment of learning but also considers how pupils feel in the classroom. This idea links to the importance of fostering a growth mindset in pupils. A growth mindset is a belief that intellectual abilities and other personal characteristics can be developed. Whereas a fixed mindset is a belief that these characterises cannot be developed, that they are ‘fixed’ (</w:t>
      </w:r>
      <w:proofErr w:type="spellStart"/>
      <w:r w:rsidRPr="00C52900">
        <w:rPr>
          <w:rFonts w:ascii="Arial" w:eastAsiaTheme="minorHAnsi" w:hAnsi="Arial"/>
          <w:lang w:eastAsia="en-US"/>
        </w:rPr>
        <w:t>Dweck</w:t>
      </w:r>
      <w:proofErr w:type="spellEnd"/>
      <w:r w:rsidRPr="00C52900">
        <w:rPr>
          <w:rFonts w:ascii="Arial" w:eastAsiaTheme="minorHAnsi" w:hAnsi="Arial"/>
          <w:lang w:eastAsia="en-US"/>
        </w:rPr>
        <w:t xml:space="preserve">, 2006). </w:t>
      </w:r>
      <w:r w:rsidR="005014B1">
        <w:rPr>
          <w:rFonts w:ascii="Arial" w:eastAsiaTheme="minorHAnsi" w:hAnsi="Arial"/>
          <w:lang w:eastAsia="en-US"/>
        </w:rPr>
        <w:t xml:space="preserve"> </w:t>
      </w:r>
      <w:r w:rsidRPr="00C52900">
        <w:rPr>
          <w:rFonts w:ascii="Arial" w:eastAsiaTheme="minorHAnsi" w:hAnsi="Arial"/>
          <w:lang w:eastAsia="en-US"/>
        </w:rPr>
        <w:t>Having a growth mindset has been linked to a myriad of positive life outcomes, including improved educational outcomes</w:t>
      </w:r>
      <w:r w:rsidR="00FB1C7E">
        <w:rPr>
          <w:rFonts w:ascii="Arial" w:eastAsiaTheme="minorHAnsi" w:hAnsi="Arial"/>
          <w:lang w:eastAsia="en-US"/>
        </w:rPr>
        <w:t xml:space="preserve"> as indicated in the National Study of Learning Mindsets and the 2019 </w:t>
      </w:r>
      <w:r w:rsidR="00FB1C7E">
        <w:rPr>
          <w:rFonts w:ascii="Arial" w:eastAsiaTheme="minorHAnsi" w:hAnsi="Arial"/>
          <w:lang w:eastAsia="en-US"/>
        </w:rPr>
        <w:lastRenderedPageBreak/>
        <w:t xml:space="preserve">PISA results (Yeager and </w:t>
      </w:r>
      <w:proofErr w:type="spellStart"/>
      <w:r w:rsidR="00FB1C7E">
        <w:rPr>
          <w:rFonts w:ascii="Arial" w:eastAsiaTheme="minorHAnsi" w:hAnsi="Arial"/>
          <w:lang w:eastAsia="en-US"/>
        </w:rPr>
        <w:t>Dweck</w:t>
      </w:r>
      <w:proofErr w:type="spellEnd"/>
      <w:r w:rsidR="00FB1C7E">
        <w:rPr>
          <w:rFonts w:ascii="Arial" w:eastAsiaTheme="minorHAnsi" w:hAnsi="Arial"/>
          <w:lang w:eastAsia="en-US"/>
        </w:rPr>
        <w:t xml:space="preserve">, 2020; </w:t>
      </w:r>
      <w:r w:rsidR="00A42F50" w:rsidRPr="00A660BF">
        <w:rPr>
          <w:rFonts w:ascii="Arial" w:eastAsiaTheme="minorHAnsi" w:hAnsi="Arial"/>
          <w:lang w:eastAsia="en-US"/>
        </w:rPr>
        <w:t>Peña-López, 2019</w:t>
      </w:r>
      <w:r w:rsidRPr="00C52900">
        <w:rPr>
          <w:rFonts w:ascii="Arial" w:eastAsiaTheme="minorHAnsi" w:hAnsi="Arial"/>
          <w:lang w:eastAsia="en-US"/>
        </w:rPr>
        <w:t xml:space="preserve">). In addition, research indicates that a growth mindset can be developed (Zhu et al. 2019). However, for the intervention to be effective pupils must understand the concept of a growth mindset and know how to put it into practice. It is not enough to simply tell someone that their intellectual abilities are malleable (Yeager and </w:t>
      </w:r>
      <w:proofErr w:type="spellStart"/>
      <w:r w:rsidRPr="00C52900">
        <w:rPr>
          <w:rFonts w:ascii="Arial" w:eastAsiaTheme="minorHAnsi" w:hAnsi="Arial"/>
          <w:lang w:eastAsia="en-US"/>
        </w:rPr>
        <w:t>Dweck</w:t>
      </w:r>
      <w:proofErr w:type="spellEnd"/>
      <w:r w:rsidRPr="00C52900">
        <w:rPr>
          <w:rFonts w:ascii="Arial" w:eastAsiaTheme="minorHAnsi" w:hAnsi="Arial"/>
          <w:lang w:eastAsia="en-US"/>
        </w:rPr>
        <w:t>, 2020). </w:t>
      </w:r>
    </w:p>
    <w:p w14:paraId="68B31FD9" w14:textId="77777777" w:rsidR="00B11B11" w:rsidRPr="00C52900" w:rsidRDefault="00B11B11" w:rsidP="00C52900">
      <w:pPr>
        <w:spacing w:line="360" w:lineRule="auto"/>
        <w:rPr>
          <w:rFonts w:ascii="Arial" w:eastAsiaTheme="minorHAnsi" w:hAnsi="Arial"/>
          <w:lang w:eastAsia="en-US"/>
        </w:rPr>
      </w:pPr>
    </w:p>
    <w:p w14:paraId="0F63D9CC" w14:textId="51938033"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To return to cold-calling, for this to be an effective AfL strategy, the pupil needs to be willing to share their current learning status, without fear of sanction from the teacher, or ridicule from their peers (Heritage and Wylie, 2018). In other words, there must be a culture within the classroom that it is okay to make mistakes. The growth mindset framework advocates that mistakes are an opportunity to learn (</w:t>
      </w:r>
      <w:proofErr w:type="spellStart"/>
      <w:r w:rsidRPr="00C52900">
        <w:rPr>
          <w:rFonts w:ascii="Arial" w:eastAsiaTheme="minorHAnsi" w:hAnsi="Arial"/>
          <w:lang w:eastAsia="en-US"/>
        </w:rPr>
        <w:t>Dweck</w:t>
      </w:r>
      <w:proofErr w:type="spellEnd"/>
      <w:r w:rsidRPr="00C52900">
        <w:rPr>
          <w:rFonts w:ascii="Arial" w:eastAsiaTheme="minorHAnsi" w:hAnsi="Arial"/>
          <w:lang w:eastAsia="en-US"/>
        </w:rPr>
        <w:t>, 2006). A review of the research suggests that this is an area requiring direct attention within primary schools (</w:t>
      </w:r>
      <w:proofErr w:type="spellStart"/>
      <w:r w:rsidRPr="00C52900">
        <w:rPr>
          <w:rFonts w:ascii="Arial" w:eastAsiaTheme="minorHAnsi" w:hAnsi="Arial"/>
          <w:lang w:eastAsia="en-US"/>
        </w:rPr>
        <w:t>Savvides</w:t>
      </w:r>
      <w:proofErr w:type="spellEnd"/>
      <w:r w:rsidRPr="00C52900">
        <w:rPr>
          <w:rFonts w:ascii="Arial" w:eastAsiaTheme="minorHAnsi" w:hAnsi="Arial"/>
          <w:lang w:eastAsia="en-US"/>
        </w:rPr>
        <w:t xml:space="preserve"> and Bond, 2021). Some pupils respond to interventions by using mistakes positively to learn from them, but some are resistant and find mistakes difficult (Fraser, 2017). A key factor in supporting pupils to persevere in the face of challenges is the language used by pupils and teachers in the classroom (</w:t>
      </w:r>
      <w:proofErr w:type="spellStart"/>
      <w:r w:rsidRPr="00C52900">
        <w:rPr>
          <w:rFonts w:ascii="Arial" w:eastAsiaTheme="minorHAnsi" w:hAnsi="Arial"/>
          <w:lang w:eastAsia="en-US"/>
        </w:rPr>
        <w:t>Savvides</w:t>
      </w:r>
      <w:proofErr w:type="spellEnd"/>
      <w:r w:rsidRPr="00C52900">
        <w:rPr>
          <w:rFonts w:ascii="Arial" w:eastAsiaTheme="minorHAnsi" w:hAnsi="Arial"/>
          <w:lang w:eastAsia="en-US"/>
        </w:rPr>
        <w:t xml:space="preserve"> and Bond, 2021). When teachers create a culture of collaboration, trust,</w:t>
      </w:r>
      <w:r w:rsidR="00C36427">
        <w:rPr>
          <w:rFonts w:ascii="Arial" w:eastAsiaTheme="minorHAnsi" w:hAnsi="Arial"/>
          <w:lang w:eastAsia="en-US"/>
        </w:rPr>
        <w:t xml:space="preserve"> </w:t>
      </w:r>
      <w:r w:rsidRPr="00C52900">
        <w:rPr>
          <w:rFonts w:ascii="Arial" w:eastAsiaTheme="minorHAnsi" w:hAnsi="Arial"/>
          <w:lang w:eastAsia="en-US"/>
        </w:rPr>
        <w:t>an appreciation of difference and where pupils take responsibility for their learning, they can use questioning as an effective AfL strategy, because pupils are willing to honestly share where they are in their learning journey (Heritage</w:t>
      </w:r>
      <w:r w:rsidR="00E3233A">
        <w:rPr>
          <w:rFonts w:ascii="Arial" w:eastAsiaTheme="minorHAnsi" w:hAnsi="Arial"/>
          <w:lang w:eastAsia="en-US"/>
        </w:rPr>
        <w:t xml:space="preserve"> and Heritage</w:t>
      </w:r>
      <w:r w:rsidR="00A93DAA">
        <w:rPr>
          <w:rFonts w:ascii="Arial" w:eastAsiaTheme="minorHAnsi" w:hAnsi="Arial"/>
          <w:lang w:eastAsia="en-US"/>
        </w:rPr>
        <w:t>,</w:t>
      </w:r>
      <w:r w:rsidRPr="00C52900">
        <w:rPr>
          <w:rFonts w:ascii="Arial" w:eastAsiaTheme="minorHAnsi" w:hAnsi="Arial"/>
          <w:lang w:eastAsia="en-US"/>
        </w:rPr>
        <w:t xml:space="preserve"> 2013). This classroom culture is a prerequisite in enabling teachers to gain an insight into their pupils’ learning, and the research suggests it can be created through the adoption and active promotion of a growth mindset.  </w:t>
      </w:r>
    </w:p>
    <w:p w14:paraId="0E995BD7" w14:textId="77777777" w:rsidR="002A5ECB" w:rsidRPr="00C52900" w:rsidRDefault="002A5ECB" w:rsidP="00C52900">
      <w:pPr>
        <w:spacing w:line="360" w:lineRule="auto"/>
        <w:rPr>
          <w:rFonts w:ascii="Arial" w:eastAsiaTheme="minorHAnsi" w:hAnsi="Arial"/>
          <w:lang w:eastAsia="en-US"/>
        </w:rPr>
      </w:pPr>
    </w:p>
    <w:p w14:paraId="04A70FB9" w14:textId="2C64F45D" w:rsidR="00C52900" w:rsidRPr="00C52900" w:rsidRDefault="00C52900" w:rsidP="00C52900">
      <w:pPr>
        <w:spacing w:line="360" w:lineRule="auto"/>
        <w:rPr>
          <w:rFonts w:ascii="Arial" w:eastAsiaTheme="minorHAnsi" w:hAnsi="Arial"/>
          <w:b/>
          <w:bCs/>
          <w:sz w:val="28"/>
          <w:szCs w:val="28"/>
          <w:lang w:eastAsia="en-US"/>
        </w:rPr>
      </w:pPr>
      <w:r w:rsidRPr="00C52900">
        <w:rPr>
          <w:rFonts w:ascii="Arial" w:eastAsiaTheme="minorHAnsi" w:hAnsi="Arial"/>
          <w:b/>
          <w:bCs/>
          <w:sz w:val="28"/>
          <w:szCs w:val="28"/>
          <w:lang w:eastAsia="en-US"/>
        </w:rPr>
        <w:t>Reflection/evaluation and next steps</w:t>
      </w:r>
      <w:r w:rsidR="002A5ECB" w:rsidRPr="002A5ECB">
        <w:rPr>
          <w:rFonts w:ascii="Arial" w:eastAsiaTheme="minorHAnsi" w:hAnsi="Arial"/>
          <w:b/>
          <w:bCs/>
          <w:sz w:val="28"/>
          <w:szCs w:val="28"/>
          <w:lang w:eastAsia="en-US"/>
        </w:rPr>
        <w:t>.</w:t>
      </w:r>
    </w:p>
    <w:p w14:paraId="1812F0EB" w14:textId="0E0EC56E"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Viewing “assessment for learning” as one homogenous, tick-box activity, is not representative of what the research suggests is effective, nor what happens in the day-to-day activities of the classroom. From my observation and subsequent research into AfL, I have a more thorough appreciation of the different strands of AfL and how these can be used in developing pupils’ learning. </w:t>
      </w:r>
    </w:p>
    <w:p w14:paraId="67B8C84D" w14:textId="77777777" w:rsidR="00A060B0" w:rsidRPr="00C52900" w:rsidRDefault="00A060B0" w:rsidP="00C52900">
      <w:pPr>
        <w:spacing w:line="360" w:lineRule="auto"/>
        <w:rPr>
          <w:rFonts w:ascii="Arial" w:eastAsiaTheme="minorHAnsi" w:hAnsi="Arial"/>
          <w:lang w:eastAsia="en-US"/>
        </w:rPr>
      </w:pPr>
    </w:p>
    <w:p w14:paraId="29B13081" w14:textId="2DC11E1A"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 xml:space="preserve">Questioning was the focus of my critical incident and thus my research. I observed questioning being used in the classroom and identified it as being critical. I saw the teacher using mini whiteboards to check the pupils' current knowledge of the maths topic </w:t>
      </w:r>
      <w:r w:rsidR="00072128">
        <w:rPr>
          <w:rFonts w:ascii="Arial" w:eastAsiaTheme="minorHAnsi" w:hAnsi="Arial"/>
          <w:lang w:eastAsia="en-US"/>
        </w:rPr>
        <w:t>‘</w:t>
      </w:r>
      <w:r w:rsidRPr="00C52900">
        <w:rPr>
          <w:rFonts w:ascii="Arial" w:eastAsiaTheme="minorHAnsi" w:hAnsi="Arial"/>
          <w:lang w:eastAsia="en-US"/>
        </w:rPr>
        <w:t>rounding</w:t>
      </w:r>
      <w:r w:rsidR="00072128">
        <w:rPr>
          <w:rFonts w:ascii="Arial" w:eastAsiaTheme="minorHAnsi" w:hAnsi="Arial"/>
          <w:lang w:eastAsia="en-US"/>
        </w:rPr>
        <w:t>’</w:t>
      </w:r>
      <w:r w:rsidRPr="00C52900">
        <w:rPr>
          <w:rFonts w:ascii="Arial" w:eastAsiaTheme="minorHAnsi" w:hAnsi="Arial"/>
          <w:lang w:eastAsia="en-US"/>
        </w:rPr>
        <w:t xml:space="preserve"> and adjusting their lesson plan as a result. My subsequent research highlighted the importance of having an understanding of what knowledge pupils already hold and the role AfL plays</w:t>
      </w:r>
      <w:r w:rsidR="002A766A">
        <w:rPr>
          <w:rFonts w:ascii="Arial" w:eastAsiaTheme="minorHAnsi" w:hAnsi="Arial"/>
          <w:lang w:eastAsia="en-US"/>
        </w:rPr>
        <w:t>. It</w:t>
      </w:r>
      <w:r w:rsidRPr="00C52900">
        <w:rPr>
          <w:rFonts w:ascii="Arial" w:eastAsiaTheme="minorHAnsi" w:hAnsi="Arial"/>
          <w:lang w:eastAsia="en-US"/>
        </w:rPr>
        <w:t xml:space="preserve"> act</w:t>
      </w:r>
      <w:r w:rsidR="002A766A">
        <w:rPr>
          <w:rFonts w:ascii="Arial" w:eastAsiaTheme="minorHAnsi" w:hAnsi="Arial"/>
          <w:lang w:eastAsia="en-US"/>
        </w:rPr>
        <w:t xml:space="preserve">s </w:t>
      </w:r>
      <w:r w:rsidRPr="00C52900">
        <w:rPr>
          <w:rFonts w:ascii="Arial" w:eastAsiaTheme="minorHAnsi" w:hAnsi="Arial"/>
          <w:lang w:eastAsia="en-US"/>
        </w:rPr>
        <w:t xml:space="preserve">as the bridge between what pupils currently know and what the teacher </w:t>
      </w:r>
      <w:r w:rsidRPr="00C52900">
        <w:rPr>
          <w:rFonts w:ascii="Arial" w:eastAsiaTheme="minorHAnsi" w:hAnsi="Arial"/>
          <w:lang w:eastAsia="en-US"/>
        </w:rPr>
        <w:lastRenderedPageBreak/>
        <w:t>wants them to learn (Brod, 2021). Therefore, in my lesson</w:t>
      </w:r>
      <w:r w:rsidR="002A766A">
        <w:rPr>
          <w:rFonts w:ascii="Arial" w:eastAsiaTheme="minorHAnsi" w:hAnsi="Arial"/>
          <w:lang w:eastAsia="en-US"/>
        </w:rPr>
        <w:t>s</w:t>
      </w:r>
      <w:r w:rsidRPr="00C52900">
        <w:rPr>
          <w:rFonts w:ascii="Arial" w:eastAsiaTheme="minorHAnsi" w:hAnsi="Arial"/>
          <w:lang w:eastAsia="en-US"/>
        </w:rPr>
        <w:t xml:space="preserve">, I will plan time for assessing where pupils are before starting a new topic and also at key checkpoints in a lesson. I plan to try out a range of techniques, like mini whiteboards or self-assessment ratings, as a quick way of gathering this feedback. Building these techniques into my lessons will allow me to make a judgment of where the pupils are in their learning and thus plan to help them progress. Critically, I observed the teacher using their professional judgement to adapt their lesson plan based on the information they gathered from the AfL. I think this is a vital step. It’s one thing to assess where the pupils are, but </w:t>
      </w:r>
      <w:r w:rsidR="00C33F30">
        <w:rPr>
          <w:rFonts w:ascii="Arial" w:eastAsiaTheme="minorHAnsi" w:hAnsi="Arial"/>
          <w:lang w:eastAsia="en-US"/>
        </w:rPr>
        <w:t>more important is</w:t>
      </w:r>
      <w:r w:rsidRPr="00C52900">
        <w:rPr>
          <w:rFonts w:ascii="Arial" w:eastAsiaTheme="minorHAnsi" w:hAnsi="Arial"/>
          <w:lang w:eastAsia="en-US"/>
        </w:rPr>
        <w:t xml:space="preserve"> having the knowledge and expertise to adapt the lesson accordingly. As a trainee teacher, I imagine it’s tempting to stick rigidly to the lesson plan and lack</w:t>
      </w:r>
      <w:r w:rsidR="00931936">
        <w:rPr>
          <w:rFonts w:ascii="Arial" w:eastAsiaTheme="minorHAnsi" w:hAnsi="Arial"/>
          <w:lang w:eastAsia="en-US"/>
        </w:rPr>
        <w:t xml:space="preserve"> </w:t>
      </w:r>
      <w:r w:rsidRPr="00C52900">
        <w:rPr>
          <w:rFonts w:ascii="Arial" w:eastAsiaTheme="minorHAnsi" w:hAnsi="Arial"/>
          <w:lang w:eastAsia="en-US"/>
        </w:rPr>
        <w:t>confidence</w:t>
      </w:r>
      <w:r w:rsidR="00931936">
        <w:rPr>
          <w:rFonts w:ascii="Arial" w:eastAsiaTheme="minorHAnsi" w:hAnsi="Arial"/>
          <w:lang w:eastAsia="en-US"/>
        </w:rPr>
        <w:t xml:space="preserve"> in </w:t>
      </w:r>
      <w:r w:rsidRPr="00C52900">
        <w:rPr>
          <w:rFonts w:ascii="Arial" w:eastAsiaTheme="minorHAnsi" w:hAnsi="Arial"/>
          <w:lang w:eastAsia="en-US"/>
        </w:rPr>
        <w:t>mak</w:t>
      </w:r>
      <w:r w:rsidR="00931936">
        <w:rPr>
          <w:rFonts w:ascii="Arial" w:eastAsiaTheme="minorHAnsi" w:hAnsi="Arial"/>
          <w:lang w:eastAsia="en-US"/>
        </w:rPr>
        <w:t>ing</w:t>
      </w:r>
      <w:r w:rsidRPr="00C52900">
        <w:rPr>
          <w:rFonts w:ascii="Arial" w:eastAsiaTheme="minorHAnsi" w:hAnsi="Arial"/>
          <w:lang w:eastAsia="en-US"/>
        </w:rPr>
        <w:t xml:space="preserve"> in-the-moment adaptations, even if they do benefit the pupils learning. Developing this professional judgement will be one of my key goals in teaching training, as I have learnt from the research how important this is for pupils’ learning. Additionally, “assessment” and “progression in learning” are pedagogy professional standards and using AfL in this way will help me to demonstrate that I meet these standards. </w:t>
      </w:r>
    </w:p>
    <w:p w14:paraId="64AC9FBD" w14:textId="77777777" w:rsidR="00931936" w:rsidRPr="00C52900" w:rsidRDefault="00931936" w:rsidP="00C52900">
      <w:pPr>
        <w:spacing w:line="360" w:lineRule="auto"/>
        <w:rPr>
          <w:rFonts w:ascii="Arial" w:eastAsiaTheme="minorHAnsi" w:hAnsi="Arial"/>
          <w:lang w:eastAsia="en-US"/>
        </w:rPr>
      </w:pPr>
    </w:p>
    <w:p w14:paraId="0D9E8322" w14:textId="5C05E6C9" w:rsidR="00C52900" w:rsidRP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I observed the teacher using lollipop sticks to select pupils to answer questions. I identified this as critical as it increased pupil engagement and I noticed that it provided the teacher with a non-biased assessment of understanding in the class. In my research, I learnt that these observations are supported by empirical evidence; Wylie and Lyon (2015) stress the importance of engagement in facilitating learning. Wiliam and Siobhan (2016) discuss using cold calling as an effective questioning method, particularly highlighting its role in providing the teacher with a non-biased assessment of where the class are in their learning. I plan to use the lollipop technique in my lessons for both of these reasons. This will support me in meeting the pedagogical professional standard of “engagement” and also “assessment”. However, their research indicated that there was more to consider when implementing this type of questioning method</w:t>
      </w:r>
      <w:r w:rsidR="00B57CE0">
        <w:rPr>
          <w:rFonts w:ascii="Arial" w:eastAsiaTheme="minorHAnsi" w:hAnsi="Arial"/>
          <w:lang w:eastAsia="en-US"/>
        </w:rPr>
        <w:t xml:space="preserve">. </w:t>
      </w:r>
      <w:r w:rsidRPr="00C52900">
        <w:rPr>
          <w:rFonts w:ascii="Arial" w:eastAsiaTheme="minorHAnsi" w:hAnsi="Arial"/>
          <w:lang w:eastAsia="en-US"/>
        </w:rPr>
        <w:t xml:space="preserve">There was mixed research on the effect of cold calling on student well-being, particularly anxiety around answering questions in class (Cooper, Downing and Browne, 2018, </w:t>
      </w:r>
      <w:proofErr w:type="spellStart"/>
      <w:r w:rsidRPr="00C52900">
        <w:rPr>
          <w:rFonts w:ascii="Arial" w:eastAsiaTheme="minorHAnsi" w:hAnsi="Arial"/>
          <w:lang w:eastAsia="en-US"/>
        </w:rPr>
        <w:t>Dallimore</w:t>
      </w:r>
      <w:proofErr w:type="spellEnd"/>
      <w:r w:rsidRPr="00C52900">
        <w:rPr>
          <w:rFonts w:ascii="Arial" w:eastAsiaTheme="minorHAnsi" w:hAnsi="Arial"/>
          <w:lang w:eastAsia="en-US"/>
        </w:rPr>
        <w:t xml:space="preserve">, </w:t>
      </w:r>
      <w:proofErr w:type="spellStart"/>
      <w:r w:rsidRPr="00C52900">
        <w:rPr>
          <w:rFonts w:ascii="Arial" w:eastAsiaTheme="minorHAnsi" w:hAnsi="Arial"/>
          <w:lang w:eastAsia="en-US"/>
        </w:rPr>
        <w:t>Hertenstein</w:t>
      </w:r>
      <w:proofErr w:type="spellEnd"/>
      <w:r w:rsidRPr="00C52900">
        <w:rPr>
          <w:rFonts w:ascii="Arial" w:eastAsiaTheme="minorHAnsi" w:hAnsi="Arial"/>
          <w:lang w:eastAsia="en-US"/>
        </w:rPr>
        <w:t xml:space="preserve">, and Platt, 2013). I saw from my observation that some </w:t>
      </w:r>
      <w:r w:rsidR="00952659">
        <w:rPr>
          <w:rFonts w:ascii="Arial" w:eastAsiaTheme="minorHAnsi" w:hAnsi="Arial"/>
          <w:lang w:eastAsia="en-US"/>
        </w:rPr>
        <w:t>pupils</w:t>
      </w:r>
      <w:r w:rsidRPr="00C52900">
        <w:rPr>
          <w:rFonts w:ascii="Arial" w:eastAsiaTheme="minorHAnsi" w:hAnsi="Arial"/>
          <w:lang w:eastAsia="en-US"/>
        </w:rPr>
        <w:t xml:space="preserve"> are more confident than others in answering questions in class. The teacher’s encouragement and the atmosphere in the classroom are important in ensuring that pupils feel confident to take risks and make mistakes and use these as learning opportunities and not shut down when they get things incorrect. As I am establishing myself in the classroom, I will use the research on growth mindset (</w:t>
      </w:r>
      <w:proofErr w:type="spellStart"/>
      <w:r w:rsidRPr="00C52900">
        <w:rPr>
          <w:rFonts w:ascii="Arial" w:eastAsiaTheme="minorHAnsi" w:hAnsi="Arial"/>
          <w:lang w:eastAsia="en-US"/>
        </w:rPr>
        <w:t>Dweck</w:t>
      </w:r>
      <w:proofErr w:type="spellEnd"/>
      <w:r w:rsidRPr="00C52900">
        <w:rPr>
          <w:rFonts w:ascii="Arial" w:eastAsiaTheme="minorHAnsi" w:hAnsi="Arial"/>
          <w:lang w:eastAsia="en-US"/>
        </w:rPr>
        <w:t>, 2006) to ensure I am not encouraging a fixed mindset in students. Praising effort, being interested in mistakes and what we can learn from them and focusing on building a trusting relationship with my pupils are all steps I will take towards this aim. </w:t>
      </w:r>
    </w:p>
    <w:p w14:paraId="151960A8" w14:textId="4DBD9EED" w:rsid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lastRenderedPageBreak/>
        <w:t>An area that I have not yet researched, nor seen in my observation, is how AfL techniques can or should be adapted to specific student needs, like those who have additional learning needs. For example, if pupils struggle with writing, they may struggle with writing their answers on the mini whiteboards. To cope with this, I will have to think about the circumstances in which mini whiteboards are used. It wouldn’t necessarily work, for example, if the answer required pupils to write long sentences. Shorter answers, like in maths, or having pupils select ‘A’, ‘B’, or ‘C’ for example, are more appropriate for mini whiteboards and would not cognitively overload pupils who struggle with writing. </w:t>
      </w:r>
    </w:p>
    <w:p w14:paraId="7E86B758" w14:textId="77777777" w:rsidR="00105CFB" w:rsidRPr="00C52900" w:rsidRDefault="00105CFB" w:rsidP="00C52900">
      <w:pPr>
        <w:spacing w:line="360" w:lineRule="auto"/>
        <w:rPr>
          <w:rFonts w:ascii="Arial" w:eastAsiaTheme="minorHAnsi" w:hAnsi="Arial"/>
          <w:lang w:eastAsia="en-US"/>
        </w:rPr>
      </w:pPr>
    </w:p>
    <w:p w14:paraId="099DD471" w14:textId="1134B597" w:rsidR="00C52900" w:rsidRPr="00C52900" w:rsidRDefault="00C52900" w:rsidP="00C52900">
      <w:pPr>
        <w:spacing w:line="360" w:lineRule="auto"/>
        <w:rPr>
          <w:rFonts w:ascii="Arial" w:eastAsiaTheme="minorHAnsi" w:hAnsi="Arial"/>
          <w:b/>
          <w:bCs/>
          <w:sz w:val="28"/>
          <w:szCs w:val="28"/>
          <w:lang w:eastAsia="en-US"/>
        </w:rPr>
      </w:pPr>
      <w:r w:rsidRPr="00C52900">
        <w:rPr>
          <w:rFonts w:ascii="Arial" w:eastAsiaTheme="minorHAnsi" w:hAnsi="Arial"/>
          <w:b/>
          <w:bCs/>
          <w:sz w:val="28"/>
          <w:szCs w:val="28"/>
          <w:lang w:eastAsia="en-US"/>
        </w:rPr>
        <w:t>Conclusion</w:t>
      </w:r>
      <w:r w:rsidR="00105CFB" w:rsidRPr="00105CFB">
        <w:rPr>
          <w:rFonts w:ascii="Arial" w:eastAsiaTheme="minorHAnsi" w:hAnsi="Arial"/>
          <w:b/>
          <w:bCs/>
          <w:sz w:val="28"/>
          <w:szCs w:val="28"/>
          <w:lang w:eastAsia="en-US"/>
        </w:rPr>
        <w:t>.</w:t>
      </w:r>
      <w:r w:rsidRPr="00C52900">
        <w:rPr>
          <w:rFonts w:ascii="Arial" w:eastAsiaTheme="minorHAnsi" w:hAnsi="Arial"/>
          <w:b/>
          <w:bCs/>
          <w:sz w:val="28"/>
          <w:szCs w:val="28"/>
          <w:lang w:eastAsia="en-US"/>
        </w:rPr>
        <w:t> </w:t>
      </w:r>
    </w:p>
    <w:p w14:paraId="06EBAA80" w14:textId="5DCB786E" w:rsidR="00C52900" w:rsidRPr="00C52900" w:rsidRDefault="00C52900" w:rsidP="00C52900">
      <w:pPr>
        <w:spacing w:line="360" w:lineRule="auto"/>
        <w:rPr>
          <w:rFonts w:ascii="Arial" w:eastAsiaTheme="minorHAnsi" w:hAnsi="Arial"/>
          <w:lang w:eastAsia="en-US"/>
        </w:rPr>
      </w:pPr>
      <w:r w:rsidRPr="00C52900">
        <w:rPr>
          <w:rFonts w:ascii="Arial" w:eastAsiaTheme="minorHAnsi" w:hAnsi="Arial"/>
          <w:lang w:eastAsia="en-US"/>
        </w:rPr>
        <w:t>In conclusion, Tripp’s (2012) critical incident analysis provided a useful framework which enabled me to look inside the ‘black box’ of the classroom. I observed a relatively simple technique- a different way of gathering answers from pupils- and first saw the impact this could have on engaging all pupils in the classroom. Then, from my additional thinking and research, I reflected on the important impact of ‘no hands up’ as an AfL technique. In particular, how it ensures that teachers collect a non-biased assessment of where the learning is in their class, so they can plan how to move the learning on. This, paired with built-in check-in points, like at the start of a new topic or mid-way through a lesson, provide ample opportunity for the teacher to gather evidence of where the learners are. This information can then be used by skilled practitioners to refine their teaching towards highly effective practice. As the research indicates, this has vital benefits in improving the outcomes of learners, a key aim of the new curriculum for wales. Therefore, developing my use of AfL in the classroom is a</w:t>
      </w:r>
      <w:r w:rsidR="00793901">
        <w:rPr>
          <w:rFonts w:ascii="Arial" w:eastAsiaTheme="minorHAnsi" w:hAnsi="Arial"/>
          <w:lang w:eastAsia="en-US"/>
        </w:rPr>
        <w:t xml:space="preserve"> </w:t>
      </w:r>
      <w:r w:rsidRPr="00C52900">
        <w:rPr>
          <w:rFonts w:ascii="Arial" w:eastAsiaTheme="minorHAnsi" w:hAnsi="Arial"/>
          <w:lang w:eastAsia="en-US"/>
        </w:rPr>
        <w:t>goal of mine. Being a reflective practitioner, spending time to stop and think about the day-to-day goings on in the classroom and evaluating how decisions are impacting the learners is a vital part of developing as a teacher. It enables problem-solving and develops professional judgement, which are vital things for teachers to hold in this demanding profession. Reflection enables teachers to ensure they are meeting the Professional Standards for Teaching and Learning, and that they are being the best possible teachers for the learners in their class.</w:t>
      </w:r>
      <w:r w:rsidR="002F571B">
        <w:rPr>
          <w:rFonts w:ascii="Arial" w:eastAsiaTheme="minorHAnsi" w:hAnsi="Arial"/>
          <w:lang w:eastAsia="en-US"/>
        </w:rPr>
        <w:t xml:space="preserve"> </w:t>
      </w:r>
    </w:p>
    <w:p w14:paraId="19F8B3DD" w14:textId="77777777" w:rsidR="00C52900" w:rsidRPr="00C52900" w:rsidRDefault="00C52900" w:rsidP="00C52900">
      <w:pPr>
        <w:spacing w:line="360" w:lineRule="auto"/>
        <w:rPr>
          <w:rFonts w:ascii="Arial" w:eastAsiaTheme="minorHAnsi" w:hAnsi="Arial"/>
          <w:lang w:eastAsia="en-US"/>
        </w:rPr>
      </w:pPr>
    </w:p>
    <w:p w14:paraId="7518E412" w14:textId="77777777" w:rsidR="00C52900" w:rsidRPr="00C52900" w:rsidRDefault="00C52900" w:rsidP="00C52900">
      <w:pPr>
        <w:spacing w:line="360" w:lineRule="auto"/>
        <w:rPr>
          <w:rFonts w:ascii="Arial" w:eastAsiaTheme="minorHAnsi" w:hAnsi="Arial"/>
          <w:lang w:eastAsia="en-US"/>
        </w:rPr>
      </w:pPr>
    </w:p>
    <w:p w14:paraId="56F28EFB" w14:textId="77777777" w:rsidR="00C52900" w:rsidRPr="00C52900" w:rsidRDefault="00C52900" w:rsidP="00C52900">
      <w:pPr>
        <w:spacing w:line="360" w:lineRule="auto"/>
        <w:rPr>
          <w:rFonts w:ascii="Arial" w:eastAsiaTheme="minorHAnsi" w:hAnsi="Arial"/>
          <w:lang w:eastAsia="en-US"/>
        </w:rPr>
      </w:pPr>
    </w:p>
    <w:p w14:paraId="32642A8C" w14:textId="77777777" w:rsidR="00C52900" w:rsidRPr="00C52900" w:rsidRDefault="00C52900" w:rsidP="00C52900">
      <w:pPr>
        <w:spacing w:line="360" w:lineRule="auto"/>
        <w:rPr>
          <w:rFonts w:ascii="Arial" w:eastAsiaTheme="minorHAnsi" w:hAnsi="Arial"/>
          <w:lang w:eastAsia="en-US"/>
        </w:rPr>
      </w:pPr>
    </w:p>
    <w:p w14:paraId="47C0FDE6" w14:textId="77777777" w:rsidR="00C52900" w:rsidRPr="00C52900" w:rsidRDefault="00C52900" w:rsidP="00C52900">
      <w:pPr>
        <w:spacing w:line="360" w:lineRule="auto"/>
        <w:rPr>
          <w:rFonts w:ascii="Arial" w:eastAsiaTheme="minorHAnsi" w:hAnsi="Arial"/>
          <w:lang w:eastAsia="en-US"/>
        </w:rPr>
      </w:pPr>
    </w:p>
    <w:p w14:paraId="51D92D81" w14:textId="77777777" w:rsidR="00C52900" w:rsidRPr="00C52900" w:rsidRDefault="00C52900" w:rsidP="00C52900">
      <w:pPr>
        <w:spacing w:line="360" w:lineRule="auto"/>
        <w:rPr>
          <w:rFonts w:ascii="Arial" w:eastAsiaTheme="minorHAnsi" w:hAnsi="Arial"/>
          <w:lang w:eastAsia="en-US"/>
        </w:rPr>
      </w:pPr>
    </w:p>
    <w:p w14:paraId="4A03B18B" w14:textId="77777777" w:rsidR="00C52900" w:rsidRPr="00C52900" w:rsidRDefault="00C52900" w:rsidP="00C52900">
      <w:pPr>
        <w:spacing w:line="360" w:lineRule="auto"/>
        <w:rPr>
          <w:rFonts w:ascii="Arial" w:eastAsiaTheme="minorHAnsi" w:hAnsi="Arial"/>
          <w:lang w:eastAsia="en-US"/>
        </w:rPr>
      </w:pPr>
    </w:p>
    <w:p w14:paraId="4E76D9A0" w14:textId="1F1FB443" w:rsidR="00505586" w:rsidRDefault="00C52900" w:rsidP="00D514D3">
      <w:pPr>
        <w:spacing w:line="360" w:lineRule="auto"/>
        <w:rPr>
          <w:rFonts w:ascii="Arial" w:eastAsiaTheme="minorHAnsi" w:hAnsi="Arial"/>
          <w:b/>
          <w:bCs/>
          <w:lang w:eastAsia="en-US"/>
        </w:rPr>
      </w:pPr>
      <w:r w:rsidRPr="00C52900">
        <w:rPr>
          <w:rFonts w:ascii="Arial" w:eastAsiaTheme="minorHAnsi" w:hAnsi="Arial"/>
          <w:b/>
          <w:bCs/>
          <w:lang w:eastAsia="en-US"/>
        </w:rPr>
        <w:lastRenderedPageBreak/>
        <w:t xml:space="preserve">References </w:t>
      </w:r>
    </w:p>
    <w:p w14:paraId="1E5321F8" w14:textId="77777777" w:rsidR="00D514D3" w:rsidRPr="0018575A" w:rsidRDefault="00D514D3" w:rsidP="00D514D3">
      <w:pPr>
        <w:spacing w:line="360" w:lineRule="auto"/>
        <w:rPr>
          <w:rFonts w:ascii="Arial" w:eastAsiaTheme="minorHAnsi" w:hAnsi="Arial"/>
          <w:b/>
          <w:bCs/>
          <w:lang w:eastAsia="en-US"/>
        </w:rPr>
      </w:pPr>
    </w:p>
    <w:p w14:paraId="530E4948" w14:textId="661E2493" w:rsidR="00CE2584" w:rsidRPr="0018575A" w:rsidRDefault="00CE2584" w:rsidP="00D514D3">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C52900">
        <w:rPr>
          <w:rFonts w:ascii="Arial" w:hAnsi="Arial" w:cs="Arial"/>
          <w:color w:val="000000" w:themeColor="text1"/>
          <w:sz w:val="22"/>
          <w:szCs w:val="22"/>
        </w:rPr>
        <w:t>A</w:t>
      </w:r>
      <w:r w:rsidRPr="0018575A">
        <w:rPr>
          <w:rFonts w:ascii="Arial" w:hAnsi="Arial" w:cs="Arial"/>
          <w:color w:val="000000" w:themeColor="text1"/>
          <w:sz w:val="22"/>
          <w:szCs w:val="22"/>
        </w:rPr>
        <w:t>ssessment reform group</w:t>
      </w:r>
      <w:r w:rsidRPr="00C52900">
        <w:rPr>
          <w:rFonts w:ascii="Arial" w:hAnsi="Arial" w:cs="Arial"/>
          <w:color w:val="000000" w:themeColor="text1"/>
          <w:sz w:val="22"/>
          <w:szCs w:val="22"/>
        </w:rPr>
        <w:t xml:space="preserve"> (2002) </w:t>
      </w:r>
      <w:r w:rsidRPr="00C52900">
        <w:rPr>
          <w:rFonts w:ascii="Arial" w:hAnsi="Arial" w:cs="Arial"/>
          <w:i/>
          <w:iCs/>
          <w:color w:val="000000" w:themeColor="text1"/>
          <w:sz w:val="22"/>
          <w:szCs w:val="22"/>
        </w:rPr>
        <w:t>Assessment for learning: 10 principles</w:t>
      </w:r>
      <w:r w:rsidRPr="00C52900">
        <w:rPr>
          <w:rFonts w:ascii="Arial" w:hAnsi="Arial" w:cs="Arial"/>
          <w:color w:val="000000" w:themeColor="text1"/>
          <w:sz w:val="22"/>
          <w:szCs w:val="22"/>
        </w:rPr>
        <w:t xml:space="preserve"> (London, Assessment Reform Group).</w:t>
      </w:r>
    </w:p>
    <w:p w14:paraId="1132D5CA" w14:textId="4A1642D2"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Andersson, C. &amp; Palm, T. 2017, "The impact of formative assessment on student achievement: A study of the effects of changes to classroom practice after a comprehensive professional development programme",</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Learning and instruction,</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49, pp. 92-102.</w:t>
      </w:r>
    </w:p>
    <w:p w14:paraId="664062D9"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Bennett, R.E. 2011, "Formative assessment: A critical review",</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Assessment in education: principles, policy &amp; practice,</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18, no. 1, pp. 5-25.</w:t>
      </w:r>
    </w:p>
    <w:p w14:paraId="4F1D0F13"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Berglund</w:t>
      </w:r>
      <w:proofErr w:type="spellEnd"/>
      <w:r w:rsidRPr="0018575A">
        <w:rPr>
          <w:rFonts w:ascii="Arial" w:hAnsi="Arial" w:cs="Arial"/>
          <w:color w:val="000000" w:themeColor="text1"/>
          <w:sz w:val="22"/>
          <w:szCs w:val="22"/>
        </w:rPr>
        <w:t xml:space="preserve">, M., </w:t>
      </w:r>
      <w:proofErr w:type="spellStart"/>
      <w:r w:rsidRPr="0018575A">
        <w:rPr>
          <w:rFonts w:ascii="Arial" w:hAnsi="Arial" w:cs="Arial"/>
          <w:color w:val="000000" w:themeColor="text1"/>
          <w:sz w:val="22"/>
          <w:szCs w:val="22"/>
        </w:rPr>
        <w:t>Sjögren</w:t>
      </w:r>
      <w:proofErr w:type="spellEnd"/>
      <w:r w:rsidRPr="0018575A">
        <w:rPr>
          <w:rFonts w:ascii="Arial" w:hAnsi="Arial" w:cs="Arial"/>
          <w:color w:val="000000" w:themeColor="text1"/>
          <w:sz w:val="22"/>
          <w:szCs w:val="22"/>
        </w:rPr>
        <w:t xml:space="preserve">, R. &amp; </w:t>
      </w:r>
      <w:proofErr w:type="spellStart"/>
      <w:r w:rsidRPr="0018575A">
        <w:rPr>
          <w:rFonts w:ascii="Arial" w:hAnsi="Arial" w:cs="Arial"/>
          <w:color w:val="000000" w:themeColor="text1"/>
          <w:sz w:val="22"/>
          <w:szCs w:val="22"/>
        </w:rPr>
        <w:t>Ekebergh</w:t>
      </w:r>
      <w:proofErr w:type="spellEnd"/>
      <w:r w:rsidRPr="0018575A">
        <w:rPr>
          <w:rFonts w:ascii="Arial" w:hAnsi="Arial" w:cs="Arial"/>
          <w:color w:val="000000" w:themeColor="text1"/>
          <w:sz w:val="22"/>
          <w:szCs w:val="22"/>
        </w:rPr>
        <w:t>, M. 2012, "Reflect and learn together–when two supervisors interact in the learning support process of nurse education",</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Journal of nursing management,</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20, no. 2, pp. 152-158.</w:t>
      </w:r>
    </w:p>
    <w:p w14:paraId="28D8297D" w14:textId="6BF8BCF8"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Black, P., Harrison, C., Lee, C., Marshall, B. &amp; Wiliam, D. 2004, "Working inside the black box: Assessment for learning in the classroom",</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 xml:space="preserve">Phi delta </w:t>
      </w:r>
      <w:proofErr w:type="spellStart"/>
      <w:r w:rsidRPr="0018575A">
        <w:rPr>
          <w:rFonts w:ascii="Arial" w:hAnsi="Arial" w:cs="Arial"/>
          <w:i/>
          <w:iCs/>
          <w:color w:val="000000" w:themeColor="text1"/>
          <w:sz w:val="22"/>
          <w:szCs w:val="22"/>
        </w:rPr>
        <w:t>kappan</w:t>
      </w:r>
      <w:proofErr w:type="spellEnd"/>
      <w:r w:rsidRPr="0018575A">
        <w:rPr>
          <w:rFonts w:ascii="Arial" w:hAnsi="Arial" w:cs="Arial"/>
          <w:i/>
          <w:iCs/>
          <w:color w:val="000000" w:themeColor="text1"/>
          <w:sz w:val="22"/>
          <w:szCs w:val="22"/>
        </w:rPr>
        <w:t>,</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86, no. 1, pp. 8-21.</w:t>
      </w:r>
    </w:p>
    <w:p w14:paraId="407666F0" w14:textId="5D8864C5" w:rsidR="00142C96" w:rsidRPr="0018575A" w:rsidRDefault="00142C96"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Black, P. and Wiliam, D., 1998a. Assessment and classroom learning. </w:t>
      </w:r>
      <w:r w:rsidRPr="0018575A">
        <w:rPr>
          <w:rFonts w:ascii="Arial" w:hAnsi="Arial" w:cs="Arial"/>
          <w:i/>
          <w:iCs/>
          <w:color w:val="000000" w:themeColor="text1"/>
          <w:sz w:val="22"/>
          <w:szCs w:val="22"/>
        </w:rPr>
        <w:t>Assessment in Education: principles, policy &amp; practice,</w:t>
      </w:r>
      <w:r w:rsidRPr="0018575A">
        <w:rPr>
          <w:rFonts w:ascii="Arial" w:hAnsi="Arial" w:cs="Arial"/>
          <w:color w:val="000000" w:themeColor="text1"/>
          <w:sz w:val="22"/>
          <w:szCs w:val="22"/>
        </w:rPr>
        <w:t> 5(1), pp.7-74.</w:t>
      </w:r>
    </w:p>
    <w:p w14:paraId="4473635D" w14:textId="1EDCCCF6" w:rsidR="00D51FD1" w:rsidRPr="00D51FD1" w:rsidRDefault="00142C96"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D51FD1">
        <w:rPr>
          <w:rFonts w:ascii="Arial" w:hAnsi="Arial" w:cs="Arial"/>
          <w:color w:val="000000" w:themeColor="text1"/>
          <w:sz w:val="22"/>
          <w:szCs w:val="22"/>
        </w:rPr>
        <w:t xml:space="preserve">Black, P. and Wiliam, D., 1998b. Inside the black box: Raising standards through classroom assessment. Phi delta </w:t>
      </w:r>
      <w:proofErr w:type="spellStart"/>
      <w:r w:rsidRPr="00D51FD1">
        <w:rPr>
          <w:rFonts w:ascii="Arial" w:hAnsi="Arial" w:cs="Arial"/>
          <w:color w:val="000000" w:themeColor="text1"/>
          <w:sz w:val="22"/>
          <w:szCs w:val="22"/>
        </w:rPr>
        <w:t>kappan</w:t>
      </w:r>
      <w:proofErr w:type="spellEnd"/>
      <w:r w:rsidRPr="00D51FD1">
        <w:rPr>
          <w:rFonts w:ascii="Arial" w:hAnsi="Arial" w:cs="Arial"/>
          <w:color w:val="000000" w:themeColor="text1"/>
          <w:sz w:val="22"/>
          <w:szCs w:val="22"/>
        </w:rPr>
        <w:t>, 80(2), pp. 139-48.</w:t>
      </w:r>
    </w:p>
    <w:p w14:paraId="07BC753C" w14:textId="1825203B" w:rsidR="00C123F1" w:rsidRPr="0018575A" w:rsidRDefault="00D51FD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British Educational Research Association, 2011. Ethical Guidelines for Educational Research. BERA.</w:t>
      </w:r>
    </w:p>
    <w:p w14:paraId="63EA2396"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Brod, G. 2021, "Toward an understanding of when prior knowledge helps or hinders learning",</w:t>
      </w:r>
      <w:r w:rsidRPr="0018575A">
        <w:rPr>
          <w:rStyle w:val="apple-converted-space"/>
          <w:rFonts w:ascii="Arial" w:hAnsi="Arial" w:cs="Arial"/>
          <w:color w:val="000000" w:themeColor="text1"/>
          <w:sz w:val="22"/>
          <w:szCs w:val="22"/>
        </w:rPr>
        <w:t> </w:t>
      </w:r>
      <w:proofErr w:type="spellStart"/>
      <w:r w:rsidRPr="0018575A">
        <w:rPr>
          <w:rFonts w:ascii="Arial" w:hAnsi="Arial" w:cs="Arial"/>
          <w:i/>
          <w:iCs/>
          <w:color w:val="000000" w:themeColor="text1"/>
          <w:sz w:val="22"/>
          <w:szCs w:val="22"/>
        </w:rPr>
        <w:t>npj</w:t>
      </w:r>
      <w:proofErr w:type="spellEnd"/>
      <w:r w:rsidRPr="0018575A">
        <w:rPr>
          <w:rFonts w:ascii="Arial" w:hAnsi="Arial" w:cs="Arial"/>
          <w:i/>
          <w:iCs/>
          <w:color w:val="000000" w:themeColor="text1"/>
          <w:sz w:val="22"/>
          <w:szCs w:val="22"/>
        </w:rPr>
        <w:t xml:space="preserve"> Science of Learning,</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6, no. 1, pp. 1-3.</w:t>
      </w:r>
    </w:p>
    <w:p w14:paraId="28641273"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Brown, G. &amp; Harris, L. 2013, "Student self-assessment", .</w:t>
      </w:r>
    </w:p>
    <w:p w14:paraId="2224A144"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Chi, M.T. &amp; Wylie, R. 2014, "The ICAP framework: Linking cognitive engagement to active learning outcomes",</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Educational psychologist,</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49, no. 4, pp. 219-243.</w:t>
      </w:r>
    </w:p>
    <w:p w14:paraId="724B7F39"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 xml:space="preserve">Cooper, K.M., Downing, V.R. &amp; </w:t>
      </w:r>
      <w:proofErr w:type="spellStart"/>
      <w:r w:rsidRPr="0018575A">
        <w:rPr>
          <w:rFonts w:ascii="Arial" w:hAnsi="Arial" w:cs="Arial"/>
          <w:color w:val="000000" w:themeColor="text1"/>
          <w:sz w:val="22"/>
          <w:szCs w:val="22"/>
        </w:rPr>
        <w:t>Brownell</w:t>
      </w:r>
      <w:proofErr w:type="spellEnd"/>
      <w:r w:rsidRPr="0018575A">
        <w:rPr>
          <w:rFonts w:ascii="Arial" w:hAnsi="Arial" w:cs="Arial"/>
          <w:color w:val="000000" w:themeColor="text1"/>
          <w:sz w:val="22"/>
          <w:szCs w:val="22"/>
        </w:rPr>
        <w:t xml:space="preserve">, S.E. 2018, "The influence of active learning practices on student anxiety in </w:t>
      </w:r>
      <w:proofErr w:type="spellStart"/>
      <w:r w:rsidRPr="0018575A">
        <w:rPr>
          <w:rFonts w:ascii="Arial" w:hAnsi="Arial" w:cs="Arial"/>
          <w:color w:val="000000" w:themeColor="text1"/>
          <w:sz w:val="22"/>
          <w:szCs w:val="22"/>
        </w:rPr>
        <w:t>large-enrollment</w:t>
      </w:r>
      <w:proofErr w:type="spellEnd"/>
      <w:r w:rsidRPr="0018575A">
        <w:rPr>
          <w:rFonts w:ascii="Arial" w:hAnsi="Arial" w:cs="Arial"/>
          <w:color w:val="000000" w:themeColor="text1"/>
          <w:sz w:val="22"/>
          <w:szCs w:val="22"/>
        </w:rPr>
        <w:t xml:space="preserve"> college science classrooms",</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International Journal of STEM Education,</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5, no. 1, pp. 1-18.</w:t>
      </w:r>
    </w:p>
    <w:p w14:paraId="555C9F86"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lastRenderedPageBreak/>
        <w:t>Dallimore</w:t>
      </w:r>
      <w:proofErr w:type="spellEnd"/>
      <w:r w:rsidRPr="0018575A">
        <w:rPr>
          <w:rFonts w:ascii="Arial" w:hAnsi="Arial" w:cs="Arial"/>
          <w:color w:val="000000" w:themeColor="text1"/>
          <w:sz w:val="22"/>
          <w:szCs w:val="22"/>
        </w:rPr>
        <w:t xml:space="preserve">, E.J., </w:t>
      </w:r>
      <w:proofErr w:type="spellStart"/>
      <w:r w:rsidRPr="0018575A">
        <w:rPr>
          <w:rFonts w:ascii="Arial" w:hAnsi="Arial" w:cs="Arial"/>
          <w:color w:val="000000" w:themeColor="text1"/>
          <w:sz w:val="22"/>
          <w:szCs w:val="22"/>
        </w:rPr>
        <w:t>Hertenstein</w:t>
      </w:r>
      <w:proofErr w:type="spellEnd"/>
      <w:r w:rsidRPr="0018575A">
        <w:rPr>
          <w:rFonts w:ascii="Arial" w:hAnsi="Arial" w:cs="Arial"/>
          <w:color w:val="000000" w:themeColor="text1"/>
          <w:sz w:val="22"/>
          <w:szCs w:val="22"/>
        </w:rPr>
        <w:t>, J.H. &amp; Platt, M.B. 2013, "Impact of cold-calling on student voluntary participation",</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Journal of Management Education,</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37, no. 3, pp. 305-341.</w:t>
      </w:r>
    </w:p>
    <w:p w14:paraId="5D60AE38"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Dignath</w:t>
      </w:r>
      <w:proofErr w:type="spellEnd"/>
      <w:r w:rsidRPr="0018575A">
        <w:rPr>
          <w:rFonts w:ascii="Arial" w:hAnsi="Arial" w:cs="Arial"/>
          <w:color w:val="000000" w:themeColor="text1"/>
          <w:sz w:val="22"/>
          <w:szCs w:val="22"/>
        </w:rPr>
        <w:t xml:space="preserve">, C. &amp; </w:t>
      </w:r>
      <w:proofErr w:type="spellStart"/>
      <w:r w:rsidRPr="0018575A">
        <w:rPr>
          <w:rFonts w:ascii="Arial" w:hAnsi="Arial" w:cs="Arial"/>
          <w:color w:val="000000" w:themeColor="text1"/>
          <w:sz w:val="22"/>
          <w:szCs w:val="22"/>
        </w:rPr>
        <w:t>Büttner</w:t>
      </w:r>
      <w:proofErr w:type="spellEnd"/>
      <w:r w:rsidRPr="0018575A">
        <w:rPr>
          <w:rFonts w:ascii="Arial" w:hAnsi="Arial" w:cs="Arial"/>
          <w:color w:val="000000" w:themeColor="text1"/>
          <w:sz w:val="22"/>
          <w:szCs w:val="22"/>
        </w:rPr>
        <w:t>, G. 2008, "Components of fostering self-regulated learning among students. A meta-analysis on intervention studies at primary and secondary school level",</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Metacognition and learning,</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3, no. 3, pp. 231-264.</w:t>
      </w:r>
    </w:p>
    <w:p w14:paraId="610892AD"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Dochy</w:t>
      </w:r>
      <w:proofErr w:type="spellEnd"/>
      <w:r w:rsidRPr="0018575A">
        <w:rPr>
          <w:rFonts w:ascii="Arial" w:hAnsi="Arial" w:cs="Arial"/>
          <w:color w:val="000000" w:themeColor="text1"/>
          <w:sz w:val="22"/>
          <w:szCs w:val="22"/>
        </w:rPr>
        <w:t xml:space="preserve">, F., </w:t>
      </w:r>
      <w:proofErr w:type="spellStart"/>
      <w:r w:rsidRPr="0018575A">
        <w:rPr>
          <w:rFonts w:ascii="Arial" w:hAnsi="Arial" w:cs="Arial"/>
          <w:color w:val="000000" w:themeColor="text1"/>
          <w:sz w:val="22"/>
          <w:szCs w:val="22"/>
        </w:rPr>
        <w:t>Segers</w:t>
      </w:r>
      <w:proofErr w:type="spellEnd"/>
      <w:r w:rsidRPr="0018575A">
        <w:rPr>
          <w:rFonts w:ascii="Arial" w:hAnsi="Arial" w:cs="Arial"/>
          <w:color w:val="000000" w:themeColor="text1"/>
          <w:sz w:val="22"/>
          <w:szCs w:val="22"/>
        </w:rPr>
        <w:t xml:space="preserve">, M. &amp; </w:t>
      </w:r>
      <w:proofErr w:type="spellStart"/>
      <w:r w:rsidRPr="0018575A">
        <w:rPr>
          <w:rFonts w:ascii="Arial" w:hAnsi="Arial" w:cs="Arial"/>
          <w:color w:val="000000" w:themeColor="text1"/>
          <w:sz w:val="22"/>
          <w:szCs w:val="22"/>
        </w:rPr>
        <w:t>Buehl</w:t>
      </w:r>
      <w:proofErr w:type="spellEnd"/>
      <w:r w:rsidRPr="0018575A">
        <w:rPr>
          <w:rFonts w:ascii="Arial" w:hAnsi="Arial" w:cs="Arial"/>
          <w:color w:val="000000" w:themeColor="text1"/>
          <w:sz w:val="22"/>
          <w:szCs w:val="22"/>
        </w:rPr>
        <w:t>, M.M. 1999, "The relation between assessment practices and outcomes of studies: The case of research on prior knowledge",</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Review of educational research,</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69, no. 2, pp. 145-186.</w:t>
      </w:r>
    </w:p>
    <w:p w14:paraId="20EFEC1D"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Donaldson, G. 2016, "A Systematic Approach to Curriculum Reform in Wales",</w:t>
      </w:r>
      <w:r w:rsidRPr="0018575A">
        <w:rPr>
          <w:rStyle w:val="apple-converted-space"/>
          <w:rFonts w:ascii="Arial" w:hAnsi="Arial" w:cs="Arial"/>
          <w:color w:val="000000" w:themeColor="text1"/>
          <w:sz w:val="22"/>
          <w:szCs w:val="22"/>
        </w:rPr>
        <w:t> </w:t>
      </w:r>
      <w:proofErr w:type="spellStart"/>
      <w:r w:rsidRPr="0018575A">
        <w:rPr>
          <w:rFonts w:ascii="Arial" w:hAnsi="Arial" w:cs="Arial"/>
          <w:i/>
          <w:iCs/>
          <w:color w:val="000000" w:themeColor="text1"/>
          <w:sz w:val="22"/>
          <w:szCs w:val="22"/>
        </w:rPr>
        <w:t>Cylchgrawn</w:t>
      </w:r>
      <w:proofErr w:type="spellEnd"/>
      <w:r w:rsidRPr="0018575A">
        <w:rPr>
          <w:rFonts w:ascii="Arial" w:hAnsi="Arial" w:cs="Arial"/>
          <w:i/>
          <w:iCs/>
          <w:color w:val="000000" w:themeColor="text1"/>
          <w:sz w:val="22"/>
          <w:szCs w:val="22"/>
        </w:rPr>
        <w:t xml:space="preserve"> </w:t>
      </w:r>
      <w:proofErr w:type="spellStart"/>
      <w:r w:rsidRPr="0018575A">
        <w:rPr>
          <w:rFonts w:ascii="Arial" w:hAnsi="Arial" w:cs="Arial"/>
          <w:i/>
          <w:iCs/>
          <w:color w:val="000000" w:themeColor="text1"/>
          <w:sz w:val="22"/>
          <w:szCs w:val="22"/>
        </w:rPr>
        <w:t>Addysg</w:t>
      </w:r>
      <w:proofErr w:type="spellEnd"/>
      <w:r w:rsidRPr="0018575A">
        <w:rPr>
          <w:rFonts w:ascii="Arial" w:hAnsi="Arial" w:cs="Arial"/>
          <w:i/>
          <w:iCs/>
          <w:color w:val="000000" w:themeColor="text1"/>
          <w:sz w:val="22"/>
          <w:szCs w:val="22"/>
        </w:rPr>
        <w:t xml:space="preserve"> Cymru / Wales Journal of Education,</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18, no. 1.</w:t>
      </w:r>
    </w:p>
    <w:p w14:paraId="2F41D247"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Dresel</w:t>
      </w:r>
      <w:proofErr w:type="spellEnd"/>
      <w:r w:rsidRPr="0018575A">
        <w:rPr>
          <w:rFonts w:ascii="Arial" w:hAnsi="Arial" w:cs="Arial"/>
          <w:color w:val="000000" w:themeColor="text1"/>
          <w:sz w:val="22"/>
          <w:szCs w:val="22"/>
        </w:rPr>
        <w:t xml:space="preserve">, M. &amp; </w:t>
      </w:r>
      <w:proofErr w:type="spellStart"/>
      <w:r w:rsidRPr="0018575A">
        <w:rPr>
          <w:rFonts w:ascii="Arial" w:hAnsi="Arial" w:cs="Arial"/>
          <w:color w:val="000000" w:themeColor="text1"/>
          <w:sz w:val="22"/>
          <w:szCs w:val="22"/>
        </w:rPr>
        <w:t>Haugwitz</w:t>
      </w:r>
      <w:proofErr w:type="spellEnd"/>
      <w:r w:rsidRPr="0018575A">
        <w:rPr>
          <w:rFonts w:ascii="Arial" w:hAnsi="Arial" w:cs="Arial"/>
          <w:color w:val="000000" w:themeColor="text1"/>
          <w:sz w:val="22"/>
          <w:szCs w:val="22"/>
        </w:rPr>
        <w:t>, M. 2008, "A computer-based approach to fostering motivation and self-regulated learning",</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The Journal of Experimental Education,</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77, no. 1, pp. 3-20.</w:t>
      </w:r>
    </w:p>
    <w:p w14:paraId="0B2CBB0C" w14:textId="412BA222"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Dweck</w:t>
      </w:r>
      <w:proofErr w:type="spellEnd"/>
      <w:r w:rsidRPr="0018575A">
        <w:rPr>
          <w:rFonts w:ascii="Arial" w:hAnsi="Arial" w:cs="Arial"/>
          <w:color w:val="000000" w:themeColor="text1"/>
          <w:sz w:val="22"/>
          <w:szCs w:val="22"/>
        </w:rPr>
        <w:t>, C.S. 2006,</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Mindset: The new psychology of success,</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Random House.</w:t>
      </w:r>
    </w:p>
    <w:p w14:paraId="41F7BB2F" w14:textId="6530D87B" w:rsidR="007533F3" w:rsidRPr="0018575A" w:rsidRDefault="007533F3"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Estyn</w:t>
      </w:r>
      <w:proofErr w:type="spellEnd"/>
      <w:r w:rsidRPr="0018575A">
        <w:rPr>
          <w:rFonts w:ascii="Arial" w:hAnsi="Arial" w:cs="Arial"/>
          <w:color w:val="000000" w:themeColor="text1"/>
          <w:sz w:val="22"/>
          <w:szCs w:val="22"/>
        </w:rPr>
        <w:t xml:space="preserve"> (2018) </w:t>
      </w:r>
      <w:proofErr w:type="spellStart"/>
      <w:r w:rsidRPr="0018575A">
        <w:rPr>
          <w:rFonts w:ascii="Arial" w:hAnsi="Arial" w:cs="Arial"/>
          <w:i/>
          <w:iCs/>
          <w:color w:val="000000" w:themeColor="text1"/>
          <w:sz w:val="22"/>
          <w:szCs w:val="22"/>
          <w:highlight w:val="black"/>
        </w:rPr>
        <w:t>Pontarddulais</w:t>
      </w:r>
      <w:proofErr w:type="spellEnd"/>
      <w:r w:rsidRPr="0018575A">
        <w:rPr>
          <w:rFonts w:ascii="Arial" w:hAnsi="Arial" w:cs="Arial"/>
          <w:i/>
          <w:iCs/>
          <w:color w:val="000000" w:themeColor="text1"/>
          <w:sz w:val="22"/>
          <w:szCs w:val="22"/>
          <w:highlight w:val="black"/>
        </w:rPr>
        <w:t xml:space="preserve"> Primary</w:t>
      </w:r>
      <w:r w:rsidRPr="0018575A">
        <w:rPr>
          <w:rFonts w:ascii="Arial" w:hAnsi="Arial" w:cs="Arial"/>
          <w:i/>
          <w:iCs/>
          <w:color w:val="000000" w:themeColor="text1"/>
          <w:sz w:val="22"/>
          <w:szCs w:val="22"/>
        </w:rPr>
        <w:t xml:space="preserve"> school report.</w:t>
      </w:r>
      <w:r w:rsidRPr="0018575A">
        <w:rPr>
          <w:rFonts w:ascii="Arial" w:hAnsi="Arial" w:cs="Arial"/>
          <w:color w:val="000000" w:themeColor="text1"/>
          <w:sz w:val="22"/>
          <w:szCs w:val="22"/>
        </w:rPr>
        <w:t xml:space="preserve"> Available at https://www.estyn.gov.wales/system/files/2020-08/</w:t>
      </w:r>
      <w:r w:rsidRPr="0018575A">
        <w:rPr>
          <w:rFonts w:ascii="Arial" w:hAnsi="Arial" w:cs="Arial"/>
          <w:color w:val="000000" w:themeColor="text1"/>
          <w:sz w:val="22"/>
          <w:szCs w:val="22"/>
          <w:highlight w:val="black"/>
        </w:rPr>
        <w:t>Pontarddulais</w:t>
      </w:r>
      <w:r w:rsidRPr="0018575A">
        <w:rPr>
          <w:rFonts w:ascii="Arial" w:hAnsi="Arial" w:cs="Arial"/>
          <w:color w:val="000000" w:themeColor="text1"/>
          <w:sz w:val="22"/>
          <w:szCs w:val="22"/>
        </w:rPr>
        <w:t>%2520Primary%2520School.pdf (Accessed 7</w:t>
      </w:r>
      <w:r w:rsidRPr="0018575A">
        <w:rPr>
          <w:rFonts w:ascii="Arial" w:hAnsi="Arial" w:cs="Arial"/>
          <w:color w:val="000000" w:themeColor="text1"/>
          <w:sz w:val="22"/>
          <w:szCs w:val="22"/>
          <w:vertAlign w:val="superscript"/>
        </w:rPr>
        <w:t>th</w:t>
      </w:r>
      <w:r w:rsidRPr="0018575A">
        <w:rPr>
          <w:rFonts w:ascii="Arial" w:hAnsi="Arial" w:cs="Arial"/>
          <w:color w:val="000000" w:themeColor="text1"/>
          <w:sz w:val="22"/>
          <w:szCs w:val="22"/>
        </w:rPr>
        <w:t xml:space="preserve"> October 2022).</w:t>
      </w:r>
    </w:p>
    <w:p w14:paraId="4E107940"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Finlay, L. 2008, "Reflecting on ‘Reflective practice’", .</w:t>
      </w:r>
    </w:p>
    <w:p w14:paraId="69086770"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Fraser, D.M. 2018, "An exploration of the application and implementation of growth mindset principles within a primary school",</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British Journal of Educational Psychology,</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88, no. 4, pp. 645-658.</w:t>
      </w:r>
    </w:p>
    <w:p w14:paraId="02750FB4"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Griffiths, V. 2000, "The reflective dimension in teacher education",</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International Journal of Educational Research,</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33, no. 5, pp. 539-555.</w:t>
      </w:r>
    </w:p>
    <w:p w14:paraId="5FE821F6"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 xml:space="preserve">Heritage, M. &amp; Heritage, J. 2013, "Teacher questioning: The </w:t>
      </w:r>
      <w:proofErr w:type="spellStart"/>
      <w:r w:rsidRPr="0018575A">
        <w:rPr>
          <w:rFonts w:ascii="Arial" w:hAnsi="Arial" w:cs="Arial"/>
          <w:color w:val="000000" w:themeColor="text1"/>
          <w:sz w:val="22"/>
          <w:szCs w:val="22"/>
        </w:rPr>
        <w:t>epicenter</w:t>
      </w:r>
      <w:proofErr w:type="spellEnd"/>
      <w:r w:rsidRPr="0018575A">
        <w:rPr>
          <w:rFonts w:ascii="Arial" w:hAnsi="Arial" w:cs="Arial"/>
          <w:color w:val="000000" w:themeColor="text1"/>
          <w:sz w:val="22"/>
          <w:szCs w:val="22"/>
        </w:rPr>
        <w:t xml:space="preserve"> of instruction and assessment",</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Applied Measurement in Education,</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26, no. 3, pp. 176-190.</w:t>
      </w:r>
    </w:p>
    <w:p w14:paraId="676BD5B3"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Heritage, M. &amp; Wylie, C. 2018, "Reaping the benefits of assessment for learning: Achievement, identity, and equity",</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ZDM,</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50, no. 4, pp. 729-741.</w:t>
      </w:r>
    </w:p>
    <w:p w14:paraId="2EF2241F"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Hockett</w:t>
      </w:r>
      <w:proofErr w:type="spellEnd"/>
      <w:r w:rsidRPr="0018575A">
        <w:rPr>
          <w:rFonts w:ascii="Arial" w:hAnsi="Arial" w:cs="Arial"/>
          <w:color w:val="000000" w:themeColor="text1"/>
          <w:sz w:val="22"/>
          <w:szCs w:val="22"/>
        </w:rPr>
        <w:t xml:space="preserve">, J.A. &amp; </w:t>
      </w:r>
      <w:proofErr w:type="spellStart"/>
      <w:r w:rsidRPr="0018575A">
        <w:rPr>
          <w:rFonts w:ascii="Arial" w:hAnsi="Arial" w:cs="Arial"/>
          <w:color w:val="000000" w:themeColor="text1"/>
          <w:sz w:val="22"/>
          <w:szCs w:val="22"/>
        </w:rPr>
        <w:t>Doubet</w:t>
      </w:r>
      <w:proofErr w:type="spellEnd"/>
      <w:r w:rsidRPr="0018575A">
        <w:rPr>
          <w:rFonts w:ascii="Arial" w:hAnsi="Arial" w:cs="Arial"/>
          <w:color w:val="000000" w:themeColor="text1"/>
          <w:sz w:val="22"/>
          <w:szCs w:val="22"/>
        </w:rPr>
        <w:t>, K.J. 2014, "Turning on the lights: What pre-assessments can do.",</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Educational Leadership,</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71, no. 4, pp. 50-54.</w:t>
      </w:r>
    </w:p>
    <w:p w14:paraId="1A6088EA"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Kramer, M. 2018, "Promoting teachers’ agency: Reflective practice as transformative disposition",</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Reflective Practice,</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19, no. 2, pp. 211-224.</w:t>
      </w:r>
    </w:p>
    <w:p w14:paraId="3560EC8B" w14:textId="77B78B3C" w:rsidR="003011BD"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lastRenderedPageBreak/>
        <w:t>Leahy, L.T., Lyon, C. &amp; Thompson, M. "William.(2005). Classroom assessment minute by minute, Day by Day",</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Educational Leadership,</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63, no. 3, pp. 19-24.</w:t>
      </w:r>
    </w:p>
    <w:p w14:paraId="576570EF" w14:textId="69AA6FA4" w:rsidR="00D51FD1" w:rsidRPr="0018575A" w:rsidRDefault="00D51FD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C52900">
        <w:rPr>
          <w:rFonts w:ascii="Arial" w:hAnsi="Arial" w:cs="Arial"/>
          <w:color w:val="000000" w:themeColor="text1"/>
          <w:sz w:val="22"/>
          <w:szCs w:val="22"/>
        </w:rPr>
        <w:t>L</w:t>
      </w:r>
      <w:r w:rsidRPr="0018575A">
        <w:rPr>
          <w:rFonts w:ascii="Arial" w:hAnsi="Arial" w:cs="Arial"/>
          <w:color w:val="000000" w:themeColor="text1"/>
          <w:sz w:val="22"/>
          <w:szCs w:val="22"/>
        </w:rPr>
        <w:t>EAHY</w:t>
      </w:r>
      <w:r w:rsidRPr="00C52900">
        <w:rPr>
          <w:rFonts w:ascii="Arial" w:hAnsi="Arial" w:cs="Arial"/>
          <w:color w:val="000000" w:themeColor="text1"/>
          <w:sz w:val="22"/>
          <w:szCs w:val="22"/>
        </w:rPr>
        <w:t xml:space="preserve">, Siobhan and  Lyon, Christine and  Thompson, Marnie and  Wiliam, Dylan. (2005). Classroom Assessment: Minute by Minute, Day by Day In classrooms that use assessment to support learning, teachers continually adapt instruction to meet student needs. </w:t>
      </w:r>
      <w:r w:rsidRPr="00C52900">
        <w:rPr>
          <w:rFonts w:ascii="Arial" w:hAnsi="Arial" w:cs="Arial"/>
          <w:i/>
          <w:iCs/>
          <w:color w:val="000000" w:themeColor="text1"/>
          <w:sz w:val="22"/>
          <w:szCs w:val="22"/>
        </w:rPr>
        <w:t xml:space="preserve">Educational Leadership. </w:t>
      </w:r>
      <w:r w:rsidRPr="00C52900">
        <w:rPr>
          <w:rFonts w:ascii="Arial" w:hAnsi="Arial" w:cs="Arial"/>
          <w:color w:val="000000" w:themeColor="text1"/>
          <w:sz w:val="22"/>
          <w:szCs w:val="22"/>
        </w:rPr>
        <w:t>63.</w:t>
      </w:r>
    </w:p>
    <w:p w14:paraId="053FFD29"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Markkanen</w:t>
      </w:r>
      <w:proofErr w:type="spellEnd"/>
      <w:r w:rsidRPr="0018575A">
        <w:rPr>
          <w:rFonts w:ascii="Arial" w:hAnsi="Arial" w:cs="Arial"/>
          <w:color w:val="000000" w:themeColor="text1"/>
          <w:sz w:val="22"/>
          <w:szCs w:val="22"/>
        </w:rPr>
        <w:t xml:space="preserve">, P., </w:t>
      </w:r>
      <w:proofErr w:type="spellStart"/>
      <w:r w:rsidRPr="0018575A">
        <w:rPr>
          <w:rFonts w:ascii="Arial" w:hAnsi="Arial" w:cs="Arial"/>
          <w:color w:val="000000" w:themeColor="text1"/>
          <w:sz w:val="22"/>
          <w:szCs w:val="22"/>
        </w:rPr>
        <w:t>Välimäki</w:t>
      </w:r>
      <w:proofErr w:type="spellEnd"/>
      <w:r w:rsidRPr="0018575A">
        <w:rPr>
          <w:rFonts w:ascii="Arial" w:hAnsi="Arial" w:cs="Arial"/>
          <w:color w:val="000000" w:themeColor="text1"/>
          <w:sz w:val="22"/>
          <w:szCs w:val="22"/>
        </w:rPr>
        <w:t xml:space="preserve">, M., </w:t>
      </w:r>
      <w:proofErr w:type="spellStart"/>
      <w:r w:rsidRPr="0018575A">
        <w:rPr>
          <w:rFonts w:ascii="Arial" w:hAnsi="Arial" w:cs="Arial"/>
          <w:color w:val="000000" w:themeColor="text1"/>
          <w:sz w:val="22"/>
          <w:szCs w:val="22"/>
        </w:rPr>
        <w:t>Anttila</w:t>
      </w:r>
      <w:proofErr w:type="spellEnd"/>
      <w:r w:rsidRPr="0018575A">
        <w:rPr>
          <w:rFonts w:ascii="Arial" w:hAnsi="Arial" w:cs="Arial"/>
          <w:color w:val="000000" w:themeColor="text1"/>
          <w:sz w:val="22"/>
          <w:szCs w:val="22"/>
        </w:rPr>
        <w:t xml:space="preserve">, M. &amp; </w:t>
      </w:r>
      <w:proofErr w:type="spellStart"/>
      <w:r w:rsidRPr="0018575A">
        <w:rPr>
          <w:rFonts w:ascii="Arial" w:hAnsi="Arial" w:cs="Arial"/>
          <w:color w:val="000000" w:themeColor="text1"/>
          <w:sz w:val="22"/>
          <w:szCs w:val="22"/>
        </w:rPr>
        <w:t>Kuuskorpi</w:t>
      </w:r>
      <w:proofErr w:type="spellEnd"/>
      <w:r w:rsidRPr="0018575A">
        <w:rPr>
          <w:rFonts w:ascii="Arial" w:hAnsi="Arial" w:cs="Arial"/>
          <w:color w:val="000000" w:themeColor="text1"/>
          <w:sz w:val="22"/>
          <w:szCs w:val="22"/>
        </w:rPr>
        <w:t>, M. 2020, "A reflective cycle: Understanding challenging situations in a school setting",</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Educational Research,</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62, no. 1, pp. 46-62.</w:t>
      </w:r>
    </w:p>
    <w:p w14:paraId="02DFCF89" w14:textId="0B58F527" w:rsidR="00C123F1"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Mohammed, R. 2016, "Critical incident analysis: reflections of a teacher educator",</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Research in teacher education,</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6, no. 1, pp. 25-29.</w:t>
      </w:r>
    </w:p>
    <w:p w14:paraId="6EC197CE" w14:textId="5A23A6A6" w:rsidR="001F2A68" w:rsidRPr="0018575A" w:rsidRDefault="001F2A68"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F2A68">
        <w:rPr>
          <w:rFonts w:ascii="Arial" w:hAnsi="Arial" w:cs="Arial"/>
          <w:color w:val="000000" w:themeColor="text1"/>
          <w:sz w:val="22"/>
          <w:szCs w:val="22"/>
        </w:rPr>
        <w:t xml:space="preserve">OECD (2010), </w:t>
      </w:r>
      <w:r w:rsidRPr="00786D78">
        <w:rPr>
          <w:rFonts w:ascii="Arial" w:hAnsi="Arial" w:cs="Arial"/>
          <w:i/>
          <w:iCs/>
          <w:color w:val="000000" w:themeColor="text1"/>
          <w:sz w:val="22"/>
          <w:szCs w:val="22"/>
        </w:rPr>
        <w:t>PISA 2009 Results: Executive Summary</w:t>
      </w:r>
      <w:r w:rsidR="00786D78">
        <w:rPr>
          <w:rFonts w:ascii="Arial" w:hAnsi="Arial" w:cs="Arial"/>
          <w:color w:val="000000" w:themeColor="text1"/>
          <w:sz w:val="22"/>
          <w:szCs w:val="22"/>
        </w:rPr>
        <w:t>.</w:t>
      </w:r>
    </w:p>
    <w:p w14:paraId="5F2972BD"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Peña-López, I. 2019, "PISA 2018 Results. What School Life Means for Students’ Lives", .</w:t>
      </w:r>
    </w:p>
    <w:p w14:paraId="5423B0CD"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Savvides</w:t>
      </w:r>
      <w:proofErr w:type="spellEnd"/>
      <w:r w:rsidRPr="0018575A">
        <w:rPr>
          <w:rFonts w:ascii="Arial" w:hAnsi="Arial" w:cs="Arial"/>
          <w:color w:val="000000" w:themeColor="text1"/>
          <w:sz w:val="22"/>
          <w:szCs w:val="22"/>
        </w:rPr>
        <w:t>, H. &amp; Bond, C. 2021, "How does growth mindset inform interventions in primary schools? A systematic literature review",</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Educational Psychology in Practice,</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37, no. 2, pp. 134-149.</w:t>
      </w:r>
    </w:p>
    <w:p w14:paraId="784287C7"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proofErr w:type="spellStart"/>
      <w:r w:rsidRPr="0018575A">
        <w:rPr>
          <w:rFonts w:ascii="Arial" w:hAnsi="Arial" w:cs="Arial"/>
          <w:color w:val="000000" w:themeColor="text1"/>
          <w:sz w:val="22"/>
          <w:szCs w:val="22"/>
        </w:rPr>
        <w:t>Schon</w:t>
      </w:r>
      <w:proofErr w:type="spellEnd"/>
      <w:r w:rsidRPr="0018575A">
        <w:rPr>
          <w:rFonts w:ascii="Arial" w:hAnsi="Arial" w:cs="Arial"/>
          <w:color w:val="000000" w:themeColor="text1"/>
          <w:sz w:val="22"/>
          <w:szCs w:val="22"/>
        </w:rPr>
        <w:t>, D.A. 1983, "</w:t>
      </w:r>
      <w:proofErr w:type="spellStart"/>
      <w:r w:rsidRPr="0018575A">
        <w:rPr>
          <w:rFonts w:ascii="Arial" w:hAnsi="Arial" w:cs="Arial"/>
          <w:color w:val="000000" w:themeColor="text1"/>
          <w:sz w:val="22"/>
          <w:szCs w:val="22"/>
        </w:rPr>
        <w:t>Schon</w:t>
      </w:r>
      <w:proofErr w:type="spellEnd"/>
      <w:r w:rsidRPr="0018575A">
        <w:rPr>
          <w:rFonts w:ascii="Arial" w:hAnsi="Arial" w:cs="Arial"/>
          <w:color w:val="000000" w:themeColor="text1"/>
          <w:sz w:val="22"/>
          <w:szCs w:val="22"/>
        </w:rPr>
        <w:t>, Donald A. The Reflective Practitioner: How Professionals Think in Action. New York: Basic Books, 1983.", .</w:t>
      </w:r>
    </w:p>
    <w:p w14:paraId="2B5FDF4C" w14:textId="3C317C60"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Tripp, D. 2012,</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Critical incidents in teaching : developing professional judgement,</w:t>
      </w:r>
      <w:r w:rsidRPr="0018575A">
        <w:rPr>
          <w:rStyle w:val="apple-converted-space"/>
          <w:rFonts w:ascii="Arial" w:hAnsi="Arial" w:cs="Arial"/>
          <w:i/>
          <w:iCs/>
          <w:color w:val="000000" w:themeColor="text1"/>
          <w:sz w:val="22"/>
          <w:szCs w:val="22"/>
        </w:rPr>
        <w:t> </w:t>
      </w:r>
      <w:proofErr w:type="spellStart"/>
      <w:r w:rsidRPr="0018575A">
        <w:rPr>
          <w:rFonts w:ascii="Arial" w:hAnsi="Arial" w:cs="Arial"/>
          <w:color w:val="000000" w:themeColor="text1"/>
          <w:sz w:val="22"/>
          <w:szCs w:val="22"/>
        </w:rPr>
        <w:t>Routledge</w:t>
      </w:r>
      <w:proofErr w:type="spellEnd"/>
      <w:r w:rsidRPr="0018575A">
        <w:rPr>
          <w:rFonts w:ascii="Arial" w:hAnsi="Arial" w:cs="Arial"/>
          <w:color w:val="000000" w:themeColor="text1"/>
          <w:sz w:val="22"/>
          <w:szCs w:val="22"/>
        </w:rPr>
        <w:t>, London.</w:t>
      </w:r>
    </w:p>
    <w:p w14:paraId="517D536E" w14:textId="6BA96FF9" w:rsidR="003011BD" w:rsidRPr="0018575A" w:rsidRDefault="003011BD"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C52900">
        <w:rPr>
          <w:rFonts w:ascii="Arial" w:hAnsi="Arial" w:cs="Arial"/>
          <w:color w:val="000000" w:themeColor="text1"/>
          <w:sz w:val="22"/>
          <w:szCs w:val="22"/>
        </w:rPr>
        <w:t xml:space="preserve">Welsh Government (2019) </w:t>
      </w:r>
      <w:r w:rsidRPr="00C52900">
        <w:rPr>
          <w:rFonts w:ascii="Arial" w:hAnsi="Arial" w:cs="Arial"/>
          <w:i/>
          <w:iCs/>
          <w:color w:val="000000" w:themeColor="text1"/>
          <w:sz w:val="22"/>
          <w:szCs w:val="22"/>
        </w:rPr>
        <w:t>Professional standards for teaching and leadership</w:t>
      </w:r>
      <w:r w:rsidRPr="00C52900">
        <w:rPr>
          <w:rFonts w:ascii="Arial" w:hAnsi="Arial" w:cs="Arial"/>
          <w:color w:val="000000" w:themeColor="text1"/>
          <w:sz w:val="22"/>
          <w:szCs w:val="22"/>
        </w:rPr>
        <w:t xml:space="preserve"> Available at </w:t>
      </w:r>
      <w:hyperlink r:id="rId7" w:history="1">
        <w:r w:rsidRPr="00C52900">
          <w:rPr>
            <w:rFonts w:ascii="Arial" w:hAnsi="Arial" w:cs="Arial"/>
            <w:color w:val="000000" w:themeColor="text1"/>
            <w:sz w:val="22"/>
            <w:szCs w:val="22"/>
          </w:rPr>
          <w:t>https://hwb.gov.wales/api/storage/19bc948b-8a3f-41e0-944a-7bf2cadf7d18/professional-standards-for-teaching-and-leadership-interactive-pdf-for-pc.pdf</w:t>
        </w:r>
      </w:hyperlink>
      <w:r w:rsidRPr="00C52900">
        <w:rPr>
          <w:rFonts w:ascii="Arial" w:hAnsi="Arial" w:cs="Arial"/>
          <w:color w:val="000000" w:themeColor="text1"/>
          <w:sz w:val="22"/>
          <w:szCs w:val="22"/>
        </w:rPr>
        <w:t xml:space="preserve"> [Accessed 31/10/22].</w:t>
      </w:r>
    </w:p>
    <w:p w14:paraId="18061FC8"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Wiliam, D. 2011,</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Embedded formative assessment,</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Solution tree press.</w:t>
      </w:r>
    </w:p>
    <w:p w14:paraId="3DFE05D6"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Wiliam, D. &amp; Leahy, S. 2016,</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Embedding formative assessment,</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Hawker Brownlow Education.</w:t>
      </w:r>
    </w:p>
    <w:p w14:paraId="5532B5D6"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Wiliam, D., Lee, C., Harrison, C. &amp; Black, P. 2004, "Teachers developing assessment for learning: impact on student achievement",</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Assessment in education : principles, policy &amp; practice,</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11, no. 1, pp. 49-65.</w:t>
      </w:r>
    </w:p>
    <w:p w14:paraId="1576BD71"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lastRenderedPageBreak/>
        <w:t>Wiliam, D. &amp; Thompson, M. 2017, "Integrating assessment with learning: What will it take to make it work?" in</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The future of assessment</w:t>
      </w:r>
      <w:r w:rsidRPr="0018575A">
        <w:rPr>
          <w:rStyle w:val="apple-converted-space"/>
          <w:rFonts w:ascii="Arial" w:hAnsi="Arial" w:cs="Arial"/>
          <w:color w:val="000000" w:themeColor="text1"/>
          <w:sz w:val="22"/>
          <w:szCs w:val="22"/>
        </w:rPr>
        <w:t> </w:t>
      </w:r>
      <w:proofErr w:type="spellStart"/>
      <w:r w:rsidRPr="0018575A">
        <w:rPr>
          <w:rFonts w:ascii="Arial" w:hAnsi="Arial" w:cs="Arial"/>
          <w:color w:val="000000" w:themeColor="text1"/>
          <w:sz w:val="22"/>
          <w:szCs w:val="22"/>
        </w:rPr>
        <w:t>Routledge</w:t>
      </w:r>
      <w:proofErr w:type="spellEnd"/>
      <w:r w:rsidRPr="0018575A">
        <w:rPr>
          <w:rFonts w:ascii="Arial" w:hAnsi="Arial" w:cs="Arial"/>
          <w:color w:val="000000" w:themeColor="text1"/>
          <w:sz w:val="22"/>
          <w:szCs w:val="22"/>
        </w:rPr>
        <w:t>, , pp. 53-82.</w:t>
      </w:r>
    </w:p>
    <w:p w14:paraId="074E64B5"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Wylie, E.C. &amp; Lyon, C.J. 2015, "The fidelity of formative assessment implementation: Issues of breadth and quality",</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Assessment in Education: Principles, Policy &amp; Practice,</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22, no. 1, pp. 140-160.</w:t>
      </w:r>
    </w:p>
    <w:p w14:paraId="657A2042" w14:textId="77777777" w:rsidR="00C123F1" w:rsidRPr="0018575A" w:rsidRDefault="00C123F1" w:rsidP="0018575A">
      <w:pPr>
        <w:pStyle w:val="NormalWeb"/>
        <w:spacing w:before="0" w:beforeAutospacing="0" w:after="173" w:afterAutospacing="0" w:line="360" w:lineRule="auto"/>
        <w:ind w:left="450" w:hanging="450"/>
        <w:divId w:val="2021160235"/>
        <w:rPr>
          <w:rFonts w:ascii="Arial" w:hAnsi="Arial" w:cs="Arial"/>
          <w:color w:val="000000" w:themeColor="text1"/>
          <w:sz w:val="22"/>
          <w:szCs w:val="22"/>
        </w:rPr>
      </w:pPr>
      <w:r w:rsidRPr="0018575A">
        <w:rPr>
          <w:rFonts w:ascii="Arial" w:hAnsi="Arial" w:cs="Arial"/>
          <w:color w:val="000000" w:themeColor="text1"/>
          <w:sz w:val="22"/>
          <w:szCs w:val="22"/>
        </w:rPr>
        <w:t xml:space="preserve">Yeager, D.S. &amp; </w:t>
      </w:r>
      <w:proofErr w:type="spellStart"/>
      <w:r w:rsidRPr="0018575A">
        <w:rPr>
          <w:rFonts w:ascii="Arial" w:hAnsi="Arial" w:cs="Arial"/>
          <w:color w:val="000000" w:themeColor="text1"/>
          <w:sz w:val="22"/>
          <w:szCs w:val="22"/>
        </w:rPr>
        <w:t>Dweck</w:t>
      </w:r>
      <w:proofErr w:type="spellEnd"/>
      <w:r w:rsidRPr="0018575A">
        <w:rPr>
          <w:rFonts w:ascii="Arial" w:hAnsi="Arial" w:cs="Arial"/>
          <w:color w:val="000000" w:themeColor="text1"/>
          <w:sz w:val="22"/>
          <w:szCs w:val="22"/>
        </w:rPr>
        <w:t>, C.S. 2020, "What can be learned from growth mindset controversies?",</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American psychologist,</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75, no. 9, pp. 1269.</w:t>
      </w:r>
    </w:p>
    <w:p w14:paraId="19348023" w14:textId="77777777" w:rsidR="00C123F1" w:rsidRDefault="00C123F1" w:rsidP="0018575A">
      <w:pPr>
        <w:pStyle w:val="NormalWeb"/>
        <w:spacing w:before="0" w:beforeAutospacing="0" w:after="173" w:afterAutospacing="0" w:line="360" w:lineRule="auto"/>
        <w:ind w:left="450" w:hanging="450"/>
        <w:divId w:val="2021160235"/>
        <w:rPr>
          <w:rFonts w:ascii="Roboto" w:hAnsi="Roboto"/>
          <w:color w:val="53565A"/>
          <w:sz w:val="21"/>
          <w:szCs w:val="21"/>
        </w:rPr>
      </w:pPr>
      <w:proofErr w:type="spellStart"/>
      <w:r w:rsidRPr="0018575A">
        <w:rPr>
          <w:rFonts w:ascii="Arial" w:hAnsi="Arial" w:cs="Arial"/>
          <w:color w:val="000000" w:themeColor="text1"/>
          <w:sz w:val="22"/>
          <w:szCs w:val="22"/>
        </w:rPr>
        <w:t>Zahid</w:t>
      </w:r>
      <w:proofErr w:type="spellEnd"/>
      <w:r w:rsidRPr="0018575A">
        <w:rPr>
          <w:rFonts w:ascii="Arial" w:hAnsi="Arial" w:cs="Arial"/>
          <w:color w:val="000000" w:themeColor="text1"/>
          <w:sz w:val="22"/>
          <w:szCs w:val="22"/>
        </w:rPr>
        <w:t xml:space="preserve">, M. &amp; </w:t>
      </w:r>
      <w:proofErr w:type="spellStart"/>
      <w:r w:rsidRPr="0018575A">
        <w:rPr>
          <w:rFonts w:ascii="Arial" w:hAnsi="Arial" w:cs="Arial"/>
          <w:color w:val="000000" w:themeColor="text1"/>
          <w:sz w:val="22"/>
          <w:szCs w:val="22"/>
        </w:rPr>
        <w:t>Khanam</w:t>
      </w:r>
      <w:proofErr w:type="spellEnd"/>
      <w:r w:rsidRPr="0018575A">
        <w:rPr>
          <w:rFonts w:ascii="Arial" w:hAnsi="Arial" w:cs="Arial"/>
          <w:color w:val="000000" w:themeColor="text1"/>
          <w:sz w:val="22"/>
          <w:szCs w:val="22"/>
        </w:rPr>
        <w:t>, A. 2019, "Effect of Reflective Teaching Practices on the Performance of Prospective Teachers.",</w:t>
      </w:r>
      <w:r w:rsidRPr="0018575A">
        <w:rPr>
          <w:rStyle w:val="apple-converted-space"/>
          <w:rFonts w:ascii="Arial" w:hAnsi="Arial" w:cs="Arial"/>
          <w:color w:val="000000" w:themeColor="text1"/>
          <w:sz w:val="22"/>
          <w:szCs w:val="22"/>
        </w:rPr>
        <w:t> </w:t>
      </w:r>
      <w:r w:rsidRPr="0018575A">
        <w:rPr>
          <w:rFonts w:ascii="Arial" w:hAnsi="Arial" w:cs="Arial"/>
          <w:i/>
          <w:iCs/>
          <w:color w:val="000000" w:themeColor="text1"/>
          <w:sz w:val="22"/>
          <w:szCs w:val="22"/>
        </w:rPr>
        <w:t>Turkish Online Journal of Educational Technology-TOJET,</w:t>
      </w:r>
      <w:r w:rsidRPr="0018575A">
        <w:rPr>
          <w:rStyle w:val="apple-converted-space"/>
          <w:rFonts w:ascii="Arial" w:hAnsi="Arial" w:cs="Arial"/>
          <w:i/>
          <w:iCs/>
          <w:color w:val="000000" w:themeColor="text1"/>
          <w:sz w:val="22"/>
          <w:szCs w:val="22"/>
        </w:rPr>
        <w:t> </w:t>
      </w:r>
      <w:r w:rsidRPr="0018575A">
        <w:rPr>
          <w:rFonts w:ascii="Arial" w:hAnsi="Arial" w:cs="Arial"/>
          <w:color w:val="000000" w:themeColor="text1"/>
          <w:sz w:val="22"/>
          <w:szCs w:val="22"/>
        </w:rPr>
        <w:t>vol. 18, no. 1, pp. 32-43.</w:t>
      </w:r>
    </w:p>
    <w:p w14:paraId="0C6B2DB9" w14:textId="77777777" w:rsidR="00A90F92" w:rsidRPr="00C52900" w:rsidRDefault="00A90F92" w:rsidP="00C52900">
      <w:pPr>
        <w:spacing w:line="360" w:lineRule="auto"/>
        <w:rPr>
          <w:rFonts w:ascii="Arial" w:eastAsiaTheme="minorHAnsi" w:hAnsi="Arial"/>
          <w:b/>
          <w:bCs/>
          <w:sz w:val="28"/>
          <w:szCs w:val="28"/>
          <w:lang w:eastAsia="en-US"/>
        </w:rPr>
      </w:pPr>
    </w:p>
    <w:p w14:paraId="5AA050B7" w14:textId="77777777" w:rsidR="00C52900" w:rsidRPr="00C52900" w:rsidRDefault="00C52900" w:rsidP="00C52900">
      <w:pPr>
        <w:spacing w:line="360" w:lineRule="auto"/>
        <w:rPr>
          <w:rFonts w:ascii="Arial" w:eastAsiaTheme="minorHAnsi" w:hAnsi="Arial"/>
          <w:lang w:eastAsia="en-US"/>
        </w:rPr>
      </w:pPr>
    </w:p>
    <w:p w14:paraId="2B292FAD" w14:textId="61D24CCC" w:rsidR="00AD1A14" w:rsidRPr="00A438AB" w:rsidRDefault="00AD1A14">
      <w:pPr>
        <w:pStyle w:val="NormalWeb"/>
        <w:spacing w:before="0" w:beforeAutospacing="0" w:after="173" w:afterAutospacing="0"/>
        <w:divId w:val="512886270"/>
        <w:rPr>
          <w:rFonts w:ascii="Arial" w:hAnsi="Arial" w:cs="Arial"/>
          <w:color w:val="000000" w:themeColor="text1"/>
          <w:sz w:val="22"/>
          <w:szCs w:val="22"/>
        </w:rPr>
      </w:pPr>
    </w:p>
    <w:p w14:paraId="56C0B2D1" w14:textId="5502918B" w:rsidR="00903E02" w:rsidRPr="00A438AB" w:rsidRDefault="004331F7">
      <w:pPr>
        <w:pStyle w:val="NormalWeb"/>
        <w:spacing w:before="0" w:beforeAutospacing="0" w:after="173" w:afterAutospacing="0"/>
        <w:divId w:val="512886270"/>
        <w:rPr>
          <w:rFonts w:ascii="Arial" w:hAnsi="Arial" w:cs="Arial"/>
          <w:color w:val="000000" w:themeColor="text1"/>
          <w:sz w:val="22"/>
          <w:szCs w:val="22"/>
        </w:rPr>
      </w:pPr>
      <w:r>
        <w:rPr>
          <w:rFonts w:ascii="Arial" w:hAnsi="Arial" w:cs="Arial"/>
          <w:color w:val="000000" w:themeColor="text1"/>
          <w:sz w:val="22"/>
          <w:szCs w:val="22"/>
        </w:rPr>
        <w:t xml:space="preserve"> </w:t>
      </w:r>
    </w:p>
    <w:p w14:paraId="34DE1699" w14:textId="5712C0D9" w:rsidR="00AD1A14" w:rsidRDefault="00AD1A14">
      <w:pPr>
        <w:pStyle w:val="NormalWeb"/>
        <w:spacing w:before="0" w:beforeAutospacing="0" w:after="173" w:afterAutospacing="0"/>
        <w:divId w:val="512886270"/>
        <w:rPr>
          <w:rFonts w:ascii="Arial" w:hAnsi="Arial" w:cs="Arial"/>
          <w:color w:val="000000" w:themeColor="text1"/>
          <w:sz w:val="22"/>
          <w:szCs w:val="22"/>
        </w:rPr>
      </w:pPr>
    </w:p>
    <w:p w14:paraId="7F54ED0A" w14:textId="77463430" w:rsidR="00AD1A14" w:rsidRPr="00A438AB" w:rsidRDefault="00AD1A14">
      <w:pPr>
        <w:pStyle w:val="NormalWeb"/>
        <w:spacing w:before="0" w:beforeAutospacing="0" w:after="173" w:afterAutospacing="0"/>
        <w:divId w:val="512886270"/>
        <w:rPr>
          <w:rFonts w:ascii="Arial" w:hAnsi="Arial" w:cs="Arial"/>
          <w:color w:val="000000" w:themeColor="text1"/>
          <w:sz w:val="22"/>
          <w:szCs w:val="22"/>
        </w:rPr>
      </w:pPr>
    </w:p>
    <w:p w14:paraId="759CCB95" w14:textId="48135266" w:rsidR="00AD1A14" w:rsidRPr="00A438AB" w:rsidRDefault="00AD1A14">
      <w:pPr>
        <w:pStyle w:val="NormalWeb"/>
        <w:spacing w:before="0" w:beforeAutospacing="0" w:after="173" w:afterAutospacing="0"/>
        <w:divId w:val="512886270"/>
        <w:rPr>
          <w:rFonts w:ascii="Arial" w:hAnsi="Arial" w:cs="Arial"/>
          <w:color w:val="000000" w:themeColor="text1"/>
          <w:sz w:val="22"/>
          <w:szCs w:val="22"/>
        </w:rPr>
      </w:pPr>
    </w:p>
    <w:p w14:paraId="775745A2" w14:textId="2CEBB651" w:rsidR="004A410E" w:rsidRPr="00A438AB" w:rsidRDefault="004A410E" w:rsidP="00C52900">
      <w:pPr>
        <w:spacing w:line="360" w:lineRule="auto"/>
        <w:rPr>
          <w:rFonts w:ascii="Arial" w:eastAsiaTheme="minorHAnsi" w:hAnsi="Arial" w:cs="Arial"/>
          <w:color w:val="000000" w:themeColor="text1"/>
          <w:lang w:eastAsia="en-US"/>
        </w:rPr>
      </w:pPr>
    </w:p>
    <w:p w14:paraId="69BE1A10" w14:textId="3CFAD372" w:rsidR="00AD1A14" w:rsidRPr="00A438AB" w:rsidRDefault="00AD1A14" w:rsidP="00C52900">
      <w:pPr>
        <w:spacing w:line="360" w:lineRule="auto"/>
        <w:rPr>
          <w:rFonts w:ascii="Arial" w:eastAsiaTheme="minorHAnsi" w:hAnsi="Arial" w:cs="Arial"/>
          <w:color w:val="000000" w:themeColor="text1"/>
          <w:lang w:eastAsia="en-US"/>
        </w:rPr>
      </w:pPr>
    </w:p>
    <w:p w14:paraId="7D8E8B03" w14:textId="6077E0AF" w:rsidR="00AD1A14" w:rsidRPr="00A438AB" w:rsidRDefault="00AD1A14" w:rsidP="00C52900">
      <w:pPr>
        <w:spacing w:line="360" w:lineRule="auto"/>
        <w:rPr>
          <w:rFonts w:ascii="Arial" w:eastAsiaTheme="minorHAnsi" w:hAnsi="Arial" w:cs="Arial"/>
          <w:color w:val="000000" w:themeColor="text1"/>
          <w:lang w:eastAsia="en-US"/>
        </w:rPr>
      </w:pPr>
    </w:p>
    <w:p w14:paraId="71F3774F" w14:textId="77777777" w:rsidR="00AD1A14" w:rsidRPr="00C52900" w:rsidRDefault="00AD1A14" w:rsidP="00C52900">
      <w:pPr>
        <w:spacing w:line="360" w:lineRule="auto"/>
        <w:rPr>
          <w:rFonts w:ascii="Arial" w:eastAsiaTheme="minorHAnsi" w:hAnsi="Arial" w:cs="Arial"/>
          <w:color w:val="000000" w:themeColor="text1"/>
          <w:lang w:eastAsia="en-US"/>
        </w:rPr>
      </w:pPr>
    </w:p>
    <w:p w14:paraId="29A25035" w14:textId="51D99EFF" w:rsidR="00C52900" w:rsidRPr="00A438AB" w:rsidRDefault="00C52900" w:rsidP="00C52900">
      <w:pPr>
        <w:spacing w:line="360" w:lineRule="auto"/>
        <w:rPr>
          <w:rFonts w:ascii="Arial" w:eastAsiaTheme="minorHAnsi" w:hAnsi="Arial" w:cs="Arial"/>
          <w:color w:val="000000" w:themeColor="text1"/>
          <w:lang w:eastAsia="en-US"/>
        </w:rPr>
      </w:pPr>
    </w:p>
    <w:p w14:paraId="5B348657" w14:textId="77777777" w:rsidR="002F1A00" w:rsidRPr="00A438AB" w:rsidRDefault="002F1A00" w:rsidP="00C52900">
      <w:pPr>
        <w:spacing w:line="360" w:lineRule="auto"/>
        <w:rPr>
          <w:rFonts w:ascii="Arial" w:eastAsiaTheme="minorHAnsi" w:hAnsi="Arial" w:cs="Arial"/>
          <w:color w:val="000000" w:themeColor="text1"/>
          <w:lang w:eastAsia="en-US"/>
        </w:rPr>
      </w:pPr>
    </w:p>
    <w:p w14:paraId="52EBD061" w14:textId="2F62E05C" w:rsidR="00C52900" w:rsidRPr="00C52900" w:rsidRDefault="00C52900" w:rsidP="00C52900">
      <w:pPr>
        <w:spacing w:line="360" w:lineRule="auto"/>
        <w:rPr>
          <w:rFonts w:ascii="Arial" w:eastAsiaTheme="minorHAnsi" w:hAnsi="Arial"/>
          <w:lang w:eastAsia="en-US"/>
        </w:rPr>
      </w:pPr>
    </w:p>
    <w:p w14:paraId="6757245A" w14:textId="0D615F09" w:rsidR="00C52900" w:rsidRPr="00C52900" w:rsidRDefault="00C52900" w:rsidP="00C52900">
      <w:pPr>
        <w:spacing w:line="360" w:lineRule="auto"/>
        <w:rPr>
          <w:rFonts w:ascii="Arial" w:eastAsiaTheme="minorHAnsi" w:hAnsi="Arial"/>
          <w:lang w:eastAsia="en-US"/>
        </w:rPr>
      </w:pPr>
    </w:p>
    <w:p w14:paraId="151A7614" w14:textId="77777777" w:rsidR="00C52900" w:rsidRPr="00C52900" w:rsidRDefault="00C52900" w:rsidP="00C52900">
      <w:pPr>
        <w:spacing w:line="360" w:lineRule="auto"/>
        <w:rPr>
          <w:rFonts w:ascii="Arial" w:eastAsiaTheme="minorHAnsi" w:hAnsi="Arial"/>
          <w:lang w:eastAsia="en-US"/>
        </w:rPr>
      </w:pPr>
    </w:p>
    <w:p w14:paraId="392B22D0" w14:textId="228789B8" w:rsidR="00C52900" w:rsidRPr="008236A0" w:rsidRDefault="00C52900" w:rsidP="008236A0">
      <w:pPr>
        <w:spacing w:line="360" w:lineRule="auto"/>
        <w:rPr>
          <w:rFonts w:ascii="Arial" w:eastAsiaTheme="minorHAnsi" w:hAnsi="Arial"/>
          <w:lang w:eastAsia="en-US"/>
        </w:rPr>
      </w:pPr>
    </w:p>
    <w:p w14:paraId="740C3970" w14:textId="77777777" w:rsidR="00335932" w:rsidRPr="00E93780" w:rsidRDefault="00335932">
      <w:pPr>
        <w:pStyle w:val="NormalWeb"/>
        <w:spacing w:before="0" w:beforeAutospacing="0" w:after="0" w:afterAutospacing="0"/>
        <w:divId w:val="637026980"/>
        <w:rPr>
          <w:rFonts w:asciiTheme="minorHAnsi" w:hAnsiTheme="minorHAnsi"/>
          <w:color w:val="0E101A"/>
        </w:rPr>
      </w:pPr>
    </w:p>
    <w:p w14:paraId="099E9B67" w14:textId="29974C3B" w:rsidR="00791A47" w:rsidRDefault="00791A47">
      <w:pPr>
        <w:pStyle w:val="p2"/>
        <w:divId w:val="200553405"/>
        <w:rPr>
          <w:rStyle w:val="s2"/>
          <w:rFonts w:asciiTheme="minorHAnsi" w:hAnsiTheme="minorHAnsi"/>
          <w:sz w:val="22"/>
          <w:szCs w:val="22"/>
        </w:rPr>
      </w:pPr>
    </w:p>
    <w:p w14:paraId="246727DB" w14:textId="77777777" w:rsidR="0058481F" w:rsidRDefault="0058481F">
      <w:pPr>
        <w:pStyle w:val="p2"/>
        <w:divId w:val="200553405"/>
        <w:rPr>
          <w:rStyle w:val="s2"/>
          <w:rFonts w:asciiTheme="minorHAnsi" w:hAnsiTheme="minorHAnsi"/>
          <w:sz w:val="22"/>
          <w:szCs w:val="22"/>
        </w:rPr>
      </w:pPr>
    </w:p>
    <w:p w14:paraId="1670C927" w14:textId="77777777" w:rsidR="0058481F" w:rsidRDefault="0058481F">
      <w:pPr>
        <w:pStyle w:val="p2"/>
        <w:divId w:val="200553405"/>
        <w:rPr>
          <w:rStyle w:val="s2"/>
          <w:rFonts w:asciiTheme="minorHAnsi" w:hAnsiTheme="minorHAnsi"/>
          <w:sz w:val="22"/>
          <w:szCs w:val="22"/>
        </w:rPr>
      </w:pPr>
    </w:p>
    <w:p w14:paraId="0F1751D8" w14:textId="77777777" w:rsidR="0058481F" w:rsidRDefault="0058481F">
      <w:pPr>
        <w:pStyle w:val="p2"/>
        <w:divId w:val="200553405"/>
        <w:rPr>
          <w:rStyle w:val="s2"/>
          <w:rFonts w:asciiTheme="minorHAnsi" w:hAnsiTheme="minorHAnsi"/>
          <w:sz w:val="22"/>
          <w:szCs w:val="22"/>
        </w:rPr>
      </w:pPr>
    </w:p>
    <w:p w14:paraId="2BE10830" w14:textId="77777777" w:rsidR="0058481F" w:rsidRDefault="0058481F">
      <w:pPr>
        <w:pStyle w:val="p2"/>
        <w:divId w:val="200553405"/>
        <w:rPr>
          <w:rStyle w:val="s2"/>
          <w:rFonts w:asciiTheme="minorHAnsi" w:hAnsiTheme="minorHAnsi"/>
          <w:sz w:val="22"/>
          <w:szCs w:val="22"/>
        </w:rPr>
      </w:pPr>
    </w:p>
    <w:p w14:paraId="78E0C4BD" w14:textId="77777777" w:rsidR="0058481F" w:rsidRDefault="0058481F">
      <w:pPr>
        <w:pStyle w:val="p2"/>
        <w:divId w:val="200553405"/>
        <w:rPr>
          <w:rStyle w:val="s2"/>
          <w:rFonts w:asciiTheme="minorHAnsi" w:hAnsiTheme="minorHAnsi"/>
          <w:sz w:val="22"/>
          <w:szCs w:val="22"/>
        </w:rPr>
      </w:pPr>
    </w:p>
    <w:p w14:paraId="2FC726D4" w14:textId="77777777" w:rsidR="0058481F" w:rsidRDefault="0058481F">
      <w:pPr>
        <w:pStyle w:val="p2"/>
        <w:divId w:val="200553405"/>
        <w:rPr>
          <w:rStyle w:val="s2"/>
          <w:rFonts w:asciiTheme="minorHAnsi" w:hAnsiTheme="minorHAnsi"/>
          <w:sz w:val="22"/>
          <w:szCs w:val="22"/>
        </w:rPr>
      </w:pPr>
    </w:p>
    <w:p w14:paraId="7B3CA204" w14:textId="77777777" w:rsidR="0058481F" w:rsidRDefault="0058481F">
      <w:pPr>
        <w:pStyle w:val="p2"/>
        <w:divId w:val="200553405"/>
        <w:rPr>
          <w:rStyle w:val="s2"/>
          <w:rFonts w:asciiTheme="minorHAnsi" w:hAnsiTheme="minorHAnsi"/>
          <w:sz w:val="22"/>
          <w:szCs w:val="22"/>
        </w:rPr>
      </w:pPr>
    </w:p>
    <w:p w14:paraId="57582D55" w14:textId="77777777" w:rsidR="0058481F" w:rsidRDefault="0058481F">
      <w:pPr>
        <w:pStyle w:val="p2"/>
        <w:divId w:val="200553405"/>
        <w:rPr>
          <w:rStyle w:val="s2"/>
          <w:rFonts w:asciiTheme="minorHAnsi" w:hAnsiTheme="minorHAnsi"/>
          <w:sz w:val="22"/>
          <w:szCs w:val="22"/>
        </w:rPr>
      </w:pPr>
    </w:p>
    <w:p w14:paraId="020C41EC" w14:textId="77777777" w:rsidR="0058481F" w:rsidRDefault="0058481F">
      <w:pPr>
        <w:pStyle w:val="p2"/>
        <w:divId w:val="200553405"/>
        <w:rPr>
          <w:rStyle w:val="s2"/>
          <w:rFonts w:asciiTheme="minorHAnsi" w:hAnsiTheme="minorHAnsi"/>
          <w:sz w:val="22"/>
          <w:szCs w:val="22"/>
        </w:rPr>
      </w:pPr>
    </w:p>
    <w:p w14:paraId="44F7DBEE" w14:textId="77777777" w:rsidR="0058481F" w:rsidRDefault="0058481F">
      <w:pPr>
        <w:pStyle w:val="p2"/>
        <w:divId w:val="200553405"/>
        <w:rPr>
          <w:rStyle w:val="s2"/>
          <w:rFonts w:asciiTheme="minorHAnsi" w:hAnsiTheme="minorHAnsi"/>
          <w:sz w:val="22"/>
          <w:szCs w:val="22"/>
        </w:rPr>
      </w:pPr>
    </w:p>
    <w:p w14:paraId="366C703A" w14:textId="77777777" w:rsidR="0058481F" w:rsidRDefault="0058481F">
      <w:pPr>
        <w:pStyle w:val="p2"/>
        <w:divId w:val="200553405"/>
        <w:rPr>
          <w:rStyle w:val="s2"/>
          <w:rFonts w:asciiTheme="minorHAnsi" w:hAnsiTheme="minorHAnsi"/>
          <w:sz w:val="22"/>
          <w:szCs w:val="22"/>
        </w:rPr>
      </w:pPr>
    </w:p>
    <w:p w14:paraId="7A1FBEAE" w14:textId="77777777" w:rsidR="0058481F" w:rsidRDefault="0058481F">
      <w:pPr>
        <w:pStyle w:val="p2"/>
        <w:divId w:val="200553405"/>
        <w:rPr>
          <w:rStyle w:val="s2"/>
          <w:rFonts w:asciiTheme="minorHAnsi" w:hAnsiTheme="minorHAnsi"/>
          <w:sz w:val="22"/>
          <w:szCs w:val="22"/>
        </w:rPr>
      </w:pPr>
    </w:p>
    <w:p w14:paraId="5A443E64" w14:textId="77777777" w:rsidR="0058481F" w:rsidRDefault="0058481F">
      <w:pPr>
        <w:pStyle w:val="p2"/>
        <w:divId w:val="200553405"/>
        <w:rPr>
          <w:rStyle w:val="s2"/>
          <w:rFonts w:asciiTheme="minorHAnsi" w:hAnsiTheme="minorHAnsi"/>
          <w:sz w:val="22"/>
          <w:szCs w:val="22"/>
        </w:rPr>
      </w:pPr>
    </w:p>
    <w:p w14:paraId="1A264599" w14:textId="77777777" w:rsidR="0058481F" w:rsidRDefault="0058481F">
      <w:pPr>
        <w:pStyle w:val="p2"/>
        <w:divId w:val="200553405"/>
        <w:rPr>
          <w:rStyle w:val="s2"/>
          <w:rFonts w:asciiTheme="minorHAnsi" w:hAnsiTheme="minorHAnsi"/>
          <w:sz w:val="22"/>
          <w:szCs w:val="22"/>
        </w:rPr>
      </w:pPr>
    </w:p>
    <w:p w14:paraId="047F1FA7" w14:textId="77777777" w:rsidR="0058481F" w:rsidRDefault="0058481F">
      <w:pPr>
        <w:pStyle w:val="p2"/>
        <w:divId w:val="200553405"/>
        <w:rPr>
          <w:rStyle w:val="s2"/>
          <w:rFonts w:asciiTheme="minorHAnsi" w:hAnsiTheme="minorHAnsi"/>
          <w:sz w:val="22"/>
          <w:szCs w:val="22"/>
        </w:rPr>
      </w:pPr>
    </w:p>
    <w:p w14:paraId="12A276CD" w14:textId="77777777" w:rsidR="0058481F" w:rsidRDefault="0058481F">
      <w:pPr>
        <w:pStyle w:val="p2"/>
        <w:divId w:val="200553405"/>
        <w:rPr>
          <w:rStyle w:val="s2"/>
          <w:rFonts w:asciiTheme="minorHAnsi" w:hAnsiTheme="minorHAnsi"/>
          <w:sz w:val="22"/>
          <w:szCs w:val="22"/>
        </w:rPr>
      </w:pPr>
    </w:p>
    <w:p w14:paraId="07A2AB2B" w14:textId="77777777" w:rsidR="0058481F" w:rsidRDefault="0058481F">
      <w:pPr>
        <w:pStyle w:val="p2"/>
        <w:divId w:val="200553405"/>
        <w:rPr>
          <w:rStyle w:val="s2"/>
          <w:rFonts w:asciiTheme="minorHAnsi" w:hAnsiTheme="minorHAnsi"/>
          <w:sz w:val="22"/>
          <w:szCs w:val="22"/>
        </w:rPr>
      </w:pPr>
    </w:p>
    <w:p w14:paraId="7737A532" w14:textId="77777777" w:rsidR="0058481F" w:rsidRDefault="0058481F">
      <w:pPr>
        <w:pStyle w:val="p2"/>
        <w:divId w:val="200553405"/>
        <w:rPr>
          <w:rStyle w:val="s2"/>
          <w:rFonts w:asciiTheme="minorHAnsi" w:hAnsiTheme="minorHAnsi"/>
          <w:sz w:val="22"/>
          <w:szCs w:val="22"/>
        </w:rPr>
      </w:pPr>
    </w:p>
    <w:p w14:paraId="765D62DD" w14:textId="77777777" w:rsidR="0058481F" w:rsidRDefault="0058481F">
      <w:pPr>
        <w:pStyle w:val="p2"/>
        <w:divId w:val="200553405"/>
        <w:rPr>
          <w:rStyle w:val="s2"/>
          <w:rFonts w:asciiTheme="minorHAnsi" w:hAnsiTheme="minorHAnsi"/>
          <w:sz w:val="22"/>
          <w:szCs w:val="22"/>
        </w:rPr>
      </w:pPr>
    </w:p>
    <w:p w14:paraId="2D8A0A75" w14:textId="59A2D853" w:rsidR="0058481F" w:rsidRDefault="0058481F">
      <w:pPr>
        <w:pStyle w:val="p2"/>
        <w:divId w:val="200553405"/>
        <w:rPr>
          <w:rFonts w:asciiTheme="minorHAnsi" w:hAnsiTheme="minorHAnsi"/>
          <w:i/>
          <w:iCs/>
          <w:sz w:val="22"/>
          <w:szCs w:val="22"/>
        </w:rPr>
      </w:pPr>
    </w:p>
    <w:p w14:paraId="298F1EC3" w14:textId="77777777" w:rsidR="006C2127" w:rsidRPr="0058481F" w:rsidRDefault="006C2127">
      <w:pPr>
        <w:pStyle w:val="p2"/>
        <w:divId w:val="200553405"/>
        <w:rPr>
          <w:b/>
          <w:bCs/>
        </w:rPr>
      </w:pPr>
    </w:p>
    <w:p w14:paraId="4FCBD058" w14:textId="3C7FEEAD" w:rsidR="000E2DEF" w:rsidRDefault="000E2DEF"/>
    <w:sectPr w:rsidR="000E2DE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FCB81" w14:textId="77777777" w:rsidR="00D03690" w:rsidRDefault="00D03690" w:rsidP="0022711E">
      <w:r>
        <w:separator/>
      </w:r>
    </w:p>
  </w:endnote>
  <w:endnote w:type="continuationSeparator" w:id="0">
    <w:p w14:paraId="7E283B23" w14:textId="77777777" w:rsidR="00D03690" w:rsidRDefault="00D03690" w:rsidP="00227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NewRomanPS-BoldMT">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AB6B5" w14:textId="77777777" w:rsidR="00D03690" w:rsidRDefault="00D03690" w:rsidP="0022711E">
      <w:r>
        <w:separator/>
      </w:r>
    </w:p>
  </w:footnote>
  <w:footnote w:type="continuationSeparator" w:id="0">
    <w:p w14:paraId="29A2CD8E" w14:textId="77777777" w:rsidR="00D03690" w:rsidRDefault="00D03690" w:rsidP="00227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B1F75" w14:textId="436E7F9D" w:rsidR="0022711E" w:rsidRDefault="003C6178">
    <w:pPr>
      <w:pStyle w:val="Header"/>
    </w:pPr>
    <w:r>
      <w:rPr>
        <w:rFonts w:ascii="Arial" w:hAnsi="Arial" w:cs="Arial"/>
      </w:rPr>
      <w:t>ECAD</w:t>
    </w:r>
    <w:r w:rsidR="007F5D3D">
      <w:rPr>
        <w:rFonts w:ascii="Arial" w:hAnsi="Arial" w:cs="Arial"/>
      </w:rPr>
      <w:t xml:space="preserve">6007 </w:t>
    </w:r>
    <w:r w:rsidR="007F5D3D">
      <w:rPr>
        <w:rFonts w:ascii="Arial" w:hAnsi="Arial" w:cs="Arial"/>
      </w:rPr>
      <w:tab/>
    </w:r>
    <w:r w:rsidR="007F5D3D">
      <w:rPr>
        <w:rFonts w:ascii="Arial" w:hAnsi="Arial" w:cs="Arial"/>
      </w:rPr>
      <w:tab/>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7F5D3D">
      <w:rPr>
        <w:rFonts w:ascii="Arial" w:hAnsi="Arial" w:cs="Arial"/>
      </w:rPr>
      <w:t xml:space="preserve"> 2200065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D1F51"/>
    <w:multiLevelType w:val="hybridMultilevel"/>
    <w:tmpl w:val="03983E0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5288E"/>
    <w:multiLevelType w:val="hybridMultilevel"/>
    <w:tmpl w:val="1ABC2068"/>
    <w:lvl w:ilvl="0" w:tplc="FFFFFFFF">
      <w:start w:val="1"/>
      <w:numFmt w:val="bullet"/>
      <w:lvlText w:val="-"/>
      <w:lvlJc w:val="left"/>
      <w:pPr>
        <w:ind w:left="720" w:hanging="360"/>
      </w:pPr>
      <w:rPr>
        <w:rFonts w:ascii="Calibri" w:eastAsiaTheme="minorEastAsia"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7111689">
    <w:abstractNumId w:val="0"/>
  </w:num>
  <w:num w:numId="2" w16cid:durableId="18554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99C"/>
    <w:rsid w:val="00004648"/>
    <w:rsid w:val="00004DB0"/>
    <w:rsid w:val="000051E6"/>
    <w:rsid w:val="000066CE"/>
    <w:rsid w:val="00006887"/>
    <w:rsid w:val="00013F9B"/>
    <w:rsid w:val="00016B1D"/>
    <w:rsid w:val="00023B3A"/>
    <w:rsid w:val="00023B45"/>
    <w:rsid w:val="000247AC"/>
    <w:rsid w:val="0002679A"/>
    <w:rsid w:val="00026B83"/>
    <w:rsid w:val="00036F72"/>
    <w:rsid w:val="0004289C"/>
    <w:rsid w:val="000440F6"/>
    <w:rsid w:val="0004410D"/>
    <w:rsid w:val="000458C9"/>
    <w:rsid w:val="00046177"/>
    <w:rsid w:val="00050E0E"/>
    <w:rsid w:val="00051029"/>
    <w:rsid w:val="000517DF"/>
    <w:rsid w:val="00052299"/>
    <w:rsid w:val="000554F0"/>
    <w:rsid w:val="00055FDB"/>
    <w:rsid w:val="00057B38"/>
    <w:rsid w:val="00060066"/>
    <w:rsid w:val="00061777"/>
    <w:rsid w:val="0006347A"/>
    <w:rsid w:val="00063E73"/>
    <w:rsid w:val="0006503E"/>
    <w:rsid w:val="000669DC"/>
    <w:rsid w:val="00066C5C"/>
    <w:rsid w:val="0006732B"/>
    <w:rsid w:val="00071427"/>
    <w:rsid w:val="00071EC6"/>
    <w:rsid w:val="00072128"/>
    <w:rsid w:val="0007231A"/>
    <w:rsid w:val="00073217"/>
    <w:rsid w:val="00076BC2"/>
    <w:rsid w:val="0008103C"/>
    <w:rsid w:val="000823D9"/>
    <w:rsid w:val="00082C83"/>
    <w:rsid w:val="00082D66"/>
    <w:rsid w:val="00083B8A"/>
    <w:rsid w:val="0008735E"/>
    <w:rsid w:val="000935BA"/>
    <w:rsid w:val="00093669"/>
    <w:rsid w:val="000964A2"/>
    <w:rsid w:val="000A209D"/>
    <w:rsid w:val="000A5452"/>
    <w:rsid w:val="000A6740"/>
    <w:rsid w:val="000A680D"/>
    <w:rsid w:val="000A6A29"/>
    <w:rsid w:val="000B2DC8"/>
    <w:rsid w:val="000B378A"/>
    <w:rsid w:val="000B56BC"/>
    <w:rsid w:val="000B7005"/>
    <w:rsid w:val="000C095A"/>
    <w:rsid w:val="000C284B"/>
    <w:rsid w:val="000C2BD3"/>
    <w:rsid w:val="000C374B"/>
    <w:rsid w:val="000C4D2E"/>
    <w:rsid w:val="000C5D3D"/>
    <w:rsid w:val="000C79AA"/>
    <w:rsid w:val="000D08DF"/>
    <w:rsid w:val="000D0968"/>
    <w:rsid w:val="000D148D"/>
    <w:rsid w:val="000D205F"/>
    <w:rsid w:val="000D43C2"/>
    <w:rsid w:val="000D66C4"/>
    <w:rsid w:val="000D70B9"/>
    <w:rsid w:val="000E2DEF"/>
    <w:rsid w:val="000E56B5"/>
    <w:rsid w:val="000E71A5"/>
    <w:rsid w:val="000F0BB8"/>
    <w:rsid w:val="000F2D86"/>
    <w:rsid w:val="000F3FDC"/>
    <w:rsid w:val="000F4F83"/>
    <w:rsid w:val="00105CFB"/>
    <w:rsid w:val="0010645D"/>
    <w:rsid w:val="001068D8"/>
    <w:rsid w:val="00106D2B"/>
    <w:rsid w:val="00110009"/>
    <w:rsid w:val="00111E2F"/>
    <w:rsid w:val="00112CCF"/>
    <w:rsid w:val="001130E7"/>
    <w:rsid w:val="001161F1"/>
    <w:rsid w:val="001164E0"/>
    <w:rsid w:val="00117100"/>
    <w:rsid w:val="00121BE0"/>
    <w:rsid w:val="00121F58"/>
    <w:rsid w:val="00125064"/>
    <w:rsid w:val="00127739"/>
    <w:rsid w:val="00127DC2"/>
    <w:rsid w:val="00131E02"/>
    <w:rsid w:val="001331A4"/>
    <w:rsid w:val="00142C96"/>
    <w:rsid w:val="001446E2"/>
    <w:rsid w:val="00145224"/>
    <w:rsid w:val="001463C6"/>
    <w:rsid w:val="001469CE"/>
    <w:rsid w:val="001509A7"/>
    <w:rsid w:val="00151A97"/>
    <w:rsid w:val="00151C1D"/>
    <w:rsid w:val="001537AE"/>
    <w:rsid w:val="001570FE"/>
    <w:rsid w:val="001607D9"/>
    <w:rsid w:val="00162B05"/>
    <w:rsid w:val="001634A3"/>
    <w:rsid w:val="00165EB6"/>
    <w:rsid w:val="001704B2"/>
    <w:rsid w:val="001768A7"/>
    <w:rsid w:val="0018040A"/>
    <w:rsid w:val="0018242F"/>
    <w:rsid w:val="00183CC7"/>
    <w:rsid w:val="0018575A"/>
    <w:rsid w:val="00186E7D"/>
    <w:rsid w:val="001878A1"/>
    <w:rsid w:val="0019070B"/>
    <w:rsid w:val="001919EB"/>
    <w:rsid w:val="00192653"/>
    <w:rsid w:val="00192F32"/>
    <w:rsid w:val="001935E8"/>
    <w:rsid w:val="00196433"/>
    <w:rsid w:val="001A0461"/>
    <w:rsid w:val="001A18D2"/>
    <w:rsid w:val="001A19A0"/>
    <w:rsid w:val="001A25DE"/>
    <w:rsid w:val="001A2957"/>
    <w:rsid w:val="001A35F8"/>
    <w:rsid w:val="001A3D13"/>
    <w:rsid w:val="001A5A6E"/>
    <w:rsid w:val="001A6B4C"/>
    <w:rsid w:val="001A7047"/>
    <w:rsid w:val="001B026D"/>
    <w:rsid w:val="001B1F35"/>
    <w:rsid w:val="001B2C61"/>
    <w:rsid w:val="001B4102"/>
    <w:rsid w:val="001B458D"/>
    <w:rsid w:val="001B57FA"/>
    <w:rsid w:val="001B5B1E"/>
    <w:rsid w:val="001C2A9A"/>
    <w:rsid w:val="001C6CB6"/>
    <w:rsid w:val="001C787D"/>
    <w:rsid w:val="001D263B"/>
    <w:rsid w:val="001D29D5"/>
    <w:rsid w:val="001D542A"/>
    <w:rsid w:val="001D68B1"/>
    <w:rsid w:val="001E0532"/>
    <w:rsid w:val="001E0D2D"/>
    <w:rsid w:val="001E1B5D"/>
    <w:rsid w:val="001E6373"/>
    <w:rsid w:val="001F2A68"/>
    <w:rsid w:val="001F32AD"/>
    <w:rsid w:val="001F33CE"/>
    <w:rsid w:val="001F3D85"/>
    <w:rsid w:val="001F575C"/>
    <w:rsid w:val="001F761C"/>
    <w:rsid w:val="001F7D55"/>
    <w:rsid w:val="0020045E"/>
    <w:rsid w:val="00202B84"/>
    <w:rsid w:val="00206422"/>
    <w:rsid w:val="00214EA0"/>
    <w:rsid w:val="002154C3"/>
    <w:rsid w:val="00216A67"/>
    <w:rsid w:val="00220158"/>
    <w:rsid w:val="00220E13"/>
    <w:rsid w:val="00221360"/>
    <w:rsid w:val="002232FE"/>
    <w:rsid w:val="0022711E"/>
    <w:rsid w:val="00230CDD"/>
    <w:rsid w:val="0023640D"/>
    <w:rsid w:val="00237BA4"/>
    <w:rsid w:val="00241EDD"/>
    <w:rsid w:val="0024451A"/>
    <w:rsid w:val="002456D2"/>
    <w:rsid w:val="00247EA9"/>
    <w:rsid w:val="00250CC0"/>
    <w:rsid w:val="00252912"/>
    <w:rsid w:val="00256487"/>
    <w:rsid w:val="00266844"/>
    <w:rsid w:val="0026787A"/>
    <w:rsid w:val="002716D4"/>
    <w:rsid w:val="002739FB"/>
    <w:rsid w:val="00274335"/>
    <w:rsid w:val="00275E37"/>
    <w:rsid w:val="0028067F"/>
    <w:rsid w:val="00282A8B"/>
    <w:rsid w:val="00282C09"/>
    <w:rsid w:val="0028366D"/>
    <w:rsid w:val="00283F8F"/>
    <w:rsid w:val="00290A69"/>
    <w:rsid w:val="002913FC"/>
    <w:rsid w:val="002940E1"/>
    <w:rsid w:val="00296994"/>
    <w:rsid w:val="002A06C2"/>
    <w:rsid w:val="002A20CF"/>
    <w:rsid w:val="002A3A14"/>
    <w:rsid w:val="002A4C3B"/>
    <w:rsid w:val="002A5ECB"/>
    <w:rsid w:val="002A5F8B"/>
    <w:rsid w:val="002A61A5"/>
    <w:rsid w:val="002A766A"/>
    <w:rsid w:val="002A7CEE"/>
    <w:rsid w:val="002B15F1"/>
    <w:rsid w:val="002B1943"/>
    <w:rsid w:val="002B2B43"/>
    <w:rsid w:val="002B3F0C"/>
    <w:rsid w:val="002B6A96"/>
    <w:rsid w:val="002C1414"/>
    <w:rsid w:val="002C1F4F"/>
    <w:rsid w:val="002C2F66"/>
    <w:rsid w:val="002C30CB"/>
    <w:rsid w:val="002C45FA"/>
    <w:rsid w:val="002C5CFF"/>
    <w:rsid w:val="002D06AE"/>
    <w:rsid w:val="002D297C"/>
    <w:rsid w:val="002D33D2"/>
    <w:rsid w:val="002D3E27"/>
    <w:rsid w:val="002D53D8"/>
    <w:rsid w:val="002D5ECE"/>
    <w:rsid w:val="002D6C88"/>
    <w:rsid w:val="002E0617"/>
    <w:rsid w:val="002E2BF8"/>
    <w:rsid w:val="002E3615"/>
    <w:rsid w:val="002E42E3"/>
    <w:rsid w:val="002E4700"/>
    <w:rsid w:val="002E582B"/>
    <w:rsid w:val="002E5B1F"/>
    <w:rsid w:val="002E5DA1"/>
    <w:rsid w:val="002E5F8F"/>
    <w:rsid w:val="002F1417"/>
    <w:rsid w:val="002F1A00"/>
    <w:rsid w:val="002F1A81"/>
    <w:rsid w:val="002F1ACD"/>
    <w:rsid w:val="002F2AA1"/>
    <w:rsid w:val="002F5315"/>
    <w:rsid w:val="002F571B"/>
    <w:rsid w:val="003011BD"/>
    <w:rsid w:val="00301CD4"/>
    <w:rsid w:val="00302D26"/>
    <w:rsid w:val="00303BB8"/>
    <w:rsid w:val="00304F56"/>
    <w:rsid w:val="00304FBB"/>
    <w:rsid w:val="00306B66"/>
    <w:rsid w:val="0031136F"/>
    <w:rsid w:val="00312BAA"/>
    <w:rsid w:val="003161AE"/>
    <w:rsid w:val="003163B5"/>
    <w:rsid w:val="00317FD1"/>
    <w:rsid w:val="00320D1C"/>
    <w:rsid w:val="00321480"/>
    <w:rsid w:val="00330C08"/>
    <w:rsid w:val="00330C3B"/>
    <w:rsid w:val="00331160"/>
    <w:rsid w:val="00335932"/>
    <w:rsid w:val="00335DEF"/>
    <w:rsid w:val="003362E8"/>
    <w:rsid w:val="0034044B"/>
    <w:rsid w:val="00340D94"/>
    <w:rsid w:val="00344A95"/>
    <w:rsid w:val="00347510"/>
    <w:rsid w:val="003476E8"/>
    <w:rsid w:val="00347D95"/>
    <w:rsid w:val="0035217A"/>
    <w:rsid w:val="00352D32"/>
    <w:rsid w:val="00352FFC"/>
    <w:rsid w:val="00356B24"/>
    <w:rsid w:val="00356EDA"/>
    <w:rsid w:val="00360194"/>
    <w:rsid w:val="003603FF"/>
    <w:rsid w:val="003607F8"/>
    <w:rsid w:val="00360C04"/>
    <w:rsid w:val="00361043"/>
    <w:rsid w:val="00361211"/>
    <w:rsid w:val="00362209"/>
    <w:rsid w:val="003679F7"/>
    <w:rsid w:val="00367E7B"/>
    <w:rsid w:val="00373D11"/>
    <w:rsid w:val="00382CAD"/>
    <w:rsid w:val="00382F88"/>
    <w:rsid w:val="00383552"/>
    <w:rsid w:val="00384D5C"/>
    <w:rsid w:val="003930AB"/>
    <w:rsid w:val="0039404D"/>
    <w:rsid w:val="00394C2E"/>
    <w:rsid w:val="003950C7"/>
    <w:rsid w:val="00396213"/>
    <w:rsid w:val="003974E3"/>
    <w:rsid w:val="00397658"/>
    <w:rsid w:val="003A13CC"/>
    <w:rsid w:val="003A2797"/>
    <w:rsid w:val="003A3B7E"/>
    <w:rsid w:val="003B10F2"/>
    <w:rsid w:val="003B127F"/>
    <w:rsid w:val="003B4BD0"/>
    <w:rsid w:val="003B635A"/>
    <w:rsid w:val="003B6DAE"/>
    <w:rsid w:val="003B70AC"/>
    <w:rsid w:val="003B7500"/>
    <w:rsid w:val="003C10F5"/>
    <w:rsid w:val="003C212F"/>
    <w:rsid w:val="003C538D"/>
    <w:rsid w:val="003C6178"/>
    <w:rsid w:val="003D02B3"/>
    <w:rsid w:val="003D1BE3"/>
    <w:rsid w:val="003D2D5A"/>
    <w:rsid w:val="003D3BBE"/>
    <w:rsid w:val="003D6814"/>
    <w:rsid w:val="003E1A3B"/>
    <w:rsid w:val="003E5137"/>
    <w:rsid w:val="003E5C33"/>
    <w:rsid w:val="003E6569"/>
    <w:rsid w:val="003F0A0B"/>
    <w:rsid w:val="003F12C0"/>
    <w:rsid w:val="003F3B7B"/>
    <w:rsid w:val="003F5666"/>
    <w:rsid w:val="003F69C3"/>
    <w:rsid w:val="003F6A61"/>
    <w:rsid w:val="004074E3"/>
    <w:rsid w:val="004121F5"/>
    <w:rsid w:val="00413805"/>
    <w:rsid w:val="004147FD"/>
    <w:rsid w:val="00416FC4"/>
    <w:rsid w:val="00421119"/>
    <w:rsid w:val="004219B8"/>
    <w:rsid w:val="00425D3C"/>
    <w:rsid w:val="0043229C"/>
    <w:rsid w:val="004331F7"/>
    <w:rsid w:val="004339A3"/>
    <w:rsid w:val="00433C33"/>
    <w:rsid w:val="0044013C"/>
    <w:rsid w:val="00440777"/>
    <w:rsid w:val="0044558C"/>
    <w:rsid w:val="0044732A"/>
    <w:rsid w:val="0045453B"/>
    <w:rsid w:val="0045625B"/>
    <w:rsid w:val="00457658"/>
    <w:rsid w:val="0045780C"/>
    <w:rsid w:val="00460FD3"/>
    <w:rsid w:val="00461597"/>
    <w:rsid w:val="00462191"/>
    <w:rsid w:val="00462CC5"/>
    <w:rsid w:val="00464195"/>
    <w:rsid w:val="004673B2"/>
    <w:rsid w:val="00467AB9"/>
    <w:rsid w:val="00467CAD"/>
    <w:rsid w:val="00467F4E"/>
    <w:rsid w:val="0047178F"/>
    <w:rsid w:val="004761DE"/>
    <w:rsid w:val="00477AFF"/>
    <w:rsid w:val="004821C1"/>
    <w:rsid w:val="004825A8"/>
    <w:rsid w:val="00485997"/>
    <w:rsid w:val="004872AE"/>
    <w:rsid w:val="00490C50"/>
    <w:rsid w:val="00491EED"/>
    <w:rsid w:val="00495599"/>
    <w:rsid w:val="00496CA6"/>
    <w:rsid w:val="00497028"/>
    <w:rsid w:val="00497EA1"/>
    <w:rsid w:val="004A0A08"/>
    <w:rsid w:val="004A23DA"/>
    <w:rsid w:val="004A3CEC"/>
    <w:rsid w:val="004A410E"/>
    <w:rsid w:val="004A7E28"/>
    <w:rsid w:val="004B07F8"/>
    <w:rsid w:val="004B227A"/>
    <w:rsid w:val="004B3232"/>
    <w:rsid w:val="004B42C8"/>
    <w:rsid w:val="004B4E64"/>
    <w:rsid w:val="004B5B65"/>
    <w:rsid w:val="004B5CE9"/>
    <w:rsid w:val="004B5F74"/>
    <w:rsid w:val="004B6FD6"/>
    <w:rsid w:val="004D3E43"/>
    <w:rsid w:val="004D643E"/>
    <w:rsid w:val="004E242A"/>
    <w:rsid w:val="004E3B39"/>
    <w:rsid w:val="004E557F"/>
    <w:rsid w:val="004E6A8A"/>
    <w:rsid w:val="004E73B1"/>
    <w:rsid w:val="004F21C0"/>
    <w:rsid w:val="004F2370"/>
    <w:rsid w:val="004F4DB0"/>
    <w:rsid w:val="004F5AED"/>
    <w:rsid w:val="004F616F"/>
    <w:rsid w:val="004F7310"/>
    <w:rsid w:val="005008AF"/>
    <w:rsid w:val="005014B1"/>
    <w:rsid w:val="0050191A"/>
    <w:rsid w:val="0050283A"/>
    <w:rsid w:val="00504A69"/>
    <w:rsid w:val="00505586"/>
    <w:rsid w:val="00506F96"/>
    <w:rsid w:val="005103D6"/>
    <w:rsid w:val="00514B9E"/>
    <w:rsid w:val="00515BF3"/>
    <w:rsid w:val="00516FEC"/>
    <w:rsid w:val="0052079F"/>
    <w:rsid w:val="00523D80"/>
    <w:rsid w:val="005260E8"/>
    <w:rsid w:val="005267A2"/>
    <w:rsid w:val="00527528"/>
    <w:rsid w:val="00527D40"/>
    <w:rsid w:val="00532F46"/>
    <w:rsid w:val="00533367"/>
    <w:rsid w:val="00535FD0"/>
    <w:rsid w:val="00536880"/>
    <w:rsid w:val="00540330"/>
    <w:rsid w:val="00540A5F"/>
    <w:rsid w:val="005412DD"/>
    <w:rsid w:val="00545FBA"/>
    <w:rsid w:val="005468C4"/>
    <w:rsid w:val="00554CA1"/>
    <w:rsid w:val="00555A9A"/>
    <w:rsid w:val="005566F9"/>
    <w:rsid w:val="00556F72"/>
    <w:rsid w:val="005604C4"/>
    <w:rsid w:val="00561B24"/>
    <w:rsid w:val="0056323E"/>
    <w:rsid w:val="0056400C"/>
    <w:rsid w:val="005708EC"/>
    <w:rsid w:val="005717ED"/>
    <w:rsid w:val="00571941"/>
    <w:rsid w:val="00572098"/>
    <w:rsid w:val="00572D71"/>
    <w:rsid w:val="00574361"/>
    <w:rsid w:val="0057478B"/>
    <w:rsid w:val="005819AC"/>
    <w:rsid w:val="00581A7B"/>
    <w:rsid w:val="00581F4E"/>
    <w:rsid w:val="00582822"/>
    <w:rsid w:val="005828AD"/>
    <w:rsid w:val="00582D39"/>
    <w:rsid w:val="0058481F"/>
    <w:rsid w:val="005854DB"/>
    <w:rsid w:val="005854FD"/>
    <w:rsid w:val="00585894"/>
    <w:rsid w:val="0059041B"/>
    <w:rsid w:val="00591790"/>
    <w:rsid w:val="00592834"/>
    <w:rsid w:val="00593337"/>
    <w:rsid w:val="00595C71"/>
    <w:rsid w:val="005961D1"/>
    <w:rsid w:val="00597C98"/>
    <w:rsid w:val="005A1D05"/>
    <w:rsid w:val="005A1D31"/>
    <w:rsid w:val="005A22B4"/>
    <w:rsid w:val="005A41EC"/>
    <w:rsid w:val="005A41FB"/>
    <w:rsid w:val="005A51F2"/>
    <w:rsid w:val="005B02D5"/>
    <w:rsid w:val="005B1097"/>
    <w:rsid w:val="005B56A9"/>
    <w:rsid w:val="005B5BA4"/>
    <w:rsid w:val="005B5D25"/>
    <w:rsid w:val="005C0714"/>
    <w:rsid w:val="005C2172"/>
    <w:rsid w:val="005C4795"/>
    <w:rsid w:val="005C5761"/>
    <w:rsid w:val="005C5D67"/>
    <w:rsid w:val="005D04EC"/>
    <w:rsid w:val="005D121E"/>
    <w:rsid w:val="005D2A27"/>
    <w:rsid w:val="005D4B8B"/>
    <w:rsid w:val="005D6703"/>
    <w:rsid w:val="005D7151"/>
    <w:rsid w:val="005E57FD"/>
    <w:rsid w:val="005E7472"/>
    <w:rsid w:val="005F1159"/>
    <w:rsid w:val="005F4218"/>
    <w:rsid w:val="005F6752"/>
    <w:rsid w:val="006018BC"/>
    <w:rsid w:val="00601ECE"/>
    <w:rsid w:val="00605F40"/>
    <w:rsid w:val="006069A2"/>
    <w:rsid w:val="00607B8E"/>
    <w:rsid w:val="006110C5"/>
    <w:rsid w:val="0061117D"/>
    <w:rsid w:val="00611654"/>
    <w:rsid w:val="00612002"/>
    <w:rsid w:val="00612565"/>
    <w:rsid w:val="00612943"/>
    <w:rsid w:val="0061308A"/>
    <w:rsid w:val="00613BC9"/>
    <w:rsid w:val="00613E30"/>
    <w:rsid w:val="00616DD4"/>
    <w:rsid w:val="006178A5"/>
    <w:rsid w:val="00617D4C"/>
    <w:rsid w:val="006225EA"/>
    <w:rsid w:val="00622FFA"/>
    <w:rsid w:val="00623258"/>
    <w:rsid w:val="00625EA7"/>
    <w:rsid w:val="00630BBC"/>
    <w:rsid w:val="0063427C"/>
    <w:rsid w:val="00637B33"/>
    <w:rsid w:val="00642837"/>
    <w:rsid w:val="0064335C"/>
    <w:rsid w:val="00644A0C"/>
    <w:rsid w:val="00644D97"/>
    <w:rsid w:val="006545EE"/>
    <w:rsid w:val="00655EFA"/>
    <w:rsid w:val="00657BEE"/>
    <w:rsid w:val="006629D0"/>
    <w:rsid w:val="006642FB"/>
    <w:rsid w:val="00665809"/>
    <w:rsid w:val="00665E26"/>
    <w:rsid w:val="006674A9"/>
    <w:rsid w:val="00670527"/>
    <w:rsid w:val="00670D7B"/>
    <w:rsid w:val="00670FE4"/>
    <w:rsid w:val="00672526"/>
    <w:rsid w:val="00672BDC"/>
    <w:rsid w:val="0067547E"/>
    <w:rsid w:val="00680262"/>
    <w:rsid w:val="00681135"/>
    <w:rsid w:val="00687B44"/>
    <w:rsid w:val="0069028E"/>
    <w:rsid w:val="006912B1"/>
    <w:rsid w:val="00692466"/>
    <w:rsid w:val="00693283"/>
    <w:rsid w:val="00693694"/>
    <w:rsid w:val="006944E9"/>
    <w:rsid w:val="006971CB"/>
    <w:rsid w:val="006A1E42"/>
    <w:rsid w:val="006A266B"/>
    <w:rsid w:val="006A3C8D"/>
    <w:rsid w:val="006A6D41"/>
    <w:rsid w:val="006B18C6"/>
    <w:rsid w:val="006B3381"/>
    <w:rsid w:val="006B5249"/>
    <w:rsid w:val="006B714E"/>
    <w:rsid w:val="006C0131"/>
    <w:rsid w:val="006C0750"/>
    <w:rsid w:val="006C1401"/>
    <w:rsid w:val="006C2127"/>
    <w:rsid w:val="006C4A17"/>
    <w:rsid w:val="006C6FE8"/>
    <w:rsid w:val="006C7452"/>
    <w:rsid w:val="006D20DE"/>
    <w:rsid w:val="006D2537"/>
    <w:rsid w:val="006D4495"/>
    <w:rsid w:val="006D4D01"/>
    <w:rsid w:val="006E008D"/>
    <w:rsid w:val="006E1025"/>
    <w:rsid w:val="006E159F"/>
    <w:rsid w:val="006E369F"/>
    <w:rsid w:val="006E40A7"/>
    <w:rsid w:val="006E61E2"/>
    <w:rsid w:val="006E7546"/>
    <w:rsid w:val="006F0556"/>
    <w:rsid w:val="006F0C7D"/>
    <w:rsid w:val="006F11C7"/>
    <w:rsid w:val="006F3EDD"/>
    <w:rsid w:val="006F445B"/>
    <w:rsid w:val="006F5F83"/>
    <w:rsid w:val="00702A2F"/>
    <w:rsid w:val="00703655"/>
    <w:rsid w:val="00706B16"/>
    <w:rsid w:val="007076A0"/>
    <w:rsid w:val="00707785"/>
    <w:rsid w:val="00707DEA"/>
    <w:rsid w:val="0071035D"/>
    <w:rsid w:val="007143C2"/>
    <w:rsid w:val="00717CFC"/>
    <w:rsid w:val="007235E0"/>
    <w:rsid w:val="00727217"/>
    <w:rsid w:val="00730A5B"/>
    <w:rsid w:val="00731CD1"/>
    <w:rsid w:val="00732EC7"/>
    <w:rsid w:val="00740859"/>
    <w:rsid w:val="0074235F"/>
    <w:rsid w:val="0074336C"/>
    <w:rsid w:val="00745E86"/>
    <w:rsid w:val="00750A15"/>
    <w:rsid w:val="00752385"/>
    <w:rsid w:val="007533F3"/>
    <w:rsid w:val="007540C9"/>
    <w:rsid w:val="00761A34"/>
    <w:rsid w:val="00762306"/>
    <w:rsid w:val="00762ABE"/>
    <w:rsid w:val="0076302D"/>
    <w:rsid w:val="007666AF"/>
    <w:rsid w:val="00766751"/>
    <w:rsid w:val="00766941"/>
    <w:rsid w:val="00767E33"/>
    <w:rsid w:val="00775A39"/>
    <w:rsid w:val="00776168"/>
    <w:rsid w:val="00786D78"/>
    <w:rsid w:val="00787CD9"/>
    <w:rsid w:val="00791A47"/>
    <w:rsid w:val="00793901"/>
    <w:rsid w:val="007A40BC"/>
    <w:rsid w:val="007A6789"/>
    <w:rsid w:val="007A7865"/>
    <w:rsid w:val="007B30C2"/>
    <w:rsid w:val="007B65CB"/>
    <w:rsid w:val="007C5440"/>
    <w:rsid w:val="007D1E79"/>
    <w:rsid w:val="007D381E"/>
    <w:rsid w:val="007D3BCE"/>
    <w:rsid w:val="007D7284"/>
    <w:rsid w:val="007D7B95"/>
    <w:rsid w:val="007E170E"/>
    <w:rsid w:val="007E1CA8"/>
    <w:rsid w:val="007E2F4F"/>
    <w:rsid w:val="007E4530"/>
    <w:rsid w:val="007E4F29"/>
    <w:rsid w:val="007E700A"/>
    <w:rsid w:val="007E760F"/>
    <w:rsid w:val="007F0E71"/>
    <w:rsid w:val="007F4D65"/>
    <w:rsid w:val="007F5D3D"/>
    <w:rsid w:val="007F754E"/>
    <w:rsid w:val="007F76C5"/>
    <w:rsid w:val="00803951"/>
    <w:rsid w:val="00803BA4"/>
    <w:rsid w:val="008041DD"/>
    <w:rsid w:val="00804648"/>
    <w:rsid w:val="00805496"/>
    <w:rsid w:val="00813DF2"/>
    <w:rsid w:val="00814867"/>
    <w:rsid w:val="008152C5"/>
    <w:rsid w:val="00817B51"/>
    <w:rsid w:val="008236A0"/>
    <w:rsid w:val="00823EE5"/>
    <w:rsid w:val="00824138"/>
    <w:rsid w:val="00824EE6"/>
    <w:rsid w:val="00830036"/>
    <w:rsid w:val="00833E8F"/>
    <w:rsid w:val="00834FF5"/>
    <w:rsid w:val="00835189"/>
    <w:rsid w:val="00836166"/>
    <w:rsid w:val="008401BA"/>
    <w:rsid w:val="0084046C"/>
    <w:rsid w:val="00840910"/>
    <w:rsid w:val="00840E9E"/>
    <w:rsid w:val="00840F1B"/>
    <w:rsid w:val="00841974"/>
    <w:rsid w:val="00843B85"/>
    <w:rsid w:val="00844EAD"/>
    <w:rsid w:val="00844F55"/>
    <w:rsid w:val="008464BA"/>
    <w:rsid w:val="00847A20"/>
    <w:rsid w:val="00850903"/>
    <w:rsid w:val="00851925"/>
    <w:rsid w:val="0085440F"/>
    <w:rsid w:val="00855924"/>
    <w:rsid w:val="008572A9"/>
    <w:rsid w:val="00861D60"/>
    <w:rsid w:val="00862721"/>
    <w:rsid w:val="0086355D"/>
    <w:rsid w:val="00866A0C"/>
    <w:rsid w:val="00875688"/>
    <w:rsid w:val="0087780E"/>
    <w:rsid w:val="00882415"/>
    <w:rsid w:val="008835E7"/>
    <w:rsid w:val="008860B7"/>
    <w:rsid w:val="00886402"/>
    <w:rsid w:val="00886DA0"/>
    <w:rsid w:val="00890B53"/>
    <w:rsid w:val="00892074"/>
    <w:rsid w:val="0089329B"/>
    <w:rsid w:val="0089482B"/>
    <w:rsid w:val="00895908"/>
    <w:rsid w:val="00896304"/>
    <w:rsid w:val="008A2EC3"/>
    <w:rsid w:val="008A392F"/>
    <w:rsid w:val="008A4C78"/>
    <w:rsid w:val="008A6971"/>
    <w:rsid w:val="008B651F"/>
    <w:rsid w:val="008B74FF"/>
    <w:rsid w:val="008C064A"/>
    <w:rsid w:val="008C0B17"/>
    <w:rsid w:val="008C322C"/>
    <w:rsid w:val="008C3B33"/>
    <w:rsid w:val="008C5197"/>
    <w:rsid w:val="008C6556"/>
    <w:rsid w:val="008C7F71"/>
    <w:rsid w:val="008D0289"/>
    <w:rsid w:val="008D16EB"/>
    <w:rsid w:val="008D24A7"/>
    <w:rsid w:val="008D3E3D"/>
    <w:rsid w:val="008D507D"/>
    <w:rsid w:val="008E0686"/>
    <w:rsid w:val="008E0BBB"/>
    <w:rsid w:val="008E2F85"/>
    <w:rsid w:val="008E39DC"/>
    <w:rsid w:val="008F033A"/>
    <w:rsid w:val="008F0755"/>
    <w:rsid w:val="008F1D44"/>
    <w:rsid w:val="008F5104"/>
    <w:rsid w:val="008F6502"/>
    <w:rsid w:val="008F6600"/>
    <w:rsid w:val="008F6733"/>
    <w:rsid w:val="008F6C3A"/>
    <w:rsid w:val="00900C2F"/>
    <w:rsid w:val="00901671"/>
    <w:rsid w:val="00901771"/>
    <w:rsid w:val="00902754"/>
    <w:rsid w:val="00903E02"/>
    <w:rsid w:val="00904A83"/>
    <w:rsid w:val="00906024"/>
    <w:rsid w:val="0091113D"/>
    <w:rsid w:val="00911E68"/>
    <w:rsid w:val="00912160"/>
    <w:rsid w:val="0091216B"/>
    <w:rsid w:val="0091313C"/>
    <w:rsid w:val="0092063C"/>
    <w:rsid w:val="00921476"/>
    <w:rsid w:val="0092670C"/>
    <w:rsid w:val="00931936"/>
    <w:rsid w:val="009322FC"/>
    <w:rsid w:val="00932399"/>
    <w:rsid w:val="00934644"/>
    <w:rsid w:val="00935082"/>
    <w:rsid w:val="00936AC9"/>
    <w:rsid w:val="00940314"/>
    <w:rsid w:val="009425AC"/>
    <w:rsid w:val="009437E9"/>
    <w:rsid w:val="0094462E"/>
    <w:rsid w:val="00944D02"/>
    <w:rsid w:val="00945D80"/>
    <w:rsid w:val="00946346"/>
    <w:rsid w:val="00946657"/>
    <w:rsid w:val="009517DF"/>
    <w:rsid w:val="00952659"/>
    <w:rsid w:val="00954682"/>
    <w:rsid w:val="009603C0"/>
    <w:rsid w:val="00961711"/>
    <w:rsid w:val="00962710"/>
    <w:rsid w:val="00963832"/>
    <w:rsid w:val="00963FDD"/>
    <w:rsid w:val="00964495"/>
    <w:rsid w:val="009740B6"/>
    <w:rsid w:val="00974512"/>
    <w:rsid w:val="009838A4"/>
    <w:rsid w:val="00987C1A"/>
    <w:rsid w:val="00991E55"/>
    <w:rsid w:val="00992E90"/>
    <w:rsid w:val="00992F22"/>
    <w:rsid w:val="009939ED"/>
    <w:rsid w:val="00995C5F"/>
    <w:rsid w:val="00995D69"/>
    <w:rsid w:val="0099654A"/>
    <w:rsid w:val="0099767C"/>
    <w:rsid w:val="009A16E7"/>
    <w:rsid w:val="009A31EA"/>
    <w:rsid w:val="009A43B1"/>
    <w:rsid w:val="009A54C9"/>
    <w:rsid w:val="009A647B"/>
    <w:rsid w:val="009A6836"/>
    <w:rsid w:val="009A7812"/>
    <w:rsid w:val="009B139A"/>
    <w:rsid w:val="009B2D17"/>
    <w:rsid w:val="009B2EB0"/>
    <w:rsid w:val="009B3C30"/>
    <w:rsid w:val="009B61AB"/>
    <w:rsid w:val="009B7844"/>
    <w:rsid w:val="009C307C"/>
    <w:rsid w:val="009C5540"/>
    <w:rsid w:val="009C651A"/>
    <w:rsid w:val="009D1258"/>
    <w:rsid w:val="009D2830"/>
    <w:rsid w:val="009D2895"/>
    <w:rsid w:val="009D2E9A"/>
    <w:rsid w:val="009D38CB"/>
    <w:rsid w:val="009E0154"/>
    <w:rsid w:val="009E075E"/>
    <w:rsid w:val="009E300B"/>
    <w:rsid w:val="009E30B0"/>
    <w:rsid w:val="009E4CFC"/>
    <w:rsid w:val="009E733E"/>
    <w:rsid w:val="009F1E4B"/>
    <w:rsid w:val="009F2999"/>
    <w:rsid w:val="009F3E93"/>
    <w:rsid w:val="009F7109"/>
    <w:rsid w:val="00A00070"/>
    <w:rsid w:val="00A02045"/>
    <w:rsid w:val="00A030F1"/>
    <w:rsid w:val="00A033CA"/>
    <w:rsid w:val="00A04883"/>
    <w:rsid w:val="00A060B0"/>
    <w:rsid w:val="00A07E9B"/>
    <w:rsid w:val="00A133CB"/>
    <w:rsid w:val="00A14B4F"/>
    <w:rsid w:val="00A21181"/>
    <w:rsid w:val="00A22BBA"/>
    <w:rsid w:val="00A2358A"/>
    <w:rsid w:val="00A24B1D"/>
    <w:rsid w:val="00A3005D"/>
    <w:rsid w:val="00A30AFD"/>
    <w:rsid w:val="00A320B4"/>
    <w:rsid w:val="00A32552"/>
    <w:rsid w:val="00A33C20"/>
    <w:rsid w:val="00A3458E"/>
    <w:rsid w:val="00A34EE1"/>
    <w:rsid w:val="00A42F50"/>
    <w:rsid w:val="00A438AB"/>
    <w:rsid w:val="00A4458C"/>
    <w:rsid w:val="00A4697C"/>
    <w:rsid w:val="00A47557"/>
    <w:rsid w:val="00A501C2"/>
    <w:rsid w:val="00A51A21"/>
    <w:rsid w:val="00A51C7A"/>
    <w:rsid w:val="00A5265D"/>
    <w:rsid w:val="00A529B2"/>
    <w:rsid w:val="00A52D8C"/>
    <w:rsid w:val="00A559CF"/>
    <w:rsid w:val="00A6121A"/>
    <w:rsid w:val="00A61B11"/>
    <w:rsid w:val="00A620C1"/>
    <w:rsid w:val="00A63E00"/>
    <w:rsid w:val="00A64C59"/>
    <w:rsid w:val="00A6554C"/>
    <w:rsid w:val="00A660BF"/>
    <w:rsid w:val="00A70277"/>
    <w:rsid w:val="00A7146A"/>
    <w:rsid w:val="00A72739"/>
    <w:rsid w:val="00A72770"/>
    <w:rsid w:val="00A73389"/>
    <w:rsid w:val="00A738EC"/>
    <w:rsid w:val="00A75123"/>
    <w:rsid w:val="00A848E4"/>
    <w:rsid w:val="00A84EBF"/>
    <w:rsid w:val="00A85295"/>
    <w:rsid w:val="00A852FD"/>
    <w:rsid w:val="00A87160"/>
    <w:rsid w:val="00A9024E"/>
    <w:rsid w:val="00A90F92"/>
    <w:rsid w:val="00A93DAA"/>
    <w:rsid w:val="00A95B56"/>
    <w:rsid w:val="00A96CE5"/>
    <w:rsid w:val="00AA0FE2"/>
    <w:rsid w:val="00AA1C8A"/>
    <w:rsid w:val="00AA2209"/>
    <w:rsid w:val="00AA4BFD"/>
    <w:rsid w:val="00AA55BE"/>
    <w:rsid w:val="00AA6344"/>
    <w:rsid w:val="00AA66F7"/>
    <w:rsid w:val="00AB1E58"/>
    <w:rsid w:val="00AB3910"/>
    <w:rsid w:val="00AB563F"/>
    <w:rsid w:val="00AB58BF"/>
    <w:rsid w:val="00AB7B68"/>
    <w:rsid w:val="00AC19A0"/>
    <w:rsid w:val="00AC2121"/>
    <w:rsid w:val="00AC24C3"/>
    <w:rsid w:val="00AC2D31"/>
    <w:rsid w:val="00AC56FE"/>
    <w:rsid w:val="00AC5770"/>
    <w:rsid w:val="00AD1A14"/>
    <w:rsid w:val="00AD65F5"/>
    <w:rsid w:val="00AD6EEE"/>
    <w:rsid w:val="00AD776E"/>
    <w:rsid w:val="00AE1131"/>
    <w:rsid w:val="00AE2647"/>
    <w:rsid w:val="00AE4320"/>
    <w:rsid w:val="00AE454C"/>
    <w:rsid w:val="00AE4FD6"/>
    <w:rsid w:val="00AE669E"/>
    <w:rsid w:val="00AE67DB"/>
    <w:rsid w:val="00AF2D1D"/>
    <w:rsid w:val="00AF6E95"/>
    <w:rsid w:val="00AF7A7E"/>
    <w:rsid w:val="00B0093D"/>
    <w:rsid w:val="00B0192C"/>
    <w:rsid w:val="00B01A4C"/>
    <w:rsid w:val="00B03EB2"/>
    <w:rsid w:val="00B05AF1"/>
    <w:rsid w:val="00B07A69"/>
    <w:rsid w:val="00B07B41"/>
    <w:rsid w:val="00B10743"/>
    <w:rsid w:val="00B11B11"/>
    <w:rsid w:val="00B1715B"/>
    <w:rsid w:val="00B21A91"/>
    <w:rsid w:val="00B2215C"/>
    <w:rsid w:val="00B226E0"/>
    <w:rsid w:val="00B25128"/>
    <w:rsid w:val="00B25259"/>
    <w:rsid w:val="00B27FF8"/>
    <w:rsid w:val="00B31426"/>
    <w:rsid w:val="00B31891"/>
    <w:rsid w:val="00B33B19"/>
    <w:rsid w:val="00B3564C"/>
    <w:rsid w:val="00B35705"/>
    <w:rsid w:val="00B3727A"/>
    <w:rsid w:val="00B40616"/>
    <w:rsid w:val="00B4192D"/>
    <w:rsid w:val="00B41957"/>
    <w:rsid w:val="00B45177"/>
    <w:rsid w:val="00B45310"/>
    <w:rsid w:val="00B4748E"/>
    <w:rsid w:val="00B475A4"/>
    <w:rsid w:val="00B47743"/>
    <w:rsid w:val="00B50824"/>
    <w:rsid w:val="00B51D12"/>
    <w:rsid w:val="00B559C9"/>
    <w:rsid w:val="00B5725E"/>
    <w:rsid w:val="00B57CE0"/>
    <w:rsid w:val="00B60C5C"/>
    <w:rsid w:val="00B60CD6"/>
    <w:rsid w:val="00B60D73"/>
    <w:rsid w:val="00B6243E"/>
    <w:rsid w:val="00B657C5"/>
    <w:rsid w:val="00B659DC"/>
    <w:rsid w:val="00B66E5D"/>
    <w:rsid w:val="00B7118C"/>
    <w:rsid w:val="00B71814"/>
    <w:rsid w:val="00B736D3"/>
    <w:rsid w:val="00B745E6"/>
    <w:rsid w:val="00B7486F"/>
    <w:rsid w:val="00B814C8"/>
    <w:rsid w:val="00B844A3"/>
    <w:rsid w:val="00B87504"/>
    <w:rsid w:val="00B90DD5"/>
    <w:rsid w:val="00B9172F"/>
    <w:rsid w:val="00B91EDA"/>
    <w:rsid w:val="00B94B67"/>
    <w:rsid w:val="00B95881"/>
    <w:rsid w:val="00B96C67"/>
    <w:rsid w:val="00B97276"/>
    <w:rsid w:val="00B97CEE"/>
    <w:rsid w:val="00BA09A1"/>
    <w:rsid w:val="00BA5239"/>
    <w:rsid w:val="00BB391E"/>
    <w:rsid w:val="00BB399C"/>
    <w:rsid w:val="00BB4CE5"/>
    <w:rsid w:val="00BB4F1C"/>
    <w:rsid w:val="00BB5965"/>
    <w:rsid w:val="00BC1617"/>
    <w:rsid w:val="00BC1E71"/>
    <w:rsid w:val="00BC709A"/>
    <w:rsid w:val="00BD0BB0"/>
    <w:rsid w:val="00BD1658"/>
    <w:rsid w:val="00BD3A55"/>
    <w:rsid w:val="00BD5246"/>
    <w:rsid w:val="00BD61BB"/>
    <w:rsid w:val="00BD6CDA"/>
    <w:rsid w:val="00BD7FA0"/>
    <w:rsid w:val="00BE6447"/>
    <w:rsid w:val="00BF11C5"/>
    <w:rsid w:val="00C01EE2"/>
    <w:rsid w:val="00C033B9"/>
    <w:rsid w:val="00C06375"/>
    <w:rsid w:val="00C06935"/>
    <w:rsid w:val="00C07A23"/>
    <w:rsid w:val="00C112B9"/>
    <w:rsid w:val="00C123F1"/>
    <w:rsid w:val="00C130CB"/>
    <w:rsid w:val="00C16D10"/>
    <w:rsid w:val="00C17B59"/>
    <w:rsid w:val="00C20D80"/>
    <w:rsid w:val="00C2105D"/>
    <w:rsid w:val="00C22C6F"/>
    <w:rsid w:val="00C23790"/>
    <w:rsid w:val="00C24E1D"/>
    <w:rsid w:val="00C25125"/>
    <w:rsid w:val="00C31495"/>
    <w:rsid w:val="00C33F30"/>
    <w:rsid w:val="00C35B8F"/>
    <w:rsid w:val="00C36405"/>
    <w:rsid w:val="00C36427"/>
    <w:rsid w:val="00C41206"/>
    <w:rsid w:val="00C413F8"/>
    <w:rsid w:val="00C41F02"/>
    <w:rsid w:val="00C43150"/>
    <w:rsid w:val="00C46313"/>
    <w:rsid w:val="00C474EF"/>
    <w:rsid w:val="00C52900"/>
    <w:rsid w:val="00C54084"/>
    <w:rsid w:val="00C54ADE"/>
    <w:rsid w:val="00C554BC"/>
    <w:rsid w:val="00C55D0E"/>
    <w:rsid w:val="00C6451F"/>
    <w:rsid w:val="00C65370"/>
    <w:rsid w:val="00C661CC"/>
    <w:rsid w:val="00C6706D"/>
    <w:rsid w:val="00C67612"/>
    <w:rsid w:val="00C67D97"/>
    <w:rsid w:val="00C72A86"/>
    <w:rsid w:val="00C7358D"/>
    <w:rsid w:val="00C8256A"/>
    <w:rsid w:val="00C82987"/>
    <w:rsid w:val="00C83EE8"/>
    <w:rsid w:val="00C863A1"/>
    <w:rsid w:val="00C87FA0"/>
    <w:rsid w:val="00C9029A"/>
    <w:rsid w:val="00C93ED0"/>
    <w:rsid w:val="00C97B02"/>
    <w:rsid w:val="00CA0285"/>
    <w:rsid w:val="00CA0BEF"/>
    <w:rsid w:val="00CA1E63"/>
    <w:rsid w:val="00CA3E8A"/>
    <w:rsid w:val="00CA444F"/>
    <w:rsid w:val="00CB586F"/>
    <w:rsid w:val="00CC0372"/>
    <w:rsid w:val="00CC0E58"/>
    <w:rsid w:val="00CC0FF9"/>
    <w:rsid w:val="00CC4829"/>
    <w:rsid w:val="00CD0F97"/>
    <w:rsid w:val="00CD3609"/>
    <w:rsid w:val="00CD42DE"/>
    <w:rsid w:val="00CD5020"/>
    <w:rsid w:val="00CE2584"/>
    <w:rsid w:val="00CE277B"/>
    <w:rsid w:val="00CE726E"/>
    <w:rsid w:val="00CF1067"/>
    <w:rsid w:val="00CF1100"/>
    <w:rsid w:val="00CF1569"/>
    <w:rsid w:val="00CF3756"/>
    <w:rsid w:val="00CF5248"/>
    <w:rsid w:val="00CF665A"/>
    <w:rsid w:val="00CF7E44"/>
    <w:rsid w:val="00D026F4"/>
    <w:rsid w:val="00D03690"/>
    <w:rsid w:val="00D04996"/>
    <w:rsid w:val="00D0587B"/>
    <w:rsid w:val="00D06C0C"/>
    <w:rsid w:val="00D07945"/>
    <w:rsid w:val="00D10259"/>
    <w:rsid w:val="00D105F0"/>
    <w:rsid w:val="00D108C3"/>
    <w:rsid w:val="00D12E69"/>
    <w:rsid w:val="00D13D60"/>
    <w:rsid w:val="00D155CA"/>
    <w:rsid w:val="00D17B71"/>
    <w:rsid w:val="00D2132B"/>
    <w:rsid w:val="00D21782"/>
    <w:rsid w:val="00D23FA9"/>
    <w:rsid w:val="00D24B0A"/>
    <w:rsid w:val="00D25EE4"/>
    <w:rsid w:val="00D302A5"/>
    <w:rsid w:val="00D3124A"/>
    <w:rsid w:val="00D36DED"/>
    <w:rsid w:val="00D3727C"/>
    <w:rsid w:val="00D37341"/>
    <w:rsid w:val="00D446F1"/>
    <w:rsid w:val="00D44F9F"/>
    <w:rsid w:val="00D45020"/>
    <w:rsid w:val="00D45753"/>
    <w:rsid w:val="00D514D3"/>
    <w:rsid w:val="00D516D3"/>
    <w:rsid w:val="00D519A1"/>
    <w:rsid w:val="00D51FD1"/>
    <w:rsid w:val="00D52C28"/>
    <w:rsid w:val="00D55842"/>
    <w:rsid w:val="00D57392"/>
    <w:rsid w:val="00D605EE"/>
    <w:rsid w:val="00D610D5"/>
    <w:rsid w:val="00D61AB9"/>
    <w:rsid w:val="00D64EB1"/>
    <w:rsid w:val="00D6567C"/>
    <w:rsid w:val="00D660A5"/>
    <w:rsid w:val="00D66C74"/>
    <w:rsid w:val="00D701AB"/>
    <w:rsid w:val="00D70357"/>
    <w:rsid w:val="00D70389"/>
    <w:rsid w:val="00D73069"/>
    <w:rsid w:val="00D76A29"/>
    <w:rsid w:val="00D77B7C"/>
    <w:rsid w:val="00D80EF6"/>
    <w:rsid w:val="00D83705"/>
    <w:rsid w:val="00D848D0"/>
    <w:rsid w:val="00D85C76"/>
    <w:rsid w:val="00D860EE"/>
    <w:rsid w:val="00D87F15"/>
    <w:rsid w:val="00D91756"/>
    <w:rsid w:val="00D93768"/>
    <w:rsid w:val="00D93C58"/>
    <w:rsid w:val="00D95895"/>
    <w:rsid w:val="00D961EA"/>
    <w:rsid w:val="00DA0533"/>
    <w:rsid w:val="00DA2580"/>
    <w:rsid w:val="00DB0460"/>
    <w:rsid w:val="00DB114C"/>
    <w:rsid w:val="00DB584C"/>
    <w:rsid w:val="00DC017B"/>
    <w:rsid w:val="00DC02C6"/>
    <w:rsid w:val="00DC0E9E"/>
    <w:rsid w:val="00DC2F2D"/>
    <w:rsid w:val="00DC401F"/>
    <w:rsid w:val="00DC4D47"/>
    <w:rsid w:val="00DC5BE3"/>
    <w:rsid w:val="00DC7579"/>
    <w:rsid w:val="00DC7FCF"/>
    <w:rsid w:val="00DD1570"/>
    <w:rsid w:val="00DD1711"/>
    <w:rsid w:val="00DD46C9"/>
    <w:rsid w:val="00DE09CF"/>
    <w:rsid w:val="00DE1F62"/>
    <w:rsid w:val="00DE29F5"/>
    <w:rsid w:val="00DE2FC5"/>
    <w:rsid w:val="00DE34C5"/>
    <w:rsid w:val="00DE4EBA"/>
    <w:rsid w:val="00DE724D"/>
    <w:rsid w:val="00DE7AD8"/>
    <w:rsid w:val="00DF2E0E"/>
    <w:rsid w:val="00DF67B3"/>
    <w:rsid w:val="00DF7657"/>
    <w:rsid w:val="00E03D39"/>
    <w:rsid w:val="00E04F58"/>
    <w:rsid w:val="00E05C51"/>
    <w:rsid w:val="00E113CD"/>
    <w:rsid w:val="00E13C76"/>
    <w:rsid w:val="00E15914"/>
    <w:rsid w:val="00E173B4"/>
    <w:rsid w:val="00E24BDD"/>
    <w:rsid w:val="00E250B6"/>
    <w:rsid w:val="00E27C7F"/>
    <w:rsid w:val="00E3233A"/>
    <w:rsid w:val="00E32C1D"/>
    <w:rsid w:val="00E332F7"/>
    <w:rsid w:val="00E3599F"/>
    <w:rsid w:val="00E36111"/>
    <w:rsid w:val="00E37294"/>
    <w:rsid w:val="00E40C06"/>
    <w:rsid w:val="00E415E4"/>
    <w:rsid w:val="00E4402F"/>
    <w:rsid w:val="00E44B8C"/>
    <w:rsid w:val="00E53110"/>
    <w:rsid w:val="00E539A8"/>
    <w:rsid w:val="00E602B6"/>
    <w:rsid w:val="00E61332"/>
    <w:rsid w:val="00E649AA"/>
    <w:rsid w:val="00E66529"/>
    <w:rsid w:val="00E66E24"/>
    <w:rsid w:val="00E72A79"/>
    <w:rsid w:val="00E7455C"/>
    <w:rsid w:val="00E76BEB"/>
    <w:rsid w:val="00E770B7"/>
    <w:rsid w:val="00E772D8"/>
    <w:rsid w:val="00E80B5D"/>
    <w:rsid w:val="00E81903"/>
    <w:rsid w:val="00E81F87"/>
    <w:rsid w:val="00E84B71"/>
    <w:rsid w:val="00E85C22"/>
    <w:rsid w:val="00E86C5D"/>
    <w:rsid w:val="00E86D23"/>
    <w:rsid w:val="00E90015"/>
    <w:rsid w:val="00E918D8"/>
    <w:rsid w:val="00E920CF"/>
    <w:rsid w:val="00E92CEB"/>
    <w:rsid w:val="00E93780"/>
    <w:rsid w:val="00E93C65"/>
    <w:rsid w:val="00E973BA"/>
    <w:rsid w:val="00E97A2B"/>
    <w:rsid w:val="00EA1222"/>
    <w:rsid w:val="00EA248A"/>
    <w:rsid w:val="00EA2F11"/>
    <w:rsid w:val="00EA5D96"/>
    <w:rsid w:val="00EB0827"/>
    <w:rsid w:val="00EB08B8"/>
    <w:rsid w:val="00EB169D"/>
    <w:rsid w:val="00EB221E"/>
    <w:rsid w:val="00EB5375"/>
    <w:rsid w:val="00EB64F6"/>
    <w:rsid w:val="00EB7F93"/>
    <w:rsid w:val="00EC08D0"/>
    <w:rsid w:val="00EC1E95"/>
    <w:rsid w:val="00EC2539"/>
    <w:rsid w:val="00EC5DDD"/>
    <w:rsid w:val="00ED118B"/>
    <w:rsid w:val="00ED164A"/>
    <w:rsid w:val="00ED4A2D"/>
    <w:rsid w:val="00EE213A"/>
    <w:rsid w:val="00EE40D4"/>
    <w:rsid w:val="00EE4190"/>
    <w:rsid w:val="00EE5588"/>
    <w:rsid w:val="00EE5746"/>
    <w:rsid w:val="00EF0C14"/>
    <w:rsid w:val="00EF0DD2"/>
    <w:rsid w:val="00EF4005"/>
    <w:rsid w:val="00EF40EA"/>
    <w:rsid w:val="00EF541D"/>
    <w:rsid w:val="00EF7562"/>
    <w:rsid w:val="00F00B98"/>
    <w:rsid w:val="00F0143B"/>
    <w:rsid w:val="00F0271B"/>
    <w:rsid w:val="00F0378C"/>
    <w:rsid w:val="00F05ED3"/>
    <w:rsid w:val="00F06EFC"/>
    <w:rsid w:val="00F0751F"/>
    <w:rsid w:val="00F07843"/>
    <w:rsid w:val="00F07C6A"/>
    <w:rsid w:val="00F10DEF"/>
    <w:rsid w:val="00F10F99"/>
    <w:rsid w:val="00F12063"/>
    <w:rsid w:val="00F12357"/>
    <w:rsid w:val="00F13089"/>
    <w:rsid w:val="00F13C74"/>
    <w:rsid w:val="00F14BAD"/>
    <w:rsid w:val="00F268CC"/>
    <w:rsid w:val="00F2748E"/>
    <w:rsid w:val="00F334B0"/>
    <w:rsid w:val="00F36585"/>
    <w:rsid w:val="00F40DE1"/>
    <w:rsid w:val="00F41735"/>
    <w:rsid w:val="00F419AA"/>
    <w:rsid w:val="00F41C89"/>
    <w:rsid w:val="00F42A59"/>
    <w:rsid w:val="00F43EDE"/>
    <w:rsid w:val="00F52005"/>
    <w:rsid w:val="00F55098"/>
    <w:rsid w:val="00F553F7"/>
    <w:rsid w:val="00F565EB"/>
    <w:rsid w:val="00F56F30"/>
    <w:rsid w:val="00F577C2"/>
    <w:rsid w:val="00F6088B"/>
    <w:rsid w:val="00F61CC6"/>
    <w:rsid w:val="00F65400"/>
    <w:rsid w:val="00F70F2F"/>
    <w:rsid w:val="00F71266"/>
    <w:rsid w:val="00F7165A"/>
    <w:rsid w:val="00F74397"/>
    <w:rsid w:val="00F7574D"/>
    <w:rsid w:val="00F7648C"/>
    <w:rsid w:val="00F774C7"/>
    <w:rsid w:val="00F8007E"/>
    <w:rsid w:val="00F820F8"/>
    <w:rsid w:val="00F87359"/>
    <w:rsid w:val="00F8784E"/>
    <w:rsid w:val="00F92860"/>
    <w:rsid w:val="00F942B1"/>
    <w:rsid w:val="00F97726"/>
    <w:rsid w:val="00FA0099"/>
    <w:rsid w:val="00FA16DE"/>
    <w:rsid w:val="00FA1A8C"/>
    <w:rsid w:val="00FA4485"/>
    <w:rsid w:val="00FA4F5F"/>
    <w:rsid w:val="00FA53F9"/>
    <w:rsid w:val="00FB1C7E"/>
    <w:rsid w:val="00FB241E"/>
    <w:rsid w:val="00FB6D50"/>
    <w:rsid w:val="00FC0F7C"/>
    <w:rsid w:val="00FC436A"/>
    <w:rsid w:val="00FC7908"/>
    <w:rsid w:val="00FD05FA"/>
    <w:rsid w:val="00FD22B7"/>
    <w:rsid w:val="00FD237E"/>
    <w:rsid w:val="00FE21BA"/>
    <w:rsid w:val="00FE6AB6"/>
    <w:rsid w:val="00FF0A92"/>
    <w:rsid w:val="00FF1170"/>
    <w:rsid w:val="00FF2C46"/>
    <w:rsid w:val="00FF5970"/>
    <w:rsid w:val="00FF6990"/>
    <w:rsid w:val="00FF7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A8AEF2"/>
  <w15:chartTrackingRefBased/>
  <w15:docId w15:val="{9C3E2A71-4CFD-394F-9BCB-EB4167D7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A09A1"/>
    <w:pPr>
      <w:spacing w:after="224"/>
    </w:pPr>
    <w:rPr>
      <w:rFonts w:ascii="Times New Roman" w:hAnsi="Times New Roman" w:cs="Times New Roman"/>
      <w:color w:val="000000"/>
      <w:sz w:val="27"/>
      <w:szCs w:val="27"/>
    </w:rPr>
  </w:style>
  <w:style w:type="paragraph" w:customStyle="1" w:styleId="p2">
    <w:name w:val="p2"/>
    <w:basedOn w:val="Normal"/>
    <w:rsid w:val="00BA09A1"/>
    <w:pPr>
      <w:spacing w:after="180"/>
    </w:pPr>
    <w:rPr>
      <w:rFonts w:ascii="Times New Roman" w:hAnsi="Times New Roman" w:cs="Times New Roman"/>
      <w:color w:val="000000"/>
      <w:sz w:val="18"/>
      <w:szCs w:val="18"/>
    </w:rPr>
  </w:style>
  <w:style w:type="character" w:customStyle="1" w:styleId="s1">
    <w:name w:val="s1"/>
    <w:basedOn w:val="DefaultParagraphFont"/>
    <w:rsid w:val="00BA09A1"/>
    <w:rPr>
      <w:rFonts w:ascii="TimesNewRomanPS-BoldMT" w:hAnsi="TimesNewRomanPS-BoldMT" w:hint="default"/>
      <w:b/>
      <w:bCs/>
      <w:i w:val="0"/>
      <w:iCs w:val="0"/>
      <w:sz w:val="27"/>
      <w:szCs w:val="27"/>
    </w:rPr>
  </w:style>
  <w:style w:type="character" w:customStyle="1" w:styleId="s2">
    <w:name w:val="s2"/>
    <w:basedOn w:val="DefaultParagraphFont"/>
    <w:rsid w:val="00BA09A1"/>
    <w:rPr>
      <w:rFonts w:ascii="Times New Roman" w:hAnsi="Times New Roman" w:cs="Times New Roman" w:hint="default"/>
      <w:b w:val="0"/>
      <w:bCs w:val="0"/>
      <w:i w:val="0"/>
      <w:iCs w:val="0"/>
      <w:sz w:val="18"/>
      <w:szCs w:val="18"/>
    </w:rPr>
  </w:style>
  <w:style w:type="character" w:customStyle="1" w:styleId="apple-converted-space">
    <w:name w:val="apple-converted-space"/>
    <w:basedOn w:val="DefaultParagraphFont"/>
    <w:rsid w:val="00BA09A1"/>
  </w:style>
  <w:style w:type="character" w:styleId="Hyperlink">
    <w:name w:val="Hyperlink"/>
    <w:basedOn w:val="DefaultParagraphFont"/>
    <w:uiPriority w:val="99"/>
    <w:unhideWhenUsed/>
    <w:rsid w:val="004219B8"/>
    <w:rPr>
      <w:color w:val="0563C1" w:themeColor="hyperlink"/>
      <w:u w:val="single"/>
    </w:rPr>
  </w:style>
  <w:style w:type="character" w:styleId="UnresolvedMention">
    <w:name w:val="Unresolved Mention"/>
    <w:basedOn w:val="DefaultParagraphFont"/>
    <w:uiPriority w:val="99"/>
    <w:semiHidden/>
    <w:unhideWhenUsed/>
    <w:rsid w:val="004219B8"/>
    <w:rPr>
      <w:color w:val="605E5C"/>
      <w:shd w:val="clear" w:color="auto" w:fill="E1DFDD"/>
    </w:rPr>
  </w:style>
  <w:style w:type="paragraph" w:styleId="NormalWeb">
    <w:name w:val="Normal (Web)"/>
    <w:basedOn w:val="Normal"/>
    <w:uiPriority w:val="99"/>
    <w:unhideWhenUsed/>
    <w:rsid w:val="000F0BB8"/>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0F0BB8"/>
    <w:rPr>
      <w:b/>
      <w:bCs/>
    </w:rPr>
  </w:style>
  <w:style w:type="character" w:styleId="Emphasis">
    <w:name w:val="Emphasis"/>
    <w:basedOn w:val="DefaultParagraphFont"/>
    <w:uiPriority w:val="20"/>
    <w:qFormat/>
    <w:rsid w:val="000F0BB8"/>
    <w:rPr>
      <w:i/>
      <w:iCs/>
    </w:rPr>
  </w:style>
  <w:style w:type="paragraph" w:customStyle="1" w:styleId="AssignQuote">
    <w:name w:val="AssignQuote"/>
    <w:basedOn w:val="Normal"/>
    <w:next w:val="AssignBody"/>
    <w:link w:val="AssignQuoteChar"/>
    <w:qFormat/>
    <w:rsid w:val="001469CE"/>
    <w:pPr>
      <w:spacing w:line="360" w:lineRule="auto"/>
      <w:ind w:left="1134" w:right="1134"/>
    </w:pPr>
    <w:rPr>
      <w:rFonts w:ascii="Arial" w:eastAsiaTheme="minorHAnsi" w:hAnsi="Arial"/>
      <w:i/>
      <w:lang w:eastAsia="en-US"/>
    </w:rPr>
  </w:style>
  <w:style w:type="paragraph" w:customStyle="1" w:styleId="AssignBody">
    <w:name w:val="AssignBody"/>
    <w:basedOn w:val="AssignQuote"/>
    <w:link w:val="AssignBodyChar"/>
    <w:qFormat/>
    <w:rsid w:val="001469CE"/>
    <w:pPr>
      <w:ind w:left="0" w:right="0"/>
    </w:pPr>
    <w:rPr>
      <w:i w:val="0"/>
    </w:rPr>
  </w:style>
  <w:style w:type="character" w:customStyle="1" w:styleId="AssignQuoteChar">
    <w:name w:val="AssignQuote Char"/>
    <w:basedOn w:val="DefaultParagraphFont"/>
    <w:link w:val="AssignQuote"/>
    <w:rsid w:val="001469CE"/>
    <w:rPr>
      <w:rFonts w:ascii="Arial" w:eastAsiaTheme="minorHAnsi" w:hAnsi="Arial"/>
      <w:i/>
      <w:lang w:eastAsia="en-US"/>
    </w:rPr>
  </w:style>
  <w:style w:type="paragraph" w:customStyle="1" w:styleId="AssignSubHeader">
    <w:name w:val="AssignSubHeader"/>
    <w:basedOn w:val="AssignBody"/>
    <w:next w:val="AssignBody"/>
    <w:link w:val="AssignSubHeaderChar"/>
    <w:qFormat/>
    <w:rsid w:val="001469CE"/>
    <w:rPr>
      <w:b/>
      <w:sz w:val="28"/>
    </w:rPr>
  </w:style>
  <w:style w:type="character" w:customStyle="1" w:styleId="AssignBodyChar">
    <w:name w:val="AssignBody Char"/>
    <w:basedOn w:val="AssignQuoteChar"/>
    <w:link w:val="AssignBody"/>
    <w:rsid w:val="001469CE"/>
    <w:rPr>
      <w:rFonts w:ascii="Arial" w:eastAsiaTheme="minorHAnsi" w:hAnsi="Arial"/>
      <w:i w:val="0"/>
      <w:lang w:eastAsia="en-US"/>
    </w:rPr>
  </w:style>
  <w:style w:type="paragraph" w:customStyle="1" w:styleId="AssignHeader">
    <w:name w:val="AssignHeader"/>
    <w:basedOn w:val="AssignSubHeader"/>
    <w:next w:val="AssignSubHeader"/>
    <w:link w:val="AssignHeaderChar"/>
    <w:qFormat/>
    <w:rsid w:val="001469CE"/>
    <w:pPr>
      <w:jc w:val="center"/>
    </w:pPr>
    <w:rPr>
      <w:sz w:val="36"/>
      <w:u w:val="single"/>
    </w:rPr>
  </w:style>
  <w:style w:type="character" w:customStyle="1" w:styleId="AssignSubHeaderChar">
    <w:name w:val="AssignSubHeader Char"/>
    <w:basedOn w:val="AssignBodyChar"/>
    <w:link w:val="AssignSubHeader"/>
    <w:rsid w:val="001469CE"/>
    <w:rPr>
      <w:rFonts w:ascii="Arial" w:eastAsiaTheme="minorHAnsi" w:hAnsi="Arial"/>
      <w:b/>
      <w:i w:val="0"/>
      <w:sz w:val="28"/>
      <w:lang w:eastAsia="en-US"/>
    </w:rPr>
  </w:style>
  <w:style w:type="character" w:customStyle="1" w:styleId="AssignHeaderChar">
    <w:name w:val="AssignHeader Char"/>
    <w:basedOn w:val="AssignSubHeaderChar"/>
    <w:link w:val="AssignHeader"/>
    <w:rsid w:val="001469CE"/>
    <w:rPr>
      <w:rFonts w:ascii="Arial" w:eastAsiaTheme="minorHAnsi" w:hAnsi="Arial"/>
      <w:b/>
      <w:i w:val="0"/>
      <w:sz w:val="36"/>
      <w:u w:val="single"/>
      <w:lang w:eastAsia="en-US"/>
    </w:rPr>
  </w:style>
  <w:style w:type="paragraph" w:styleId="Header">
    <w:name w:val="header"/>
    <w:basedOn w:val="Normal"/>
    <w:link w:val="HeaderChar"/>
    <w:uiPriority w:val="99"/>
    <w:unhideWhenUsed/>
    <w:rsid w:val="0022711E"/>
    <w:pPr>
      <w:tabs>
        <w:tab w:val="center" w:pos="4513"/>
        <w:tab w:val="right" w:pos="9026"/>
      </w:tabs>
    </w:pPr>
  </w:style>
  <w:style w:type="character" w:customStyle="1" w:styleId="HeaderChar">
    <w:name w:val="Header Char"/>
    <w:basedOn w:val="DefaultParagraphFont"/>
    <w:link w:val="Header"/>
    <w:uiPriority w:val="99"/>
    <w:rsid w:val="0022711E"/>
  </w:style>
  <w:style w:type="paragraph" w:styleId="Footer">
    <w:name w:val="footer"/>
    <w:basedOn w:val="Normal"/>
    <w:link w:val="FooterChar"/>
    <w:uiPriority w:val="99"/>
    <w:unhideWhenUsed/>
    <w:rsid w:val="0022711E"/>
    <w:pPr>
      <w:tabs>
        <w:tab w:val="center" w:pos="4513"/>
        <w:tab w:val="right" w:pos="9026"/>
      </w:tabs>
    </w:pPr>
  </w:style>
  <w:style w:type="character" w:customStyle="1" w:styleId="FooterChar">
    <w:name w:val="Footer Char"/>
    <w:basedOn w:val="DefaultParagraphFont"/>
    <w:link w:val="Footer"/>
    <w:uiPriority w:val="99"/>
    <w:rsid w:val="00227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53405">
      <w:bodyDiv w:val="1"/>
      <w:marLeft w:val="0"/>
      <w:marRight w:val="0"/>
      <w:marTop w:val="0"/>
      <w:marBottom w:val="0"/>
      <w:divBdr>
        <w:top w:val="none" w:sz="0" w:space="0" w:color="auto"/>
        <w:left w:val="none" w:sz="0" w:space="0" w:color="auto"/>
        <w:bottom w:val="none" w:sz="0" w:space="0" w:color="auto"/>
        <w:right w:val="none" w:sz="0" w:space="0" w:color="auto"/>
      </w:divBdr>
      <w:divsChild>
        <w:div w:id="1786578827">
          <w:marLeft w:val="0"/>
          <w:marRight w:val="0"/>
          <w:marTop w:val="0"/>
          <w:marBottom w:val="0"/>
          <w:divBdr>
            <w:top w:val="none" w:sz="0" w:space="0" w:color="auto"/>
            <w:left w:val="none" w:sz="0" w:space="0" w:color="auto"/>
            <w:bottom w:val="none" w:sz="0" w:space="0" w:color="auto"/>
            <w:right w:val="none" w:sz="0" w:space="0" w:color="auto"/>
          </w:divBdr>
        </w:div>
        <w:div w:id="1673683550">
          <w:marLeft w:val="0"/>
          <w:marRight w:val="0"/>
          <w:marTop w:val="0"/>
          <w:marBottom w:val="0"/>
          <w:divBdr>
            <w:top w:val="none" w:sz="0" w:space="0" w:color="auto"/>
            <w:left w:val="none" w:sz="0" w:space="0" w:color="auto"/>
            <w:bottom w:val="none" w:sz="0" w:space="0" w:color="auto"/>
            <w:right w:val="none" w:sz="0" w:space="0" w:color="auto"/>
          </w:divBdr>
        </w:div>
        <w:div w:id="210649730">
          <w:marLeft w:val="0"/>
          <w:marRight w:val="0"/>
          <w:marTop w:val="0"/>
          <w:marBottom w:val="0"/>
          <w:divBdr>
            <w:top w:val="none" w:sz="0" w:space="0" w:color="auto"/>
            <w:left w:val="none" w:sz="0" w:space="0" w:color="auto"/>
            <w:bottom w:val="none" w:sz="0" w:space="0" w:color="auto"/>
            <w:right w:val="none" w:sz="0" w:space="0" w:color="auto"/>
          </w:divBdr>
        </w:div>
        <w:div w:id="1055154028">
          <w:marLeft w:val="0"/>
          <w:marRight w:val="0"/>
          <w:marTop w:val="0"/>
          <w:marBottom w:val="0"/>
          <w:divBdr>
            <w:top w:val="none" w:sz="0" w:space="0" w:color="auto"/>
            <w:left w:val="none" w:sz="0" w:space="0" w:color="auto"/>
            <w:bottom w:val="none" w:sz="0" w:space="0" w:color="auto"/>
            <w:right w:val="none" w:sz="0" w:space="0" w:color="auto"/>
          </w:divBdr>
        </w:div>
        <w:div w:id="637026980">
          <w:marLeft w:val="0"/>
          <w:marRight w:val="0"/>
          <w:marTop w:val="0"/>
          <w:marBottom w:val="0"/>
          <w:divBdr>
            <w:top w:val="none" w:sz="0" w:space="0" w:color="auto"/>
            <w:left w:val="none" w:sz="0" w:space="0" w:color="auto"/>
            <w:bottom w:val="none" w:sz="0" w:space="0" w:color="auto"/>
            <w:right w:val="none" w:sz="0" w:space="0" w:color="auto"/>
          </w:divBdr>
        </w:div>
      </w:divsChild>
    </w:div>
    <w:div w:id="294261053">
      <w:bodyDiv w:val="1"/>
      <w:marLeft w:val="0"/>
      <w:marRight w:val="0"/>
      <w:marTop w:val="0"/>
      <w:marBottom w:val="0"/>
      <w:divBdr>
        <w:top w:val="none" w:sz="0" w:space="0" w:color="auto"/>
        <w:left w:val="none" w:sz="0" w:space="0" w:color="auto"/>
        <w:bottom w:val="none" w:sz="0" w:space="0" w:color="auto"/>
        <w:right w:val="none" w:sz="0" w:space="0" w:color="auto"/>
      </w:divBdr>
    </w:div>
    <w:div w:id="512886270">
      <w:bodyDiv w:val="1"/>
      <w:marLeft w:val="0"/>
      <w:marRight w:val="0"/>
      <w:marTop w:val="0"/>
      <w:marBottom w:val="0"/>
      <w:divBdr>
        <w:top w:val="none" w:sz="0" w:space="0" w:color="auto"/>
        <w:left w:val="none" w:sz="0" w:space="0" w:color="auto"/>
        <w:bottom w:val="none" w:sz="0" w:space="0" w:color="auto"/>
        <w:right w:val="none" w:sz="0" w:space="0" w:color="auto"/>
      </w:divBdr>
    </w:div>
    <w:div w:id="1121074915">
      <w:bodyDiv w:val="1"/>
      <w:marLeft w:val="0"/>
      <w:marRight w:val="0"/>
      <w:marTop w:val="0"/>
      <w:marBottom w:val="0"/>
      <w:divBdr>
        <w:top w:val="none" w:sz="0" w:space="0" w:color="auto"/>
        <w:left w:val="none" w:sz="0" w:space="0" w:color="auto"/>
        <w:bottom w:val="none" w:sz="0" w:space="0" w:color="auto"/>
        <w:right w:val="none" w:sz="0" w:space="0" w:color="auto"/>
      </w:divBdr>
    </w:div>
    <w:div w:id="1487287048">
      <w:bodyDiv w:val="1"/>
      <w:marLeft w:val="0"/>
      <w:marRight w:val="0"/>
      <w:marTop w:val="0"/>
      <w:marBottom w:val="0"/>
      <w:divBdr>
        <w:top w:val="none" w:sz="0" w:space="0" w:color="auto"/>
        <w:left w:val="none" w:sz="0" w:space="0" w:color="auto"/>
        <w:bottom w:val="none" w:sz="0" w:space="0" w:color="auto"/>
        <w:right w:val="none" w:sz="0" w:space="0" w:color="auto"/>
      </w:divBdr>
    </w:div>
    <w:div w:id="1592160759">
      <w:bodyDiv w:val="1"/>
      <w:marLeft w:val="0"/>
      <w:marRight w:val="0"/>
      <w:marTop w:val="0"/>
      <w:marBottom w:val="0"/>
      <w:divBdr>
        <w:top w:val="none" w:sz="0" w:space="0" w:color="auto"/>
        <w:left w:val="none" w:sz="0" w:space="0" w:color="auto"/>
        <w:bottom w:val="none" w:sz="0" w:space="0" w:color="auto"/>
        <w:right w:val="none" w:sz="0" w:space="0" w:color="auto"/>
      </w:divBdr>
    </w:div>
    <w:div w:id="202116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14363</TotalTime>
  <Pages>15</Pages>
  <Words>5360</Words>
  <Characters>29423</Characters>
  <Application>Microsoft Office Word</Application>
  <DocSecurity>0</DocSecurity>
  <Lines>501</Lines>
  <Paragraphs>77</Paragraphs>
  <ScaleCrop>false</ScaleCrop>
  <Company/>
  <LinksUpToDate>false</LinksUpToDate>
  <CharactersWithSpaces>34735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Asher-Kane Flanagan (2200065)</dc:creator>
  <cp:keywords/>
  <dc:description/>
  <cp:lastModifiedBy>Asher-Kane Flanagan (2200065)</cp:lastModifiedBy>
  <cp:revision>1248</cp:revision>
  <dcterms:created xsi:type="dcterms:W3CDTF">2022-10-03T15:11:00Z</dcterms:created>
  <dcterms:modified xsi:type="dcterms:W3CDTF">2022-11-02T09:57:00Z</dcterms:modified>
</cp:coreProperties>
</file>