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3E5" w:rsidRPr="00DF307C" w:rsidRDefault="75650C2C" w:rsidP="75650C2C">
      <w:pPr>
        <w:rPr>
          <w:rFonts w:eastAsiaTheme="minorEastAsia"/>
          <w:b/>
          <w:bCs/>
        </w:rPr>
      </w:pPr>
      <w:r w:rsidRPr="75650C2C">
        <w:rPr>
          <w:rFonts w:eastAsiaTheme="minorEastAsia"/>
          <w:b/>
          <w:bCs/>
        </w:rPr>
        <w:t>Briefing Paper to Swansea Local Education Authority</w:t>
      </w:r>
    </w:p>
    <w:p w:rsidR="006A42A9" w:rsidRPr="00DF307C" w:rsidRDefault="75650C2C" w:rsidP="75650C2C">
      <w:pPr>
        <w:rPr>
          <w:rFonts w:eastAsiaTheme="minorEastAsia"/>
        </w:rPr>
      </w:pPr>
      <w:r w:rsidRPr="75650C2C">
        <w:rPr>
          <w:rFonts w:eastAsiaTheme="minorEastAsia"/>
        </w:rPr>
        <w:t>Date: October 2019</w:t>
      </w:r>
    </w:p>
    <w:p w:rsidR="7E67E672" w:rsidRDefault="75650C2C" w:rsidP="75650C2C">
      <w:pPr>
        <w:rPr>
          <w:rFonts w:eastAsiaTheme="minorEastAsia"/>
        </w:rPr>
      </w:pPr>
      <w:r w:rsidRPr="75650C2C">
        <w:rPr>
          <w:rFonts w:eastAsiaTheme="minorEastAsia"/>
        </w:rPr>
        <w:t>Subject: Inclusive Practice</w:t>
      </w:r>
    </w:p>
    <w:p w:rsidR="7E67E672" w:rsidRDefault="75650C2C" w:rsidP="75650C2C">
      <w:pPr>
        <w:rPr>
          <w:rFonts w:eastAsiaTheme="minorEastAsia"/>
        </w:rPr>
      </w:pPr>
      <w:r w:rsidRPr="75650C2C">
        <w:rPr>
          <w:rFonts w:eastAsiaTheme="minorEastAsia"/>
        </w:rPr>
        <w:t>Author: Lesley Martin, Year 2 student, BA Education Studies, UWTSD</w:t>
      </w:r>
    </w:p>
    <w:p w:rsidR="4E89FE2F" w:rsidRPr="00B8031A" w:rsidRDefault="75650C2C" w:rsidP="75650C2C">
      <w:pPr>
        <w:rPr>
          <w:rFonts w:eastAsiaTheme="minorEastAsia"/>
          <w:color w:val="000000" w:themeColor="text1"/>
          <w:u w:val="single"/>
        </w:rPr>
      </w:pPr>
      <w:r w:rsidRPr="75650C2C">
        <w:rPr>
          <w:rFonts w:eastAsiaTheme="minorEastAsia"/>
          <w:color w:val="000000" w:themeColor="text1"/>
          <w:u w:val="single"/>
        </w:rPr>
        <w:t>Rationale:</w:t>
      </w:r>
    </w:p>
    <w:p w:rsidR="00306A13" w:rsidRDefault="75650C2C" w:rsidP="75650C2C">
      <w:pPr>
        <w:rPr>
          <w:rFonts w:eastAsiaTheme="minorEastAsia"/>
          <w:color w:val="000000" w:themeColor="text1"/>
          <w:lang w:eastAsia="en-GB"/>
        </w:rPr>
      </w:pPr>
      <w:r w:rsidRPr="75650C2C">
        <w:rPr>
          <w:rFonts w:eastAsiaTheme="minorEastAsia"/>
          <w:color w:val="000000" w:themeColor="text1"/>
          <w:lang w:eastAsia="en-GB"/>
        </w:rPr>
        <w:t>The purpose of this briefing paper is to define what inclusive practice means and the factors the Welsh Government (WAG) and Local Education Authorities (LEAs) need to acknowledge if current levels of inclusion are to be improved. It considers historical and contemporary policies and legislation that have helped map and continue to legislate for our education system today, including biological and sociological perspectives; provides an overview of the last few years and the increased interest in the way pupils are currently supported in their learning environment at mainstream schools under the Special Education Needs Code of Practice for Wales (2014); it determines the importance of the introduction of the Additional Learning Needs (ALN) and Education Tribunal Wales Act 2018 as recommended by (Estyn 2018) for the children of Wales and looks at the issues that surround it.</w:t>
      </w:r>
      <w:bookmarkStart w:id="0" w:name="_GoBack"/>
      <w:bookmarkEnd w:id="0"/>
    </w:p>
    <w:p w:rsidR="00735E37" w:rsidRPr="00177E8E" w:rsidRDefault="75650C2C" w:rsidP="75650C2C">
      <w:pPr>
        <w:rPr>
          <w:rFonts w:eastAsiaTheme="minorEastAsia"/>
          <w:u w:val="single"/>
        </w:rPr>
      </w:pPr>
      <w:r w:rsidRPr="75650C2C">
        <w:rPr>
          <w:rFonts w:eastAsiaTheme="minorEastAsia"/>
          <w:u w:val="single"/>
        </w:rPr>
        <w:t>Definitions of Inclusive Practice:</w:t>
      </w:r>
    </w:p>
    <w:p w:rsidR="006F6894" w:rsidRDefault="75650C2C" w:rsidP="75650C2C">
      <w:pPr>
        <w:spacing w:after="0" w:line="240" w:lineRule="auto"/>
        <w:rPr>
          <w:rFonts w:eastAsiaTheme="minorEastAsia"/>
          <w:color w:val="000000" w:themeColor="text1"/>
        </w:rPr>
      </w:pPr>
      <w:r w:rsidRPr="75650C2C">
        <w:rPr>
          <w:rFonts w:eastAsiaTheme="minorEastAsia"/>
          <w:color w:val="000000" w:themeColor="text1"/>
        </w:rPr>
        <w:t xml:space="preserve">Booth and </w:t>
      </w:r>
      <w:proofErr w:type="spellStart"/>
      <w:r w:rsidRPr="75650C2C">
        <w:rPr>
          <w:rFonts w:eastAsiaTheme="minorEastAsia"/>
          <w:color w:val="000000" w:themeColor="text1"/>
        </w:rPr>
        <w:t>Aiscow</w:t>
      </w:r>
      <w:proofErr w:type="spellEnd"/>
      <w:r w:rsidRPr="75650C2C">
        <w:rPr>
          <w:rFonts w:eastAsiaTheme="minorEastAsia"/>
          <w:color w:val="000000" w:themeColor="text1"/>
        </w:rPr>
        <w:t xml:space="preserve"> (2011) consider there to be no definitive interpretation for inclusion as it can mean a variety of things to different people. They interpret it as</w:t>
      </w:r>
      <w:r w:rsidRPr="75650C2C">
        <w:rPr>
          <w:rFonts w:eastAsiaTheme="minorEastAsia"/>
          <w:i/>
          <w:iCs/>
          <w:color w:val="000000" w:themeColor="text1"/>
        </w:rPr>
        <w:t xml:space="preserve"> </w:t>
      </w:r>
      <w:r w:rsidRPr="75650C2C">
        <w:rPr>
          <w:rFonts w:eastAsiaTheme="minorEastAsia"/>
          <w:color w:val="000000" w:themeColor="text1"/>
        </w:rPr>
        <w:t xml:space="preserve">expanding participation for everyone, including sustainable support to schools for them to become more responsive to the diversity of children regardless of their circumstances. It requires the co-operation of all involved. For some it may simply equate to disability awareness (Powell and Tummons (2011), while others see it from the bigger picture, where inclusive practice is where everyone is included in the same environment and not segregated regardless of their needs and how they accomplish something. An inclusive society only exists when people value each other through positive communication Welsh Assembly Government (2002). It is the school’s responsibility to modify their systems and actions to </w:t>
      </w:r>
      <w:proofErr w:type="gramStart"/>
      <w:r w:rsidRPr="75650C2C">
        <w:rPr>
          <w:rFonts w:eastAsiaTheme="minorEastAsia"/>
          <w:color w:val="000000" w:themeColor="text1"/>
        </w:rPr>
        <w:t>meet</w:t>
      </w:r>
      <w:proofErr w:type="gramEnd"/>
      <w:r w:rsidRPr="75650C2C">
        <w:rPr>
          <w:rFonts w:eastAsiaTheme="minorEastAsia"/>
          <w:color w:val="000000" w:themeColor="text1"/>
        </w:rPr>
        <w:t xml:space="preserve"> all children and young people’s needs, so they can develop in all areas. This requires an all-inclusive curriculum, where teachers and staff are fully trained, </w:t>
      </w:r>
      <w:r w:rsidRPr="75650C2C">
        <w:rPr>
          <w:rFonts w:eastAsiaTheme="minorEastAsia"/>
        </w:rPr>
        <w:t>and committed</w:t>
      </w:r>
      <w:r w:rsidRPr="75650C2C">
        <w:rPr>
          <w:rFonts w:eastAsiaTheme="minorEastAsia"/>
          <w:color w:val="000000" w:themeColor="text1"/>
        </w:rPr>
        <w:t xml:space="preserve"> to give everyone an equal opportunity to learn, succeed and feel they belong. If someone has a vision or goal, they must not be prevented from realising it where realistically possible, simply because of the barriers created by society. </w:t>
      </w:r>
    </w:p>
    <w:p w:rsidR="006F6894" w:rsidRDefault="006F6894" w:rsidP="75650C2C">
      <w:pPr>
        <w:spacing w:after="0" w:line="240" w:lineRule="auto"/>
        <w:rPr>
          <w:rFonts w:eastAsiaTheme="minorEastAsia"/>
          <w:color w:val="000000" w:themeColor="text1"/>
        </w:rPr>
      </w:pPr>
    </w:p>
    <w:p w:rsidR="006F6894" w:rsidRDefault="75650C2C" w:rsidP="75650C2C">
      <w:pPr>
        <w:spacing w:after="0" w:line="240" w:lineRule="auto"/>
        <w:rPr>
          <w:rFonts w:eastAsiaTheme="minorEastAsia"/>
          <w:u w:val="single"/>
        </w:rPr>
      </w:pPr>
      <w:r w:rsidRPr="75650C2C">
        <w:rPr>
          <w:rFonts w:eastAsiaTheme="minorEastAsia"/>
          <w:u w:val="single"/>
        </w:rPr>
        <w:t>Legislation and policies that support inclusive practice:</w:t>
      </w:r>
      <w:r w:rsidRPr="75650C2C">
        <w:rPr>
          <w:rFonts w:eastAsiaTheme="minorEastAsia"/>
        </w:rPr>
        <w:t xml:space="preserve"> </w:t>
      </w:r>
    </w:p>
    <w:p w:rsidR="16D6717C" w:rsidRDefault="16D6717C" w:rsidP="75650C2C">
      <w:pPr>
        <w:spacing w:after="0" w:line="240" w:lineRule="auto"/>
        <w:rPr>
          <w:rFonts w:eastAsiaTheme="minorEastAsia"/>
          <w:color w:val="FF0000"/>
        </w:rPr>
      </w:pPr>
    </w:p>
    <w:p w:rsidR="006F6894" w:rsidRDefault="75650C2C" w:rsidP="75650C2C">
      <w:pPr>
        <w:spacing w:after="0" w:line="240" w:lineRule="auto"/>
        <w:rPr>
          <w:rFonts w:eastAsiaTheme="minorEastAsia"/>
        </w:rPr>
      </w:pPr>
      <w:r w:rsidRPr="75650C2C">
        <w:rPr>
          <w:rFonts w:eastAsiaTheme="minorEastAsia"/>
        </w:rPr>
        <w:t>Jones (2016) reflects on how e</w:t>
      </w:r>
      <w:r w:rsidRPr="75650C2C">
        <w:rPr>
          <w:rFonts w:eastAsiaTheme="minorEastAsia"/>
          <w:color w:val="000000" w:themeColor="text1"/>
        </w:rPr>
        <w:t xml:space="preserve">ducation was temporarily neglected during the war years, with the introduction of the Education Act 1944 being the only significant piece of social legislation to emerge. </w:t>
      </w:r>
      <w:r w:rsidRPr="75650C2C">
        <w:rPr>
          <w:rFonts w:eastAsiaTheme="minorEastAsia"/>
        </w:rPr>
        <w:t xml:space="preserve">During this period, special education was dominated from a biological perspective, diagnosed by medical and not educational professionals, and a child’s disability was recognised as the root of the problem Glazzard. </w:t>
      </w:r>
      <w:proofErr w:type="gramStart"/>
      <w:r w:rsidRPr="75650C2C">
        <w:rPr>
          <w:rFonts w:eastAsiaTheme="minorEastAsia"/>
        </w:rPr>
        <w:t>et.al (2015).</w:t>
      </w:r>
      <w:proofErr w:type="gramEnd"/>
      <w:r w:rsidRPr="75650C2C">
        <w:rPr>
          <w:rFonts w:eastAsiaTheme="minorEastAsia"/>
        </w:rPr>
        <w:t xml:space="preserve"> It was not until the latter part of the twentieth century that views began to change, and education changed its focus to a sociological perspective which was previously overlooked. </w:t>
      </w:r>
      <w:proofErr w:type="gramStart"/>
      <w:r w:rsidRPr="75650C2C">
        <w:rPr>
          <w:rFonts w:eastAsiaTheme="minorEastAsia"/>
        </w:rPr>
        <w:t>According to Roaf and Barnes (1989, quoted in Glazzard.</w:t>
      </w:r>
      <w:proofErr w:type="gramEnd"/>
      <w:r w:rsidRPr="75650C2C">
        <w:rPr>
          <w:rFonts w:eastAsiaTheme="minorEastAsia"/>
        </w:rPr>
        <w:t xml:space="preserve"> Et.al 2015, p. 25) this approach replaced people’s understanding of ‘learning difficulties’ with ‘rights’, as affirmed by the United Nations Convention on the Rights of the Child (UNCRC) which came into force in 1990. </w:t>
      </w:r>
    </w:p>
    <w:p w:rsidR="1D817799" w:rsidRDefault="1D817799" w:rsidP="75650C2C">
      <w:pPr>
        <w:spacing w:after="0" w:line="240" w:lineRule="auto"/>
        <w:rPr>
          <w:rFonts w:eastAsiaTheme="minorEastAsia"/>
        </w:rPr>
      </w:pPr>
    </w:p>
    <w:p w:rsidR="006F6894" w:rsidRDefault="75650C2C" w:rsidP="75650C2C">
      <w:pPr>
        <w:spacing w:after="0" w:line="240" w:lineRule="auto"/>
        <w:rPr>
          <w:rFonts w:eastAsiaTheme="minorEastAsia"/>
        </w:rPr>
      </w:pPr>
      <w:r w:rsidRPr="75650C2C">
        <w:rPr>
          <w:rFonts w:eastAsiaTheme="minorEastAsia"/>
        </w:rPr>
        <w:t xml:space="preserve">Various Acts and legislation that have since followed demonstrate the progression of people’s perception; however, the system still lacks accountability and clarity. The Education Act 1996 </w:t>
      </w:r>
      <w:proofErr w:type="gramStart"/>
      <w:r w:rsidRPr="75650C2C">
        <w:rPr>
          <w:rFonts w:eastAsiaTheme="minorEastAsia"/>
        </w:rPr>
        <w:t xml:space="preserve">was  </w:t>
      </w:r>
      <w:r w:rsidRPr="75650C2C">
        <w:rPr>
          <w:rFonts w:eastAsiaTheme="minorEastAsia"/>
        </w:rPr>
        <w:lastRenderedPageBreak/>
        <w:t>brought</w:t>
      </w:r>
      <w:proofErr w:type="gramEnd"/>
      <w:r w:rsidRPr="75650C2C">
        <w:rPr>
          <w:rFonts w:eastAsiaTheme="minorEastAsia"/>
        </w:rPr>
        <w:t xml:space="preserve"> in to reinforce children's rights to be taught in mainstream schools as recorded by Walton and Goddard (2012); and The Equality Act 2010, which recognises disability as a protected quality and stipulates that educational establishments must ensure everyone is treated equally and provided with the same opportunities, regardless of their disability, Glazzard, et al (2015). </w:t>
      </w:r>
    </w:p>
    <w:p w:rsidR="16D6717C" w:rsidRDefault="16D6717C" w:rsidP="75650C2C">
      <w:pPr>
        <w:spacing w:after="0" w:line="240" w:lineRule="auto"/>
        <w:rPr>
          <w:rFonts w:eastAsiaTheme="minorEastAsia"/>
        </w:rPr>
      </w:pPr>
    </w:p>
    <w:p w:rsidR="006F6894" w:rsidRDefault="75650C2C" w:rsidP="75650C2C">
      <w:pPr>
        <w:spacing w:after="0" w:line="240" w:lineRule="auto"/>
        <w:rPr>
          <w:rFonts w:eastAsiaTheme="minorEastAsia"/>
        </w:rPr>
      </w:pPr>
      <w:r w:rsidRPr="75650C2C">
        <w:rPr>
          <w:rFonts w:eastAsiaTheme="minorEastAsia"/>
          <w:u w:val="single"/>
        </w:rPr>
        <w:t>Evaluation of how pupils are supported in Wales:</w:t>
      </w:r>
    </w:p>
    <w:p w:rsidR="16D6717C" w:rsidRDefault="16D6717C" w:rsidP="75650C2C">
      <w:pPr>
        <w:spacing w:after="0" w:line="240" w:lineRule="auto"/>
        <w:rPr>
          <w:rFonts w:eastAsiaTheme="minorEastAsia"/>
          <w:color w:val="FF0000"/>
          <w:u w:val="single"/>
        </w:rPr>
      </w:pPr>
    </w:p>
    <w:p w:rsidR="006F6894" w:rsidRDefault="75650C2C" w:rsidP="75650C2C">
      <w:pPr>
        <w:spacing w:after="0" w:line="240" w:lineRule="auto"/>
        <w:rPr>
          <w:rFonts w:eastAsiaTheme="minorEastAsia"/>
          <w:color w:val="4471C4"/>
        </w:rPr>
      </w:pPr>
      <w:r w:rsidRPr="75650C2C">
        <w:rPr>
          <w:rFonts w:eastAsiaTheme="minorEastAsia"/>
        </w:rPr>
        <w:t>It is the Welsh Ministers’ duty to advocate education for the people of Wales, in order to promote and restore its economic, social and environmental well-being. With the Welsh Government committed to the</w:t>
      </w:r>
      <w:r w:rsidRPr="75650C2C">
        <w:rPr>
          <w:rFonts w:eastAsiaTheme="minorEastAsia"/>
          <w:color w:val="4471C4"/>
        </w:rPr>
        <w:t xml:space="preserve"> </w:t>
      </w:r>
      <w:r w:rsidRPr="75650C2C">
        <w:rPr>
          <w:rFonts w:eastAsiaTheme="minorEastAsia"/>
        </w:rPr>
        <w:t xml:space="preserve">UNCRC as the foundation for its policies in relation to the children and young people in Wales. This includes (Article 28), where children have a right to an education, and (Article 23), where children who have any kind of disability should be entitled to special care and support so that they can lead full and active lives within the community. The aspirations exhibited in the Well-being of Future Generations (Wales) Act 2015 (FG Act), also endorse this commitment for a more equal Wales by supporting an inclusive, unbiased education system. </w:t>
      </w:r>
    </w:p>
    <w:p w:rsidR="0038170A" w:rsidRDefault="0038170A" w:rsidP="75650C2C">
      <w:pPr>
        <w:shd w:val="clear" w:color="auto" w:fill="FFFFFF" w:themeFill="background1"/>
        <w:spacing w:after="0" w:line="240" w:lineRule="auto"/>
        <w:rPr>
          <w:rFonts w:eastAsiaTheme="minorEastAsia"/>
        </w:rPr>
      </w:pPr>
    </w:p>
    <w:p w:rsidR="1D817799" w:rsidRDefault="75650C2C" w:rsidP="75650C2C">
      <w:pPr>
        <w:rPr>
          <w:rFonts w:eastAsiaTheme="minorEastAsia"/>
          <w:u w:val="single"/>
        </w:rPr>
      </w:pPr>
      <w:r w:rsidRPr="75650C2C">
        <w:rPr>
          <w:rFonts w:eastAsiaTheme="minorEastAsia"/>
          <w:u w:val="single"/>
        </w:rPr>
        <w:t>Special Education Needs (SEN):</w:t>
      </w:r>
    </w:p>
    <w:p w:rsidR="1D817799" w:rsidRDefault="75650C2C" w:rsidP="75650C2C">
      <w:pPr>
        <w:rPr>
          <w:rFonts w:eastAsiaTheme="minorEastAsia"/>
        </w:rPr>
      </w:pPr>
      <w:r w:rsidRPr="75650C2C">
        <w:rPr>
          <w:rFonts w:eastAsiaTheme="minorEastAsia"/>
        </w:rPr>
        <w:t>The current</w:t>
      </w:r>
      <w:r w:rsidRPr="75650C2C">
        <w:rPr>
          <w:rFonts w:eastAsiaTheme="minorEastAsia"/>
          <w:color w:val="4471C4"/>
        </w:rPr>
        <w:t xml:space="preserve"> </w:t>
      </w:r>
      <w:r w:rsidRPr="75650C2C">
        <w:rPr>
          <w:rFonts w:eastAsiaTheme="minorEastAsia"/>
        </w:rPr>
        <w:t xml:space="preserve">system is known as the SEN Framework (2014). The term special education needs (SEN) was first touched upon in the Warnock Report in 1978 as recorded by Walton and Goddard (2012). SEN refers to children who have a difficulty or disability that makes it harder for them to learn than other children of a similar age. It was the Warnock Report followed by the 1981 Education </w:t>
      </w:r>
      <w:proofErr w:type="gramStart"/>
      <w:r w:rsidRPr="75650C2C">
        <w:rPr>
          <w:rFonts w:eastAsiaTheme="minorEastAsia"/>
        </w:rPr>
        <w:t>Act, that</w:t>
      </w:r>
      <w:proofErr w:type="gramEnd"/>
      <w:r w:rsidRPr="75650C2C">
        <w:rPr>
          <w:rFonts w:eastAsiaTheme="minorEastAsia"/>
        </w:rPr>
        <w:t xml:space="preserve"> radically changed the perception of SEN, with integration as it was previously known now being identified as inclusion. </w:t>
      </w:r>
      <w:proofErr w:type="gramStart"/>
      <w:r w:rsidRPr="75650C2C">
        <w:rPr>
          <w:rFonts w:eastAsiaTheme="minorEastAsia"/>
        </w:rPr>
        <w:t>Children</w:t>
      </w:r>
      <w:proofErr w:type="gramEnd"/>
      <w:r w:rsidRPr="75650C2C">
        <w:rPr>
          <w:rFonts w:eastAsiaTheme="minorEastAsia"/>
        </w:rPr>
        <w:t xml:space="preserve"> who had previously been excluded, were now being recognised and given the opportunity to be educated, but only in special schools. Around twenty-three percent of learners at maintained schools in Wales live with SEN; their academic attainment is poor compared to the rest of the learner population.</w:t>
      </w:r>
    </w:p>
    <w:p w:rsidR="007252D5" w:rsidRPr="00481323" w:rsidRDefault="75650C2C" w:rsidP="75650C2C">
      <w:pPr>
        <w:spacing w:after="0" w:line="240" w:lineRule="auto"/>
        <w:rPr>
          <w:rFonts w:eastAsiaTheme="minorEastAsia"/>
          <w:color w:val="0B0C0C"/>
          <w:lang w:eastAsia="en-GB"/>
        </w:rPr>
      </w:pPr>
      <w:r w:rsidRPr="75650C2C">
        <w:rPr>
          <w:rFonts w:eastAsiaTheme="minorEastAsia"/>
        </w:rPr>
        <w:t>A Special Educational Needs Coordinator (SENCo) is the term given to the existing person who oversees their needs. They are responsible for collaborating with Head teachers, teaching staff, parents and carers and negotiating with external agencies to ensure these learners obtain the correct level of support within their educational setting as specified in the SEN Code of Practice for Wales (2014). Their role is crucial to the development and improved outcomes for these learners who</w:t>
      </w:r>
      <w:r w:rsidRPr="75650C2C">
        <w:rPr>
          <w:rFonts w:eastAsiaTheme="minorEastAsia"/>
          <w:color w:val="0B0C0C"/>
          <w:lang w:eastAsia="en-GB"/>
        </w:rPr>
        <w:t xml:space="preserve"> all have their own unique requirements. </w:t>
      </w:r>
      <w:r w:rsidRPr="75650C2C">
        <w:rPr>
          <w:rFonts w:eastAsiaTheme="minorEastAsia"/>
        </w:rPr>
        <w:t xml:space="preserve">Their focus is to try and include all children in a common educational framework, and not categorise them through their learning difficulties or disabilities. Under the SEN Framework children can receive anything from additional time while sitting their exams to 1:1 support within the classroom. This guidance as stipulated within the FG Act should be applied to validate the role of the Special Education Needs Co-ordinator (SENCo) and promote the benefits of sharing good practice amongst educational professionals. SEN uses a graduated three stage approach: School Action is where a child is under-performing, and the school need to act; School Action Plus is where the school have not been able to make adequate progress and have received extra advice from another professional, for example a Speech Therapist and Statutory Assessment is a full enquiry carried out by the LA to investigate what provisions are required to meet the child’s needs. </w:t>
      </w:r>
      <w:r w:rsidRPr="75650C2C">
        <w:rPr>
          <w:rStyle w:val="e24kjd"/>
          <w:rFonts w:eastAsiaTheme="minorEastAsia"/>
          <w:color w:val="222222"/>
        </w:rPr>
        <w:t xml:space="preserve">The Special Educational Needs Code of Practice for Wales was developed to identify a child or young person’s special educational, health and social care needs, and defines the help and support required for them to realise their ambitions. </w:t>
      </w:r>
      <w:r w:rsidRPr="75650C2C">
        <w:rPr>
          <w:rFonts w:eastAsiaTheme="minorEastAsia"/>
          <w:color w:val="0B0C0C"/>
          <w:lang w:eastAsia="en-GB"/>
        </w:rPr>
        <w:t xml:space="preserve">It is currently </w:t>
      </w:r>
      <w:r w:rsidRPr="75650C2C">
        <w:rPr>
          <w:rStyle w:val="e24kjd"/>
          <w:rFonts w:eastAsiaTheme="minorEastAsia"/>
          <w:color w:val="222222"/>
        </w:rPr>
        <w:t xml:space="preserve">aimed at children from three to eighteen years of age. </w:t>
      </w:r>
      <w:r w:rsidRPr="75650C2C">
        <w:rPr>
          <w:rFonts w:eastAsiaTheme="minorEastAsia"/>
          <w:color w:val="0B0C0C"/>
          <w:lang w:eastAsia="en-GB"/>
        </w:rPr>
        <w:t xml:space="preserve"> </w:t>
      </w:r>
    </w:p>
    <w:p w:rsidR="75650C2C" w:rsidRDefault="75650C2C" w:rsidP="75650C2C">
      <w:pPr>
        <w:spacing w:after="0" w:line="240" w:lineRule="auto"/>
        <w:rPr>
          <w:rFonts w:eastAsiaTheme="minorEastAsia"/>
          <w:color w:val="0B0C0C"/>
          <w:lang w:eastAsia="en-GB"/>
        </w:rPr>
      </w:pPr>
    </w:p>
    <w:p w:rsidR="7E67E672" w:rsidRDefault="75650C2C" w:rsidP="75650C2C">
      <w:pPr>
        <w:rPr>
          <w:rFonts w:eastAsiaTheme="minorEastAsia"/>
          <w:u w:val="single"/>
        </w:rPr>
      </w:pPr>
      <w:r w:rsidRPr="75650C2C">
        <w:rPr>
          <w:rFonts w:eastAsiaTheme="minorEastAsia"/>
          <w:u w:val="single"/>
        </w:rPr>
        <w:t>The ALN reform:</w:t>
      </w:r>
    </w:p>
    <w:p w:rsidR="1D817799" w:rsidRDefault="75650C2C" w:rsidP="75650C2C">
      <w:pPr>
        <w:rPr>
          <w:rFonts w:eastAsiaTheme="minorEastAsia"/>
        </w:rPr>
      </w:pPr>
      <w:r w:rsidRPr="75650C2C">
        <w:rPr>
          <w:rFonts w:eastAsiaTheme="minorEastAsia"/>
        </w:rPr>
        <w:t xml:space="preserve">The need for the Additional Learning Needs and Education Tribunal (Wales) Bill, more commonly known as the ALN Reform Wales, was identified by Estyn and became an Act in January 2018 (Welsh </w:t>
      </w:r>
      <w:r w:rsidRPr="75650C2C">
        <w:rPr>
          <w:rFonts w:eastAsiaTheme="minorEastAsia"/>
        </w:rPr>
        <w:lastRenderedPageBreak/>
        <w:t xml:space="preserve">Government 2018). Its purpose, to replace the existing SEN Code of Practice by developing a new statutory framework for improved planning and distribution of additional learning requirements, and be supported by regulations, secondary legislation and an ALN Code of Practice, to include Mental Health.  There are eleven key aims within the Act; its vision, to produce an exclusive, unified plan for children and young adults from zero to twenty-five. </w:t>
      </w:r>
    </w:p>
    <w:p w:rsidR="1D817799" w:rsidRDefault="75650C2C" w:rsidP="75650C2C">
      <w:pPr>
        <w:rPr>
          <w:rFonts w:eastAsiaTheme="minorEastAsia"/>
        </w:rPr>
      </w:pPr>
      <w:r w:rsidRPr="75650C2C">
        <w:rPr>
          <w:rFonts w:eastAsiaTheme="minorEastAsia"/>
        </w:rPr>
        <w:t xml:space="preserve">The existing SEN which relates to school children and learning difficulties and/or disabilities (LDD) that refers to young adults in Further Education (FE) will be replaced by one system; the ALN. The Act will create a single statutory plan called the individual development plan (IDP) to replace the existing statutory and non-statutory SEN and LDD statement plans. It will include increased participation from children, young people, parents and carers, to ensure the planning process is completed with them and not for them. With the emphasis on IDPs, delivery will be visible and indicative to make it easier for the child or young person to reach their full potential. With additional needs being identified sooner, the transition process should be </w:t>
      </w:r>
      <w:proofErr w:type="gramStart"/>
      <w:r w:rsidRPr="75650C2C">
        <w:rPr>
          <w:rFonts w:eastAsiaTheme="minorEastAsia"/>
        </w:rPr>
        <w:t>more straight</w:t>
      </w:r>
      <w:proofErr w:type="gramEnd"/>
      <w:r w:rsidRPr="75650C2C">
        <w:rPr>
          <w:rFonts w:eastAsiaTheme="minorEastAsia"/>
        </w:rPr>
        <w:t xml:space="preserve"> forward, giving individuals extra time to plan for interventions. </w:t>
      </w:r>
    </w:p>
    <w:p w:rsidR="1D817799" w:rsidRDefault="75650C2C" w:rsidP="75650C2C">
      <w:pPr>
        <w:rPr>
          <w:rFonts w:eastAsiaTheme="minorEastAsia"/>
        </w:rPr>
      </w:pPr>
      <w:r w:rsidRPr="75650C2C">
        <w:rPr>
          <w:rFonts w:eastAsiaTheme="minorEastAsia"/>
        </w:rPr>
        <w:t>Child participation is another modification which should be at the heart of decision making, and in line with the UNCRC 1990. Article 12 states that every child has the right to an opinion, for it to be listened to and taken seriously. But at what age is a child socially responsible, especially one with additional needs, as their social age may not reflect their physical age.  An age appropriate decision is required but will have to be acknowledged from an individual perspective for each case. There is also very little guidance for young adults moving from FE to Higher Education (HE) under the ALN Reform and nothing for mature students over the age of twenty-five. Another predicament is where the child or young adult refuses support or where the support provided takes too long to be put in place. Do these situations meet the requirements and is it inclusive as stated in the Equality Act 2010?</w:t>
      </w:r>
    </w:p>
    <w:p w:rsidR="1D817799" w:rsidRDefault="75650C2C" w:rsidP="75650C2C">
      <w:pPr>
        <w:rPr>
          <w:rFonts w:eastAsiaTheme="minorEastAsia"/>
        </w:rPr>
      </w:pPr>
      <w:r w:rsidRPr="75650C2C">
        <w:rPr>
          <w:rFonts w:eastAsiaTheme="minorEastAsia"/>
        </w:rPr>
        <w:t xml:space="preserve">The ALN system encourages improved participation and information sharing between multi-agencies, which </w:t>
      </w:r>
      <w:proofErr w:type="gramStart"/>
      <w:r w:rsidRPr="75650C2C">
        <w:rPr>
          <w:rFonts w:eastAsiaTheme="minorEastAsia"/>
        </w:rPr>
        <w:t>is</w:t>
      </w:r>
      <w:proofErr w:type="gramEnd"/>
      <w:r w:rsidRPr="75650C2C">
        <w:rPr>
          <w:rFonts w:eastAsiaTheme="minorEastAsia"/>
        </w:rPr>
        <w:t xml:space="preserve"> fundamental for ensuring needs are identified sooner with the right support put in place; thus, avoiding disagreements and permitting earlier resolutions. If increased collaboration is handled correctly pressures should ease. Where an IDP is in dispute, the issue should be resolved at a local level, with clear and consistent rights of appeal, compared to at present where it is time consuming and costly. Where a disagreement cannot be settled locally, the parents or carers of those under </w:t>
      </w:r>
      <w:proofErr w:type="gramStart"/>
      <w:r w:rsidRPr="75650C2C">
        <w:rPr>
          <w:rFonts w:eastAsiaTheme="minorEastAsia"/>
        </w:rPr>
        <w:t>sixteen,</w:t>
      </w:r>
      <w:proofErr w:type="gramEnd"/>
      <w:r w:rsidRPr="75650C2C">
        <w:rPr>
          <w:rFonts w:eastAsiaTheme="minorEastAsia"/>
        </w:rPr>
        <w:t xml:space="preserve"> will have the right to appeal and attend a tribunal.</w:t>
      </w:r>
    </w:p>
    <w:p w:rsidR="1D817799" w:rsidRDefault="75650C2C" w:rsidP="75650C2C">
      <w:pPr>
        <w:rPr>
          <w:rFonts w:eastAsiaTheme="minorEastAsia"/>
        </w:rPr>
      </w:pPr>
      <w:r w:rsidRPr="75650C2C">
        <w:rPr>
          <w:rFonts w:eastAsiaTheme="minorEastAsia"/>
        </w:rPr>
        <w:t xml:space="preserve">New legislation and statutory guidance are essential to the wider package of reforms needed. The ALN transformation programme also focuses on skills development for the education workforce, to deliver effective support to learners with ALN in the classroom, as well as easier access to specialist support, information and advice. The ALN </w:t>
      </w:r>
      <w:proofErr w:type="gramStart"/>
      <w:r w:rsidRPr="75650C2C">
        <w:rPr>
          <w:rFonts w:eastAsiaTheme="minorEastAsia"/>
        </w:rPr>
        <w:t>Reform,</w:t>
      </w:r>
      <w:proofErr w:type="gramEnd"/>
      <w:r w:rsidRPr="75650C2C">
        <w:rPr>
          <w:rFonts w:eastAsiaTheme="minorEastAsia"/>
        </w:rPr>
        <w:t xml:space="preserve"> will produce a mandatory Code of Practice which all local authorities (LA’s) and other organisations must follow. The Welsh Government intends to introduce Additional Learning Needs Co-ordinators (</w:t>
      </w:r>
      <w:proofErr w:type="spellStart"/>
      <w:r w:rsidRPr="75650C2C">
        <w:rPr>
          <w:rFonts w:eastAsiaTheme="minorEastAsia"/>
        </w:rPr>
        <w:t>ALNCo’s</w:t>
      </w:r>
      <w:proofErr w:type="spellEnd"/>
      <w:r w:rsidRPr="75650C2C">
        <w:rPr>
          <w:rFonts w:eastAsiaTheme="minorEastAsia"/>
        </w:rPr>
        <w:t xml:space="preserve">), a statutory role which will replace existing </w:t>
      </w:r>
      <w:proofErr w:type="spellStart"/>
      <w:r w:rsidRPr="75650C2C">
        <w:rPr>
          <w:rFonts w:eastAsiaTheme="minorEastAsia"/>
        </w:rPr>
        <w:t>SENCo’s</w:t>
      </w:r>
      <w:proofErr w:type="spellEnd"/>
      <w:r w:rsidRPr="75650C2C">
        <w:rPr>
          <w:rFonts w:eastAsiaTheme="minorEastAsia"/>
        </w:rPr>
        <w:t>. The experience and responsibilities of the ALNCo will be proposed in regulations made under the new primary legislation set by WAG.</w:t>
      </w:r>
    </w:p>
    <w:p w:rsidR="1D817799" w:rsidRDefault="75650C2C" w:rsidP="75650C2C">
      <w:pPr>
        <w:rPr>
          <w:rFonts w:eastAsiaTheme="minorEastAsia"/>
        </w:rPr>
      </w:pPr>
      <w:r w:rsidRPr="75650C2C">
        <w:rPr>
          <w:rFonts w:eastAsiaTheme="minorEastAsia"/>
        </w:rPr>
        <w:t xml:space="preserve">Under the new system, planning should be more flexible and responsive, with skilled professionals who are confident in identifying their needs and developing strategies to help learners overcome their barriers to learning and the school environment; with the learner at the forefront of everything they do. However, Sally Holland (2018) the Children’s Commissioner is still concerned by the poor access restrictions that still limit a physically disabled </w:t>
      </w:r>
      <w:proofErr w:type="gramStart"/>
      <w:r w:rsidRPr="75650C2C">
        <w:rPr>
          <w:rFonts w:eastAsiaTheme="minorEastAsia"/>
        </w:rPr>
        <w:t>persons</w:t>
      </w:r>
      <w:proofErr w:type="gramEnd"/>
      <w:r w:rsidRPr="75650C2C">
        <w:rPr>
          <w:rFonts w:eastAsiaTheme="minorEastAsia"/>
        </w:rPr>
        <w:t xml:space="preserve"> choice of school.</w:t>
      </w:r>
    </w:p>
    <w:p w:rsidR="1D817799" w:rsidRDefault="75650C2C" w:rsidP="75650C2C">
      <w:pPr>
        <w:rPr>
          <w:rFonts w:eastAsiaTheme="minorEastAsia"/>
          <w:u w:val="single"/>
        </w:rPr>
      </w:pPr>
      <w:r w:rsidRPr="75650C2C">
        <w:rPr>
          <w:rFonts w:eastAsiaTheme="minorEastAsia"/>
          <w:u w:val="single"/>
        </w:rPr>
        <w:lastRenderedPageBreak/>
        <w:t>Analysis:</w:t>
      </w:r>
    </w:p>
    <w:p w:rsidR="1D817799" w:rsidRDefault="75650C2C" w:rsidP="75650C2C">
      <w:pPr>
        <w:rPr>
          <w:rFonts w:eastAsiaTheme="minorEastAsia"/>
        </w:rPr>
      </w:pPr>
      <w:r w:rsidRPr="75650C2C">
        <w:rPr>
          <w:rFonts w:eastAsiaTheme="minorEastAsia"/>
        </w:rPr>
        <w:t xml:space="preserve">The concept behind The Transformation Programme is a positive one for both children and young people with additional learning </w:t>
      </w:r>
      <w:proofErr w:type="gramStart"/>
      <w:r w:rsidRPr="75650C2C">
        <w:rPr>
          <w:rFonts w:eastAsiaTheme="minorEastAsia"/>
        </w:rPr>
        <w:t>needs,</w:t>
      </w:r>
      <w:proofErr w:type="gramEnd"/>
      <w:r w:rsidRPr="75650C2C">
        <w:rPr>
          <w:rFonts w:eastAsiaTheme="minorEastAsia"/>
        </w:rPr>
        <w:t xml:space="preserve"> however there are still a considerable number of questions that remain unanswered, irrespective of the information provided in WAG (2018). One of the biggest dilemmas is, how and who will oversee this operation? With funding already an issue, and Wales receiving less money per pupil than England; </w:t>
      </w:r>
      <w:proofErr w:type="gramStart"/>
      <w:r w:rsidRPr="75650C2C">
        <w:rPr>
          <w:rFonts w:eastAsiaTheme="minorEastAsia"/>
        </w:rPr>
        <w:t>There</w:t>
      </w:r>
      <w:proofErr w:type="gramEnd"/>
      <w:r w:rsidRPr="75650C2C">
        <w:rPr>
          <w:rFonts w:eastAsiaTheme="minorEastAsia"/>
        </w:rPr>
        <w:t xml:space="preserve"> is also a major funding crisis partly down to the austerity in Wales where different authorities are receiving different budgets and it is simply a postcode lottery. At present LA’s receive funding from WAG via the Revenue Support Grant (RSG) on an annual basis and it is their responsibility to split it between the various services. Current evidence of the SEN system shows there is a lack of funding and if not provided for the ALN Reform their aims will become unachievable. Whilst acknowledging that attitude and approach are cost neutral, teachers and resources do not come without a cost. Having a vision is one thing, but without the financial backing, and a consistent funding formula in place, can it realistically be achieved and maintained?</w:t>
      </w:r>
    </w:p>
    <w:p w:rsidR="1D817799" w:rsidRDefault="75650C2C" w:rsidP="75650C2C">
      <w:pPr>
        <w:rPr>
          <w:rFonts w:eastAsiaTheme="minorEastAsia"/>
        </w:rPr>
      </w:pPr>
      <w:r w:rsidRPr="75650C2C">
        <w:rPr>
          <w:rFonts w:eastAsiaTheme="minorEastAsia"/>
        </w:rPr>
        <w:t>In theory, with the focus on early intervention and the amalgamation of the current special education needs and learning difficulties and/or disabilities (LDD) systems, learners should now be supported seamlessly from zero to twenty-five years of age. With their needs identified much earlier, by the time a child starts school these interventions should be available or already in place; although not all ALNs such as autism spectrum disorder</w:t>
      </w:r>
      <w:r w:rsidRPr="75650C2C">
        <w:rPr>
          <w:rFonts w:eastAsiaTheme="minorEastAsia"/>
          <w:color w:val="222222"/>
        </w:rPr>
        <w:t xml:space="preserve"> (</w:t>
      </w:r>
      <w:r w:rsidRPr="75650C2C">
        <w:rPr>
          <w:rFonts w:eastAsiaTheme="minorEastAsia"/>
        </w:rPr>
        <w:t xml:space="preserve">ASD) are visible from birth so this scenario can still not be applied in all cases.  What strategic reviewing arrangements will be in place; will the provision meet the need or simply focus on a particular area? Currently schools have no access to medical records, and multi-agencies have been identified as not working effectively together, which has slowed the identification and intervention process right down. Going forward, if all agencies work in collaboration; it should become much less complicated to recognise when a child needs additional support. Previously from birth the system only had the parent’s information to rely on, so if they did not recognise a problem or were in denial then early intervention was not an option. The twenty-first century has also seen an increase in both parents working, with more children being placed in nurseries; this again could help secure early intervention, although LA money is only applicable for schools and not nurseries as they are private, so it will be interesting to see how this transpires. </w:t>
      </w:r>
    </w:p>
    <w:p w:rsidR="1D817799" w:rsidRDefault="75650C2C" w:rsidP="75650C2C">
      <w:pPr>
        <w:rPr>
          <w:rFonts w:eastAsiaTheme="minorEastAsia"/>
        </w:rPr>
      </w:pPr>
      <w:r w:rsidRPr="75650C2C">
        <w:rPr>
          <w:rFonts w:eastAsiaTheme="minorEastAsia"/>
        </w:rPr>
        <w:t xml:space="preserve">Another obstacle is that under the new system, </w:t>
      </w:r>
      <w:proofErr w:type="spellStart"/>
      <w:r w:rsidRPr="75650C2C">
        <w:rPr>
          <w:rFonts w:eastAsiaTheme="minorEastAsia"/>
        </w:rPr>
        <w:t>ALNCo’s</w:t>
      </w:r>
      <w:proofErr w:type="spellEnd"/>
      <w:r w:rsidRPr="75650C2C">
        <w:rPr>
          <w:rFonts w:eastAsiaTheme="minorEastAsia"/>
        </w:rPr>
        <w:t xml:space="preserve"> must be qualified. When and how is this going to happen; who will handle the retraining; what will happen if staff do not want to retrain and who will cover the posts in the interim is yet to be agreed. Support must be fair and transparent, with a simpler working system, but how is this going to be achieved and monitored? It is too early to make firm decisions about this yet. Considering the average size of a secondary school class contains approximately thirty pupils, who will be responsible for giving the additional time to an individual child or children with ALN if additional funding is unavailable?</w:t>
      </w:r>
    </w:p>
    <w:p w:rsidR="1D817799" w:rsidRDefault="75650C2C" w:rsidP="75650C2C">
      <w:pPr>
        <w:rPr>
          <w:rFonts w:eastAsiaTheme="minorEastAsia"/>
        </w:rPr>
      </w:pPr>
      <w:r w:rsidRPr="75650C2C">
        <w:rPr>
          <w:rFonts w:eastAsiaTheme="minorEastAsia"/>
        </w:rPr>
        <w:t>It must be noted that all reports to date mention reasonable steps; what are these, as no one person will have the same ideas; something needs to be documented to substantiate this remark. Other things that need to be taken into consideration include, who is going to be allowed access to the records; how often are they going to be monitored and renewed and where are they going to be stored? If electronically what happens if there is a system failure? All these eventualities still need to be confirmed.</w:t>
      </w:r>
    </w:p>
    <w:p w:rsidR="1D817799" w:rsidRDefault="75650C2C" w:rsidP="75650C2C">
      <w:pPr>
        <w:rPr>
          <w:rFonts w:eastAsiaTheme="minorEastAsia"/>
        </w:rPr>
      </w:pPr>
      <w:r w:rsidRPr="75650C2C">
        <w:rPr>
          <w:rFonts w:eastAsiaTheme="minorEastAsia"/>
        </w:rPr>
        <w:lastRenderedPageBreak/>
        <w:t xml:space="preserve">Another issue for schools is that the ALN is not their only priority, as they </w:t>
      </w:r>
      <w:proofErr w:type="gramStart"/>
      <w:r w:rsidRPr="75650C2C">
        <w:rPr>
          <w:rFonts w:eastAsiaTheme="minorEastAsia"/>
        </w:rPr>
        <w:t>are also having</w:t>
      </w:r>
      <w:proofErr w:type="gramEnd"/>
      <w:r w:rsidRPr="75650C2C">
        <w:rPr>
          <w:rFonts w:eastAsiaTheme="minorEastAsia"/>
        </w:rPr>
        <w:t xml:space="preserve"> to deal with the new curriculum. This means that the ALN Reform has taken a bit of a back seat in some mainstream schools; but </w:t>
      </w:r>
      <w:proofErr w:type="gramStart"/>
      <w:r w:rsidRPr="75650C2C">
        <w:rPr>
          <w:rFonts w:eastAsiaTheme="minorEastAsia"/>
        </w:rPr>
        <w:t>not so much with FE as their curriculum is not changing</w:t>
      </w:r>
      <w:proofErr w:type="gramEnd"/>
      <w:r w:rsidRPr="75650C2C">
        <w:rPr>
          <w:rFonts w:eastAsiaTheme="minorEastAsia"/>
        </w:rPr>
        <w:t>.</w:t>
      </w:r>
    </w:p>
    <w:p w:rsidR="1D817799" w:rsidRDefault="75650C2C" w:rsidP="75650C2C">
      <w:pPr>
        <w:rPr>
          <w:rFonts w:eastAsiaTheme="minorEastAsia"/>
        </w:rPr>
      </w:pPr>
      <w:r w:rsidRPr="75650C2C">
        <w:rPr>
          <w:rFonts w:eastAsiaTheme="minorEastAsia"/>
        </w:rPr>
        <w:t>Even though legislation is in place, until the Code of Practice document is delivered, there is no clear guidance or structure on how, what, where and when everyone needs to be done and at what cost, and what is involved continues to remain unclear. Also, with the delays in implementation and these fundamental questions still outstanding, nothing is guaranteed. Theory is one thing, but how will it work in practice, may not be as projected?</w:t>
      </w:r>
    </w:p>
    <w:p w:rsidR="1D817799" w:rsidRDefault="75650C2C" w:rsidP="75650C2C">
      <w:pPr>
        <w:rPr>
          <w:rFonts w:eastAsiaTheme="minorEastAsia"/>
          <w:color w:val="000000" w:themeColor="text1"/>
          <w:u w:val="single"/>
        </w:rPr>
      </w:pPr>
      <w:r w:rsidRPr="75650C2C">
        <w:rPr>
          <w:rFonts w:eastAsiaTheme="minorEastAsia"/>
          <w:color w:val="000000" w:themeColor="text1"/>
          <w:u w:val="single"/>
        </w:rPr>
        <w:t>Conclusion:</w:t>
      </w:r>
    </w:p>
    <w:p w:rsidR="1D817799" w:rsidRDefault="75650C2C" w:rsidP="75650C2C">
      <w:pPr>
        <w:rPr>
          <w:rFonts w:eastAsiaTheme="minorEastAsia"/>
          <w:color w:val="000000" w:themeColor="text1"/>
        </w:rPr>
      </w:pPr>
      <w:r w:rsidRPr="75650C2C">
        <w:rPr>
          <w:rFonts w:eastAsiaTheme="minorEastAsia"/>
          <w:color w:val="000000" w:themeColor="text1"/>
          <w:lang w:eastAsia="en-GB"/>
        </w:rPr>
        <w:t xml:space="preserve">This briefing paper has defined what inclusive practice means and examined the issues the Welsh Government (WAG) and Local Education Authorities (LEAs) still need to address. It includes historical and contemporary policies and legislation that have helped map and continue to legislate for our education system. </w:t>
      </w:r>
      <w:r w:rsidRPr="75650C2C">
        <w:rPr>
          <w:rFonts w:eastAsiaTheme="minorEastAsia"/>
          <w:color w:val="000000" w:themeColor="text1"/>
        </w:rPr>
        <w:t xml:space="preserve">The Warnock Report 1978 provided a wonderful perception, but only now is it really coming to fruition; </w:t>
      </w:r>
    </w:p>
    <w:p w:rsidR="1D817799" w:rsidRDefault="75650C2C" w:rsidP="75650C2C">
      <w:pPr>
        <w:rPr>
          <w:rFonts w:eastAsiaTheme="minorEastAsia"/>
        </w:rPr>
      </w:pPr>
      <w:r w:rsidRPr="75650C2C">
        <w:rPr>
          <w:rFonts w:eastAsiaTheme="minorEastAsia"/>
          <w:color w:val="000000" w:themeColor="text1"/>
        </w:rPr>
        <w:t>Based on the recommendations of Estyn, this paper has provided an overview of how the</w:t>
      </w:r>
      <w:r w:rsidRPr="75650C2C">
        <w:rPr>
          <w:rFonts w:eastAsiaTheme="minorEastAsia"/>
        </w:rPr>
        <w:t xml:space="preserve"> Welsh Government </w:t>
      </w:r>
      <w:proofErr w:type="gramStart"/>
      <w:r w:rsidRPr="75650C2C">
        <w:rPr>
          <w:rFonts w:eastAsiaTheme="minorEastAsia"/>
        </w:rPr>
        <w:t>intend</w:t>
      </w:r>
      <w:proofErr w:type="gramEnd"/>
      <w:r w:rsidRPr="75650C2C">
        <w:rPr>
          <w:rFonts w:eastAsiaTheme="minorEastAsia"/>
        </w:rPr>
        <w:t xml:space="preserve"> to deliver a fully inclusive education system for learners in Wales, by replacing the current SEN with the ALN Framework, but it also highlights the funding issues which are fundamental. Inclusion should be a process whereby schools, local authorities and other organisations should improve their policies, practices and traditions to include children and young people from all walks of life. If implemented with the correct policies and procedures; fundamental good-quality training of staff; and support of parents and carers there is no reason why any child or young person should be excluded from mainstream education and become fully inclusive in today’s world.</w:t>
      </w:r>
    </w:p>
    <w:p w:rsidR="75650C2C" w:rsidRDefault="75650C2C" w:rsidP="75650C2C">
      <w:pPr>
        <w:rPr>
          <w:rFonts w:ascii="Calibri" w:eastAsia="Calibri" w:hAnsi="Calibri" w:cs="Calibri"/>
        </w:rPr>
      </w:pPr>
      <w:r w:rsidRPr="75650C2C">
        <w:rPr>
          <w:rFonts w:ascii="Calibri" w:eastAsia="Calibri" w:hAnsi="Calibri" w:cs="Calibri"/>
          <w:b/>
          <w:bCs/>
          <w:u w:val="single"/>
        </w:rPr>
        <w:t>References:</w:t>
      </w:r>
    </w:p>
    <w:p w:rsidR="75650C2C" w:rsidRDefault="75650C2C" w:rsidP="75650C2C">
      <w:pPr>
        <w:rPr>
          <w:rFonts w:ascii="Calibri" w:eastAsia="Calibri" w:hAnsi="Calibri" w:cs="Calibri"/>
        </w:rPr>
      </w:pPr>
      <w:proofErr w:type="gramStart"/>
      <w:r w:rsidRPr="75650C2C">
        <w:rPr>
          <w:rFonts w:ascii="Calibri" w:eastAsia="Calibri" w:hAnsi="Calibri" w:cs="Calibri"/>
        </w:rPr>
        <w:t xml:space="preserve">Booth, T. and Ainscow, M. (2011) </w:t>
      </w:r>
      <w:r w:rsidRPr="75650C2C">
        <w:rPr>
          <w:rFonts w:ascii="Calibri" w:eastAsia="Calibri" w:hAnsi="Calibri" w:cs="Calibri"/>
          <w:i/>
          <w:iCs/>
        </w:rPr>
        <w:t>Index for inclusion: developing learning and participation in schools.</w:t>
      </w:r>
      <w:proofErr w:type="gramEnd"/>
      <w:r w:rsidRPr="75650C2C">
        <w:rPr>
          <w:rFonts w:ascii="Calibri" w:eastAsia="Calibri" w:hAnsi="Calibri" w:cs="Calibri"/>
          <w:i/>
          <w:iCs/>
        </w:rPr>
        <w:t xml:space="preserve"> </w:t>
      </w:r>
      <w:r w:rsidRPr="75650C2C">
        <w:rPr>
          <w:rFonts w:ascii="Calibri" w:eastAsia="Calibri" w:hAnsi="Calibri" w:cs="Calibri"/>
        </w:rPr>
        <w:t>Bristol: CSIE.</w:t>
      </w:r>
    </w:p>
    <w:p w:rsidR="75650C2C" w:rsidRDefault="75650C2C" w:rsidP="75650C2C">
      <w:pPr>
        <w:spacing w:line="240" w:lineRule="auto"/>
        <w:rPr>
          <w:rFonts w:ascii="Calibri" w:eastAsia="Calibri" w:hAnsi="Calibri" w:cs="Calibri"/>
          <w:color w:val="0563C1"/>
          <w:u w:val="single"/>
        </w:rPr>
      </w:pPr>
      <w:r w:rsidRPr="75650C2C">
        <w:rPr>
          <w:rFonts w:ascii="Calibri" w:eastAsia="Calibri" w:hAnsi="Calibri" w:cs="Calibri"/>
        </w:rPr>
        <w:t xml:space="preserve">Children’s Commissioner for Wales (2018) </w:t>
      </w:r>
      <w:r w:rsidRPr="75650C2C">
        <w:rPr>
          <w:rFonts w:ascii="Calibri" w:eastAsia="Calibri" w:hAnsi="Calibri" w:cs="Calibri"/>
          <w:i/>
          <w:iCs/>
        </w:rPr>
        <w:t xml:space="preserve">Full Lives Equal Access </w:t>
      </w:r>
      <w:r w:rsidRPr="75650C2C">
        <w:rPr>
          <w:rFonts w:ascii="Calibri" w:eastAsia="Calibri" w:hAnsi="Calibri" w:cs="Calibri"/>
        </w:rPr>
        <w:t xml:space="preserve">Available at: </w:t>
      </w:r>
      <w:hyperlink r:id="rId8">
        <w:r w:rsidRPr="75650C2C">
          <w:rPr>
            <w:rStyle w:val="Hyperlink"/>
            <w:rFonts w:ascii="Calibri" w:eastAsia="Calibri" w:hAnsi="Calibri" w:cs="Calibri"/>
          </w:rPr>
          <w:t>https://www.childcomwales.org.uk/wp-content/uploads/2018/03/Full-Lives-Equal-Access.pdf</w:t>
        </w:r>
      </w:hyperlink>
      <w:r w:rsidRPr="75650C2C">
        <w:rPr>
          <w:rFonts w:ascii="Calibri" w:eastAsia="Calibri" w:hAnsi="Calibri" w:cs="Calibri"/>
        </w:rPr>
        <w:t xml:space="preserve"> (Accessed: 21 October 2019).</w:t>
      </w:r>
    </w:p>
    <w:p w:rsidR="75650C2C" w:rsidRDefault="75650C2C" w:rsidP="75650C2C">
      <w:pPr>
        <w:rPr>
          <w:rFonts w:ascii="Calibri" w:eastAsia="Calibri" w:hAnsi="Calibri" w:cs="Calibri"/>
        </w:rPr>
      </w:pPr>
      <w:r w:rsidRPr="75650C2C">
        <w:rPr>
          <w:rFonts w:ascii="Calibri" w:eastAsia="Calibri" w:hAnsi="Calibri" w:cs="Calibri"/>
        </w:rPr>
        <w:t xml:space="preserve">Glazzard, J. </w:t>
      </w:r>
      <w:proofErr w:type="gramStart"/>
      <w:r w:rsidRPr="75650C2C">
        <w:rPr>
          <w:rFonts w:ascii="Calibri" w:eastAsia="Calibri" w:hAnsi="Calibri" w:cs="Calibri"/>
        </w:rPr>
        <w:t>et</w:t>
      </w:r>
      <w:proofErr w:type="gramEnd"/>
      <w:r w:rsidRPr="75650C2C">
        <w:rPr>
          <w:rFonts w:ascii="Calibri" w:eastAsia="Calibri" w:hAnsi="Calibri" w:cs="Calibri"/>
        </w:rPr>
        <w:t xml:space="preserve">. </w:t>
      </w:r>
      <w:proofErr w:type="gramStart"/>
      <w:r w:rsidRPr="75650C2C">
        <w:rPr>
          <w:rFonts w:ascii="Calibri" w:eastAsia="Calibri" w:hAnsi="Calibri" w:cs="Calibri"/>
        </w:rPr>
        <w:t xml:space="preserve">al. (2015) </w:t>
      </w:r>
      <w:r w:rsidRPr="75650C2C">
        <w:rPr>
          <w:rFonts w:ascii="Calibri" w:eastAsia="Calibri" w:hAnsi="Calibri" w:cs="Calibri"/>
          <w:i/>
          <w:iCs/>
        </w:rPr>
        <w:t>Teaching &amp; Supporting Children with Special Educational Needs &amp; Disabilities in Primary Schools.</w:t>
      </w:r>
      <w:proofErr w:type="gramEnd"/>
      <w:r w:rsidRPr="75650C2C">
        <w:rPr>
          <w:rFonts w:ascii="Calibri" w:eastAsia="Calibri" w:hAnsi="Calibri" w:cs="Calibri"/>
          <w:i/>
          <w:iCs/>
        </w:rPr>
        <w:t xml:space="preserve"> </w:t>
      </w:r>
      <w:r w:rsidRPr="75650C2C">
        <w:rPr>
          <w:rFonts w:ascii="Calibri" w:eastAsia="Calibri" w:hAnsi="Calibri" w:cs="Calibri"/>
        </w:rPr>
        <w:t>2</w:t>
      </w:r>
      <w:r w:rsidRPr="75650C2C">
        <w:rPr>
          <w:rFonts w:ascii="Calibri" w:eastAsia="Calibri" w:hAnsi="Calibri" w:cs="Calibri"/>
          <w:vertAlign w:val="superscript"/>
        </w:rPr>
        <w:t>nd</w:t>
      </w:r>
      <w:r w:rsidRPr="75650C2C">
        <w:rPr>
          <w:rFonts w:ascii="Calibri" w:eastAsia="Calibri" w:hAnsi="Calibri" w:cs="Calibri"/>
        </w:rPr>
        <w:t xml:space="preserve"> Ed. London: SAGE. </w:t>
      </w:r>
    </w:p>
    <w:p w:rsidR="75650C2C" w:rsidRDefault="75650C2C" w:rsidP="75650C2C">
      <w:pPr>
        <w:rPr>
          <w:rFonts w:ascii="Calibri" w:eastAsia="Calibri" w:hAnsi="Calibri" w:cs="Calibri"/>
        </w:rPr>
      </w:pPr>
      <w:r w:rsidRPr="75650C2C">
        <w:rPr>
          <w:rFonts w:ascii="Calibri" w:eastAsia="Calibri" w:hAnsi="Calibri" w:cs="Calibri"/>
        </w:rPr>
        <w:t xml:space="preserve">Jones, M.L.P. (2016) </w:t>
      </w:r>
      <w:r w:rsidRPr="75650C2C">
        <w:rPr>
          <w:rFonts w:ascii="Calibri" w:eastAsia="Calibri" w:hAnsi="Calibri" w:cs="Calibri"/>
          <w:i/>
          <w:iCs/>
        </w:rPr>
        <w:t xml:space="preserve">The Road to 1944 – the history of the development of education in south and south west Wales in the lead up to the wartime Education Act, and its implementation in the years that followed. </w:t>
      </w:r>
      <w:r w:rsidRPr="75650C2C">
        <w:rPr>
          <w:rFonts w:ascii="Calibri" w:eastAsia="Calibri" w:hAnsi="Calibri" w:cs="Calibri"/>
        </w:rPr>
        <w:t xml:space="preserve">Available at: </w:t>
      </w:r>
      <w:hyperlink r:id="rId9">
        <w:r w:rsidRPr="75650C2C">
          <w:rPr>
            <w:rStyle w:val="Hyperlink"/>
            <w:rFonts w:ascii="Calibri" w:eastAsia="Calibri" w:hAnsi="Calibri" w:cs="Calibri"/>
            <w:color w:val="2F5496" w:themeColor="accent1" w:themeShade="BF"/>
          </w:rPr>
          <w:t>https://repository.uwtsd.ac.uk/779/1/Jones,%20Mary-Lyn%20Patricia%20(2016)%20The%20road%20to%201944.docx.pdf</w:t>
        </w:r>
      </w:hyperlink>
      <w:r w:rsidRPr="75650C2C">
        <w:rPr>
          <w:rFonts w:ascii="Calibri" w:eastAsia="Calibri" w:hAnsi="Calibri" w:cs="Calibri"/>
          <w:color w:val="2F5496" w:themeColor="accent1" w:themeShade="BF"/>
        </w:rPr>
        <w:t xml:space="preserve"> </w:t>
      </w:r>
      <w:r w:rsidRPr="75650C2C">
        <w:rPr>
          <w:rFonts w:ascii="Calibri" w:eastAsia="Calibri" w:hAnsi="Calibri" w:cs="Calibri"/>
        </w:rPr>
        <w:t>(Accessed: 12 October 2019).</w:t>
      </w:r>
    </w:p>
    <w:p w:rsidR="75650C2C" w:rsidRDefault="75650C2C" w:rsidP="75650C2C">
      <w:pPr>
        <w:rPr>
          <w:rFonts w:ascii="Calibri" w:eastAsia="Calibri" w:hAnsi="Calibri" w:cs="Calibri"/>
        </w:rPr>
      </w:pPr>
      <w:r w:rsidRPr="75650C2C">
        <w:rPr>
          <w:rFonts w:ascii="Calibri" w:eastAsia="Calibri" w:hAnsi="Calibri" w:cs="Calibri"/>
          <w:color w:val="000000" w:themeColor="text1"/>
        </w:rPr>
        <w:t xml:space="preserve">National Assembly for Wales (2015) </w:t>
      </w:r>
      <w:r w:rsidRPr="75650C2C">
        <w:rPr>
          <w:rFonts w:ascii="Calibri" w:eastAsia="Calibri" w:hAnsi="Calibri" w:cs="Calibri"/>
          <w:i/>
          <w:iCs/>
        </w:rPr>
        <w:t xml:space="preserve">Special Educational Needs (SEN)/ Additional Learning Needs (ALN) in Wales </w:t>
      </w:r>
      <w:r w:rsidRPr="75650C2C">
        <w:rPr>
          <w:rFonts w:ascii="Calibri" w:eastAsia="Calibri" w:hAnsi="Calibri" w:cs="Calibri"/>
        </w:rPr>
        <w:t xml:space="preserve">Available at: </w:t>
      </w:r>
      <w:hyperlink r:id="rId10">
        <w:r w:rsidRPr="75650C2C">
          <w:rPr>
            <w:rStyle w:val="Hyperlink"/>
            <w:rFonts w:ascii="Calibri" w:eastAsia="Calibri" w:hAnsi="Calibri" w:cs="Calibri"/>
            <w:color w:val="0563C1"/>
          </w:rPr>
          <w:t>https://dera.ioe.ac.uk/23945/7/15-025_Redacted.pdf</w:t>
        </w:r>
      </w:hyperlink>
      <w:r w:rsidRPr="75650C2C">
        <w:rPr>
          <w:rFonts w:ascii="Calibri" w:eastAsia="Calibri" w:hAnsi="Calibri" w:cs="Calibri"/>
        </w:rPr>
        <w:t xml:space="preserve"> (Accessed: 19 October 2019).</w:t>
      </w:r>
    </w:p>
    <w:p w:rsidR="75650C2C" w:rsidRDefault="75650C2C" w:rsidP="75650C2C">
      <w:pPr>
        <w:rPr>
          <w:rFonts w:ascii="Calibri" w:eastAsia="Calibri" w:hAnsi="Calibri" w:cs="Calibri"/>
        </w:rPr>
      </w:pPr>
      <w:r w:rsidRPr="75650C2C">
        <w:rPr>
          <w:rFonts w:ascii="Calibri" w:eastAsia="Calibri" w:hAnsi="Calibri" w:cs="Calibri"/>
        </w:rPr>
        <w:t xml:space="preserve">Powell, S. and Tummons, J. (2011) </w:t>
      </w:r>
      <w:r w:rsidRPr="75650C2C">
        <w:rPr>
          <w:rFonts w:ascii="Calibri" w:eastAsia="Calibri" w:hAnsi="Calibri" w:cs="Calibri"/>
          <w:i/>
          <w:iCs/>
        </w:rPr>
        <w:t xml:space="preserve">Inclusive Practice in the Lifelong Learning Sector. </w:t>
      </w:r>
      <w:r w:rsidRPr="75650C2C">
        <w:rPr>
          <w:rFonts w:ascii="Calibri" w:eastAsia="Calibri" w:hAnsi="Calibri" w:cs="Calibri"/>
        </w:rPr>
        <w:t>Exeter:</w:t>
      </w:r>
      <w:r w:rsidRPr="75650C2C">
        <w:rPr>
          <w:rFonts w:ascii="Calibri" w:eastAsia="Calibri" w:hAnsi="Calibri" w:cs="Calibri"/>
          <w:i/>
          <w:iCs/>
        </w:rPr>
        <w:t xml:space="preserve"> </w:t>
      </w:r>
      <w:r w:rsidRPr="75650C2C">
        <w:rPr>
          <w:rFonts w:ascii="Calibri" w:eastAsia="Calibri" w:hAnsi="Calibri" w:cs="Calibri"/>
        </w:rPr>
        <w:t>Learning Matters.</w:t>
      </w:r>
    </w:p>
    <w:p w:rsidR="75650C2C" w:rsidRDefault="75650C2C" w:rsidP="75650C2C">
      <w:pPr>
        <w:rPr>
          <w:rFonts w:ascii="Calibri" w:eastAsia="Calibri" w:hAnsi="Calibri" w:cs="Calibri"/>
          <w:lang w:val="en-US"/>
        </w:rPr>
      </w:pPr>
      <w:r w:rsidRPr="75650C2C">
        <w:rPr>
          <w:rFonts w:ascii="Calibri" w:eastAsia="Calibri" w:hAnsi="Calibri" w:cs="Calibri"/>
        </w:rPr>
        <w:lastRenderedPageBreak/>
        <w:t xml:space="preserve">Snap Cymru (2019) Available at: </w:t>
      </w:r>
      <w:hyperlink r:id="rId11">
        <w:r w:rsidRPr="75650C2C">
          <w:rPr>
            <w:rStyle w:val="Hyperlink"/>
            <w:rFonts w:ascii="Calibri" w:eastAsia="Calibri" w:hAnsi="Calibri" w:cs="Calibri"/>
            <w:color w:val="0563C1"/>
          </w:rPr>
          <w:t>http://www.snapcymru.org/help-for-families/sen-what-does-it-mean/</w:t>
        </w:r>
      </w:hyperlink>
      <w:r w:rsidRPr="75650C2C">
        <w:rPr>
          <w:rFonts w:ascii="Calibri" w:eastAsia="Calibri" w:hAnsi="Calibri" w:cs="Calibri"/>
        </w:rPr>
        <w:t xml:space="preserve"> (Accessed: 14 October 2019).</w:t>
      </w:r>
    </w:p>
    <w:p w:rsidR="75650C2C" w:rsidRDefault="75650C2C" w:rsidP="75650C2C">
      <w:pPr>
        <w:rPr>
          <w:rFonts w:ascii="Calibri" w:eastAsia="Calibri" w:hAnsi="Calibri" w:cs="Calibri"/>
        </w:rPr>
      </w:pPr>
      <w:r w:rsidRPr="75650C2C">
        <w:rPr>
          <w:rFonts w:ascii="Calibri" w:eastAsia="Calibri" w:hAnsi="Calibri" w:cs="Calibri"/>
        </w:rPr>
        <w:t xml:space="preserve">UK Parliament (1996) </w:t>
      </w:r>
      <w:r w:rsidRPr="75650C2C">
        <w:rPr>
          <w:rFonts w:ascii="Calibri" w:eastAsia="Calibri" w:hAnsi="Calibri" w:cs="Calibri"/>
          <w:i/>
          <w:iCs/>
        </w:rPr>
        <w:t xml:space="preserve">Education Act 1996 </w:t>
      </w:r>
      <w:r w:rsidRPr="75650C2C">
        <w:rPr>
          <w:rFonts w:ascii="Calibri" w:eastAsia="Calibri" w:hAnsi="Calibri" w:cs="Calibri"/>
        </w:rPr>
        <w:t xml:space="preserve">Available at: </w:t>
      </w:r>
      <w:hyperlink r:id="rId12">
        <w:r w:rsidRPr="75650C2C">
          <w:rPr>
            <w:rStyle w:val="Hyperlink"/>
            <w:rFonts w:ascii="Calibri" w:eastAsia="Calibri" w:hAnsi="Calibri" w:cs="Calibri"/>
            <w:color w:val="0563C1"/>
          </w:rPr>
          <w:t>http://www.legislation.gov.uk/ukpga/1996/56/section/10</w:t>
        </w:r>
      </w:hyperlink>
      <w:r w:rsidRPr="75650C2C">
        <w:rPr>
          <w:rFonts w:ascii="Calibri" w:eastAsia="Calibri" w:hAnsi="Calibri" w:cs="Calibri"/>
          <w:color w:val="0563C1"/>
        </w:rPr>
        <w:t xml:space="preserve"> </w:t>
      </w:r>
      <w:r w:rsidRPr="75650C2C">
        <w:rPr>
          <w:rFonts w:ascii="Calibri" w:eastAsia="Calibri" w:hAnsi="Calibri" w:cs="Calibri"/>
        </w:rPr>
        <w:t>(Accessed: 18 October 2019).</w:t>
      </w:r>
    </w:p>
    <w:p w:rsidR="75650C2C" w:rsidRDefault="75650C2C" w:rsidP="75650C2C">
      <w:pPr>
        <w:rPr>
          <w:rFonts w:ascii="Calibri" w:eastAsia="Calibri" w:hAnsi="Calibri" w:cs="Calibri"/>
        </w:rPr>
      </w:pPr>
      <w:r w:rsidRPr="75650C2C">
        <w:rPr>
          <w:rFonts w:ascii="Calibri" w:eastAsia="Calibri" w:hAnsi="Calibri" w:cs="Calibri"/>
        </w:rPr>
        <w:t xml:space="preserve">UK Parliament (2006) </w:t>
      </w:r>
      <w:r w:rsidRPr="75650C2C">
        <w:rPr>
          <w:rFonts w:ascii="Calibri" w:eastAsia="Calibri" w:hAnsi="Calibri" w:cs="Calibri"/>
          <w:i/>
          <w:iCs/>
          <w:color w:val="336A9F"/>
        </w:rPr>
        <w:t xml:space="preserve">Brief history of Special Educational Needs SEN Available at: </w:t>
      </w:r>
      <w:hyperlink r:id="rId13">
        <w:r w:rsidRPr="75650C2C">
          <w:rPr>
            <w:rStyle w:val="Hyperlink"/>
            <w:rFonts w:ascii="Calibri" w:eastAsia="Calibri" w:hAnsi="Calibri" w:cs="Calibri"/>
            <w:color w:val="0563C1"/>
          </w:rPr>
          <w:t>https://publications.parliament.uk/pa/cm200506/cmselect/cmeduski/478/47805.htm</w:t>
        </w:r>
      </w:hyperlink>
      <w:r w:rsidRPr="75650C2C">
        <w:rPr>
          <w:rFonts w:ascii="Calibri" w:eastAsia="Calibri" w:hAnsi="Calibri" w:cs="Calibri"/>
          <w:color w:val="0563C1"/>
          <w:u w:val="single"/>
        </w:rPr>
        <w:t xml:space="preserve"> </w:t>
      </w:r>
      <w:r w:rsidRPr="75650C2C">
        <w:rPr>
          <w:rFonts w:ascii="Calibri" w:eastAsia="Calibri" w:hAnsi="Calibri" w:cs="Calibri"/>
        </w:rPr>
        <w:t>(Accessed: 13 October 2019).</w:t>
      </w:r>
    </w:p>
    <w:p w:rsidR="75650C2C" w:rsidRDefault="75650C2C" w:rsidP="75650C2C">
      <w:pPr>
        <w:rPr>
          <w:rFonts w:ascii="Calibri" w:eastAsia="Calibri" w:hAnsi="Calibri" w:cs="Calibri"/>
          <w:lang w:val="en-US"/>
        </w:rPr>
      </w:pPr>
      <w:r w:rsidRPr="75650C2C">
        <w:rPr>
          <w:rFonts w:ascii="Calibri" w:eastAsia="Calibri" w:hAnsi="Calibri" w:cs="Calibri"/>
        </w:rPr>
        <w:t xml:space="preserve">United Nations Convention on the Rights of the Child (1990) Available at: </w:t>
      </w:r>
      <w:hyperlink r:id="rId14">
        <w:r w:rsidRPr="75650C2C">
          <w:rPr>
            <w:rStyle w:val="Hyperlink"/>
            <w:rFonts w:ascii="Calibri" w:eastAsia="Calibri" w:hAnsi="Calibri" w:cs="Calibri"/>
            <w:color w:val="0563C1"/>
          </w:rPr>
          <w:t>https://www.unicef.org.uk/what-we-do/un-convention-child-rights/</w:t>
        </w:r>
      </w:hyperlink>
      <w:r w:rsidRPr="75650C2C">
        <w:rPr>
          <w:rFonts w:ascii="Calibri" w:eastAsia="Calibri" w:hAnsi="Calibri" w:cs="Calibri"/>
          <w:color w:val="0563C1"/>
        </w:rPr>
        <w:t xml:space="preserve"> </w:t>
      </w:r>
      <w:r w:rsidRPr="75650C2C">
        <w:rPr>
          <w:rFonts w:ascii="Calibri" w:eastAsia="Calibri" w:hAnsi="Calibri" w:cs="Calibri"/>
        </w:rPr>
        <w:t>(Accessed: 18 October 2019).</w:t>
      </w:r>
    </w:p>
    <w:p w:rsidR="75650C2C" w:rsidRDefault="75650C2C" w:rsidP="75650C2C">
      <w:pPr>
        <w:rPr>
          <w:rFonts w:ascii="Calibri" w:eastAsia="Calibri" w:hAnsi="Calibri" w:cs="Calibri"/>
        </w:rPr>
      </w:pPr>
      <w:r w:rsidRPr="75650C2C">
        <w:rPr>
          <w:rFonts w:ascii="Calibri" w:eastAsia="Calibri" w:hAnsi="Calibri" w:cs="Calibri"/>
        </w:rPr>
        <w:t xml:space="preserve">Walton, A. and Goddard, G. (2012) </w:t>
      </w:r>
      <w:r w:rsidRPr="75650C2C">
        <w:rPr>
          <w:rFonts w:ascii="Calibri" w:eastAsia="Calibri" w:hAnsi="Calibri" w:cs="Calibri"/>
          <w:i/>
          <w:iCs/>
        </w:rPr>
        <w:t xml:space="preserve">Supporting Every Child. </w:t>
      </w:r>
      <w:r w:rsidRPr="75650C2C">
        <w:rPr>
          <w:rFonts w:ascii="Calibri" w:eastAsia="Calibri" w:hAnsi="Calibri" w:cs="Calibri"/>
        </w:rPr>
        <w:t>2</w:t>
      </w:r>
      <w:r w:rsidRPr="75650C2C">
        <w:rPr>
          <w:rFonts w:ascii="Calibri" w:eastAsia="Calibri" w:hAnsi="Calibri" w:cs="Calibri"/>
          <w:vertAlign w:val="superscript"/>
        </w:rPr>
        <w:t>nd</w:t>
      </w:r>
      <w:r w:rsidRPr="75650C2C">
        <w:rPr>
          <w:rFonts w:ascii="Calibri" w:eastAsia="Calibri" w:hAnsi="Calibri" w:cs="Calibri"/>
        </w:rPr>
        <w:t xml:space="preserve"> Ed. London: Learning Matters.</w:t>
      </w:r>
    </w:p>
    <w:p w:rsidR="75650C2C" w:rsidRDefault="75650C2C" w:rsidP="75650C2C">
      <w:pPr>
        <w:rPr>
          <w:rFonts w:ascii="Calibri" w:eastAsia="Calibri" w:hAnsi="Calibri" w:cs="Calibri"/>
        </w:rPr>
      </w:pPr>
      <w:r w:rsidRPr="75650C2C">
        <w:rPr>
          <w:rFonts w:ascii="Calibri" w:eastAsia="Calibri" w:hAnsi="Calibri" w:cs="Calibri"/>
        </w:rPr>
        <w:t xml:space="preserve">Welsh Assembly Government (2002) </w:t>
      </w:r>
      <w:r w:rsidRPr="75650C2C">
        <w:rPr>
          <w:rFonts w:ascii="Calibri" w:eastAsia="Calibri" w:hAnsi="Calibri" w:cs="Calibri"/>
          <w:i/>
          <w:iCs/>
        </w:rPr>
        <w:t xml:space="preserve">The Handbook of Good Practice for Children with Special Education Needs </w:t>
      </w:r>
      <w:r w:rsidRPr="75650C2C">
        <w:rPr>
          <w:rFonts w:ascii="Calibri" w:eastAsia="Calibri" w:hAnsi="Calibri" w:cs="Calibri"/>
        </w:rPr>
        <w:t xml:space="preserve">Cardiff: WAG. </w:t>
      </w:r>
    </w:p>
    <w:p w:rsidR="75650C2C" w:rsidRDefault="75650C2C" w:rsidP="75650C2C">
      <w:pPr>
        <w:rPr>
          <w:rFonts w:ascii="Calibri" w:eastAsia="Calibri" w:hAnsi="Calibri" w:cs="Calibri"/>
        </w:rPr>
      </w:pPr>
      <w:r w:rsidRPr="75650C2C">
        <w:rPr>
          <w:rFonts w:ascii="Calibri" w:eastAsia="Calibri" w:hAnsi="Calibri" w:cs="Calibri"/>
        </w:rPr>
        <w:t xml:space="preserve">Welsh Government (2017) </w:t>
      </w:r>
      <w:proofErr w:type="gramStart"/>
      <w:r w:rsidRPr="75650C2C">
        <w:rPr>
          <w:rFonts w:ascii="Calibri" w:eastAsia="Calibri" w:hAnsi="Calibri" w:cs="Calibri"/>
          <w:i/>
          <w:iCs/>
        </w:rPr>
        <w:t>The</w:t>
      </w:r>
      <w:proofErr w:type="gramEnd"/>
      <w:r w:rsidRPr="75650C2C">
        <w:rPr>
          <w:rFonts w:ascii="Calibri" w:eastAsia="Calibri" w:hAnsi="Calibri" w:cs="Calibri"/>
          <w:i/>
          <w:iCs/>
        </w:rPr>
        <w:t xml:space="preserve"> role of the special education needs coordinator (SENCo) </w:t>
      </w:r>
      <w:r w:rsidRPr="75650C2C">
        <w:rPr>
          <w:rFonts w:ascii="Calibri" w:eastAsia="Calibri" w:hAnsi="Calibri" w:cs="Calibri"/>
        </w:rPr>
        <w:t xml:space="preserve">Available at: </w:t>
      </w:r>
      <w:hyperlink r:id="rId15">
        <w:r w:rsidRPr="75650C2C">
          <w:rPr>
            <w:rStyle w:val="Hyperlink"/>
            <w:rFonts w:ascii="Calibri" w:eastAsia="Calibri" w:hAnsi="Calibri" w:cs="Calibri"/>
            <w:color w:val="0563C1"/>
          </w:rPr>
          <w:t>https://gov.wales/sites/default/files/publications/2018-03/special-educational-needs-code-of-practice-for-wales.pdf</w:t>
        </w:r>
      </w:hyperlink>
      <w:r w:rsidRPr="75650C2C">
        <w:rPr>
          <w:rFonts w:ascii="Calibri" w:eastAsia="Calibri" w:hAnsi="Calibri" w:cs="Calibri"/>
          <w:color w:val="0563C1"/>
        </w:rPr>
        <w:t xml:space="preserve"> </w:t>
      </w:r>
      <w:r w:rsidRPr="75650C2C">
        <w:rPr>
          <w:rFonts w:ascii="Calibri" w:eastAsia="Calibri" w:hAnsi="Calibri" w:cs="Calibri"/>
        </w:rPr>
        <w:t>(Accessed: 16 October 2019).</w:t>
      </w:r>
    </w:p>
    <w:p w:rsidR="75650C2C" w:rsidRDefault="75650C2C" w:rsidP="75650C2C">
      <w:pPr>
        <w:rPr>
          <w:rFonts w:ascii="Calibri" w:eastAsia="Calibri" w:hAnsi="Calibri" w:cs="Calibri"/>
        </w:rPr>
      </w:pPr>
      <w:r w:rsidRPr="75650C2C">
        <w:rPr>
          <w:rFonts w:ascii="Calibri" w:eastAsia="Calibri" w:hAnsi="Calibri" w:cs="Calibri"/>
        </w:rPr>
        <w:t xml:space="preserve">Welsh Government (2018) </w:t>
      </w:r>
      <w:r w:rsidRPr="75650C2C">
        <w:rPr>
          <w:rFonts w:ascii="Calibri" w:eastAsia="Calibri" w:hAnsi="Calibri" w:cs="Calibri"/>
          <w:i/>
          <w:iCs/>
        </w:rPr>
        <w:t xml:space="preserve">Additional learning needs (ALN) transformation programme </w:t>
      </w:r>
      <w:r w:rsidRPr="75650C2C">
        <w:rPr>
          <w:rFonts w:ascii="Calibri" w:eastAsia="Calibri" w:hAnsi="Calibri" w:cs="Calibri"/>
        </w:rPr>
        <w:t xml:space="preserve">Available at: </w:t>
      </w:r>
      <w:hyperlink r:id="rId16">
        <w:r w:rsidRPr="75650C2C">
          <w:rPr>
            <w:rStyle w:val="Hyperlink"/>
            <w:rFonts w:ascii="Calibri" w:eastAsia="Calibri" w:hAnsi="Calibri" w:cs="Calibri"/>
            <w:color w:val="0563C1"/>
          </w:rPr>
          <w:t>https://gov.wales/sites/default/files/publications/2018-03/special-educational-needs-code-of-practice-for-wales.pdf</w:t>
        </w:r>
      </w:hyperlink>
      <w:r w:rsidRPr="75650C2C">
        <w:rPr>
          <w:rFonts w:ascii="Calibri" w:eastAsia="Calibri" w:hAnsi="Calibri" w:cs="Calibri"/>
          <w:color w:val="0563C1"/>
        </w:rPr>
        <w:t xml:space="preserve"> </w:t>
      </w:r>
      <w:r w:rsidRPr="75650C2C">
        <w:rPr>
          <w:rFonts w:ascii="Calibri" w:eastAsia="Calibri" w:hAnsi="Calibri" w:cs="Calibri"/>
        </w:rPr>
        <w:t>(Accessed: 16 October 2019).</w:t>
      </w:r>
    </w:p>
    <w:p w:rsidR="75650C2C" w:rsidRDefault="75650C2C" w:rsidP="75650C2C">
      <w:pPr>
        <w:rPr>
          <w:rFonts w:ascii="Calibri" w:eastAsia="Calibri" w:hAnsi="Calibri" w:cs="Calibri"/>
        </w:rPr>
      </w:pPr>
      <w:r w:rsidRPr="75650C2C">
        <w:rPr>
          <w:rFonts w:ascii="Calibri" w:eastAsia="Calibri" w:hAnsi="Calibri" w:cs="Calibri"/>
        </w:rPr>
        <w:t xml:space="preserve">Welsh Government (2018) </w:t>
      </w:r>
      <w:r w:rsidRPr="75650C2C">
        <w:rPr>
          <w:rFonts w:ascii="Calibri" w:eastAsia="Calibri" w:hAnsi="Calibri" w:cs="Calibri"/>
          <w:i/>
          <w:iCs/>
        </w:rPr>
        <w:t>Implementing the Additional Learning Needs and Education Tribunal (Wales) Act 2018</w:t>
      </w:r>
      <w:r w:rsidRPr="75650C2C">
        <w:rPr>
          <w:rFonts w:ascii="Calibri" w:eastAsia="Calibri" w:hAnsi="Calibri" w:cs="Calibri"/>
        </w:rPr>
        <w:t xml:space="preserve"> Available at:</w:t>
      </w:r>
      <w:r w:rsidRPr="75650C2C">
        <w:rPr>
          <w:rFonts w:ascii="Calibri" w:eastAsia="Calibri" w:hAnsi="Calibri" w:cs="Calibri"/>
          <w:color w:val="0563C1"/>
          <w:u w:val="single"/>
        </w:rPr>
        <w:t xml:space="preserve"> </w:t>
      </w:r>
      <w:hyperlink r:id="rId17">
        <w:r w:rsidRPr="75650C2C">
          <w:rPr>
            <w:rStyle w:val="Hyperlink"/>
            <w:rFonts w:ascii="Calibri" w:eastAsia="Calibri" w:hAnsi="Calibri" w:cs="Calibri"/>
            <w:color w:val="0563C1"/>
          </w:rPr>
          <w:t>https://</w:t>
        </w:r>
      </w:hyperlink>
      <w:hyperlink r:id="rId18">
        <w:r w:rsidRPr="75650C2C">
          <w:rPr>
            <w:rStyle w:val="Hyperlink"/>
            <w:rFonts w:ascii="Calibri" w:eastAsia="Calibri" w:hAnsi="Calibri" w:cs="Calibri"/>
            <w:color w:val="0563C1"/>
          </w:rPr>
          <w:t>gov.wales/sites/default/files/publications/2018-11/additional-learning-needs-abd-education-tribunal-wales-act-2018-implementation-guide-for-individual-development-plans.pdf</w:t>
        </w:r>
      </w:hyperlink>
      <w:r w:rsidRPr="75650C2C">
        <w:rPr>
          <w:rFonts w:ascii="Calibri" w:eastAsia="Calibri" w:hAnsi="Calibri" w:cs="Calibri"/>
        </w:rPr>
        <w:t xml:space="preserve"> (Accessed: 17 October 2019).</w:t>
      </w:r>
    </w:p>
    <w:p w:rsidR="75650C2C" w:rsidRDefault="75650C2C" w:rsidP="75650C2C">
      <w:pPr>
        <w:rPr>
          <w:rFonts w:ascii="Calibri" w:eastAsia="Calibri" w:hAnsi="Calibri" w:cs="Calibri"/>
        </w:rPr>
      </w:pPr>
      <w:r w:rsidRPr="75650C2C">
        <w:rPr>
          <w:rFonts w:ascii="Calibri" w:eastAsia="Calibri" w:hAnsi="Calibri" w:cs="Calibri"/>
        </w:rPr>
        <w:t xml:space="preserve">Welsh Government (2018) </w:t>
      </w:r>
      <w:r w:rsidRPr="75650C2C">
        <w:rPr>
          <w:rFonts w:ascii="Calibri" w:eastAsia="Calibri" w:hAnsi="Calibri" w:cs="Calibri"/>
          <w:i/>
          <w:iCs/>
        </w:rPr>
        <w:t xml:space="preserve">Inclusion and pupil support </w:t>
      </w:r>
      <w:r w:rsidRPr="75650C2C">
        <w:rPr>
          <w:rFonts w:ascii="Calibri" w:eastAsia="Calibri" w:hAnsi="Calibri" w:cs="Calibri"/>
        </w:rPr>
        <w:t>Available at:</w:t>
      </w:r>
      <w:r w:rsidRPr="75650C2C">
        <w:rPr>
          <w:rFonts w:ascii="Calibri" w:eastAsia="Calibri" w:hAnsi="Calibri" w:cs="Calibri"/>
          <w:color w:val="FF0000"/>
        </w:rPr>
        <w:t xml:space="preserve"> </w:t>
      </w:r>
      <w:hyperlink r:id="rId19">
        <w:r w:rsidRPr="75650C2C">
          <w:rPr>
            <w:rStyle w:val="Hyperlink"/>
            <w:rFonts w:ascii="Calibri" w:eastAsia="Calibri" w:hAnsi="Calibri" w:cs="Calibri"/>
            <w:color w:val="0563C1"/>
          </w:rPr>
          <w:t>https://gov.wales/sites/default/files/publications/2018-05/guidance-inclusion-and-pupil-support_0.pdf</w:t>
        </w:r>
      </w:hyperlink>
      <w:r w:rsidRPr="75650C2C">
        <w:rPr>
          <w:rFonts w:ascii="Calibri" w:eastAsia="Calibri" w:hAnsi="Calibri" w:cs="Calibri"/>
          <w:color w:val="0563C1"/>
        </w:rPr>
        <w:t xml:space="preserve"> </w:t>
      </w:r>
      <w:r w:rsidRPr="75650C2C">
        <w:rPr>
          <w:rFonts w:ascii="Calibri" w:eastAsia="Calibri" w:hAnsi="Calibri" w:cs="Calibri"/>
        </w:rPr>
        <w:t>(Accessed: 15 October 2019).</w:t>
      </w:r>
    </w:p>
    <w:p w:rsidR="75650C2C" w:rsidRDefault="75650C2C" w:rsidP="75650C2C">
      <w:pPr>
        <w:rPr>
          <w:rFonts w:ascii="Calibri" w:eastAsia="Calibri" w:hAnsi="Calibri" w:cs="Calibri"/>
        </w:rPr>
      </w:pPr>
      <w:r w:rsidRPr="75650C2C">
        <w:rPr>
          <w:rFonts w:ascii="Calibri" w:eastAsia="Calibri" w:hAnsi="Calibri" w:cs="Calibri"/>
        </w:rPr>
        <w:t>Welsh Government (2017)</w:t>
      </w:r>
      <w:r w:rsidRPr="75650C2C">
        <w:rPr>
          <w:rFonts w:ascii="Calibri" w:eastAsia="Calibri" w:hAnsi="Calibri" w:cs="Calibri"/>
          <w:i/>
          <w:iCs/>
        </w:rPr>
        <w:t xml:space="preserve"> </w:t>
      </w:r>
      <w:proofErr w:type="gramStart"/>
      <w:r w:rsidRPr="75650C2C">
        <w:rPr>
          <w:rFonts w:ascii="Calibri" w:eastAsia="Calibri" w:hAnsi="Calibri" w:cs="Calibri"/>
          <w:i/>
          <w:iCs/>
        </w:rPr>
        <w:t>The</w:t>
      </w:r>
      <w:proofErr w:type="gramEnd"/>
      <w:r w:rsidRPr="75650C2C">
        <w:rPr>
          <w:rFonts w:ascii="Calibri" w:eastAsia="Calibri" w:hAnsi="Calibri" w:cs="Calibri"/>
          <w:i/>
          <w:iCs/>
        </w:rPr>
        <w:t xml:space="preserve"> role of the special needs coordinator (SENCo) </w:t>
      </w:r>
      <w:r w:rsidRPr="75650C2C">
        <w:rPr>
          <w:rFonts w:ascii="Calibri" w:eastAsia="Calibri" w:hAnsi="Calibri" w:cs="Calibri"/>
        </w:rPr>
        <w:t>Available at:</w:t>
      </w:r>
      <w:r w:rsidRPr="75650C2C">
        <w:rPr>
          <w:rFonts w:ascii="Calibri" w:eastAsia="Calibri" w:hAnsi="Calibri" w:cs="Calibri"/>
          <w:color w:val="0563C1"/>
          <w:u w:val="single"/>
        </w:rPr>
        <w:t xml:space="preserve"> h</w:t>
      </w:r>
      <w:hyperlink r:id="rId20">
        <w:r w:rsidRPr="75650C2C">
          <w:rPr>
            <w:rStyle w:val="Hyperlink"/>
            <w:rFonts w:ascii="Calibri" w:eastAsia="Calibri" w:hAnsi="Calibri" w:cs="Calibri"/>
            <w:color w:val="0563C1"/>
          </w:rPr>
          <w:t>ttps://dera.ioe.ac.uk/28769/1/170316-role-of-the-sen-coordinator-en.pdf</w:t>
        </w:r>
      </w:hyperlink>
      <w:r w:rsidRPr="75650C2C">
        <w:rPr>
          <w:rFonts w:ascii="Calibri" w:eastAsia="Calibri" w:hAnsi="Calibri" w:cs="Calibri"/>
          <w:color w:val="0563C1"/>
          <w:u w:val="single"/>
        </w:rPr>
        <w:t xml:space="preserve"> </w:t>
      </w:r>
      <w:r w:rsidRPr="75650C2C">
        <w:rPr>
          <w:rFonts w:ascii="Calibri" w:eastAsia="Calibri" w:hAnsi="Calibri" w:cs="Calibri"/>
        </w:rPr>
        <w:t>(Accessed: 15 October 2019).</w:t>
      </w:r>
    </w:p>
    <w:p w:rsidR="75650C2C" w:rsidRDefault="75650C2C" w:rsidP="75650C2C">
      <w:pPr>
        <w:spacing w:line="240" w:lineRule="auto"/>
        <w:rPr>
          <w:rFonts w:ascii="Calibri" w:eastAsia="Calibri" w:hAnsi="Calibri" w:cs="Calibri"/>
        </w:rPr>
      </w:pPr>
      <w:r w:rsidRPr="75650C2C">
        <w:rPr>
          <w:rFonts w:ascii="Calibri" w:eastAsia="Calibri" w:hAnsi="Calibri" w:cs="Calibri"/>
        </w:rPr>
        <w:t>Welsh Government (2018)</w:t>
      </w:r>
      <w:r w:rsidRPr="75650C2C">
        <w:rPr>
          <w:rFonts w:ascii="Calibri" w:eastAsia="Calibri" w:hAnsi="Calibri" w:cs="Calibri"/>
          <w:i/>
          <w:iCs/>
        </w:rPr>
        <w:t xml:space="preserve"> Additional learning needs (ALN) transformation programme </w:t>
      </w:r>
      <w:r w:rsidRPr="75650C2C">
        <w:rPr>
          <w:rFonts w:ascii="Calibri" w:eastAsia="Calibri" w:hAnsi="Calibri" w:cs="Calibri"/>
        </w:rPr>
        <w:t>Available at:</w:t>
      </w:r>
      <w:r w:rsidRPr="75650C2C">
        <w:rPr>
          <w:rFonts w:ascii="Calibri" w:eastAsia="Calibri" w:hAnsi="Calibri" w:cs="Calibri"/>
          <w:i/>
          <w:iCs/>
        </w:rPr>
        <w:t xml:space="preserve"> </w:t>
      </w:r>
      <w:hyperlink r:id="rId21">
        <w:r w:rsidRPr="75650C2C">
          <w:rPr>
            <w:rStyle w:val="Hyperlink"/>
            <w:rFonts w:ascii="Calibri" w:eastAsia="Calibri" w:hAnsi="Calibri" w:cs="Calibri"/>
            <w:color w:val="0563C1"/>
          </w:rPr>
          <w:t>https://gov.wales/sites/default/files/publications/2018-09/additional-learning-needs-aln-transformation-programme-v2.pdf</w:t>
        </w:r>
      </w:hyperlink>
      <w:r w:rsidRPr="75650C2C">
        <w:rPr>
          <w:rFonts w:ascii="Calibri" w:eastAsia="Calibri" w:hAnsi="Calibri" w:cs="Calibri"/>
          <w:color w:val="0563C1"/>
        </w:rPr>
        <w:t xml:space="preserve"> </w:t>
      </w:r>
      <w:r w:rsidRPr="75650C2C">
        <w:rPr>
          <w:rFonts w:ascii="Calibri" w:eastAsia="Calibri" w:hAnsi="Calibri" w:cs="Calibri"/>
        </w:rPr>
        <w:t>(Accessed: 17 October 2019).</w:t>
      </w:r>
    </w:p>
    <w:p w:rsidR="75650C2C" w:rsidRDefault="75650C2C" w:rsidP="75650C2C">
      <w:pPr>
        <w:spacing w:line="240" w:lineRule="auto"/>
        <w:rPr>
          <w:rFonts w:ascii="Calibri" w:eastAsia="Calibri" w:hAnsi="Calibri" w:cs="Calibri"/>
        </w:rPr>
      </w:pPr>
      <w:r w:rsidRPr="75650C2C">
        <w:rPr>
          <w:rFonts w:ascii="Calibri" w:eastAsia="Calibri" w:hAnsi="Calibri" w:cs="Calibri"/>
          <w:color w:val="000000" w:themeColor="text1"/>
        </w:rPr>
        <w:t xml:space="preserve">National Assembly for Wales (2016) Available at: </w:t>
      </w:r>
      <w:hyperlink r:id="rId22">
        <w:r w:rsidRPr="75650C2C">
          <w:rPr>
            <w:rStyle w:val="Hyperlink"/>
            <w:rFonts w:ascii="Calibri" w:eastAsia="Calibri" w:hAnsi="Calibri" w:cs="Calibri"/>
          </w:rPr>
          <w:t>http://www.assembly.wales/Research%20Documents/16-059%20SEN/16-059-Web-%20English.pdf</w:t>
        </w:r>
      </w:hyperlink>
      <w:r w:rsidRPr="75650C2C">
        <w:rPr>
          <w:rFonts w:ascii="Calibri" w:eastAsia="Calibri" w:hAnsi="Calibri" w:cs="Calibri"/>
        </w:rPr>
        <w:t xml:space="preserve"> (Accessed: 17 October 2019).</w:t>
      </w:r>
    </w:p>
    <w:p w:rsidR="75650C2C" w:rsidRDefault="75650C2C" w:rsidP="75650C2C">
      <w:pPr>
        <w:spacing w:line="240" w:lineRule="auto"/>
        <w:rPr>
          <w:rFonts w:ascii="Calibri" w:eastAsia="Calibri" w:hAnsi="Calibri" w:cs="Calibri"/>
          <w:sz w:val="28"/>
          <w:szCs w:val="28"/>
        </w:rPr>
      </w:pPr>
    </w:p>
    <w:p w:rsidR="75650C2C" w:rsidRDefault="75650C2C" w:rsidP="75650C2C">
      <w:pPr>
        <w:spacing w:line="240" w:lineRule="auto"/>
        <w:rPr>
          <w:rFonts w:ascii="Calibri" w:eastAsia="Calibri" w:hAnsi="Calibri" w:cs="Calibri"/>
          <w:sz w:val="28"/>
          <w:szCs w:val="28"/>
        </w:rPr>
      </w:pPr>
    </w:p>
    <w:p w:rsidR="75650C2C" w:rsidRDefault="75650C2C" w:rsidP="75650C2C">
      <w:pPr>
        <w:rPr>
          <w:rFonts w:ascii="Calibri" w:eastAsia="Calibri" w:hAnsi="Calibri" w:cs="Calibri"/>
          <w:sz w:val="28"/>
          <w:szCs w:val="28"/>
        </w:rPr>
      </w:pPr>
    </w:p>
    <w:sectPr w:rsidR="75650C2C" w:rsidSect="008F27E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游ゴシック Light">
    <w:panose1 w:val="00000000000000000000"/>
    <w:charset w:val="80"/>
    <w:family w:val="roman"/>
    <w:notTrueType/>
    <w:pitch w:val="default"/>
    <w:sig w:usb0="00000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游明朝">
    <w:panose1 w:val="00000000000000000000"/>
    <w:charset w:val="8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F3BC2"/>
    <w:multiLevelType w:val="hybridMultilevel"/>
    <w:tmpl w:val="B82C21F0"/>
    <w:lvl w:ilvl="0" w:tplc="4082065E">
      <w:start w:val="3"/>
      <w:numFmt w:val="decimal"/>
      <w:lvlText w:val="%1"/>
      <w:lvlJc w:val="left"/>
      <w:pPr>
        <w:ind w:left="5322" w:hanging="360"/>
      </w:pPr>
      <w:rPr>
        <w:rFonts w:hint="default"/>
      </w:rPr>
    </w:lvl>
    <w:lvl w:ilvl="1" w:tplc="08090019" w:tentative="1">
      <w:start w:val="1"/>
      <w:numFmt w:val="lowerLetter"/>
      <w:lvlText w:val="%2."/>
      <w:lvlJc w:val="left"/>
      <w:pPr>
        <w:ind w:left="6042" w:hanging="360"/>
      </w:pPr>
    </w:lvl>
    <w:lvl w:ilvl="2" w:tplc="0809001B" w:tentative="1">
      <w:start w:val="1"/>
      <w:numFmt w:val="lowerRoman"/>
      <w:lvlText w:val="%3."/>
      <w:lvlJc w:val="right"/>
      <w:pPr>
        <w:ind w:left="6762" w:hanging="180"/>
      </w:pPr>
    </w:lvl>
    <w:lvl w:ilvl="3" w:tplc="0809000F" w:tentative="1">
      <w:start w:val="1"/>
      <w:numFmt w:val="decimal"/>
      <w:lvlText w:val="%4."/>
      <w:lvlJc w:val="left"/>
      <w:pPr>
        <w:ind w:left="7482" w:hanging="360"/>
      </w:pPr>
    </w:lvl>
    <w:lvl w:ilvl="4" w:tplc="08090019" w:tentative="1">
      <w:start w:val="1"/>
      <w:numFmt w:val="lowerLetter"/>
      <w:lvlText w:val="%5."/>
      <w:lvlJc w:val="left"/>
      <w:pPr>
        <w:ind w:left="8202" w:hanging="360"/>
      </w:pPr>
    </w:lvl>
    <w:lvl w:ilvl="5" w:tplc="0809001B" w:tentative="1">
      <w:start w:val="1"/>
      <w:numFmt w:val="lowerRoman"/>
      <w:lvlText w:val="%6."/>
      <w:lvlJc w:val="right"/>
      <w:pPr>
        <w:ind w:left="8922" w:hanging="180"/>
      </w:pPr>
    </w:lvl>
    <w:lvl w:ilvl="6" w:tplc="0809000F" w:tentative="1">
      <w:start w:val="1"/>
      <w:numFmt w:val="decimal"/>
      <w:lvlText w:val="%7."/>
      <w:lvlJc w:val="left"/>
      <w:pPr>
        <w:ind w:left="9642" w:hanging="360"/>
      </w:pPr>
    </w:lvl>
    <w:lvl w:ilvl="7" w:tplc="08090019" w:tentative="1">
      <w:start w:val="1"/>
      <w:numFmt w:val="lowerLetter"/>
      <w:lvlText w:val="%8."/>
      <w:lvlJc w:val="left"/>
      <w:pPr>
        <w:ind w:left="10362" w:hanging="360"/>
      </w:pPr>
    </w:lvl>
    <w:lvl w:ilvl="8" w:tplc="0809001B" w:tentative="1">
      <w:start w:val="1"/>
      <w:numFmt w:val="lowerRoman"/>
      <w:lvlText w:val="%9."/>
      <w:lvlJc w:val="right"/>
      <w:pPr>
        <w:ind w:left="11082" w:hanging="180"/>
      </w:pPr>
    </w:lvl>
  </w:abstractNum>
  <w:abstractNum w:abstractNumId="1">
    <w:nsid w:val="033363AD"/>
    <w:multiLevelType w:val="multilevel"/>
    <w:tmpl w:val="3BA47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1FE62A4"/>
    <w:multiLevelType w:val="multilevel"/>
    <w:tmpl w:val="E78EBA9C"/>
    <w:lvl w:ilvl="0">
      <w:start w:val="1"/>
      <w:numFmt w:val="decimal"/>
      <w:lvlText w:val="%1"/>
      <w:lvlJc w:val="left"/>
      <w:pPr>
        <w:ind w:left="492" w:hanging="492"/>
      </w:pPr>
      <w:rPr>
        <w:rFonts w:hint="default"/>
      </w:rPr>
    </w:lvl>
    <w:lvl w:ilvl="1">
      <w:start w:val="1"/>
      <w:numFmt w:val="decimal"/>
      <w:lvlText w:val="%1.%2"/>
      <w:lvlJc w:val="left"/>
      <w:pPr>
        <w:ind w:left="492" w:hanging="49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F900AA5"/>
    <w:multiLevelType w:val="hybridMultilevel"/>
    <w:tmpl w:val="1A0A4B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21183FC2"/>
    <w:multiLevelType w:val="hybridMultilevel"/>
    <w:tmpl w:val="69DC76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414D726E"/>
    <w:multiLevelType w:val="hybridMultilevel"/>
    <w:tmpl w:val="FFFFFFFF"/>
    <w:lvl w:ilvl="0" w:tplc="60C4BDFE">
      <w:start w:val="1"/>
      <w:numFmt w:val="bullet"/>
      <w:lvlText w:val=""/>
      <w:lvlJc w:val="left"/>
      <w:pPr>
        <w:ind w:left="720" w:hanging="360"/>
      </w:pPr>
      <w:rPr>
        <w:rFonts w:ascii="Symbol" w:hAnsi="Symbol" w:hint="default"/>
      </w:rPr>
    </w:lvl>
    <w:lvl w:ilvl="1" w:tplc="5F3AB1FE">
      <w:start w:val="1"/>
      <w:numFmt w:val="bullet"/>
      <w:lvlText w:val="o"/>
      <w:lvlJc w:val="left"/>
      <w:pPr>
        <w:ind w:left="1440" w:hanging="360"/>
      </w:pPr>
      <w:rPr>
        <w:rFonts w:ascii="Courier New" w:hAnsi="Courier New" w:hint="default"/>
      </w:rPr>
    </w:lvl>
    <w:lvl w:ilvl="2" w:tplc="E3B63E74">
      <w:start w:val="1"/>
      <w:numFmt w:val="bullet"/>
      <w:lvlText w:val=""/>
      <w:lvlJc w:val="left"/>
      <w:pPr>
        <w:ind w:left="2160" w:hanging="360"/>
      </w:pPr>
      <w:rPr>
        <w:rFonts w:ascii="Wingdings" w:hAnsi="Wingdings" w:hint="default"/>
      </w:rPr>
    </w:lvl>
    <w:lvl w:ilvl="3" w:tplc="3BD24C68">
      <w:start w:val="1"/>
      <w:numFmt w:val="bullet"/>
      <w:lvlText w:val=""/>
      <w:lvlJc w:val="left"/>
      <w:pPr>
        <w:ind w:left="2880" w:hanging="360"/>
      </w:pPr>
      <w:rPr>
        <w:rFonts w:ascii="Symbol" w:hAnsi="Symbol" w:hint="default"/>
      </w:rPr>
    </w:lvl>
    <w:lvl w:ilvl="4" w:tplc="89668C94">
      <w:start w:val="1"/>
      <w:numFmt w:val="bullet"/>
      <w:lvlText w:val="o"/>
      <w:lvlJc w:val="left"/>
      <w:pPr>
        <w:ind w:left="3600" w:hanging="360"/>
      </w:pPr>
      <w:rPr>
        <w:rFonts w:ascii="Courier New" w:hAnsi="Courier New" w:hint="default"/>
      </w:rPr>
    </w:lvl>
    <w:lvl w:ilvl="5" w:tplc="769E23AA">
      <w:start w:val="1"/>
      <w:numFmt w:val="bullet"/>
      <w:lvlText w:val=""/>
      <w:lvlJc w:val="left"/>
      <w:pPr>
        <w:ind w:left="4320" w:hanging="360"/>
      </w:pPr>
      <w:rPr>
        <w:rFonts w:ascii="Wingdings" w:hAnsi="Wingdings" w:hint="default"/>
      </w:rPr>
    </w:lvl>
    <w:lvl w:ilvl="6" w:tplc="9724C478">
      <w:start w:val="1"/>
      <w:numFmt w:val="bullet"/>
      <w:lvlText w:val=""/>
      <w:lvlJc w:val="left"/>
      <w:pPr>
        <w:ind w:left="5040" w:hanging="360"/>
      </w:pPr>
      <w:rPr>
        <w:rFonts w:ascii="Symbol" w:hAnsi="Symbol" w:hint="default"/>
      </w:rPr>
    </w:lvl>
    <w:lvl w:ilvl="7" w:tplc="AE9E7198">
      <w:start w:val="1"/>
      <w:numFmt w:val="bullet"/>
      <w:lvlText w:val="o"/>
      <w:lvlJc w:val="left"/>
      <w:pPr>
        <w:ind w:left="5760" w:hanging="360"/>
      </w:pPr>
      <w:rPr>
        <w:rFonts w:ascii="Courier New" w:hAnsi="Courier New" w:hint="default"/>
      </w:rPr>
    </w:lvl>
    <w:lvl w:ilvl="8" w:tplc="3F5073F2">
      <w:start w:val="1"/>
      <w:numFmt w:val="bullet"/>
      <w:lvlText w:val=""/>
      <w:lvlJc w:val="left"/>
      <w:pPr>
        <w:ind w:left="6480" w:hanging="360"/>
      </w:pPr>
      <w:rPr>
        <w:rFonts w:ascii="Wingdings" w:hAnsi="Wingdings" w:hint="default"/>
      </w:rPr>
    </w:lvl>
  </w:abstractNum>
  <w:abstractNum w:abstractNumId="6">
    <w:nsid w:val="68F713E3"/>
    <w:multiLevelType w:val="hybridMultilevel"/>
    <w:tmpl w:val="612EA696"/>
    <w:lvl w:ilvl="0" w:tplc="7CCE55B4">
      <w:start w:val="1"/>
      <w:numFmt w:val="bullet"/>
      <w:lvlText w:val=""/>
      <w:lvlJc w:val="left"/>
      <w:pPr>
        <w:ind w:left="720" w:hanging="360"/>
      </w:pPr>
      <w:rPr>
        <w:rFonts w:ascii="Symbol" w:hAnsi="Symbol" w:hint="default"/>
      </w:rPr>
    </w:lvl>
    <w:lvl w:ilvl="1" w:tplc="6E32F78E">
      <w:start w:val="1"/>
      <w:numFmt w:val="bullet"/>
      <w:lvlText w:val="o"/>
      <w:lvlJc w:val="left"/>
      <w:pPr>
        <w:ind w:left="1440" w:hanging="360"/>
      </w:pPr>
      <w:rPr>
        <w:rFonts w:ascii="Courier New" w:hAnsi="Courier New" w:hint="default"/>
      </w:rPr>
    </w:lvl>
    <w:lvl w:ilvl="2" w:tplc="9B5ED480">
      <w:start w:val="1"/>
      <w:numFmt w:val="bullet"/>
      <w:lvlText w:val=""/>
      <w:lvlJc w:val="left"/>
      <w:pPr>
        <w:ind w:left="2160" w:hanging="360"/>
      </w:pPr>
      <w:rPr>
        <w:rFonts w:ascii="Wingdings" w:hAnsi="Wingdings" w:hint="default"/>
      </w:rPr>
    </w:lvl>
    <w:lvl w:ilvl="3" w:tplc="B77EDF28">
      <w:start w:val="1"/>
      <w:numFmt w:val="bullet"/>
      <w:lvlText w:val=""/>
      <w:lvlJc w:val="left"/>
      <w:pPr>
        <w:ind w:left="2880" w:hanging="360"/>
      </w:pPr>
      <w:rPr>
        <w:rFonts w:ascii="Symbol" w:hAnsi="Symbol" w:hint="default"/>
      </w:rPr>
    </w:lvl>
    <w:lvl w:ilvl="4" w:tplc="B7D4CB52">
      <w:start w:val="1"/>
      <w:numFmt w:val="bullet"/>
      <w:lvlText w:val="o"/>
      <w:lvlJc w:val="left"/>
      <w:pPr>
        <w:ind w:left="3600" w:hanging="360"/>
      </w:pPr>
      <w:rPr>
        <w:rFonts w:ascii="Courier New" w:hAnsi="Courier New" w:hint="default"/>
      </w:rPr>
    </w:lvl>
    <w:lvl w:ilvl="5" w:tplc="AF3E572C">
      <w:start w:val="1"/>
      <w:numFmt w:val="bullet"/>
      <w:lvlText w:val=""/>
      <w:lvlJc w:val="left"/>
      <w:pPr>
        <w:ind w:left="4320" w:hanging="360"/>
      </w:pPr>
      <w:rPr>
        <w:rFonts w:ascii="Wingdings" w:hAnsi="Wingdings" w:hint="default"/>
      </w:rPr>
    </w:lvl>
    <w:lvl w:ilvl="6" w:tplc="9D3A2882">
      <w:start w:val="1"/>
      <w:numFmt w:val="bullet"/>
      <w:lvlText w:val=""/>
      <w:lvlJc w:val="left"/>
      <w:pPr>
        <w:ind w:left="5040" w:hanging="360"/>
      </w:pPr>
      <w:rPr>
        <w:rFonts w:ascii="Symbol" w:hAnsi="Symbol" w:hint="default"/>
      </w:rPr>
    </w:lvl>
    <w:lvl w:ilvl="7" w:tplc="8080268A">
      <w:start w:val="1"/>
      <w:numFmt w:val="bullet"/>
      <w:lvlText w:val="o"/>
      <w:lvlJc w:val="left"/>
      <w:pPr>
        <w:ind w:left="5760" w:hanging="360"/>
      </w:pPr>
      <w:rPr>
        <w:rFonts w:ascii="Courier New" w:hAnsi="Courier New" w:hint="default"/>
      </w:rPr>
    </w:lvl>
    <w:lvl w:ilvl="8" w:tplc="FA203AEA">
      <w:start w:val="1"/>
      <w:numFmt w:val="bullet"/>
      <w:lvlText w:val=""/>
      <w:lvlJc w:val="left"/>
      <w:pPr>
        <w:ind w:left="6480" w:hanging="360"/>
      </w:pPr>
      <w:rPr>
        <w:rFonts w:ascii="Wingdings" w:hAnsi="Wingdings" w:hint="default"/>
      </w:rPr>
    </w:lvl>
  </w:abstractNum>
  <w:abstractNum w:abstractNumId="7">
    <w:nsid w:val="6A1E4E2D"/>
    <w:multiLevelType w:val="hybridMultilevel"/>
    <w:tmpl w:val="448C1EB0"/>
    <w:lvl w:ilvl="0" w:tplc="A6B6268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76880AFE"/>
    <w:multiLevelType w:val="multilevel"/>
    <w:tmpl w:val="A63CE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3"/>
  </w:num>
  <w:num w:numId="4">
    <w:abstractNumId w:val="8"/>
  </w:num>
  <w:num w:numId="5">
    <w:abstractNumId w:val="7"/>
  </w:num>
  <w:num w:numId="6">
    <w:abstractNumId w:val="0"/>
  </w:num>
  <w:num w:numId="7">
    <w:abstractNumId w:val="9"/>
  </w:num>
  <w:num w:numId="8">
    <w:abstractNumId w:val="1"/>
  </w:num>
  <w:num w:numId="9">
    <w:abstractNumId w:val="6"/>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8345F"/>
    <w:rsid w:val="000004D3"/>
    <w:rsid w:val="00001AAC"/>
    <w:rsid w:val="000028D1"/>
    <w:rsid w:val="000118C6"/>
    <w:rsid w:val="00012426"/>
    <w:rsid w:val="00012A91"/>
    <w:rsid w:val="000158F3"/>
    <w:rsid w:val="000170DD"/>
    <w:rsid w:val="00021CD2"/>
    <w:rsid w:val="000221D0"/>
    <w:rsid w:val="00023677"/>
    <w:rsid w:val="00023680"/>
    <w:rsid w:val="000248B2"/>
    <w:rsid w:val="00025CD1"/>
    <w:rsid w:val="0003000A"/>
    <w:rsid w:val="000303A1"/>
    <w:rsid w:val="00035234"/>
    <w:rsid w:val="00036BCF"/>
    <w:rsid w:val="000401A2"/>
    <w:rsid w:val="00041059"/>
    <w:rsid w:val="00041D4B"/>
    <w:rsid w:val="0004518E"/>
    <w:rsid w:val="00052ACF"/>
    <w:rsid w:val="0005454B"/>
    <w:rsid w:val="00054B00"/>
    <w:rsid w:val="00056F01"/>
    <w:rsid w:val="00057580"/>
    <w:rsid w:val="00057F39"/>
    <w:rsid w:val="00062CBE"/>
    <w:rsid w:val="00070DB7"/>
    <w:rsid w:val="00071EA1"/>
    <w:rsid w:val="0007359C"/>
    <w:rsid w:val="000744C3"/>
    <w:rsid w:val="0007569C"/>
    <w:rsid w:val="000758F9"/>
    <w:rsid w:val="00076423"/>
    <w:rsid w:val="0007681B"/>
    <w:rsid w:val="00076B3F"/>
    <w:rsid w:val="00081541"/>
    <w:rsid w:val="000821F2"/>
    <w:rsid w:val="00083164"/>
    <w:rsid w:val="00084279"/>
    <w:rsid w:val="00084C87"/>
    <w:rsid w:val="0008784F"/>
    <w:rsid w:val="00091333"/>
    <w:rsid w:val="000933E5"/>
    <w:rsid w:val="0009452B"/>
    <w:rsid w:val="0009478C"/>
    <w:rsid w:val="000955B8"/>
    <w:rsid w:val="00095709"/>
    <w:rsid w:val="000A0DA8"/>
    <w:rsid w:val="000A1D21"/>
    <w:rsid w:val="000A2688"/>
    <w:rsid w:val="000A2D4F"/>
    <w:rsid w:val="000A339B"/>
    <w:rsid w:val="000A3D04"/>
    <w:rsid w:val="000A66E7"/>
    <w:rsid w:val="000A7125"/>
    <w:rsid w:val="000B053D"/>
    <w:rsid w:val="000B0F78"/>
    <w:rsid w:val="000B102F"/>
    <w:rsid w:val="000B186C"/>
    <w:rsid w:val="000B3DA7"/>
    <w:rsid w:val="000B4474"/>
    <w:rsid w:val="000B4ADE"/>
    <w:rsid w:val="000B562E"/>
    <w:rsid w:val="000B60E3"/>
    <w:rsid w:val="000C104D"/>
    <w:rsid w:val="000C1F82"/>
    <w:rsid w:val="000C4334"/>
    <w:rsid w:val="000C4497"/>
    <w:rsid w:val="000C5166"/>
    <w:rsid w:val="000C65B4"/>
    <w:rsid w:val="000C7A25"/>
    <w:rsid w:val="000D0721"/>
    <w:rsid w:val="000D1D79"/>
    <w:rsid w:val="000D4403"/>
    <w:rsid w:val="000D6DC1"/>
    <w:rsid w:val="000E0344"/>
    <w:rsid w:val="000E048E"/>
    <w:rsid w:val="000E1594"/>
    <w:rsid w:val="000E4515"/>
    <w:rsid w:val="000E496E"/>
    <w:rsid w:val="000E63F4"/>
    <w:rsid w:val="000E6E3A"/>
    <w:rsid w:val="000F1BF8"/>
    <w:rsid w:val="000F1FF0"/>
    <w:rsid w:val="000F28F4"/>
    <w:rsid w:val="000F33AA"/>
    <w:rsid w:val="000F40CA"/>
    <w:rsid w:val="000F528B"/>
    <w:rsid w:val="000F7642"/>
    <w:rsid w:val="000F76C2"/>
    <w:rsid w:val="000F7C73"/>
    <w:rsid w:val="00100044"/>
    <w:rsid w:val="00100AFD"/>
    <w:rsid w:val="001018F3"/>
    <w:rsid w:val="00101F0A"/>
    <w:rsid w:val="00102E68"/>
    <w:rsid w:val="001041B6"/>
    <w:rsid w:val="00104E88"/>
    <w:rsid w:val="00105290"/>
    <w:rsid w:val="00105528"/>
    <w:rsid w:val="00106309"/>
    <w:rsid w:val="00106AFD"/>
    <w:rsid w:val="00112AEF"/>
    <w:rsid w:val="001136CC"/>
    <w:rsid w:val="00113946"/>
    <w:rsid w:val="00114170"/>
    <w:rsid w:val="0011493F"/>
    <w:rsid w:val="00114E94"/>
    <w:rsid w:val="00116041"/>
    <w:rsid w:val="00116EB0"/>
    <w:rsid w:val="00122E19"/>
    <w:rsid w:val="001231C7"/>
    <w:rsid w:val="00126FA2"/>
    <w:rsid w:val="00127C3C"/>
    <w:rsid w:val="00127F4A"/>
    <w:rsid w:val="0013217B"/>
    <w:rsid w:val="001323F1"/>
    <w:rsid w:val="0013387C"/>
    <w:rsid w:val="001347D0"/>
    <w:rsid w:val="00134BDF"/>
    <w:rsid w:val="00135F14"/>
    <w:rsid w:val="00136377"/>
    <w:rsid w:val="001407F6"/>
    <w:rsid w:val="00140A30"/>
    <w:rsid w:val="001413D3"/>
    <w:rsid w:val="00142316"/>
    <w:rsid w:val="00142890"/>
    <w:rsid w:val="00143667"/>
    <w:rsid w:val="00143967"/>
    <w:rsid w:val="001442C6"/>
    <w:rsid w:val="00144364"/>
    <w:rsid w:val="001443F8"/>
    <w:rsid w:val="001450F1"/>
    <w:rsid w:val="00147034"/>
    <w:rsid w:val="0015219D"/>
    <w:rsid w:val="001521C3"/>
    <w:rsid w:val="00156138"/>
    <w:rsid w:val="00156E77"/>
    <w:rsid w:val="00157170"/>
    <w:rsid w:val="001607A9"/>
    <w:rsid w:val="00161236"/>
    <w:rsid w:val="0016239E"/>
    <w:rsid w:val="00163F4E"/>
    <w:rsid w:val="00163FA4"/>
    <w:rsid w:val="0016490B"/>
    <w:rsid w:val="00166FEF"/>
    <w:rsid w:val="001678E0"/>
    <w:rsid w:val="00170B2B"/>
    <w:rsid w:val="001720B5"/>
    <w:rsid w:val="0017282F"/>
    <w:rsid w:val="001731CF"/>
    <w:rsid w:val="00174754"/>
    <w:rsid w:val="00175209"/>
    <w:rsid w:val="001765D5"/>
    <w:rsid w:val="00177E8E"/>
    <w:rsid w:val="00181207"/>
    <w:rsid w:val="001820B6"/>
    <w:rsid w:val="001836AF"/>
    <w:rsid w:val="001845BA"/>
    <w:rsid w:val="001849A1"/>
    <w:rsid w:val="001913DC"/>
    <w:rsid w:val="001931E9"/>
    <w:rsid w:val="001936FF"/>
    <w:rsid w:val="001938A2"/>
    <w:rsid w:val="001948C0"/>
    <w:rsid w:val="00195328"/>
    <w:rsid w:val="00195954"/>
    <w:rsid w:val="001A06B3"/>
    <w:rsid w:val="001A2BF0"/>
    <w:rsid w:val="001A3E0C"/>
    <w:rsid w:val="001A43CC"/>
    <w:rsid w:val="001A73F9"/>
    <w:rsid w:val="001B1893"/>
    <w:rsid w:val="001B28D9"/>
    <w:rsid w:val="001B355A"/>
    <w:rsid w:val="001C5A0E"/>
    <w:rsid w:val="001C6FDA"/>
    <w:rsid w:val="001C7581"/>
    <w:rsid w:val="001D1123"/>
    <w:rsid w:val="001D1760"/>
    <w:rsid w:val="001D345F"/>
    <w:rsid w:val="001D39C5"/>
    <w:rsid w:val="001E03DB"/>
    <w:rsid w:val="001E1016"/>
    <w:rsid w:val="001E1CC0"/>
    <w:rsid w:val="001E25F3"/>
    <w:rsid w:val="001E4D97"/>
    <w:rsid w:val="001E5F5A"/>
    <w:rsid w:val="001E6B50"/>
    <w:rsid w:val="001F30CC"/>
    <w:rsid w:val="001F36B2"/>
    <w:rsid w:val="001F3C3D"/>
    <w:rsid w:val="001F4534"/>
    <w:rsid w:val="001F55CE"/>
    <w:rsid w:val="001F5A93"/>
    <w:rsid w:val="00201F52"/>
    <w:rsid w:val="002042BE"/>
    <w:rsid w:val="002046E7"/>
    <w:rsid w:val="00206245"/>
    <w:rsid w:val="00206F1C"/>
    <w:rsid w:val="002077C9"/>
    <w:rsid w:val="00210C2B"/>
    <w:rsid w:val="00211D9F"/>
    <w:rsid w:val="00220A05"/>
    <w:rsid w:val="00221803"/>
    <w:rsid w:val="00221B0C"/>
    <w:rsid w:val="0022278D"/>
    <w:rsid w:val="00223106"/>
    <w:rsid w:val="00225210"/>
    <w:rsid w:val="00225736"/>
    <w:rsid w:val="00227C5B"/>
    <w:rsid w:val="0023135A"/>
    <w:rsid w:val="00231B4D"/>
    <w:rsid w:val="00233048"/>
    <w:rsid w:val="002332CF"/>
    <w:rsid w:val="002354D5"/>
    <w:rsid w:val="002368E3"/>
    <w:rsid w:val="0023704F"/>
    <w:rsid w:val="00240E29"/>
    <w:rsid w:val="0024119F"/>
    <w:rsid w:val="002416AC"/>
    <w:rsid w:val="00243E54"/>
    <w:rsid w:val="002453B0"/>
    <w:rsid w:val="00246400"/>
    <w:rsid w:val="002466FD"/>
    <w:rsid w:val="00246BE2"/>
    <w:rsid w:val="00246F58"/>
    <w:rsid w:val="0024780C"/>
    <w:rsid w:val="00247DBA"/>
    <w:rsid w:val="00253788"/>
    <w:rsid w:val="00253855"/>
    <w:rsid w:val="00253EE0"/>
    <w:rsid w:val="00253FDE"/>
    <w:rsid w:val="0025607B"/>
    <w:rsid w:val="002563AC"/>
    <w:rsid w:val="002576F1"/>
    <w:rsid w:val="0025772F"/>
    <w:rsid w:val="00262566"/>
    <w:rsid w:val="00262905"/>
    <w:rsid w:val="00262F73"/>
    <w:rsid w:val="00263B34"/>
    <w:rsid w:val="00263E78"/>
    <w:rsid w:val="002648C6"/>
    <w:rsid w:val="00264D95"/>
    <w:rsid w:val="00266B0A"/>
    <w:rsid w:val="00271F15"/>
    <w:rsid w:val="00272849"/>
    <w:rsid w:val="00272DD3"/>
    <w:rsid w:val="0027310D"/>
    <w:rsid w:val="00275066"/>
    <w:rsid w:val="00277290"/>
    <w:rsid w:val="002777FB"/>
    <w:rsid w:val="00277D74"/>
    <w:rsid w:val="002808D9"/>
    <w:rsid w:val="00281139"/>
    <w:rsid w:val="00284A32"/>
    <w:rsid w:val="00284FE3"/>
    <w:rsid w:val="00287610"/>
    <w:rsid w:val="002921E2"/>
    <w:rsid w:val="00292924"/>
    <w:rsid w:val="00292BE7"/>
    <w:rsid w:val="00293C93"/>
    <w:rsid w:val="00295715"/>
    <w:rsid w:val="002A0728"/>
    <w:rsid w:val="002A095C"/>
    <w:rsid w:val="002A3BEB"/>
    <w:rsid w:val="002A7B62"/>
    <w:rsid w:val="002A7F00"/>
    <w:rsid w:val="002B093E"/>
    <w:rsid w:val="002B19C8"/>
    <w:rsid w:val="002B1C66"/>
    <w:rsid w:val="002B2DB4"/>
    <w:rsid w:val="002B3627"/>
    <w:rsid w:val="002B3799"/>
    <w:rsid w:val="002B3D60"/>
    <w:rsid w:val="002B4112"/>
    <w:rsid w:val="002B4E5D"/>
    <w:rsid w:val="002B581D"/>
    <w:rsid w:val="002B5B03"/>
    <w:rsid w:val="002B6093"/>
    <w:rsid w:val="002B6928"/>
    <w:rsid w:val="002B6C2F"/>
    <w:rsid w:val="002B703E"/>
    <w:rsid w:val="002B7B24"/>
    <w:rsid w:val="002B7EFD"/>
    <w:rsid w:val="002C05FB"/>
    <w:rsid w:val="002C49C9"/>
    <w:rsid w:val="002C4AA1"/>
    <w:rsid w:val="002C4E19"/>
    <w:rsid w:val="002C7A4B"/>
    <w:rsid w:val="002D03E9"/>
    <w:rsid w:val="002D0B43"/>
    <w:rsid w:val="002D3027"/>
    <w:rsid w:val="002D3902"/>
    <w:rsid w:val="002D410C"/>
    <w:rsid w:val="002D4FD0"/>
    <w:rsid w:val="002E0310"/>
    <w:rsid w:val="002E11A7"/>
    <w:rsid w:val="002E1D23"/>
    <w:rsid w:val="002E2684"/>
    <w:rsid w:val="002E2C94"/>
    <w:rsid w:val="002E38C2"/>
    <w:rsid w:val="002E59ED"/>
    <w:rsid w:val="002E716F"/>
    <w:rsid w:val="002E7A59"/>
    <w:rsid w:val="002E7DA2"/>
    <w:rsid w:val="002F0300"/>
    <w:rsid w:val="002F06DF"/>
    <w:rsid w:val="002F0F19"/>
    <w:rsid w:val="002F113E"/>
    <w:rsid w:val="002F50AA"/>
    <w:rsid w:val="002F5443"/>
    <w:rsid w:val="002F6A99"/>
    <w:rsid w:val="002F7428"/>
    <w:rsid w:val="0030217A"/>
    <w:rsid w:val="003042EA"/>
    <w:rsid w:val="003045C1"/>
    <w:rsid w:val="00305067"/>
    <w:rsid w:val="00306360"/>
    <w:rsid w:val="00306A13"/>
    <w:rsid w:val="00313162"/>
    <w:rsid w:val="00313576"/>
    <w:rsid w:val="00313644"/>
    <w:rsid w:val="00316B1B"/>
    <w:rsid w:val="00317269"/>
    <w:rsid w:val="00317C5B"/>
    <w:rsid w:val="00323906"/>
    <w:rsid w:val="00325107"/>
    <w:rsid w:val="00327BE5"/>
    <w:rsid w:val="00327C83"/>
    <w:rsid w:val="00330B86"/>
    <w:rsid w:val="00331281"/>
    <w:rsid w:val="003316BA"/>
    <w:rsid w:val="0033187C"/>
    <w:rsid w:val="00336C6B"/>
    <w:rsid w:val="00337F53"/>
    <w:rsid w:val="00341C7A"/>
    <w:rsid w:val="00344AD6"/>
    <w:rsid w:val="003460B0"/>
    <w:rsid w:val="003472D7"/>
    <w:rsid w:val="00347367"/>
    <w:rsid w:val="00347FD2"/>
    <w:rsid w:val="003502C4"/>
    <w:rsid w:val="003508D1"/>
    <w:rsid w:val="00351B78"/>
    <w:rsid w:val="00351C9E"/>
    <w:rsid w:val="003536D1"/>
    <w:rsid w:val="00353A86"/>
    <w:rsid w:val="00353D75"/>
    <w:rsid w:val="0035403E"/>
    <w:rsid w:val="003542C8"/>
    <w:rsid w:val="00354711"/>
    <w:rsid w:val="00354C13"/>
    <w:rsid w:val="003560EB"/>
    <w:rsid w:val="003601DE"/>
    <w:rsid w:val="003631AF"/>
    <w:rsid w:val="00363632"/>
    <w:rsid w:val="00364AD1"/>
    <w:rsid w:val="00364F7B"/>
    <w:rsid w:val="0036635A"/>
    <w:rsid w:val="00366BD7"/>
    <w:rsid w:val="00367531"/>
    <w:rsid w:val="00370651"/>
    <w:rsid w:val="003708E5"/>
    <w:rsid w:val="003709D4"/>
    <w:rsid w:val="003718FC"/>
    <w:rsid w:val="00371EF7"/>
    <w:rsid w:val="003731BB"/>
    <w:rsid w:val="00373663"/>
    <w:rsid w:val="00373817"/>
    <w:rsid w:val="003800B1"/>
    <w:rsid w:val="003809C5"/>
    <w:rsid w:val="00381526"/>
    <w:rsid w:val="0038170A"/>
    <w:rsid w:val="00381BB6"/>
    <w:rsid w:val="00381D97"/>
    <w:rsid w:val="003823EB"/>
    <w:rsid w:val="0038273B"/>
    <w:rsid w:val="00382819"/>
    <w:rsid w:val="003853A5"/>
    <w:rsid w:val="00385AD3"/>
    <w:rsid w:val="00390538"/>
    <w:rsid w:val="00390FCE"/>
    <w:rsid w:val="003927F2"/>
    <w:rsid w:val="0039303D"/>
    <w:rsid w:val="00394DEB"/>
    <w:rsid w:val="00395090"/>
    <w:rsid w:val="00395EF5"/>
    <w:rsid w:val="003972C1"/>
    <w:rsid w:val="003A5BDD"/>
    <w:rsid w:val="003A717B"/>
    <w:rsid w:val="003A7395"/>
    <w:rsid w:val="003A7C8B"/>
    <w:rsid w:val="003B1329"/>
    <w:rsid w:val="003B1F47"/>
    <w:rsid w:val="003B2D2B"/>
    <w:rsid w:val="003B2DFA"/>
    <w:rsid w:val="003B30B4"/>
    <w:rsid w:val="003B3629"/>
    <w:rsid w:val="003B567E"/>
    <w:rsid w:val="003B5A59"/>
    <w:rsid w:val="003B6D25"/>
    <w:rsid w:val="003C136C"/>
    <w:rsid w:val="003C172B"/>
    <w:rsid w:val="003C1FF2"/>
    <w:rsid w:val="003C22EB"/>
    <w:rsid w:val="003C2327"/>
    <w:rsid w:val="003C3994"/>
    <w:rsid w:val="003C5262"/>
    <w:rsid w:val="003C56FC"/>
    <w:rsid w:val="003D1349"/>
    <w:rsid w:val="003D2475"/>
    <w:rsid w:val="003D441F"/>
    <w:rsid w:val="003D7206"/>
    <w:rsid w:val="003D7A5F"/>
    <w:rsid w:val="003D7C2E"/>
    <w:rsid w:val="003D7E17"/>
    <w:rsid w:val="003E31E6"/>
    <w:rsid w:val="003E32DE"/>
    <w:rsid w:val="003E44DF"/>
    <w:rsid w:val="003E4E7C"/>
    <w:rsid w:val="003E6F9B"/>
    <w:rsid w:val="003E72CA"/>
    <w:rsid w:val="003E7609"/>
    <w:rsid w:val="003E7A26"/>
    <w:rsid w:val="003F1940"/>
    <w:rsid w:val="003F1BD2"/>
    <w:rsid w:val="003F224B"/>
    <w:rsid w:val="003F28C5"/>
    <w:rsid w:val="003F2EDE"/>
    <w:rsid w:val="003F2F1E"/>
    <w:rsid w:val="003F3800"/>
    <w:rsid w:val="003F5AA9"/>
    <w:rsid w:val="003F6710"/>
    <w:rsid w:val="0040025D"/>
    <w:rsid w:val="0040077E"/>
    <w:rsid w:val="00401CC6"/>
    <w:rsid w:val="00402556"/>
    <w:rsid w:val="00402B76"/>
    <w:rsid w:val="00410F10"/>
    <w:rsid w:val="00412471"/>
    <w:rsid w:val="004142A3"/>
    <w:rsid w:val="00414309"/>
    <w:rsid w:val="00414D43"/>
    <w:rsid w:val="0041502B"/>
    <w:rsid w:val="00415621"/>
    <w:rsid w:val="00416CDC"/>
    <w:rsid w:val="00422BE7"/>
    <w:rsid w:val="00423053"/>
    <w:rsid w:val="004240D6"/>
    <w:rsid w:val="00424183"/>
    <w:rsid w:val="004245CB"/>
    <w:rsid w:val="00424D20"/>
    <w:rsid w:val="00427FE7"/>
    <w:rsid w:val="0043050A"/>
    <w:rsid w:val="004307CD"/>
    <w:rsid w:val="00430A00"/>
    <w:rsid w:val="00430A21"/>
    <w:rsid w:val="00430BE6"/>
    <w:rsid w:val="00432BC8"/>
    <w:rsid w:val="00432F42"/>
    <w:rsid w:val="00433A29"/>
    <w:rsid w:val="0043416A"/>
    <w:rsid w:val="00437BC4"/>
    <w:rsid w:val="0044081D"/>
    <w:rsid w:val="00442E28"/>
    <w:rsid w:val="004432DF"/>
    <w:rsid w:val="004464C6"/>
    <w:rsid w:val="00446705"/>
    <w:rsid w:val="00446FA5"/>
    <w:rsid w:val="00453B6D"/>
    <w:rsid w:val="00453E3B"/>
    <w:rsid w:val="0045537E"/>
    <w:rsid w:val="004564E0"/>
    <w:rsid w:val="00461658"/>
    <w:rsid w:val="0046253C"/>
    <w:rsid w:val="00464C02"/>
    <w:rsid w:val="00473FB7"/>
    <w:rsid w:val="00474E89"/>
    <w:rsid w:val="0047625F"/>
    <w:rsid w:val="00477DB9"/>
    <w:rsid w:val="00481323"/>
    <w:rsid w:val="00487140"/>
    <w:rsid w:val="00487A48"/>
    <w:rsid w:val="004910EE"/>
    <w:rsid w:val="00491CC4"/>
    <w:rsid w:val="00492AB7"/>
    <w:rsid w:val="0049326B"/>
    <w:rsid w:val="00493DE3"/>
    <w:rsid w:val="0049487D"/>
    <w:rsid w:val="00494F7F"/>
    <w:rsid w:val="00496359"/>
    <w:rsid w:val="00496F8B"/>
    <w:rsid w:val="00497F2D"/>
    <w:rsid w:val="004A1E33"/>
    <w:rsid w:val="004A2880"/>
    <w:rsid w:val="004A2916"/>
    <w:rsid w:val="004A416F"/>
    <w:rsid w:val="004A4501"/>
    <w:rsid w:val="004A52B3"/>
    <w:rsid w:val="004A591B"/>
    <w:rsid w:val="004A5C16"/>
    <w:rsid w:val="004B19F8"/>
    <w:rsid w:val="004B29A0"/>
    <w:rsid w:val="004B3D0A"/>
    <w:rsid w:val="004B5946"/>
    <w:rsid w:val="004B68E8"/>
    <w:rsid w:val="004B69A2"/>
    <w:rsid w:val="004B6BBA"/>
    <w:rsid w:val="004C0132"/>
    <w:rsid w:val="004C4F7C"/>
    <w:rsid w:val="004C629B"/>
    <w:rsid w:val="004D0DCC"/>
    <w:rsid w:val="004D1F47"/>
    <w:rsid w:val="004D3D04"/>
    <w:rsid w:val="004D525D"/>
    <w:rsid w:val="004D530D"/>
    <w:rsid w:val="004D53BA"/>
    <w:rsid w:val="004D7396"/>
    <w:rsid w:val="004D761E"/>
    <w:rsid w:val="004E00BB"/>
    <w:rsid w:val="004E2358"/>
    <w:rsid w:val="004E2906"/>
    <w:rsid w:val="004E2D02"/>
    <w:rsid w:val="004E4625"/>
    <w:rsid w:val="004E4A03"/>
    <w:rsid w:val="004E5BD1"/>
    <w:rsid w:val="004F0F5E"/>
    <w:rsid w:val="004F0FEB"/>
    <w:rsid w:val="004F213C"/>
    <w:rsid w:val="004F268B"/>
    <w:rsid w:val="004F3D63"/>
    <w:rsid w:val="004F4490"/>
    <w:rsid w:val="004F44FD"/>
    <w:rsid w:val="004F4BCE"/>
    <w:rsid w:val="004F4ECC"/>
    <w:rsid w:val="004F5666"/>
    <w:rsid w:val="004F68D2"/>
    <w:rsid w:val="004F6F86"/>
    <w:rsid w:val="005000B5"/>
    <w:rsid w:val="00501070"/>
    <w:rsid w:val="00502775"/>
    <w:rsid w:val="00505EBD"/>
    <w:rsid w:val="00510CE1"/>
    <w:rsid w:val="00510E97"/>
    <w:rsid w:val="0051104E"/>
    <w:rsid w:val="00511564"/>
    <w:rsid w:val="00511FEC"/>
    <w:rsid w:val="00512252"/>
    <w:rsid w:val="005122AF"/>
    <w:rsid w:val="00512F61"/>
    <w:rsid w:val="0051686E"/>
    <w:rsid w:val="005201F8"/>
    <w:rsid w:val="00520634"/>
    <w:rsid w:val="00520737"/>
    <w:rsid w:val="00522594"/>
    <w:rsid w:val="00522F9B"/>
    <w:rsid w:val="00524517"/>
    <w:rsid w:val="0052479D"/>
    <w:rsid w:val="005249F7"/>
    <w:rsid w:val="0052576B"/>
    <w:rsid w:val="0052613D"/>
    <w:rsid w:val="00526598"/>
    <w:rsid w:val="005320DC"/>
    <w:rsid w:val="005333AC"/>
    <w:rsid w:val="005339E2"/>
    <w:rsid w:val="00535DF4"/>
    <w:rsid w:val="00535F43"/>
    <w:rsid w:val="0053659F"/>
    <w:rsid w:val="00542A48"/>
    <w:rsid w:val="00542E50"/>
    <w:rsid w:val="00543842"/>
    <w:rsid w:val="005453FA"/>
    <w:rsid w:val="00550FB4"/>
    <w:rsid w:val="00553548"/>
    <w:rsid w:val="00553F0D"/>
    <w:rsid w:val="0055437E"/>
    <w:rsid w:val="0055550E"/>
    <w:rsid w:val="00556E96"/>
    <w:rsid w:val="00561583"/>
    <w:rsid w:val="00561A85"/>
    <w:rsid w:val="00562022"/>
    <w:rsid w:val="00562AAA"/>
    <w:rsid w:val="005645BC"/>
    <w:rsid w:val="005646BD"/>
    <w:rsid w:val="00571753"/>
    <w:rsid w:val="00571C5A"/>
    <w:rsid w:val="005748BA"/>
    <w:rsid w:val="00574B62"/>
    <w:rsid w:val="00575564"/>
    <w:rsid w:val="00576B95"/>
    <w:rsid w:val="00576E40"/>
    <w:rsid w:val="005778A3"/>
    <w:rsid w:val="00580F6C"/>
    <w:rsid w:val="005814E0"/>
    <w:rsid w:val="00581BB2"/>
    <w:rsid w:val="00582741"/>
    <w:rsid w:val="00582804"/>
    <w:rsid w:val="0058345F"/>
    <w:rsid w:val="00583D02"/>
    <w:rsid w:val="00583E43"/>
    <w:rsid w:val="00591176"/>
    <w:rsid w:val="00591EF8"/>
    <w:rsid w:val="00593EC6"/>
    <w:rsid w:val="005975B4"/>
    <w:rsid w:val="005A3009"/>
    <w:rsid w:val="005A5090"/>
    <w:rsid w:val="005A5A82"/>
    <w:rsid w:val="005A5C0A"/>
    <w:rsid w:val="005A72B5"/>
    <w:rsid w:val="005A796D"/>
    <w:rsid w:val="005B0349"/>
    <w:rsid w:val="005B1C6E"/>
    <w:rsid w:val="005B3BB7"/>
    <w:rsid w:val="005B3CBD"/>
    <w:rsid w:val="005B5154"/>
    <w:rsid w:val="005B62C3"/>
    <w:rsid w:val="005B635B"/>
    <w:rsid w:val="005B6C7E"/>
    <w:rsid w:val="005C0C6F"/>
    <w:rsid w:val="005C0E52"/>
    <w:rsid w:val="005C13D0"/>
    <w:rsid w:val="005C4822"/>
    <w:rsid w:val="005C4909"/>
    <w:rsid w:val="005C49D1"/>
    <w:rsid w:val="005C5A68"/>
    <w:rsid w:val="005C76B7"/>
    <w:rsid w:val="005C7FBD"/>
    <w:rsid w:val="005D0C0E"/>
    <w:rsid w:val="005D25FA"/>
    <w:rsid w:val="005D274C"/>
    <w:rsid w:val="005D3284"/>
    <w:rsid w:val="005D4577"/>
    <w:rsid w:val="005D7BF5"/>
    <w:rsid w:val="005E02DF"/>
    <w:rsid w:val="005E341C"/>
    <w:rsid w:val="005E7712"/>
    <w:rsid w:val="005F1662"/>
    <w:rsid w:val="005F255D"/>
    <w:rsid w:val="005F2D8B"/>
    <w:rsid w:val="005F3442"/>
    <w:rsid w:val="005F3B61"/>
    <w:rsid w:val="005F41F3"/>
    <w:rsid w:val="005F4695"/>
    <w:rsid w:val="005F6581"/>
    <w:rsid w:val="00600703"/>
    <w:rsid w:val="006020BF"/>
    <w:rsid w:val="00602B4D"/>
    <w:rsid w:val="006037C8"/>
    <w:rsid w:val="00604FCC"/>
    <w:rsid w:val="00605E92"/>
    <w:rsid w:val="00606723"/>
    <w:rsid w:val="00607F31"/>
    <w:rsid w:val="006123D3"/>
    <w:rsid w:val="006124AB"/>
    <w:rsid w:val="006135C2"/>
    <w:rsid w:val="00614BF7"/>
    <w:rsid w:val="0061550C"/>
    <w:rsid w:val="0061694A"/>
    <w:rsid w:val="0062034C"/>
    <w:rsid w:val="00622AF4"/>
    <w:rsid w:val="00625963"/>
    <w:rsid w:val="00625BA7"/>
    <w:rsid w:val="00625E40"/>
    <w:rsid w:val="00626A0D"/>
    <w:rsid w:val="00626D5A"/>
    <w:rsid w:val="00631223"/>
    <w:rsid w:val="00632B25"/>
    <w:rsid w:val="00633145"/>
    <w:rsid w:val="006356DD"/>
    <w:rsid w:val="0064068D"/>
    <w:rsid w:val="00644C45"/>
    <w:rsid w:val="0064533A"/>
    <w:rsid w:val="00645A3C"/>
    <w:rsid w:val="0065018B"/>
    <w:rsid w:val="006506A0"/>
    <w:rsid w:val="00650A96"/>
    <w:rsid w:val="006522EB"/>
    <w:rsid w:val="00655472"/>
    <w:rsid w:val="00655982"/>
    <w:rsid w:val="00657677"/>
    <w:rsid w:val="006579CA"/>
    <w:rsid w:val="00660CEA"/>
    <w:rsid w:val="00661921"/>
    <w:rsid w:val="00663DD8"/>
    <w:rsid w:val="00663EC6"/>
    <w:rsid w:val="00664A32"/>
    <w:rsid w:val="00664B28"/>
    <w:rsid w:val="00665B2B"/>
    <w:rsid w:val="00671C8F"/>
    <w:rsid w:val="00674131"/>
    <w:rsid w:val="00674B20"/>
    <w:rsid w:val="00677C49"/>
    <w:rsid w:val="00677F96"/>
    <w:rsid w:val="00681F80"/>
    <w:rsid w:val="006824F5"/>
    <w:rsid w:val="00682995"/>
    <w:rsid w:val="0068470A"/>
    <w:rsid w:val="00684A7B"/>
    <w:rsid w:val="00685E25"/>
    <w:rsid w:val="006874F4"/>
    <w:rsid w:val="00690EB3"/>
    <w:rsid w:val="00691048"/>
    <w:rsid w:val="006947CF"/>
    <w:rsid w:val="00694BEA"/>
    <w:rsid w:val="00694CB0"/>
    <w:rsid w:val="006951C5"/>
    <w:rsid w:val="00696ADA"/>
    <w:rsid w:val="00697154"/>
    <w:rsid w:val="0069757C"/>
    <w:rsid w:val="006A051D"/>
    <w:rsid w:val="006A0BB0"/>
    <w:rsid w:val="006A3C9F"/>
    <w:rsid w:val="006A42A9"/>
    <w:rsid w:val="006A5791"/>
    <w:rsid w:val="006A5A9A"/>
    <w:rsid w:val="006A7462"/>
    <w:rsid w:val="006B46D5"/>
    <w:rsid w:val="006B59D6"/>
    <w:rsid w:val="006B638D"/>
    <w:rsid w:val="006B6590"/>
    <w:rsid w:val="006B67A4"/>
    <w:rsid w:val="006B754A"/>
    <w:rsid w:val="006C15B8"/>
    <w:rsid w:val="006C199F"/>
    <w:rsid w:val="006C2101"/>
    <w:rsid w:val="006C248A"/>
    <w:rsid w:val="006C35D8"/>
    <w:rsid w:val="006C60FD"/>
    <w:rsid w:val="006C762D"/>
    <w:rsid w:val="006D0A2E"/>
    <w:rsid w:val="006D17A6"/>
    <w:rsid w:val="006D1E53"/>
    <w:rsid w:val="006D2AD4"/>
    <w:rsid w:val="006D3CD2"/>
    <w:rsid w:val="006D419C"/>
    <w:rsid w:val="006D45A4"/>
    <w:rsid w:val="006D4713"/>
    <w:rsid w:val="006D51A6"/>
    <w:rsid w:val="006D54D0"/>
    <w:rsid w:val="006D5B77"/>
    <w:rsid w:val="006D6DA4"/>
    <w:rsid w:val="006E0042"/>
    <w:rsid w:val="006E1A28"/>
    <w:rsid w:val="006E1FED"/>
    <w:rsid w:val="006E273C"/>
    <w:rsid w:val="006E2AEE"/>
    <w:rsid w:val="006E371D"/>
    <w:rsid w:val="006E5670"/>
    <w:rsid w:val="006E6772"/>
    <w:rsid w:val="006E6BF3"/>
    <w:rsid w:val="006E70D4"/>
    <w:rsid w:val="006F1D3F"/>
    <w:rsid w:val="006F2F8D"/>
    <w:rsid w:val="006F4228"/>
    <w:rsid w:val="006F46FA"/>
    <w:rsid w:val="006F5C87"/>
    <w:rsid w:val="006F656B"/>
    <w:rsid w:val="006F6894"/>
    <w:rsid w:val="006F6AB5"/>
    <w:rsid w:val="006F705D"/>
    <w:rsid w:val="007010B1"/>
    <w:rsid w:val="00701310"/>
    <w:rsid w:val="00702A1B"/>
    <w:rsid w:val="00706E76"/>
    <w:rsid w:val="0070788C"/>
    <w:rsid w:val="00711F76"/>
    <w:rsid w:val="0071453E"/>
    <w:rsid w:val="00714643"/>
    <w:rsid w:val="00715181"/>
    <w:rsid w:val="00715932"/>
    <w:rsid w:val="0071631E"/>
    <w:rsid w:val="00721E74"/>
    <w:rsid w:val="00723201"/>
    <w:rsid w:val="00724378"/>
    <w:rsid w:val="007243D0"/>
    <w:rsid w:val="00724D0F"/>
    <w:rsid w:val="00725274"/>
    <w:rsid w:val="007252D5"/>
    <w:rsid w:val="007274D1"/>
    <w:rsid w:val="007342A8"/>
    <w:rsid w:val="00734DA3"/>
    <w:rsid w:val="00735E37"/>
    <w:rsid w:val="007368E0"/>
    <w:rsid w:val="007373D6"/>
    <w:rsid w:val="007374FB"/>
    <w:rsid w:val="0074156D"/>
    <w:rsid w:val="00741B1D"/>
    <w:rsid w:val="00741D8D"/>
    <w:rsid w:val="007439C3"/>
    <w:rsid w:val="0074470B"/>
    <w:rsid w:val="007456E3"/>
    <w:rsid w:val="00746D67"/>
    <w:rsid w:val="00746FC8"/>
    <w:rsid w:val="007470DA"/>
    <w:rsid w:val="007477DA"/>
    <w:rsid w:val="00747F62"/>
    <w:rsid w:val="00751540"/>
    <w:rsid w:val="00753971"/>
    <w:rsid w:val="007553EB"/>
    <w:rsid w:val="00755815"/>
    <w:rsid w:val="007560C1"/>
    <w:rsid w:val="007563A9"/>
    <w:rsid w:val="0075770A"/>
    <w:rsid w:val="0075782E"/>
    <w:rsid w:val="00760231"/>
    <w:rsid w:val="0076150F"/>
    <w:rsid w:val="00761D5B"/>
    <w:rsid w:val="00762D92"/>
    <w:rsid w:val="007666E6"/>
    <w:rsid w:val="00766733"/>
    <w:rsid w:val="007674F8"/>
    <w:rsid w:val="00772EB0"/>
    <w:rsid w:val="007751E7"/>
    <w:rsid w:val="00776BC9"/>
    <w:rsid w:val="00776DD2"/>
    <w:rsid w:val="00780776"/>
    <w:rsid w:val="007809E5"/>
    <w:rsid w:val="007827A1"/>
    <w:rsid w:val="00782812"/>
    <w:rsid w:val="00783233"/>
    <w:rsid w:val="00783B21"/>
    <w:rsid w:val="00784ABC"/>
    <w:rsid w:val="0078644A"/>
    <w:rsid w:val="007865C0"/>
    <w:rsid w:val="00787EDD"/>
    <w:rsid w:val="00790AB3"/>
    <w:rsid w:val="0079159D"/>
    <w:rsid w:val="007918C1"/>
    <w:rsid w:val="00792765"/>
    <w:rsid w:val="00792A28"/>
    <w:rsid w:val="00792B07"/>
    <w:rsid w:val="007938CE"/>
    <w:rsid w:val="007958A2"/>
    <w:rsid w:val="007A02A8"/>
    <w:rsid w:val="007A0890"/>
    <w:rsid w:val="007A09FB"/>
    <w:rsid w:val="007A1679"/>
    <w:rsid w:val="007A375A"/>
    <w:rsid w:val="007A39E9"/>
    <w:rsid w:val="007A3D86"/>
    <w:rsid w:val="007A4152"/>
    <w:rsid w:val="007A4D52"/>
    <w:rsid w:val="007A5339"/>
    <w:rsid w:val="007A5696"/>
    <w:rsid w:val="007A628F"/>
    <w:rsid w:val="007A646A"/>
    <w:rsid w:val="007A6827"/>
    <w:rsid w:val="007A6EFF"/>
    <w:rsid w:val="007A71F6"/>
    <w:rsid w:val="007B0F00"/>
    <w:rsid w:val="007B5B6E"/>
    <w:rsid w:val="007B705A"/>
    <w:rsid w:val="007C1561"/>
    <w:rsid w:val="007C19BD"/>
    <w:rsid w:val="007C3728"/>
    <w:rsid w:val="007C37C2"/>
    <w:rsid w:val="007C6204"/>
    <w:rsid w:val="007C6368"/>
    <w:rsid w:val="007D1439"/>
    <w:rsid w:val="007D4160"/>
    <w:rsid w:val="007D50F4"/>
    <w:rsid w:val="007D5828"/>
    <w:rsid w:val="007D599C"/>
    <w:rsid w:val="007D5C2D"/>
    <w:rsid w:val="007D6FEB"/>
    <w:rsid w:val="007E002E"/>
    <w:rsid w:val="007E14A2"/>
    <w:rsid w:val="007E47A9"/>
    <w:rsid w:val="007E48D5"/>
    <w:rsid w:val="007E49E0"/>
    <w:rsid w:val="007E5E6A"/>
    <w:rsid w:val="007E5FE9"/>
    <w:rsid w:val="007E65CB"/>
    <w:rsid w:val="007E6F07"/>
    <w:rsid w:val="007F086E"/>
    <w:rsid w:val="007F32FD"/>
    <w:rsid w:val="007F355D"/>
    <w:rsid w:val="007F3FB1"/>
    <w:rsid w:val="007F5B25"/>
    <w:rsid w:val="007F64D3"/>
    <w:rsid w:val="007F76C7"/>
    <w:rsid w:val="007F7A24"/>
    <w:rsid w:val="007F7EAF"/>
    <w:rsid w:val="00801D3E"/>
    <w:rsid w:val="00801D7A"/>
    <w:rsid w:val="008030FF"/>
    <w:rsid w:val="00803792"/>
    <w:rsid w:val="00803C51"/>
    <w:rsid w:val="00804014"/>
    <w:rsid w:val="00804032"/>
    <w:rsid w:val="00805BF0"/>
    <w:rsid w:val="0080756E"/>
    <w:rsid w:val="00807575"/>
    <w:rsid w:val="008078AA"/>
    <w:rsid w:val="00810B4B"/>
    <w:rsid w:val="00811ADF"/>
    <w:rsid w:val="008137BC"/>
    <w:rsid w:val="00813B7D"/>
    <w:rsid w:val="008200BE"/>
    <w:rsid w:val="00820803"/>
    <w:rsid w:val="00823248"/>
    <w:rsid w:val="00823A10"/>
    <w:rsid w:val="008244B4"/>
    <w:rsid w:val="00824797"/>
    <w:rsid w:val="00830169"/>
    <w:rsid w:val="00832F7A"/>
    <w:rsid w:val="00833D32"/>
    <w:rsid w:val="0083453F"/>
    <w:rsid w:val="00835F48"/>
    <w:rsid w:val="008374CA"/>
    <w:rsid w:val="0084137A"/>
    <w:rsid w:val="00841E2B"/>
    <w:rsid w:val="0084235E"/>
    <w:rsid w:val="00842A71"/>
    <w:rsid w:val="00842CC9"/>
    <w:rsid w:val="00843F95"/>
    <w:rsid w:val="00845188"/>
    <w:rsid w:val="00845BE2"/>
    <w:rsid w:val="00845D09"/>
    <w:rsid w:val="00846302"/>
    <w:rsid w:val="008501E8"/>
    <w:rsid w:val="00851B72"/>
    <w:rsid w:val="008521E4"/>
    <w:rsid w:val="00852CF3"/>
    <w:rsid w:val="00855C8A"/>
    <w:rsid w:val="00860645"/>
    <w:rsid w:val="008647EA"/>
    <w:rsid w:val="00864C18"/>
    <w:rsid w:val="00867518"/>
    <w:rsid w:val="00871A40"/>
    <w:rsid w:val="008736C9"/>
    <w:rsid w:val="00876B27"/>
    <w:rsid w:val="00877E0F"/>
    <w:rsid w:val="00881B52"/>
    <w:rsid w:val="00882946"/>
    <w:rsid w:val="0088631C"/>
    <w:rsid w:val="008878B4"/>
    <w:rsid w:val="0089011B"/>
    <w:rsid w:val="0089114F"/>
    <w:rsid w:val="00891B43"/>
    <w:rsid w:val="00891F15"/>
    <w:rsid w:val="00893944"/>
    <w:rsid w:val="00896C84"/>
    <w:rsid w:val="008A190E"/>
    <w:rsid w:val="008A2A2F"/>
    <w:rsid w:val="008A36F5"/>
    <w:rsid w:val="008A4D5D"/>
    <w:rsid w:val="008A5149"/>
    <w:rsid w:val="008B6DBC"/>
    <w:rsid w:val="008B7534"/>
    <w:rsid w:val="008C19D9"/>
    <w:rsid w:val="008C343E"/>
    <w:rsid w:val="008C34FD"/>
    <w:rsid w:val="008C4B61"/>
    <w:rsid w:val="008C588D"/>
    <w:rsid w:val="008C661C"/>
    <w:rsid w:val="008C6AD4"/>
    <w:rsid w:val="008D02C8"/>
    <w:rsid w:val="008D091D"/>
    <w:rsid w:val="008D09AD"/>
    <w:rsid w:val="008D1320"/>
    <w:rsid w:val="008D2DD1"/>
    <w:rsid w:val="008D3E69"/>
    <w:rsid w:val="008D405F"/>
    <w:rsid w:val="008D7327"/>
    <w:rsid w:val="008D7939"/>
    <w:rsid w:val="008E49A7"/>
    <w:rsid w:val="008E55E4"/>
    <w:rsid w:val="008F08E1"/>
    <w:rsid w:val="008F1087"/>
    <w:rsid w:val="008F1219"/>
    <w:rsid w:val="008F27EA"/>
    <w:rsid w:val="008F2C39"/>
    <w:rsid w:val="008F41CB"/>
    <w:rsid w:val="008F5B7A"/>
    <w:rsid w:val="008F5C5B"/>
    <w:rsid w:val="008F666B"/>
    <w:rsid w:val="008F689F"/>
    <w:rsid w:val="008F71CE"/>
    <w:rsid w:val="008F7C0A"/>
    <w:rsid w:val="009006BC"/>
    <w:rsid w:val="00900BB5"/>
    <w:rsid w:val="009024AB"/>
    <w:rsid w:val="00902F55"/>
    <w:rsid w:val="0090306E"/>
    <w:rsid w:val="00904067"/>
    <w:rsid w:val="00905C51"/>
    <w:rsid w:val="00906055"/>
    <w:rsid w:val="009070B7"/>
    <w:rsid w:val="00911D63"/>
    <w:rsid w:val="00912730"/>
    <w:rsid w:val="00913B89"/>
    <w:rsid w:val="00915436"/>
    <w:rsid w:val="00915566"/>
    <w:rsid w:val="00915D52"/>
    <w:rsid w:val="00916E2E"/>
    <w:rsid w:val="009211AB"/>
    <w:rsid w:val="00921B20"/>
    <w:rsid w:val="00921BD5"/>
    <w:rsid w:val="009220F2"/>
    <w:rsid w:val="00922C43"/>
    <w:rsid w:val="0092348C"/>
    <w:rsid w:val="00923A8A"/>
    <w:rsid w:val="0092527A"/>
    <w:rsid w:val="00926D4D"/>
    <w:rsid w:val="0092799D"/>
    <w:rsid w:val="009322BB"/>
    <w:rsid w:val="009332A6"/>
    <w:rsid w:val="0093523F"/>
    <w:rsid w:val="0094176E"/>
    <w:rsid w:val="00946397"/>
    <w:rsid w:val="00946AD8"/>
    <w:rsid w:val="00950261"/>
    <w:rsid w:val="00951833"/>
    <w:rsid w:val="00952168"/>
    <w:rsid w:val="0095256C"/>
    <w:rsid w:val="00952DD1"/>
    <w:rsid w:val="0095315E"/>
    <w:rsid w:val="0095434D"/>
    <w:rsid w:val="009556E6"/>
    <w:rsid w:val="00955AAB"/>
    <w:rsid w:val="009602DE"/>
    <w:rsid w:val="00962611"/>
    <w:rsid w:val="00963A50"/>
    <w:rsid w:val="00965006"/>
    <w:rsid w:val="009659C7"/>
    <w:rsid w:val="00966E61"/>
    <w:rsid w:val="00970EA4"/>
    <w:rsid w:val="0097121F"/>
    <w:rsid w:val="00971712"/>
    <w:rsid w:val="00973E25"/>
    <w:rsid w:val="009762F6"/>
    <w:rsid w:val="009768B1"/>
    <w:rsid w:val="00982670"/>
    <w:rsid w:val="00983538"/>
    <w:rsid w:val="00983610"/>
    <w:rsid w:val="0098369D"/>
    <w:rsid w:val="00987387"/>
    <w:rsid w:val="0099071F"/>
    <w:rsid w:val="0099361B"/>
    <w:rsid w:val="009941F3"/>
    <w:rsid w:val="0099757C"/>
    <w:rsid w:val="009A0259"/>
    <w:rsid w:val="009A44A2"/>
    <w:rsid w:val="009A4DA4"/>
    <w:rsid w:val="009A670C"/>
    <w:rsid w:val="009A6BAF"/>
    <w:rsid w:val="009A6D9B"/>
    <w:rsid w:val="009A6E9C"/>
    <w:rsid w:val="009A74FC"/>
    <w:rsid w:val="009B2D4C"/>
    <w:rsid w:val="009B38F9"/>
    <w:rsid w:val="009B404B"/>
    <w:rsid w:val="009B6AB5"/>
    <w:rsid w:val="009B7324"/>
    <w:rsid w:val="009C12BF"/>
    <w:rsid w:val="009C50AB"/>
    <w:rsid w:val="009C5B4E"/>
    <w:rsid w:val="009C662F"/>
    <w:rsid w:val="009D0908"/>
    <w:rsid w:val="009D1009"/>
    <w:rsid w:val="009D3ACB"/>
    <w:rsid w:val="009D465E"/>
    <w:rsid w:val="009D4D3A"/>
    <w:rsid w:val="009D4EED"/>
    <w:rsid w:val="009D6B17"/>
    <w:rsid w:val="009D788C"/>
    <w:rsid w:val="009D7A37"/>
    <w:rsid w:val="009E04EB"/>
    <w:rsid w:val="009E0B0A"/>
    <w:rsid w:val="009E0EA2"/>
    <w:rsid w:val="009E15F2"/>
    <w:rsid w:val="009E1E21"/>
    <w:rsid w:val="009E2154"/>
    <w:rsid w:val="009E27CF"/>
    <w:rsid w:val="009E28A5"/>
    <w:rsid w:val="009E42EE"/>
    <w:rsid w:val="009E4BB3"/>
    <w:rsid w:val="009E500B"/>
    <w:rsid w:val="009E5346"/>
    <w:rsid w:val="009E55D0"/>
    <w:rsid w:val="009E65B3"/>
    <w:rsid w:val="009E72FB"/>
    <w:rsid w:val="009F2818"/>
    <w:rsid w:val="009F28A3"/>
    <w:rsid w:val="009F3A2D"/>
    <w:rsid w:val="009F4967"/>
    <w:rsid w:val="00A00584"/>
    <w:rsid w:val="00A00FFC"/>
    <w:rsid w:val="00A0103A"/>
    <w:rsid w:val="00A03C74"/>
    <w:rsid w:val="00A05DF9"/>
    <w:rsid w:val="00A07BBB"/>
    <w:rsid w:val="00A11FE5"/>
    <w:rsid w:val="00A14717"/>
    <w:rsid w:val="00A14BDF"/>
    <w:rsid w:val="00A14FC6"/>
    <w:rsid w:val="00A16A2B"/>
    <w:rsid w:val="00A174F1"/>
    <w:rsid w:val="00A21729"/>
    <w:rsid w:val="00A2264B"/>
    <w:rsid w:val="00A234E4"/>
    <w:rsid w:val="00A23B72"/>
    <w:rsid w:val="00A242CF"/>
    <w:rsid w:val="00A24E10"/>
    <w:rsid w:val="00A2526E"/>
    <w:rsid w:val="00A27DDE"/>
    <w:rsid w:val="00A301E4"/>
    <w:rsid w:val="00A40302"/>
    <w:rsid w:val="00A44F74"/>
    <w:rsid w:val="00A47645"/>
    <w:rsid w:val="00A47C49"/>
    <w:rsid w:val="00A51D1D"/>
    <w:rsid w:val="00A5338B"/>
    <w:rsid w:val="00A538EB"/>
    <w:rsid w:val="00A53DE1"/>
    <w:rsid w:val="00A55309"/>
    <w:rsid w:val="00A5556D"/>
    <w:rsid w:val="00A57102"/>
    <w:rsid w:val="00A573DC"/>
    <w:rsid w:val="00A57D1C"/>
    <w:rsid w:val="00A62653"/>
    <w:rsid w:val="00A62E09"/>
    <w:rsid w:val="00A644AF"/>
    <w:rsid w:val="00A64A7A"/>
    <w:rsid w:val="00A65D89"/>
    <w:rsid w:val="00A70613"/>
    <w:rsid w:val="00A70E00"/>
    <w:rsid w:val="00A70F70"/>
    <w:rsid w:val="00A71EF3"/>
    <w:rsid w:val="00A74A33"/>
    <w:rsid w:val="00A75579"/>
    <w:rsid w:val="00A77A46"/>
    <w:rsid w:val="00A80FBA"/>
    <w:rsid w:val="00A835B2"/>
    <w:rsid w:val="00A8408F"/>
    <w:rsid w:val="00A857BC"/>
    <w:rsid w:val="00A8629F"/>
    <w:rsid w:val="00A903FD"/>
    <w:rsid w:val="00A90FED"/>
    <w:rsid w:val="00A9133E"/>
    <w:rsid w:val="00A92714"/>
    <w:rsid w:val="00A92EDB"/>
    <w:rsid w:val="00A93165"/>
    <w:rsid w:val="00A946DE"/>
    <w:rsid w:val="00A94E7C"/>
    <w:rsid w:val="00A966CF"/>
    <w:rsid w:val="00AA1807"/>
    <w:rsid w:val="00AA496C"/>
    <w:rsid w:val="00AA609A"/>
    <w:rsid w:val="00AA61BC"/>
    <w:rsid w:val="00AC15F7"/>
    <w:rsid w:val="00AC24CC"/>
    <w:rsid w:val="00AC3025"/>
    <w:rsid w:val="00AC3495"/>
    <w:rsid w:val="00AC35FB"/>
    <w:rsid w:val="00AC37F6"/>
    <w:rsid w:val="00AC48A9"/>
    <w:rsid w:val="00AC7FC6"/>
    <w:rsid w:val="00AD043A"/>
    <w:rsid w:val="00AD070D"/>
    <w:rsid w:val="00AD10DF"/>
    <w:rsid w:val="00AD328B"/>
    <w:rsid w:val="00AD50B8"/>
    <w:rsid w:val="00AD5FD6"/>
    <w:rsid w:val="00AD64D0"/>
    <w:rsid w:val="00AD6E41"/>
    <w:rsid w:val="00AE017D"/>
    <w:rsid w:val="00AE17AC"/>
    <w:rsid w:val="00AE4A94"/>
    <w:rsid w:val="00AE6273"/>
    <w:rsid w:val="00AF042B"/>
    <w:rsid w:val="00AF1ADF"/>
    <w:rsid w:val="00AF3B73"/>
    <w:rsid w:val="00AF510F"/>
    <w:rsid w:val="00AF6288"/>
    <w:rsid w:val="00B013CD"/>
    <w:rsid w:val="00B03496"/>
    <w:rsid w:val="00B05B9A"/>
    <w:rsid w:val="00B05DEF"/>
    <w:rsid w:val="00B07D21"/>
    <w:rsid w:val="00B07D4E"/>
    <w:rsid w:val="00B07EA2"/>
    <w:rsid w:val="00B100C0"/>
    <w:rsid w:val="00B102D6"/>
    <w:rsid w:val="00B1174F"/>
    <w:rsid w:val="00B11785"/>
    <w:rsid w:val="00B14C1D"/>
    <w:rsid w:val="00B15449"/>
    <w:rsid w:val="00B20AAC"/>
    <w:rsid w:val="00B21040"/>
    <w:rsid w:val="00B21AE4"/>
    <w:rsid w:val="00B21CDD"/>
    <w:rsid w:val="00B243D5"/>
    <w:rsid w:val="00B246BA"/>
    <w:rsid w:val="00B25B5A"/>
    <w:rsid w:val="00B26605"/>
    <w:rsid w:val="00B277FE"/>
    <w:rsid w:val="00B311C1"/>
    <w:rsid w:val="00B32609"/>
    <w:rsid w:val="00B32C27"/>
    <w:rsid w:val="00B36D9F"/>
    <w:rsid w:val="00B37637"/>
    <w:rsid w:val="00B37A68"/>
    <w:rsid w:val="00B37DE4"/>
    <w:rsid w:val="00B37F12"/>
    <w:rsid w:val="00B41C12"/>
    <w:rsid w:val="00B45368"/>
    <w:rsid w:val="00B45632"/>
    <w:rsid w:val="00B47519"/>
    <w:rsid w:val="00B52446"/>
    <w:rsid w:val="00B52ECD"/>
    <w:rsid w:val="00B53F3C"/>
    <w:rsid w:val="00B5547F"/>
    <w:rsid w:val="00B554B8"/>
    <w:rsid w:val="00B56611"/>
    <w:rsid w:val="00B611A4"/>
    <w:rsid w:val="00B6210B"/>
    <w:rsid w:val="00B62A06"/>
    <w:rsid w:val="00B63368"/>
    <w:rsid w:val="00B633CA"/>
    <w:rsid w:val="00B63B15"/>
    <w:rsid w:val="00B64733"/>
    <w:rsid w:val="00B67276"/>
    <w:rsid w:val="00B67A34"/>
    <w:rsid w:val="00B67C8B"/>
    <w:rsid w:val="00B71821"/>
    <w:rsid w:val="00B7259E"/>
    <w:rsid w:val="00B72DD3"/>
    <w:rsid w:val="00B72FAD"/>
    <w:rsid w:val="00B736E8"/>
    <w:rsid w:val="00B771B3"/>
    <w:rsid w:val="00B8031A"/>
    <w:rsid w:val="00B80AFC"/>
    <w:rsid w:val="00B82F2B"/>
    <w:rsid w:val="00B83804"/>
    <w:rsid w:val="00B86340"/>
    <w:rsid w:val="00B87AC0"/>
    <w:rsid w:val="00B935E0"/>
    <w:rsid w:val="00B945DF"/>
    <w:rsid w:val="00B9581B"/>
    <w:rsid w:val="00B97B63"/>
    <w:rsid w:val="00BA4FFB"/>
    <w:rsid w:val="00BA50E1"/>
    <w:rsid w:val="00BA54CA"/>
    <w:rsid w:val="00BA6CB4"/>
    <w:rsid w:val="00BA7286"/>
    <w:rsid w:val="00BA729C"/>
    <w:rsid w:val="00BA7C67"/>
    <w:rsid w:val="00BB093A"/>
    <w:rsid w:val="00BB1D5F"/>
    <w:rsid w:val="00BB2DBC"/>
    <w:rsid w:val="00BB3FC9"/>
    <w:rsid w:val="00BB52F4"/>
    <w:rsid w:val="00BB6AD3"/>
    <w:rsid w:val="00BC05DD"/>
    <w:rsid w:val="00BC0A1F"/>
    <w:rsid w:val="00BC11E4"/>
    <w:rsid w:val="00BC487A"/>
    <w:rsid w:val="00BC5105"/>
    <w:rsid w:val="00BC5E3F"/>
    <w:rsid w:val="00BC6642"/>
    <w:rsid w:val="00BC6D6D"/>
    <w:rsid w:val="00BC7B32"/>
    <w:rsid w:val="00BD1F38"/>
    <w:rsid w:val="00BD2C55"/>
    <w:rsid w:val="00BD4109"/>
    <w:rsid w:val="00BD61E3"/>
    <w:rsid w:val="00BD78B6"/>
    <w:rsid w:val="00BE17A3"/>
    <w:rsid w:val="00BE2BE6"/>
    <w:rsid w:val="00BE4477"/>
    <w:rsid w:val="00BE54F3"/>
    <w:rsid w:val="00BE5561"/>
    <w:rsid w:val="00BE60BC"/>
    <w:rsid w:val="00BE7931"/>
    <w:rsid w:val="00BF3171"/>
    <w:rsid w:val="00BF55E2"/>
    <w:rsid w:val="00BF5987"/>
    <w:rsid w:val="00BF7BAE"/>
    <w:rsid w:val="00BF7E99"/>
    <w:rsid w:val="00C00047"/>
    <w:rsid w:val="00C004F3"/>
    <w:rsid w:val="00C02354"/>
    <w:rsid w:val="00C02596"/>
    <w:rsid w:val="00C03807"/>
    <w:rsid w:val="00C03B04"/>
    <w:rsid w:val="00C03BC9"/>
    <w:rsid w:val="00C048F5"/>
    <w:rsid w:val="00C061C3"/>
    <w:rsid w:val="00C068A5"/>
    <w:rsid w:val="00C07103"/>
    <w:rsid w:val="00C1008F"/>
    <w:rsid w:val="00C102D4"/>
    <w:rsid w:val="00C10E3A"/>
    <w:rsid w:val="00C126D8"/>
    <w:rsid w:val="00C156B7"/>
    <w:rsid w:val="00C15DD4"/>
    <w:rsid w:val="00C173FA"/>
    <w:rsid w:val="00C20753"/>
    <w:rsid w:val="00C22A97"/>
    <w:rsid w:val="00C23543"/>
    <w:rsid w:val="00C23A3D"/>
    <w:rsid w:val="00C23C99"/>
    <w:rsid w:val="00C24FC7"/>
    <w:rsid w:val="00C26908"/>
    <w:rsid w:val="00C27CCE"/>
    <w:rsid w:val="00C3070E"/>
    <w:rsid w:val="00C311EB"/>
    <w:rsid w:val="00C31523"/>
    <w:rsid w:val="00C335DF"/>
    <w:rsid w:val="00C33F4E"/>
    <w:rsid w:val="00C3506F"/>
    <w:rsid w:val="00C35380"/>
    <w:rsid w:val="00C358BB"/>
    <w:rsid w:val="00C36356"/>
    <w:rsid w:val="00C3642B"/>
    <w:rsid w:val="00C37D74"/>
    <w:rsid w:val="00C417D7"/>
    <w:rsid w:val="00C4302F"/>
    <w:rsid w:val="00C47796"/>
    <w:rsid w:val="00C50165"/>
    <w:rsid w:val="00C547BE"/>
    <w:rsid w:val="00C5642A"/>
    <w:rsid w:val="00C568CA"/>
    <w:rsid w:val="00C57994"/>
    <w:rsid w:val="00C61824"/>
    <w:rsid w:val="00C63A48"/>
    <w:rsid w:val="00C6519B"/>
    <w:rsid w:val="00C65D1A"/>
    <w:rsid w:val="00C66EF6"/>
    <w:rsid w:val="00C70E35"/>
    <w:rsid w:val="00C71D08"/>
    <w:rsid w:val="00C727EB"/>
    <w:rsid w:val="00C74061"/>
    <w:rsid w:val="00C74472"/>
    <w:rsid w:val="00C74717"/>
    <w:rsid w:val="00C755D3"/>
    <w:rsid w:val="00C7574D"/>
    <w:rsid w:val="00C80FDB"/>
    <w:rsid w:val="00C81CF5"/>
    <w:rsid w:val="00C82CF9"/>
    <w:rsid w:val="00C83EAC"/>
    <w:rsid w:val="00C841FA"/>
    <w:rsid w:val="00C84877"/>
    <w:rsid w:val="00C84A30"/>
    <w:rsid w:val="00C8614E"/>
    <w:rsid w:val="00C91B1C"/>
    <w:rsid w:val="00C96C74"/>
    <w:rsid w:val="00CA036D"/>
    <w:rsid w:val="00CA2966"/>
    <w:rsid w:val="00CA332A"/>
    <w:rsid w:val="00CA37C5"/>
    <w:rsid w:val="00CA3B59"/>
    <w:rsid w:val="00CA4D96"/>
    <w:rsid w:val="00CA7B76"/>
    <w:rsid w:val="00CA7EB8"/>
    <w:rsid w:val="00CB0453"/>
    <w:rsid w:val="00CB120F"/>
    <w:rsid w:val="00CB3A15"/>
    <w:rsid w:val="00CB5919"/>
    <w:rsid w:val="00CC0B6B"/>
    <w:rsid w:val="00CC19AE"/>
    <w:rsid w:val="00CC2062"/>
    <w:rsid w:val="00CC223D"/>
    <w:rsid w:val="00CC235B"/>
    <w:rsid w:val="00CC4BEA"/>
    <w:rsid w:val="00CC5AFE"/>
    <w:rsid w:val="00CC6424"/>
    <w:rsid w:val="00CD038E"/>
    <w:rsid w:val="00CD24BB"/>
    <w:rsid w:val="00CD27D2"/>
    <w:rsid w:val="00CD5C33"/>
    <w:rsid w:val="00CD6645"/>
    <w:rsid w:val="00CD673F"/>
    <w:rsid w:val="00CD757D"/>
    <w:rsid w:val="00CE0188"/>
    <w:rsid w:val="00CE0F07"/>
    <w:rsid w:val="00CE1453"/>
    <w:rsid w:val="00CE1BCB"/>
    <w:rsid w:val="00CE2546"/>
    <w:rsid w:val="00CE2FFA"/>
    <w:rsid w:val="00CE31CC"/>
    <w:rsid w:val="00CE3A6E"/>
    <w:rsid w:val="00CE3BAD"/>
    <w:rsid w:val="00CE3F83"/>
    <w:rsid w:val="00CE462F"/>
    <w:rsid w:val="00CE5674"/>
    <w:rsid w:val="00CE5F70"/>
    <w:rsid w:val="00CE6B14"/>
    <w:rsid w:val="00CE7D3F"/>
    <w:rsid w:val="00CF201C"/>
    <w:rsid w:val="00CF2469"/>
    <w:rsid w:val="00CF3950"/>
    <w:rsid w:val="00CF40EE"/>
    <w:rsid w:val="00CF4E2A"/>
    <w:rsid w:val="00CF5AE6"/>
    <w:rsid w:val="00D00518"/>
    <w:rsid w:val="00D016E7"/>
    <w:rsid w:val="00D01EA9"/>
    <w:rsid w:val="00D01F6C"/>
    <w:rsid w:val="00D03621"/>
    <w:rsid w:val="00D0546C"/>
    <w:rsid w:val="00D05B9A"/>
    <w:rsid w:val="00D05FE4"/>
    <w:rsid w:val="00D0610C"/>
    <w:rsid w:val="00D07B99"/>
    <w:rsid w:val="00D10D55"/>
    <w:rsid w:val="00D11BF6"/>
    <w:rsid w:val="00D11FD9"/>
    <w:rsid w:val="00D1441E"/>
    <w:rsid w:val="00D1460D"/>
    <w:rsid w:val="00D1771C"/>
    <w:rsid w:val="00D20551"/>
    <w:rsid w:val="00D23070"/>
    <w:rsid w:val="00D2314F"/>
    <w:rsid w:val="00D23AF9"/>
    <w:rsid w:val="00D24B3B"/>
    <w:rsid w:val="00D273A8"/>
    <w:rsid w:val="00D27FE5"/>
    <w:rsid w:val="00D3024F"/>
    <w:rsid w:val="00D30F87"/>
    <w:rsid w:val="00D30FD1"/>
    <w:rsid w:val="00D31E5D"/>
    <w:rsid w:val="00D325CA"/>
    <w:rsid w:val="00D32E72"/>
    <w:rsid w:val="00D34E69"/>
    <w:rsid w:val="00D41A8C"/>
    <w:rsid w:val="00D41D2D"/>
    <w:rsid w:val="00D430BF"/>
    <w:rsid w:val="00D432F0"/>
    <w:rsid w:val="00D44605"/>
    <w:rsid w:val="00D44849"/>
    <w:rsid w:val="00D45DC4"/>
    <w:rsid w:val="00D470CD"/>
    <w:rsid w:val="00D47894"/>
    <w:rsid w:val="00D5395E"/>
    <w:rsid w:val="00D55E2E"/>
    <w:rsid w:val="00D5708F"/>
    <w:rsid w:val="00D57266"/>
    <w:rsid w:val="00D57B42"/>
    <w:rsid w:val="00D605DA"/>
    <w:rsid w:val="00D61A57"/>
    <w:rsid w:val="00D62F43"/>
    <w:rsid w:val="00D65960"/>
    <w:rsid w:val="00D67276"/>
    <w:rsid w:val="00D703E5"/>
    <w:rsid w:val="00D73012"/>
    <w:rsid w:val="00D73647"/>
    <w:rsid w:val="00D737B8"/>
    <w:rsid w:val="00D74E4C"/>
    <w:rsid w:val="00D756C9"/>
    <w:rsid w:val="00D75856"/>
    <w:rsid w:val="00D8021D"/>
    <w:rsid w:val="00D82C8B"/>
    <w:rsid w:val="00D833C1"/>
    <w:rsid w:val="00D83826"/>
    <w:rsid w:val="00D844AC"/>
    <w:rsid w:val="00D84B2A"/>
    <w:rsid w:val="00D866C4"/>
    <w:rsid w:val="00D86E2D"/>
    <w:rsid w:val="00D87DC4"/>
    <w:rsid w:val="00D922CA"/>
    <w:rsid w:val="00D93590"/>
    <w:rsid w:val="00D9435B"/>
    <w:rsid w:val="00D959B2"/>
    <w:rsid w:val="00D965B8"/>
    <w:rsid w:val="00DA2351"/>
    <w:rsid w:val="00DA470F"/>
    <w:rsid w:val="00DA4C6E"/>
    <w:rsid w:val="00DA7B4F"/>
    <w:rsid w:val="00DB034C"/>
    <w:rsid w:val="00DB1108"/>
    <w:rsid w:val="00DB47B6"/>
    <w:rsid w:val="00DB4AD8"/>
    <w:rsid w:val="00DB4E6F"/>
    <w:rsid w:val="00DB6958"/>
    <w:rsid w:val="00DB7110"/>
    <w:rsid w:val="00DC18E5"/>
    <w:rsid w:val="00DC1B25"/>
    <w:rsid w:val="00DC1F94"/>
    <w:rsid w:val="00DC3EDD"/>
    <w:rsid w:val="00DC45B9"/>
    <w:rsid w:val="00DC4626"/>
    <w:rsid w:val="00DC4871"/>
    <w:rsid w:val="00DC72BB"/>
    <w:rsid w:val="00DC775B"/>
    <w:rsid w:val="00DD2822"/>
    <w:rsid w:val="00DD2C43"/>
    <w:rsid w:val="00DD339B"/>
    <w:rsid w:val="00DD3E0A"/>
    <w:rsid w:val="00DD6ECB"/>
    <w:rsid w:val="00DE1DE9"/>
    <w:rsid w:val="00DE22F2"/>
    <w:rsid w:val="00DE275B"/>
    <w:rsid w:val="00DE2D54"/>
    <w:rsid w:val="00DE3FC7"/>
    <w:rsid w:val="00DE73F9"/>
    <w:rsid w:val="00DE74C9"/>
    <w:rsid w:val="00DF04BD"/>
    <w:rsid w:val="00DF0C54"/>
    <w:rsid w:val="00DF1A1E"/>
    <w:rsid w:val="00DF1CA4"/>
    <w:rsid w:val="00DF208D"/>
    <w:rsid w:val="00DF307C"/>
    <w:rsid w:val="00DF43B9"/>
    <w:rsid w:val="00DF4801"/>
    <w:rsid w:val="00DF622E"/>
    <w:rsid w:val="00DF7458"/>
    <w:rsid w:val="00DF7EC3"/>
    <w:rsid w:val="00DF7FFC"/>
    <w:rsid w:val="00E003DE"/>
    <w:rsid w:val="00E007F3"/>
    <w:rsid w:val="00E00C61"/>
    <w:rsid w:val="00E01FF8"/>
    <w:rsid w:val="00E03170"/>
    <w:rsid w:val="00E06DFB"/>
    <w:rsid w:val="00E0782C"/>
    <w:rsid w:val="00E10104"/>
    <w:rsid w:val="00E101B4"/>
    <w:rsid w:val="00E13321"/>
    <w:rsid w:val="00E13360"/>
    <w:rsid w:val="00E14B95"/>
    <w:rsid w:val="00E1527E"/>
    <w:rsid w:val="00E16691"/>
    <w:rsid w:val="00E20CA6"/>
    <w:rsid w:val="00E20CCF"/>
    <w:rsid w:val="00E21BA2"/>
    <w:rsid w:val="00E22D9A"/>
    <w:rsid w:val="00E24D56"/>
    <w:rsid w:val="00E25D86"/>
    <w:rsid w:val="00E264FD"/>
    <w:rsid w:val="00E2725A"/>
    <w:rsid w:val="00E27DF7"/>
    <w:rsid w:val="00E30F5D"/>
    <w:rsid w:val="00E416BA"/>
    <w:rsid w:val="00E4183E"/>
    <w:rsid w:val="00E42828"/>
    <w:rsid w:val="00E4328B"/>
    <w:rsid w:val="00E46603"/>
    <w:rsid w:val="00E475E6"/>
    <w:rsid w:val="00E505DC"/>
    <w:rsid w:val="00E509DA"/>
    <w:rsid w:val="00E50CD7"/>
    <w:rsid w:val="00E51D12"/>
    <w:rsid w:val="00E528B8"/>
    <w:rsid w:val="00E56818"/>
    <w:rsid w:val="00E5729C"/>
    <w:rsid w:val="00E57D90"/>
    <w:rsid w:val="00E6007D"/>
    <w:rsid w:val="00E61A3D"/>
    <w:rsid w:val="00E621DD"/>
    <w:rsid w:val="00E62B4B"/>
    <w:rsid w:val="00E6313A"/>
    <w:rsid w:val="00E63752"/>
    <w:rsid w:val="00E650A4"/>
    <w:rsid w:val="00E65C6A"/>
    <w:rsid w:val="00E678E7"/>
    <w:rsid w:val="00E7054A"/>
    <w:rsid w:val="00E72066"/>
    <w:rsid w:val="00E73696"/>
    <w:rsid w:val="00E73BD1"/>
    <w:rsid w:val="00E7587A"/>
    <w:rsid w:val="00E762BF"/>
    <w:rsid w:val="00E80E3A"/>
    <w:rsid w:val="00E81AEF"/>
    <w:rsid w:val="00E82375"/>
    <w:rsid w:val="00E8297B"/>
    <w:rsid w:val="00E833F6"/>
    <w:rsid w:val="00E836A2"/>
    <w:rsid w:val="00E843EE"/>
    <w:rsid w:val="00E84596"/>
    <w:rsid w:val="00E85D24"/>
    <w:rsid w:val="00E868AC"/>
    <w:rsid w:val="00E869D5"/>
    <w:rsid w:val="00E9396B"/>
    <w:rsid w:val="00E947AC"/>
    <w:rsid w:val="00EA144B"/>
    <w:rsid w:val="00EA1D6A"/>
    <w:rsid w:val="00EA26EC"/>
    <w:rsid w:val="00EA2F74"/>
    <w:rsid w:val="00EA3736"/>
    <w:rsid w:val="00EA4CCE"/>
    <w:rsid w:val="00EA5DD8"/>
    <w:rsid w:val="00EA67B3"/>
    <w:rsid w:val="00EB0D79"/>
    <w:rsid w:val="00EB0FC7"/>
    <w:rsid w:val="00EB2942"/>
    <w:rsid w:val="00EB3961"/>
    <w:rsid w:val="00EB4B65"/>
    <w:rsid w:val="00EB66F2"/>
    <w:rsid w:val="00EC0597"/>
    <w:rsid w:val="00EC0757"/>
    <w:rsid w:val="00EC1C11"/>
    <w:rsid w:val="00EC6578"/>
    <w:rsid w:val="00ED0838"/>
    <w:rsid w:val="00ED11C1"/>
    <w:rsid w:val="00ED162A"/>
    <w:rsid w:val="00ED16DB"/>
    <w:rsid w:val="00ED1D8A"/>
    <w:rsid w:val="00ED4156"/>
    <w:rsid w:val="00ED6428"/>
    <w:rsid w:val="00ED67F2"/>
    <w:rsid w:val="00ED6BDB"/>
    <w:rsid w:val="00ED7176"/>
    <w:rsid w:val="00ED7328"/>
    <w:rsid w:val="00EE1274"/>
    <w:rsid w:val="00EE1F9C"/>
    <w:rsid w:val="00EE1FF5"/>
    <w:rsid w:val="00EE2056"/>
    <w:rsid w:val="00EE25E2"/>
    <w:rsid w:val="00EE4573"/>
    <w:rsid w:val="00EE519F"/>
    <w:rsid w:val="00EE5904"/>
    <w:rsid w:val="00EE5C68"/>
    <w:rsid w:val="00EE7095"/>
    <w:rsid w:val="00EF1044"/>
    <w:rsid w:val="00EF1C8B"/>
    <w:rsid w:val="00EF2361"/>
    <w:rsid w:val="00EF39C3"/>
    <w:rsid w:val="00EF5A32"/>
    <w:rsid w:val="00EF6B13"/>
    <w:rsid w:val="00EF7342"/>
    <w:rsid w:val="00F00312"/>
    <w:rsid w:val="00F01791"/>
    <w:rsid w:val="00F01BD4"/>
    <w:rsid w:val="00F04180"/>
    <w:rsid w:val="00F057E1"/>
    <w:rsid w:val="00F05A48"/>
    <w:rsid w:val="00F0655B"/>
    <w:rsid w:val="00F06AB9"/>
    <w:rsid w:val="00F06FA3"/>
    <w:rsid w:val="00F100FB"/>
    <w:rsid w:val="00F10F04"/>
    <w:rsid w:val="00F1165C"/>
    <w:rsid w:val="00F13247"/>
    <w:rsid w:val="00F13C64"/>
    <w:rsid w:val="00F15202"/>
    <w:rsid w:val="00F171BF"/>
    <w:rsid w:val="00F175C9"/>
    <w:rsid w:val="00F17CBC"/>
    <w:rsid w:val="00F20FB0"/>
    <w:rsid w:val="00F21912"/>
    <w:rsid w:val="00F2372F"/>
    <w:rsid w:val="00F23E01"/>
    <w:rsid w:val="00F244E7"/>
    <w:rsid w:val="00F253E1"/>
    <w:rsid w:val="00F2574D"/>
    <w:rsid w:val="00F259EB"/>
    <w:rsid w:val="00F2727C"/>
    <w:rsid w:val="00F27E01"/>
    <w:rsid w:val="00F30A30"/>
    <w:rsid w:val="00F316AE"/>
    <w:rsid w:val="00F321E4"/>
    <w:rsid w:val="00F33277"/>
    <w:rsid w:val="00F33FD0"/>
    <w:rsid w:val="00F347D0"/>
    <w:rsid w:val="00F34A15"/>
    <w:rsid w:val="00F3567E"/>
    <w:rsid w:val="00F35D91"/>
    <w:rsid w:val="00F368FA"/>
    <w:rsid w:val="00F400C3"/>
    <w:rsid w:val="00F40238"/>
    <w:rsid w:val="00F41159"/>
    <w:rsid w:val="00F41908"/>
    <w:rsid w:val="00F432E4"/>
    <w:rsid w:val="00F45BCE"/>
    <w:rsid w:val="00F45D1F"/>
    <w:rsid w:val="00F467C4"/>
    <w:rsid w:val="00F46EF5"/>
    <w:rsid w:val="00F474AB"/>
    <w:rsid w:val="00F47EE3"/>
    <w:rsid w:val="00F50984"/>
    <w:rsid w:val="00F515C6"/>
    <w:rsid w:val="00F51B0C"/>
    <w:rsid w:val="00F530AE"/>
    <w:rsid w:val="00F5384E"/>
    <w:rsid w:val="00F53EBA"/>
    <w:rsid w:val="00F54A1A"/>
    <w:rsid w:val="00F55500"/>
    <w:rsid w:val="00F55849"/>
    <w:rsid w:val="00F56883"/>
    <w:rsid w:val="00F608B9"/>
    <w:rsid w:val="00F617B9"/>
    <w:rsid w:val="00F61CBB"/>
    <w:rsid w:val="00F62B31"/>
    <w:rsid w:val="00F62EAB"/>
    <w:rsid w:val="00F64EA0"/>
    <w:rsid w:val="00F6591B"/>
    <w:rsid w:val="00F65C5F"/>
    <w:rsid w:val="00F71817"/>
    <w:rsid w:val="00F71A02"/>
    <w:rsid w:val="00F727F8"/>
    <w:rsid w:val="00F72C59"/>
    <w:rsid w:val="00F72E87"/>
    <w:rsid w:val="00F73C00"/>
    <w:rsid w:val="00F7604F"/>
    <w:rsid w:val="00F77293"/>
    <w:rsid w:val="00F77323"/>
    <w:rsid w:val="00F80647"/>
    <w:rsid w:val="00F8083A"/>
    <w:rsid w:val="00F80EF1"/>
    <w:rsid w:val="00F82BB7"/>
    <w:rsid w:val="00F83DD6"/>
    <w:rsid w:val="00F83E2E"/>
    <w:rsid w:val="00F8725D"/>
    <w:rsid w:val="00F8792A"/>
    <w:rsid w:val="00F87DE9"/>
    <w:rsid w:val="00F907D4"/>
    <w:rsid w:val="00F90ADB"/>
    <w:rsid w:val="00F90D81"/>
    <w:rsid w:val="00F91692"/>
    <w:rsid w:val="00F9178A"/>
    <w:rsid w:val="00F91C8F"/>
    <w:rsid w:val="00F943BD"/>
    <w:rsid w:val="00F946E4"/>
    <w:rsid w:val="00F96EA6"/>
    <w:rsid w:val="00F97D6B"/>
    <w:rsid w:val="00FA007D"/>
    <w:rsid w:val="00FA014E"/>
    <w:rsid w:val="00FA15CC"/>
    <w:rsid w:val="00FA20A6"/>
    <w:rsid w:val="00FA2DC2"/>
    <w:rsid w:val="00FA2F3C"/>
    <w:rsid w:val="00FA354F"/>
    <w:rsid w:val="00FA41F2"/>
    <w:rsid w:val="00FA75A2"/>
    <w:rsid w:val="00FB1B5A"/>
    <w:rsid w:val="00FB2DE1"/>
    <w:rsid w:val="00FB2DED"/>
    <w:rsid w:val="00FB63CD"/>
    <w:rsid w:val="00FC099E"/>
    <w:rsid w:val="00FC25A7"/>
    <w:rsid w:val="00FC3145"/>
    <w:rsid w:val="00FC38D6"/>
    <w:rsid w:val="00FC4047"/>
    <w:rsid w:val="00FC5D67"/>
    <w:rsid w:val="00FC6288"/>
    <w:rsid w:val="00FC635F"/>
    <w:rsid w:val="00FC6C26"/>
    <w:rsid w:val="00FC727B"/>
    <w:rsid w:val="00FD05F0"/>
    <w:rsid w:val="00FD22A0"/>
    <w:rsid w:val="00FD5DE3"/>
    <w:rsid w:val="00FD69F0"/>
    <w:rsid w:val="00FD7C15"/>
    <w:rsid w:val="00FE0448"/>
    <w:rsid w:val="00FE0EC2"/>
    <w:rsid w:val="00FE1768"/>
    <w:rsid w:val="00FE354B"/>
    <w:rsid w:val="00FE3F62"/>
    <w:rsid w:val="00FF1C15"/>
    <w:rsid w:val="00FF267F"/>
    <w:rsid w:val="00FF36EB"/>
    <w:rsid w:val="00FF3B9E"/>
    <w:rsid w:val="00FF4B19"/>
    <w:rsid w:val="16D6717C"/>
    <w:rsid w:val="1D817799"/>
    <w:rsid w:val="35AD63E1"/>
    <w:rsid w:val="4E89FE2F"/>
    <w:rsid w:val="521D63B1"/>
    <w:rsid w:val="60879C4C"/>
    <w:rsid w:val="75650C2C"/>
    <w:rsid w:val="7E67E67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27EA"/>
  </w:style>
  <w:style w:type="paragraph" w:styleId="Heading2">
    <w:name w:val="heading 2"/>
    <w:basedOn w:val="Normal"/>
    <w:link w:val="Heading2Char"/>
    <w:uiPriority w:val="9"/>
    <w:qFormat/>
    <w:rsid w:val="000028D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0F33A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345F"/>
    <w:pPr>
      <w:spacing w:after="0" w:line="240" w:lineRule="auto"/>
      <w:ind w:left="720"/>
      <w:contextualSpacing/>
    </w:pPr>
    <w:rPr>
      <w:rFonts w:ascii="Times New Roman" w:eastAsia="Times New Roman" w:hAnsi="Times New Roman" w:cs="Times New Roman"/>
      <w:sz w:val="20"/>
      <w:szCs w:val="20"/>
      <w:lang w:eastAsia="en-GB"/>
    </w:rPr>
  </w:style>
  <w:style w:type="paragraph" w:styleId="BodyText">
    <w:name w:val="Body Text"/>
    <w:basedOn w:val="Normal"/>
    <w:link w:val="BodyTextChar"/>
    <w:semiHidden/>
    <w:unhideWhenUsed/>
    <w:rsid w:val="007918C1"/>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semiHidden/>
    <w:rsid w:val="007918C1"/>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F61CBB"/>
    <w:rPr>
      <w:color w:val="0563C1" w:themeColor="hyperlink"/>
      <w:u w:val="single"/>
    </w:rPr>
  </w:style>
  <w:style w:type="character" w:customStyle="1" w:styleId="UnresolvedMention">
    <w:name w:val="Unresolved Mention"/>
    <w:basedOn w:val="DefaultParagraphFont"/>
    <w:uiPriority w:val="99"/>
    <w:semiHidden/>
    <w:unhideWhenUsed/>
    <w:rsid w:val="00F61CBB"/>
    <w:rPr>
      <w:color w:val="605E5C"/>
      <w:shd w:val="clear" w:color="auto" w:fill="E1DFDD"/>
    </w:rPr>
  </w:style>
  <w:style w:type="paragraph" w:customStyle="1" w:styleId="author">
    <w:name w:val="author"/>
    <w:basedOn w:val="Normal"/>
    <w:rsid w:val="00C22A9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uthor-twitter">
    <w:name w:val="author-twitter"/>
    <w:basedOn w:val="Normal"/>
    <w:rsid w:val="00C22A9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ublish-date">
    <w:name w:val="publish-date"/>
    <w:basedOn w:val="Normal"/>
    <w:rsid w:val="00C22A9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CA3B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0028D1"/>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92348C"/>
    <w:rPr>
      <w:i/>
      <w:iCs/>
    </w:rPr>
  </w:style>
  <w:style w:type="character" w:customStyle="1" w:styleId="e24kjd">
    <w:name w:val="e24kjd"/>
    <w:basedOn w:val="DefaultParagraphFont"/>
    <w:rsid w:val="00511564"/>
  </w:style>
  <w:style w:type="character" w:customStyle="1" w:styleId="kx21rb">
    <w:name w:val="kx21rb"/>
    <w:basedOn w:val="DefaultParagraphFont"/>
    <w:rsid w:val="00F13C64"/>
  </w:style>
  <w:style w:type="character" w:customStyle="1" w:styleId="Heading3Char">
    <w:name w:val="Heading 3 Char"/>
    <w:basedOn w:val="DefaultParagraphFont"/>
    <w:link w:val="Heading3"/>
    <w:uiPriority w:val="9"/>
    <w:semiHidden/>
    <w:rsid w:val="000F33AA"/>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0F33AA"/>
    <w:rPr>
      <w:b/>
      <w:bCs/>
    </w:rPr>
  </w:style>
  <w:style w:type="character" w:styleId="CommentReference">
    <w:name w:val="annotation reference"/>
    <w:basedOn w:val="DefaultParagraphFont"/>
    <w:uiPriority w:val="99"/>
    <w:semiHidden/>
    <w:unhideWhenUsed/>
    <w:rsid w:val="00FD22A0"/>
    <w:rPr>
      <w:sz w:val="16"/>
      <w:szCs w:val="16"/>
    </w:rPr>
  </w:style>
  <w:style w:type="paragraph" w:styleId="CommentText">
    <w:name w:val="annotation text"/>
    <w:basedOn w:val="Normal"/>
    <w:link w:val="CommentTextChar"/>
    <w:uiPriority w:val="99"/>
    <w:semiHidden/>
    <w:unhideWhenUsed/>
    <w:rsid w:val="00FD22A0"/>
    <w:pPr>
      <w:spacing w:line="240" w:lineRule="auto"/>
    </w:pPr>
    <w:rPr>
      <w:sz w:val="20"/>
      <w:szCs w:val="20"/>
    </w:rPr>
  </w:style>
  <w:style w:type="character" w:customStyle="1" w:styleId="CommentTextChar">
    <w:name w:val="Comment Text Char"/>
    <w:basedOn w:val="DefaultParagraphFont"/>
    <w:link w:val="CommentText"/>
    <w:uiPriority w:val="99"/>
    <w:semiHidden/>
    <w:rsid w:val="00FD22A0"/>
    <w:rPr>
      <w:sz w:val="20"/>
      <w:szCs w:val="20"/>
    </w:rPr>
  </w:style>
  <w:style w:type="paragraph" w:styleId="CommentSubject">
    <w:name w:val="annotation subject"/>
    <w:basedOn w:val="CommentText"/>
    <w:next w:val="CommentText"/>
    <w:link w:val="CommentSubjectChar"/>
    <w:uiPriority w:val="99"/>
    <w:semiHidden/>
    <w:unhideWhenUsed/>
    <w:rsid w:val="00FD22A0"/>
    <w:rPr>
      <w:b/>
      <w:bCs/>
    </w:rPr>
  </w:style>
  <w:style w:type="character" w:customStyle="1" w:styleId="CommentSubjectChar">
    <w:name w:val="Comment Subject Char"/>
    <w:basedOn w:val="CommentTextChar"/>
    <w:link w:val="CommentSubject"/>
    <w:uiPriority w:val="99"/>
    <w:semiHidden/>
    <w:rsid w:val="00FD22A0"/>
    <w:rPr>
      <w:b/>
      <w:bCs/>
      <w:sz w:val="20"/>
      <w:szCs w:val="20"/>
    </w:rPr>
  </w:style>
  <w:style w:type="paragraph" w:styleId="BalloonText">
    <w:name w:val="Balloon Text"/>
    <w:basedOn w:val="Normal"/>
    <w:link w:val="BalloonTextChar"/>
    <w:uiPriority w:val="99"/>
    <w:semiHidden/>
    <w:unhideWhenUsed/>
    <w:rsid w:val="00FD22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A0"/>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84038149">
      <w:bodyDiv w:val="1"/>
      <w:marLeft w:val="0"/>
      <w:marRight w:val="0"/>
      <w:marTop w:val="0"/>
      <w:marBottom w:val="0"/>
      <w:divBdr>
        <w:top w:val="none" w:sz="0" w:space="0" w:color="auto"/>
        <w:left w:val="none" w:sz="0" w:space="0" w:color="auto"/>
        <w:bottom w:val="none" w:sz="0" w:space="0" w:color="auto"/>
        <w:right w:val="none" w:sz="0" w:space="0" w:color="auto"/>
      </w:divBdr>
    </w:div>
    <w:div w:id="156305938">
      <w:bodyDiv w:val="1"/>
      <w:marLeft w:val="0"/>
      <w:marRight w:val="0"/>
      <w:marTop w:val="0"/>
      <w:marBottom w:val="0"/>
      <w:divBdr>
        <w:top w:val="none" w:sz="0" w:space="0" w:color="auto"/>
        <w:left w:val="none" w:sz="0" w:space="0" w:color="auto"/>
        <w:bottom w:val="none" w:sz="0" w:space="0" w:color="auto"/>
        <w:right w:val="none" w:sz="0" w:space="0" w:color="auto"/>
      </w:divBdr>
    </w:div>
    <w:div w:id="267396666">
      <w:bodyDiv w:val="1"/>
      <w:marLeft w:val="0"/>
      <w:marRight w:val="0"/>
      <w:marTop w:val="0"/>
      <w:marBottom w:val="0"/>
      <w:divBdr>
        <w:top w:val="none" w:sz="0" w:space="0" w:color="auto"/>
        <w:left w:val="none" w:sz="0" w:space="0" w:color="auto"/>
        <w:bottom w:val="none" w:sz="0" w:space="0" w:color="auto"/>
        <w:right w:val="none" w:sz="0" w:space="0" w:color="auto"/>
      </w:divBdr>
    </w:div>
    <w:div w:id="289169211">
      <w:bodyDiv w:val="1"/>
      <w:marLeft w:val="0"/>
      <w:marRight w:val="0"/>
      <w:marTop w:val="0"/>
      <w:marBottom w:val="0"/>
      <w:divBdr>
        <w:top w:val="none" w:sz="0" w:space="0" w:color="auto"/>
        <w:left w:val="none" w:sz="0" w:space="0" w:color="auto"/>
        <w:bottom w:val="none" w:sz="0" w:space="0" w:color="auto"/>
        <w:right w:val="none" w:sz="0" w:space="0" w:color="auto"/>
      </w:divBdr>
    </w:div>
    <w:div w:id="429938419">
      <w:bodyDiv w:val="1"/>
      <w:marLeft w:val="0"/>
      <w:marRight w:val="0"/>
      <w:marTop w:val="0"/>
      <w:marBottom w:val="0"/>
      <w:divBdr>
        <w:top w:val="none" w:sz="0" w:space="0" w:color="auto"/>
        <w:left w:val="none" w:sz="0" w:space="0" w:color="auto"/>
        <w:bottom w:val="none" w:sz="0" w:space="0" w:color="auto"/>
        <w:right w:val="none" w:sz="0" w:space="0" w:color="auto"/>
      </w:divBdr>
    </w:div>
    <w:div w:id="434204604">
      <w:bodyDiv w:val="1"/>
      <w:marLeft w:val="0"/>
      <w:marRight w:val="0"/>
      <w:marTop w:val="0"/>
      <w:marBottom w:val="0"/>
      <w:divBdr>
        <w:top w:val="none" w:sz="0" w:space="0" w:color="auto"/>
        <w:left w:val="none" w:sz="0" w:space="0" w:color="auto"/>
        <w:bottom w:val="none" w:sz="0" w:space="0" w:color="auto"/>
        <w:right w:val="none" w:sz="0" w:space="0" w:color="auto"/>
      </w:divBdr>
    </w:div>
    <w:div w:id="516651619">
      <w:bodyDiv w:val="1"/>
      <w:marLeft w:val="0"/>
      <w:marRight w:val="0"/>
      <w:marTop w:val="0"/>
      <w:marBottom w:val="0"/>
      <w:divBdr>
        <w:top w:val="none" w:sz="0" w:space="0" w:color="auto"/>
        <w:left w:val="none" w:sz="0" w:space="0" w:color="auto"/>
        <w:bottom w:val="none" w:sz="0" w:space="0" w:color="auto"/>
        <w:right w:val="none" w:sz="0" w:space="0" w:color="auto"/>
      </w:divBdr>
      <w:divsChild>
        <w:div w:id="279073823">
          <w:marLeft w:val="0"/>
          <w:marRight w:val="0"/>
          <w:marTop w:val="0"/>
          <w:marBottom w:val="0"/>
          <w:divBdr>
            <w:top w:val="none" w:sz="0" w:space="0" w:color="auto"/>
            <w:left w:val="none" w:sz="0" w:space="0" w:color="auto"/>
            <w:bottom w:val="none" w:sz="0" w:space="0" w:color="auto"/>
            <w:right w:val="none" w:sz="0" w:space="0" w:color="auto"/>
          </w:divBdr>
        </w:div>
        <w:div w:id="594439383">
          <w:marLeft w:val="0"/>
          <w:marRight w:val="0"/>
          <w:marTop w:val="0"/>
          <w:marBottom w:val="0"/>
          <w:divBdr>
            <w:top w:val="none" w:sz="0" w:space="0" w:color="auto"/>
            <w:left w:val="none" w:sz="0" w:space="0" w:color="auto"/>
            <w:bottom w:val="none" w:sz="0" w:space="0" w:color="auto"/>
            <w:right w:val="none" w:sz="0" w:space="0" w:color="auto"/>
          </w:divBdr>
          <w:divsChild>
            <w:div w:id="124317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877973">
      <w:bodyDiv w:val="1"/>
      <w:marLeft w:val="0"/>
      <w:marRight w:val="0"/>
      <w:marTop w:val="0"/>
      <w:marBottom w:val="0"/>
      <w:divBdr>
        <w:top w:val="none" w:sz="0" w:space="0" w:color="auto"/>
        <w:left w:val="none" w:sz="0" w:space="0" w:color="auto"/>
        <w:bottom w:val="none" w:sz="0" w:space="0" w:color="auto"/>
        <w:right w:val="none" w:sz="0" w:space="0" w:color="auto"/>
      </w:divBdr>
    </w:div>
    <w:div w:id="627929305">
      <w:bodyDiv w:val="1"/>
      <w:marLeft w:val="0"/>
      <w:marRight w:val="0"/>
      <w:marTop w:val="0"/>
      <w:marBottom w:val="0"/>
      <w:divBdr>
        <w:top w:val="none" w:sz="0" w:space="0" w:color="auto"/>
        <w:left w:val="none" w:sz="0" w:space="0" w:color="auto"/>
        <w:bottom w:val="none" w:sz="0" w:space="0" w:color="auto"/>
        <w:right w:val="none" w:sz="0" w:space="0" w:color="auto"/>
      </w:divBdr>
    </w:div>
    <w:div w:id="656302845">
      <w:bodyDiv w:val="1"/>
      <w:marLeft w:val="0"/>
      <w:marRight w:val="0"/>
      <w:marTop w:val="0"/>
      <w:marBottom w:val="0"/>
      <w:divBdr>
        <w:top w:val="none" w:sz="0" w:space="0" w:color="auto"/>
        <w:left w:val="none" w:sz="0" w:space="0" w:color="auto"/>
        <w:bottom w:val="none" w:sz="0" w:space="0" w:color="auto"/>
        <w:right w:val="none" w:sz="0" w:space="0" w:color="auto"/>
      </w:divBdr>
    </w:div>
    <w:div w:id="705520604">
      <w:bodyDiv w:val="1"/>
      <w:marLeft w:val="0"/>
      <w:marRight w:val="0"/>
      <w:marTop w:val="0"/>
      <w:marBottom w:val="0"/>
      <w:divBdr>
        <w:top w:val="none" w:sz="0" w:space="0" w:color="auto"/>
        <w:left w:val="none" w:sz="0" w:space="0" w:color="auto"/>
        <w:bottom w:val="none" w:sz="0" w:space="0" w:color="auto"/>
        <w:right w:val="none" w:sz="0" w:space="0" w:color="auto"/>
      </w:divBdr>
    </w:div>
    <w:div w:id="983047708">
      <w:bodyDiv w:val="1"/>
      <w:marLeft w:val="0"/>
      <w:marRight w:val="0"/>
      <w:marTop w:val="0"/>
      <w:marBottom w:val="0"/>
      <w:divBdr>
        <w:top w:val="none" w:sz="0" w:space="0" w:color="auto"/>
        <w:left w:val="none" w:sz="0" w:space="0" w:color="auto"/>
        <w:bottom w:val="none" w:sz="0" w:space="0" w:color="auto"/>
        <w:right w:val="none" w:sz="0" w:space="0" w:color="auto"/>
      </w:divBdr>
      <w:divsChild>
        <w:div w:id="1110970158">
          <w:marLeft w:val="0"/>
          <w:marRight w:val="0"/>
          <w:marTop w:val="0"/>
          <w:marBottom w:val="0"/>
          <w:divBdr>
            <w:top w:val="none" w:sz="0" w:space="0" w:color="auto"/>
            <w:left w:val="none" w:sz="0" w:space="0" w:color="auto"/>
            <w:bottom w:val="none" w:sz="0" w:space="0" w:color="auto"/>
            <w:right w:val="none" w:sz="0" w:space="0" w:color="auto"/>
          </w:divBdr>
        </w:div>
        <w:div w:id="474447185">
          <w:marLeft w:val="0"/>
          <w:marRight w:val="0"/>
          <w:marTop w:val="0"/>
          <w:marBottom w:val="0"/>
          <w:divBdr>
            <w:top w:val="none" w:sz="0" w:space="0" w:color="auto"/>
            <w:left w:val="none" w:sz="0" w:space="0" w:color="auto"/>
            <w:bottom w:val="none" w:sz="0" w:space="0" w:color="auto"/>
            <w:right w:val="none" w:sz="0" w:space="0" w:color="auto"/>
          </w:divBdr>
        </w:div>
      </w:divsChild>
    </w:div>
    <w:div w:id="988902796">
      <w:bodyDiv w:val="1"/>
      <w:marLeft w:val="0"/>
      <w:marRight w:val="0"/>
      <w:marTop w:val="0"/>
      <w:marBottom w:val="0"/>
      <w:divBdr>
        <w:top w:val="none" w:sz="0" w:space="0" w:color="auto"/>
        <w:left w:val="none" w:sz="0" w:space="0" w:color="auto"/>
        <w:bottom w:val="none" w:sz="0" w:space="0" w:color="auto"/>
        <w:right w:val="none" w:sz="0" w:space="0" w:color="auto"/>
      </w:divBdr>
    </w:div>
    <w:div w:id="1049451123">
      <w:bodyDiv w:val="1"/>
      <w:marLeft w:val="0"/>
      <w:marRight w:val="0"/>
      <w:marTop w:val="0"/>
      <w:marBottom w:val="0"/>
      <w:divBdr>
        <w:top w:val="none" w:sz="0" w:space="0" w:color="auto"/>
        <w:left w:val="none" w:sz="0" w:space="0" w:color="auto"/>
        <w:bottom w:val="none" w:sz="0" w:space="0" w:color="auto"/>
        <w:right w:val="none" w:sz="0" w:space="0" w:color="auto"/>
      </w:divBdr>
      <w:divsChild>
        <w:div w:id="8218209">
          <w:marLeft w:val="0"/>
          <w:marRight w:val="0"/>
          <w:marTop w:val="240"/>
          <w:marBottom w:val="210"/>
          <w:divBdr>
            <w:top w:val="none" w:sz="0" w:space="0" w:color="auto"/>
            <w:left w:val="none" w:sz="0" w:space="0" w:color="auto"/>
            <w:bottom w:val="none" w:sz="0" w:space="0" w:color="auto"/>
            <w:right w:val="none" w:sz="0" w:space="0" w:color="auto"/>
          </w:divBdr>
        </w:div>
        <w:div w:id="823007480">
          <w:marLeft w:val="240"/>
          <w:marRight w:val="0"/>
          <w:marTop w:val="0"/>
          <w:marBottom w:val="240"/>
          <w:divBdr>
            <w:top w:val="none" w:sz="0" w:space="0" w:color="auto"/>
            <w:left w:val="none" w:sz="0" w:space="0" w:color="auto"/>
            <w:bottom w:val="none" w:sz="0" w:space="0" w:color="auto"/>
            <w:right w:val="none" w:sz="0" w:space="0" w:color="auto"/>
          </w:divBdr>
        </w:div>
      </w:divsChild>
    </w:div>
    <w:div w:id="1131096640">
      <w:bodyDiv w:val="1"/>
      <w:marLeft w:val="0"/>
      <w:marRight w:val="0"/>
      <w:marTop w:val="0"/>
      <w:marBottom w:val="0"/>
      <w:divBdr>
        <w:top w:val="none" w:sz="0" w:space="0" w:color="auto"/>
        <w:left w:val="none" w:sz="0" w:space="0" w:color="auto"/>
        <w:bottom w:val="none" w:sz="0" w:space="0" w:color="auto"/>
        <w:right w:val="none" w:sz="0" w:space="0" w:color="auto"/>
      </w:divBdr>
      <w:divsChild>
        <w:div w:id="1353147117">
          <w:marLeft w:val="0"/>
          <w:marRight w:val="0"/>
          <w:marTop w:val="0"/>
          <w:marBottom w:val="0"/>
          <w:divBdr>
            <w:top w:val="none" w:sz="0" w:space="0" w:color="auto"/>
            <w:left w:val="none" w:sz="0" w:space="0" w:color="auto"/>
            <w:bottom w:val="none" w:sz="0" w:space="0" w:color="auto"/>
            <w:right w:val="none" w:sz="0" w:space="0" w:color="auto"/>
          </w:divBdr>
        </w:div>
        <w:div w:id="1661469501">
          <w:marLeft w:val="0"/>
          <w:marRight w:val="0"/>
          <w:marTop w:val="0"/>
          <w:marBottom w:val="0"/>
          <w:divBdr>
            <w:top w:val="none" w:sz="0" w:space="0" w:color="auto"/>
            <w:left w:val="none" w:sz="0" w:space="0" w:color="auto"/>
            <w:bottom w:val="none" w:sz="0" w:space="0" w:color="auto"/>
            <w:right w:val="none" w:sz="0" w:space="0" w:color="auto"/>
          </w:divBdr>
          <w:divsChild>
            <w:div w:id="102282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391809">
      <w:bodyDiv w:val="1"/>
      <w:marLeft w:val="0"/>
      <w:marRight w:val="0"/>
      <w:marTop w:val="0"/>
      <w:marBottom w:val="0"/>
      <w:divBdr>
        <w:top w:val="none" w:sz="0" w:space="0" w:color="auto"/>
        <w:left w:val="none" w:sz="0" w:space="0" w:color="auto"/>
        <w:bottom w:val="none" w:sz="0" w:space="0" w:color="auto"/>
        <w:right w:val="none" w:sz="0" w:space="0" w:color="auto"/>
      </w:divBdr>
    </w:div>
    <w:div w:id="1238248489">
      <w:bodyDiv w:val="1"/>
      <w:marLeft w:val="0"/>
      <w:marRight w:val="0"/>
      <w:marTop w:val="0"/>
      <w:marBottom w:val="0"/>
      <w:divBdr>
        <w:top w:val="none" w:sz="0" w:space="0" w:color="auto"/>
        <w:left w:val="none" w:sz="0" w:space="0" w:color="auto"/>
        <w:bottom w:val="none" w:sz="0" w:space="0" w:color="auto"/>
        <w:right w:val="none" w:sz="0" w:space="0" w:color="auto"/>
      </w:divBdr>
    </w:div>
    <w:div w:id="1259757626">
      <w:bodyDiv w:val="1"/>
      <w:marLeft w:val="0"/>
      <w:marRight w:val="0"/>
      <w:marTop w:val="0"/>
      <w:marBottom w:val="0"/>
      <w:divBdr>
        <w:top w:val="none" w:sz="0" w:space="0" w:color="auto"/>
        <w:left w:val="none" w:sz="0" w:space="0" w:color="auto"/>
        <w:bottom w:val="none" w:sz="0" w:space="0" w:color="auto"/>
        <w:right w:val="none" w:sz="0" w:space="0" w:color="auto"/>
      </w:divBdr>
    </w:div>
    <w:div w:id="1385714981">
      <w:bodyDiv w:val="1"/>
      <w:marLeft w:val="0"/>
      <w:marRight w:val="0"/>
      <w:marTop w:val="0"/>
      <w:marBottom w:val="0"/>
      <w:divBdr>
        <w:top w:val="none" w:sz="0" w:space="0" w:color="auto"/>
        <w:left w:val="none" w:sz="0" w:space="0" w:color="auto"/>
        <w:bottom w:val="none" w:sz="0" w:space="0" w:color="auto"/>
        <w:right w:val="none" w:sz="0" w:space="0" w:color="auto"/>
      </w:divBdr>
      <w:divsChild>
        <w:div w:id="131366040">
          <w:marLeft w:val="0"/>
          <w:marRight w:val="0"/>
          <w:marTop w:val="0"/>
          <w:marBottom w:val="0"/>
          <w:divBdr>
            <w:top w:val="single" w:sz="6" w:space="7" w:color="E5E5E5"/>
            <w:left w:val="none" w:sz="0" w:space="0" w:color="auto"/>
            <w:bottom w:val="none" w:sz="0" w:space="0" w:color="auto"/>
            <w:right w:val="none" w:sz="0" w:space="0" w:color="auto"/>
          </w:divBdr>
        </w:div>
        <w:div w:id="237596462">
          <w:marLeft w:val="0"/>
          <w:marRight w:val="0"/>
          <w:marTop w:val="0"/>
          <w:marBottom w:val="0"/>
          <w:divBdr>
            <w:top w:val="none" w:sz="0" w:space="0" w:color="auto"/>
            <w:left w:val="none" w:sz="0" w:space="0" w:color="auto"/>
            <w:bottom w:val="none" w:sz="0" w:space="0" w:color="auto"/>
            <w:right w:val="none" w:sz="0" w:space="0" w:color="auto"/>
          </w:divBdr>
          <w:divsChild>
            <w:div w:id="938101058">
              <w:marLeft w:val="0"/>
              <w:marRight w:val="0"/>
              <w:marTop w:val="0"/>
              <w:marBottom w:val="0"/>
              <w:divBdr>
                <w:top w:val="none" w:sz="0" w:space="0" w:color="auto"/>
                <w:left w:val="none" w:sz="0" w:space="0" w:color="auto"/>
                <w:bottom w:val="none" w:sz="0" w:space="0" w:color="auto"/>
                <w:right w:val="none" w:sz="0" w:space="0" w:color="auto"/>
              </w:divBdr>
              <w:divsChild>
                <w:div w:id="1626538676">
                  <w:marLeft w:val="0"/>
                  <w:marRight w:val="0"/>
                  <w:marTop w:val="0"/>
                  <w:marBottom w:val="0"/>
                  <w:divBdr>
                    <w:top w:val="none" w:sz="0" w:space="0" w:color="auto"/>
                    <w:left w:val="none" w:sz="0" w:space="0" w:color="auto"/>
                    <w:bottom w:val="none" w:sz="0" w:space="0" w:color="auto"/>
                    <w:right w:val="none" w:sz="0" w:space="0" w:color="auto"/>
                  </w:divBdr>
                  <w:divsChild>
                    <w:div w:id="31642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7229800">
      <w:bodyDiv w:val="1"/>
      <w:marLeft w:val="0"/>
      <w:marRight w:val="0"/>
      <w:marTop w:val="0"/>
      <w:marBottom w:val="0"/>
      <w:divBdr>
        <w:top w:val="none" w:sz="0" w:space="0" w:color="auto"/>
        <w:left w:val="none" w:sz="0" w:space="0" w:color="auto"/>
        <w:bottom w:val="none" w:sz="0" w:space="0" w:color="auto"/>
        <w:right w:val="none" w:sz="0" w:space="0" w:color="auto"/>
      </w:divBdr>
    </w:div>
    <w:div w:id="1676498322">
      <w:bodyDiv w:val="1"/>
      <w:marLeft w:val="0"/>
      <w:marRight w:val="0"/>
      <w:marTop w:val="0"/>
      <w:marBottom w:val="0"/>
      <w:divBdr>
        <w:top w:val="none" w:sz="0" w:space="0" w:color="auto"/>
        <w:left w:val="none" w:sz="0" w:space="0" w:color="auto"/>
        <w:bottom w:val="none" w:sz="0" w:space="0" w:color="auto"/>
        <w:right w:val="none" w:sz="0" w:space="0" w:color="auto"/>
      </w:divBdr>
    </w:div>
    <w:div w:id="1697465683">
      <w:bodyDiv w:val="1"/>
      <w:marLeft w:val="0"/>
      <w:marRight w:val="0"/>
      <w:marTop w:val="0"/>
      <w:marBottom w:val="0"/>
      <w:divBdr>
        <w:top w:val="none" w:sz="0" w:space="0" w:color="auto"/>
        <w:left w:val="none" w:sz="0" w:space="0" w:color="auto"/>
        <w:bottom w:val="none" w:sz="0" w:space="0" w:color="auto"/>
        <w:right w:val="none" w:sz="0" w:space="0" w:color="auto"/>
      </w:divBdr>
    </w:div>
    <w:div w:id="1725368023">
      <w:bodyDiv w:val="1"/>
      <w:marLeft w:val="0"/>
      <w:marRight w:val="0"/>
      <w:marTop w:val="0"/>
      <w:marBottom w:val="0"/>
      <w:divBdr>
        <w:top w:val="none" w:sz="0" w:space="0" w:color="auto"/>
        <w:left w:val="none" w:sz="0" w:space="0" w:color="auto"/>
        <w:bottom w:val="none" w:sz="0" w:space="0" w:color="auto"/>
        <w:right w:val="none" w:sz="0" w:space="0" w:color="auto"/>
      </w:divBdr>
    </w:div>
    <w:div w:id="1800999894">
      <w:bodyDiv w:val="1"/>
      <w:marLeft w:val="0"/>
      <w:marRight w:val="0"/>
      <w:marTop w:val="0"/>
      <w:marBottom w:val="0"/>
      <w:divBdr>
        <w:top w:val="none" w:sz="0" w:space="0" w:color="auto"/>
        <w:left w:val="none" w:sz="0" w:space="0" w:color="auto"/>
        <w:bottom w:val="none" w:sz="0" w:space="0" w:color="auto"/>
        <w:right w:val="none" w:sz="0" w:space="0" w:color="auto"/>
      </w:divBdr>
    </w:div>
    <w:div w:id="1937012639">
      <w:bodyDiv w:val="1"/>
      <w:marLeft w:val="0"/>
      <w:marRight w:val="0"/>
      <w:marTop w:val="0"/>
      <w:marBottom w:val="0"/>
      <w:divBdr>
        <w:top w:val="none" w:sz="0" w:space="0" w:color="auto"/>
        <w:left w:val="none" w:sz="0" w:space="0" w:color="auto"/>
        <w:bottom w:val="none" w:sz="0" w:space="0" w:color="auto"/>
        <w:right w:val="none" w:sz="0" w:space="0" w:color="auto"/>
      </w:divBdr>
    </w:div>
    <w:div w:id="1982422893">
      <w:bodyDiv w:val="1"/>
      <w:marLeft w:val="0"/>
      <w:marRight w:val="0"/>
      <w:marTop w:val="0"/>
      <w:marBottom w:val="0"/>
      <w:divBdr>
        <w:top w:val="none" w:sz="0" w:space="0" w:color="auto"/>
        <w:left w:val="none" w:sz="0" w:space="0" w:color="auto"/>
        <w:bottom w:val="none" w:sz="0" w:space="0" w:color="auto"/>
        <w:right w:val="none" w:sz="0" w:space="0" w:color="auto"/>
      </w:divBdr>
    </w:div>
    <w:div w:id="2031639225">
      <w:bodyDiv w:val="1"/>
      <w:marLeft w:val="0"/>
      <w:marRight w:val="0"/>
      <w:marTop w:val="0"/>
      <w:marBottom w:val="0"/>
      <w:divBdr>
        <w:top w:val="none" w:sz="0" w:space="0" w:color="auto"/>
        <w:left w:val="none" w:sz="0" w:space="0" w:color="auto"/>
        <w:bottom w:val="none" w:sz="0" w:space="0" w:color="auto"/>
        <w:right w:val="none" w:sz="0" w:space="0" w:color="auto"/>
      </w:divBdr>
    </w:div>
    <w:div w:id="2122264602">
      <w:bodyDiv w:val="1"/>
      <w:marLeft w:val="0"/>
      <w:marRight w:val="0"/>
      <w:marTop w:val="0"/>
      <w:marBottom w:val="0"/>
      <w:divBdr>
        <w:top w:val="none" w:sz="0" w:space="0" w:color="auto"/>
        <w:left w:val="none" w:sz="0" w:space="0" w:color="auto"/>
        <w:bottom w:val="none" w:sz="0" w:space="0" w:color="auto"/>
        <w:right w:val="none" w:sz="0" w:space="0" w:color="auto"/>
      </w:divBdr>
    </w:div>
    <w:div w:id="2136630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wp-content/uploads/2018/03/Full-Lives-Equal-Access.pdf" TargetMode="External"/><Relationship Id="rId13" Type="http://schemas.openxmlformats.org/officeDocument/2006/relationships/hyperlink" Target="https://publications.parliament.uk/pa/cm200506/cmselect/cmeduski/478/47805.htm" TargetMode="External"/><Relationship Id="rId18" Type="http://schemas.openxmlformats.org/officeDocument/2006/relationships/hyperlink" Target="https://gov.wales/sites/default/files/publications/2018-03/special-educational-needs-code-of-practice-for-wales.pdf" TargetMode="External"/><Relationship Id="rId3" Type="http://schemas.openxmlformats.org/officeDocument/2006/relationships/customXml" Target="../customXml/item3.xml"/><Relationship Id="rId21" Type="http://schemas.openxmlformats.org/officeDocument/2006/relationships/hyperlink" Target="https://gov.wales/sites/default/files/publications/2018-09/additional-learning-needs-aln-transformation-programme-v2.pdf" TargetMode="External"/><Relationship Id="rId7" Type="http://schemas.openxmlformats.org/officeDocument/2006/relationships/webSettings" Target="webSettings.xml"/><Relationship Id="rId12" Type="http://schemas.openxmlformats.org/officeDocument/2006/relationships/hyperlink" Target="http://www.legislation.gov.uk/ukpga/1996/56/section/10" TargetMode="External"/><Relationship Id="rId17" Type="http://schemas.openxmlformats.org/officeDocument/2006/relationships/hyperlink" Target="https://gov.wales/sites/default/files/publications/2018-06/additional-learning-needs-and-education-tribunal-wales-act-2018-implementation-guide-for-individual-development-plans.pdf" TargetMode="External"/><Relationship Id="rId2" Type="http://schemas.openxmlformats.org/officeDocument/2006/relationships/customXml" Target="../customXml/item2.xml"/><Relationship Id="rId16" Type="http://schemas.openxmlformats.org/officeDocument/2006/relationships/hyperlink" Target="https://gov.wales/sites/default/files/publications/2018-03/special-educational-needs-code-of-practice-for-wales.pdf" TargetMode="External"/><Relationship Id="rId20" Type="http://schemas.openxmlformats.org/officeDocument/2006/relationships/hyperlink" Target="https://dera.ioe.ac.uk/28769/1/170316-role-of-the-sen-coordinator-en.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napcymru.org/help-for-families/sen-what-does-it-mean/"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gov.wales/sites/default/files/publications/2018-03/special-educational-needs-code-of-practice-for-wales.pdf" TargetMode="External"/><Relationship Id="rId23" Type="http://schemas.openxmlformats.org/officeDocument/2006/relationships/fontTable" Target="fontTable.xml"/><Relationship Id="rId10" Type="http://schemas.openxmlformats.org/officeDocument/2006/relationships/hyperlink" Target="https://dera.ioe.ac.uk/23945/7/15-025_Redacted.pdf" TargetMode="External"/><Relationship Id="rId19" Type="http://schemas.openxmlformats.org/officeDocument/2006/relationships/hyperlink" Target="https://gov.wales/sites/default/files/publications/2018-05/guidance-inclusion-and-pupil-support__0.pdf" TargetMode="External"/><Relationship Id="rId4" Type="http://schemas.openxmlformats.org/officeDocument/2006/relationships/numbering" Target="numbering.xml"/><Relationship Id="rId9" Type="http://schemas.openxmlformats.org/officeDocument/2006/relationships/hyperlink" Target="https://repository.uwtsd.ac.uk/779/1/Jones,%20Mary-Lyn%20Patricia%20(2016)%20The%20road%20to%201944.docx.pdf" TargetMode="External"/><Relationship Id="rId14" Type="http://schemas.openxmlformats.org/officeDocument/2006/relationships/hyperlink" Target="https://www.unicef.org.uk/what-we-do/un-convention-child--rights/" TargetMode="External"/><Relationship Id="rId22" Type="http://schemas.openxmlformats.org/officeDocument/2006/relationships/hyperlink" Target="http://www.assembly.wales/Research%20Documents/16-059%20SEN/16-059-Web-%20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8" ma:contentTypeDescription="Create a new document." ma:contentTypeScope="" ma:versionID="94e325bcfa86ba3afdaa10082674ac67">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40bb6ebd9539cb9ec0d713befcc6d91f"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9B13D0-C56D-40B7-BDAB-F7C95B695E20}">
  <ds:schemaRefs>
    <ds:schemaRef ds:uri="http://schemas.microsoft.com/sharepoint/v3/contenttype/forms"/>
  </ds:schemaRefs>
</ds:datastoreItem>
</file>

<file path=customXml/itemProps2.xml><?xml version="1.0" encoding="utf-8"?>
<ds:datastoreItem xmlns:ds="http://schemas.openxmlformats.org/officeDocument/2006/customXml" ds:itemID="{F384DB36-E105-44E0-8CE7-8D4428B45A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445F5F-E55C-4993-8DF4-63C140A1565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3391</Words>
  <Characters>19333</Characters>
  <Application>Microsoft Office Word</Application>
  <DocSecurity>0</DocSecurity>
  <Lines>161</Lines>
  <Paragraphs>45</Paragraphs>
  <ScaleCrop>false</ScaleCrop>
  <Company>Deftones</Company>
  <LinksUpToDate>false</LinksUpToDate>
  <CharactersWithSpaces>22679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User</cp:lastModifiedBy>
  <cp:revision>2</cp:revision>
  <dcterms:created xsi:type="dcterms:W3CDTF">2019-10-21T16:15:00Z</dcterms:created>
  <dcterms:modified xsi:type="dcterms:W3CDTF">2019-10-21T16:15:00Z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