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605F" w:rsidRDefault="006E605F">
      <w:r>
        <w:t xml:space="preserve">Household archaeology is the investigation into the archaeological remains of the household, it is useful in regards to helping archaeologists understand the way in which the day to day lives of ancient peoples functioned </w:t>
      </w:r>
      <w:r w:rsidR="00EC53A9">
        <w:t>when there might otherwise be little to no other way of understanding the way that they lived</w:t>
      </w:r>
      <w:sdt>
        <w:sdtPr>
          <w:id w:val="-1863038566"/>
          <w:citation/>
        </w:sdtPr>
        <w:sdtContent>
          <w:r w:rsidR="001A3260">
            <w:fldChar w:fldCharType="begin"/>
          </w:r>
          <w:r w:rsidR="001A3260">
            <w:instrText xml:space="preserve"> CITATION Wil82 \l 2057 </w:instrText>
          </w:r>
          <w:r w:rsidR="001A3260">
            <w:fldChar w:fldCharType="separate"/>
          </w:r>
          <w:r w:rsidR="001A3260">
            <w:rPr>
              <w:noProof/>
            </w:rPr>
            <w:t xml:space="preserve"> </w:t>
          </w:r>
          <w:r w:rsidR="001A3260" w:rsidRPr="001A3260">
            <w:rPr>
              <w:noProof/>
            </w:rPr>
            <w:t>(Wilk &amp; Rathje, 1982)</w:t>
          </w:r>
          <w:r w:rsidR="001A3260">
            <w:fldChar w:fldCharType="end"/>
          </w:r>
        </w:sdtContent>
      </w:sdt>
      <w:r w:rsidR="00EC53A9">
        <w:t>.</w:t>
      </w:r>
      <w:r w:rsidR="00867F12">
        <w:t xml:space="preserve"> Household archaeology is also useful for archaeologists in helping them to define the concept of a household, and in helping them to understand the way the internal structures of the household might have effect the greater social structure of the world that ancient peoples lived in</w:t>
      </w:r>
      <w:sdt>
        <w:sdtPr>
          <w:id w:val="-1499496485"/>
          <w:citation/>
        </w:sdtPr>
        <w:sdtContent>
          <w:r w:rsidR="001A3260">
            <w:fldChar w:fldCharType="begin"/>
          </w:r>
          <w:r w:rsidR="001A3260">
            <w:instrText xml:space="preserve"> CITATION Wil82 \l 2057 </w:instrText>
          </w:r>
          <w:r w:rsidR="001A3260">
            <w:fldChar w:fldCharType="separate"/>
          </w:r>
          <w:r w:rsidR="001A3260">
            <w:rPr>
              <w:noProof/>
            </w:rPr>
            <w:t xml:space="preserve"> </w:t>
          </w:r>
          <w:r w:rsidR="001A3260" w:rsidRPr="001A3260">
            <w:rPr>
              <w:noProof/>
            </w:rPr>
            <w:t>(Wilk &amp; Rathje, 1982)</w:t>
          </w:r>
          <w:r w:rsidR="001A3260">
            <w:fldChar w:fldCharType="end"/>
          </w:r>
        </w:sdtContent>
      </w:sdt>
      <w:r w:rsidR="00867F12">
        <w:t>. From a modern Western perspective and thus the way in which Western scholars have viewed the structure of the household is largely patriarchal</w:t>
      </w:r>
      <w:sdt>
        <w:sdtPr>
          <w:id w:val="771741024"/>
          <w:citation/>
        </w:sdtPr>
        <w:sdtContent>
          <w:r w:rsidR="001A3260">
            <w:fldChar w:fldCharType="begin"/>
          </w:r>
          <w:r w:rsidR="001A3260">
            <w:instrText xml:space="preserve"> CITATION Rut97 \l 2057 </w:instrText>
          </w:r>
          <w:r w:rsidR="001A3260">
            <w:fldChar w:fldCharType="separate"/>
          </w:r>
          <w:r w:rsidR="001A3260">
            <w:rPr>
              <w:noProof/>
            </w:rPr>
            <w:t xml:space="preserve"> </w:t>
          </w:r>
          <w:r w:rsidR="001A3260" w:rsidRPr="001A3260">
            <w:rPr>
              <w:noProof/>
            </w:rPr>
            <w:t>(Wodak, 1997)</w:t>
          </w:r>
          <w:r w:rsidR="001A3260">
            <w:fldChar w:fldCharType="end"/>
          </w:r>
        </w:sdtContent>
      </w:sdt>
      <w:r w:rsidR="00867F12">
        <w:t>. With the men in the household being the main economic providers of the household, with the women being the main domestic and social support of the household. However, when attempting to transpose this view onto ancient civilisations, this way of perceiving the world can cause a certain level of unintentional bias in the way that the data is interpreted</w:t>
      </w:r>
      <w:sdt>
        <w:sdtPr>
          <w:id w:val="-200173272"/>
          <w:citation/>
        </w:sdtPr>
        <w:sdtContent>
          <w:r w:rsidR="001A3260">
            <w:fldChar w:fldCharType="begin"/>
          </w:r>
          <w:r w:rsidR="001A3260">
            <w:instrText xml:space="preserve"> CITATION Rut97 \l 2057 </w:instrText>
          </w:r>
          <w:r w:rsidR="001A3260">
            <w:fldChar w:fldCharType="separate"/>
          </w:r>
          <w:r w:rsidR="001A3260">
            <w:rPr>
              <w:noProof/>
            </w:rPr>
            <w:t xml:space="preserve"> </w:t>
          </w:r>
          <w:r w:rsidR="001A3260" w:rsidRPr="001A3260">
            <w:rPr>
              <w:noProof/>
            </w:rPr>
            <w:t>(Wodak, 1997)</w:t>
          </w:r>
          <w:r w:rsidR="001A3260">
            <w:fldChar w:fldCharType="end"/>
          </w:r>
        </w:sdtContent>
      </w:sdt>
      <w:r w:rsidR="00867F12">
        <w:t>. This is due to the way that it is highly difficult to view the past with a gaze that is not effected by culturally ingrained views that have been learned since childhood. In this, Household archaeology provides a set number of structures, be they influenced by the biases of those that have created them or not, that by existing bring attention to facts that can be challenged by the scholar interested in the topic of the way that households function in the past</w:t>
      </w:r>
      <w:sdt>
        <w:sdtPr>
          <w:id w:val="1063754249"/>
          <w:citation/>
        </w:sdtPr>
        <w:sdtContent>
          <w:r w:rsidR="001A3260">
            <w:fldChar w:fldCharType="begin"/>
          </w:r>
          <w:r w:rsidR="001A3260">
            <w:instrText xml:space="preserve"> CITATION Wil82 \l 2057 </w:instrText>
          </w:r>
          <w:r w:rsidR="001A3260">
            <w:fldChar w:fldCharType="separate"/>
          </w:r>
          <w:r w:rsidR="001A3260">
            <w:rPr>
              <w:noProof/>
            </w:rPr>
            <w:t xml:space="preserve"> </w:t>
          </w:r>
          <w:r w:rsidR="001A3260" w:rsidRPr="001A3260">
            <w:rPr>
              <w:noProof/>
            </w:rPr>
            <w:t>(Wilk &amp; Rathje, 1982)</w:t>
          </w:r>
          <w:r w:rsidR="001A3260">
            <w:fldChar w:fldCharType="end"/>
          </w:r>
        </w:sdtContent>
      </w:sdt>
      <w:r w:rsidR="00867F12">
        <w:t xml:space="preserve">. </w:t>
      </w:r>
    </w:p>
    <w:p w:rsidR="00867F12" w:rsidRDefault="00210437">
      <w:r>
        <w:t>The concept of the household can be broken down into several different sectors, however the greatest defining part of a household is that a household must be able to be considered to be a residence</w:t>
      </w:r>
      <w:sdt>
        <w:sdtPr>
          <w:id w:val="723949163"/>
          <w:citation/>
        </w:sdtPr>
        <w:sdtContent>
          <w:r w:rsidR="001A3260">
            <w:fldChar w:fldCharType="begin"/>
          </w:r>
          <w:r w:rsidR="001A3260">
            <w:instrText xml:space="preserve"> CITATION Wil82 \l 2057 </w:instrText>
          </w:r>
          <w:r w:rsidR="001A3260">
            <w:fldChar w:fldCharType="separate"/>
          </w:r>
          <w:r w:rsidR="001A3260">
            <w:rPr>
              <w:noProof/>
            </w:rPr>
            <w:t xml:space="preserve"> </w:t>
          </w:r>
          <w:r w:rsidR="001A3260" w:rsidRPr="001A3260">
            <w:rPr>
              <w:noProof/>
            </w:rPr>
            <w:t>(Wilk &amp; Rathje, 1982)</w:t>
          </w:r>
          <w:r w:rsidR="001A3260">
            <w:fldChar w:fldCharType="end"/>
          </w:r>
        </w:sdtContent>
      </w:sdt>
      <w:r w:rsidR="00970EB1">
        <w:t>. Somewhere where a number of people live together, be it in a static location or a location which might move about the landscape</w:t>
      </w:r>
      <w:r>
        <w:t xml:space="preserve">. Whether the residence in question is one belonging to a specific group of people, such as a family, kinship group or a group of otherwise associated people, or if it is a symbolic residence such as in the way a shrine or temple might be the residence of a god, largely depends on the way in which the society </w:t>
      </w:r>
      <w:r w:rsidR="00642200">
        <w:t xml:space="preserve">and culture </w:t>
      </w:r>
      <w:r>
        <w:t>the household is located</w:t>
      </w:r>
      <w:r w:rsidR="00642200">
        <w:t xml:space="preserve"> in</w:t>
      </w:r>
      <w:r>
        <w:t xml:space="preserve"> is structured. As depending on the society, the meaning of a household might vary depending on both the culture of the society, and upon the culture from which the archaeologist who has excavated the site has originated from</w:t>
      </w:r>
      <w:sdt>
        <w:sdtPr>
          <w:id w:val="243931740"/>
          <w:citation/>
        </w:sdtPr>
        <w:sdtContent>
          <w:r w:rsidR="001A3260">
            <w:fldChar w:fldCharType="begin"/>
          </w:r>
          <w:r w:rsidR="001A3260">
            <w:instrText xml:space="preserve"> CITATION All99 \l 2057 </w:instrText>
          </w:r>
          <w:r w:rsidR="001A3260">
            <w:fldChar w:fldCharType="separate"/>
          </w:r>
          <w:r w:rsidR="001A3260">
            <w:rPr>
              <w:noProof/>
            </w:rPr>
            <w:t xml:space="preserve"> </w:t>
          </w:r>
          <w:r w:rsidR="001A3260" w:rsidRPr="001A3260">
            <w:rPr>
              <w:noProof/>
            </w:rPr>
            <w:t>(Allison, 1999)</w:t>
          </w:r>
          <w:r w:rsidR="001A3260">
            <w:fldChar w:fldCharType="end"/>
          </w:r>
        </w:sdtContent>
      </w:sdt>
      <w:r>
        <w:t xml:space="preserve">. </w:t>
      </w:r>
      <w:r w:rsidR="00887958">
        <w:t>The different sectors within a household, may be comprised of different factors, each under the purview of a different member of the household. For example, outside economic factors of the household, as with many within Western society, might be the purview of the men of the household. Whereas the day to day running of a household might be under auspices of the women</w:t>
      </w:r>
      <w:sdt>
        <w:sdtPr>
          <w:id w:val="-1798837999"/>
          <w:citation/>
        </w:sdtPr>
        <w:sdtContent>
          <w:r w:rsidR="001A3260">
            <w:fldChar w:fldCharType="begin"/>
          </w:r>
          <w:r w:rsidR="001A3260">
            <w:instrText xml:space="preserve"> CITATION All99 \l 2057 </w:instrText>
          </w:r>
          <w:r w:rsidR="001A3260">
            <w:fldChar w:fldCharType="separate"/>
          </w:r>
          <w:r w:rsidR="001A3260">
            <w:rPr>
              <w:noProof/>
            </w:rPr>
            <w:t xml:space="preserve"> </w:t>
          </w:r>
          <w:r w:rsidR="001A3260" w:rsidRPr="001A3260">
            <w:rPr>
              <w:noProof/>
            </w:rPr>
            <w:t>(Allison, 1999)</w:t>
          </w:r>
          <w:r w:rsidR="001A3260">
            <w:fldChar w:fldCharType="end"/>
          </w:r>
        </w:sdtContent>
      </w:sdt>
      <w:r w:rsidR="00887958">
        <w:t xml:space="preserve">. </w:t>
      </w:r>
      <w:r w:rsidR="00970EB1">
        <w:t xml:space="preserve">Whilst the way in which each sector of the household might be run could differ </w:t>
      </w:r>
      <w:r w:rsidR="00FF2B2A">
        <w:t xml:space="preserve">from society to society and from household to household, the nature of households as residences allows there to be a level of exploration into the cultural differences that effect the structure of households, and ensures that household archaeology as a discipline is a </w:t>
      </w:r>
      <w:r w:rsidR="00866403">
        <w:t>continually evolving and useful tool in the study of ancient societies</w:t>
      </w:r>
      <w:sdt>
        <w:sdtPr>
          <w:id w:val="557600113"/>
          <w:citation/>
        </w:sdtPr>
        <w:sdtContent>
          <w:r w:rsidR="001A3260">
            <w:fldChar w:fldCharType="begin"/>
          </w:r>
          <w:r w:rsidR="001A3260">
            <w:instrText xml:space="preserve"> CITATION All99 \l 2057 </w:instrText>
          </w:r>
          <w:r w:rsidR="001A3260">
            <w:fldChar w:fldCharType="separate"/>
          </w:r>
          <w:r w:rsidR="001A3260">
            <w:rPr>
              <w:noProof/>
            </w:rPr>
            <w:t xml:space="preserve"> </w:t>
          </w:r>
          <w:r w:rsidR="001A3260" w:rsidRPr="001A3260">
            <w:rPr>
              <w:noProof/>
            </w:rPr>
            <w:t>(Allison, 1999)</w:t>
          </w:r>
          <w:r w:rsidR="001A3260">
            <w:fldChar w:fldCharType="end"/>
          </w:r>
        </w:sdtContent>
      </w:sdt>
      <w:r w:rsidR="00866403">
        <w:t>.</w:t>
      </w:r>
    </w:p>
    <w:p w:rsidR="00866403" w:rsidRDefault="00EA468E">
      <w:r>
        <w:t>In this context, it is possible to extend the concept of the household in order to look at the household in relation to the town, and to the wider society in which the household resides. This is due to the way that it is possible to define a town as a settled site, based around a number of interconnected relationships</w:t>
      </w:r>
      <w:sdt>
        <w:sdtPr>
          <w:id w:val="-1061175609"/>
          <w:citation/>
        </w:sdtPr>
        <w:sdtContent>
          <w:r w:rsidR="001A3260">
            <w:fldChar w:fldCharType="begin"/>
          </w:r>
          <w:r w:rsidR="001A3260">
            <w:instrText xml:space="preserve"> CITATION All99 \l 2057 </w:instrText>
          </w:r>
          <w:r w:rsidR="001A3260">
            <w:fldChar w:fldCharType="separate"/>
          </w:r>
          <w:r w:rsidR="001A3260">
            <w:rPr>
              <w:noProof/>
            </w:rPr>
            <w:t xml:space="preserve"> </w:t>
          </w:r>
          <w:r w:rsidR="001A3260" w:rsidRPr="001A3260">
            <w:rPr>
              <w:noProof/>
            </w:rPr>
            <w:t>(Allison, 1999)</w:t>
          </w:r>
          <w:r w:rsidR="001A3260">
            <w:fldChar w:fldCharType="end"/>
          </w:r>
        </w:sdtContent>
      </w:sdt>
      <w:r>
        <w:t>. Be them social, economic or political. Due to the way in which the large majority of the culture of a society is learned within the home, the foundations on which these interpersonal relations lie, can tell archaeologists many things about the way in which society may have worked, in situations wher</w:t>
      </w:r>
      <w:r w:rsidR="00E53DF7">
        <w:t xml:space="preserve">e textual sources are thin. Or </w:t>
      </w:r>
      <w:r>
        <w:t xml:space="preserve">where there are other difficulties that might stand in the way of fully understanding the way in which a society functions, be they due to the subconscious biases of previous authors, or due to a lack of archaeological evidence of the wider community. Whilst extrapolating from an incomplete set of data can be </w:t>
      </w:r>
      <w:r>
        <w:lastRenderedPageBreak/>
        <w:t xml:space="preserve">problematic, and can cause issues when those theories are later used as the foundation for later work, such thought experiments can allow the exploration of possible avenues to further understanding of such societies, and can broaden the way in which people look at such societies in the future. </w:t>
      </w:r>
    </w:p>
    <w:p w:rsidR="00AA4B57" w:rsidRDefault="001A67E6">
      <w:r>
        <w:t xml:space="preserve">There have been several different theories that have been used throughout the years as a way of trying to develop understanding of ancient civilisations, and of how to comprehend the different modern day societies that exist side by side. </w:t>
      </w:r>
      <w:r w:rsidR="00717659">
        <w:t>One of the most better known theories on how society functions would be the theory first fully explored and introduced by Karl Marx, Marxism</w:t>
      </w:r>
      <w:sdt>
        <w:sdtPr>
          <w:id w:val="1318616695"/>
          <w:citation/>
        </w:sdtPr>
        <w:sdtContent>
          <w:r w:rsidR="001A3260">
            <w:fldChar w:fldCharType="begin"/>
          </w:r>
          <w:r w:rsidR="001A3260">
            <w:instrText xml:space="preserve"> CITATION Mez93 \l 2057 </w:instrText>
          </w:r>
          <w:r w:rsidR="001A3260">
            <w:fldChar w:fldCharType="separate"/>
          </w:r>
          <w:r w:rsidR="001A3260">
            <w:rPr>
              <w:noProof/>
            </w:rPr>
            <w:t xml:space="preserve"> </w:t>
          </w:r>
          <w:r w:rsidR="001A3260" w:rsidRPr="001A3260">
            <w:rPr>
              <w:noProof/>
            </w:rPr>
            <w:t>(Mezhujev, 1993)</w:t>
          </w:r>
          <w:r w:rsidR="001A3260">
            <w:fldChar w:fldCharType="end"/>
          </w:r>
        </w:sdtContent>
      </w:sdt>
      <w:r w:rsidR="00717659">
        <w:t xml:space="preserve">. Created as a way of understanding the structures of society, and largely situated within an economic and political context, Marxism was a way of understanding the myriad of complex social changes that occurred around the time of the Russian Revolution and as a consequence when looking at household archaeology through the gaze of Marxism, an archaeologist must be aware of the political overtones that are inherent within the theory, and that might not be applicable to the ancient society that they are applying them to. However, when regarding the household, several points of Marxism </w:t>
      </w:r>
      <w:r w:rsidR="00E53DF7">
        <w:t>become somewhat applicable</w:t>
      </w:r>
      <w:sdt>
        <w:sdtPr>
          <w:id w:val="1039552668"/>
          <w:citation/>
        </w:sdtPr>
        <w:sdtContent>
          <w:r w:rsidR="001A3260">
            <w:fldChar w:fldCharType="begin"/>
          </w:r>
          <w:r w:rsidR="001A3260">
            <w:instrText xml:space="preserve"> CITATION Wil77 \l 2057 </w:instrText>
          </w:r>
          <w:r w:rsidR="001A3260">
            <w:fldChar w:fldCharType="separate"/>
          </w:r>
          <w:r w:rsidR="001A3260">
            <w:rPr>
              <w:noProof/>
            </w:rPr>
            <w:t xml:space="preserve"> </w:t>
          </w:r>
          <w:r w:rsidR="001A3260" w:rsidRPr="001A3260">
            <w:rPr>
              <w:noProof/>
            </w:rPr>
            <w:t>(Williams, 1977)</w:t>
          </w:r>
          <w:r w:rsidR="001A3260">
            <w:fldChar w:fldCharType="end"/>
          </w:r>
        </w:sdtContent>
      </w:sdt>
      <w:r w:rsidR="00E53DF7">
        <w:t xml:space="preserve">. </w:t>
      </w:r>
      <w:r w:rsidR="003F1C4B">
        <w:t>Particularly</w:t>
      </w:r>
      <w:r w:rsidR="00E53DF7">
        <w:t xml:space="preserve">, the way in which </w:t>
      </w:r>
      <w:r w:rsidR="00A61F19">
        <w:t>the household within Marxism is considered to be one of the foundation blocks of the superstructure, part of the base which supports and reinforces an inherent “way of doing things”</w:t>
      </w:r>
      <w:sdt>
        <w:sdtPr>
          <w:id w:val="1592812005"/>
          <w:citation/>
        </w:sdtPr>
        <w:sdtContent>
          <w:r w:rsidR="001A3260">
            <w:fldChar w:fldCharType="begin"/>
          </w:r>
          <w:r w:rsidR="001A3260">
            <w:instrText xml:space="preserve"> CITATION Kol78 \l 2057 </w:instrText>
          </w:r>
          <w:r w:rsidR="001A3260">
            <w:fldChar w:fldCharType="separate"/>
          </w:r>
          <w:r w:rsidR="001A3260">
            <w:rPr>
              <w:noProof/>
            </w:rPr>
            <w:t xml:space="preserve"> </w:t>
          </w:r>
          <w:r w:rsidR="001A3260" w:rsidRPr="001A3260">
            <w:rPr>
              <w:noProof/>
            </w:rPr>
            <w:t>(Kolakowski, et al., 1978)</w:t>
          </w:r>
          <w:r w:rsidR="001A3260">
            <w:fldChar w:fldCharType="end"/>
          </w:r>
        </w:sdtContent>
      </w:sdt>
      <w:r w:rsidR="00A61F19">
        <w:t xml:space="preserve">. A space where the rules of society are learned </w:t>
      </w:r>
      <w:r w:rsidR="003F1C4B">
        <w:t xml:space="preserve">and are taught to remain unchallenged. </w:t>
      </w:r>
      <w:r w:rsidR="0059701A">
        <w:t xml:space="preserve">In the case of Marxism, this role of the household was used to show how the bourgeoisie use the base and superstructure system to suppress and control the proletariat. </w:t>
      </w:r>
      <w:r w:rsidR="003F1C4B">
        <w:t xml:space="preserve">Whilst there are clear issues with applying such a </w:t>
      </w:r>
      <w:r w:rsidR="0059701A">
        <w:t>politically informed theory to ancient societies, whose social and political structure may not mimic a capitalist society as discussed within Karl Marx’s works, the idea that there is a common location where the rules of society are learned, and where it continues to have an effect upon society long after members of the household leave and form households of their own, is a concept that can be applied, and which is further explored in other theories that discuss the household, and it’s role in society</w:t>
      </w:r>
      <w:sdt>
        <w:sdtPr>
          <w:id w:val="433263542"/>
          <w:citation/>
        </w:sdtPr>
        <w:sdtContent>
          <w:r w:rsidR="001A3260">
            <w:fldChar w:fldCharType="begin"/>
          </w:r>
          <w:r w:rsidR="001A3260">
            <w:instrText xml:space="preserve"> CITATION Wil77 \l 2057 </w:instrText>
          </w:r>
          <w:r w:rsidR="001A3260">
            <w:fldChar w:fldCharType="separate"/>
          </w:r>
          <w:r w:rsidR="001A3260">
            <w:rPr>
              <w:noProof/>
            </w:rPr>
            <w:t xml:space="preserve"> </w:t>
          </w:r>
          <w:r w:rsidR="001A3260" w:rsidRPr="001A3260">
            <w:rPr>
              <w:noProof/>
            </w:rPr>
            <w:t>(Williams, 1977)</w:t>
          </w:r>
          <w:r w:rsidR="001A3260">
            <w:fldChar w:fldCharType="end"/>
          </w:r>
        </w:sdtContent>
      </w:sdt>
      <w:r w:rsidR="0059701A">
        <w:t>.</w:t>
      </w:r>
    </w:p>
    <w:p w:rsidR="00797030" w:rsidRDefault="00AA4B57">
      <w:r>
        <w:t>One such theory is the concept of habitus, explored by Aristotle</w:t>
      </w:r>
      <w:r w:rsidR="0059701A">
        <w:t xml:space="preserve"> </w:t>
      </w:r>
      <w:r>
        <w:t xml:space="preserve">and extended upon across the </w:t>
      </w:r>
      <w:r w:rsidR="004B51C1">
        <w:t>cent</w:t>
      </w:r>
      <w:r>
        <w:t>uries by several different scholars</w:t>
      </w:r>
      <w:sdt>
        <w:sdtPr>
          <w:id w:val="226266902"/>
          <w:citation/>
        </w:sdtPr>
        <w:sdtContent>
          <w:r w:rsidR="001A3260">
            <w:fldChar w:fldCharType="begin"/>
          </w:r>
          <w:r w:rsidR="001A3260">
            <w:instrText xml:space="preserve"> CITATION Eik08 \l 2057 </w:instrText>
          </w:r>
          <w:r w:rsidR="001A3260">
            <w:fldChar w:fldCharType="separate"/>
          </w:r>
          <w:r w:rsidR="001A3260">
            <w:rPr>
              <w:noProof/>
            </w:rPr>
            <w:t xml:space="preserve"> </w:t>
          </w:r>
          <w:r w:rsidR="001A3260" w:rsidRPr="001A3260">
            <w:rPr>
              <w:noProof/>
            </w:rPr>
            <w:t>(Eikeland, 2008)</w:t>
          </w:r>
          <w:r w:rsidR="001A3260">
            <w:fldChar w:fldCharType="end"/>
          </w:r>
        </w:sdtContent>
      </w:sdt>
      <w:r>
        <w:t xml:space="preserve">, notably amongst them the French scholar, Pierre Bourdieu.  </w:t>
      </w:r>
      <w:r w:rsidR="004B51C1">
        <w:t>This idea of habitus centres around the idea that all people have a series of unconscious habits, that affect the way that they discern the world that surrounds them and the way in which they subsequently react to it</w:t>
      </w:r>
      <w:sdt>
        <w:sdtPr>
          <w:id w:val="-615827655"/>
          <w:citation/>
        </w:sdtPr>
        <w:sdtContent>
          <w:r w:rsidR="001A3260">
            <w:fldChar w:fldCharType="begin"/>
          </w:r>
          <w:r w:rsidR="001A3260">
            <w:instrText xml:space="preserve"> CITATION Bou87 \l 2057 </w:instrText>
          </w:r>
          <w:r w:rsidR="001A3260">
            <w:fldChar w:fldCharType="separate"/>
          </w:r>
          <w:r w:rsidR="001A3260">
            <w:rPr>
              <w:noProof/>
            </w:rPr>
            <w:t xml:space="preserve"> </w:t>
          </w:r>
          <w:r w:rsidR="001A3260" w:rsidRPr="001A3260">
            <w:rPr>
              <w:noProof/>
            </w:rPr>
            <w:t>(Bourdieu, 1987)</w:t>
          </w:r>
          <w:r w:rsidR="001A3260">
            <w:fldChar w:fldCharType="end"/>
          </w:r>
        </w:sdtContent>
      </w:sdt>
      <w:r w:rsidR="004B51C1">
        <w:t>. For example, the social construct whereby after saying “cheers” in celebration, it is customary to drink some of whatever liquid you are holding be it wine, champagne, beer, or water. Similar unspoken rules of society are what form the backbone of the theory of habitus</w:t>
      </w:r>
      <w:r w:rsidR="00A65866">
        <w:t>, playing a part in consolidating a person’s feelings of identity, and their place within the cultural memory of a society</w:t>
      </w:r>
      <w:sdt>
        <w:sdtPr>
          <w:id w:val="-384646231"/>
          <w:citation/>
        </w:sdtPr>
        <w:sdtContent>
          <w:r w:rsidR="001A3260">
            <w:fldChar w:fldCharType="begin"/>
          </w:r>
          <w:r w:rsidR="001A3260">
            <w:instrText xml:space="preserve"> CITATION Bou90 \l 2057 </w:instrText>
          </w:r>
          <w:r w:rsidR="001A3260">
            <w:fldChar w:fldCharType="separate"/>
          </w:r>
          <w:r w:rsidR="001A3260">
            <w:rPr>
              <w:noProof/>
            </w:rPr>
            <w:t xml:space="preserve"> </w:t>
          </w:r>
          <w:r w:rsidR="001A3260" w:rsidRPr="001A3260">
            <w:rPr>
              <w:noProof/>
            </w:rPr>
            <w:t>(Bourdieu, 1990)</w:t>
          </w:r>
          <w:r w:rsidR="001A3260">
            <w:fldChar w:fldCharType="end"/>
          </w:r>
        </w:sdtContent>
      </w:sdt>
      <w:r w:rsidR="00A65866">
        <w:t>.</w:t>
      </w:r>
      <w:r w:rsidR="004B51C1">
        <w:t xml:space="preserve"> </w:t>
      </w:r>
      <w:r w:rsidR="00A65866">
        <w:t>W</w:t>
      </w:r>
      <w:r w:rsidR="004B51C1">
        <w:t>ith the similar belief that such habits originate from wi</w:t>
      </w:r>
      <w:r w:rsidR="00797030">
        <w:t>thin the home during childhood alongside other social constructs such as the specific roles of the sexes or even towards the way that gender as a social construct is perceived. The concept of habitus allows archaeologists to look further into the way that ancient peoples might have perceived the world around them and in doing so, explore the way that these perceptions may have effect their day to day lives as they moved throughout society. Similarity, it allows archaeologists to acknowledge, confront and challenge their own preconceptions about the way that the world works particularly useful when attempting to extrapolate information from the archaeological remains of a household, for which the records of its excavation might be incomplete, or difficult to access</w:t>
      </w:r>
      <w:sdt>
        <w:sdtPr>
          <w:id w:val="1377275527"/>
          <w:citation/>
        </w:sdtPr>
        <w:sdtContent>
          <w:r w:rsidR="001A3260">
            <w:fldChar w:fldCharType="begin"/>
          </w:r>
          <w:r w:rsidR="001A3260">
            <w:instrText xml:space="preserve"> CITATION Bou87 \l 2057 </w:instrText>
          </w:r>
          <w:r w:rsidR="001A3260">
            <w:fldChar w:fldCharType="separate"/>
          </w:r>
          <w:r w:rsidR="001A3260">
            <w:rPr>
              <w:noProof/>
            </w:rPr>
            <w:t xml:space="preserve"> </w:t>
          </w:r>
          <w:r w:rsidR="001A3260" w:rsidRPr="001A3260">
            <w:rPr>
              <w:noProof/>
            </w:rPr>
            <w:t>(Bourdieu, 1987)</w:t>
          </w:r>
          <w:r w:rsidR="001A3260">
            <w:fldChar w:fldCharType="end"/>
          </w:r>
        </w:sdtContent>
      </w:sdt>
      <w:r w:rsidR="00797030">
        <w:t>.</w:t>
      </w:r>
    </w:p>
    <w:p w:rsidR="00A86529" w:rsidRDefault="001527BD">
      <w:r>
        <w:t xml:space="preserve">An example of how these theories, alongside household archaeology might be used to interpret an archaeological site, would be through looking at the Minoan town of Malia </w:t>
      </w:r>
      <w:r w:rsidR="007F0834">
        <w:t xml:space="preserve">and in particular the area </w:t>
      </w:r>
      <w:r w:rsidR="007F0834">
        <w:lastRenderedPageBreak/>
        <w:t xml:space="preserve">known as </w:t>
      </w:r>
      <w:r w:rsidR="007F0834" w:rsidRPr="007F0834">
        <w:t>Quartier Mu</w:t>
      </w:r>
      <w:r w:rsidR="007F0834">
        <w:t xml:space="preserve"> the location of the two Houses A and B. The two houses are an example of pr</w:t>
      </w:r>
      <w:r w:rsidR="00521D20">
        <w:t>oto</w:t>
      </w:r>
      <w:r w:rsidR="007F0834">
        <w:t>palatial Crete</w:t>
      </w:r>
      <w:sdt>
        <w:sdtPr>
          <w:id w:val="-1067953501"/>
          <w:citation/>
        </w:sdtPr>
        <w:sdtContent>
          <w:r w:rsidR="001A3260">
            <w:fldChar w:fldCharType="begin"/>
          </w:r>
          <w:r w:rsidR="001A3260">
            <w:instrText xml:space="preserve"> CITATION Häg84 \l 2057 </w:instrText>
          </w:r>
          <w:r w:rsidR="001A3260">
            <w:fldChar w:fldCharType="separate"/>
          </w:r>
          <w:r w:rsidR="001A3260">
            <w:rPr>
              <w:noProof/>
            </w:rPr>
            <w:t xml:space="preserve"> </w:t>
          </w:r>
          <w:r w:rsidR="001A3260" w:rsidRPr="001A3260">
            <w:rPr>
              <w:noProof/>
            </w:rPr>
            <w:t>(Hägg &amp; Marinatos, 1984)</w:t>
          </w:r>
          <w:r w:rsidR="001A3260">
            <w:fldChar w:fldCharType="end"/>
          </w:r>
        </w:sdtContent>
      </w:sdt>
      <w:r w:rsidR="007F0834">
        <w:t xml:space="preserve">, and some of the best examples of </w:t>
      </w:r>
      <w:r w:rsidR="00831FD4">
        <w:t xml:space="preserve">early palatial style architecture. </w:t>
      </w:r>
      <w:r w:rsidR="00521D20">
        <w:t>The houses are useful in investigating the later “palaces” particularly due to the time in which they were built, early Middle Minoan II, the location in which they were built, and to the way in which there are several similarities to the later “palaces”</w:t>
      </w:r>
      <w:sdt>
        <w:sdtPr>
          <w:id w:val="1053821344"/>
          <w:citation/>
        </w:sdtPr>
        <w:sdtContent>
          <w:r w:rsidR="001A3260">
            <w:fldChar w:fldCharType="begin"/>
          </w:r>
          <w:r w:rsidR="001A3260">
            <w:instrText xml:space="preserve"> CITATION Pou92 \l 2057 </w:instrText>
          </w:r>
          <w:r w:rsidR="001A3260">
            <w:fldChar w:fldCharType="separate"/>
          </w:r>
          <w:r w:rsidR="001A3260">
            <w:rPr>
              <w:noProof/>
            </w:rPr>
            <w:t xml:space="preserve"> </w:t>
          </w:r>
          <w:r w:rsidR="001A3260" w:rsidRPr="001A3260">
            <w:rPr>
              <w:noProof/>
            </w:rPr>
            <w:t>(Poursat, 1992)</w:t>
          </w:r>
          <w:r w:rsidR="001A3260">
            <w:fldChar w:fldCharType="end"/>
          </w:r>
        </w:sdtContent>
      </w:sdt>
      <w:r w:rsidR="00521D20">
        <w:t xml:space="preserve">. This is of interest, due to the way in which the palaces on Crete </w:t>
      </w:r>
      <w:r w:rsidR="0050278F">
        <w:t>and the use of the term “palace” to describe them, are highly contested topics of academic discourse. Particularly due to the way in which there is little evidence for there being a hierarchical society on Crete with several other theories for how the society on Crete may have worked, such as through the use of concepts such as heterarchy. When exploring the idea of there being a hierarchical society on Crete, one of the primary tasks in identifying a hierarchy, is to discover a location for an elite residence on Crete</w:t>
      </w:r>
      <w:sdt>
        <w:sdtPr>
          <w:id w:val="822095789"/>
          <w:citation/>
        </w:sdtPr>
        <w:sdtContent>
          <w:r w:rsidR="001A3260">
            <w:fldChar w:fldCharType="begin"/>
          </w:r>
          <w:r w:rsidR="001A3260">
            <w:instrText xml:space="preserve"> CITATION Sch06 \l 2057 </w:instrText>
          </w:r>
          <w:r w:rsidR="001A3260">
            <w:fldChar w:fldCharType="separate"/>
          </w:r>
          <w:r w:rsidR="001A3260">
            <w:rPr>
              <w:noProof/>
            </w:rPr>
            <w:t xml:space="preserve"> </w:t>
          </w:r>
          <w:r w:rsidR="001A3260" w:rsidRPr="001A3260">
            <w:rPr>
              <w:noProof/>
            </w:rPr>
            <w:t>(Schoep, 2006)</w:t>
          </w:r>
          <w:r w:rsidR="001A3260">
            <w:fldChar w:fldCharType="end"/>
          </w:r>
        </w:sdtContent>
      </w:sdt>
      <w:r w:rsidR="0050278F">
        <w:t xml:space="preserve">. In this case palaces such as those at Malia or at Knossos serve as an example of the assumptions that have been made when dealing with </w:t>
      </w:r>
      <w:r w:rsidR="00C85328">
        <w:t>the archaeological evidence that remains in regards to the palaces and as a consequence it can be difficult to parse the solid foundations that form the way in which we view the history of the palaces to actively challenge them. By looking at the protopalatial town villas as locations that would eventually evolve into the palaces, it might be possible to examine the methods and conclusions that have been used and drawn regarding the later development of the palaces, and to their place in Minoan society as a whole</w:t>
      </w:r>
      <w:sdt>
        <w:sdtPr>
          <w:id w:val="-1407829687"/>
          <w:citation/>
        </w:sdtPr>
        <w:sdtContent>
          <w:r w:rsidR="001A3260">
            <w:fldChar w:fldCharType="begin"/>
          </w:r>
          <w:r w:rsidR="001A3260">
            <w:instrText xml:space="preserve"> CITATION Reh98 \l 2057 </w:instrText>
          </w:r>
          <w:r w:rsidR="001A3260">
            <w:fldChar w:fldCharType="separate"/>
          </w:r>
          <w:r w:rsidR="001A3260">
            <w:rPr>
              <w:noProof/>
            </w:rPr>
            <w:t xml:space="preserve"> </w:t>
          </w:r>
          <w:r w:rsidR="001A3260" w:rsidRPr="001A3260">
            <w:rPr>
              <w:noProof/>
            </w:rPr>
            <w:t>(Rehak &amp; Younger, 1998)</w:t>
          </w:r>
          <w:r w:rsidR="001A3260">
            <w:fldChar w:fldCharType="end"/>
          </w:r>
        </w:sdtContent>
      </w:sdt>
      <w:r w:rsidR="00C85328">
        <w:t xml:space="preserve">. </w:t>
      </w:r>
    </w:p>
    <w:p w:rsidR="00C85328" w:rsidRDefault="005032C1">
      <w:r>
        <w:t>When looking at the past through the lens of Marxist theory, it becomes clear that in order for there to be a hierarchy within a society there has to be a bourgeoisie class that has a greater importance than those who are considered to be less important than them. Within Marxist theory this takes the form of the capitalist businessmen however when looking at the past, where it can become problematic to use terminology that is so informed by modern day events, at the risk of transposing our own biases upon it, the use of the term “elites”</w:t>
      </w:r>
      <w:sdt>
        <w:sdtPr>
          <w:id w:val="-487866883"/>
          <w:citation/>
        </w:sdtPr>
        <w:sdtContent>
          <w:r w:rsidR="001A3260">
            <w:fldChar w:fldCharType="begin"/>
          </w:r>
          <w:r w:rsidR="001A3260">
            <w:instrText xml:space="preserve"> CITATION Dah59 \l 2057 </w:instrText>
          </w:r>
          <w:r w:rsidR="001A3260">
            <w:fldChar w:fldCharType="separate"/>
          </w:r>
          <w:r w:rsidR="001A3260">
            <w:rPr>
              <w:noProof/>
            </w:rPr>
            <w:t xml:space="preserve"> </w:t>
          </w:r>
          <w:r w:rsidR="001A3260" w:rsidRPr="001A3260">
            <w:rPr>
              <w:noProof/>
            </w:rPr>
            <w:t>(Dahrendorf, 1959)</w:t>
          </w:r>
          <w:r w:rsidR="001A3260">
            <w:fldChar w:fldCharType="end"/>
          </w:r>
        </w:sdtContent>
      </w:sdt>
      <w:r>
        <w:t xml:space="preserve">, be they economic, political, social or religious is a more neutral term than that of a Royal Family. In the case of there being an elite class within society there then becomes a need for the elite class to show their economic, social and political capital to the people who are lower down in the hierarchy in order to enforce and maintain the status quo. This is where the concept of elite residences might become a </w:t>
      </w:r>
      <w:r w:rsidR="00FB2239">
        <w:t>useful topic of exploration. This is due to the way that, by their very nature elite residences require there to be an outward expression of wealth and monumentality, that would impose and imply to those lower in hierarchical standing the position of the elites within society</w:t>
      </w:r>
      <w:sdt>
        <w:sdtPr>
          <w:id w:val="-595097563"/>
          <w:citation/>
        </w:sdtPr>
        <w:sdtContent>
          <w:r w:rsidR="001A3260">
            <w:fldChar w:fldCharType="begin"/>
          </w:r>
          <w:r w:rsidR="001A3260">
            <w:instrText xml:space="preserve"> CITATION Wil77 \l 2057 </w:instrText>
          </w:r>
          <w:r w:rsidR="001A3260">
            <w:fldChar w:fldCharType="separate"/>
          </w:r>
          <w:r w:rsidR="001A3260">
            <w:rPr>
              <w:noProof/>
            </w:rPr>
            <w:t xml:space="preserve"> </w:t>
          </w:r>
          <w:r w:rsidR="001A3260" w:rsidRPr="001A3260">
            <w:rPr>
              <w:noProof/>
            </w:rPr>
            <w:t>(Williams, 1977)</w:t>
          </w:r>
          <w:r w:rsidR="001A3260">
            <w:fldChar w:fldCharType="end"/>
          </w:r>
        </w:sdtContent>
      </w:sdt>
      <w:r w:rsidR="00FB2239">
        <w:t xml:space="preserve">. As a result, if an archaeologist were able to explore the potential for the palaces, and indeed the villas of the protopalatial period as being residences for an elite, it could have implications for the way in which society on Minoan Crete is viewed. However, as with the case for many theories, if indeed the idea that the palaces are elite residences is a fact, it would be very difficult to ascertain whether or not the palaces are under the control of a singular individual or family unit as might be the case of when a society has a King or Queen. </w:t>
      </w:r>
      <w:r w:rsidR="0081603C">
        <w:t>The potential for such discussion however relies on the archaeological evidence of the villas of the protopalatial period being specifically identified as being residences, beyond community purpose of workshops or store rooms</w:t>
      </w:r>
      <w:sdt>
        <w:sdtPr>
          <w:id w:val="-182510425"/>
          <w:citation/>
        </w:sdtPr>
        <w:sdtContent>
          <w:r w:rsidR="001A3260">
            <w:fldChar w:fldCharType="begin"/>
          </w:r>
          <w:r w:rsidR="001A3260">
            <w:instrText xml:space="preserve"> CITATION Str97 \l 2057 </w:instrText>
          </w:r>
          <w:r w:rsidR="001A3260">
            <w:fldChar w:fldCharType="separate"/>
          </w:r>
          <w:r w:rsidR="001A3260">
            <w:rPr>
              <w:noProof/>
            </w:rPr>
            <w:t xml:space="preserve"> </w:t>
          </w:r>
          <w:r w:rsidR="001A3260" w:rsidRPr="001A3260">
            <w:rPr>
              <w:noProof/>
            </w:rPr>
            <w:t>(Strasser, 1997)</w:t>
          </w:r>
          <w:r w:rsidR="001A3260">
            <w:fldChar w:fldCharType="end"/>
          </w:r>
        </w:sdtContent>
      </w:sdt>
      <w:r w:rsidR="0081603C">
        <w:t xml:space="preserve">. </w:t>
      </w:r>
    </w:p>
    <w:p w:rsidR="0081603C" w:rsidRDefault="0081603C">
      <w:r>
        <w:t>Certainly in the cases of Houses A and B in Malia such distinctive features are hard to ascertain. The houses are located within close distance of not only workshops, indicating some form of control over resources, but also within reach of what appears to be an administrative centre</w:t>
      </w:r>
      <w:r w:rsidR="0039621D">
        <w:t xml:space="preserve"> or archive complex, relatively near to the House A</w:t>
      </w:r>
      <w:sdt>
        <w:sdtPr>
          <w:id w:val="-892277568"/>
          <w:citation/>
        </w:sdtPr>
        <w:sdtContent>
          <w:r w:rsidR="001A3260">
            <w:fldChar w:fldCharType="begin"/>
          </w:r>
          <w:r w:rsidR="001A3260">
            <w:instrText xml:space="preserve"> CITATION Pou92 \l 2057 </w:instrText>
          </w:r>
          <w:r w:rsidR="001A3260">
            <w:fldChar w:fldCharType="separate"/>
          </w:r>
          <w:r w:rsidR="001A3260">
            <w:rPr>
              <w:noProof/>
            </w:rPr>
            <w:t xml:space="preserve"> </w:t>
          </w:r>
          <w:r w:rsidR="001A3260" w:rsidRPr="001A3260">
            <w:rPr>
              <w:noProof/>
            </w:rPr>
            <w:t>(Poursat, 1992)</w:t>
          </w:r>
          <w:r w:rsidR="001A3260">
            <w:fldChar w:fldCharType="end"/>
          </w:r>
        </w:sdtContent>
      </w:sdt>
      <w:r w:rsidR="0039621D">
        <w:t>. Whilst the close location to the workshops as being an indicator of an elite residence is debatable, owing to the loud nature</w:t>
      </w:r>
      <w:r w:rsidR="00477F17">
        <w:t xml:space="preserve"> the sounds and odours of construction creating a potentially difficult space for an elite class, who might have other, less boisterous places of spending their time, the closeness of the administrative centre to the houses implies that there was at the very least a group of people who were </w:t>
      </w:r>
      <w:r w:rsidR="00906518">
        <w:t xml:space="preserve">in control of the accounts of the </w:t>
      </w:r>
      <w:r w:rsidR="00906518">
        <w:lastRenderedPageBreak/>
        <w:t>site</w:t>
      </w:r>
      <w:sdt>
        <w:sdtPr>
          <w:id w:val="1600916024"/>
          <w:citation/>
        </w:sdtPr>
        <w:sdtContent>
          <w:r w:rsidR="001A3260">
            <w:fldChar w:fldCharType="begin"/>
          </w:r>
          <w:r w:rsidR="001A3260">
            <w:instrText xml:space="preserve"> CITATION Pou92 \l 2057 </w:instrText>
          </w:r>
          <w:r w:rsidR="001A3260">
            <w:fldChar w:fldCharType="separate"/>
          </w:r>
          <w:r w:rsidR="001A3260">
            <w:rPr>
              <w:noProof/>
            </w:rPr>
            <w:t xml:space="preserve"> </w:t>
          </w:r>
          <w:r w:rsidR="001A3260" w:rsidRPr="001A3260">
            <w:rPr>
              <w:noProof/>
            </w:rPr>
            <w:t>(Poursat, 1992)</w:t>
          </w:r>
          <w:r w:rsidR="001A3260">
            <w:fldChar w:fldCharType="end"/>
          </w:r>
        </w:sdtContent>
      </w:sdt>
      <w:r w:rsidR="00906518">
        <w:t>. Whether or not this control implies that there was an equal layer of elite interference within the workshops is debatable</w:t>
      </w:r>
      <w:r w:rsidR="009258E7">
        <w:t>. It is possible that the administrative areas at House A is due to the expediency of having the people that record the objects that are created within the workshops nearby. Rather than out of any need for the elites to have control over the activities that were proceeding within them</w:t>
      </w:r>
      <w:sdt>
        <w:sdtPr>
          <w:id w:val="502241814"/>
          <w:citation/>
        </w:sdtPr>
        <w:sdtContent>
          <w:r w:rsidR="001A3260">
            <w:fldChar w:fldCharType="begin"/>
          </w:r>
          <w:r w:rsidR="001A3260">
            <w:instrText xml:space="preserve"> CITATION Mar84 \l 2057 </w:instrText>
          </w:r>
          <w:r w:rsidR="001A3260">
            <w:fldChar w:fldCharType="separate"/>
          </w:r>
          <w:r w:rsidR="001A3260">
            <w:rPr>
              <w:noProof/>
            </w:rPr>
            <w:t xml:space="preserve"> </w:t>
          </w:r>
          <w:r w:rsidR="001A3260" w:rsidRPr="001A3260">
            <w:rPr>
              <w:noProof/>
            </w:rPr>
            <w:t>(Marinatos, 1984)</w:t>
          </w:r>
          <w:r w:rsidR="001A3260">
            <w:fldChar w:fldCharType="end"/>
          </w:r>
        </w:sdtContent>
      </w:sdt>
      <w:r w:rsidR="009258E7">
        <w:t xml:space="preserve">. Certainly, alongside the administrative centre there were prestige and assumed elite goods found within the Houses in </w:t>
      </w:r>
      <w:r w:rsidR="009258E7" w:rsidRPr="009258E7">
        <w:t>Quartier Mu</w:t>
      </w:r>
      <w:r w:rsidR="009258E7">
        <w:t xml:space="preserve"> however, due to the way that there is little in the ways of evidence for those items have belonged to specific individuals it is highly difficult to trace the objects as to have being part of the regalia that might have been inherent to an elite residence throughout other civilisations at the same time.</w:t>
      </w:r>
      <w:r w:rsidR="00335FCC">
        <w:t xml:space="preserve"> As a consequence, the uncertain nature of the presence of the houses at Malia being residences and therefore households is debatable. </w:t>
      </w:r>
    </w:p>
    <w:p w:rsidR="00335FCC" w:rsidRDefault="00335FCC">
      <w:r>
        <w:t>A further difficulty in the identification of the Houses at Malia as being households is that there is little indication for there being any gendered space within them</w:t>
      </w:r>
      <w:sdt>
        <w:sdtPr>
          <w:id w:val="1904785790"/>
          <w:citation/>
        </w:sdtPr>
        <w:sdtContent>
          <w:r w:rsidR="001A3260">
            <w:fldChar w:fldCharType="begin"/>
          </w:r>
          <w:r w:rsidR="001A3260">
            <w:instrText xml:space="preserve"> CITATION Rut97 \l 2057 </w:instrText>
          </w:r>
          <w:r w:rsidR="001A3260">
            <w:fldChar w:fldCharType="separate"/>
          </w:r>
          <w:r w:rsidR="001A3260">
            <w:rPr>
              <w:noProof/>
            </w:rPr>
            <w:t xml:space="preserve"> </w:t>
          </w:r>
          <w:r w:rsidR="001A3260" w:rsidRPr="001A3260">
            <w:rPr>
              <w:noProof/>
            </w:rPr>
            <w:t>(Wodak, 1997)</w:t>
          </w:r>
          <w:r w:rsidR="001A3260">
            <w:fldChar w:fldCharType="end"/>
          </w:r>
        </w:sdtContent>
      </w:sdt>
      <w:r>
        <w:t xml:space="preserve">. </w:t>
      </w:r>
      <w:r w:rsidR="009E548F">
        <w:t>This is due to the way that throughout the time, the concept of there being gendered activities within society would have been something that was largely commonplace. Whilst it is possible to look at the houses at Malia in regard to gendered space, there is the risk of letting modern day biases effect the way in which the evidence is comprehended and interpreted</w:t>
      </w:r>
      <w:sdt>
        <w:sdtPr>
          <w:id w:val="1242295117"/>
          <w:citation/>
        </w:sdtPr>
        <w:sdtContent>
          <w:r w:rsidR="001A3260">
            <w:fldChar w:fldCharType="begin"/>
          </w:r>
          <w:r w:rsidR="001A3260">
            <w:instrText xml:space="preserve"> CITATION Rut97 \l 2057 </w:instrText>
          </w:r>
          <w:r w:rsidR="001A3260">
            <w:fldChar w:fldCharType="separate"/>
          </w:r>
          <w:r w:rsidR="001A3260">
            <w:rPr>
              <w:noProof/>
            </w:rPr>
            <w:t xml:space="preserve"> </w:t>
          </w:r>
          <w:r w:rsidR="001A3260" w:rsidRPr="001A3260">
            <w:rPr>
              <w:noProof/>
            </w:rPr>
            <w:t>(Wodak, 1997)</w:t>
          </w:r>
          <w:r w:rsidR="001A3260">
            <w:fldChar w:fldCharType="end"/>
          </w:r>
        </w:sdtContent>
      </w:sdt>
      <w:bookmarkStart w:id="0" w:name="_GoBack"/>
      <w:bookmarkEnd w:id="0"/>
      <w:r w:rsidR="009E548F">
        <w:t>. Similarly, with the concept of gendered space, the idea of exclusive space is hard to pin down. There are a number of potentially public spaces within the Houses at Malia, from courtyards to a hypostyle crypt, that, without first person accounts of how they may have been used make it difficult to draw conclusions as to whether they were free for all to use (implying a certain level of public accessibility to the houses and implying that there might have been another use for them in contrast to them being thought of as residences and households) or  whether these spaces were for the exclusive use of an elite class, (implying that alongside the restricted access there might be a level of residency within the villas)</w:t>
      </w:r>
      <w:sdt>
        <w:sdtPr>
          <w:id w:val="2000845633"/>
          <w:citation/>
        </w:sdtPr>
        <w:sdtContent>
          <w:r w:rsidR="001A3260">
            <w:fldChar w:fldCharType="begin"/>
          </w:r>
          <w:r w:rsidR="001A3260">
            <w:instrText xml:space="preserve"> CITATION Cru95 \l 2057 </w:instrText>
          </w:r>
          <w:r w:rsidR="001A3260">
            <w:fldChar w:fldCharType="separate"/>
          </w:r>
          <w:r w:rsidR="001A3260">
            <w:rPr>
              <w:noProof/>
            </w:rPr>
            <w:t xml:space="preserve"> </w:t>
          </w:r>
          <w:r w:rsidR="001A3260" w:rsidRPr="001A3260">
            <w:rPr>
              <w:noProof/>
            </w:rPr>
            <w:t>(Crumley, 1995)</w:t>
          </w:r>
          <w:r w:rsidR="001A3260">
            <w:fldChar w:fldCharType="end"/>
          </w:r>
        </w:sdtContent>
      </w:sdt>
      <w:r w:rsidR="009E548F">
        <w:t>.</w:t>
      </w:r>
    </w:p>
    <w:p w:rsidR="00797030" w:rsidRDefault="002A0E70">
      <w:r>
        <w:t xml:space="preserve">To conclude, it is highly difficult to specifically state whether or not the houses at Malia are in fact residences, or indeed households, whilst household archaeology is a useful tool in aiding archaeologist in their understanding of societies and the way in which they worked and functioned. It runs into difficulties when discussing and identifying a household. This is partially due to the numerous theories that are and can be applied throughout the process of identification. Giving certain parts of an excavation more credence over others and allowing some parts to fall to the wayside. </w:t>
      </w:r>
      <w:r w:rsidR="00AC3320">
        <w:t>The use of theory in household archaeology can be problematic, whilst it can allow for further examination of the data that is discovered by archaeologists, by its nature as largely modern concepts, there is a layer of bias that is difficult to navigate when trying to explore the past. The perception of the past by the present is in itself constantly in flux, with the different viewpoints of the times effecting the way that we attempt to comprehend it. Ensuring that the theoretical exploration of household archaeology may be useful in painting a picture of the daily life of the past, it will never be able to give a complete entirely true snapshot of what that life was like.</w:t>
      </w:r>
    </w:p>
    <w:p w:rsidR="00AD0BEB" w:rsidRDefault="00AD0BEB"/>
    <w:sdt>
      <w:sdtPr>
        <w:id w:val="1129519319"/>
        <w:docPartObj>
          <w:docPartGallery w:val="Bibliographies"/>
          <w:docPartUnique/>
        </w:docPartObj>
      </w:sdtPr>
      <w:sdtEndPr>
        <w:rPr>
          <w:rFonts w:asciiTheme="minorHAnsi" w:eastAsiaTheme="minorEastAsia" w:hAnsiTheme="minorHAnsi" w:cstheme="minorBidi"/>
          <w:color w:val="auto"/>
          <w:sz w:val="22"/>
          <w:szCs w:val="22"/>
          <w:lang w:val="en-GB" w:eastAsia="ja-JP"/>
        </w:rPr>
      </w:sdtEndPr>
      <w:sdtContent>
        <w:p w:rsidR="009C38DA" w:rsidRDefault="009C38DA">
          <w:pPr>
            <w:pStyle w:val="Heading1"/>
          </w:pPr>
          <w:r>
            <w:t>Bibliography</w:t>
          </w:r>
        </w:p>
        <w:sdt>
          <w:sdtPr>
            <w:id w:val="111145805"/>
            <w:bibliography/>
          </w:sdtPr>
          <w:sdtContent>
            <w:p w:rsidR="00AD0BEB" w:rsidRDefault="009C38DA" w:rsidP="00AD0BEB">
              <w:pPr>
                <w:pStyle w:val="Bibliography"/>
                <w:rPr>
                  <w:noProof/>
                  <w:sz w:val="24"/>
                  <w:szCs w:val="24"/>
                  <w:lang w:val="en-US"/>
                </w:rPr>
              </w:pPr>
              <w:r>
                <w:fldChar w:fldCharType="begin"/>
              </w:r>
              <w:r>
                <w:instrText xml:space="preserve"> BIBLIOGRAPHY </w:instrText>
              </w:r>
              <w:r>
                <w:fldChar w:fldCharType="separate"/>
              </w:r>
              <w:r w:rsidR="00AD0BEB">
                <w:rPr>
                  <w:noProof/>
                  <w:lang w:val="en-US"/>
                </w:rPr>
                <w:t xml:space="preserve">Bevan, A., 2010. Political geography and palatial Crete. </w:t>
              </w:r>
              <w:r w:rsidR="00AD0BEB">
                <w:rPr>
                  <w:i/>
                  <w:iCs/>
                  <w:noProof/>
                  <w:lang w:val="en-US"/>
                </w:rPr>
                <w:t xml:space="preserve">Journal of Mediterranean Archaeology, </w:t>
              </w:r>
              <w:r w:rsidR="00AD0BEB">
                <w:rPr>
                  <w:noProof/>
                  <w:lang w:val="en-US"/>
                </w:rPr>
                <w:t>23(1), pp. 27-54.</w:t>
              </w:r>
            </w:p>
            <w:p w:rsidR="00AD0BEB" w:rsidRDefault="00AD0BEB" w:rsidP="00AD0BEB">
              <w:pPr>
                <w:pStyle w:val="Bibliography"/>
                <w:rPr>
                  <w:noProof/>
                  <w:lang w:val="en-US"/>
                </w:rPr>
              </w:pPr>
              <w:r>
                <w:rPr>
                  <w:noProof/>
                  <w:lang w:val="en-US"/>
                </w:rPr>
                <w:t xml:space="preserve">Bourdieu, P., 1987. </w:t>
              </w:r>
              <w:r>
                <w:rPr>
                  <w:i/>
                  <w:iCs/>
                  <w:noProof/>
                  <w:lang w:val="en-US"/>
                </w:rPr>
                <w:t xml:space="preserve">Outline of a Theory of Practice. </w:t>
              </w:r>
              <w:r>
                <w:rPr>
                  <w:noProof/>
                  <w:lang w:val="en-US"/>
                </w:rPr>
                <w:t>Cambridge: University of Cambridge Press Syndicate.</w:t>
              </w:r>
            </w:p>
            <w:p w:rsidR="00AD0BEB" w:rsidRDefault="00AD0BEB" w:rsidP="00AD0BEB">
              <w:pPr>
                <w:pStyle w:val="Bibliography"/>
                <w:rPr>
                  <w:noProof/>
                  <w:lang w:val="en-US"/>
                </w:rPr>
              </w:pPr>
              <w:r>
                <w:rPr>
                  <w:noProof/>
                  <w:lang w:val="en-US"/>
                </w:rPr>
                <w:lastRenderedPageBreak/>
                <w:t xml:space="preserve">Bourdieu, P., 1990. </w:t>
              </w:r>
              <w:r>
                <w:rPr>
                  <w:i/>
                  <w:iCs/>
                  <w:noProof/>
                  <w:lang w:val="en-US"/>
                </w:rPr>
                <w:t xml:space="preserve">The Logic of Pracitice. </w:t>
              </w:r>
              <w:r>
                <w:rPr>
                  <w:noProof/>
                  <w:lang w:val="en-US"/>
                </w:rPr>
                <w:t>Cambridge: Polity Press.</w:t>
              </w:r>
            </w:p>
            <w:p w:rsidR="00AD0BEB" w:rsidRDefault="00AD0BEB" w:rsidP="00AD0BEB">
              <w:pPr>
                <w:pStyle w:val="Bibliography"/>
                <w:rPr>
                  <w:noProof/>
                  <w:lang w:val="en-US"/>
                </w:rPr>
              </w:pPr>
              <w:r>
                <w:rPr>
                  <w:noProof/>
                  <w:lang w:val="en-US"/>
                </w:rPr>
                <w:t xml:space="preserve">Branigan, K., 1981. </w:t>
              </w:r>
              <w:r>
                <w:rPr>
                  <w:i/>
                  <w:iCs/>
                  <w:noProof/>
                  <w:lang w:val="en-US"/>
                </w:rPr>
                <w:t xml:space="preserve">Craft Specialization in Minoan Crete. </w:t>
              </w:r>
              <w:r>
                <w:rPr>
                  <w:noProof/>
                  <w:lang w:val="en-US"/>
                </w:rPr>
                <w:t>Proceedings of the Cambridge Colloquium, s.n., pp. 22-23.</w:t>
              </w:r>
            </w:p>
            <w:p w:rsidR="00AD0BEB" w:rsidRDefault="00AD0BEB" w:rsidP="00AD0BEB">
              <w:pPr>
                <w:pStyle w:val="Bibliography"/>
                <w:rPr>
                  <w:noProof/>
                  <w:lang w:val="en-US"/>
                </w:rPr>
              </w:pPr>
              <w:r>
                <w:rPr>
                  <w:noProof/>
                  <w:lang w:val="en-US"/>
                </w:rPr>
                <w:t xml:space="preserve">Crumley, C., 1995. Heterarchy and the analysis of complex societies. </w:t>
              </w:r>
              <w:r>
                <w:rPr>
                  <w:i/>
                  <w:iCs/>
                  <w:noProof/>
                  <w:lang w:val="en-US"/>
                </w:rPr>
                <w:t xml:space="preserve">Archeological Papers of the American Anthropological Association, </w:t>
              </w:r>
              <w:r>
                <w:rPr>
                  <w:noProof/>
                  <w:lang w:val="en-US"/>
                </w:rPr>
                <w:t>6(1), pp. 1-5.</w:t>
              </w:r>
            </w:p>
            <w:p w:rsidR="00AD0BEB" w:rsidRDefault="00AD0BEB" w:rsidP="00AD0BEB">
              <w:pPr>
                <w:pStyle w:val="Bibliography"/>
                <w:rPr>
                  <w:noProof/>
                  <w:lang w:val="en-US"/>
                </w:rPr>
              </w:pPr>
              <w:r>
                <w:rPr>
                  <w:noProof/>
                  <w:lang w:val="en-US"/>
                </w:rPr>
                <w:t xml:space="preserve">Culler, J. D., 2002. </w:t>
              </w:r>
              <w:r>
                <w:rPr>
                  <w:i/>
                  <w:iCs/>
                  <w:noProof/>
                  <w:lang w:val="en-US"/>
                </w:rPr>
                <w:t xml:space="preserve">Structuralist Poetics: Structuralism, Linguistics and the Study of Literature. </w:t>
              </w:r>
              <w:r>
                <w:rPr>
                  <w:noProof/>
                  <w:lang w:val="en-US"/>
                </w:rPr>
                <w:t>London: Routledge Classics.</w:t>
              </w:r>
            </w:p>
            <w:p w:rsidR="00AD0BEB" w:rsidRDefault="00AD0BEB" w:rsidP="00AD0BEB">
              <w:pPr>
                <w:pStyle w:val="Bibliography"/>
                <w:rPr>
                  <w:noProof/>
                  <w:lang w:val="en-US"/>
                </w:rPr>
              </w:pPr>
              <w:r>
                <w:rPr>
                  <w:noProof/>
                  <w:lang w:val="en-US"/>
                </w:rPr>
                <w:t xml:space="preserve">Dahrendorf, R., 1959. </w:t>
              </w:r>
              <w:r>
                <w:rPr>
                  <w:i/>
                  <w:iCs/>
                  <w:noProof/>
                  <w:lang w:val="en-US"/>
                </w:rPr>
                <w:t xml:space="preserve">Class and Class Conflict in Industrial Society. </w:t>
              </w:r>
              <w:r>
                <w:rPr>
                  <w:noProof/>
                  <w:lang w:val="en-US"/>
                </w:rPr>
                <w:t>Stanford: Stanford University Press.</w:t>
              </w:r>
            </w:p>
            <w:p w:rsidR="00AD0BEB" w:rsidRDefault="00AD0BEB" w:rsidP="00AD0BEB">
              <w:pPr>
                <w:pStyle w:val="Bibliography"/>
                <w:rPr>
                  <w:noProof/>
                  <w:lang w:val="en-US"/>
                </w:rPr>
              </w:pPr>
              <w:r>
                <w:rPr>
                  <w:noProof/>
                  <w:lang w:val="en-US"/>
                </w:rPr>
                <w:t xml:space="preserve">Derek Atteridge, G. B. R. Y., 1993. </w:t>
              </w:r>
              <w:r>
                <w:rPr>
                  <w:i/>
                  <w:iCs/>
                  <w:noProof/>
                  <w:lang w:val="en-US"/>
                </w:rPr>
                <w:t xml:space="preserve">Post Structuralism and the Question of History. </w:t>
              </w:r>
              <w:r>
                <w:rPr>
                  <w:noProof/>
                  <w:lang w:val="en-US"/>
                </w:rPr>
                <w:t>Irthlingborough: Woolnough Bookbinding.</w:t>
              </w:r>
            </w:p>
            <w:p w:rsidR="00AD0BEB" w:rsidRDefault="00AD0BEB" w:rsidP="00AD0BEB">
              <w:pPr>
                <w:pStyle w:val="Bibliography"/>
                <w:rPr>
                  <w:noProof/>
                  <w:lang w:val="en-US"/>
                </w:rPr>
              </w:pPr>
              <w:r>
                <w:rPr>
                  <w:noProof/>
                  <w:lang w:val="en-US"/>
                </w:rPr>
                <w:t xml:space="preserve">Eikeland, O., 2008. </w:t>
              </w:r>
              <w:r>
                <w:rPr>
                  <w:i/>
                  <w:iCs/>
                  <w:noProof/>
                  <w:lang w:val="en-US"/>
                </w:rPr>
                <w:t xml:space="preserve">The ways of Aristotle: Aristotelian phronesis, Aristotelian philosophy of dialogue, and action research. </w:t>
              </w:r>
              <w:r>
                <w:rPr>
                  <w:noProof/>
                  <w:lang w:val="en-US"/>
                </w:rPr>
                <w:t>5 ed. s.l.:s.n.</w:t>
              </w:r>
            </w:p>
            <w:p w:rsidR="00AD0BEB" w:rsidRDefault="00AD0BEB" w:rsidP="00AD0BEB">
              <w:pPr>
                <w:pStyle w:val="Bibliography"/>
                <w:rPr>
                  <w:noProof/>
                  <w:lang w:val="en-US"/>
                </w:rPr>
              </w:pPr>
              <w:r>
                <w:rPr>
                  <w:noProof/>
                  <w:lang w:val="en-US"/>
                </w:rPr>
                <w:t xml:space="preserve">Gauntlett, D., 2008. </w:t>
              </w:r>
              <w:r>
                <w:rPr>
                  <w:i/>
                  <w:iCs/>
                  <w:noProof/>
                  <w:lang w:val="en-US"/>
                </w:rPr>
                <w:t xml:space="preserve">Media, Gender and Identity: An Introduction. </w:t>
              </w:r>
              <w:r>
                <w:rPr>
                  <w:noProof/>
                  <w:lang w:val="en-US"/>
                </w:rPr>
                <w:t>London: Routledge.</w:t>
              </w:r>
            </w:p>
            <w:p w:rsidR="00AD0BEB" w:rsidRDefault="00AD0BEB" w:rsidP="00AD0BEB">
              <w:pPr>
                <w:pStyle w:val="Bibliography"/>
                <w:rPr>
                  <w:noProof/>
                  <w:lang w:val="en-US"/>
                </w:rPr>
              </w:pPr>
              <w:r>
                <w:rPr>
                  <w:noProof/>
                  <w:lang w:val="en-US"/>
                </w:rPr>
                <w:t xml:space="preserve">Giddens, A., 1975. </w:t>
              </w:r>
              <w:r>
                <w:rPr>
                  <w:i/>
                  <w:iCs/>
                  <w:noProof/>
                  <w:lang w:val="en-US"/>
                </w:rPr>
                <w:t xml:space="preserve">The Class Structure of the Advanced Societies. </w:t>
              </w:r>
              <w:r>
                <w:rPr>
                  <w:noProof/>
                  <w:lang w:val="en-US"/>
                </w:rPr>
                <w:t>London: Harper and Row Publishers.</w:t>
              </w:r>
            </w:p>
            <w:p w:rsidR="00AD0BEB" w:rsidRDefault="00AD0BEB" w:rsidP="00AD0BEB">
              <w:pPr>
                <w:pStyle w:val="Bibliography"/>
                <w:rPr>
                  <w:noProof/>
                  <w:lang w:val="en-US"/>
                </w:rPr>
              </w:pPr>
              <w:r>
                <w:rPr>
                  <w:noProof/>
                  <w:lang w:val="en-US"/>
                </w:rPr>
                <w:t xml:space="preserve">Gill, R., 2007. </w:t>
              </w:r>
              <w:r>
                <w:rPr>
                  <w:i/>
                  <w:iCs/>
                  <w:noProof/>
                  <w:lang w:val="en-US"/>
                </w:rPr>
                <w:t xml:space="preserve">Gender and the Media. </w:t>
              </w:r>
              <w:r>
                <w:rPr>
                  <w:noProof/>
                  <w:lang w:val="en-US"/>
                </w:rPr>
                <w:t>Cambridge: Polity Press.</w:t>
              </w:r>
            </w:p>
            <w:p w:rsidR="00AD0BEB" w:rsidRDefault="00AD0BEB" w:rsidP="00AD0BEB">
              <w:pPr>
                <w:pStyle w:val="Bibliography"/>
                <w:rPr>
                  <w:noProof/>
                  <w:lang w:val="en-US"/>
                </w:rPr>
              </w:pPr>
              <w:r>
                <w:rPr>
                  <w:noProof/>
                  <w:lang w:val="en-US"/>
                </w:rPr>
                <w:t xml:space="preserve">Girella, L. &amp; Pavúk, P., 2011. Minoanisation, acculturation, hybridisation: the evidence of the Minoan presence in the north east Aegean between the Middle and Late Bronze AgeIn NOSTOI. Indigenous Culture, Migration and Integration in the Aegean Islands and Western Anatolia. </w:t>
              </w:r>
              <w:r>
                <w:rPr>
                  <w:i/>
                  <w:iCs/>
                  <w:noProof/>
                  <w:lang w:val="en-US"/>
                </w:rPr>
                <w:t xml:space="preserve">In NOSTOI. Indigenous Culture, Migration and Integration in the Aegean Islands and Western Anatolia During the Late Bronze and Early Iron Age. Proceedings of an International Symposium Held at the Koç Research Center for Anatolian Civilizations, Istanbul , </w:t>
              </w:r>
              <w:r>
                <w:rPr>
                  <w:noProof/>
                  <w:lang w:val="en-US"/>
                </w:rPr>
                <w:t>pp. 387-420.</w:t>
              </w:r>
            </w:p>
            <w:p w:rsidR="00AD0BEB" w:rsidRDefault="00AD0BEB" w:rsidP="00AD0BEB">
              <w:pPr>
                <w:pStyle w:val="Bibliography"/>
                <w:rPr>
                  <w:noProof/>
                  <w:lang w:val="en-US"/>
                </w:rPr>
              </w:pPr>
              <w:r>
                <w:rPr>
                  <w:noProof/>
                  <w:lang w:val="en-US"/>
                </w:rPr>
                <w:t xml:space="preserve">Graham, J., 2017. </w:t>
              </w:r>
              <w:r>
                <w:rPr>
                  <w:i/>
                  <w:iCs/>
                  <w:noProof/>
                  <w:lang w:val="en-US"/>
                </w:rPr>
                <w:t xml:space="preserve">The palaces of Crete. </w:t>
              </w:r>
              <w:r>
                <w:rPr>
                  <w:noProof/>
                  <w:lang w:val="en-US"/>
                </w:rPr>
                <w:t>s.l.:Princeton University Press..</w:t>
              </w:r>
            </w:p>
            <w:p w:rsidR="00AD0BEB" w:rsidRDefault="00AD0BEB" w:rsidP="00AD0BEB">
              <w:pPr>
                <w:pStyle w:val="Bibliography"/>
                <w:rPr>
                  <w:noProof/>
                  <w:lang w:val="en-US"/>
                </w:rPr>
              </w:pPr>
              <w:r>
                <w:rPr>
                  <w:noProof/>
                  <w:lang w:val="en-US"/>
                </w:rPr>
                <w:t xml:space="preserve">Hägg, R. &amp; Marinatos, N., 1984. The Minoan Thalassocracy. In: </w:t>
              </w:r>
              <w:r>
                <w:rPr>
                  <w:i/>
                  <w:iCs/>
                  <w:noProof/>
                  <w:lang w:val="en-US"/>
                </w:rPr>
                <w:t xml:space="preserve">Myth and Realith. </w:t>
              </w:r>
              <w:r>
                <w:rPr>
                  <w:noProof/>
                  <w:lang w:val="en-US"/>
                </w:rPr>
                <w:t>Stockholm: s.n.</w:t>
              </w:r>
            </w:p>
            <w:p w:rsidR="00AD0BEB" w:rsidRDefault="00AD0BEB" w:rsidP="00AD0BEB">
              <w:pPr>
                <w:pStyle w:val="Bibliography"/>
                <w:rPr>
                  <w:noProof/>
                  <w:lang w:val="en-US"/>
                </w:rPr>
              </w:pPr>
              <w:r>
                <w:rPr>
                  <w:noProof/>
                  <w:lang w:val="en-US"/>
                </w:rPr>
                <w:t xml:space="preserve">Hamilakis, Y. &amp; Sherratt, S., 2012. Feasting and the consuming body in Bronze Age Crete and Early Iron Age Cyprus. </w:t>
              </w:r>
              <w:r>
                <w:rPr>
                  <w:i/>
                  <w:iCs/>
                  <w:noProof/>
                  <w:lang w:val="en-US"/>
                </w:rPr>
                <w:t xml:space="preserve">British School at Athens Studies, </w:t>
              </w:r>
              <w:r>
                <w:rPr>
                  <w:noProof/>
                  <w:lang w:val="en-US"/>
                </w:rPr>
                <w:t>pp. 187-207.</w:t>
              </w:r>
            </w:p>
            <w:p w:rsidR="00AD0BEB" w:rsidRDefault="00AD0BEB" w:rsidP="00AD0BEB">
              <w:pPr>
                <w:pStyle w:val="Bibliography"/>
                <w:rPr>
                  <w:noProof/>
                  <w:lang w:val="en-US"/>
                </w:rPr>
              </w:pPr>
              <w:r>
                <w:rPr>
                  <w:noProof/>
                  <w:lang w:val="en-US"/>
                </w:rPr>
                <w:t xml:space="preserve">Harland, R., 1988. </w:t>
              </w:r>
              <w:r>
                <w:rPr>
                  <w:i/>
                  <w:iCs/>
                  <w:noProof/>
                  <w:lang w:val="en-US"/>
                </w:rPr>
                <w:t xml:space="preserve">Superstructuralism: The Philosophy of Structuralism and Post Structuralism. </w:t>
              </w:r>
              <w:r>
                <w:rPr>
                  <w:noProof/>
                  <w:lang w:val="en-US"/>
                </w:rPr>
                <w:t>London: Routledge.</w:t>
              </w:r>
            </w:p>
            <w:p w:rsidR="00AD0BEB" w:rsidRDefault="00AD0BEB" w:rsidP="00AD0BEB">
              <w:pPr>
                <w:pStyle w:val="Bibliography"/>
                <w:rPr>
                  <w:noProof/>
                  <w:lang w:val="en-US"/>
                </w:rPr>
              </w:pPr>
              <w:r>
                <w:rPr>
                  <w:noProof/>
                  <w:lang w:val="en-US"/>
                </w:rPr>
                <w:t xml:space="preserve">Hawkes, T., 1992. </w:t>
              </w:r>
              <w:r>
                <w:rPr>
                  <w:i/>
                  <w:iCs/>
                  <w:noProof/>
                  <w:lang w:val="en-US"/>
                </w:rPr>
                <w:t xml:space="preserve">Structuralism and Semiotics. </w:t>
              </w:r>
              <w:r>
                <w:rPr>
                  <w:noProof/>
                  <w:lang w:val="en-US"/>
                </w:rPr>
                <w:t>London: Routledge.</w:t>
              </w:r>
            </w:p>
            <w:p w:rsidR="00AD0BEB" w:rsidRDefault="00AD0BEB" w:rsidP="00AD0BEB">
              <w:pPr>
                <w:pStyle w:val="Bibliography"/>
                <w:rPr>
                  <w:noProof/>
                  <w:lang w:val="en-US"/>
                </w:rPr>
              </w:pPr>
              <w:r>
                <w:rPr>
                  <w:noProof/>
                  <w:lang w:val="en-US"/>
                </w:rPr>
                <w:t xml:space="preserve">Hodder, I. &amp; Cessford, C., 2004. Daily Practice and Social Memory at Çatalhöyük. </w:t>
              </w:r>
              <w:r>
                <w:rPr>
                  <w:i/>
                  <w:iCs/>
                  <w:noProof/>
                  <w:lang w:val="en-US"/>
                </w:rPr>
                <w:t xml:space="preserve">American Antiquity, </w:t>
              </w:r>
              <w:r>
                <w:rPr>
                  <w:noProof/>
                  <w:lang w:val="en-US"/>
                </w:rPr>
                <w:t>69(1), pp. 17-40.</w:t>
              </w:r>
            </w:p>
            <w:p w:rsidR="00AD0BEB" w:rsidRDefault="00AD0BEB" w:rsidP="00AD0BEB">
              <w:pPr>
                <w:pStyle w:val="Bibliography"/>
                <w:rPr>
                  <w:noProof/>
                  <w:lang w:val="en-US"/>
                </w:rPr>
              </w:pPr>
              <w:r>
                <w:rPr>
                  <w:noProof/>
                  <w:lang w:val="en-US"/>
                </w:rPr>
                <w:t xml:space="preserve">Kolakowski, Leszek and Falla &amp; Stephen, P., 1978. </w:t>
              </w:r>
              <w:r>
                <w:rPr>
                  <w:i/>
                  <w:iCs/>
                  <w:noProof/>
                  <w:lang w:val="en-US"/>
                </w:rPr>
                <w:t xml:space="preserve">Main currents of Marxism. </w:t>
              </w:r>
              <w:r>
                <w:rPr>
                  <w:noProof/>
                  <w:lang w:val="en-US"/>
                </w:rPr>
                <w:t>3 ed. Oxford: Oxford University Press.</w:t>
              </w:r>
            </w:p>
            <w:p w:rsidR="00AD0BEB" w:rsidRDefault="00AD0BEB" w:rsidP="00AD0BEB">
              <w:pPr>
                <w:pStyle w:val="Bibliography"/>
                <w:rPr>
                  <w:noProof/>
                  <w:lang w:val="en-US"/>
                </w:rPr>
              </w:pPr>
              <w:r>
                <w:rPr>
                  <w:noProof/>
                  <w:lang w:val="en-US"/>
                </w:rPr>
                <w:t xml:space="preserve">Lukács, G., 1971. </w:t>
              </w:r>
              <w:r>
                <w:rPr>
                  <w:i/>
                  <w:iCs/>
                  <w:noProof/>
                  <w:lang w:val="en-US"/>
                </w:rPr>
                <w:t xml:space="preserve">History and Class Consciousness: Studies in Marxist Dialectics. </w:t>
              </w:r>
              <w:r>
                <w:rPr>
                  <w:noProof/>
                  <w:lang w:val="en-US"/>
                </w:rPr>
                <w:t>Talgarth: The Merlin Press Ltd.</w:t>
              </w:r>
            </w:p>
            <w:p w:rsidR="00AD0BEB" w:rsidRDefault="00AD0BEB" w:rsidP="00AD0BEB">
              <w:pPr>
                <w:pStyle w:val="Bibliography"/>
                <w:rPr>
                  <w:noProof/>
                  <w:lang w:val="en-US"/>
                </w:rPr>
              </w:pPr>
              <w:r>
                <w:rPr>
                  <w:noProof/>
                  <w:lang w:val="en-US"/>
                </w:rPr>
                <w:lastRenderedPageBreak/>
                <w:t xml:space="preserve">Mackenzie, D., 1906. Cretan Palaces and the Aegean Civilization. II.. </w:t>
              </w:r>
              <w:r>
                <w:rPr>
                  <w:i/>
                  <w:iCs/>
                  <w:noProof/>
                  <w:lang w:val="en-US"/>
                </w:rPr>
                <w:t xml:space="preserve">The Annual of the British School at Athens, </w:t>
              </w:r>
              <w:r>
                <w:rPr>
                  <w:noProof/>
                  <w:lang w:val="en-US"/>
                </w:rPr>
                <w:t>Volume 12, pp. 216-258.</w:t>
              </w:r>
            </w:p>
            <w:p w:rsidR="00AD0BEB" w:rsidRDefault="00AD0BEB" w:rsidP="00AD0BEB">
              <w:pPr>
                <w:pStyle w:val="Bibliography"/>
                <w:rPr>
                  <w:noProof/>
                  <w:lang w:val="en-US"/>
                </w:rPr>
              </w:pPr>
              <w:r>
                <w:rPr>
                  <w:noProof/>
                  <w:lang w:val="en-US"/>
                </w:rPr>
                <w:t xml:space="preserve">Marinatos, N., 1984. </w:t>
              </w:r>
              <w:r>
                <w:rPr>
                  <w:i/>
                  <w:iCs/>
                  <w:noProof/>
                  <w:lang w:val="en-US"/>
                </w:rPr>
                <w:t xml:space="preserve">The Function of the Minoan Palaces. </w:t>
              </w:r>
              <w:r>
                <w:rPr>
                  <w:noProof/>
                  <w:lang w:val="en-US"/>
                </w:rPr>
                <w:t>In Proceedings of the Fourth International, s.n.</w:t>
              </w:r>
            </w:p>
            <w:p w:rsidR="00AD0BEB" w:rsidRDefault="00AD0BEB" w:rsidP="00AD0BEB">
              <w:pPr>
                <w:pStyle w:val="Bibliography"/>
                <w:rPr>
                  <w:noProof/>
                  <w:lang w:val="en-US"/>
                </w:rPr>
              </w:pPr>
              <w:r>
                <w:rPr>
                  <w:noProof/>
                  <w:lang w:val="en-US"/>
                </w:rPr>
                <w:t xml:space="preserve">Mastin, L., 2010. </w:t>
              </w:r>
              <w:r>
                <w:rPr>
                  <w:i/>
                  <w:iCs/>
                  <w:noProof/>
                  <w:lang w:val="en-US"/>
                </w:rPr>
                <w:t xml:space="preserve">Structuralism. </w:t>
              </w:r>
              <w:r>
                <w:rPr>
                  <w:noProof/>
                  <w:lang w:val="en-US"/>
                </w:rPr>
                <w:t xml:space="preserve">[Online] </w:t>
              </w:r>
              <w:r>
                <w:rPr>
                  <w:noProof/>
                  <w:lang w:val="en-US"/>
                </w:rPr>
                <w:br/>
                <w:t xml:space="preserve">Available at: </w:t>
              </w:r>
              <w:r>
                <w:rPr>
                  <w:noProof/>
                  <w:u w:val="single"/>
                  <w:lang w:val="en-US"/>
                </w:rPr>
                <w:t>http://www.philosophybasics.com/movements_structuralism.html</w:t>
              </w:r>
            </w:p>
            <w:p w:rsidR="00AD0BEB" w:rsidRDefault="00AD0BEB" w:rsidP="00AD0BEB">
              <w:pPr>
                <w:pStyle w:val="Bibliography"/>
                <w:rPr>
                  <w:noProof/>
                  <w:lang w:val="en-US"/>
                </w:rPr>
              </w:pPr>
              <w:r>
                <w:rPr>
                  <w:noProof/>
                  <w:lang w:val="en-US"/>
                </w:rPr>
                <w:t xml:space="preserve">McGuire R.L., O'Donovan, M. &amp; Wurst, L., 2005. Probing praxis in archaeology: the last eighty years. </w:t>
              </w:r>
              <w:r>
                <w:rPr>
                  <w:i/>
                  <w:iCs/>
                  <w:noProof/>
                  <w:lang w:val="en-US"/>
                </w:rPr>
                <w:t xml:space="preserve">Rethinking Marxism 17(3), </w:t>
              </w:r>
              <w:r>
                <w:rPr>
                  <w:noProof/>
                  <w:lang w:val="en-US"/>
                </w:rPr>
                <w:t>pp. 355-72.</w:t>
              </w:r>
            </w:p>
            <w:p w:rsidR="00AD0BEB" w:rsidRDefault="00AD0BEB" w:rsidP="00AD0BEB">
              <w:pPr>
                <w:pStyle w:val="Bibliography"/>
                <w:rPr>
                  <w:noProof/>
                  <w:lang w:val="en-US"/>
                </w:rPr>
              </w:pPr>
              <w:r>
                <w:rPr>
                  <w:noProof/>
                  <w:lang w:val="en-US"/>
                </w:rPr>
                <w:t xml:space="preserve">McLellan, D., 2007. </w:t>
              </w:r>
              <w:r>
                <w:rPr>
                  <w:i/>
                  <w:iCs/>
                  <w:noProof/>
                  <w:lang w:val="en-US"/>
                </w:rPr>
                <w:t xml:space="preserve">Marxism after Marx. </w:t>
              </w:r>
              <w:r>
                <w:rPr>
                  <w:noProof/>
                  <w:lang w:val="en-US"/>
                </w:rPr>
                <w:t>s.l.:Palgrave Macmillan.</w:t>
              </w:r>
            </w:p>
            <w:p w:rsidR="00AD0BEB" w:rsidRDefault="00AD0BEB" w:rsidP="00AD0BEB">
              <w:pPr>
                <w:pStyle w:val="Bibliography"/>
                <w:rPr>
                  <w:noProof/>
                  <w:lang w:val="en-US"/>
                </w:rPr>
              </w:pPr>
              <w:r>
                <w:rPr>
                  <w:noProof/>
                  <w:lang w:val="en-US"/>
                </w:rPr>
                <w:t xml:space="preserve">Mezhujev, V. M., 1993. Marxism in the Context of the History of Civilization and Culture. </w:t>
              </w:r>
              <w:r>
                <w:rPr>
                  <w:i/>
                  <w:iCs/>
                  <w:noProof/>
                  <w:lang w:val="en-US"/>
                </w:rPr>
                <w:t xml:space="preserve">Studies in East European Thought, </w:t>
              </w:r>
              <w:r>
                <w:rPr>
                  <w:noProof/>
                  <w:lang w:val="en-US"/>
                </w:rPr>
                <w:t>p. 23–35.</w:t>
              </w:r>
            </w:p>
            <w:p w:rsidR="00AD0BEB" w:rsidRDefault="00AD0BEB" w:rsidP="00AD0BEB">
              <w:pPr>
                <w:pStyle w:val="Bibliography"/>
                <w:rPr>
                  <w:noProof/>
                  <w:lang w:val="en-US"/>
                </w:rPr>
              </w:pPr>
              <w:r>
                <w:rPr>
                  <w:noProof/>
                  <w:lang w:val="en-US"/>
                </w:rPr>
                <w:t>Poursat, J., 1992. Guide de Malia au temps des premiers palais: Le quartier Mu (Vol. 1). In: Ecole française d'Athènes.: s.n.</w:t>
              </w:r>
            </w:p>
            <w:p w:rsidR="00AD0BEB" w:rsidRDefault="00AD0BEB" w:rsidP="00AD0BEB">
              <w:pPr>
                <w:pStyle w:val="Bibliography"/>
                <w:rPr>
                  <w:noProof/>
                  <w:lang w:val="en-US"/>
                </w:rPr>
              </w:pPr>
              <w:r>
                <w:rPr>
                  <w:noProof/>
                  <w:lang w:val="en-US"/>
                </w:rPr>
                <w:t xml:space="preserve">Rehak, P. &amp; Younger, J., 1998. Review of Aegean Prehistory VII: Neopalatial, Final Palatial, and Postpalatial Crete. </w:t>
              </w:r>
              <w:r>
                <w:rPr>
                  <w:i/>
                  <w:iCs/>
                  <w:noProof/>
                  <w:lang w:val="en-US"/>
                </w:rPr>
                <w:t xml:space="preserve">American Journal of Archaeology, </w:t>
              </w:r>
              <w:r>
                <w:rPr>
                  <w:noProof/>
                  <w:lang w:val="en-US"/>
                </w:rPr>
                <w:t>102(1), pp. 91-173.</w:t>
              </w:r>
            </w:p>
            <w:p w:rsidR="00AD0BEB" w:rsidRDefault="00AD0BEB" w:rsidP="00AD0BEB">
              <w:pPr>
                <w:pStyle w:val="Bibliography"/>
                <w:rPr>
                  <w:noProof/>
                  <w:lang w:val="en-US"/>
                </w:rPr>
              </w:pPr>
              <w:r>
                <w:rPr>
                  <w:noProof/>
                  <w:lang w:val="en-US"/>
                </w:rPr>
                <w:t xml:space="preserve">Schoep, I., 2006. Looking beyond the first palaces: elites and the agency of power in EM III-MM II Crete. </w:t>
              </w:r>
              <w:r>
                <w:rPr>
                  <w:i/>
                  <w:iCs/>
                  <w:noProof/>
                  <w:lang w:val="en-US"/>
                </w:rPr>
                <w:t xml:space="preserve">American Journal of Archaeology, </w:t>
              </w:r>
              <w:r>
                <w:rPr>
                  <w:noProof/>
                  <w:lang w:val="en-US"/>
                </w:rPr>
                <w:t>pp. 37-64.</w:t>
              </w:r>
            </w:p>
            <w:p w:rsidR="00AD0BEB" w:rsidRDefault="00AD0BEB" w:rsidP="00AD0BEB">
              <w:pPr>
                <w:pStyle w:val="Bibliography"/>
                <w:rPr>
                  <w:noProof/>
                  <w:lang w:val="en-US"/>
                </w:rPr>
              </w:pPr>
              <w:r>
                <w:rPr>
                  <w:noProof/>
                  <w:lang w:val="en-US"/>
                </w:rPr>
                <w:t xml:space="preserve">Scholes, R., 1974. </w:t>
              </w:r>
              <w:r>
                <w:rPr>
                  <w:i/>
                  <w:iCs/>
                  <w:noProof/>
                  <w:lang w:val="en-US"/>
                </w:rPr>
                <w:t xml:space="preserve">An introduction to Structuralism in Literature. </w:t>
              </w:r>
              <w:r>
                <w:rPr>
                  <w:noProof/>
                  <w:lang w:val="en-US"/>
                </w:rPr>
                <w:t>New York: Vail-Ballou Press.</w:t>
              </w:r>
            </w:p>
            <w:p w:rsidR="00AD0BEB" w:rsidRDefault="00AD0BEB" w:rsidP="00AD0BEB">
              <w:pPr>
                <w:pStyle w:val="Bibliography"/>
                <w:rPr>
                  <w:noProof/>
                  <w:lang w:val="en-US"/>
                </w:rPr>
              </w:pPr>
              <w:r>
                <w:rPr>
                  <w:noProof/>
                  <w:lang w:val="en-US"/>
                </w:rPr>
                <w:t xml:space="preserve">Strasser, T., 1997. Storage and states on prehistoric Crete: The function of the koulouras in the first Minoan palaces.. </w:t>
              </w:r>
              <w:r>
                <w:rPr>
                  <w:i/>
                  <w:iCs/>
                  <w:noProof/>
                  <w:lang w:val="en-US"/>
                </w:rPr>
                <w:t xml:space="preserve">Journal of Mediterranean Archaeology, </w:t>
              </w:r>
              <w:r>
                <w:rPr>
                  <w:noProof/>
                  <w:lang w:val="en-US"/>
                </w:rPr>
                <w:t>10(1), pp. 73-100.</w:t>
              </w:r>
            </w:p>
            <w:p w:rsidR="00AD0BEB" w:rsidRDefault="00AD0BEB" w:rsidP="00AD0BEB">
              <w:pPr>
                <w:pStyle w:val="Bibliography"/>
                <w:rPr>
                  <w:noProof/>
                  <w:lang w:val="en-US"/>
                </w:rPr>
              </w:pPr>
              <w:r>
                <w:rPr>
                  <w:noProof/>
                  <w:lang w:val="en-US"/>
                </w:rPr>
                <w:t xml:space="preserve">Williams, R., 1977. </w:t>
              </w:r>
              <w:r>
                <w:rPr>
                  <w:i/>
                  <w:iCs/>
                  <w:noProof/>
                  <w:lang w:val="en-US"/>
                </w:rPr>
                <w:t xml:space="preserve">Marxism and literature. </w:t>
              </w:r>
              <w:r>
                <w:rPr>
                  <w:noProof/>
                  <w:lang w:val="en-US"/>
                </w:rPr>
                <w:t>1 ed. Oxford: Oxford Paperbacks.</w:t>
              </w:r>
            </w:p>
            <w:p w:rsidR="00AD0BEB" w:rsidRDefault="00AD0BEB" w:rsidP="00AD0BEB">
              <w:pPr>
                <w:pStyle w:val="Bibliography"/>
                <w:rPr>
                  <w:noProof/>
                  <w:lang w:val="en-US"/>
                </w:rPr>
              </w:pPr>
              <w:r>
                <w:rPr>
                  <w:noProof/>
                  <w:lang w:val="en-US"/>
                </w:rPr>
                <w:t xml:space="preserve">Wodak, R., 1997. </w:t>
              </w:r>
              <w:r>
                <w:rPr>
                  <w:i/>
                  <w:iCs/>
                  <w:noProof/>
                  <w:lang w:val="en-US"/>
                </w:rPr>
                <w:t xml:space="preserve">Gender and Discourse. </w:t>
              </w:r>
              <w:r>
                <w:rPr>
                  <w:noProof/>
                  <w:lang w:val="en-US"/>
                </w:rPr>
                <w:t>London: SAGE Publications Ltd.</w:t>
              </w:r>
            </w:p>
            <w:p w:rsidR="009C38DA" w:rsidRDefault="009C38DA" w:rsidP="00AD0BEB">
              <w:r>
                <w:rPr>
                  <w:b/>
                  <w:bCs/>
                  <w:noProof/>
                </w:rPr>
                <w:fldChar w:fldCharType="end"/>
              </w:r>
            </w:p>
          </w:sdtContent>
        </w:sdt>
      </w:sdtContent>
    </w:sdt>
    <w:p w:rsidR="009C38DA" w:rsidRDefault="009C38DA"/>
    <w:p w:rsidR="001B3F91" w:rsidRDefault="001B3F91"/>
    <w:sectPr w:rsidR="001B3F9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Yu Mincho">
    <w:altName w:val="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605F"/>
    <w:rsid w:val="001527BD"/>
    <w:rsid w:val="001A3260"/>
    <w:rsid w:val="001A67E6"/>
    <w:rsid w:val="001B3F91"/>
    <w:rsid w:val="00210437"/>
    <w:rsid w:val="002A0E70"/>
    <w:rsid w:val="002E4E77"/>
    <w:rsid w:val="00335FCC"/>
    <w:rsid w:val="00336854"/>
    <w:rsid w:val="00355D70"/>
    <w:rsid w:val="00395719"/>
    <w:rsid w:val="0039621D"/>
    <w:rsid w:val="003F1C4B"/>
    <w:rsid w:val="00477F17"/>
    <w:rsid w:val="004B51C1"/>
    <w:rsid w:val="004C5135"/>
    <w:rsid w:val="004E7C5E"/>
    <w:rsid w:val="0050278F"/>
    <w:rsid w:val="005032C1"/>
    <w:rsid w:val="00521D20"/>
    <w:rsid w:val="0059701A"/>
    <w:rsid w:val="005A7EED"/>
    <w:rsid w:val="00642200"/>
    <w:rsid w:val="0068518A"/>
    <w:rsid w:val="006E605F"/>
    <w:rsid w:val="00717659"/>
    <w:rsid w:val="00723B52"/>
    <w:rsid w:val="00797030"/>
    <w:rsid w:val="007F0834"/>
    <w:rsid w:val="008059F8"/>
    <w:rsid w:val="0081603C"/>
    <w:rsid w:val="00831FD4"/>
    <w:rsid w:val="00866403"/>
    <w:rsid w:val="00867F12"/>
    <w:rsid w:val="0087457E"/>
    <w:rsid w:val="00887958"/>
    <w:rsid w:val="008D2C1D"/>
    <w:rsid w:val="00906518"/>
    <w:rsid w:val="009258E7"/>
    <w:rsid w:val="00970EB1"/>
    <w:rsid w:val="009C38DA"/>
    <w:rsid w:val="009E548F"/>
    <w:rsid w:val="00A61F19"/>
    <w:rsid w:val="00A65866"/>
    <w:rsid w:val="00A86529"/>
    <w:rsid w:val="00A8669E"/>
    <w:rsid w:val="00AA4B57"/>
    <w:rsid w:val="00AC3320"/>
    <w:rsid w:val="00AD0BEB"/>
    <w:rsid w:val="00C85328"/>
    <w:rsid w:val="00CA5F6B"/>
    <w:rsid w:val="00E53DF7"/>
    <w:rsid w:val="00EA468E"/>
    <w:rsid w:val="00EA7AFF"/>
    <w:rsid w:val="00EC53A9"/>
    <w:rsid w:val="00EC5ECA"/>
    <w:rsid w:val="00FB2239"/>
    <w:rsid w:val="00FF2B2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E9BC65"/>
  <w15:chartTrackingRefBased/>
  <w15:docId w15:val="{E05501CA-650A-4DEB-9C7F-BC9DE86EFD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C38DA"/>
    <w:pPr>
      <w:keepNext/>
      <w:keepLines/>
      <w:spacing w:before="240" w:after="0"/>
      <w:outlineLvl w:val="0"/>
    </w:pPr>
    <w:rPr>
      <w:rFonts w:asciiTheme="majorHAnsi" w:eastAsiaTheme="majorEastAsia" w:hAnsiTheme="majorHAnsi" w:cstheme="majorBidi"/>
      <w:color w:val="2E74B5" w:themeColor="accent1" w:themeShade="BF"/>
      <w:sz w:val="32"/>
      <w:szCs w:val="32"/>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38DA"/>
    <w:rPr>
      <w:rFonts w:asciiTheme="majorHAnsi" w:eastAsiaTheme="majorEastAsia" w:hAnsiTheme="majorHAnsi" w:cstheme="majorBidi"/>
      <w:color w:val="2E74B5" w:themeColor="accent1" w:themeShade="BF"/>
      <w:sz w:val="32"/>
      <w:szCs w:val="32"/>
      <w:lang w:val="en-US" w:eastAsia="en-US"/>
    </w:rPr>
  </w:style>
  <w:style w:type="paragraph" w:styleId="Bibliography">
    <w:name w:val="Bibliography"/>
    <w:basedOn w:val="Normal"/>
    <w:next w:val="Normal"/>
    <w:uiPriority w:val="37"/>
    <w:unhideWhenUsed/>
    <w:rsid w:val="009C38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6189">
      <w:bodyDiv w:val="1"/>
      <w:marLeft w:val="0"/>
      <w:marRight w:val="0"/>
      <w:marTop w:val="0"/>
      <w:marBottom w:val="0"/>
      <w:divBdr>
        <w:top w:val="none" w:sz="0" w:space="0" w:color="auto"/>
        <w:left w:val="none" w:sz="0" w:space="0" w:color="auto"/>
        <w:bottom w:val="none" w:sz="0" w:space="0" w:color="auto"/>
        <w:right w:val="none" w:sz="0" w:space="0" w:color="auto"/>
      </w:divBdr>
    </w:div>
    <w:div w:id="9185519">
      <w:bodyDiv w:val="1"/>
      <w:marLeft w:val="0"/>
      <w:marRight w:val="0"/>
      <w:marTop w:val="0"/>
      <w:marBottom w:val="0"/>
      <w:divBdr>
        <w:top w:val="none" w:sz="0" w:space="0" w:color="auto"/>
        <w:left w:val="none" w:sz="0" w:space="0" w:color="auto"/>
        <w:bottom w:val="none" w:sz="0" w:space="0" w:color="auto"/>
        <w:right w:val="none" w:sz="0" w:space="0" w:color="auto"/>
      </w:divBdr>
    </w:div>
    <w:div w:id="31806858">
      <w:bodyDiv w:val="1"/>
      <w:marLeft w:val="0"/>
      <w:marRight w:val="0"/>
      <w:marTop w:val="0"/>
      <w:marBottom w:val="0"/>
      <w:divBdr>
        <w:top w:val="none" w:sz="0" w:space="0" w:color="auto"/>
        <w:left w:val="none" w:sz="0" w:space="0" w:color="auto"/>
        <w:bottom w:val="none" w:sz="0" w:space="0" w:color="auto"/>
        <w:right w:val="none" w:sz="0" w:space="0" w:color="auto"/>
      </w:divBdr>
    </w:div>
    <w:div w:id="53285229">
      <w:bodyDiv w:val="1"/>
      <w:marLeft w:val="0"/>
      <w:marRight w:val="0"/>
      <w:marTop w:val="0"/>
      <w:marBottom w:val="0"/>
      <w:divBdr>
        <w:top w:val="none" w:sz="0" w:space="0" w:color="auto"/>
        <w:left w:val="none" w:sz="0" w:space="0" w:color="auto"/>
        <w:bottom w:val="none" w:sz="0" w:space="0" w:color="auto"/>
        <w:right w:val="none" w:sz="0" w:space="0" w:color="auto"/>
      </w:divBdr>
    </w:div>
    <w:div w:id="282855905">
      <w:bodyDiv w:val="1"/>
      <w:marLeft w:val="0"/>
      <w:marRight w:val="0"/>
      <w:marTop w:val="0"/>
      <w:marBottom w:val="0"/>
      <w:divBdr>
        <w:top w:val="none" w:sz="0" w:space="0" w:color="auto"/>
        <w:left w:val="none" w:sz="0" w:space="0" w:color="auto"/>
        <w:bottom w:val="none" w:sz="0" w:space="0" w:color="auto"/>
        <w:right w:val="none" w:sz="0" w:space="0" w:color="auto"/>
      </w:divBdr>
    </w:div>
    <w:div w:id="472060735">
      <w:bodyDiv w:val="1"/>
      <w:marLeft w:val="0"/>
      <w:marRight w:val="0"/>
      <w:marTop w:val="0"/>
      <w:marBottom w:val="0"/>
      <w:divBdr>
        <w:top w:val="none" w:sz="0" w:space="0" w:color="auto"/>
        <w:left w:val="none" w:sz="0" w:space="0" w:color="auto"/>
        <w:bottom w:val="none" w:sz="0" w:space="0" w:color="auto"/>
        <w:right w:val="none" w:sz="0" w:space="0" w:color="auto"/>
      </w:divBdr>
    </w:div>
    <w:div w:id="507988191">
      <w:bodyDiv w:val="1"/>
      <w:marLeft w:val="0"/>
      <w:marRight w:val="0"/>
      <w:marTop w:val="0"/>
      <w:marBottom w:val="0"/>
      <w:divBdr>
        <w:top w:val="none" w:sz="0" w:space="0" w:color="auto"/>
        <w:left w:val="none" w:sz="0" w:space="0" w:color="auto"/>
        <w:bottom w:val="none" w:sz="0" w:space="0" w:color="auto"/>
        <w:right w:val="none" w:sz="0" w:space="0" w:color="auto"/>
      </w:divBdr>
    </w:div>
    <w:div w:id="535120530">
      <w:bodyDiv w:val="1"/>
      <w:marLeft w:val="0"/>
      <w:marRight w:val="0"/>
      <w:marTop w:val="0"/>
      <w:marBottom w:val="0"/>
      <w:divBdr>
        <w:top w:val="none" w:sz="0" w:space="0" w:color="auto"/>
        <w:left w:val="none" w:sz="0" w:space="0" w:color="auto"/>
        <w:bottom w:val="none" w:sz="0" w:space="0" w:color="auto"/>
        <w:right w:val="none" w:sz="0" w:space="0" w:color="auto"/>
      </w:divBdr>
    </w:div>
    <w:div w:id="614680637">
      <w:bodyDiv w:val="1"/>
      <w:marLeft w:val="0"/>
      <w:marRight w:val="0"/>
      <w:marTop w:val="0"/>
      <w:marBottom w:val="0"/>
      <w:divBdr>
        <w:top w:val="none" w:sz="0" w:space="0" w:color="auto"/>
        <w:left w:val="none" w:sz="0" w:space="0" w:color="auto"/>
        <w:bottom w:val="none" w:sz="0" w:space="0" w:color="auto"/>
        <w:right w:val="none" w:sz="0" w:space="0" w:color="auto"/>
      </w:divBdr>
    </w:div>
    <w:div w:id="667907629">
      <w:bodyDiv w:val="1"/>
      <w:marLeft w:val="0"/>
      <w:marRight w:val="0"/>
      <w:marTop w:val="0"/>
      <w:marBottom w:val="0"/>
      <w:divBdr>
        <w:top w:val="none" w:sz="0" w:space="0" w:color="auto"/>
        <w:left w:val="none" w:sz="0" w:space="0" w:color="auto"/>
        <w:bottom w:val="none" w:sz="0" w:space="0" w:color="auto"/>
        <w:right w:val="none" w:sz="0" w:space="0" w:color="auto"/>
      </w:divBdr>
    </w:div>
    <w:div w:id="669061700">
      <w:bodyDiv w:val="1"/>
      <w:marLeft w:val="0"/>
      <w:marRight w:val="0"/>
      <w:marTop w:val="0"/>
      <w:marBottom w:val="0"/>
      <w:divBdr>
        <w:top w:val="none" w:sz="0" w:space="0" w:color="auto"/>
        <w:left w:val="none" w:sz="0" w:space="0" w:color="auto"/>
        <w:bottom w:val="none" w:sz="0" w:space="0" w:color="auto"/>
        <w:right w:val="none" w:sz="0" w:space="0" w:color="auto"/>
      </w:divBdr>
    </w:div>
    <w:div w:id="758327496">
      <w:bodyDiv w:val="1"/>
      <w:marLeft w:val="0"/>
      <w:marRight w:val="0"/>
      <w:marTop w:val="0"/>
      <w:marBottom w:val="0"/>
      <w:divBdr>
        <w:top w:val="none" w:sz="0" w:space="0" w:color="auto"/>
        <w:left w:val="none" w:sz="0" w:space="0" w:color="auto"/>
        <w:bottom w:val="none" w:sz="0" w:space="0" w:color="auto"/>
        <w:right w:val="none" w:sz="0" w:space="0" w:color="auto"/>
      </w:divBdr>
    </w:div>
    <w:div w:id="781806901">
      <w:bodyDiv w:val="1"/>
      <w:marLeft w:val="0"/>
      <w:marRight w:val="0"/>
      <w:marTop w:val="0"/>
      <w:marBottom w:val="0"/>
      <w:divBdr>
        <w:top w:val="none" w:sz="0" w:space="0" w:color="auto"/>
        <w:left w:val="none" w:sz="0" w:space="0" w:color="auto"/>
        <w:bottom w:val="none" w:sz="0" w:space="0" w:color="auto"/>
        <w:right w:val="none" w:sz="0" w:space="0" w:color="auto"/>
      </w:divBdr>
    </w:div>
    <w:div w:id="786311088">
      <w:bodyDiv w:val="1"/>
      <w:marLeft w:val="0"/>
      <w:marRight w:val="0"/>
      <w:marTop w:val="0"/>
      <w:marBottom w:val="0"/>
      <w:divBdr>
        <w:top w:val="none" w:sz="0" w:space="0" w:color="auto"/>
        <w:left w:val="none" w:sz="0" w:space="0" w:color="auto"/>
        <w:bottom w:val="none" w:sz="0" w:space="0" w:color="auto"/>
        <w:right w:val="none" w:sz="0" w:space="0" w:color="auto"/>
      </w:divBdr>
    </w:div>
    <w:div w:id="942686902">
      <w:bodyDiv w:val="1"/>
      <w:marLeft w:val="0"/>
      <w:marRight w:val="0"/>
      <w:marTop w:val="0"/>
      <w:marBottom w:val="0"/>
      <w:divBdr>
        <w:top w:val="none" w:sz="0" w:space="0" w:color="auto"/>
        <w:left w:val="none" w:sz="0" w:space="0" w:color="auto"/>
        <w:bottom w:val="none" w:sz="0" w:space="0" w:color="auto"/>
        <w:right w:val="none" w:sz="0" w:space="0" w:color="auto"/>
      </w:divBdr>
    </w:div>
    <w:div w:id="944191954">
      <w:bodyDiv w:val="1"/>
      <w:marLeft w:val="0"/>
      <w:marRight w:val="0"/>
      <w:marTop w:val="0"/>
      <w:marBottom w:val="0"/>
      <w:divBdr>
        <w:top w:val="none" w:sz="0" w:space="0" w:color="auto"/>
        <w:left w:val="none" w:sz="0" w:space="0" w:color="auto"/>
        <w:bottom w:val="none" w:sz="0" w:space="0" w:color="auto"/>
        <w:right w:val="none" w:sz="0" w:space="0" w:color="auto"/>
      </w:divBdr>
    </w:div>
    <w:div w:id="1006791323">
      <w:bodyDiv w:val="1"/>
      <w:marLeft w:val="0"/>
      <w:marRight w:val="0"/>
      <w:marTop w:val="0"/>
      <w:marBottom w:val="0"/>
      <w:divBdr>
        <w:top w:val="none" w:sz="0" w:space="0" w:color="auto"/>
        <w:left w:val="none" w:sz="0" w:space="0" w:color="auto"/>
        <w:bottom w:val="none" w:sz="0" w:space="0" w:color="auto"/>
        <w:right w:val="none" w:sz="0" w:space="0" w:color="auto"/>
      </w:divBdr>
    </w:div>
    <w:div w:id="1015619646">
      <w:bodyDiv w:val="1"/>
      <w:marLeft w:val="0"/>
      <w:marRight w:val="0"/>
      <w:marTop w:val="0"/>
      <w:marBottom w:val="0"/>
      <w:divBdr>
        <w:top w:val="none" w:sz="0" w:space="0" w:color="auto"/>
        <w:left w:val="none" w:sz="0" w:space="0" w:color="auto"/>
        <w:bottom w:val="none" w:sz="0" w:space="0" w:color="auto"/>
        <w:right w:val="none" w:sz="0" w:space="0" w:color="auto"/>
      </w:divBdr>
    </w:div>
    <w:div w:id="1118598987">
      <w:bodyDiv w:val="1"/>
      <w:marLeft w:val="0"/>
      <w:marRight w:val="0"/>
      <w:marTop w:val="0"/>
      <w:marBottom w:val="0"/>
      <w:divBdr>
        <w:top w:val="none" w:sz="0" w:space="0" w:color="auto"/>
        <w:left w:val="none" w:sz="0" w:space="0" w:color="auto"/>
        <w:bottom w:val="none" w:sz="0" w:space="0" w:color="auto"/>
        <w:right w:val="none" w:sz="0" w:space="0" w:color="auto"/>
      </w:divBdr>
    </w:div>
    <w:div w:id="1162623697">
      <w:bodyDiv w:val="1"/>
      <w:marLeft w:val="0"/>
      <w:marRight w:val="0"/>
      <w:marTop w:val="0"/>
      <w:marBottom w:val="0"/>
      <w:divBdr>
        <w:top w:val="none" w:sz="0" w:space="0" w:color="auto"/>
        <w:left w:val="none" w:sz="0" w:space="0" w:color="auto"/>
        <w:bottom w:val="none" w:sz="0" w:space="0" w:color="auto"/>
        <w:right w:val="none" w:sz="0" w:space="0" w:color="auto"/>
      </w:divBdr>
    </w:div>
    <w:div w:id="1166824079">
      <w:bodyDiv w:val="1"/>
      <w:marLeft w:val="0"/>
      <w:marRight w:val="0"/>
      <w:marTop w:val="0"/>
      <w:marBottom w:val="0"/>
      <w:divBdr>
        <w:top w:val="none" w:sz="0" w:space="0" w:color="auto"/>
        <w:left w:val="none" w:sz="0" w:space="0" w:color="auto"/>
        <w:bottom w:val="none" w:sz="0" w:space="0" w:color="auto"/>
        <w:right w:val="none" w:sz="0" w:space="0" w:color="auto"/>
      </w:divBdr>
    </w:div>
    <w:div w:id="1171530841">
      <w:bodyDiv w:val="1"/>
      <w:marLeft w:val="0"/>
      <w:marRight w:val="0"/>
      <w:marTop w:val="0"/>
      <w:marBottom w:val="0"/>
      <w:divBdr>
        <w:top w:val="none" w:sz="0" w:space="0" w:color="auto"/>
        <w:left w:val="none" w:sz="0" w:space="0" w:color="auto"/>
        <w:bottom w:val="none" w:sz="0" w:space="0" w:color="auto"/>
        <w:right w:val="none" w:sz="0" w:space="0" w:color="auto"/>
      </w:divBdr>
    </w:div>
    <w:div w:id="1177498802">
      <w:bodyDiv w:val="1"/>
      <w:marLeft w:val="0"/>
      <w:marRight w:val="0"/>
      <w:marTop w:val="0"/>
      <w:marBottom w:val="0"/>
      <w:divBdr>
        <w:top w:val="none" w:sz="0" w:space="0" w:color="auto"/>
        <w:left w:val="none" w:sz="0" w:space="0" w:color="auto"/>
        <w:bottom w:val="none" w:sz="0" w:space="0" w:color="auto"/>
        <w:right w:val="none" w:sz="0" w:space="0" w:color="auto"/>
      </w:divBdr>
    </w:div>
    <w:div w:id="1217859176">
      <w:bodyDiv w:val="1"/>
      <w:marLeft w:val="0"/>
      <w:marRight w:val="0"/>
      <w:marTop w:val="0"/>
      <w:marBottom w:val="0"/>
      <w:divBdr>
        <w:top w:val="none" w:sz="0" w:space="0" w:color="auto"/>
        <w:left w:val="none" w:sz="0" w:space="0" w:color="auto"/>
        <w:bottom w:val="none" w:sz="0" w:space="0" w:color="auto"/>
        <w:right w:val="none" w:sz="0" w:space="0" w:color="auto"/>
      </w:divBdr>
    </w:div>
    <w:div w:id="1233663594">
      <w:bodyDiv w:val="1"/>
      <w:marLeft w:val="0"/>
      <w:marRight w:val="0"/>
      <w:marTop w:val="0"/>
      <w:marBottom w:val="0"/>
      <w:divBdr>
        <w:top w:val="none" w:sz="0" w:space="0" w:color="auto"/>
        <w:left w:val="none" w:sz="0" w:space="0" w:color="auto"/>
        <w:bottom w:val="none" w:sz="0" w:space="0" w:color="auto"/>
        <w:right w:val="none" w:sz="0" w:space="0" w:color="auto"/>
      </w:divBdr>
    </w:div>
    <w:div w:id="1258250094">
      <w:bodyDiv w:val="1"/>
      <w:marLeft w:val="0"/>
      <w:marRight w:val="0"/>
      <w:marTop w:val="0"/>
      <w:marBottom w:val="0"/>
      <w:divBdr>
        <w:top w:val="none" w:sz="0" w:space="0" w:color="auto"/>
        <w:left w:val="none" w:sz="0" w:space="0" w:color="auto"/>
        <w:bottom w:val="none" w:sz="0" w:space="0" w:color="auto"/>
        <w:right w:val="none" w:sz="0" w:space="0" w:color="auto"/>
      </w:divBdr>
    </w:div>
    <w:div w:id="1375694286">
      <w:bodyDiv w:val="1"/>
      <w:marLeft w:val="0"/>
      <w:marRight w:val="0"/>
      <w:marTop w:val="0"/>
      <w:marBottom w:val="0"/>
      <w:divBdr>
        <w:top w:val="none" w:sz="0" w:space="0" w:color="auto"/>
        <w:left w:val="none" w:sz="0" w:space="0" w:color="auto"/>
        <w:bottom w:val="none" w:sz="0" w:space="0" w:color="auto"/>
        <w:right w:val="none" w:sz="0" w:space="0" w:color="auto"/>
      </w:divBdr>
    </w:div>
    <w:div w:id="1396663383">
      <w:bodyDiv w:val="1"/>
      <w:marLeft w:val="0"/>
      <w:marRight w:val="0"/>
      <w:marTop w:val="0"/>
      <w:marBottom w:val="0"/>
      <w:divBdr>
        <w:top w:val="none" w:sz="0" w:space="0" w:color="auto"/>
        <w:left w:val="none" w:sz="0" w:space="0" w:color="auto"/>
        <w:bottom w:val="none" w:sz="0" w:space="0" w:color="auto"/>
        <w:right w:val="none" w:sz="0" w:space="0" w:color="auto"/>
      </w:divBdr>
    </w:div>
    <w:div w:id="1435899607">
      <w:bodyDiv w:val="1"/>
      <w:marLeft w:val="0"/>
      <w:marRight w:val="0"/>
      <w:marTop w:val="0"/>
      <w:marBottom w:val="0"/>
      <w:divBdr>
        <w:top w:val="none" w:sz="0" w:space="0" w:color="auto"/>
        <w:left w:val="none" w:sz="0" w:space="0" w:color="auto"/>
        <w:bottom w:val="none" w:sz="0" w:space="0" w:color="auto"/>
        <w:right w:val="none" w:sz="0" w:space="0" w:color="auto"/>
      </w:divBdr>
    </w:div>
    <w:div w:id="1558320780">
      <w:bodyDiv w:val="1"/>
      <w:marLeft w:val="0"/>
      <w:marRight w:val="0"/>
      <w:marTop w:val="0"/>
      <w:marBottom w:val="0"/>
      <w:divBdr>
        <w:top w:val="none" w:sz="0" w:space="0" w:color="auto"/>
        <w:left w:val="none" w:sz="0" w:space="0" w:color="auto"/>
        <w:bottom w:val="none" w:sz="0" w:space="0" w:color="auto"/>
        <w:right w:val="none" w:sz="0" w:space="0" w:color="auto"/>
      </w:divBdr>
    </w:div>
    <w:div w:id="1598631593">
      <w:bodyDiv w:val="1"/>
      <w:marLeft w:val="0"/>
      <w:marRight w:val="0"/>
      <w:marTop w:val="0"/>
      <w:marBottom w:val="0"/>
      <w:divBdr>
        <w:top w:val="none" w:sz="0" w:space="0" w:color="auto"/>
        <w:left w:val="none" w:sz="0" w:space="0" w:color="auto"/>
        <w:bottom w:val="none" w:sz="0" w:space="0" w:color="auto"/>
        <w:right w:val="none" w:sz="0" w:space="0" w:color="auto"/>
      </w:divBdr>
    </w:div>
    <w:div w:id="1757969717">
      <w:bodyDiv w:val="1"/>
      <w:marLeft w:val="0"/>
      <w:marRight w:val="0"/>
      <w:marTop w:val="0"/>
      <w:marBottom w:val="0"/>
      <w:divBdr>
        <w:top w:val="none" w:sz="0" w:space="0" w:color="auto"/>
        <w:left w:val="none" w:sz="0" w:space="0" w:color="auto"/>
        <w:bottom w:val="none" w:sz="0" w:space="0" w:color="auto"/>
        <w:right w:val="none" w:sz="0" w:space="0" w:color="auto"/>
      </w:divBdr>
    </w:div>
    <w:div w:id="1778595971">
      <w:bodyDiv w:val="1"/>
      <w:marLeft w:val="0"/>
      <w:marRight w:val="0"/>
      <w:marTop w:val="0"/>
      <w:marBottom w:val="0"/>
      <w:divBdr>
        <w:top w:val="none" w:sz="0" w:space="0" w:color="auto"/>
        <w:left w:val="none" w:sz="0" w:space="0" w:color="auto"/>
        <w:bottom w:val="none" w:sz="0" w:space="0" w:color="auto"/>
        <w:right w:val="none" w:sz="0" w:space="0" w:color="auto"/>
      </w:divBdr>
    </w:div>
    <w:div w:id="1823886762">
      <w:bodyDiv w:val="1"/>
      <w:marLeft w:val="0"/>
      <w:marRight w:val="0"/>
      <w:marTop w:val="0"/>
      <w:marBottom w:val="0"/>
      <w:divBdr>
        <w:top w:val="none" w:sz="0" w:space="0" w:color="auto"/>
        <w:left w:val="none" w:sz="0" w:space="0" w:color="auto"/>
        <w:bottom w:val="none" w:sz="0" w:space="0" w:color="auto"/>
        <w:right w:val="none" w:sz="0" w:space="0" w:color="auto"/>
      </w:divBdr>
    </w:div>
    <w:div w:id="1854681211">
      <w:bodyDiv w:val="1"/>
      <w:marLeft w:val="0"/>
      <w:marRight w:val="0"/>
      <w:marTop w:val="0"/>
      <w:marBottom w:val="0"/>
      <w:divBdr>
        <w:top w:val="none" w:sz="0" w:space="0" w:color="auto"/>
        <w:left w:val="none" w:sz="0" w:space="0" w:color="auto"/>
        <w:bottom w:val="none" w:sz="0" w:space="0" w:color="auto"/>
        <w:right w:val="none" w:sz="0" w:space="0" w:color="auto"/>
      </w:divBdr>
    </w:div>
    <w:div w:id="1900436554">
      <w:bodyDiv w:val="1"/>
      <w:marLeft w:val="0"/>
      <w:marRight w:val="0"/>
      <w:marTop w:val="0"/>
      <w:marBottom w:val="0"/>
      <w:divBdr>
        <w:top w:val="none" w:sz="0" w:space="0" w:color="auto"/>
        <w:left w:val="none" w:sz="0" w:space="0" w:color="auto"/>
        <w:bottom w:val="none" w:sz="0" w:space="0" w:color="auto"/>
        <w:right w:val="none" w:sz="0" w:space="0" w:color="auto"/>
      </w:divBdr>
    </w:div>
    <w:div w:id="2005162868">
      <w:bodyDiv w:val="1"/>
      <w:marLeft w:val="0"/>
      <w:marRight w:val="0"/>
      <w:marTop w:val="0"/>
      <w:marBottom w:val="0"/>
      <w:divBdr>
        <w:top w:val="none" w:sz="0" w:space="0" w:color="auto"/>
        <w:left w:val="none" w:sz="0" w:space="0" w:color="auto"/>
        <w:bottom w:val="none" w:sz="0" w:space="0" w:color="auto"/>
        <w:right w:val="none" w:sz="0" w:space="0" w:color="auto"/>
      </w:divBdr>
    </w:div>
    <w:div w:id="2030912194">
      <w:bodyDiv w:val="1"/>
      <w:marLeft w:val="0"/>
      <w:marRight w:val="0"/>
      <w:marTop w:val="0"/>
      <w:marBottom w:val="0"/>
      <w:divBdr>
        <w:top w:val="none" w:sz="0" w:space="0" w:color="auto"/>
        <w:left w:val="none" w:sz="0" w:space="0" w:color="auto"/>
        <w:bottom w:val="none" w:sz="0" w:space="0" w:color="auto"/>
        <w:right w:val="none" w:sz="0" w:space="0" w:color="auto"/>
      </w:divBdr>
    </w:div>
    <w:div w:id="2138834219">
      <w:bodyDiv w:val="1"/>
      <w:marLeft w:val="0"/>
      <w:marRight w:val="0"/>
      <w:marTop w:val="0"/>
      <w:marBottom w:val="0"/>
      <w:divBdr>
        <w:top w:val="none" w:sz="0" w:space="0" w:color="auto"/>
        <w:left w:val="none" w:sz="0" w:space="0" w:color="auto"/>
        <w:bottom w:val="none" w:sz="0" w:space="0" w:color="auto"/>
        <w:right w:val="none" w:sz="0" w:space="0" w:color="auto"/>
      </w:divBdr>
    </w:div>
    <w:div w:id="2147046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Bev10</b:Tag>
    <b:SourceType>JournalArticle</b:SourceType>
    <b:Guid>{4863D1CA-E7BC-4C9A-B9E1-BA5DD02B10AE}</b:Guid>
    <b:Title>Political geography and palatial Crete</b:Title>
    <b:JournalName>Journal of Mediterranean Archaeology</b:JournalName>
    <b:Year>2010</b:Year>
    <b:Pages>27-54</b:Pages>
    <b:Volume>23</b:Volume>
    <b:Issue>1</b:Issue>
    <b:Author>
      <b:Author>
        <b:NameList>
          <b:Person>
            <b:Last>Bevan</b:Last>
            <b:First>A</b:First>
          </b:Person>
        </b:NameList>
      </b:Author>
    </b:Author>
    <b:RefOrder>18</b:RefOrder>
  </b:Source>
  <b:Source>
    <b:Tag>Bou87</b:Tag>
    <b:SourceType>Book</b:SourceType>
    <b:Guid>{941A6398-E9E2-49F3-8A37-4DA0D2120393}</b:Guid>
    <b:Title>Outline of a Theory of Practice</b:Title>
    <b:Year>1987</b:Year>
    <b:City>Cambridge</b:City>
    <b:Publisher>University of Cambridge Press Syndicate</b:Publisher>
    <b:Author>
      <b:Author>
        <b:NameList>
          <b:Person>
            <b:Last>Bourdieu</b:Last>
            <b:First>Pierre</b:First>
          </b:Person>
        </b:NameList>
      </b:Author>
    </b:Author>
    <b:RefOrder>8</b:RefOrder>
  </b:Source>
  <b:Source>
    <b:Tag>Bou90</b:Tag>
    <b:SourceType>Book</b:SourceType>
    <b:Guid>{2EA4A90B-4B96-441F-9067-1597499CC322}</b:Guid>
    <b:Title>The Logic of Pracitice</b:Title>
    <b:Year>1990</b:Year>
    <b:City>Cambridge</b:City>
    <b:Publisher>Polity Press</b:Publisher>
    <b:Author>
      <b:Author>
        <b:NameList>
          <b:Person>
            <b:Last>Bourdieu</b:Last>
            <b:First>Pierre</b:First>
          </b:Person>
        </b:NameList>
      </b:Author>
    </b:Author>
    <b:RefOrder>9</b:RefOrder>
  </b:Source>
  <b:Source>
    <b:Tag>Bra81</b:Tag>
    <b:SourceType>ConferenceProceedings</b:SourceType>
    <b:Guid>{CCB465FA-D095-490E-9086-BC07DEF26D48}</b:Guid>
    <b:Title>Craft Specialization in Minoan Crete</b:Title>
    <b:Year>1981</b:Year>
    <b:Pages>22-23</b:Pages>
    <b:Author>
      <b:Author>
        <b:NameList>
          <b:Person>
            <b:Last>Branigan</b:Last>
            <b:First>K</b:First>
          </b:Person>
        </b:NameList>
      </b:Author>
    </b:Author>
    <b:City>Proceedings of the Cambridge Colloquium</b:City>
    <b:ConferenceName>Minoan Society</b:ConferenceName>
    <b:RefOrder>19</b:RefOrder>
  </b:Source>
  <b:Source>
    <b:Tag>Cru95</b:Tag>
    <b:SourceType>JournalArticle</b:SourceType>
    <b:Guid>{3A36CC91-8436-49F5-8B4C-3420D5649824}</b:Guid>
    <b:Title>Heterarchy and the analysis of complex societies</b:Title>
    <b:JournalName>Archeological Papers of the American Anthropological Association</b:JournalName>
    <b:Year>1995</b:Year>
    <b:Pages>1-5</b:Pages>
    <b:Volume>6</b:Volume>
    <b:Issue>1</b:Issue>
    <b:Author>
      <b:Author>
        <b:NameList>
          <b:Person>
            <b:Last>Crumley</b:Last>
            <b:First>C.L</b:First>
          </b:Person>
        </b:NameList>
      </b:Author>
    </b:Author>
    <b:RefOrder>17</b:RefOrder>
  </b:Source>
  <b:Source>
    <b:Tag>Cul02</b:Tag>
    <b:SourceType>Book</b:SourceType>
    <b:Guid>{ACB26631-2946-4ACB-9858-FDD56BB5504D}</b:Guid>
    <b:Title>Structuralist Poetics: Structuralism, Linguistics and the Study of Literature</b:Title>
    <b:Year>2002</b:Year>
    <b:City>London</b:City>
    <b:Publisher>Routledge Classics</b:Publisher>
    <b:Author>
      <b:Author>
        <b:NameList>
          <b:Person>
            <b:Last>Culler</b:Last>
            <b:Middle>D</b:Middle>
            <b:First>Jonathan</b:First>
          </b:Person>
        </b:NameList>
      </b:Author>
    </b:Author>
    <b:RefOrder>20</b:RefOrder>
  </b:Source>
  <b:Source>
    <b:Tag>Dah59</b:Tag>
    <b:SourceType>Book</b:SourceType>
    <b:Guid>{208EDA4F-3672-43C9-9D97-C395CD4AFE63}</b:Guid>
    <b:Title>Class and Class Conflict in Industrial Society</b:Title>
    <b:Year>1959</b:Year>
    <b:City>Stanford</b:City>
    <b:Publisher>Stanford University Press</b:Publisher>
    <b:Author>
      <b:Author>
        <b:NameList>
          <b:Person>
            <b:Last>Dahrendorf</b:Last>
            <b:First>Ralf</b:First>
          </b:Person>
        </b:NameList>
      </b:Author>
    </b:Author>
    <b:RefOrder>14</b:RefOrder>
  </b:Source>
  <b:Source>
    <b:Tag>Der93</b:Tag>
    <b:SourceType>Book</b:SourceType>
    <b:Guid>{AC835E0E-32E1-4BD9-B5D9-A73AB11E4452}</b:Guid>
    <b:Author>
      <b:Author>
        <b:NameList>
          <b:Person>
            <b:Last>Derek Atteridge</b:Last>
            <b:First>Geoff</b:First>
            <b:Middle>Bennington, Robert Young</b:Middle>
          </b:Person>
        </b:NameList>
      </b:Author>
    </b:Author>
    <b:Title>Post Structuralism and the Question of History</b:Title>
    <b:Year>1993</b:Year>
    <b:City>Irthlingborough</b:City>
    <b:Publisher>Woolnough Bookbinding</b:Publisher>
    <b:RefOrder>21</b:RefOrder>
  </b:Source>
  <b:Source>
    <b:Tag>Eik08</b:Tag>
    <b:SourceType>Book</b:SourceType>
    <b:Guid>{F970DEA2-134F-49A7-8D82-D0C95508D637}</b:Guid>
    <b:Title>The ways of Aristotle: Aristotelian phronesis, Aristotelian philosophy of dialogue, and action research</b:Title>
    <b:Year>2008</b:Year>
    <b:Edition>5</b:Edition>
    <b:Author>
      <b:Author>
        <b:NameList>
          <b:Person>
            <b:Last>Eikeland</b:Last>
            <b:First>O</b:First>
          </b:Person>
        </b:NameList>
      </b:Author>
    </b:Author>
    <b:RefOrder>7</b:RefOrder>
  </b:Source>
  <b:Source>
    <b:Tag>Dav08</b:Tag>
    <b:SourceType>Book</b:SourceType>
    <b:Guid>{7613AF03-8B76-4FE3-A289-D93AE70E2D80}</b:Guid>
    <b:Author>
      <b:Author>
        <b:NameList>
          <b:Person>
            <b:Last>Gauntlett</b:Last>
            <b:First>David</b:First>
          </b:Person>
        </b:NameList>
      </b:Author>
    </b:Author>
    <b:Title>Media, Gender and Identity: An Introduction</b:Title>
    <b:Year>2008</b:Year>
    <b:City>London</b:City>
    <b:Publisher>Routledge</b:Publisher>
    <b:RefOrder>22</b:RefOrder>
  </b:Source>
  <b:Source>
    <b:Tag>Gid75</b:Tag>
    <b:SourceType>Book</b:SourceType>
    <b:Guid>{B265BEBA-8B34-4C4C-9DBC-CBA1C1F82560}</b:Guid>
    <b:Title>The Class Structure of the Advanced Societies</b:Title>
    <b:Year>1975</b:Year>
    <b:City>London</b:City>
    <b:Publisher>Harper and Row Publishers</b:Publisher>
    <b:Author>
      <b:Author>
        <b:NameList>
          <b:Person>
            <b:Last>Giddens</b:Last>
            <b:First>Anthony </b:First>
          </b:Person>
        </b:NameList>
      </b:Author>
    </b:Author>
    <b:RefOrder>23</b:RefOrder>
  </b:Source>
  <b:Source>
    <b:Tag>Ros07</b:Tag>
    <b:SourceType>Book</b:SourceType>
    <b:Guid>{99D287E0-B895-424F-89F9-0B9CBBF307B1}</b:Guid>
    <b:Author>
      <b:Author>
        <b:NameList>
          <b:Person>
            <b:Last>Gill</b:Last>
            <b:First>Rosalind</b:First>
          </b:Person>
        </b:NameList>
      </b:Author>
    </b:Author>
    <b:Title>Gender and the Media</b:Title>
    <b:Year>2007</b:Year>
    <b:City>Cambridge</b:City>
    <b:Publisher>Polity Press</b:Publisher>
    <b:RefOrder>24</b:RefOrder>
  </b:Source>
  <b:Source>
    <b:Tag>Gir11</b:Tag>
    <b:SourceType>JournalArticle</b:SourceType>
    <b:Guid>{B2F28DD2-C9A6-4F2F-9B5C-3B6437DFEDCF}</b:Guid>
    <b:Title>Minoanisation, acculturation, hybridisation: the evidence of the Minoan presence in the north east Aegean between the Middle and Late Bronze AgeIn NOSTOI. Indigenous Culture, Migration and Integration in the Aegean Islands and Western Anatolia</b:Title>
    <b:Year>2011</b:Year>
    <b:JournalName>In NOSTOI. Indigenous Culture, Migration and Integration in the Aegean Islands and Western Anatolia During the Late Bronze and Early Iron Age. Proceedings of an International Symposium Held at the Koç Research Center for Anatolian Civilizations, Istanbul </b:JournalName>
    <b:Pages>387-420</b:Pages>
    <b:Author>
      <b:Author>
        <b:NameList>
          <b:Person>
            <b:Last>Girella</b:Last>
            <b:First>L</b:First>
          </b:Person>
          <b:Person>
            <b:Last>Pavúk</b:Last>
            <b:First>P</b:First>
          </b:Person>
        </b:NameList>
      </b:Author>
    </b:Author>
    <b:RefOrder>25</b:RefOrder>
  </b:Source>
  <b:Source>
    <b:Tag>Gra17</b:Tag>
    <b:SourceType>Book</b:SourceType>
    <b:Guid>{4D26CE4C-40F4-41A0-97B1-4641B141F23C}</b:Guid>
    <b:Title>The palaces of Crete</b:Title>
    <b:Year>2017</b:Year>
    <b:Author>
      <b:Author>
        <b:NameList>
          <b:Person>
            <b:Last>Graham</b:Last>
            <b:First>J.W.</b:First>
          </b:Person>
        </b:NameList>
      </b:Author>
    </b:Author>
    <b:Publisher>Princeton University Press.</b:Publisher>
    <b:RefOrder>26</b:RefOrder>
  </b:Source>
  <b:Source>
    <b:Tag>Ham12</b:Tag>
    <b:SourceType>JournalArticle</b:SourceType>
    <b:Guid>{076652EC-482C-450F-86D0-8C09B6769043}</b:Guid>
    <b:Author>
      <b:Author>
        <b:NameList>
          <b:Person>
            <b:Last>Hamilakis</b:Last>
            <b:First>Yannis</b:First>
          </b:Person>
          <b:Person>
            <b:Last>Sherratt</b:Last>
            <b:First>Susan</b:First>
          </b:Person>
        </b:NameList>
      </b:Author>
    </b:Author>
    <b:Title>Feasting and the consuming body in Bronze Age Crete and Early Iron Age Cyprus</b:Title>
    <b:JournalName>British School at Athens Studies</b:JournalName>
    <b:Year>2012</b:Year>
    <b:Pages>187-207</b:Pages>
    <b:RefOrder>27</b:RefOrder>
  </b:Source>
  <b:Source>
    <b:Tag>Ric88</b:Tag>
    <b:SourceType>Book</b:SourceType>
    <b:Guid>{C14E25BD-039B-420D-B155-121AD6DE0A17}</b:Guid>
    <b:Author>
      <b:Author>
        <b:NameList>
          <b:Person>
            <b:Last>Harland</b:Last>
            <b:First>Richard</b:First>
          </b:Person>
        </b:NameList>
      </b:Author>
    </b:Author>
    <b:Title>Superstructuralism: The Philosophy of Structuralism and Post Structuralism</b:Title>
    <b:Year>1988</b:Year>
    <b:City>London</b:City>
    <b:Publisher>Routledge</b:Publisher>
    <b:RefOrder>28</b:RefOrder>
  </b:Source>
  <b:Source>
    <b:Tag>Haw92</b:Tag>
    <b:SourceType>Book</b:SourceType>
    <b:Guid>{AC859B1D-F4DB-4D71-B1A7-F6E24B5B9C6A}</b:Guid>
    <b:Title>Structuralism and Semiotics</b:Title>
    <b:Year>1992</b:Year>
    <b:Author>
      <b:Author>
        <b:NameList>
          <b:Person>
            <b:Last>Hawkes</b:Last>
            <b:First>Terence</b:First>
          </b:Person>
        </b:NameList>
      </b:Author>
      <b:BookAuthor>
        <b:NameList>
          <b:Person>
            <b:Last>Hawkes</b:Last>
            <b:First>Terence</b:First>
          </b:Person>
        </b:NameList>
      </b:BookAuthor>
    </b:Author>
    <b:City>London</b:City>
    <b:Publisher>Routledge</b:Publisher>
    <b:RefOrder>29</b:RefOrder>
  </b:Source>
  <b:Source>
    <b:Tag>Hod04</b:Tag>
    <b:SourceType>JournalArticle</b:SourceType>
    <b:Guid>{C305F1FB-87EE-4132-847C-F77289546CA9}</b:Guid>
    <b:Title>Daily Practice and Social Memory at Çatalhöyük</b:Title>
    <b:Year>2004</b:Year>
    <b:JournalName>American Antiquity</b:JournalName>
    <b:Pages>17-40</b:Pages>
    <b:Volume>69</b:Volume>
    <b:Issue>1</b:Issue>
    <b:Author>
      <b:Author>
        <b:NameList>
          <b:Person>
            <b:Last>Hodder</b:Last>
            <b:First>Ian</b:First>
          </b:Person>
          <b:Person>
            <b:Last>Cessford</b:Last>
            <b:First>Craig </b:First>
          </b:Person>
        </b:NameList>
      </b:Author>
    </b:Author>
    <b:RefOrder>30</b:RefOrder>
  </b:Source>
  <b:Source>
    <b:Tag>Kol78</b:Tag>
    <b:SourceType>Book</b:SourceType>
    <b:Guid>{EBE57386-9886-4C55-86BD-9A47F9568C6C}</b:Guid>
    <b:Title>Main currents of Marxism</b:Title>
    <b:Year>1978</b:Year>
    <b:City>Oxford</b:City>
    <b:Publisher>Oxford University Press</b:Publisher>
    <b:Edition>3</b:Edition>
    <b:Author>
      <b:Author>
        <b:NameList>
          <b:Person>
            <b:Last>Kolakowski</b:Last>
          </b:Person>
          <b:Person>
            <b:Last>Leszek and Falla</b:Last>
          </b:Person>
          <b:Person>
            <b:Last>Stephen</b:Last>
            <b:First>Paul</b:First>
          </b:Person>
        </b:NameList>
      </b:Author>
    </b:Author>
    <b:RefOrder>6</b:RefOrder>
  </b:Source>
  <b:Source>
    <b:Tag>Luk71</b:Tag>
    <b:SourceType>Book</b:SourceType>
    <b:Guid>{06930471-05CF-4612-A724-B10469702519}</b:Guid>
    <b:Title>History and Class Consciousness: Studies in Marxist Dialectics</b:Title>
    <b:Year>1971</b:Year>
    <b:Author>
      <b:Author>
        <b:NameList>
          <b:Person>
            <b:Last>Lukács</b:Last>
            <b:First>Georg</b:First>
          </b:Person>
        </b:NameList>
      </b:Author>
    </b:Author>
    <b:City>Talgarth</b:City>
    <b:Publisher>The Merlin Press Ltd</b:Publisher>
    <b:RefOrder>31</b:RefOrder>
  </b:Source>
  <b:Source>
    <b:Tag>Mac06</b:Tag>
    <b:SourceType>JournalArticle</b:SourceType>
    <b:Guid>{33E6771A-4942-4F20-808C-D8D6AC154483}</b:Guid>
    <b:Title>Cretan Palaces and the Aegean Civilization. II. </b:Title>
    <b:Year>1906</b:Year>
    <b:Author>
      <b:Author>
        <b:NameList>
          <b:Person>
            <b:Last>Mackenzie</b:Last>
            <b:First>D</b:First>
          </b:Person>
        </b:NameList>
      </b:Author>
    </b:Author>
    <b:JournalName>The Annual of the British School at Athens</b:JournalName>
    <b:Pages>216-258</b:Pages>
    <b:Volume>12</b:Volume>
    <b:RefOrder>32</b:RefOrder>
  </b:Source>
  <b:Source>
    <b:Tag>Mar84</b:Tag>
    <b:SourceType>ConferenceProceedings</b:SourceType>
    <b:Guid>{8ADFC7DA-A9DE-4A2A-8E9A-6F2873B0AF2D}</b:Guid>
    <b:Title>The Function of the Minoan Palaces</b:Title>
    <b:Year>1984</b:Year>
    <b:City>In Proceedings of the Fourth International</b:City>
    <b:Author>
      <b:Author>
        <b:NameList>
          <b:Person>
            <b:Last>Marinatos</b:Last>
            <b:First>N</b:First>
          </b:Person>
        </b:NameList>
      </b:Author>
    </b:Author>
    <b:RefOrder>16</b:RefOrder>
  </b:Source>
  <b:Source>
    <b:Tag>Luk10</b:Tag>
    <b:SourceType>InternetSite</b:SourceType>
    <b:Guid>{6243548F-5CE2-421F-BAA0-A360AB589E49}</b:Guid>
    <b:Title>Structuralism</b:Title>
    <b:Year>2010</b:Year>
    <b:Author>
      <b:Author>
        <b:NameList>
          <b:Person>
            <b:Last>Mastin</b:Last>
            <b:First>Luke</b:First>
          </b:Person>
        </b:NameList>
      </b:Author>
    </b:Author>
    <b:InternetSiteTitle>The Basics of Philosophy</b:InternetSiteTitle>
    <b:Month>December</b:Month>
    <b:Day>20</b:Day>
    <b:URL>http://www.philosophybasics.com/movements_structuralism.html</b:URL>
    <b:RefOrder>33</b:RefOrder>
  </b:Source>
  <b:Source>
    <b:Tag>McG05</b:Tag>
    <b:SourceType>JournalArticle</b:SourceType>
    <b:Guid>{70E78CCF-459C-4FBD-BE65-7232D8D77A00}</b:Guid>
    <b:Title>Probing praxis in archaeology: the last eighty years</b:Title>
    <b:Year>2005</b:Year>
    <b:Author>
      <b:Author>
        <b:NameList>
          <b:Person>
            <b:Last>McGuire R.L.</b:Last>
          </b:Person>
          <b:Person>
            <b:Last>O'Donovan</b:Last>
            <b:First>M</b:First>
          </b:Person>
          <b:Person>
            <b:Last>Wurst</b:Last>
            <b:First>L</b:First>
          </b:Person>
        </b:NameList>
      </b:Author>
    </b:Author>
    <b:JournalName>Rethinking Marxism 17(3)</b:JournalName>
    <b:Pages>355-72</b:Pages>
    <b:RefOrder>34</b:RefOrder>
  </b:Source>
  <b:Source>
    <b:Tag>McL07</b:Tag>
    <b:SourceType>Book</b:SourceType>
    <b:Guid>{766EFCA5-5393-4925-8AEB-816156D48103}</b:Guid>
    <b:Title>Marxism after Marx</b:Title>
    <b:Year>2007</b:Year>
    <b:Publisher>Palgrave Macmillan</b:Publisher>
    <b:Author>
      <b:Author>
        <b:NameList>
          <b:Person>
            <b:Last>McLellan</b:Last>
            <b:First>David</b:First>
          </b:Person>
        </b:NameList>
      </b:Author>
    </b:Author>
    <b:RefOrder>35</b:RefOrder>
  </b:Source>
  <b:Source>
    <b:Tag>Mez93</b:Tag>
    <b:SourceType>JournalArticle</b:SourceType>
    <b:Guid>{BDDD87A5-3F42-4A86-93EB-C6A85D3D3CFA}</b:Guid>
    <b:Title>Marxism in the Context of the History of Civilization and Culture</b:Title>
    <b:Year>1993</b:Year>
    <b:Author>
      <b:Author>
        <b:NameList>
          <b:Person>
            <b:Last>Mezhujev</b:Last>
            <b:First>V.</b:First>
            <b:Middle>M.</b:Middle>
          </b:Person>
        </b:NameList>
      </b:Author>
    </b:Author>
    <b:JournalName>Studies in East European Thought</b:JournalName>
    <b:Pages>23–35</b:Pages>
    <b:RefOrder>4</b:RefOrder>
  </b:Source>
  <b:Source>
    <b:Tag>Reh98</b:Tag>
    <b:SourceType>JournalArticle</b:SourceType>
    <b:Guid>{CEAD4B21-8914-489D-B21E-97F9AF51EA1A}</b:Guid>
    <b:Title>Review of Aegean Prehistory VII: Neopalatial, Final Palatial, and Postpalatial Crete</b:Title>
    <b:JournalName>American Journal of Archaeology</b:JournalName>
    <b:Year>1998</b:Year>
    <b:Pages>91-173</b:Pages>
    <b:Volume>102</b:Volume>
    <b:Issue>1</b:Issue>
    <b:Author>
      <b:Author>
        <b:NameList>
          <b:Person>
            <b:Last>Rehak</b:Last>
            <b:First>P</b:First>
          </b:Person>
          <b:Person>
            <b:Last>Younger</b:Last>
            <b:First>J.G</b:First>
          </b:Person>
        </b:NameList>
      </b:Author>
    </b:Author>
    <b:RefOrder>13</b:RefOrder>
  </b:Source>
  <b:Source>
    <b:Tag>Sch06</b:Tag>
    <b:SourceType>JournalArticle</b:SourceType>
    <b:Guid>{53AD3A3A-DF9F-4911-8CE4-F478D00D984A}</b:Guid>
    <b:Title>Looking beyond the first palaces: elites and the agency of power in EM III-MM II Crete</b:Title>
    <b:JournalName>American Journal of Archaeology</b:JournalName>
    <b:Year>2006</b:Year>
    <b:Pages>37-64</b:Pages>
    <b:Author>
      <b:Author>
        <b:NameList>
          <b:Person>
            <b:Last>Schoep</b:Last>
            <b:First>I</b:First>
          </b:Person>
        </b:NameList>
      </b:Author>
    </b:Author>
    <b:RefOrder>12</b:RefOrder>
  </b:Source>
  <b:Source>
    <b:Tag>Rob74</b:Tag>
    <b:SourceType>Book</b:SourceType>
    <b:Guid>{E71C12AC-2E11-4033-990A-C22B3714EE4E}</b:Guid>
    <b:Author>
      <b:Author>
        <b:NameList>
          <b:Person>
            <b:Last>Scholes</b:Last>
            <b:First>Robert</b:First>
          </b:Person>
        </b:NameList>
      </b:Author>
    </b:Author>
    <b:Title>An introduction to Structuralism in Literature</b:Title>
    <b:Year>1974</b:Year>
    <b:City>New York</b:City>
    <b:Publisher>Vail-Ballou Press</b:Publisher>
    <b:RefOrder>36</b:RefOrder>
  </b:Source>
  <b:Source>
    <b:Tag>Str97</b:Tag>
    <b:SourceType>JournalArticle</b:SourceType>
    <b:Guid>{F9547BAE-23D6-4172-B1B9-E2DFAD29EC20}</b:Guid>
    <b:Title>Storage and states on prehistoric Crete: The function of the koulouras in the first Minoan palaces.</b:Title>
    <b:Year>1997</b:Year>
    <b:JournalName>Journal of Mediterranean Archaeology</b:JournalName>
    <b:Pages>73-100</b:Pages>
    <b:Volume>10</b:Volume>
    <b:Issue>1</b:Issue>
    <b:Author>
      <b:Author>
        <b:NameList>
          <b:Person>
            <b:Last>Strasser</b:Last>
            <b:First>T</b:First>
          </b:Person>
        </b:NameList>
      </b:Author>
    </b:Author>
    <b:RefOrder>15</b:RefOrder>
  </b:Source>
  <b:Source>
    <b:Tag>Wil77</b:Tag>
    <b:SourceType>Book</b:SourceType>
    <b:Guid>{59EEC0B7-D96E-47F4-9EC4-47EFF57E6A02}</b:Guid>
    <b:Author>
      <b:Author>
        <b:NameList>
          <b:Person>
            <b:Last>Williams</b:Last>
            <b:First>Raymond</b:First>
          </b:Person>
        </b:NameList>
      </b:Author>
    </b:Author>
    <b:Title>Marxism and literature</b:Title>
    <b:Year>1977</b:Year>
    <b:City>Oxford</b:City>
    <b:Publisher>Oxford Paperbacks</b:Publisher>
    <b:Edition>1</b:Edition>
    <b:RefOrder>5</b:RefOrder>
  </b:Source>
  <b:Source>
    <b:Tag>Rut97</b:Tag>
    <b:SourceType>Book</b:SourceType>
    <b:Guid>{B73789E1-D4E0-4793-8269-0C5FECCF1042}</b:Guid>
    <b:Author>
      <b:Author>
        <b:NameList>
          <b:Person>
            <b:Last>Wodak</b:Last>
            <b:First>Ruth</b:First>
          </b:Person>
        </b:NameList>
      </b:Author>
    </b:Author>
    <b:Title>Gender and Discourse</b:Title>
    <b:Year>1997</b:Year>
    <b:City>London</b:City>
    <b:Publisher>SAGE Publications Ltd</b:Publisher>
    <b:RefOrder>2</b:RefOrder>
  </b:Source>
  <b:Source>
    <b:Tag>Häg84</b:Tag>
    <b:SourceType>BookSection</b:SourceType>
    <b:Guid>{0324D554-0FFE-4A40-B039-62B551FF3176}</b:Guid>
    <b:Title>The Minoan Thalassocracy</b:Title>
    <b:Year>1984</b:Year>
    <b:BookTitle>Myth and Realith</b:BookTitle>
    <b:City>Stockholm</b:City>
    <b:Author>
      <b:Author>
        <b:NameList>
          <b:Person>
            <b:Last>Hägg</b:Last>
            <b:First>R</b:First>
          </b:Person>
          <b:Person>
            <b:Last>Marinatos</b:Last>
            <b:First>N</b:First>
          </b:Person>
        </b:NameList>
      </b:Author>
    </b:Author>
    <b:RefOrder>10</b:RefOrder>
  </b:Source>
  <b:Source>
    <b:Tag>Pou92</b:Tag>
    <b:SourceType>BookSection</b:SourceType>
    <b:Guid>{A4FFE97C-D113-46AB-AB7A-B0BDC93BDBB1}</b:Guid>
    <b:Title>Guide de Malia au temps des premiers palais: Le quartier Mu (Vol. 1)</b:Title>
    <b:Year>1992</b:Year>
    <b:City>Ecole française d'Athènes.</b:City>
    <b:Author>
      <b:Author>
        <b:NameList>
          <b:Person>
            <b:Last>Poursat</b:Last>
            <b:First>J.C.</b:First>
          </b:Person>
        </b:NameList>
      </b:Author>
    </b:Author>
    <b:RefOrder>11</b:RefOrder>
  </b:Source>
  <b:Source>
    <b:Tag>Wil82</b:Tag>
    <b:SourceType>JournalArticle</b:SourceType>
    <b:Guid>{5CB8ECF2-B10A-4464-B132-232E15615012}</b:Guid>
    <b:Title>Household archaeology</b:Title>
    <b:Year>1982</b:Year>
    <b:Pages>617-639</b:Pages>
    <b:Author>
      <b:Author>
        <b:NameList>
          <b:Person>
            <b:Last>Wilk</b:Last>
            <b:First>R.R</b:First>
          </b:Person>
          <b:Person>
            <b:Last>Rathje</b:Last>
            <b:First>W.L</b:First>
          </b:Person>
        </b:NameList>
      </b:Author>
    </b:Author>
    <b:JournalName>American behavioral scientist</b:JournalName>
    <b:Volume>25</b:Volume>
    <b:Issue>6</b:Issue>
    <b:RefOrder>1</b:RefOrder>
  </b:Source>
  <b:Source>
    <b:Tag>All99</b:Tag>
    <b:SourceType>Book</b:SourceType>
    <b:Guid>{AE5B3E16-DD28-4C06-892C-A9B9229E3025}</b:Guid>
    <b:Title>The archaeology of household activities</b:Title>
    <b:Year>1999</b:Year>
    <b:Author>
      <b:Author>
        <b:NameList>
          <b:Person>
            <b:Last>Allison</b:Last>
            <b:First>P.M</b:First>
          </b:Person>
        </b:NameList>
      </b:Author>
    </b:Author>
    <b:Publisher>Psychology Press</b:Publisher>
    <b:RefOrder>3</b:RefOrder>
  </b:Source>
</b:Sources>
</file>

<file path=customXml/itemProps1.xml><?xml version="1.0" encoding="utf-8"?>
<ds:datastoreItem xmlns:ds="http://schemas.openxmlformats.org/officeDocument/2006/customXml" ds:itemID="{AAFE836B-8E8F-47FF-A5D9-6C621C19AE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3307</Words>
  <Characters>18856</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Invate</dc:creator>
  <cp:keywords/>
  <dc:description/>
  <cp:lastModifiedBy>Invate</cp:lastModifiedBy>
  <cp:revision>2</cp:revision>
  <dcterms:created xsi:type="dcterms:W3CDTF">2017-12-14T23:49:00Z</dcterms:created>
  <dcterms:modified xsi:type="dcterms:W3CDTF">2017-12-14T23:49:00Z</dcterms:modified>
</cp:coreProperties>
</file>