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88B0DDC" w14:textId="77777777" w:rsidR="009D545A" w:rsidRDefault="00DB1FCF" w:rsidP="009D545A">
      <w:pPr>
        <w:spacing w:after="100" w:afterAutospacing="1"/>
        <w:rPr>
          <w:rFonts w:ascii="Arial" w:hAnsi="Arial" w:cs="Arial"/>
          <w:color w:val="000000"/>
        </w:rPr>
      </w:pPr>
      <w:r w:rsidRPr="009D545A">
        <w:rPr>
          <w:rFonts w:ascii="Arial" w:eastAsia="Times New Roman" w:hAnsi="Arial" w:cs="Arial"/>
          <w:color w:val="000000"/>
          <w:kern w:val="0"/>
          <w:lang w:eastAsia="en-GB"/>
          <w14:ligatures w14:val="none"/>
        </w:rPr>
        <w:t>AI Guidance:</w:t>
      </w:r>
      <w:r w:rsidR="009D545A">
        <w:rPr>
          <w:rFonts w:ascii="Arial" w:eastAsia="Times New Roman" w:hAnsi="Arial" w:cs="Arial"/>
          <w:color w:val="000000"/>
          <w:kern w:val="0"/>
          <w:lang w:eastAsia="en-GB"/>
          <w14:ligatures w14:val="none"/>
        </w:rPr>
        <w:t xml:space="preserve"> </w:t>
      </w:r>
    </w:p>
    <w:p w14:paraId="330DDEEA" w14:textId="799F892F" w:rsidR="009D545A" w:rsidRPr="009D545A" w:rsidRDefault="009D545A" w:rsidP="009D545A">
      <w:pPr>
        <w:spacing w:after="100" w:afterAutospacing="1"/>
        <w:rPr>
          <w:rFonts w:ascii="Arial" w:hAnsi="Arial" w:cs="Arial"/>
          <w:color w:val="000000"/>
        </w:rPr>
      </w:pPr>
      <w:r>
        <w:rPr>
          <w:rFonts w:ascii="Arial" w:hAnsi="Arial" w:cs="Arial"/>
          <w:color w:val="000000"/>
        </w:rPr>
        <w:t>I</w:t>
      </w:r>
      <w:r w:rsidRPr="00F23B14">
        <w:rPr>
          <w:rFonts w:ascii="Arial" w:hAnsi="Arial" w:cs="Arial"/>
          <w:color w:val="000000"/>
        </w:rPr>
        <w:t xml:space="preserve"> confirm that I have not presented any AI generated text as my own work.</w:t>
      </w:r>
    </w:p>
    <w:p w14:paraId="362D8F6D" w14:textId="77777777" w:rsidR="009D545A" w:rsidRDefault="009D545A" w:rsidP="009D545A">
      <w:pPr>
        <w:spacing w:after="100" w:afterAutospacing="1"/>
        <w:rPr>
          <w:rFonts w:ascii="Arial" w:hAnsi="Arial" w:cs="Arial"/>
          <w:color w:val="000000"/>
        </w:rPr>
      </w:pPr>
      <w:r w:rsidRPr="00F23B14">
        <w:rPr>
          <w:rFonts w:ascii="Arial" w:hAnsi="Arial" w:cs="Arial"/>
          <w:color w:val="000000"/>
        </w:rPr>
        <w:t>I confirm that I have copies of my drafts, notes, and other resources I used before, and after the use of AI tools which I may be asked to provide as evidence.</w:t>
      </w:r>
    </w:p>
    <w:p w14:paraId="5639AFA4" w14:textId="0CE408F7" w:rsidR="00DB1FCF" w:rsidRPr="009D545A" w:rsidRDefault="00DB1FCF" w:rsidP="00282151">
      <w:pPr>
        <w:spacing w:before="100" w:beforeAutospacing="1" w:after="100" w:afterAutospacing="1"/>
        <w:outlineLvl w:val="2"/>
        <w:rPr>
          <w:rFonts w:ascii="Arial" w:eastAsia="Times New Roman" w:hAnsi="Arial" w:cs="Arial"/>
          <w:color w:val="000000"/>
          <w:kern w:val="0"/>
          <w:lang w:eastAsia="en-GB"/>
          <w14:ligatures w14:val="none"/>
        </w:rPr>
      </w:pPr>
    </w:p>
    <w:p w14:paraId="5D7719D9" w14:textId="77777777" w:rsidR="00DB1FCF" w:rsidRDefault="00DB1FCF" w:rsidP="00282151">
      <w:pPr>
        <w:spacing w:before="100" w:beforeAutospacing="1" w:after="100" w:afterAutospacing="1"/>
        <w:outlineLvl w:val="2"/>
        <w:rPr>
          <w:rFonts w:ascii="Arial" w:eastAsia="Times New Roman" w:hAnsi="Arial" w:cs="Arial"/>
          <w:b/>
          <w:bCs/>
          <w:color w:val="000000"/>
          <w:kern w:val="0"/>
          <w:lang w:eastAsia="en-GB"/>
          <w14:ligatures w14:val="none"/>
        </w:rPr>
      </w:pPr>
    </w:p>
    <w:p w14:paraId="5FCB6144" w14:textId="67347DE0" w:rsidR="00DB1FCF" w:rsidRDefault="00DB1FCF" w:rsidP="00DB1FCF">
      <w:pPr>
        <w:spacing w:before="100" w:beforeAutospacing="1" w:after="100" w:afterAutospacing="1"/>
        <w:jc w:val="center"/>
        <w:outlineLvl w:val="2"/>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Contents.</w:t>
      </w:r>
    </w:p>
    <w:p w14:paraId="1D958B26" w14:textId="0215A931" w:rsidR="00DB1FCF" w:rsidRDefault="00DB1FCF" w:rsidP="00DB1FCF">
      <w:pPr>
        <w:spacing w:before="100" w:beforeAutospacing="1" w:after="100" w:afterAutospacing="1"/>
        <w:jc w:val="center"/>
        <w:outlineLvl w:val="2"/>
        <w:rPr>
          <w:rFonts w:ascii="Arial" w:eastAsia="Times New Roman" w:hAnsi="Arial" w:cs="Arial"/>
          <w:color w:val="000000"/>
          <w:kern w:val="0"/>
          <w:lang w:eastAsia="en-GB"/>
          <w14:ligatures w14:val="none"/>
        </w:rPr>
      </w:pPr>
      <w:r w:rsidRPr="009D545A">
        <w:rPr>
          <w:rFonts w:ascii="Arial" w:eastAsia="Times New Roman" w:hAnsi="Arial" w:cs="Arial"/>
          <w:color w:val="000000"/>
          <w:kern w:val="0"/>
          <w:lang w:eastAsia="en-GB"/>
          <w14:ligatures w14:val="none"/>
        </w:rPr>
        <w:t>Page 1: Contents</w:t>
      </w:r>
      <w:r w:rsidR="009D545A" w:rsidRPr="009D545A">
        <w:rPr>
          <w:rFonts w:ascii="Arial" w:eastAsia="Times New Roman" w:hAnsi="Arial" w:cs="Arial"/>
          <w:color w:val="000000"/>
          <w:kern w:val="0"/>
          <w:lang w:eastAsia="en-GB"/>
          <w14:ligatures w14:val="none"/>
        </w:rPr>
        <w:t>, AI guidance</w:t>
      </w:r>
      <w:r w:rsidR="00575E7E">
        <w:rPr>
          <w:rFonts w:ascii="Arial" w:eastAsia="Times New Roman" w:hAnsi="Arial" w:cs="Arial"/>
          <w:color w:val="000000"/>
          <w:kern w:val="0"/>
          <w:lang w:eastAsia="en-GB"/>
          <w14:ligatures w14:val="none"/>
        </w:rPr>
        <w:t>, scrapbook (part 1) &amp; presentation (part 2)</w:t>
      </w:r>
    </w:p>
    <w:p w14:paraId="0C9729F9" w14:textId="0E181D10" w:rsidR="00575E7E" w:rsidRDefault="00575E7E" w:rsidP="00575E7E">
      <w:pPr>
        <w:spacing w:before="100" w:beforeAutospacing="1" w:after="100" w:afterAutospacing="1"/>
        <w:jc w:val="center"/>
        <w:outlineLvl w:val="2"/>
        <w:rPr>
          <w:rFonts w:ascii="Arial" w:eastAsia="Times New Roman" w:hAnsi="Arial" w:cs="Arial"/>
          <w:color w:val="000000"/>
          <w:kern w:val="0"/>
          <w:lang w:eastAsia="en-GB"/>
          <w14:ligatures w14:val="none"/>
        </w:rPr>
      </w:pPr>
      <w:hyperlink r:id="rId7" w:history="1">
        <w:r w:rsidRPr="00575E7E">
          <w:rPr>
            <w:rStyle w:val="Hyperlink"/>
            <w:rFonts w:ascii="Arial" w:eastAsia="Times New Roman" w:hAnsi="Arial" w:cs="Arial"/>
            <w:kern w:val="0"/>
            <w:lang w:eastAsia="en-GB"/>
            <w14:ligatures w14:val="none"/>
          </w:rPr>
          <w:t>2410233 Sway scrapbook - Part 1</w:t>
        </w:r>
      </w:hyperlink>
    </w:p>
    <w:p w14:paraId="790FC22D" w14:textId="77777777" w:rsidR="00092F94" w:rsidRDefault="00092F94" w:rsidP="00DB1FCF">
      <w:pPr>
        <w:spacing w:before="100" w:beforeAutospacing="1" w:after="100" w:afterAutospacing="1"/>
        <w:jc w:val="center"/>
        <w:outlineLvl w:val="2"/>
        <w:rPr>
          <w:rFonts w:ascii="Arial" w:eastAsia="Times New Roman" w:hAnsi="Arial" w:cs="Arial"/>
          <w:color w:val="000000"/>
          <w:kern w:val="0"/>
          <w:lang w:eastAsia="en-GB"/>
          <w14:ligatures w14:val="none"/>
        </w:rPr>
      </w:pPr>
      <w:hyperlink r:id="rId8" w:history="1">
        <w:r w:rsidRPr="00092F94">
          <w:rPr>
            <w:rStyle w:val="Hyperlink"/>
            <w:rFonts w:ascii="Arial" w:eastAsia="Times New Roman" w:hAnsi="Arial" w:cs="Arial"/>
            <w:kern w:val="0"/>
            <w:lang w:eastAsia="en-GB"/>
            <w14:ligatures w14:val="none"/>
          </w:rPr>
          <w:t>2410233 PowerPoint Presentation - Part 2</w:t>
        </w:r>
      </w:hyperlink>
    </w:p>
    <w:p w14:paraId="49EB60D7" w14:textId="3B09BBAE" w:rsidR="009D545A" w:rsidRPr="009D545A" w:rsidRDefault="009D545A" w:rsidP="00DB1FCF">
      <w:pPr>
        <w:spacing w:before="100" w:beforeAutospacing="1" w:after="100" w:afterAutospacing="1"/>
        <w:jc w:val="center"/>
        <w:outlineLvl w:val="2"/>
        <w:rPr>
          <w:rFonts w:ascii="Arial" w:eastAsia="Times New Roman" w:hAnsi="Arial" w:cs="Arial"/>
          <w:color w:val="000000"/>
          <w:kern w:val="0"/>
          <w:lang w:eastAsia="en-GB"/>
          <w14:ligatures w14:val="none"/>
        </w:rPr>
      </w:pPr>
      <w:r w:rsidRPr="009D545A">
        <w:rPr>
          <w:rFonts w:ascii="Arial" w:eastAsia="Times New Roman" w:hAnsi="Arial" w:cs="Arial"/>
          <w:color w:val="000000"/>
          <w:kern w:val="0"/>
          <w:lang w:eastAsia="en-GB"/>
          <w14:ligatures w14:val="none"/>
        </w:rPr>
        <w:t xml:space="preserve">Pages 2 – </w:t>
      </w:r>
      <w:r w:rsidR="00092F94">
        <w:rPr>
          <w:rFonts w:ascii="Arial" w:eastAsia="Times New Roman" w:hAnsi="Arial" w:cs="Arial"/>
          <w:color w:val="000000"/>
          <w:kern w:val="0"/>
          <w:lang w:eastAsia="en-GB"/>
          <w14:ligatures w14:val="none"/>
        </w:rPr>
        <w:t>7</w:t>
      </w:r>
      <w:r w:rsidRPr="009D545A">
        <w:rPr>
          <w:rFonts w:ascii="Arial" w:eastAsia="Times New Roman" w:hAnsi="Arial" w:cs="Arial"/>
          <w:color w:val="000000"/>
          <w:kern w:val="0"/>
          <w:lang w:eastAsia="en-GB"/>
          <w14:ligatures w14:val="none"/>
        </w:rPr>
        <w:t>: Script for presentation</w:t>
      </w:r>
      <w:r w:rsidR="00575E7E">
        <w:rPr>
          <w:rFonts w:ascii="Arial" w:eastAsia="Times New Roman" w:hAnsi="Arial" w:cs="Arial"/>
          <w:color w:val="000000"/>
          <w:kern w:val="0"/>
          <w:lang w:eastAsia="en-GB"/>
          <w14:ligatures w14:val="none"/>
        </w:rPr>
        <w:t xml:space="preserve"> (part 2)</w:t>
      </w:r>
    </w:p>
    <w:p w14:paraId="145E1DDB" w14:textId="7023238E" w:rsidR="009D545A" w:rsidRPr="009D545A" w:rsidRDefault="009D545A" w:rsidP="00DB1FCF">
      <w:pPr>
        <w:spacing w:before="100" w:beforeAutospacing="1" w:after="100" w:afterAutospacing="1"/>
        <w:jc w:val="center"/>
        <w:outlineLvl w:val="2"/>
        <w:rPr>
          <w:rFonts w:ascii="Arial" w:eastAsia="Times New Roman" w:hAnsi="Arial" w:cs="Arial"/>
          <w:color w:val="000000"/>
          <w:kern w:val="0"/>
          <w:lang w:eastAsia="en-GB"/>
          <w14:ligatures w14:val="none"/>
        </w:rPr>
      </w:pPr>
      <w:r w:rsidRPr="009D545A">
        <w:rPr>
          <w:rFonts w:ascii="Arial" w:eastAsia="Times New Roman" w:hAnsi="Arial" w:cs="Arial"/>
          <w:color w:val="000000"/>
          <w:kern w:val="0"/>
          <w:lang w:eastAsia="en-GB"/>
          <w14:ligatures w14:val="none"/>
        </w:rPr>
        <w:t xml:space="preserve">Pages </w:t>
      </w:r>
      <w:r w:rsidR="00092F94">
        <w:rPr>
          <w:rFonts w:ascii="Arial" w:eastAsia="Times New Roman" w:hAnsi="Arial" w:cs="Arial"/>
          <w:color w:val="000000"/>
          <w:kern w:val="0"/>
          <w:lang w:eastAsia="en-GB"/>
          <w14:ligatures w14:val="none"/>
        </w:rPr>
        <w:t>8 &amp; 9</w:t>
      </w:r>
      <w:r w:rsidRPr="009D545A">
        <w:rPr>
          <w:rFonts w:ascii="Arial" w:eastAsia="Times New Roman" w:hAnsi="Arial" w:cs="Arial"/>
          <w:color w:val="000000"/>
          <w:kern w:val="0"/>
          <w:lang w:eastAsia="en-GB"/>
          <w14:ligatures w14:val="none"/>
        </w:rPr>
        <w:t>: Reference list</w:t>
      </w:r>
    </w:p>
    <w:p w14:paraId="052354EF" w14:textId="77777777" w:rsidR="00DB1FCF" w:rsidRDefault="00DB1FCF" w:rsidP="00282151">
      <w:pPr>
        <w:spacing w:before="100" w:beforeAutospacing="1" w:after="100" w:afterAutospacing="1"/>
        <w:outlineLvl w:val="2"/>
        <w:rPr>
          <w:rFonts w:ascii="Arial" w:eastAsia="Times New Roman" w:hAnsi="Arial" w:cs="Arial"/>
          <w:b/>
          <w:bCs/>
          <w:color w:val="000000"/>
          <w:kern w:val="0"/>
          <w:lang w:eastAsia="en-GB"/>
          <w14:ligatures w14:val="none"/>
        </w:rPr>
      </w:pPr>
    </w:p>
    <w:p w14:paraId="77061B2E" w14:textId="77777777" w:rsidR="00DB1FCF" w:rsidRDefault="00DB1FCF" w:rsidP="00282151">
      <w:pPr>
        <w:spacing w:before="100" w:beforeAutospacing="1" w:after="100" w:afterAutospacing="1"/>
        <w:outlineLvl w:val="2"/>
        <w:rPr>
          <w:rFonts w:ascii="Arial" w:eastAsia="Times New Roman" w:hAnsi="Arial" w:cs="Arial"/>
          <w:b/>
          <w:bCs/>
          <w:color w:val="000000"/>
          <w:kern w:val="0"/>
          <w:lang w:eastAsia="en-GB"/>
          <w14:ligatures w14:val="none"/>
        </w:rPr>
      </w:pPr>
    </w:p>
    <w:p w14:paraId="7D558846" w14:textId="77777777" w:rsidR="00DB1FCF" w:rsidRDefault="00DB1FCF" w:rsidP="00282151">
      <w:pPr>
        <w:spacing w:before="100" w:beforeAutospacing="1" w:after="100" w:afterAutospacing="1"/>
        <w:outlineLvl w:val="2"/>
        <w:rPr>
          <w:rFonts w:ascii="Arial" w:eastAsia="Times New Roman" w:hAnsi="Arial" w:cs="Arial"/>
          <w:b/>
          <w:bCs/>
          <w:color w:val="000000"/>
          <w:kern w:val="0"/>
          <w:lang w:eastAsia="en-GB"/>
          <w14:ligatures w14:val="none"/>
        </w:rPr>
      </w:pPr>
    </w:p>
    <w:p w14:paraId="720B0935" w14:textId="77777777" w:rsidR="00DB1FCF" w:rsidRDefault="00DB1FCF" w:rsidP="00282151">
      <w:pPr>
        <w:spacing w:before="100" w:beforeAutospacing="1" w:after="100" w:afterAutospacing="1"/>
        <w:outlineLvl w:val="2"/>
        <w:rPr>
          <w:rFonts w:ascii="Arial" w:eastAsia="Times New Roman" w:hAnsi="Arial" w:cs="Arial"/>
          <w:b/>
          <w:bCs/>
          <w:color w:val="000000"/>
          <w:kern w:val="0"/>
          <w:lang w:eastAsia="en-GB"/>
          <w14:ligatures w14:val="none"/>
        </w:rPr>
      </w:pPr>
    </w:p>
    <w:p w14:paraId="70D28615" w14:textId="77777777" w:rsidR="00DB1FCF" w:rsidRDefault="00DB1FCF" w:rsidP="00282151">
      <w:pPr>
        <w:spacing w:before="100" w:beforeAutospacing="1" w:after="100" w:afterAutospacing="1"/>
        <w:outlineLvl w:val="2"/>
        <w:rPr>
          <w:rFonts w:ascii="Arial" w:eastAsia="Times New Roman" w:hAnsi="Arial" w:cs="Arial"/>
          <w:b/>
          <w:bCs/>
          <w:color w:val="000000"/>
          <w:kern w:val="0"/>
          <w:lang w:eastAsia="en-GB"/>
          <w14:ligatures w14:val="none"/>
        </w:rPr>
      </w:pPr>
    </w:p>
    <w:p w14:paraId="52767BE7" w14:textId="77777777" w:rsidR="00DB1FCF" w:rsidRDefault="00DB1FCF" w:rsidP="00282151">
      <w:pPr>
        <w:spacing w:before="100" w:beforeAutospacing="1" w:after="100" w:afterAutospacing="1"/>
        <w:outlineLvl w:val="2"/>
        <w:rPr>
          <w:rFonts w:ascii="Arial" w:eastAsia="Times New Roman" w:hAnsi="Arial" w:cs="Arial"/>
          <w:b/>
          <w:bCs/>
          <w:color w:val="000000"/>
          <w:kern w:val="0"/>
          <w:lang w:eastAsia="en-GB"/>
          <w14:ligatures w14:val="none"/>
        </w:rPr>
      </w:pPr>
    </w:p>
    <w:p w14:paraId="052C838A" w14:textId="77777777" w:rsidR="00DB1FCF" w:rsidRDefault="00DB1FCF" w:rsidP="00282151">
      <w:pPr>
        <w:spacing w:before="100" w:beforeAutospacing="1" w:after="100" w:afterAutospacing="1"/>
        <w:outlineLvl w:val="2"/>
        <w:rPr>
          <w:rFonts w:ascii="Arial" w:eastAsia="Times New Roman" w:hAnsi="Arial" w:cs="Arial"/>
          <w:b/>
          <w:bCs/>
          <w:color w:val="000000"/>
          <w:kern w:val="0"/>
          <w:lang w:eastAsia="en-GB"/>
          <w14:ligatures w14:val="none"/>
        </w:rPr>
      </w:pPr>
    </w:p>
    <w:p w14:paraId="1376F44E" w14:textId="77777777" w:rsidR="00DB1FCF" w:rsidRDefault="00DB1FCF" w:rsidP="00282151">
      <w:pPr>
        <w:spacing w:before="100" w:beforeAutospacing="1" w:after="100" w:afterAutospacing="1"/>
        <w:outlineLvl w:val="2"/>
        <w:rPr>
          <w:rFonts w:ascii="Arial" w:eastAsia="Times New Roman" w:hAnsi="Arial" w:cs="Arial"/>
          <w:b/>
          <w:bCs/>
          <w:color w:val="000000"/>
          <w:kern w:val="0"/>
          <w:lang w:eastAsia="en-GB"/>
          <w14:ligatures w14:val="none"/>
        </w:rPr>
      </w:pPr>
    </w:p>
    <w:p w14:paraId="39C1D709" w14:textId="77777777" w:rsidR="00DB1FCF" w:rsidRDefault="00DB1FCF" w:rsidP="00282151">
      <w:pPr>
        <w:spacing w:before="100" w:beforeAutospacing="1" w:after="100" w:afterAutospacing="1"/>
        <w:outlineLvl w:val="2"/>
        <w:rPr>
          <w:rFonts w:ascii="Arial" w:eastAsia="Times New Roman" w:hAnsi="Arial" w:cs="Arial"/>
          <w:b/>
          <w:bCs/>
          <w:color w:val="000000"/>
          <w:kern w:val="0"/>
          <w:lang w:eastAsia="en-GB"/>
          <w14:ligatures w14:val="none"/>
        </w:rPr>
      </w:pPr>
    </w:p>
    <w:p w14:paraId="67008DA1" w14:textId="77777777" w:rsidR="00DB1FCF" w:rsidRDefault="00DB1FCF" w:rsidP="00282151">
      <w:pPr>
        <w:spacing w:before="100" w:beforeAutospacing="1" w:after="100" w:afterAutospacing="1"/>
        <w:outlineLvl w:val="2"/>
        <w:rPr>
          <w:rFonts w:ascii="Arial" w:eastAsia="Times New Roman" w:hAnsi="Arial" w:cs="Arial"/>
          <w:b/>
          <w:bCs/>
          <w:color w:val="000000"/>
          <w:kern w:val="0"/>
          <w:lang w:eastAsia="en-GB"/>
          <w14:ligatures w14:val="none"/>
        </w:rPr>
      </w:pPr>
    </w:p>
    <w:p w14:paraId="719BB31F" w14:textId="77777777" w:rsidR="00DB1FCF" w:rsidRDefault="00DB1FCF" w:rsidP="00282151">
      <w:pPr>
        <w:spacing w:before="100" w:beforeAutospacing="1" w:after="100" w:afterAutospacing="1"/>
        <w:outlineLvl w:val="2"/>
        <w:rPr>
          <w:rFonts w:ascii="Arial" w:eastAsia="Times New Roman" w:hAnsi="Arial" w:cs="Arial"/>
          <w:b/>
          <w:bCs/>
          <w:color w:val="000000"/>
          <w:kern w:val="0"/>
          <w:lang w:eastAsia="en-GB"/>
          <w14:ligatures w14:val="none"/>
        </w:rPr>
      </w:pPr>
    </w:p>
    <w:p w14:paraId="4091D83E" w14:textId="77777777" w:rsidR="00DB1FCF" w:rsidRDefault="00DB1FCF" w:rsidP="00282151">
      <w:pPr>
        <w:spacing w:before="100" w:beforeAutospacing="1" w:after="100" w:afterAutospacing="1"/>
        <w:outlineLvl w:val="2"/>
        <w:rPr>
          <w:rFonts w:ascii="Arial" w:eastAsia="Times New Roman" w:hAnsi="Arial" w:cs="Arial"/>
          <w:b/>
          <w:bCs/>
          <w:color w:val="000000"/>
          <w:kern w:val="0"/>
          <w:lang w:eastAsia="en-GB"/>
          <w14:ligatures w14:val="none"/>
        </w:rPr>
      </w:pPr>
    </w:p>
    <w:p w14:paraId="40D4C057" w14:textId="77777777" w:rsidR="00DB1FCF" w:rsidRDefault="00DB1FCF" w:rsidP="00282151">
      <w:pPr>
        <w:spacing w:before="100" w:beforeAutospacing="1" w:after="100" w:afterAutospacing="1"/>
        <w:outlineLvl w:val="2"/>
        <w:rPr>
          <w:rFonts w:ascii="Arial" w:eastAsia="Times New Roman" w:hAnsi="Arial" w:cs="Arial"/>
          <w:b/>
          <w:bCs/>
          <w:color w:val="000000"/>
          <w:kern w:val="0"/>
          <w:lang w:eastAsia="en-GB"/>
          <w14:ligatures w14:val="none"/>
        </w:rPr>
      </w:pPr>
    </w:p>
    <w:p w14:paraId="021F33D1" w14:textId="77777777" w:rsidR="00DB1FCF" w:rsidRDefault="00DB1FCF" w:rsidP="00282151">
      <w:pPr>
        <w:spacing w:before="100" w:beforeAutospacing="1" w:after="100" w:afterAutospacing="1"/>
        <w:outlineLvl w:val="2"/>
        <w:rPr>
          <w:rFonts w:ascii="Arial" w:eastAsia="Times New Roman" w:hAnsi="Arial" w:cs="Arial"/>
          <w:b/>
          <w:bCs/>
          <w:color w:val="000000"/>
          <w:kern w:val="0"/>
          <w:lang w:eastAsia="en-GB"/>
          <w14:ligatures w14:val="none"/>
        </w:rPr>
      </w:pPr>
    </w:p>
    <w:p w14:paraId="2F0F958D" w14:textId="1D0AAEF4" w:rsidR="00282151" w:rsidRPr="009411AE" w:rsidRDefault="00282151" w:rsidP="00282151">
      <w:pPr>
        <w:spacing w:before="100" w:beforeAutospacing="1" w:after="100" w:afterAutospacing="1"/>
        <w:outlineLvl w:val="2"/>
        <w:rPr>
          <w:rFonts w:ascii="Arial" w:eastAsia="Times New Roman" w:hAnsi="Arial" w:cs="Arial"/>
          <w:b/>
          <w:bCs/>
          <w:color w:val="000000"/>
          <w:kern w:val="0"/>
          <w:lang w:eastAsia="en-GB"/>
          <w14:ligatures w14:val="none"/>
        </w:rPr>
      </w:pPr>
      <w:r w:rsidRPr="009411AE">
        <w:rPr>
          <w:rFonts w:ascii="Arial" w:eastAsia="Times New Roman" w:hAnsi="Arial" w:cs="Arial"/>
          <w:b/>
          <w:bCs/>
          <w:color w:val="000000"/>
          <w:kern w:val="0"/>
          <w:lang w:eastAsia="en-GB"/>
          <w14:ligatures w14:val="none"/>
        </w:rPr>
        <w:lastRenderedPageBreak/>
        <w:t>Personal Reflection</w:t>
      </w:r>
    </w:p>
    <w:p w14:paraId="03E909A2" w14:textId="5A474B43" w:rsidR="00282151" w:rsidRPr="009411AE" w:rsidRDefault="00282151" w:rsidP="00282151">
      <w:pPr>
        <w:spacing w:before="100" w:beforeAutospacing="1" w:after="100" w:afterAutospacing="1"/>
        <w:rPr>
          <w:rFonts w:ascii="Arial" w:eastAsia="Times New Roman" w:hAnsi="Arial" w:cs="Arial"/>
          <w:color w:val="000000"/>
          <w:kern w:val="0"/>
          <w:lang w:eastAsia="en-GB"/>
          <w14:ligatures w14:val="none"/>
        </w:rPr>
      </w:pPr>
      <w:r w:rsidRPr="009411AE">
        <w:rPr>
          <w:rFonts w:ascii="Arial" w:eastAsia="Times New Roman" w:hAnsi="Arial" w:cs="Arial"/>
          <w:color w:val="000000"/>
          <w:kern w:val="0"/>
          <w:lang w:eastAsia="en-GB"/>
          <w14:ligatures w14:val="none"/>
        </w:rPr>
        <w:t xml:space="preserve">Reflecting on my exploration of the school's conservation area in Part 1 has significantly changed the way I view outdoor learning and my role as a future early </w:t>
      </w:r>
      <w:r w:rsidR="00540107" w:rsidRPr="009411AE">
        <w:rPr>
          <w:rFonts w:ascii="Arial" w:eastAsia="Times New Roman" w:hAnsi="Arial" w:cs="Arial"/>
          <w:color w:val="000000"/>
          <w:kern w:val="0"/>
          <w:lang w:eastAsia="en-GB"/>
          <w14:ligatures w14:val="none"/>
        </w:rPr>
        <w:t>year’s</w:t>
      </w:r>
      <w:r w:rsidRPr="009411AE">
        <w:rPr>
          <w:rFonts w:ascii="Arial" w:eastAsia="Times New Roman" w:hAnsi="Arial" w:cs="Arial"/>
          <w:color w:val="000000"/>
          <w:kern w:val="0"/>
          <w:lang w:eastAsia="en-GB"/>
          <w14:ligatures w14:val="none"/>
        </w:rPr>
        <w:t xml:space="preserve"> practitioner. Before beginning this project, I regarded the conservation area primarily as an engaging outdoor space where children could play, investigate nature and take part in practical activities. Although I recognised its educational value, I had not fully considered its wider importance in promoting sustainability or preparing children to understand the environmental challenges facing their future.</w:t>
      </w:r>
    </w:p>
    <w:p w14:paraId="1E23434D" w14:textId="77777777" w:rsidR="00282151" w:rsidRPr="009411AE" w:rsidRDefault="00282151" w:rsidP="00282151">
      <w:pPr>
        <w:spacing w:before="100" w:beforeAutospacing="1" w:after="100" w:afterAutospacing="1"/>
        <w:rPr>
          <w:rFonts w:ascii="Arial" w:eastAsia="Times New Roman" w:hAnsi="Arial" w:cs="Arial"/>
          <w:color w:val="000000"/>
          <w:kern w:val="0"/>
          <w:lang w:eastAsia="en-GB"/>
          <w14:ligatures w14:val="none"/>
        </w:rPr>
      </w:pPr>
      <w:r w:rsidRPr="009411AE">
        <w:rPr>
          <w:rFonts w:ascii="Arial" w:eastAsia="Times New Roman" w:hAnsi="Arial" w:cs="Arial"/>
          <w:color w:val="000000"/>
          <w:kern w:val="0"/>
          <w:lang w:eastAsia="en-GB"/>
          <w14:ligatures w14:val="none"/>
        </w:rPr>
        <w:t>As I spent time observing the area, researching local wildlife and reflecting on how it is used by pupils, I began to appreciate that it is much more than an outdoor classroom. It is a living ecosystem that supports biodiversity and provides opportunities for children to develop meaningful relationships with the natural world. Seeing children actively involved in maintaining bird feeders, creating bug hotels and protecting habitats demonstrated that even simple activities can help foster a sense of responsibility and care for the environment. This experience encouraged me to reflect on how early childhood education can influence children's attitudes and behaviours towards nature from a young age.</w:t>
      </w:r>
    </w:p>
    <w:p w14:paraId="49D9A455" w14:textId="28AF19E8" w:rsidR="00282151" w:rsidRPr="009411AE" w:rsidRDefault="00282151" w:rsidP="00282151">
      <w:pPr>
        <w:spacing w:before="100" w:beforeAutospacing="1" w:after="100" w:afterAutospacing="1"/>
        <w:rPr>
          <w:rFonts w:ascii="Arial" w:eastAsia="Times New Roman" w:hAnsi="Arial" w:cs="Arial"/>
          <w:color w:val="000000"/>
          <w:kern w:val="0"/>
          <w:lang w:eastAsia="en-GB"/>
          <w14:ligatures w14:val="none"/>
        </w:rPr>
      </w:pPr>
      <w:r w:rsidRPr="009411AE">
        <w:rPr>
          <w:rFonts w:ascii="Arial" w:eastAsia="Times New Roman" w:hAnsi="Arial" w:cs="Arial"/>
          <w:color w:val="000000"/>
          <w:kern w:val="0"/>
          <w:lang w:eastAsia="en-GB"/>
          <w14:ligatures w14:val="none"/>
        </w:rPr>
        <w:t xml:space="preserve">The project also prompted me to think beyond the boundaries of the school grounds. While the conservation area supports local wildlife, it also represents a small response to much larger global environmental issues. </w:t>
      </w:r>
      <w:r w:rsidR="004060DE" w:rsidRPr="009411AE">
        <w:rPr>
          <w:rFonts w:ascii="Arial" w:hAnsi="Arial" w:cs="Arial"/>
          <w:color w:val="000000"/>
        </w:rPr>
        <w:t>Climate change, habitat loss and declining biodiversity are increasingly affecting ecosystems across the world, with evidence of these changes becoming visible through changing weather patterns, seasonal shifts and pressures on native species (IPCC, 2023; IPBES, 2019).</w:t>
      </w:r>
      <w:r w:rsidR="004060DE" w:rsidRPr="009411AE">
        <w:rPr>
          <w:rFonts w:ascii="Arial" w:hAnsi="Arial" w:cs="Arial"/>
          <w:color w:val="000000"/>
        </w:rPr>
        <w:t xml:space="preserve"> </w:t>
      </w:r>
      <w:r w:rsidRPr="009411AE">
        <w:rPr>
          <w:rFonts w:ascii="Arial" w:eastAsia="Times New Roman" w:hAnsi="Arial" w:cs="Arial"/>
          <w:color w:val="000000"/>
          <w:kern w:val="0"/>
          <w:lang w:eastAsia="en-GB"/>
          <w14:ligatures w14:val="none"/>
        </w:rPr>
        <w:t>This made me realise that helping children develop an appreciation of nature is no longer simply about encouraging outdoor play</w:t>
      </w:r>
      <w:r w:rsidR="00540107" w:rsidRPr="009411AE">
        <w:rPr>
          <w:rFonts w:ascii="Arial" w:eastAsia="Times New Roman" w:hAnsi="Arial" w:cs="Arial"/>
          <w:color w:val="000000"/>
          <w:kern w:val="0"/>
          <w:lang w:eastAsia="en-GB"/>
          <w14:ligatures w14:val="none"/>
        </w:rPr>
        <w:t xml:space="preserve">, </w:t>
      </w:r>
      <w:r w:rsidRPr="009411AE">
        <w:rPr>
          <w:rFonts w:ascii="Arial" w:eastAsia="Times New Roman" w:hAnsi="Arial" w:cs="Arial"/>
          <w:color w:val="000000"/>
          <w:kern w:val="0"/>
          <w:lang w:eastAsia="en-GB"/>
          <w14:ligatures w14:val="none"/>
        </w:rPr>
        <w:t>it is about equipping them with the values and understanding needed to care for the environment in an increasingly uncertain future.</w:t>
      </w:r>
    </w:p>
    <w:p w14:paraId="3D823608" w14:textId="77777777" w:rsidR="00282151" w:rsidRPr="009411AE" w:rsidRDefault="00282151" w:rsidP="00282151">
      <w:pPr>
        <w:spacing w:before="100" w:beforeAutospacing="1" w:after="100" w:afterAutospacing="1"/>
        <w:rPr>
          <w:rFonts w:ascii="Arial" w:eastAsia="Times New Roman" w:hAnsi="Arial" w:cs="Arial"/>
          <w:color w:val="000000"/>
          <w:kern w:val="0"/>
          <w:lang w:eastAsia="en-GB"/>
          <w14:ligatures w14:val="none"/>
        </w:rPr>
      </w:pPr>
      <w:r w:rsidRPr="009411AE">
        <w:rPr>
          <w:rFonts w:ascii="Arial" w:eastAsia="Times New Roman" w:hAnsi="Arial" w:cs="Arial"/>
          <w:color w:val="000000"/>
          <w:kern w:val="0"/>
          <w:lang w:eastAsia="en-GB"/>
          <w14:ligatures w14:val="none"/>
        </w:rPr>
        <w:t>Personally, the experience reminded me of my own childhood, where much of my learning happened outdoors through unstructured play, exploring woodlands and observing wildlife. These experiences developed my curiosity, imagination and appreciation of nature without me fully recognising their significance at the time. Reflecting on this has highlighted that many children today have fewer opportunities to build similar connections because of increased screen use, changing lifestyles and reduced access to natural environments. As a result, schools and early years settings have an increasingly important role in providing regular, meaningful experiences in nature.</w:t>
      </w:r>
    </w:p>
    <w:p w14:paraId="475FB2FD" w14:textId="77777777" w:rsidR="00282151" w:rsidRPr="009411AE" w:rsidRDefault="00282151" w:rsidP="00282151">
      <w:pPr>
        <w:spacing w:before="100" w:beforeAutospacing="1" w:after="100" w:afterAutospacing="1"/>
        <w:rPr>
          <w:rFonts w:ascii="Arial" w:eastAsia="Times New Roman" w:hAnsi="Arial" w:cs="Arial"/>
          <w:color w:val="000000"/>
          <w:kern w:val="0"/>
          <w:lang w:eastAsia="en-GB"/>
          <w14:ligatures w14:val="none"/>
        </w:rPr>
      </w:pPr>
      <w:r w:rsidRPr="009411AE">
        <w:rPr>
          <w:rFonts w:ascii="Arial" w:eastAsia="Times New Roman" w:hAnsi="Arial" w:cs="Arial"/>
          <w:color w:val="000000"/>
          <w:kern w:val="0"/>
          <w:lang w:eastAsia="en-GB"/>
          <w14:ligatures w14:val="none"/>
        </w:rPr>
        <w:t>This reflection has also challenged my understanding of sustainability. Initially, I associated sustainability mainly with environmental conservation, such as recycling, protecting wildlife and reducing waste. However, through this project I have come to understand sustainability as a much broader concept that encompasses environmental protection, social responsibility and ensuring that future generations are able to meet their own needs. I now recognise that fostering children's respect for nature, encouraging critical thinking and involving them in caring for their local environment are important foundations for developing responsible global citizens.</w:t>
      </w:r>
    </w:p>
    <w:p w14:paraId="5612D60B" w14:textId="6EF4F2B0" w:rsidR="005141C6" w:rsidRPr="0010053C" w:rsidRDefault="00282151" w:rsidP="0010053C">
      <w:pPr>
        <w:spacing w:before="100" w:beforeAutospacing="1" w:after="100" w:afterAutospacing="1"/>
        <w:rPr>
          <w:rFonts w:ascii="Arial" w:eastAsia="Times New Roman" w:hAnsi="Arial" w:cs="Arial"/>
          <w:color w:val="000000"/>
          <w:kern w:val="0"/>
          <w:lang w:eastAsia="en-GB"/>
          <w14:ligatures w14:val="none"/>
        </w:rPr>
      </w:pPr>
      <w:r w:rsidRPr="009411AE">
        <w:rPr>
          <w:rFonts w:ascii="Arial" w:eastAsia="Times New Roman" w:hAnsi="Arial" w:cs="Arial"/>
          <w:color w:val="000000"/>
          <w:kern w:val="0"/>
          <w:lang w:eastAsia="en-GB"/>
          <w14:ligatures w14:val="none"/>
        </w:rPr>
        <w:lastRenderedPageBreak/>
        <w:t xml:space="preserve">Overall, this experience has strengthened my commitment to embedding sustainability within my future practice. It has reinforced my belief that outdoor learning should not simply provide enjoyable experiences but should also encourage children to develop a sense of belonging, responsibility and stewardship for the natural world. Reflecting on these experiences has led me to consider the wider significance of Education for Sustainable Development and the important role that early </w:t>
      </w:r>
      <w:r w:rsidR="00540107" w:rsidRPr="009411AE">
        <w:rPr>
          <w:rFonts w:ascii="Arial" w:eastAsia="Times New Roman" w:hAnsi="Arial" w:cs="Arial"/>
          <w:color w:val="000000"/>
          <w:kern w:val="0"/>
          <w:lang w:eastAsia="en-GB"/>
          <w14:ligatures w14:val="none"/>
        </w:rPr>
        <w:t>year’s</w:t>
      </w:r>
      <w:r w:rsidRPr="009411AE">
        <w:rPr>
          <w:rFonts w:ascii="Arial" w:eastAsia="Times New Roman" w:hAnsi="Arial" w:cs="Arial"/>
          <w:color w:val="000000"/>
          <w:kern w:val="0"/>
          <w:lang w:eastAsia="en-GB"/>
          <w14:ligatures w14:val="none"/>
        </w:rPr>
        <w:t xml:space="preserve"> practitioners play in supporting children to understand and respond to contemporary challenges such as climate change and biodiversity loss. </w:t>
      </w:r>
    </w:p>
    <w:p w14:paraId="0077DC1D" w14:textId="77777777" w:rsidR="00092F94" w:rsidRPr="00092F94" w:rsidRDefault="00092F94" w:rsidP="00092F94">
      <w:pPr>
        <w:spacing w:before="100" w:beforeAutospacing="1" w:after="100" w:afterAutospacing="1"/>
        <w:rPr>
          <w:rFonts w:ascii="Arial" w:eastAsia="Times New Roman" w:hAnsi="Arial" w:cs="Arial"/>
          <w:color w:val="000000"/>
          <w:kern w:val="0"/>
          <w:lang w:eastAsia="en-GB"/>
          <w14:ligatures w14:val="none"/>
        </w:rPr>
      </w:pPr>
      <w:r w:rsidRPr="00092F94">
        <w:rPr>
          <w:rFonts w:ascii="Arial" w:eastAsia="Times New Roman" w:hAnsi="Arial" w:cs="Arial"/>
          <w:b/>
          <w:bCs/>
          <w:color w:val="000000"/>
          <w:kern w:val="0"/>
          <w:lang w:eastAsia="en-GB"/>
          <w14:ligatures w14:val="none"/>
        </w:rPr>
        <w:t>Introduction to academic presentation.</w:t>
      </w:r>
    </w:p>
    <w:p w14:paraId="3D3B0CA0" w14:textId="4E15D0C7" w:rsidR="0010053C" w:rsidRPr="0010053C" w:rsidRDefault="00092F94" w:rsidP="0010053C">
      <w:pPr>
        <w:spacing w:before="100" w:beforeAutospacing="1" w:after="100" w:afterAutospacing="1"/>
        <w:rPr>
          <w:rFonts w:ascii="Arial" w:eastAsia="Times New Roman" w:hAnsi="Arial" w:cs="Arial"/>
          <w:color w:val="000000"/>
          <w:kern w:val="0"/>
          <w:lang w:eastAsia="en-GB"/>
          <w14:ligatures w14:val="none"/>
        </w:rPr>
      </w:pPr>
      <w:r w:rsidRPr="00092F94">
        <w:rPr>
          <w:rFonts w:ascii="Arial" w:eastAsia="Times New Roman" w:hAnsi="Arial" w:cs="Arial"/>
          <w:color w:val="000000"/>
          <w:kern w:val="0"/>
          <w:lang w:eastAsia="en-GB"/>
          <w14:ligatures w14:val="none"/>
        </w:rPr>
        <w:t>Outdoor learning is increasingly recognised as a fundamental component of high-quality early childhood education, offering children authentic opportunities to develop curiosity, resilience and an understanding of the natural world through direct experience (Davis, 2015). Beyond supporting children's physical, social and cognitive development, outdoor environments provide an ideal context for Education for Sustainable Development (ESD), enabling children to develop environmental literacy and an appreciation of the interconnected relationship between people and nature (UNESCO, 2020). As climate change and biodiversity loss continue to present significant global challenges, early years practitioners have an important responsibility to create learning experiences that foster environmental awareness while empowering children to become active participants in sustainable futures.</w:t>
      </w:r>
      <w:r w:rsidR="0010053C" w:rsidRPr="0010053C">
        <w:rPr>
          <w:rFonts w:ascii="Arial" w:eastAsia="Times New Roman" w:hAnsi="Arial" w:cs="Arial"/>
          <w:color w:val="000000"/>
          <w:kern w:val="0"/>
          <w:lang w:eastAsia="en-GB"/>
          <w14:ligatures w14:val="none"/>
        </w:rPr>
        <w:t xml:space="preserve"> </w:t>
      </w:r>
    </w:p>
    <w:p w14:paraId="2449D48E" w14:textId="77777777" w:rsidR="00092F94" w:rsidRPr="00092F94" w:rsidRDefault="00092F94" w:rsidP="00092F94">
      <w:pPr>
        <w:spacing w:before="100" w:beforeAutospacing="1" w:after="100" w:afterAutospacing="1"/>
        <w:outlineLvl w:val="0"/>
        <w:rPr>
          <w:rFonts w:ascii="Arial" w:eastAsia="Times New Roman" w:hAnsi="Arial" w:cs="Arial"/>
          <w:b/>
          <w:bCs/>
          <w:color w:val="000000"/>
          <w:kern w:val="36"/>
          <w:lang w:eastAsia="en-GB"/>
          <w14:ligatures w14:val="none"/>
        </w:rPr>
      </w:pPr>
      <w:r w:rsidRPr="00092F94">
        <w:rPr>
          <w:rFonts w:ascii="Arial" w:eastAsia="Times New Roman" w:hAnsi="Arial" w:cs="Arial"/>
          <w:b/>
          <w:bCs/>
          <w:color w:val="000000"/>
          <w:kern w:val="36"/>
          <w:lang w:eastAsia="en-GB"/>
          <w14:ligatures w14:val="none"/>
        </w:rPr>
        <w:t>Education for Sustainable Development</w:t>
      </w:r>
    </w:p>
    <w:p w14:paraId="3F6C0CD9" w14:textId="77777777" w:rsidR="00092F94" w:rsidRPr="00092F94" w:rsidRDefault="00092F94" w:rsidP="00092F94">
      <w:pPr>
        <w:spacing w:before="100" w:beforeAutospacing="1" w:after="100" w:afterAutospacing="1"/>
        <w:outlineLvl w:val="0"/>
        <w:rPr>
          <w:rFonts w:ascii="Arial" w:eastAsia="Times New Roman" w:hAnsi="Arial" w:cs="Arial"/>
          <w:color w:val="000000"/>
          <w:kern w:val="36"/>
          <w:lang w:eastAsia="en-GB"/>
          <w14:ligatures w14:val="none"/>
        </w:rPr>
      </w:pPr>
      <w:r w:rsidRPr="00092F94">
        <w:rPr>
          <w:rFonts w:ascii="Arial" w:eastAsia="Times New Roman" w:hAnsi="Arial" w:cs="Arial"/>
          <w:color w:val="000000"/>
          <w:kern w:val="36"/>
          <w:lang w:eastAsia="en-GB"/>
          <w14:ligatures w14:val="none"/>
        </w:rPr>
        <w:t>Education for Sustainable Development (ESD) is recognised as a transformative educational approach that enables learners to develop the knowledge, skills and values required to contribute to a more sustainable future (UNESCO, 2020). Unlike traditional environmental education, ESD adopts a holistic perspective that considers the relationship between environmental protection, social responsibility and economic sustainability. Consequently, it encourages children to become active participants in understanding and addressing environmental issues rather than passive recipients of information.</w:t>
      </w:r>
    </w:p>
    <w:p w14:paraId="2F35C2B1" w14:textId="77777777" w:rsidR="00092F94" w:rsidRPr="00092F94" w:rsidRDefault="00092F94" w:rsidP="00092F94">
      <w:pPr>
        <w:spacing w:before="100" w:beforeAutospacing="1" w:after="100" w:afterAutospacing="1"/>
        <w:outlineLvl w:val="0"/>
        <w:rPr>
          <w:rFonts w:ascii="Arial" w:eastAsia="Times New Roman" w:hAnsi="Arial" w:cs="Arial"/>
          <w:color w:val="000000"/>
          <w:kern w:val="36"/>
          <w:lang w:eastAsia="en-GB"/>
          <w14:ligatures w14:val="none"/>
        </w:rPr>
      </w:pPr>
      <w:r w:rsidRPr="00092F94">
        <w:rPr>
          <w:rFonts w:ascii="Arial" w:eastAsia="Times New Roman" w:hAnsi="Arial" w:cs="Arial"/>
          <w:color w:val="000000"/>
          <w:kern w:val="36"/>
          <w:lang w:eastAsia="en-GB"/>
          <w14:ligatures w14:val="none"/>
        </w:rPr>
        <w:t>The concept of sustainable development was first defined in the Brundtland Report as development that "meets the needs of the present without compromising the ability of future generations to meet their own needs" (WCED, 1987). Within early childhood education, this principle requires practitioners to create meaningful learning experiences that enable children to understand the interconnectedness of people, places and ecosystems. Davis (2015) argues that sustainability education should move beyond isolated activities such as recycling or gardening, instead promoting critical enquiry, ethical decision-making and participation in environmental action.</w:t>
      </w:r>
    </w:p>
    <w:p w14:paraId="3C7ABC52" w14:textId="77777777" w:rsidR="00092F94" w:rsidRPr="00092F94" w:rsidRDefault="00092F94" w:rsidP="00092F94">
      <w:pPr>
        <w:spacing w:before="100" w:beforeAutospacing="1" w:after="100" w:afterAutospacing="1"/>
        <w:outlineLvl w:val="0"/>
        <w:rPr>
          <w:rFonts w:ascii="Arial" w:eastAsia="Times New Roman" w:hAnsi="Arial" w:cs="Arial"/>
          <w:color w:val="000000"/>
          <w:kern w:val="36"/>
          <w:lang w:eastAsia="en-GB"/>
          <w14:ligatures w14:val="none"/>
        </w:rPr>
      </w:pPr>
      <w:r w:rsidRPr="00092F94">
        <w:rPr>
          <w:rFonts w:ascii="Arial" w:eastAsia="Times New Roman" w:hAnsi="Arial" w:cs="Arial"/>
          <w:color w:val="000000"/>
          <w:kern w:val="36"/>
          <w:lang w:eastAsia="en-GB"/>
          <w14:ligatures w14:val="none"/>
        </w:rPr>
        <w:t xml:space="preserve">Outdoor learning provides an effective context for achieving these aims because it enables children to investigate ecological processes through authentic experiences. The school's conservation area exemplifies this approach by providing opportunities to observe wildlife, monitor seasonal changes, maintain habitats and plant native species. Through these experiences, children begin to recognise biodiversity as an interconnected system rather than viewing individual organisms in isolation. This </w:t>
      </w:r>
      <w:r w:rsidRPr="00092F94">
        <w:rPr>
          <w:rFonts w:ascii="Arial" w:eastAsia="Times New Roman" w:hAnsi="Arial" w:cs="Arial"/>
          <w:color w:val="000000"/>
          <w:kern w:val="36"/>
          <w:lang w:eastAsia="en-GB"/>
          <w14:ligatures w14:val="none"/>
        </w:rPr>
        <w:lastRenderedPageBreak/>
        <w:t>supports the John Muir Award principles by encouraging children to Discover local habitats, </w:t>
      </w:r>
      <w:proofErr w:type="gramStart"/>
      <w:r w:rsidRPr="00092F94">
        <w:rPr>
          <w:rFonts w:ascii="Arial" w:eastAsia="Times New Roman" w:hAnsi="Arial" w:cs="Arial"/>
          <w:color w:val="000000"/>
          <w:kern w:val="36"/>
          <w:lang w:eastAsia="en-GB"/>
          <w14:ligatures w14:val="none"/>
        </w:rPr>
        <w:t>Explore</w:t>
      </w:r>
      <w:proofErr w:type="gramEnd"/>
      <w:r w:rsidRPr="00092F94">
        <w:rPr>
          <w:rFonts w:ascii="Arial" w:eastAsia="Times New Roman" w:hAnsi="Arial" w:cs="Arial"/>
          <w:color w:val="000000"/>
          <w:kern w:val="36"/>
          <w:lang w:eastAsia="en-GB"/>
          <w14:ligatures w14:val="none"/>
        </w:rPr>
        <w:t> ecological relationships, Conserve biodiversity through practical action and </w:t>
      </w:r>
      <w:proofErr w:type="gramStart"/>
      <w:r w:rsidRPr="00092F94">
        <w:rPr>
          <w:rFonts w:ascii="Arial" w:eastAsia="Times New Roman" w:hAnsi="Arial" w:cs="Arial"/>
          <w:color w:val="000000"/>
          <w:kern w:val="36"/>
          <w:lang w:eastAsia="en-GB"/>
          <w14:ligatures w14:val="none"/>
        </w:rPr>
        <w:t>Share</w:t>
      </w:r>
      <w:proofErr w:type="gramEnd"/>
      <w:r w:rsidRPr="00092F94">
        <w:rPr>
          <w:rFonts w:ascii="Arial" w:eastAsia="Times New Roman" w:hAnsi="Arial" w:cs="Arial"/>
          <w:color w:val="000000"/>
          <w:kern w:val="36"/>
          <w:lang w:eastAsia="en-GB"/>
          <w14:ligatures w14:val="none"/>
        </w:rPr>
        <w:t> their learning with others.</w:t>
      </w:r>
    </w:p>
    <w:p w14:paraId="4B975C39" w14:textId="77777777" w:rsidR="00092F94" w:rsidRPr="00092F94" w:rsidRDefault="00092F94" w:rsidP="00092F94">
      <w:pPr>
        <w:spacing w:before="100" w:beforeAutospacing="1" w:after="100" w:afterAutospacing="1"/>
        <w:outlineLvl w:val="0"/>
        <w:rPr>
          <w:rFonts w:ascii="Arial" w:eastAsia="Times New Roman" w:hAnsi="Arial" w:cs="Arial"/>
          <w:color w:val="000000"/>
          <w:kern w:val="36"/>
          <w:lang w:eastAsia="en-GB"/>
          <w14:ligatures w14:val="none"/>
        </w:rPr>
      </w:pPr>
      <w:r w:rsidRPr="00092F94">
        <w:rPr>
          <w:rFonts w:ascii="Arial" w:eastAsia="Times New Roman" w:hAnsi="Arial" w:cs="Arial"/>
          <w:color w:val="000000"/>
          <w:kern w:val="36"/>
          <w:lang w:eastAsia="en-GB"/>
          <w14:ligatures w14:val="none"/>
        </w:rPr>
        <w:t>However, participation in conservation activities alone does not constitute effective Education for Sustainable Development. Davis (2015) argues that practitioners should encourage children to question, investigate and critically reflect on environmental issues rather than simply complete environmental tasks. Practical experiences therefore require purposeful adult interaction to enable children to understand the wider significance of biodiversity, conservation and sustainability.</w:t>
      </w:r>
    </w:p>
    <w:p w14:paraId="08B9C6A9" w14:textId="77777777" w:rsidR="00092F94" w:rsidRPr="00092F94" w:rsidRDefault="00092F94" w:rsidP="00092F94">
      <w:pPr>
        <w:spacing w:before="100" w:beforeAutospacing="1" w:after="100" w:afterAutospacing="1"/>
        <w:outlineLvl w:val="0"/>
        <w:rPr>
          <w:rFonts w:ascii="Arial" w:eastAsia="Times New Roman" w:hAnsi="Arial" w:cs="Arial"/>
          <w:color w:val="000000"/>
          <w:kern w:val="36"/>
          <w:lang w:eastAsia="en-GB"/>
          <w14:ligatures w14:val="none"/>
        </w:rPr>
      </w:pPr>
      <w:r w:rsidRPr="00092F94">
        <w:rPr>
          <w:rFonts w:ascii="Arial" w:eastAsia="Times New Roman" w:hAnsi="Arial" w:cs="Arial"/>
          <w:color w:val="000000"/>
          <w:kern w:val="36"/>
          <w:lang w:eastAsia="en-GB"/>
          <w14:ligatures w14:val="none"/>
        </w:rPr>
        <w:t>Education for Sustainable Development also requires practitioners to balance environmental awareness with optimism and agency. While climate change and biodiversity loss present significant challenges, young children should be empowered to recognise that positive action can contribute to environmental wellbeing. UNESCO (2020) therefore advocates educational approaches that emphasise participation, hope and resilience rather than fear. Through opportunities to care for habitats, monitor wildlife and participate in conservation projects, children begin to appreciate that even small-scale actions can make meaningful contributions to protecting the environment.</w:t>
      </w:r>
    </w:p>
    <w:p w14:paraId="5A06ED9A" w14:textId="77777777" w:rsidR="00092F94" w:rsidRPr="00092F94" w:rsidRDefault="00092F94" w:rsidP="00092F94">
      <w:pPr>
        <w:spacing w:before="100" w:beforeAutospacing="1" w:after="100" w:afterAutospacing="1"/>
        <w:outlineLvl w:val="0"/>
        <w:rPr>
          <w:rFonts w:ascii="Arial" w:eastAsia="Times New Roman" w:hAnsi="Arial" w:cs="Arial"/>
          <w:color w:val="000000"/>
          <w:kern w:val="36"/>
          <w:lang w:eastAsia="en-GB"/>
          <w14:ligatures w14:val="none"/>
        </w:rPr>
      </w:pPr>
      <w:r w:rsidRPr="00092F94">
        <w:rPr>
          <w:rFonts w:ascii="Arial" w:eastAsia="Times New Roman" w:hAnsi="Arial" w:cs="Arial"/>
          <w:color w:val="000000"/>
          <w:kern w:val="36"/>
          <w:lang w:eastAsia="en-GB"/>
          <w14:ligatures w14:val="none"/>
        </w:rPr>
        <w:t>Ultimately, Education for Sustainable Development should not be viewed as a separate curriculum area but as an approach that underpins everyday practice. By embedding sustainability within authentic outdoor learning experiences, practitioners can support children to develop environmental literacy, critical thinking and a sense of responsibility that extends beyond the early years setting into lifelong environmental stewardship.</w:t>
      </w:r>
    </w:p>
    <w:p w14:paraId="349EF3CD" w14:textId="77777777" w:rsidR="00092F94" w:rsidRPr="00092F94" w:rsidRDefault="00092F94" w:rsidP="00092F94">
      <w:pPr>
        <w:spacing w:before="100" w:beforeAutospacing="1" w:after="100" w:afterAutospacing="1"/>
        <w:outlineLvl w:val="0"/>
        <w:rPr>
          <w:rFonts w:ascii="Arial" w:eastAsia="Times New Roman" w:hAnsi="Arial" w:cs="Arial"/>
          <w:b/>
          <w:bCs/>
          <w:color w:val="000000"/>
          <w:kern w:val="36"/>
          <w:lang w:eastAsia="en-GB"/>
          <w14:ligatures w14:val="none"/>
        </w:rPr>
      </w:pPr>
      <w:r w:rsidRPr="00092F94">
        <w:rPr>
          <w:rFonts w:ascii="Arial" w:eastAsia="Times New Roman" w:hAnsi="Arial" w:cs="Arial"/>
          <w:b/>
          <w:bCs/>
          <w:color w:val="000000"/>
          <w:kern w:val="36"/>
          <w:lang w:eastAsia="en-GB"/>
          <w14:ligatures w14:val="none"/>
        </w:rPr>
        <w:t>Climate Change and Biodiversity</w:t>
      </w:r>
    </w:p>
    <w:p w14:paraId="50FBD50A" w14:textId="77777777" w:rsidR="00092F94" w:rsidRPr="00092F94" w:rsidRDefault="00092F94" w:rsidP="00092F94">
      <w:pPr>
        <w:spacing w:before="100" w:beforeAutospacing="1" w:after="100" w:afterAutospacing="1"/>
        <w:outlineLvl w:val="0"/>
        <w:rPr>
          <w:rFonts w:ascii="Arial" w:eastAsia="Times New Roman" w:hAnsi="Arial" w:cs="Arial"/>
          <w:color w:val="000000"/>
          <w:kern w:val="36"/>
          <w:lang w:eastAsia="en-GB"/>
          <w14:ligatures w14:val="none"/>
        </w:rPr>
      </w:pPr>
      <w:r w:rsidRPr="00092F94">
        <w:rPr>
          <w:rFonts w:ascii="Arial" w:eastAsia="Times New Roman" w:hAnsi="Arial" w:cs="Arial"/>
          <w:color w:val="000000"/>
          <w:kern w:val="36"/>
          <w:lang w:eastAsia="en-GB"/>
          <w14:ligatures w14:val="none"/>
        </w:rPr>
        <w:t>Climate change and biodiversity loss are among the most significant and interconnected environmental challenges facing contemporary society. Rising global temperatures, habitat destruction and unsustainable human activity continue to alter ecosystems, threaten species survival and reduce the resilience of natural environments (IPCC, 2023; IPBES, 2019). As these challenges increasingly affect local communities, early childhood education has an important role in helping children develop an understanding of the natural world and the importance of protecting it.</w:t>
      </w:r>
    </w:p>
    <w:p w14:paraId="6828CB1B" w14:textId="77777777" w:rsidR="00092F94" w:rsidRPr="00092F94" w:rsidRDefault="00092F94" w:rsidP="00092F94">
      <w:pPr>
        <w:spacing w:before="100" w:beforeAutospacing="1" w:after="100" w:afterAutospacing="1"/>
        <w:outlineLvl w:val="0"/>
        <w:rPr>
          <w:rFonts w:ascii="Arial" w:eastAsia="Times New Roman" w:hAnsi="Arial" w:cs="Arial"/>
          <w:color w:val="000000"/>
          <w:kern w:val="36"/>
          <w:lang w:eastAsia="en-GB"/>
          <w14:ligatures w14:val="none"/>
        </w:rPr>
      </w:pPr>
      <w:r w:rsidRPr="00092F94">
        <w:rPr>
          <w:rFonts w:ascii="Arial" w:eastAsia="Times New Roman" w:hAnsi="Arial" w:cs="Arial"/>
          <w:color w:val="000000"/>
          <w:kern w:val="36"/>
          <w:lang w:eastAsia="en-GB"/>
          <w14:ligatures w14:val="none"/>
        </w:rPr>
        <w:t>Climate change, driven largely by greenhouse gas emissions from human activities, contributes to changing weather patterns, habitat degradation and declining biodiversity (IPCC, 2023). At the same time, biodiversity loss weakens ecosystems' ability to regulate the climate through processes such as carbon storage, pollination and nutrient cycling (IPBES, 2019). These interconnected challenges highlight the importance of developing environmental literacy from an early age, enabling children to recognise that human wellbeing depends upon healthy ecosystems.</w:t>
      </w:r>
    </w:p>
    <w:p w14:paraId="0004A8EC" w14:textId="77777777" w:rsidR="00092F94" w:rsidRPr="00092F94" w:rsidRDefault="00092F94" w:rsidP="00092F94">
      <w:pPr>
        <w:spacing w:before="100" w:beforeAutospacing="1" w:after="100" w:afterAutospacing="1"/>
        <w:outlineLvl w:val="0"/>
        <w:rPr>
          <w:rFonts w:ascii="Arial" w:eastAsia="Times New Roman" w:hAnsi="Arial" w:cs="Arial"/>
          <w:color w:val="000000"/>
          <w:kern w:val="36"/>
          <w:lang w:eastAsia="en-GB"/>
          <w14:ligatures w14:val="none"/>
        </w:rPr>
      </w:pPr>
      <w:r w:rsidRPr="00092F94">
        <w:rPr>
          <w:rFonts w:ascii="Arial" w:eastAsia="Times New Roman" w:hAnsi="Arial" w:cs="Arial"/>
          <w:color w:val="000000"/>
          <w:kern w:val="36"/>
          <w:lang w:eastAsia="en-GB"/>
          <w14:ligatures w14:val="none"/>
        </w:rPr>
        <w:t>Although young children may not fully comprehend the complexity of climate science, research demonstrates that positive experiences in nature during early childhood significantly influence the development of environmental values and pro-</w:t>
      </w:r>
      <w:r w:rsidRPr="00092F94">
        <w:rPr>
          <w:rFonts w:ascii="Arial" w:eastAsia="Times New Roman" w:hAnsi="Arial" w:cs="Arial"/>
          <w:color w:val="000000"/>
          <w:kern w:val="36"/>
          <w:lang w:eastAsia="en-GB"/>
          <w14:ligatures w14:val="none"/>
        </w:rPr>
        <w:lastRenderedPageBreak/>
        <w:t>environmental behaviours later in life (Chawla, 2020). Rather than focusing on environmental degradation alone, practitioners should provide opportunities for children to engage positively with nature through exploration, observation and conservation. Such experiences encourage children to develop empathy for living organisms while fostering hope and a sense of agency.</w:t>
      </w:r>
    </w:p>
    <w:p w14:paraId="4DD11E9B" w14:textId="77777777" w:rsidR="00092F94" w:rsidRPr="00092F94" w:rsidRDefault="00092F94" w:rsidP="00092F94">
      <w:pPr>
        <w:spacing w:before="100" w:beforeAutospacing="1" w:after="100" w:afterAutospacing="1"/>
        <w:outlineLvl w:val="0"/>
        <w:rPr>
          <w:rFonts w:ascii="Arial" w:eastAsia="Times New Roman" w:hAnsi="Arial" w:cs="Arial"/>
          <w:color w:val="000000"/>
          <w:kern w:val="36"/>
          <w:lang w:eastAsia="en-GB"/>
          <w14:ligatures w14:val="none"/>
        </w:rPr>
      </w:pPr>
      <w:r w:rsidRPr="00092F94">
        <w:rPr>
          <w:rFonts w:ascii="Arial" w:eastAsia="Times New Roman" w:hAnsi="Arial" w:cs="Arial"/>
          <w:color w:val="000000"/>
          <w:kern w:val="36"/>
          <w:lang w:eastAsia="en-GB"/>
          <w14:ligatures w14:val="none"/>
        </w:rPr>
        <w:t xml:space="preserve">The school's conservation area provides an authentic environment in which these principles can be realised. Observing wildlife, monitoring seasonal change and participating in habitat management enable children to develop first-hand understanding of biodiversity while recognising the importance of caring for local ecosystems. </w:t>
      </w:r>
    </w:p>
    <w:p w14:paraId="6A8FF4FA" w14:textId="77777777" w:rsidR="00092F94" w:rsidRPr="00092F94" w:rsidRDefault="00092F94" w:rsidP="00092F94">
      <w:pPr>
        <w:spacing w:before="100" w:beforeAutospacing="1" w:after="100" w:afterAutospacing="1"/>
        <w:outlineLvl w:val="0"/>
        <w:rPr>
          <w:rFonts w:ascii="Arial" w:eastAsia="Times New Roman" w:hAnsi="Arial" w:cs="Arial"/>
          <w:color w:val="000000"/>
          <w:kern w:val="36"/>
          <w:lang w:eastAsia="en-GB"/>
          <w14:ligatures w14:val="none"/>
        </w:rPr>
      </w:pPr>
      <w:r w:rsidRPr="00092F94">
        <w:rPr>
          <w:rFonts w:ascii="Arial" w:eastAsia="Times New Roman" w:hAnsi="Arial" w:cs="Arial"/>
          <w:color w:val="000000"/>
          <w:kern w:val="36"/>
          <w:lang w:eastAsia="en-GB"/>
          <w14:ligatures w14:val="none"/>
        </w:rPr>
        <w:t>However, developing environmental awareness requires more than regular access to outdoor spaces. Without skilled practitioner support, outdoor experiences may remain enjoyable but fail to develop deeper understanding of sustainability. Purposeful questioning and discussion enable children to connect local observations with wider environmental issues, helping them understand why biodiversity matters and how conservation contributes to healthier ecosystems. This approach encourages children to view themselves as active contributors to environmental sustainability rather than passive observers.</w:t>
      </w:r>
    </w:p>
    <w:p w14:paraId="2FB60C43" w14:textId="77777777" w:rsidR="00092F94" w:rsidRPr="00092F94" w:rsidRDefault="00092F94" w:rsidP="00092F94">
      <w:pPr>
        <w:spacing w:before="100" w:beforeAutospacing="1" w:after="100" w:afterAutospacing="1"/>
        <w:outlineLvl w:val="0"/>
        <w:rPr>
          <w:rFonts w:ascii="Arial" w:eastAsia="Times New Roman" w:hAnsi="Arial" w:cs="Arial"/>
          <w:color w:val="000000"/>
          <w:kern w:val="36"/>
          <w:lang w:eastAsia="en-GB"/>
          <w14:ligatures w14:val="none"/>
        </w:rPr>
      </w:pPr>
      <w:r w:rsidRPr="00092F94">
        <w:rPr>
          <w:rFonts w:ascii="Arial" w:eastAsia="Times New Roman" w:hAnsi="Arial" w:cs="Arial"/>
          <w:color w:val="000000"/>
          <w:kern w:val="36"/>
          <w:lang w:eastAsia="en-GB"/>
          <w14:ligatures w14:val="none"/>
        </w:rPr>
        <w:t>Overall, climate change and biodiversity provide a compelling rationale for embedding Education for Sustainable Development within early childhood education. By providing meaningful opportunities to explore, question and care for the natural environment, the school's conservation area supports children's developing environmental literacy while establishing the foundations for lifelong stewardship of the natural world.</w:t>
      </w:r>
    </w:p>
    <w:p w14:paraId="58EB5DFB" w14:textId="77777777" w:rsidR="00092F94" w:rsidRPr="00092F94" w:rsidRDefault="00092F94" w:rsidP="00092F94">
      <w:pPr>
        <w:spacing w:before="100" w:beforeAutospacing="1" w:after="100" w:afterAutospacing="1"/>
        <w:outlineLvl w:val="0"/>
        <w:rPr>
          <w:rFonts w:ascii="Arial" w:eastAsia="Times New Roman" w:hAnsi="Arial" w:cs="Arial"/>
          <w:b/>
          <w:bCs/>
          <w:color w:val="000000"/>
          <w:kern w:val="36"/>
          <w:lang w:eastAsia="en-GB"/>
          <w14:ligatures w14:val="none"/>
        </w:rPr>
      </w:pPr>
      <w:r w:rsidRPr="00092F94">
        <w:rPr>
          <w:rFonts w:ascii="Arial" w:eastAsia="Times New Roman" w:hAnsi="Arial" w:cs="Arial"/>
          <w:b/>
          <w:bCs/>
          <w:color w:val="000000"/>
          <w:kern w:val="36"/>
          <w:lang w:eastAsia="en-GB"/>
          <w14:ligatures w14:val="none"/>
        </w:rPr>
        <w:t>Policy Frameworks</w:t>
      </w:r>
    </w:p>
    <w:p w14:paraId="58813D06" w14:textId="77777777" w:rsidR="00092F94" w:rsidRPr="00092F94" w:rsidRDefault="00092F94" w:rsidP="00092F94">
      <w:pPr>
        <w:spacing w:before="100" w:beforeAutospacing="1" w:after="100" w:afterAutospacing="1"/>
        <w:outlineLvl w:val="0"/>
        <w:rPr>
          <w:rFonts w:ascii="Arial" w:eastAsia="Times New Roman" w:hAnsi="Arial" w:cs="Arial"/>
          <w:color w:val="000000"/>
          <w:kern w:val="36"/>
          <w:lang w:eastAsia="en-GB"/>
          <w14:ligatures w14:val="none"/>
        </w:rPr>
      </w:pPr>
      <w:r w:rsidRPr="00092F94">
        <w:rPr>
          <w:rFonts w:ascii="Arial" w:eastAsia="Times New Roman" w:hAnsi="Arial" w:cs="Arial"/>
          <w:color w:val="000000"/>
          <w:kern w:val="36"/>
          <w:lang w:eastAsia="en-GB"/>
          <w14:ligatures w14:val="none"/>
        </w:rPr>
        <w:t>Education for Sustainable Development (ESD) is supported by international and national policy frameworks that position sustainability as a fundamental purpose of education rather than a discrete curriculum topic (UNESCO, 2020). The United Nations Sustainable Development Goals (SDGs), particularly Goal 4 (Quality Education), Goal 13 (Climate Action) and Goal 15 (Life on Land), emphasise the role of education in equipping children with the knowledge, skills and values needed to contribute to sustainable futures (United Nations, 2015).</w:t>
      </w:r>
    </w:p>
    <w:p w14:paraId="710EFD06" w14:textId="77777777" w:rsidR="00092F94" w:rsidRPr="00092F94" w:rsidRDefault="00092F94" w:rsidP="00092F94">
      <w:pPr>
        <w:spacing w:before="100" w:beforeAutospacing="1" w:after="100" w:afterAutospacing="1"/>
        <w:outlineLvl w:val="0"/>
        <w:rPr>
          <w:rFonts w:ascii="Arial" w:eastAsia="Times New Roman" w:hAnsi="Arial" w:cs="Arial"/>
          <w:color w:val="000000"/>
          <w:kern w:val="36"/>
          <w:lang w:eastAsia="en-GB"/>
          <w14:ligatures w14:val="none"/>
        </w:rPr>
      </w:pPr>
      <w:r w:rsidRPr="00092F94">
        <w:rPr>
          <w:rFonts w:ascii="Arial" w:eastAsia="Times New Roman" w:hAnsi="Arial" w:cs="Arial"/>
          <w:color w:val="000000"/>
          <w:kern w:val="36"/>
          <w:lang w:eastAsia="en-GB"/>
          <w14:ligatures w14:val="none"/>
        </w:rPr>
        <w:t>Within Wales, the Well-being of Future Generations (Wales) Act 2015 and the Curriculum for Wales reinforce this commitment by embedding sustainability, environmental responsibility and enquiry-based learning across the curriculum (Welsh Government, 2015; Welsh Government, 2022). The concept of Cynefin further encourages children to develop a sense of belonging and responsibility towards their local environment, making the school's conservation area an appropriate context for meaningful outdoor learning.</w:t>
      </w:r>
    </w:p>
    <w:p w14:paraId="670DB3F5" w14:textId="77777777" w:rsidR="00092F94" w:rsidRPr="00092F94" w:rsidRDefault="00092F94" w:rsidP="00092F94">
      <w:pPr>
        <w:spacing w:before="100" w:beforeAutospacing="1" w:after="100" w:afterAutospacing="1"/>
        <w:outlineLvl w:val="0"/>
        <w:rPr>
          <w:rFonts w:ascii="Arial" w:eastAsia="Times New Roman" w:hAnsi="Arial" w:cs="Arial"/>
          <w:color w:val="000000"/>
          <w:kern w:val="36"/>
          <w:lang w:eastAsia="en-GB"/>
          <w14:ligatures w14:val="none"/>
        </w:rPr>
      </w:pPr>
      <w:r w:rsidRPr="00092F94">
        <w:rPr>
          <w:rFonts w:ascii="Arial" w:eastAsia="Times New Roman" w:hAnsi="Arial" w:cs="Arial"/>
          <w:color w:val="000000"/>
          <w:kern w:val="36"/>
          <w:lang w:eastAsia="en-GB"/>
          <w14:ligatures w14:val="none"/>
        </w:rPr>
        <w:t>The United Nations Convention on the Rights of the Child (UNCRC) also supports children's participation in environmental learning. Articles 12 and 29 recognise children's rights to express their views and develop respect for the natural environment (United Nations General Assembly, 1989).</w:t>
      </w:r>
    </w:p>
    <w:p w14:paraId="13BDA3AF" w14:textId="77777777" w:rsidR="00092F94" w:rsidRPr="00092F94" w:rsidRDefault="00092F94" w:rsidP="00092F94">
      <w:pPr>
        <w:spacing w:before="100" w:beforeAutospacing="1" w:after="100" w:afterAutospacing="1"/>
        <w:outlineLvl w:val="0"/>
        <w:rPr>
          <w:rFonts w:ascii="Arial" w:eastAsia="Times New Roman" w:hAnsi="Arial" w:cs="Arial"/>
          <w:color w:val="000000"/>
          <w:kern w:val="36"/>
          <w:lang w:eastAsia="en-GB"/>
          <w14:ligatures w14:val="none"/>
        </w:rPr>
      </w:pPr>
      <w:r w:rsidRPr="00092F94">
        <w:rPr>
          <w:rFonts w:ascii="Arial" w:eastAsia="Times New Roman" w:hAnsi="Arial" w:cs="Arial"/>
          <w:color w:val="000000"/>
          <w:kern w:val="36"/>
          <w:lang w:eastAsia="en-GB"/>
          <w14:ligatures w14:val="none"/>
        </w:rPr>
        <w:lastRenderedPageBreak/>
        <w:t>However, policy alone does not ensure effective practice. Davis (2015) argues that practitioners must translate policy into purposeful, enquiry-based experiences that enable children to develop environmental literacy, critical thinking and a lifelong commitment to sustainability.</w:t>
      </w:r>
    </w:p>
    <w:p w14:paraId="1C7FC8E6" w14:textId="77777777" w:rsidR="00092F94" w:rsidRPr="00092F94" w:rsidRDefault="00092F94" w:rsidP="00092F94">
      <w:pPr>
        <w:spacing w:before="100" w:beforeAutospacing="1" w:after="100" w:afterAutospacing="1"/>
        <w:outlineLvl w:val="0"/>
        <w:rPr>
          <w:rFonts w:ascii="Arial" w:eastAsia="Times New Roman" w:hAnsi="Arial" w:cs="Arial"/>
          <w:b/>
          <w:bCs/>
          <w:color w:val="000000"/>
          <w:kern w:val="36"/>
          <w:lang w:eastAsia="en-GB"/>
          <w14:ligatures w14:val="none"/>
        </w:rPr>
      </w:pPr>
      <w:r w:rsidRPr="00092F94">
        <w:rPr>
          <w:rFonts w:ascii="Arial" w:eastAsia="Times New Roman" w:hAnsi="Arial" w:cs="Arial"/>
          <w:b/>
          <w:bCs/>
          <w:color w:val="000000"/>
          <w:kern w:val="36"/>
          <w:lang w:eastAsia="en-GB"/>
          <w14:ligatures w14:val="none"/>
        </w:rPr>
        <w:t>Educational Theory</w:t>
      </w:r>
    </w:p>
    <w:p w14:paraId="6D4AEC34" w14:textId="77777777" w:rsidR="00092F94" w:rsidRPr="00092F94" w:rsidRDefault="00092F94" w:rsidP="00092F94">
      <w:pPr>
        <w:spacing w:before="100" w:beforeAutospacing="1" w:after="100" w:afterAutospacing="1"/>
        <w:outlineLvl w:val="0"/>
        <w:rPr>
          <w:rFonts w:ascii="Arial" w:eastAsia="Times New Roman" w:hAnsi="Arial" w:cs="Arial"/>
          <w:color w:val="000000"/>
          <w:kern w:val="36"/>
          <w:lang w:eastAsia="en-GB"/>
          <w14:ligatures w14:val="none"/>
        </w:rPr>
      </w:pPr>
      <w:r w:rsidRPr="00092F94">
        <w:rPr>
          <w:rFonts w:ascii="Arial" w:eastAsia="Times New Roman" w:hAnsi="Arial" w:cs="Arial"/>
          <w:color w:val="000000"/>
          <w:kern w:val="36"/>
          <w:lang w:eastAsia="en-GB"/>
          <w14:ligatures w14:val="none"/>
        </w:rPr>
        <w:t>Educational theory provides a pedagogical foundation for understanding how outdoor learning can support children's engagement with sustainability. Constructivist approaches suggest that children develop knowledge through active exploration, dialogue and experience rather than passive instruction. Within the context of the school's conservation area, the theories of Friedrich Froebel and Loris Malaguzzi are particularly relevant because both emphasise the importance of learning through interaction with rich, stimulating environments while recognising children's capacity to construct understanding through enquiry.</w:t>
      </w:r>
    </w:p>
    <w:p w14:paraId="6E54801F" w14:textId="77777777" w:rsidR="00092F94" w:rsidRPr="00092F94" w:rsidRDefault="00092F94" w:rsidP="00092F94">
      <w:pPr>
        <w:spacing w:before="100" w:beforeAutospacing="1" w:after="100" w:afterAutospacing="1"/>
        <w:outlineLvl w:val="0"/>
        <w:rPr>
          <w:rFonts w:ascii="Arial" w:eastAsia="Times New Roman" w:hAnsi="Arial" w:cs="Arial"/>
          <w:color w:val="000000"/>
          <w:kern w:val="36"/>
          <w:lang w:eastAsia="en-GB"/>
          <w14:ligatures w14:val="none"/>
        </w:rPr>
      </w:pPr>
      <w:r w:rsidRPr="00092F94">
        <w:rPr>
          <w:rFonts w:ascii="Arial" w:eastAsia="Times New Roman" w:hAnsi="Arial" w:cs="Arial"/>
          <w:color w:val="000000"/>
          <w:kern w:val="36"/>
          <w:lang w:eastAsia="en-GB"/>
          <w14:ligatures w14:val="none"/>
        </w:rPr>
        <w:t>Froebel viewed nature as central to children's holistic development, arguing that direct engagement with the natural world nurtures curiosity, independence and respect for living things (Lilley, 1967). He believed children develop understanding through first-hand experiences, enabling them to recognise relationships within the natural world rather than learning through abstract instruction. This perspective remains highly relevant within outdoor learning, where opportunities to observe seasonal change, investigate habitats and care for wildlife encourage children to appreciate biodiversity through meaningful experience. Contemporary evidence supports Froebel's philosophy, with Chawla (2020) demonstrating that regular contact with nature during childhood strengthens environmental identity and encourages pro-environmental behaviours throughout later life.</w:t>
      </w:r>
    </w:p>
    <w:p w14:paraId="3AC4216B" w14:textId="77777777" w:rsidR="00092F94" w:rsidRPr="00092F94" w:rsidRDefault="00092F94" w:rsidP="00092F94">
      <w:pPr>
        <w:spacing w:before="100" w:beforeAutospacing="1" w:after="100" w:afterAutospacing="1"/>
        <w:outlineLvl w:val="0"/>
        <w:rPr>
          <w:rFonts w:ascii="Arial" w:eastAsia="Times New Roman" w:hAnsi="Arial" w:cs="Arial"/>
          <w:color w:val="000000"/>
          <w:kern w:val="36"/>
          <w:lang w:eastAsia="en-GB"/>
          <w14:ligatures w14:val="none"/>
        </w:rPr>
      </w:pPr>
      <w:r w:rsidRPr="00092F94">
        <w:rPr>
          <w:rFonts w:ascii="Arial" w:eastAsia="Times New Roman" w:hAnsi="Arial" w:cs="Arial"/>
          <w:color w:val="000000"/>
          <w:kern w:val="36"/>
          <w:lang w:eastAsia="en-GB"/>
          <w14:ligatures w14:val="none"/>
        </w:rPr>
        <w:t>However, Froebel's work reflects the educational priorities of the nineteenth century and therefore offers limited consideration of contemporary environmental challenges such as climate change or sustainable development. Loris Malaguzzi's Reggio Emilia approach extends this perspective by viewing children as competent, capable learners who construct knowledge through collaboration and enquiry. Central to his philosophy is the concept of the environment as the ‘third teacher’, recognising that carefully planned learning environments stimulate curiosity, investigation and creativity (Edwards, Gandini and Forman, 2012). Rather than directing learning, practitioners facilitate children's thinking through open-ended questioning and shared exploration.</w:t>
      </w:r>
    </w:p>
    <w:p w14:paraId="1142DEF7" w14:textId="77777777" w:rsidR="00092F94" w:rsidRPr="00092F94" w:rsidRDefault="00092F94" w:rsidP="00092F94">
      <w:pPr>
        <w:spacing w:before="100" w:beforeAutospacing="1" w:after="100" w:afterAutospacing="1"/>
        <w:outlineLvl w:val="0"/>
        <w:rPr>
          <w:rFonts w:ascii="Arial" w:eastAsia="Times New Roman" w:hAnsi="Arial" w:cs="Arial"/>
          <w:color w:val="000000"/>
          <w:kern w:val="36"/>
          <w:lang w:eastAsia="en-GB"/>
          <w14:ligatures w14:val="none"/>
        </w:rPr>
      </w:pPr>
      <w:r w:rsidRPr="00092F94">
        <w:rPr>
          <w:rFonts w:ascii="Arial" w:eastAsia="Times New Roman" w:hAnsi="Arial" w:cs="Arial"/>
          <w:color w:val="000000"/>
          <w:kern w:val="36"/>
          <w:lang w:eastAsia="en-GB"/>
          <w14:ligatures w14:val="none"/>
        </w:rPr>
        <w:t xml:space="preserve">Applied within the conservation area, Malaguzzi's approach enables children to investigate habitats, compare wildlife, observe ecological change and communicate their findings with others. These experiences encourage children to develop explanations based on observation and discussion, strengthening scientific enquiry alongside environmental understanding. </w:t>
      </w:r>
    </w:p>
    <w:p w14:paraId="4D705C15" w14:textId="77777777" w:rsidR="00092F94" w:rsidRPr="00092F94" w:rsidRDefault="00092F94" w:rsidP="00092F94">
      <w:pPr>
        <w:spacing w:before="100" w:beforeAutospacing="1" w:after="100" w:afterAutospacing="1"/>
        <w:outlineLvl w:val="0"/>
        <w:rPr>
          <w:rFonts w:ascii="Arial" w:eastAsia="Times New Roman" w:hAnsi="Arial" w:cs="Arial"/>
          <w:color w:val="000000"/>
          <w:kern w:val="36"/>
          <w:lang w:eastAsia="en-GB"/>
          <w14:ligatures w14:val="none"/>
        </w:rPr>
      </w:pPr>
      <w:r w:rsidRPr="00092F94">
        <w:rPr>
          <w:rFonts w:ascii="Arial" w:eastAsia="Times New Roman" w:hAnsi="Arial" w:cs="Arial"/>
          <w:color w:val="000000"/>
          <w:kern w:val="36"/>
          <w:lang w:eastAsia="en-GB"/>
          <w14:ligatures w14:val="none"/>
        </w:rPr>
        <w:t xml:space="preserve">Together, Froebel and Malaguzzi provide complementary perspectives for outdoor learning. Froebel emphasises children's emotional connection with nature, while Malaguzzi highlights enquiry, collaboration and the active construction of knowledge. When applied within the school's conservation area, these theories demonstrate how </w:t>
      </w:r>
      <w:r w:rsidRPr="00092F94">
        <w:rPr>
          <w:rFonts w:ascii="Arial" w:eastAsia="Times New Roman" w:hAnsi="Arial" w:cs="Arial"/>
          <w:color w:val="000000"/>
          <w:kern w:val="36"/>
          <w:lang w:eastAsia="en-GB"/>
          <w14:ligatures w14:val="none"/>
        </w:rPr>
        <w:lastRenderedPageBreak/>
        <w:t xml:space="preserve">outdoor environments can support environmental understanding, critical thinking and responsible action. </w:t>
      </w:r>
    </w:p>
    <w:p w14:paraId="69319B15" w14:textId="77777777" w:rsidR="00092F94" w:rsidRPr="00092F94" w:rsidRDefault="00092F94" w:rsidP="00092F94">
      <w:pPr>
        <w:spacing w:before="100" w:beforeAutospacing="1" w:after="100" w:afterAutospacing="1"/>
        <w:outlineLvl w:val="0"/>
        <w:rPr>
          <w:rFonts w:ascii="Arial" w:eastAsia="Times New Roman" w:hAnsi="Arial" w:cs="Arial"/>
          <w:b/>
          <w:bCs/>
          <w:color w:val="000000"/>
          <w:kern w:val="36"/>
          <w:lang w:eastAsia="en-GB"/>
          <w14:ligatures w14:val="none"/>
        </w:rPr>
      </w:pPr>
      <w:r w:rsidRPr="00092F94">
        <w:rPr>
          <w:rFonts w:ascii="Arial" w:eastAsia="Times New Roman" w:hAnsi="Arial" w:cs="Arial"/>
          <w:b/>
          <w:bCs/>
          <w:color w:val="000000"/>
          <w:kern w:val="36"/>
          <w:lang w:eastAsia="en-GB"/>
          <w14:ligatures w14:val="none"/>
        </w:rPr>
        <w:t>Conclusion</w:t>
      </w:r>
    </w:p>
    <w:p w14:paraId="2F176F96" w14:textId="77777777" w:rsidR="00092F94" w:rsidRPr="00092F94" w:rsidRDefault="00092F94" w:rsidP="00092F94">
      <w:pPr>
        <w:spacing w:before="100" w:beforeAutospacing="1" w:after="100" w:afterAutospacing="1"/>
        <w:outlineLvl w:val="0"/>
        <w:rPr>
          <w:rFonts w:ascii="Arial" w:eastAsia="Times New Roman" w:hAnsi="Arial" w:cs="Arial"/>
          <w:color w:val="000000"/>
          <w:kern w:val="36"/>
          <w:lang w:eastAsia="en-GB"/>
          <w14:ligatures w14:val="none"/>
        </w:rPr>
      </w:pPr>
      <w:r w:rsidRPr="00092F94">
        <w:rPr>
          <w:rFonts w:ascii="Arial" w:eastAsia="Times New Roman" w:hAnsi="Arial" w:cs="Arial"/>
          <w:color w:val="000000"/>
          <w:kern w:val="36"/>
          <w:lang w:eastAsia="en-GB"/>
          <w14:ligatures w14:val="none"/>
        </w:rPr>
        <w:t>In conclusion this presentation has demonstrated that the school's conservation area provides an effective context for embedding Education for Sustainable Development within early childhood education. By integrating authentic outdoor experiences with enquiry-based pedagogy, children are supported to develop environmental literacy, critical thinking and a sense of responsibility for the natural world. The findings suggest that meaningful sustainability education depends not simply on access to outdoor environments but on practitioners intentionally facilitating learning that encourages children to question, investigate and reflect upon their experiences.</w:t>
      </w:r>
    </w:p>
    <w:p w14:paraId="3120AA1B" w14:textId="77777777" w:rsidR="00092F94" w:rsidRPr="00092F94" w:rsidRDefault="00092F94" w:rsidP="00092F94">
      <w:pPr>
        <w:spacing w:before="100" w:beforeAutospacing="1" w:after="100" w:afterAutospacing="1"/>
        <w:outlineLvl w:val="0"/>
        <w:rPr>
          <w:rFonts w:ascii="Arial" w:eastAsia="Times New Roman" w:hAnsi="Arial" w:cs="Arial"/>
          <w:color w:val="000000"/>
          <w:kern w:val="36"/>
          <w:lang w:eastAsia="en-GB"/>
          <w14:ligatures w14:val="none"/>
        </w:rPr>
      </w:pPr>
      <w:r w:rsidRPr="00092F94">
        <w:rPr>
          <w:rFonts w:ascii="Arial" w:eastAsia="Times New Roman" w:hAnsi="Arial" w:cs="Arial"/>
          <w:color w:val="000000"/>
          <w:kern w:val="36"/>
          <w:lang w:eastAsia="en-GB"/>
          <w14:ligatures w14:val="none"/>
        </w:rPr>
        <w:t>The discussion has shown that the theories of Froebel and Malaguzzi provide a strong pedagogical foundation for outdoor learning, while international and Welsh policy frameworks position sustainability as a central purpose of education. Together, these perspectives reinforce that children should be recognised as capable participants in creating sustainable futures rather than passive recipients of environmental knowledge.</w:t>
      </w:r>
    </w:p>
    <w:p w14:paraId="4D2A94C4" w14:textId="77777777" w:rsidR="00092F94" w:rsidRPr="00092F94" w:rsidRDefault="00092F94" w:rsidP="00092F94">
      <w:pPr>
        <w:spacing w:before="100" w:beforeAutospacing="1" w:after="100" w:afterAutospacing="1"/>
        <w:outlineLvl w:val="0"/>
        <w:rPr>
          <w:rFonts w:ascii="Arial" w:eastAsia="Times New Roman" w:hAnsi="Arial" w:cs="Arial"/>
          <w:color w:val="000000"/>
          <w:kern w:val="36"/>
          <w:lang w:eastAsia="en-GB"/>
          <w14:ligatures w14:val="none"/>
        </w:rPr>
      </w:pPr>
      <w:r w:rsidRPr="00092F94">
        <w:rPr>
          <w:rFonts w:ascii="Arial" w:eastAsia="Times New Roman" w:hAnsi="Arial" w:cs="Arial"/>
          <w:color w:val="000000"/>
          <w:kern w:val="36"/>
          <w:lang w:eastAsia="en-GB"/>
          <w14:ligatures w14:val="none"/>
        </w:rPr>
        <w:t>The conservation area illustrates how local outdoor environments can enable children to connect their everyday experiences with wider environmental challenges through practical conservation, collaborative enquiry and responsible action. By embedding the principles of the John Muir Award Discover, Explore, Conserve and Share within everyday practice, practitioners can foster lifelong environmental stewardship while supporting children's holistic development. Ultimately, preparing children to respond positively to future environmental challenges requires sustainability to become an integral element of early childhood education, underpinned by informed pedagogy, meaningful outdoor experiences and a commitment to nurturing environmentally responsible citizens.</w:t>
      </w:r>
    </w:p>
    <w:p w14:paraId="5ACCD2A1" w14:textId="77777777" w:rsidR="00940D39" w:rsidRDefault="00940D39" w:rsidP="0010053C">
      <w:pPr>
        <w:spacing w:before="100" w:beforeAutospacing="1" w:after="100" w:afterAutospacing="1"/>
        <w:outlineLvl w:val="0"/>
        <w:rPr>
          <w:rFonts w:ascii="Arial" w:eastAsia="Times New Roman" w:hAnsi="Arial" w:cs="Arial"/>
          <w:b/>
          <w:bCs/>
          <w:color w:val="000000"/>
          <w:kern w:val="36"/>
          <w:lang w:eastAsia="en-GB"/>
          <w14:ligatures w14:val="none"/>
        </w:rPr>
      </w:pPr>
    </w:p>
    <w:p w14:paraId="24B2D9DD" w14:textId="77777777" w:rsidR="00940D39" w:rsidRDefault="00940D39" w:rsidP="0010053C">
      <w:pPr>
        <w:spacing w:before="100" w:beforeAutospacing="1" w:after="100" w:afterAutospacing="1"/>
        <w:outlineLvl w:val="0"/>
        <w:rPr>
          <w:rFonts w:ascii="Arial" w:eastAsia="Times New Roman" w:hAnsi="Arial" w:cs="Arial"/>
          <w:b/>
          <w:bCs/>
          <w:color w:val="000000"/>
          <w:kern w:val="36"/>
          <w:lang w:eastAsia="en-GB"/>
          <w14:ligatures w14:val="none"/>
        </w:rPr>
      </w:pPr>
    </w:p>
    <w:p w14:paraId="09C6D4E5" w14:textId="77777777" w:rsidR="00940D39" w:rsidRDefault="00940D39" w:rsidP="0010053C">
      <w:pPr>
        <w:spacing w:before="100" w:beforeAutospacing="1" w:after="100" w:afterAutospacing="1"/>
        <w:outlineLvl w:val="0"/>
        <w:rPr>
          <w:rFonts w:ascii="Arial" w:eastAsia="Times New Roman" w:hAnsi="Arial" w:cs="Arial"/>
          <w:b/>
          <w:bCs/>
          <w:color w:val="000000"/>
          <w:kern w:val="36"/>
          <w:lang w:eastAsia="en-GB"/>
          <w14:ligatures w14:val="none"/>
        </w:rPr>
      </w:pPr>
    </w:p>
    <w:p w14:paraId="19569B17" w14:textId="77777777" w:rsidR="00940D39" w:rsidRDefault="00940D39" w:rsidP="0010053C">
      <w:pPr>
        <w:spacing w:before="100" w:beforeAutospacing="1" w:after="100" w:afterAutospacing="1"/>
        <w:outlineLvl w:val="0"/>
        <w:rPr>
          <w:rFonts w:ascii="Arial" w:eastAsia="Times New Roman" w:hAnsi="Arial" w:cs="Arial"/>
          <w:b/>
          <w:bCs/>
          <w:color w:val="000000"/>
          <w:kern w:val="36"/>
          <w:lang w:eastAsia="en-GB"/>
          <w14:ligatures w14:val="none"/>
        </w:rPr>
      </w:pPr>
    </w:p>
    <w:p w14:paraId="5052DCE9" w14:textId="77777777" w:rsidR="00940D39" w:rsidRDefault="00940D39" w:rsidP="0010053C">
      <w:pPr>
        <w:spacing w:before="100" w:beforeAutospacing="1" w:after="100" w:afterAutospacing="1"/>
        <w:outlineLvl w:val="0"/>
        <w:rPr>
          <w:rFonts w:ascii="Arial" w:eastAsia="Times New Roman" w:hAnsi="Arial" w:cs="Arial"/>
          <w:b/>
          <w:bCs/>
          <w:color w:val="000000"/>
          <w:kern w:val="36"/>
          <w:lang w:eastAsia="en-GB"/>
          <w14:ligatures w14:val="none"/>
        </w:rPr>
      </w:pPr>
    </w:p>
    <w:p w14:paraId="7736F23F" w14:textId="77777777" w:rsidR="00940D39" w:rsidRDefault="00940D39" w:rsidP="0010053C">
      <w:pPr>
        <w:spacing w:before="100" w:beforeAutospacing="1" w:after="100" w:afterAutospacing="1"/>
        <w:outlineLvl w:val="0"/>
        <w:rPr>
          <w:rFonts w:ascii="Arial" w:eastAsia="Times New Roman" w:hAnsi="Arial" w:cs="Arial"/>
          <w:b/>
          <w:bCs/>
          <w:color w:val="000000"/>
          <w:kern w:val="36"/>
          <w:lang w:eastAsia="en-GB"/>
          <w14:ligatures w14:val="none"/>
        </w:rPr>
      </w:pPr>
    </w:p>
    <w:p w14:paraId="7E0AE746" w14:textId="77777777" w:rsidR="00940D39" w:rsidRDefault="00940D39" w:rsidP="0010053C">
      <w:pPr>
        <w:spacing w:before="100" w:beforeAutospacing="1" w:after="100" w:afterAutospacing="1"/>
        <w:outlineLvl w:val="0"/>
        <w:rPr>
          <w:rFonts w:ascii="Arial" w:eastAsia="Times New Roman" w:hAnsi="Arial" w:cs="Arial"/>
          <w:b/>
          <w:bCs/>
          <w:color w:val="000000"/>
          <w:kern w:val="36"/>
          <w:lang w:eastAsia="en-GB"/>
          <w14:ligatures w14:val="none"/>
        </w:rPr>
      </w:pPr>
    </w:p>
    <w:p w14:paraId="4AEB854F" w14:textId="77777777" w:rsidR="00940D39" w:rsidRDefault="00940D39" w:rsidP="0010053C">
      <w:pPr>
        <w:spacing w:before="100" w:beforeAutospacing="1" w:after="100" w:afterAutospacing="1"/>
        <w:outlineLvl w:val="0"/>
        <w:rPr>
          <w:rFonts w:ascii="Arial" w:eastAsia="Times New Roman" w:hAnsi="Arial" w:cs="Arial"/>
          <w:b/>
          <w:bCs/>
          <w:color w:val="000000"/>
          <w:kern w:val="36"/>
          <w:lang w:eastAsia="en-GB"/>
          <w14:ligatures w14:val="none"/>
        </w:rPr>
      </w:pPr>
    </w:p>
    <w:p w14:paraId="0C1F3F44" w14:textId="77777777" w:rsidR="00940D39" w:rsidRDefault="00940D39" w:rsidP="0010053C">
      <w:pPr>
        <w:spacing w:before="100" w:beforeAutospacing="1" w:after="100" w:afterAutospacing="1"/>
        <w:outlineLvl w:val="0"/>
        <w:rPr>
          <w:rFonts w:ascii="Arial" w:eastAsia="Times New Roman" w:hAnsi="Arial" w:cs="Arial"/>
          <w:b/>
          <w:bCs/>
          <w:color w:val="000000"/>
          <w:kern w:val="36"/>
          <w:lang w:eastAsia="en-GB"/>
          <w14:ligatures w14:val="none"/>
        </w:rPr>
      </w:pPr>
    </w:p>
    <w:p w14:paraId="5E8E3101" w14:textId="575DB0F7" w:rsidR="0010053C" w:rsidRPr="0010053C" w:rsidRDefault="0010053C" w:rsidP="0010053C">
      <w:pPr>
        <w:spacing w:before="100" w:beforeAutospacing="1" w:after="100" w:afterAutospacing="1"/>
        <w:outlineLvl w:val="0"/>
        <w:rPr>
          <w:rFonts w:ascii="Arial" w:eastAsia="Times New Roman" w:hAnsi="Arial" w:cs="Arial"/>
          <w:b/>
          <w:bCs/>
          <w:color w:val="000000"/>
          <w:kern w:val="36"/>
          <w:lang w:eastAsia="en-GB"/>
          <w14:ligatures w14:val="none"/>
        </w:rPr>
      </w:pPr>
      <w:r w:rsidRPr="0010053C">
        <w:rPr>
          <w:rFonts w:ascii="Arial" w:eastAsia="Times New Roman" w:hAnsi="Arial" w:cs="Arial"/>
          <w:b/>
          <w:bCs/>
          <w:color w:val="000000"/>
          <w:kern w:val="36"/>
          <w:lang w:eastAsia="en-GB"/>
          <w14:ligatures w14:val="none"/>
        </w:rPr>
        <w:lastRenderedPageBreak/>
        <w:t>Reference</w:t>
      </w:r>
      <w:r w:rsidR="00940D39">
        <w:rPr>
          <w:rFonts w:ascii="Arial" w:eastAsia="Times New Roman" w:hAnsi="Arial" w:cs="Arial"/>
          <w:b/>
          <w:bCs/>
          <w:color w:val="000000"/>
          <w:kern w:val="36"/>
          <w:lang w:eastAsia="en-GB"/>
          <w14:ligatures w14:val="none"/>
        </w:rPr>
        <w:t xml:space="preserve"> List</w:t>
      </w:r>
    </w:p>
    <w:p w14:paraId="69FE80BB" w14:textId="77777777" w:rsidR="0010053C" w:rsidRPr="0010053C" w:rsidRDefault="0010053C" w:rsidP="0010053C">
      <w:pPr>
        <w:spacing w:before="100" w:beforeAutospacing="1" w:after="100" w:afterAutospacing="1"/>
        <w:rPr>
          <w:rFonts w:ascii="Arial" w:eastAsia="Times New Roman" w:hAnsi="Arial" w:cs="Arial"/>
          <w:color w:val="000000"/>
          <w:kern w:val="0"/>
          <w:lang w:eastAsia="en-GB"/>
          <w14:ligatures w14:val="none"/>
        </w:rPr>
      </w:pPr>
      <w:r w:rsidRPr="0010053C">
        <w:rPr>
          <w:rFonts w:ascii="Arial" w:eastAsia="Times New Roman" w:hAnsi="Arial" w:cs="Arial"/>
          <w:color w:val="000000"/>
          <w:kern w:val="0"/>
          <w:lang w:eastAsia="en-GB"/>
          <w14:ligatures w14:val="none"/>
        </w:rPr>
        <w:t>Chawla, L. (2020) 'Childhood nature connection and constructive hope: A review of research on connecting with nature and coping with environmental loss', </w:t>
      </w:r>
      <w:r w:rsidRPr="0010053C">
        <w:rPr>
          <w:rFonts w:ascii="Arial" w:eastAsia="Times New Roman" w:hAnsi="Arial" w:cs="Arial"/>
          <w:i/>
          <w:iCs/>
          <w:color w:val="000000"/>
          <w:kern w:val="0"/>
          <w:lang w:eastAsia="en-GB"/>
          <w14:ligatures w14:val="none"/>
        </w:rPr>
        <w:t>People and Nature</w:t>
      </w:r>
      <w:r w:rsidRPr="0010053C">
        <w:rPr>
          <w:rFonts w:ascii="Arial" w:eastAsia="Times New Roman" w:hAnsi="Arial" w:cs="Arial"/>
          <w:color w:val="000000"/>
          <w:kern w:val="0"/>
          <w:lang w:eastAsia="en-GB"/>
          <w14:ligatures w14:val="none"/>
        </w:rPr>
        <w:t>, 2(3), pp. 619–642. Available at: </w:t>
      </w:r>
      <w:hyperlink r:id="rId9" w:history="1">
        <w:r w:rsidRPr="0010053C">
          <w:rPr>
            <w:rFonts w:ascii="Arial" w:eastAsia="Times New Roman" w:hAnsi="Arial" w:cs="Arial"/>
            <w:color w:val="0000FF"/>
            <w:kern w:val="0"/>
            <w:u w:val="single"/>
            <w:lang w:eastAsia="en-GB"/>
            <w14:ligatures w14:val="none"/>
          </w:rPr>
          <w:t>https://doi.org/10.1002/pan3.10128</w:t>
        </w:r>
      </w:hyperlink>
      <w:r w:rsidRPr="0010053C">
        <w:rPr>
          <w:rFonts w:ascii="Arial" w:eastAsia="Times New Roman" w:hAnsi="Arial" w:cs="Arial"/>
          <w:color w:val="000000"/>
          <w:kern w:val="0"/>
          <w:lang w:eastAsia="en-GB"/>
          <w14:ligatures w14:val="none"/>
        </w:rPr>
        <w:t> (Accessed: 3 July 2026).</w:t>
      </w:r>
    </w:p>
    <w:p w14:paraId="639D8144" w14:textId="77777777" w:rsidR="0010053C" w:rsidRPr="0010053C" w:rsidRDefault="0010053C" w:rsidP="0010053C">
      <w:pPr>
        <w:spacing w:before="100" w:beforeAutospacing="1" w:after="100" w:afterAutospacing="1"/>
        <w:rPr>
          <w:rFonts w:ascii="Arial" w:eastAsia="Times New Roman" w:hAnsi="Arial" w:cs="Arial"/>
          <w:color w:val="000000"/>
          <w:kern w:val="0"/>
          <w:lang w:eastAsia="en-GB"/>
          <w14:ligatures w14:val="none"/>
        </w:rPr>
      </w:pPr>
      <w:r w:rsidRPr="0010053C">
        <w:rPr>
          <w:rFonts w:ascii="Arial" w:eastAsia="Times New Roman" w:hAnsi="Arial" w:cs="Arial"/>
          <w:color w:val="000000"/>
          <w:kern w:val="0"/>
          <w:lang w:eastAsia="en-GB"/>
          <w14:ligatures w14:val="none"/>
        </w:rPr>
        <w:t>Davis, J. (2015) </w:t>
      </w:r>
      <w:r w:rsidRPr="0010053C">
        <w:rPr>
          <w:rFonts w:ascii="Arial" w:eastAsia="Times New Roman" w:hAnsi="Arial" w:cs="Arial"/>
          <w:i/>
          <w:iCs/>
          <w:color w:val="000000"/>
          <w:kern w:val="0"/>
          <w:lang w:eastAsia="en-GB"/>
          <w14:ligatures w14:val="none"/>
        </w:rPr>
        <w:t>Young Children and the Environment: Early Education for Sustainability</w:t>
      </w:r>
      <w:r w:rsidRPr="0010053C">
        <w:rPr>
          <w:rFonts w:ascii="Arial" w:eastAsia="Times New Roman" w:hAnsi="Arial" w:cs="Arial"/>
          <w:color w:val="000000"/>
          <w:kern w:val="0"/>
          <w:lang w:eastAsia="en-GB"/>
          <w14:ligatures w14:val="none"/>
        </w:rPr>
        <w:t xml:space="preserve">. 2nd </w:t>
      </w:r>
      <w:proofErr w:type="spellStart"/>
      <w:r w:rsidRPr="0010053C">
        <w:rPr>
          <w:rFonts w:ascii="Arial" w:eastAsia="Times New Roman" w:hAnsi="Arial" w:cs="Arial"/>
          <w:color w:val="000000"/>
          <w:kern w:val="0"/>
          <w:lang w:eastAsia="en-GB"/>
          <w14:ligatures w14:val="none"/>
        </w:rPr>
        <w:t>edn</w:t>
      </w:r>
      <w:proofErr w:type="spellEnd"/>
      <w:r w:rsidRPr="0010053C">
        <w:rPr>
          <w:rFonts w:ascii="Arial" w:eastAsia="Times New Roman" w:hAnsi="Arial" w:cs="Arial"/>
          <w:color w:val="000000"/>
          <w:kern w:val="0"/>
          <w:lang w:eastAsia="en-GB"/>
          <w14:ligatures w14:val="none"/>
        </w:rPr>
        <w:t>. Melbourne: Cambridge University Press. Available at: </w:t>
      </w:r>
      <w:hyperlink r:id="rId10" w:history="1">
        <w:r w:rsidRPr="0010053C">
          <w:rPr>
            <w:rFonts w:ascii="Arial" w:eastAsia="Times New Roman" w:hAnsi="Arial" w:cs="Arial"/>
            <w:color w:val="0000FF"/>
            <w:kern w:val="0"/>
            <w:u w:val="single"/>
            <w:lang w:eastAsia="en-GB"/>
            <w14:ligatures w14:val="none"/>
          </w:rPr>
          <w:t>https://doi.org/10.1017/CBO9781107587632</w:t>
        </w:r>
      </w:hyperlink>
      <w:r w:rsidRPr="0010053C">
        <w:rPr>
          <w:rFonts w:ascii="Arial" w:eastAsia="Times New Roman" w:hAnsi="Arial" w:cs="Arial"/>
          <w:color w:val="000000"/>
          <w:kern w:val="0"/>
          <w:lang w:eastAsia="en-GB"/>
          <w14:ligatures w14:val="none"/>
        </w:rPr>
        <w:t> (Accessed: 3 July 2026).</w:t>
      </w:r>
    </w:p>
    <w:p w14:paraId="2C74E6CB" w14:textId="77777777" w:rsidR="0010053C" w:rsidRPr="0010053C" w:rsidRDefault="0010053C" w:rsidP="0010053C">
      <w:pPr>
        <w:spacing w:before="100" w:beforeAutospacing="1" w:after="100" w:afterAutospacing="1"/>
        <w:rPr>
          <w:rFonts w:ascii="Arial" w:eastAsia="Times New Roman" w:hAnsi="Arial" w:cs="Arial"/>
          <w:color w:val="000000"/>
          <w:kern w:val="0"/>
          <w:lang w:eastAsia="en-GB"/>
          <w14:ligatures w14:val="none"/>
        </w:rPr>
      </w:pPr>
      <w:r w:rsidRPr="0010053C">
        <w:rPr>
          <w:rFonts w:ascii="Arial" w:eastAsia="Times New Roman" w:hAnsi="Arial" w:cs="Arial"/>
          <w:color w:val="000000"/>
          <w:kern w:val="0"/>
          <w:lang w:eastAsia="en-GB"/>
          <w14:ligatures w14:val="none"/>
        </w:rPr>
        <w:t>Edwards, C., Gandini, L. and Forman, G. (eds.) (2012) </w:t>
      </w:r>
      <w:r w:rsidRPr="0010053C">
        <w:rPr>
          <w:rFonts w:ascii="Arial" w:eastAsia="Times New Roman" w:hAnsi="Arial" w:cs="Arial"/>
          <w:i/>
          <w:iCs/>
          <w:color w:val="000000"/>
          <w:kern w:val="0"/>
          <w:lang w:eastAsia="en-GB"/>
          <w14:ligatures w14:val="none"/>
        </w:rPr>
        <w:t>The Hundred Languages of Children: The Reggio Emilia Experience in Transformation</w:t>
      </w:r>
      <w:r w:rsidRPr="0010053C">
        <w:rPr>
          <w:rFonts w:ascii="Arial" w:eastAsia="Times New Roman" w:hAnsi="Arial" w:cs="Arial"/>
          <w:color w:val="000000"/>
          <w:kern w:val="0"/>
          <w:lang w:eastAsia="en-GB"/>
          <w14:ligatures w14:val="none"/>
        </w:rPr>
        <w:t xml:space="preserve">. 3rd </w:t>
      </w:r>
      <w:proofErr w:type="spellStart"/>
      <w:r w:rsidRPr="0010053C">
        <w:rPr>
          <w:rFonts w:ascii="Arial" w:eastAsia="Times New Roman" w:hAnsi="Arial" w:cs="Arial"/>
          <w:color w:val="000000"/>
          <w:kern w:val="0"/>
          <w:lang w:eastAsia="en-GB"/>
          <w14:ligatures w14:val="none"/>
        </w:rPr>
        <w:t>edn</w:t>
      </w:r>
      <w:proofErr w:type="spellEnd"/>
      <w:r w:rsidRPr="0010053C">
        <w:rPr>
          <w:rFonts w:ascii="Arial" w:eastAsia="Times New Roman" w:hAnsi="Arial" w:cs="Arial"/>
          <w:color w:val="000000"/>
          <w:kern w:val="0"/>
          <w:lang w:eastAsia="en-GB"/>
          <w14:ligatures w14:val="none"/>
        </w:rPr>
        <w:t>. Santa Barbara, CA: Praeger. Available at: </w:t>
      </w:r>
      <w:hyperlink r:id="rId11" w:history="1">
        <w:r w:rsidRPr="0010053C">
          <w:rPr>
            <w:rFonts w:ascii="Arial" w:eastAsia="Times New Roman" w:hAnsi="Arial" w:cs="Arial"/>
            <w:color w:val="0000FF"/>
            <w:kern w:val="0"/>
            <w:u w:val="single"/>
            <w:lang w:eastAsia="en-GB"/>
            <w14:ligatures w14:val="none"/>
          </w:rPr>
          <w:t>https://products.abc-clio.com/ABC-CLIOCorporate/product.aspx?pc=A3728C</w:t>
        </w:r>
      </w:hyperlink>
      <w:r w:rsidRPr="0010053C">
        <w:rPr>
          <w:rFonts w:ascii="Arial" w:eastAsia="Times New Roman" w:hAnsi="Arial" w:cs="Arial"/>
          <w:color w:val="000000"/>
          <w:kern w:val="0"/>
          <w:lang w:eastAsia="en-GB"/>
          <w14:ligatures w14:val="none"/>
        </w:rPr>
        <w:t> (Accessed: 3 July 2026).</w:t>
      </w:r>
    </w:p>
    <w:p w14:paraId="1BC6D277" w14:textId="77777777" w:rsidR="0010053C" w:rsidRPr="0010053C" w:rsidRDefault="0010053C" w:rsidP="0010053C">
      <w:pPr>
        <w:spacing w:before="100" w:beforeAutospacing="1" w:after="100" w:afterAutospacing="1"/>
        <w:rPr>
          <w:rFonts w:ascii="Arial" w:eastAsia="Times New Roman" w:hAnsi="Arial" w:cs="Arial"/>
          <w:color w:val="000000"/>
          <w:kern w:val="0"/>
          <w:lang w:eastAsia="en-GB"/>
          <w14:ligatures w14:val="none"/>
        </w:rPr>
      </w:pPr>
      <w:r w:rsidRPr="0010053C">
        <w:rPr>
          <w:rFonts w:ascii="Arial" w:eastAsia="Times New Roman" w:hAnsi="Arial" w:cs="Arial"/>
          <w:color w:val="000000"/>
          <w:kern w:val="0"/>
          <w:lang w:eastAsia="en-GB"/>
          <w14:ligatures w14:val="none"/>
        </w:rPr>
        <w:t>Intergovernmental Panel on Climate Change (IPCC) (2023) </w:t>
      </w:r>
      <w:r w:rsidRPr="0010053C">
        <w:rPr>
          <w:rFonts w:ascii="Arial" w:eastAsia="Times New Roman" w:hAnsi="Arial" w:cs="Arial"/>
          <w:i/>
          <w:iCs/>
          <w:color w:val="000000"/>
          <w:kern w:val="0"/>
          <w:lang w:eastAsia="en-GB"/>
          <w14:ligatures w14:val="none"/>
        </w:rPr>
        <w:t>Climate Change 2023: Synthesis Report</w:t>
      </w:r>
      <w:r w:rsidRPr="0010053C">
        <w:rPr>
          <w:rFonts w:ascii="Arial" w:eastAsia="Times New Roman" w:hAnsi="Arial" w:cs="Arial"/>
          <w:color w:val="000000"/>
          <w:kern w:val="0"/>
          <w:lang w:eastAsia="en-GB"/>
          <w14:ligatures w14:val="none"/>
        </w:rPr>
        <w:t>. Geneva: IPCC. Available at: </w:t>
      </w:r>
      <w:hyperlink r:id="rId12" w:history="1">
        <w:r w:rsidRPr="0010053C">
          <w:rPr>
            <w:rFonts w:ascii="Arial" w:eastAsia="Times New Roman" w:hAnsi="Arial" w:cs="Arial"/>
            <w:color w:val="0000FF"/>
            <w:kern w:val="0"/>
            <w:u w:val="single"/>
            <w:lang w:eastAsia="en-GB"/>
            <w14:ligatures w14:val="none"/>
          </w:rPr>
          <w:t>https://www.ipcc.ch/report/ar6/syr/</w:t>
        </w:r>
      </w:hyperlink>
      <w:r w:rsidRPr="0010053C">
        <w:rPr>
          <w:rFonts w:ascii="Arial" w:eastAsia="Times New Roman" w:hAnsi="Arial" w:cs="Arial"/>
          <w:color w:val="000000"/>
          <w:kern w:val="0"/>
          <w:lang w:eastAsia="en-GB"/>
          <w14:ligatures w14:val="none"/>
        </w:rPr>
        <w:t> (Accessed: 3 July 2026).</w:t>
      </w:r>
    </w:p>
    <w:p w14:paraId="3584D51B" w14:textId="77777777" w:rsidR="0010053C" w:rsidRPr="0010053C" w:rsidRDefault="0010053C" w:rsidP="0010053C">
      <w:pPr>
        <w:spacing w:before="100" w:beforeAutospacing="1" w:after="100" w:afterAutospacing="1"/>
        <w:rPr>
          <w:rFonts w:ascii="Arial" w:eastAsia="Times New Roman" w:hAnsi="Arial" w:cs="Arial"/>
          <w:color w:val="000000"/>
          <w:kern w:val="0"/>
          <w:lang w:eastAsia="en-GB"/>
          <w14:ligatures w14:val="none"/>
        </w:rPr>
      </w:pPr>
      <w:r w:rsidRPr="0010053C">
        <w:rPr>
          <w:rFonts w:ascii="Arial" w:eastAsia="Times New Roman" w:hAnsi="Arial" w:cs="Arial"/>
          <w:color w:val="000000"/>
          <w:kern w:val="0"/>
          <w:lang w:eastAsia="en-GB"/>
          <w14:ligatures w14:val="none"/>
        </w:rPr>
        <w:t>Intergovernmental Science-Policy Platform on Biodiversity and Ecosystem Services (IPBES) (2019) </w:t>
      </w:r>
      <w:r w:rsidRPr="0010053C">
        <w:rPr>
          <w:rFonts w:ascii="Arial" w:eastAsia="Times New Roman" w:hAnsi="Arial" w:cs="Arial"/>
          <w:i/>
          <w:iCs/>
          <w:color w:val="000000"/>
          <w:kern w:val="0"/>
          <w:lang w:eastAsia="en-GB"/>
          <w14:ligatures w14:val="none"/>
        </w:rPr>
        <w:t>Global Assessment Report on Biodiversity and Ecosystem Services</w:t>
      </w:r>
      <w:r w:rsidRPr="0010053C">
        <w:rPr>
          <w:rFonts w:ascii="Arial" w:eastAsia="Times New Roman" w:hAnsi="Arial" w:cs="Arial"/>
          <w:color w:val="000000"/>
          <w:kern w:val="0"/>
          <w:lang w:eastAsia="en-GB"/>
          <w14:ligatures w14:val="none"/>
        </w:rPr>
        <w:t>. Bonn: IPBES Secretariat. Available at: </w:t>
      </w:r>
      <w:hyperlink r:id="rId13" w:history="1">
        <w:r w:rsidRPr="0010053C">
          <w:rPr>
            <w:rFonts w:ascii="Arial" w:eastAsia="Times New Roman" w:hAnsi="Arial" w:cs="Arial"/>
            <w:color w:val="0000FF"/>
            <w:kern w:val="0"/>
            <w:u w:val="single"/>
            <w:lang w:eastAsia="en-GB"/>
            <w14:ligatures w14:val="none"/>
          </w:rPr>
          <w:t>https://doi.org/10.5281/zenodo.3831673</w:t>
        </w:r>
      </w:hyperlink>
      <w:r w:rsidRPr="0010053C">
        <w:rPr>
          <w:rFonts w:ascii="Arial" w:eastAsia="Times New Roman" w:hAnsi="Arial" w:cs="Arial"/>
          <w:color w:val="000000"/>
          <w:kern w:val="0"/>
          <w:lang w:eastAsia="en-GB"/>
          <w14:ligatures w14:val="none"/>
        </w:rPr>
        <w:t> (Accessed: 3 July 2026).</w:t>
      </w:r>
    </w:p>
    <w:p w14:paraId="43F0374A" w14:textId="77777777" w:rsidR="0010053C" w:rsidRPr="0010053C" w:rsidRDefault="0010053C" w:rsidP="0010053C">
      <w:pPr>
        <w:spacing w:before="100" w:beforeAutospacing="1" w:after="100" w:afterAutospacing="1"/>
        <w:rPr>
          <w:rFonts w:ascii="Arial" w:eastAsia="Times New Roman" w:hAnsi="Arial" w:cs="Arial"/>
          <w:color w:val="000000"/>
          <w:kern w:val="0"/>
          <w:lang w:eastAsia="en-GB"/>
          <w14:ligatures w14:val="none"/>
        </w:rPr>
      </w:pPr>
      <w:r w:rsidRPr="0010053C">
        <w:rPr>
          <w:rFonts w:ascii="Arial" w:eastAsia="Times New Roman" w:hAnsi="Arial" w:cs="Arial"/>
          <w:color w:val="000000"/>
          <w:kern w:val="0"/>
          <w:lang w:eastAsia="en-GB"/>
          <w14:ligatures w14:val="none"/>
        </w:rPr>
        <w:t>Lilley, I.M. (1967) </w:t>
      </w:r>
      <w:r w:rsidRPr="0010053C">
        <w:rPr>
          <w:rFonts w:ascii="Arial" w:eastAsia="Times New Roman" w:hAnsi="Arial" w:cs="Arial"/>
          <w:i/>
          <w:iCs/>
          <w:color w:val="000000"/>
          <w:kern w:val="0"/>
          <w:lang w:eastAsia="en-GB"/>
          <w14:ligatures w14:val="none"/>
        </w:rPr>
        <w:t>Friedrich Froebel: A Selection from His Writings</w:t>
      </w:r>
      <w:r w:rsidRPr="0010053C">
        <w:rPr>
          <w:rFonts w:ascii="Arial" w:eastAsia="Times New Roman" w:hAnsi="Arial" w:cs="Arial"/>
          <w:color w:val="000000"/>
          <w:kern w:val="0"/>
          <w:lang w:eastAsia="en-GB"/>
          <w14:ligatures w14:val="none"/>
        </w:rPr>
        <w:t>. Cambridge: Cambridge University Press. Available at: </w:t>
      </w:r>
      <w:hyperlink r:id="rId14" w:history="1">
        <w:r w:rsidRPr="0010053C">
          <w:rPr>
            <w:rFonts w:ascii="Arial" w:eastAsia="Times New Roman" w:hAnsi="Arial" w:cs="Arial"/>
            <w:color w:val="0000FF"/>
            <w:kern w:val="0"/>
            <w:u w:val="single"/>
            <w:lang w:eastAsia="en-GB"/>
            <w14:ligatures w14:val="none"/>
          </w:rPr>
          <w:t>https://archive.org/details/friedrichfroebel0000froe</w:t>
        </w:r>
      </w:hyperlink>
      <w:r w:rsidRPr="0010053C">
        <w:rPr>
          <w:rFonts w:ascii="Arial" w:eastAsia="Times New Roman" w:hAnsi="Arial" w:cs="Arial"/>
          <w:color w:val="000000"/>
          <w:kern w:val="0"/>
          <w:lang w:eastAsia="en-GB"/>
          <w14:ligatures w14:val="none"/>
        </w:rPr>
        <w:t> (Accessed: 3 July 2026).</w:t>
      </w:r>
    </w:p>
    <w:p w14:paraId="7185DA7C" w14:textId="77777777" w:rsidR="0010053C" w:rsidRPr="0010053C" w:rsidRDefault="0010053C" w:rsidP="0010053C">
      <w:pPr>
        <w:spacing w:before="100" w:beforeAutospacing="1" w:after="100" w:afterAutospacing="1"/>
        <w:rPr>
          <w:rFonts w:ascii="Arial" w:eastAsia="Times New Roman" w:hAnsi="Arial" w:cs="Arial"/>
          <w:color w:val="000000"/>
          <w:kern w:val="0"/>
          <w:lang w:eastAsia="en-GB"/>
          <w14:ligatures w14:val="none"/>
        </w:rPr>
      </w:pPr>
      <w:r w:rsidRPr="0010053C">
        <w:rPr>
          <w:rFonts w:ascii="Arial" w:eastAsia="Times New Roman" w:hAnsi="Arial" w:cs="Arial"/>
          <w:color w:val="000000"/>
          <w:kern w:val="0"/>
          <w:lang w:eastAsia="en-GB"/>
          <w14:ligatures w14:val="none"/>
        </w:rPr>
        <w:t>United Nations (2015) </w:t>
      </w:r>
      <w:r w:rsidRPr="0010053C">
        <w:rPr>
          <w:rFonts w:ascii="Arial" w:eastAsia="Times New Roman" w:hAnsi="Arial" w:cs="Arial"/>
          <w:i/>
          <w:iCs/>
          <w:color w:val="000000"/>
          <w:kern w:val="0"/>
          <w:lang w:eastAsia="en-GB"/>
          <w14:ligatures w14:val="none"/>
        </w:rPr>
        <w:t>Transforming Our World: The 2030 Agenda for Sustainable Development</w:t>
      </w:r>
      <w:r w:rsidRPr="0010053C">
        <w:rPr>
          <w:rFonts w:ascii="Arial" w:eastAsia="Times New Roman" w:hAnsi="Arial" w:cs="Arial"/>
          <w:color w:val="000000"/>
          <w:kern w:val="0"/>
          <w:lang w:eastAsia="en-GB"/>
          <w14:ligatures w14:val="none"/>
        </w:rPr>
        <w:t>. New York: United Nations. Available at: </w:t>
      </w:r>
      <w:hyperlink r:id="rId15" w:history="1">
        <w:r w:rsidRPr="0010053C">
          <w:rPr>
            <w:rFonts w:ascii="Arial" w:eastAsia="Times New Roman" w:hAnsi="Arial" w:cs="Arial"/>
            <w:color w:val="0000FF"/>
            <w:kern w:val="0"/>
            <w:u w:val="single"/>
            <w:lang w:eastAsia="en-GB"/>
            <w14:ligatures w14:val="none"/>
          </w:rPr>
          <w:t>https://sdgs.un.org/2030agenda</w:t>
        </w:r>
      </w:hyperlink>
      <w:r w:rsidRPr="0010053C">
        <w:rPr>
          <w:rFonts w:ascii="Arial" w:eastAsia="Times New Roman" w:hAnsi="Arial" w:cs="Arial"/>
          <w:color w:val="000000"/>
          <w:kern w:val="0"/>
          <w:lang w:eastAsia="en-GB"/>
          <w14:ligatures w14:val="none"/>
        </w:rPr>
        <w:t> (Accessed: 3 July 2026).</w:t>
      </w:r>
    </w:p>
    <w:p w14:paraId="371BC7A0" w14:textId="651FE166" w:rsidR="0010053C" w:rsidRPr="0010053C" w:rsidRDefault="0010053C" w:rsidP="0010053C">
      <w:pPr>
        <w:spacing w:before="100" w:beforeAutospacing="1" w:after="100" w:afterAutospacing="1"/>
        <w:rPr>
          <w:rFonts w:ascii="Arial" w:eastAsia="Times New Roman" w:hAnsi="Arial" w:cs="Arial"/>
          <w:color w:val="000000"/>
          <w:kern w:val="0"/>
          <w:lang w:eastAsia="en-GB"/>
          <w14:ligatures w14:val="none"/>
        </w:rPr>
      </w:pPr>
      <w:r w:rsidRPr="0010053C">
        <w:rPr>
          <w:rFonts w:ascii="Arial" w:eastAsia="Times New Roman" w:hAnsi="Arial" w:cs="Arial"/>
          <w:color w:val="000000"/>
          <w:kern w:val="0"/>
          <w:lang w:eastAsia="en-GB"/>
          <w14:ligatures w14:val="none"/>
        </w:rPr>
        <w:t>United Nations Educational, Scientific and Cultural Organization (UNESCO) (2020) </w:t>
      </w:r>
      <w:r w:rsidRPr="0010053C">
        <w:rPr>
          <w:rFonts w:ascii="Arial" w:eastAsia="Times New Roman" w:hAnsi="Arial" w:cs="Arial"/>
          <w:i/>
          <w:iCs/>
          <w:color w:val="000000"/>
          <w:kern w:val="0"/>
          <w:lang w:eastAsia="en-GB"/>
          <w14:ligatures w14:val="none"/>
        </w:rPr>
        <w:t>Education for Sustainable Development: A Roadmap</w:t>
      </w:r>
      <w:r w:rsidRPr="0010053C">
        <w:rPr>
          <w:rFonts w:ascii="Arial" w:eastAsia="Times New Roman" w:hAnsi="Arial" w:cs="Arial"/>
          <w:color w:val="000000"/>
          <w:kern w:val="0"/>
          <w:lang w:eastAsia="en-GB"/>
          <w14:ligatures w14:val="none"/>
        </w:rPr>
        <w:t>. Paris: UNESCO. Available at: </w:t>
      </w:r>
      <w:hyperlink r:id="rId16" w:history="1">
        <w:r w:rsidRPr="0010053C">
          <w:rPr>
            <w:rFonts w:ascii="Arial" w:eastAsia="Times New Roman" w:hAnsi="Arial" w:cs="Arial"/>
            <w:color w:val="0000FF"/>
            <w:kern w:val="0"/>
            <w:u w:val="single"/>
            <w:lang w:eastAsia="en-GB"/>
            <w14:ligatures w14:val="none"/>
          </w:rPr>
          <w:t>https://unesdoc.unesco.org/ark:/48223/pf0000374802</w:t>
        </w:r>
      </w:hyperlink>
      <w:r w:rsidR="00CB1AD4">
        <w:rPr>
          <w:rFonts w:ascii="Arial" w:eastAsia="Times New Roman" w:hAnsi="Arial" w:cs="Arial"/>
          <w:color w:val="000000"/>
          <w:kern w:val="0"/>
          <w:lang w:eastAsia="en-GB"/>
          <w14:ligatures w14:val="none"/>
        </w:rPr>
        <w:t xml:space="preserve"> </w:t>
      </w:r>
      <w:r w:rsidRPr="0010053C">
        <w:rPr>
          <w:rFonts w:ascii="Arial" w:eastAsia="Times New Roman" w:hAnsi="Arial" w:cs="Arial"/>
          <w:color w:val="000000"/>
          <w:kern w:val="0"/>
          <w:lang w:eastAsia="en-GB"/>
          <w14:ligatures w14:val="none"/>
        </w:rPr>
        <w:t>(Accessed: 3 July 2026).</w:t>
      </w:r>
    </w:p>
    <w:p w14:paraId="3FC61347" w14:textId="77777777" w:rsidR="0010053C" w:rsidRPr="0010053C" w:rsidRDefault="0010053C" w:rsidP="0010053C">
      <w:pPr>
        <w:spacing w:before="100" w:beforeAutospacing="1" w:after="100" w:afterAutospacing="1"/>
        <w:rPr>
          <w:rFonts w:ascii="Arial" w:eastAsia="Times New Roman" w:hAnsi="Arial" w:cs="Arial"/>
          <w:color w:val="000000"/>
          <w:kern w:val="0"/>
          <w:lang w:eastAsia="en-GB"/>
          <w14:ligatures w14:val="none"/>
        </w:rPr>
      </w:pPr>
      <w:r w:rsidRPr="0010053C">
        <w:rPr>
          <w:rFonts w:ascii="Arial" w:eastAsia="Times New Roman" w:hAnsi="Arial" w:cs="Arial"/>
          <w:color w:val="000000"/>
          <w:kern w:val="0"/>
          <w:lang w:eastAsia="en-GB"/>
          <w14:ligatures w14:val="none"/>
        </w:rPr>
        <w:t>United Nations General Assembly (1989) </w:t>
      </w:r>
      <w:r w:rsidRPr="0010053C">
        <w:rPr>
          <w:rFonts w:ascii="Arial" w:eastAsia="Times New Roman" w:hAnsi="Arial" w:cs="Arial"/>
          <w:i/>
          <w:iCs/>
          <w:color w:val="000000"/>
          <w:kern w:val="0"/>
          <w:lang w:eastAsia="en-GB"/>
          <w14:ligatures w14:val="none"/>
        </w:rPr>
        <w:t>Convention on the Rights of the Child</w:t>
      </w:r>
      <w:r w:rsidRPr="0010053C">
        <w:rPr>
          <w:rFonts w:ascii="Arial" w:eastAsia="Times New Roman" w:hAnsi="Arial" w:cs="Arial"/>
          <w:color w:val="000000"/>
          <w:kern w:val="0"/>
          <w:lang w:eastAsia="en-GB"/>
          <w14:ligatures w14:val="none"/>
        </w:rPr>
        <w:t>. New York: United Nations. Available at: </w:t>
      </w:r>
      <w:hyperlink r:id="rId17" w:history="1">
        <w:r w:rsidRPr="0010053C">
          <w:rPr>
            <w:rFonts w:ascii="Arial" w:eastAsia="Times New Roman" w:hAnsi="Arial" w:cs="Arial"/>
            <w:color w:val="0000FF"/>
            <w:kern w:val="0"/>
            <w:u w:val="single"/>
            <w:lang w:eastAsia="en-GB"/>
            <w14:ligatures w14:val="none"/>
          </w:rPr>
          <w:t>https://www.ohchr.org/en/instruments-mechanisms/instruments/convention-rights-child</w:t>
        </w:r>
      </w:hyperlink>
      <w:r w:rsidRPr="0010053C">
        <w:rPr>
          <w:rFonts w:ascii="Arial" w:eastAsia="Times New Roman" w:hAnsi="Arial" w:cs="Arial"/>
          <w:color w:val="000000"/>
          <w:kern w:val="0"/>
          <w:lang w:eastAsia="en-GB"/>
          <w14:ligatures w14:val="none"/>
        </w:rPr>
        <w:t> (Accessed: 3 July 2026).</w:t>
      </w:r>
    </w:p>
    <w:p w14:paraId="2CDE4F94" w14:textId="77777777" w:rsidR="0010053C" w:rsidRPr="0010053C" w:rsidRDefault="0010053C" w:rsidP="0010053C">
      <w:pPr>
        <w:spacing w:before="100" w:beforeAutospacing="1" w:after="100" w:afterAutospacing="1"/>
        <w:rPr>
          <w:rFonts w:ascii="Arial" w:eastAsia="Times New Roman" w:hAnsi="Arial" w:cs="Arial"/>
          <w:color w:val="000000"/>
          <w:kern w:val="0"/>
          <w:lang w:eastAsia="en-GB"/>
          <w14:ligatures w14:val="none"/>
        </w:rPr>
      </w:pPr>
      <w:r w:rsidRPr="0010053C">
        <w:rPr>
          <w:rFonts w:ascii="Arial" w:eastAsia="Times New Roman" w:hAnsi="Arial" w:cs="Arial"/>
          <w:color w:val="000000"/>
          <w:kern w:val="0"/>
          <w:lang w:eastAsia="en-GB"/>
          <w14:ligatures w14:val="none"/>
        </w:rPr>
        <w:t>Welsh Government (2015) </w:t>
      </w:r>
      <w:r w:rsidRPr="0010053C">
        <w:rPr>
          <w:rFonts w:ascii="Arial" w:eastAsia="Times New Roman" w:hAnsi="Arial" w:cs="Arial"/>
          <w:i/>
          <w:iCs/>
          <w:color w:val="000000"/>
          <w:kern w:val="0"/>
          <w:lang w:eastAsia="en-GB"/>
          <w14:ligatures w14:val="none"/>
        </w:rPr>
        <w:t>Well-being of Future Generations (Wales) Act 2015</w:t>
      </w:r>
      <w:r w:rsidRPr="0010053C">
        <w:rPr>
          <w:rFonts w:ascii="Arial" w:eastAsia="Times New Roman" w:hAnsi="Arial" w:cs="Arial"/>
          <w:color w:val="000000"/>
          <w:kern w:val="0"/>
          <w:lang w:eastAsia="en-GB"/>
          <w14:ligatures w14:val="none"/>
        </w:rPr>
        <w:t>. Cardiff: Welsh Government. Available at: </w:t>
      </w:r>
      <w:hyperlink r:id="rId18" w:history="1">
        <w:r w:rsidRPr="0010053C">
          <w:rPr>
            <w:rFonts w:ascii="Arial" w:eastAsia="Times New Roman" w:hAnsi="Arial" w:cs="Arial"/>
            <w:color w:val="0000FF"/>
            <w:kern w:val="0"/>
            <w:u w:val="single"/>
            <w:lang w:eastAsia="en-GB"/>
            <w14:ligatures w14:val="none"/>
          </w:rPr>
          <w:t>https://www.futuregenerations.wales/about-us/future-generations-act/</w:t>
        </w:r>
      </w:hyperlink>
      <w:r w:rsidRPr="0010053C">
        <w:rPr>
          <w:rFonts w:ascii="Arial" w:eastAsia="Times New Roman" w:hAnsi="Arial" w:cs="Arial"/>
          <w:color w:val="000000"/>
          <w:kern w:val="0"/>
          <w:lang w:eastAsia="en-GB"/>
          <w14:ligatures w14:val="none"/>
        </w:rPr>
        <w:t> (Accessed: 3 July 2026).</w:t>
      </w:r>
    </w:p>
    <w:p w14:paraId="679FB0DD" w14:textId="77777777" w:rsidR="0010053C" w:rsidRPr="0010053C" w:rsidRDefault="0010053C" w:rsidP="0010053C">
      <w:pPr>
        <w:spacing w:before="100" w:beforeAutospacing="1" w:after="100" w:afterAutospacing="1"/>
        <w:rPr>
          <w:rFonts w:ascii="Arial" w:eastAsia="Times New Roman" w:hAnsi="Arial" w:cs="Arial"/>
          <w:color w:val="000000"/>
          <w:kern w:val="0"/>
          <w:lang w:eastAsia="en-GB"/>
          <w14:ligatures w14:val="none"/>
        </w:rPr>
      </w:pPr>
      <w:r w:rsidRPr="0010053C">
        <w:rPr>
          <w:rFonts w:ascii="Arial" w:eastAsia="Times New Roman" w:hAnsi="Arial" w:cs="Arial"/>
          <w:color w:val="000000"/>
          <w:kern w:val="0"/>
          <w:lang w:eastAsia="en-GB"/>
          <w14:ligatures w14:val="none"/>
        </w:rPr>
        <w:t>Welsh Government (2022) </w:t>
      </w:r>
      <w:r w:rsidRPr="0010053C">
        <w:rPr>
          <w:rFonts w:ascii="Arial" w:eastAsia="Times New Roman" w:hAnsi="Arial" w:cs="Arial"/>
          <w:i/>
          <w:iCs/>
          <w:color w:val="000000"/>
          <w:kern w:val="0"/>
          <w:lang w:eastAsia="en-GB"/>
          <w14:ligatures w14:val="none"/>
        </w:rPr>
        <w:t>Curriculum for Wales: Framework Guidance</w:t>
      </w:r>
      <w:r w:rsidRPr="0010053C">
        <w:rPr>
          <w:rFonts w:ascii="Arial" w:eastAsia="Times New Roman" w:hAnsi="Arial" w:cs="Arial"/>
          <w:color w:val="000000"/>
          <w:kern w:val="0"/>
          <w:lang w:eastAsia="en-GB"/>
          <w14:ligatures w14:val="none"/>
        </w:rPr>
        <w:t>. Cardiff: Welsh Government. Available at: </w:t>
      </w:r>
      <w:hyperlink r:id="rId19" w:history="1">
        <w:r w:rsidRPr="0010053C">
          <w:rPr>
            <w:rFonts w:ascii="Arial" w:eastAsia="Times New Roman" w:hAnsi="Arial" w:cs="Arial"/>
            <w:color w:val="0000FF"/>
            <w:kern w:val="0"/>
            <w:u w:val="single"/>
            <w:lang w:eastAsia="en-GB"/>
            <w14:ligatures w14:val="none"/>
          </w:rPr>
          <w:t>https://hwb.gov.wales/curriculum-for-wales</w:t>
        </w:r>
      </w:hyperlink>
      <w:r w:rsidRPr="0010053C">
        <w:rPr>
          <w:rFonts w:ascii="Arial" w:eastAsia="Times New Roman" w:hAnsi="Arial" w:cs="Arial"/>
          <w:color w:val="000000"/>
          <w:kern w:val="0"/>
          <w:lang w:eastAsia="en-GB"/>
          <w14:ligatures w14:val="none"/>
        </w:rPr>
        <w:t> (Accessed: 3 July 2026).</w:t>
      </w:r>
    </w:p>
    <w:p w14:paraId="7450EECA" w14:textId="77777777" w:rsidR="0010053C" w:rsidRPr="0010053C" w:rsidRDefault="0010053C" w:rsidP="0010053C">
      <w:pPr>
        <w:spacing w:before="100" w:beforeAutospacing="1" w:after="100" w:afterAutospacing="1"/>
        <w:rPr>
          <w:rFonts w:ascii="Arial" w:eastAsia="Times New Roman" w:hAnsi="Arial" w:cs="Arial"/>
          <w:color w:val="000000"/>
          <w:kern w:val="0"/>
          <w:lang w:eastAsia="en-GB"/>
          <w14:ligatures w14:val="none"/>
        </w:rPr>
      </w:pPr>
      <w:r w:rsidRPr="0010053C">
        <w:rPr>
          <w:rFonts w:ascii="Arial" w:eastAsia="Times New Roman" w:hAnsi="Arial" w:cs="Arial"/>
          <w:color w:val="000000"/>
          <w:kern w:val="0"/>
          <w:lang w:eastAsia="en-GB"/>
          <w14:ligatures w14:val="none"/>
        </w:rPr>
        <w:lastRenderedPageBreak/>
        <w:t>World Commission on Environment and Development (WCED) (1987) </w:t>
      </w:r>
      <w:r w:rsidRPr="0010053C">
        <w:rPr>
          <w:rFonts w:ascii="Arial" w:eastAsia="Times New Roman" w:hAnsi="Arial" w:cs="Arial"/>
          <w:i/>
          <w:iCs/>
          <w:color w:val="000000"/>
          <w:kern w:val="0"/>
          <w:lang w:eastAsia="en-GB"/>
          <w14:ligatures w14:val="none"/>
        </w:rPr>
        <w:t>Our Common Future</w:t>
      </w:r>
      <w:r w:rsidRPr="0010053C">
        <w:rPr>
          <w:rFonts w:ascii="Arial" w:eastAsia="Times New Roman" w:hAnsi="Arial" w:cs="Arial"/>
          <w:color w:val="000000"/>
          <w:kern w:val="0"/>
          <w:lang w:eastAsia="en-GB"/>
          <w14:ligatures w14:val="none"/>
        </w:rPr>
        <w:t>. Oxford: Oxford University Press. Available at: </w:t>
      </w:r>
      <w:hyperlink r:id="rId20" w:history="1">
        <w:r w:rsidRPr="0010053C">
          <w:rPr>
            <w:rFonts w:ascii="Arial" w:eastAsia="Times New Roman" w:hAnsi="Arial" w:cs="Arial"/>
            <w:color w:val="0000FF"/>
            <w:kern w:val="0"/>
            <w:u w:val="single"/>
            <w:lang w:eastAsia="en-GB"/>
            <w14:ligatures w14:val="none"/>
          </w:rPr>
          <w:t>https://sustainabledevelopment.un.org/content/documents/5987our-common-future.pdf</w:t>
        </w:r>
      </w:hyperlink>
      <w:r w:rsidRPr="0010053C">
        <w:rPr>
          <w:rFonts w:ascii="Arial" w:eastAsia="Times New Roman" w:hAnsi="Arial" w:cs="Arial"/>
          <w:color w:val="000000"/>
          <w:kern w:val="0"/>
          <w:lang w:eastAsia="en-GB"/>
          <w14:ligatures w14:val="none"/>
        </w:rPr>
        <w:t> (Accessed: 3 July 2026).</w:t>
      </w:r>
    </w:p>
    <w:p w14:paraId="17907E03" w14:textId="77777777" w:rsidR="00540107" w:rsidRPr="009411AE" w:rsidRDefault="00540107" w:rsidP="00540107">
      <w:pPr>
        <w:spacing w:before="100" w:beforeAutospacing="1" w:after="100" w:afterAutospacing="1"/>
        <w:rPr>
          <w:rFonts w:ascii="Arial" w:eastAsia="Times New Roman" w:hAnsi="Arial" w:cs="Arial"/>
          <w:color w:val="000000"/>
          <w:kern w:val="0"/>
          <w:lang w:eastAsia="en-GB"/>
          <w14:ligatures w14:val="none"/>
        </w:rPr>
      </w:pPr>
    </w:p>
    <w:p w14:paraId="1111F358" w14:textId="77777777" w:rsidR="00540107" w:rsidRPr="009411AE" w:rsidRDefault="00540107" w:rsidP="00540107">
      <w:pPr>
        <w:spacing w:before="100" w:beforeAutospacing="1" w:after="100" w:afterAutospacing="1"/>
        <w:rPr>
          <w:rFonts w:ascii="Arial" w:eastAsia="Times New Roman" w:hAnsi="Arial" w:cs="Arial"/>
          <w:color w:val="000000"/>
          <w:kern w:val="0"/>
          <w:lang w:eastAsia="en-GB"/>
          <w14:ligatures w14:val="none"/>
        </w:rPr>
      </w:pPr>
    </w:p>
    <w:p w14:paraId="40658133" w14:textId="77777777" w:rsidR="00540107" w:rsidRPr="009411AE" w:rsidRDefault="00540107" w:rsidP="00540107">
      <w:pPr>
        <w:spacing w:before="100" w:beforeAutospacing="1" w:after="100" w:afterAutospacing="1"/>
        <w:rPr>
          <w:rFonts w:ascii="Arial" w:eastAsia="Times New Roman" w:hAnsi="Arial" w:cs="Arial"/>
          <w:color w:val="000000"/>
          <w:kern w:val="0"/>
          <w:lang w:eastAsia="en-GB"/>
          <w14:ligatures w14:val="none"/>
        </w:rPr>
      </w:pPr>
    </w:p>
    <w:p w14:paraId="68B6BFCF" w14:textId="77777777" w:rsidR="000A21A3" w:rsidRPr="009411AE" w:rsidRDefault="000A21A3" w:rsidP="00540107">
      <w:pPr>
        <w:spacing w:before="100" w:beforeAutospacing="1" w:after="100" w:afterAutospacing="1"/>
        <w:rPr>
          <w:rFonts w:ascii="Arial" w:eastAsia="Times New Roman" w:hAnsi="Arial" w:cs="Arial"/>
          <w:color w:val="000000"/>
          <w:kern w:val="0"/>
          <w:lang w:eastAsia="en-GB"/>
          <w14:ligatures w14:val="none"/>
        </w:rPr>
      </w:pPr>
    </w:p>
    <w:p w14:paraId="63EED7D5" w14:textId="77777777" w:rsidR="000A67BF" w:rsidRDefault="000A67BF" w:rsidP="00540107">
      <w:pPr>
        <w:spacing w:before="100" w:beforeAutospacing="1" w:after="100" w:afterAutospacing="1"/>
        <w:rPr>
          <w:rFonts w:ascii="Arial" w:eastAsia="Times New Roman" w:hAnsi="Arial" w:cs="Arial"/>
          <w:color w:val="000000"/>
          <w:kern w:val="0"/>
          <w:lang w:eastAsia="en-GB"/>
          <w14:ligatures w14:val="none"/>
        </w:rPr>
      </w:pPr>
    </w:p>
    <w:p w14:paraId="57F9AE79" w14:textId="77777777" w:rsidR="000A67BF" w:rsidRDefault="000A67BF" w:rsidP="00540107">
      <w:pPr>
        <w:spacing w:before="100" w:beforeAutospacing="1" w:after="100" w:afterAutospacing="1"/>
        <w:rPr>
          <w:rFonts w:ascii="Arial" w:eastAsia="Times New Roman" w:hAnsi="Arial" w:cs="Arial"/>
          <w:color w:val="000000"/>
          <w:kern w:val="0"/>
          <w:lang w:eastAsia="en-GB"/>
          <w14:ligatures w14:val="none"/>
        </w:rPr>
      </w:pPr>
    </w:p>
    <w:p w14:paraId="4C392DBC" w14:textId="77777777" w:rsidR="000A67BF" w:rsidRDefault="000A67BF" w:rsidP="00540107">
      <w:pPr>
        <w:spacing w:before="100" w:beforeAutospacing="1" w:after="100" w:afterAutospacing="1"/>
        <w:rPr>
          <w:rFonts w:ascii="Arial" w:eastAsia="Times New Roman" w:hAnsi="Arial" w:cs="Arial"/>
          <w:color w:val="000000"/>
          <w:kern w:val="0"/>
          <w:lang w:eastAsia="en-GB"/>
          <w14:ligatures w14:val="none"/>
        </w:rPr>
      </w:pPr>
    </w:p>
    <w:p w14:paraId="31457B89" w14:textId="77777777" w:rsidR="000A67BF" w:rsidRDefault="000A67BF" w:rsidP="00540107">
      <w:pPr>
        <w:spacing w:before="100" w:beforeAutospacing="1" w:after="100" w:afterAutospacing="1"/>
        <w:rPr>
          <w:rFonts w:ascii="Arial" w:eastAsia="Times New Roman" w:hAnsi="Arial" w:cs="Arial"/>
          <w:color w:val="000000"/>
          <w:kern w:val="0"/>
          <w:lang w:eastAsia="en-GB"/>
          <w14:ligatures w14:val="none"/>
        </w:rPr>
      </w:pPr>
    </w:p>
    <w:p w14:paraId="299FB283" w14:textId="77777777" w:rsidR="000A67BF" w:rsidRDefault="000A67BF" w:rsidP="00540107">
      <w:pPr>
        <w:spacing w:before="100" w:beforeAutospacing="1" w:after="100" w:afterAutospacing="1"/>
        <w:rPr>
          <w:rFonts w:ascii="Arial" w:eastAsia="Times New Roman" w:hAnsi="Arial" w:cs="Arial"/>
          <w:color w:val="000000"/>
          <w:kern w:val="0"/>
          <w:lang w:eastAsia="en-GB"/>
          <w14:ligatures w14:val="none"/>
        </w:rPr>
      </w:pPr>
    </w:p>
    <w:p w14:paraId="279D454E" w14:textId="77777777" w:rsidR="000A67BF" w:rsidRDefault="000A67BF" w:rsidP="00540107">
      <w:pPr>
        <w:spacing w:before="100" w:beforeAutospacing="1" w:after="100" w:afterAutospacing="1"/>
        <w:rPr>
          <w:rFonts w:ascii="Arial" w:eastAsia="Times New Roman" w:hAnsi="Arial" w:cs="Arial"/>
          <w:color w:val="000000"/>
          <w:kern w:val="0"/>
          <w:lang w:eastAsia="en-GB"/>
          <w14:ligatures w14:val="none"/>
        </w:rPr>
      </w:pPr>
    </w:p>
    <w:p w14:paraId="43C719FE" w14:textId="77777777" w:rsidR="000A67BF" w:rsidRDefault="000A67BF" w:rsidP="00540107">
      <w:pPr>
        <w:spacing w:before="100" w:beforeAutospacing="1" w:after="100" w:afterAutospacing="1"/>
        <w:rPr>
          <w:rFonts w:ascii="Arial" w:eastAsia="Times New Roman" w:hAnsi="Arial" w:cs="Arial"/>
          <w:color w:val="000000"/>
          <w:kern w:val="0"/>
          <w:lang w:eastAsia="en-GB"/>
          <w14:ligatures w14:val="none"/>
        </w:rPr>
      </w:pPr>
    </w:p>
    <w:p w14:paraId="66EB8F04" w14:textId="77777777" w:rsidR="000A67BF" w:rsidRDefault="000A67BF" w:rsidP="00540107">
      <w:pPr>
        <w:spacing w:before="100" w:beforeAutospacing="1" w:after="100" w:afterAutospacing="1"/>
        <w:rPr>
          <w:rFonts w:ascii="Arial" w:eastAsia="Times New Roman" w:hAnsi="Arial" w:cs="Arial"/>
          <w:color w:val="000000"/>
          <w:kern w:val="0"/>
          <w:lang w:eastAsia="en-GB"/>
          <w14:ligatures w14:val="none"/>
        </w:rPr>
      </w:pPr>
    </w:p>
    <w:p w14:paraId="59677C54" w14:textId="77777777" w:rsidR="000A67BF" w:rsidRDefault="000A67BF" w:rsidP="00540107">
      <w:pPr>
        <w:spacing w:before="100" w:beforeAutospacing="1" w:after="100" w:afterAutospacing="1"/>
        <w:rPr>
          <w:rFonts w:ascii="Arial" w:eastAsia="Times New Roman" w:hAnsi="Arial" w:cs="Arial"/>
          <w:color w:val="000000"/>
          <w:kern w:val="0"/>
          <w:lang w:eastAsia="en-GB"/>
          <w14:ligatures w14:val="none"/>
        </w:rPr>
      </w:pPr>
    </w:p>
    <w:p w14:paraId="564BC629" w14:textId="77777777" w:rsidR="000A67BF" w:rsidRDefault="000A67BF" w:rsidP="00540107">
      <w:pPr>
        <w:spacing w:before="100" w:beforeAutospacing="1" w:after="100" w:afterAutospacing="1"/>
        <w:rPr>
          <w:rFonts w:ascii="Arial" w:eastAsia="Times New Roman" w:hAnsi="Arial" w:cs="Arial"/>
          <w:color w:val="000000"/>
          <w:kern w:val="0"/>
          <w:lang w:eastAsia="en-GB"/>
          <w14:ligatures w14:val="none"/>
        </w:rPr>
      </w:pPr>
    </w:p>
    <w:p w14:paraId="324F98DD" w14:textId="77777777" w:rsidR="000A67BF" w:rsidRDefault="000A67BF" w:rsidP="00540107">
      <w:pPr>
        <w:spacing w:before="100" w:beforeAutospacing="1" w:after="100" w:afterAutospacing="1"/>
        <w:rPr>
          <w:rFonts w:ascii="Arial" w:eastAsia="Times New Roman" w:hAnsi="Arial" w:cs="Arial"/>
          <w:color w:val="000000"/>
          <w:kern w:val="0"/>
          <w:lang w:eastAsia="en-GB"/>
          <w14:ligatures w14:val="none"/>
        </w:rPr>
      </w:pPr>
    </w:p>
    <w:p w14:paraId="5B0D0DA9" w14:textId="2CD7C70A" w:rsidR="00D23CB1" w:rsidRDefault="00D23CB1"/>
    <w:sectPr w:rsidR="00D23CB1">
      <w:headerReference w:type="default" r:id="rId21"/>
      <w:footerReference w:type="even"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A45FE75" w14:textId="77777777" w:rsidR="00BB2453" w:rsidRDefault="00BB2453" w:rsidP="009D545A">
      <w:r>
        <w:separator/>
      </w:r>
    </w:p>
  </w:endnote>
  <w:endnote w:type="continuationSeparator" w:id="0">
    <w:p w14:paraId="66CB2DE8" w14:textId="77777777" w:rsidR="00BB2453" w:rsidRDefault="00BB2453" w:rsidP="009D5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844540923"/>
      <w:docPartObj>
        <w:docPartGallery w:val="Page Numbers (Bottom of Page)"/>
        <w:docPartUnique/>
      </w:docPartObj>
    </w:sdtPr>
    <w:sdtContent>
      <w:p w14:paraId="7462035E" w14:textId="70CE64FB" w:rsidR="009D545A" w:rsidRDefault="009D545A" w:rsidP="00164B7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03A3723" w14:textId="77777777" w:rsidR="009D545A" w:rsidRDefault="009D545A" w:rsidP="009D545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23279901"/>
      <w:docPartObj>
        <w:docPartGallery w:val="Page Numbers (Bottom of Page)"/>
        <w:docPartUnique/>
      </w:docPartObj>
    </w:sdtPr>
    <w:sdtContent>
      <w:p w14:paraId="7F315CE4" w14:textId="12BDC486" w:rsidR="009D545A" w:rsidRDefault="009D545A" w:rsidP="00164B7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603E9E9" w14:textId="77777777" w:rsidR="009D545A" w:rsidRDefault="009D545A" w:rsidP="009D545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D72023D" w14:textId="77777777" w:rsidR="00BB2453" w:rsidRDefault="00BB2453" w:rsidP="009D545A">
      <w:r>
        <w:separator/>
      </w:r>
    </w:p>
  </w:footnote>
  <w:footnote w:type="continuationSeparator" w:id="0">
    <w:p w14:paraId="09E775C7" w14:textId="77777777" w:rsidR="00BB2453" w:rsidRDefault="00BB2453" w:rsidP="009D54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97528B3" w14:textId="444EC590" w:rsidR="009D545A" w:rsidRDefault="009D545A">
    <w:pPr>
      <w:pStyle w:val="Header"/>
    </w:pPr>
    <w:r>
      <w:t>2410233</w:t>
    </w:r>
    <w:r>
      <w:ptab w:relativeTo="margin" w:alignment="center" w:leader="none"/>
    </w:r>
    <w:r>
      <w:t>ECEY 6005: Sustainability in the Early Years</w:t>
    </w:r>
    <w:r>
      <w:ptab w:relativeTo="margin" w:alignment="right" w:leader="none"/>
    </w:r>
    <w:r>
      <w:t xml:space="preserve">Word count: </w:t>
    </w:r>
    <w:r w:rsidR="00CB1AD4">
      <w:t>2348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B5F4DD2"/>
    <w:multiLevelType w:val="multilevel"/>
    <w:tmpl w:val="519A1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0326DC"/>
    <w:multiLevelType w:val="multilevel"/>
    <w:tmpl w:val="23421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9237347">
    <w:abstractNumId w:val="0"/>
  </w:num>
  <w:num w:numId="2" w16cid:durableId="535891999">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0C2"/>
    <w:rsid w:val="00092F94"/>
    <w:rsid w:val="000A21A3"/>
    <w:rsid w:val="000A67BF"/>
    <w:rsid w:val="0010053C"/>
    <w:rsid w:val="00282151"/>
    <w:rsid w:val="002B7E99"/>
    <w:rsid w:val="004060DE"/>
    <w:rsid w:val="005141C6"/>
    <w:rsid w:val="00514F44"/>
    <w:rsid w:val="00540107"/>
    <w:rsid w:val="00575E7E"/>
    <w:rsid w:val="008300C2"/>
    <w:rsid w:val="008802A3"/>
    <w:rsid w:val="00940D39"/>
    <w:rsid w:val="009411AE"/>
    <w:rsid w:val="00953ABD"/>
    <w:rsid w:val="009D545A"/>
    <w:rsid w:val="00BB2453"/>
    <w:rsid w:val="00C26446"/>
    <w:rsid w:val="00CB1AD4"/>
    <w:rsid w:val="00D23CB1"/>
    <w:rsid w:val="00D4446F"/>
    <w:rsid w:val="00D81E48"/>
    <w:rsid w:val="00DB1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D215F"/>
  <w15:chartTrackingRefBased/>
  <w15:docId w15:val="{6743ABD1-52A3-2A4C-A386-E8268CFBB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00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300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300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00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00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00C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00C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00C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00C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00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300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300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00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00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00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00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00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00C2"/>
    <w:rPr>
      <w:rFonts w:eastAsiaTheme="majorEastAsia" w:cstheme="majorBidi"/>
      <w:color w:val="272727" w:themeColor="text1" w:themeTint="D8"/>
    </w:rPr>
  </w:style>
  <w:style w:type="paragraph" w:styleId="Title">
    <w:name w:val="Title"/>
    <w:basedOn w:val="Normal"/>
    <w:next w:val="Normal"/>
    <w:link w:val="TitleChar"/>
    <w:uiPriority w:val="10"/>
    <w:qFormat/>
    <w:rsid w:val="008300C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00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00C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00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00C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300C2"/>
    <w:rPr>
      <w:i/>
      <w:iCs/>
      <w:color w:val="404040" w:themeColor="text1" w:themeTint="BF"/>
    </w:rPr>
  </w:style>
  <w:style w:type="paragraph" w:styleId="ListParagraph">
    <w:name w:val="List Paragraph"/>
    <w:basedOn w:val="Normal"/>
    <w:uiPriority w:val="34"/>
    <w:qFormat/>
    <w:rsid w:val="008300C2"/>
    <w:pPr>
      <w:ind w:left="720"/>
      <w:contextualSpacing/>
    </w:pPr>
  </w:style>
  <w:style w:type="character" w:styleId="IntenseEmphasis">
    <w:name w:val="Intense Emphasis"/>
    <w:basedOn w:val="DefaultParagraphFont"/>
    <w:uiPriority w:val="21"/>
    <w:qFormat/>
    <w:rsid w:val="008300C2"/>
    <w:rPr>
      <w:i/>
      <w:iCs/>
      <w:color w:val="0F4761" w:themeColor="accent1" w:themeShade="BF"/>
    </w:rPr>
  </w:style>
  <w:style w:type="paragraph" w:styleId="IntenseQuote">
    <w:name w:val="Intense Quote"/>
    <w:basedOn w:val="Normal"/>
    <w:next w:val="Normal"/>
    <w:link w:val="IntenseQuoteChar"/>
    <w:uiPriority w:val="30"/>
    <w:qFormat/>
    <w:rsid w:val="008300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00C2"/>
    <w:rPr>
      <w:i/>
      <w:iCs/>
      <w:color w:val="0F4761" w:themeColor="accent1" w:themeShade="BF"/>
    </w:rPr>
  </w:style>
  <w:style w:type="character" w:styleId="IntenseReference">
    <w:name w:val="Intense Reference"/>
    <w:basedOn w:val="DefaultParagraphFont"/>
    <w:uiPriority w:val="32"/>
    <w:qFormat/>
    <w:rsid w:val="008300C2"/>
    <w:rPr>
      <w:b/>
      <w:bCs/>
      <w:smallCaps/>
      <w:color w:val="0F4761" w:themeColor="accent1" w:themeShade="BF"/>
      <w:spacing w:val="5"/>
    </w:rPr>
  </w:style>
  <w:style w:type="paragraph" w:styleId="NormalWeb">
    <w:name w:val="Normal (Web)"/>
    <w:basedOn w:val="Normal"/>
    <w:uiPriority w:val="99"/>
    <w:semiHidden/>
    <w:unhideWhenUsed/>
    <w:rsid w:val="008300C2"/>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300C2"/>
  </w:style>
  <w:style w:type="character" w:styleId="Strong">
    <w:name w:val="Strong"/>
    <w:basedOn w:val="DefaultParagraphFont"/>
    <w:uiPriority w:val="22"/>
    <w:qFormat/>
    <w:rsid w:val="008300C2"/>
    <w:rPr>
      <w:b/>
      <w:bCs/>
    </w:rPr>
  </w:style>
  <w:style w:type="character" w:styleId="Emphasis">
    <w:name w:val="Emphasis"/>
    <w:basedOn w:val="DefaultParagraphFont"/>
    <w:uiPriority w:val="20"/>
    <w:qFormat/>
    <w:rsid w:val="008300C2"/>
    <w:rPr>
      <w:i/>
      <w:iCs/>
    </w:rPr>
  </w:style>
  <w:style w:type="character" w:styleId="Hyperlink">
    <w:name w:val="Hyperlink"/>
    <w:basedOn w:val="DefaultParagraphFont"/>
    <w:uiPriority w:val="99"/>
    <w:unhideWhenUsed/>
    <w:rsid w:val="008300C2"/>
    <w:rPr>
      <w:color w:val="0000FF"/>
      <w:u w:val="single"/>
    </w:rPr>
  </w:style>
  <w:style w:type="paragraph" w:customStyle="1" w:styleId="isselectedend">
    <w:name w:val="isselectedend"/>
    <w:basedOn w:val="Normal"/>
    <w:rsid w:val="00540107"/>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dq2pgselectionanchorcontainer">
    <w:name w:val="pdq2pg_selectionanchorcontainer"/>
    <w:basedOn w:val="Normal"/>
    <w:rsid w:val="00540107"/>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9D545A"/>
    <w:pPr>
      <w:tabs>
        <w:tab w:val="center" w:pos="4513"/>
        <w:tab w:val="right" w:pos="9026"/>
      </w:tabs>
    </w:pPr>
  </w:style>
  <w:style w:type="character" w:customStyle="1" w:styleId="HeaderChar">
    <w:name w:val="Header Char"/>
    <w:basedOn w:val="DefaultParagraphFont"/>
    <w:link w:val="Header"/>
    <w:uiPriority w:val="99"/>
    <w:rsid w:val="009D545A"/>
  </w:style>
  <w:style w:type="paragraph" w:styleId="Footer">
    <w:name w:val="footer"/>
    <w:basedOn w:val="Normal"/>
    <w:link w:val="FooterChar"/>
    <w:uiPriority w:val="99"/>
    <w:unhideWhenUsed/>
    <w:rsid w:val="009D545A"/>
    <w:pPr>
      <w:tabs>
        <w:tab w:val="center" w:pos="4513"/>
        <w:tab w:val="right" w:pos="9026"/>
      </w:tabs>
    </w:pPr>
  </w:style>
  <w:style w:type="character" w:customStyle="1" w:styleId="FooterChar">
    <w:name w:val="Footer Char"/>
    <w:basedOn w:val="DefaultParagraphFont"/>
    <w:link w:val="Footer"/>
    <w:uiPriority w:val="99"/>
    <w:rsid w:val="009D545A"/>
  </w:style>
  <w:style w:type="character" w:styleId="PageNumber">
    <w:name w:val="page number"/>
    <w:basedOn w:val="DefaultParagraphFont"/>
    <w:uiPriority w:val="99"/>
    <w:semiHidden/>
    <w:unhideWhenUsed/>
    <w:rsid w:val="009D545A"/>
  </w:style>
  <w:style w:type="character" w:styleId="UnresolvedMention">
    <w:name w:val="Unresolved Mention"/>
    <w:basedOn w:val="DefaultParagraphFont"/>
    <w:uiPriority w:val="99"/>
    <w:semiHidden/>
    <w:unhideWhenUsed/>
    <w:rsid w:val="00575E7E"/>
    <w:rPr>
      <w:color w:val="605E5C"/>
      <w:shd w:val="clear" w:color="auto" w:fill="E1DFDD"/>
    </w:rPr>
  </w:style>
  <w:style w:type="character" w:styleId="FollowedHyperlink">
    <w:name w:val="FollowedHyperlink"/>
    <w:basedOn w:val="DefaultParagraphFont"/>
    <w:uiPriority w:val="99"/>
    <w:semiHidden/>
    <w:unhideWhenUsed/>
    <w:rsid w:val="00092F9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g/personal/2410233_student_uwtsd_ac_uk/IQBvrX7IcXv9SYPrr7DkOI9yAY43PAUNkbnbPRiQvexROGI?e=IXE2r4" TargetMode="External"/><Relationship Id="rId13" Type="http://schemas.openxmlformats.org/officeDocument/2006/relationships/hyperlink" Target="https://doi.org/10.5281/zenodo.3831673" TargetMode="External"/><Relationship Id="rId18" Type="http://schemas.openxmlformats.org/officeDocument/2006/relationships/hyperlink" Target="https://www.futuregenerations.wales/about-us/future-generations-act/"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3ciframe%20width=%22760px%22%20height=%22500px%22%20src=%22https:/sway.cloud.microsoft/s/GJxwtJFvQh9pVXvZ/embed%22%20frameborder=%220%22%20marginheight=%220%22%20marginwidth=%220%22%20max-width=%22100%25%22%20sandbox=%22allow-forms%20allow-modals%20allow-orientation-lock%20allow-popups%20allow-same-origin%20allow-scripts%22%20scrolling=%22no%22%20style=%22border:%20none;%20max-width:%20100%25;%20max-height:%20100vh%22%20allowfullscreen%20mozallowfullscreen%20msallowfullscreen%20webkitallowfullscreen%3e%3c/iframe%3e" TargetMode="External"/><Relationship Id="rId12" Type="http://schemas.openxmlformats.org/officeDocument/2006/relationships/hyperlink" Target="https://www.ipcc.ch/report/ar6/syr/" TargetMode="External"/><Relationship Id="rId17" Type="http://schemas.openxmlformats.org/officeDocument/2006/relationships/hyperlink" Target="https://www.ohchr.org/en/instruments-mechanisms/instruments/convention-rights-child"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esdoc.unesco.org/ark:/48223/pf0000374802" TargetMode="External"/><Relationship Id="rId20" Type="http://schemas.openxmlformats.org/officeDocument/2006/relationships/hyperlink" Target="https://sustainabledevelopment.un.org/content/documents/5987our-common-future.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roducts.abc-clio.com/ABC-CLIOCorporate/product.aspx?pc=A3728C"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sdgs.un.org/2030agenda" TargetMode="External"/><Relationship Id="rId23" Type="http://schemas.openxmlformats.org/officeDocument/2006/relationships/footer" Target="footer2.xml"/><Relationship Id="rId10" Type="http://schemas.openxmlformats.org/officeDocument/2006/relationships/hyperlink" Target="https://doi.org/10.1017/CBO9781107587632" TargetMode="External"/><Relationship Id="rId19" Type="http://schemas.openxmlformats.org/officeDocument/2006/relationships/hyperlink" Target="https://hwb.gov.wales/curriculum-for-wales" TargetMode="External"/><Relationship Id="rId4" Type="http://schemas.openxmlformats.org/officeDocument/2006/relationships/webSettings" Target="webSettings.xml"/><Relationship Id="rId9" Type="http://schemas.openxmlformats.org/officeDocument/2006/relationships/hyperlink" Target="https://doi.org/10.1002/pan3.10128" TargetMode="External"/><Relationship Id="rId14" Type="http://schemas.openxmlformats.org/officeDocument/2006/relationships/hyperlink" Target="https://archive.org/details/friedrichfroebel0000fro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3420</Words>
  <Characters>19498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Sharp (2410233)</dc:creator>
  <cp:keywords/>
  <dc:description/>
  <cp:lastModifiedBy>Mary Sharp (2410233)</cp:lastModifiedBy>
  <cp:revision>3</cp:revision>
  <dcterms:created xsi:type="dcterms:W3CDTF">2026-07-06T16:39:00Z</dcterms:created>
  <dcterms:modified xsi:type="dcterms:W3CDTF">2026-07-06T19:08:00Z</dcterms:modified>
</cp:coreProperties>
</file>