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5BD4D1" w14:textId="456D0D1F" w:rsidR="006770CB" w:rsidRDefault="00AF6B9D" w:rsidP="00AF6B9D">
      <w:pPr>
        <w:jc w:val="center"/>
        <w:rPr>
          <w:b/>
          <w:bCs/>
          <w:sz w:val="32"/>
          <w:szCs w:val="32"/>
          <w:u w:val="single"/>
        </w:rPr>
      </w:pPr>
      <w:r>
        <w:rPr>
          <w:b/>
          <w:bCs/>
          <w:sz w:val="32"/>
          <w:szCs w:val="32"/>
          <w:u w:val="single"/>
        </w:rPr>
        <w:t>The t</w:t>
      </w:r>
      <w:r w:rsidR="008F4BB7">
        <w:rPr>
          <w:b/>
          <w:bCs/>
          <w:sz w:val="32"/>
          <w:szCs w:val="32"/>
          <w:u w:val="single"/>
        </w:rPr>
        <w:t>reatment</w:t>
      </w:r>
      <w:r>
        <w:rPr>
          <w:b/>
          <w:bCs/>
          <w:sz w:val="32"/>
          <w:szCs w:val="32"/>
          <w:u w:val="single"/>
        </w:rPr>
        <w:t xml:space="preserve"> and condition</w:t>
      </w:r>
      <w:r w:rsidR="008F4BB7">
        <w:rPr>
          <w:b/>
          <w:bCs/>
          <w:sz w:val="32"/>
          <w:szCs w:val="32"/>
          <w:u w:val="single"/>
        </w:rPr>
        <w:t>s</w:t>
      </w:r>
      <w:r>
        <w:rPr>
          <w:b/>
          <w:bCs/>
          <w:sz w:val="32"/>
          <w:szCs w:val="32"/>
          <w:u w:val="single"/>
        </w:rPr>
        <w:t xml:space="preserve"> of the unofficial refugee camp in Matamoros Mexico</w:t>
      </w:r>
    </w:p>
    <w:p w14:paraId="58416FB7" w14:textId="2F2CD2B3" w:rsidR="00AF6B9D" w:rsidRDefault="00AF6B9D" w:rsidP="00AF6B9D">
      <w:pPr>
        <w:rPr>
          <w:sz w:val="24"/>
          <w:szCs w:val="24"/>
        </w:rPr>
      </w:pPr>
      <w:r>
        <w:rPr>
          <w:sz w:val="24"/>
          <w:szCs w:val="24"/>
        </w:rPr>
        <w:t>This is a research proposal aimed to address and examine the conditions with which people who are considered refugees have to live in and experience during their stay in refugee camps. Specifically, I will be focusing on the “unofficial refugee encampment in Matamoros, Mexico” (Flores, 2020). I will be looking at the conditions of the camp, the treatment of refugees, the time</w:t>
      </w:r>
      <w:r w:rsidR="00731B0F">
        <w:rPr>
          <w:sz w:val="24"/>
          <w:szCs w:val="24"/>
        </w:rPr>
        <w:t xml:space="preserve"> </w:t>
      </w:r>
      <w:r>
        <w:rPr>
          <w:sz w:val="24"/>
          <w:szCs w:val="24"/>
        </w:rPr>
        <w:t>period in which people usually have to remain in said camp and the overall health and safety measures that may or may not be put in place to protect such migrants/refugees.</w:t>
      </w:r>
    </w:p>
    <w:p w14:paraId="2C921516" w14:textId="52F322BE" w:rsidR="00AF6B9D" w:rsidRDefault="00AF6B9D" w:rsidP="00AF6B9D">
      <w:pPr>
        <w:rPr>
          <w:sz w:val="24"/>
          <w:szCs w:val="24"/>
        </w:rPr>
      </w:pPr>
      <w:r>
        <w:rPr>
          <w:sz w:val="24"/>
          <w:szCs w:val="24"/>
        </w:rPr>
        <w:t>The aim of this research is to allow myself and many other academics a keener insight into the exact conditions of the refugee camp, which will allow us to see how humane the treatment of refugees are.</w:t>
      </w:r>
      <w:r w:rsidR="00F43046">
        <w:rPr>
          <w:sz w:val="24"/>
          <w:szCs w:val="24"/>
        </w:rPr>
        <w:t xml:space="preserve"> For as Gell has said “The immediate ‘other’ in a social relationship does not have to be another ‘human being’” (Gell, 1998:17). Showing the importance of looking at more than the relationship between people, but the way people feel and act in their own environment, can provide answers.</w:t>
      </w:r>
      <w:r>
        <w:rPr>
          <w:sz w:val="24"/>
          <w:szCs w:val="24"/>
        </w:rPr>
        <w:t xml:space="preserve"> By doing so we can further this research and petition governments to, if necessary, provide better environments and better treatment of refugees that stay within the camp for extended periods of time. We can also attempt to draw conclusions as to how long refugees on average spend time in</w:t>
      </w:r>
      <w:r w:rsidR="007E1CA2">
        <w:rPr>
          <w:sz w:val="24"/>
          <w:szCs w:val="24"/>
        </w:rPr>
        <w:t xml:space="preserve"> the refugee camp</w:t>
      </w:r>
      <w:r>
        <w:rPr>
          <w:sz w:val="24"/>
          <w:szCs w:val="24"/>
        </w:rPr>
        <w:t xml:space="preserve"> before being home safely and attempt to provide solutions that can increase efficiency and timescales for people in these environments. </w:t>
      </w:r>
      <w:r w:rsidR="008D37A4">
        <w:rPr>
          <w:sz w:val="24"/>
          <w:szCs w:val="24"/>
        </w:rPr>
        <w:t>I believe that</w:t>
      </w:r>
      <w:r>
        <w:rPr>
          <w:sz w:val="24"/>
          <w:szCs w:val="24"/>
        </w:rPr>
        <w:t xml:space="preserve"> this research will provide valuable insight, not just for academics and government officials but for the public as well, to truly understand the treatment of refugees in </w:t>
      </w:r>
      <w:r w:rsidR="007E1CA2">
        <w:rPr>
          <w:sz w:val="24"/>
          <w:szCs w:val="24"/>
        </w:rPr>
        <w:t>the Matamoros camp</w:t>
      </w:r>
      <w:r>
        <w:rPr>
          <w:sz w:val="24"/>
          <w:szCs w:val="24"/>
        </w:rPr>
        <w:t xml:space="preserve"> and the conditions in which they live in.</w:t>
      </w:r>
      <w:r w:rsidR="008D37A4">
        <w:rPr>
          <w:sz w:val="24"/>
          <w:szCs w:val="24"/>
        </w:rPr>
        <w:t xml:space="preserve"> Finally, this research can </w:t>
      </w:r>
      <w:proofErr w:type="spellStart"/>
      <w:r w:rsidR="008D37A4">
        <w:rPr>
          <w:sz w:val="24"/>
          <w:szCs w:val="24"/>
        </w:rPr>
        <w:t>than</w:t>
      </w:r>
      <w:proofErr w:type="spellEnd"/>
      <w:r w:rsidR="008D37A4">
        <w:rPr>
          <w:sz w:val="24"/>
          <w:szCs w:val="24"/>
        </w:rPr>
        <w:t xml:space="preserve"> be used further in studies to cross-culturally compare to other research such as Hynes’ research studying trust and mistrust in refugee camps (2003).</w:t>
      </w:r>
    </w:p>
    <w:p w14:paraId="6DCDF272" w14:textId="7A7296FC" w:rsidR="00CC3F40" w:rsidRDefault="00AF6B9D" w:rsidP="00AF6B9D">
      <w:pPr>
        <w:rPr>
          <w:sz w:val="24"/>
          <w:szCs w:val="24"/>
        </w:rPr>
      </w:pPr>
      <w:r>
        <w:rPr>
          <w:sz w:val="24"/>
          <w:szCs w:val="24"/>
        </w:rPr>
        <w:t>I propose that the research be completed using a number of research methods at our disposal.</w:t>
      </w:r>
      <w:r w:rsidR="00CC3F40">
        <w:rPr>
          <w:sz w:val="24"/>
          <w:szCs w:val="24"/>
        </w:rPr>
        <w:t xml:space="preserve"> By following the Association of Social Anthropologists ethical guidelines</w:t>
      </w:r>
      <w:r w:rsidR="0086056D">
        <w:rPr>
          <w:sz w:val="24"/>
          <w:szCs w:val="24"/>
        </w:rPr>
        <w:t xml:space="preserve"> (2011)</w:t>
      </w:r>
      <w:r w:rsidR="00CC3F40">
        <w:rPr>
          <w:sz w:val="24"/>
          <w:szCs w:val="24"/>
        </w:rPr>
        <w:t xml:space="preserve"> for </w:t>
      </w:r>
      <w:r w:rsidR="0086056D">
        <w:rPr>
          <w:sz w:val="24"/>
          <w:szCs w:val="24"/>
        </w:rPr>
        <w:t>t</w:t>
      </w:r>
      <w:bookmarkStart w:id="0" w:name="_GoBack"/>
      <w:bookmarkEnd w:id="0"/>
      <w:r w:rsidR="0086056D">
        <w:rPr>
          <w:sz w:val="24"/>
          <w:szCs w:val="24"/>
        </w:rPr>
        <w:t>he safety of both the researchers and participants will allow for ethical and safe research to be conducted following appropriate code and conduct for anthropological research.</w:t>
      </w:r>
      <w:r w:rsidR="008D37A4">
        <w:rPr>
          <w:sz w:val="24"/>
          <w:szCs w:val="24"/>
        </w:rPr>
        <w:t xml:space="preserve"> I believe that is important to utilise more than one research method as a means to collective qualitative data. By using more than one method we can increase the chances of collecting vast amounts of relevant information which can then be used to further the study of refugee camp environments.</w:t>
      </w:r>
    </w:p>
    <w:p w14:paraId="12819DB1" w14:textId="39CC9CD4" w:rsidR="008D37A4" w:rsidRDefault="007E1CA2" w:rsidP="00AF6B9D">
      <w:pPr>
        <w:rPr>
          <w:sz w:val="24"/>
          <w:szCs w:val="24"/>
        </w:rPr>
      </w:pPr>
      <w:r>
        <w:rPr>
          <w:sz w:val="24"/>
          <w:szCs w:val="24"/>
        </w:rPr>
        <w:t>The first would be</w:t>
      </w:r>
      <w:r w:rsidR="00F43046">
        <w:rPr>
          <w:sz w:val="24"/>
          <w:szCs w:val="24"/>
        </w:rPr>
        <w:t xml:space="preserve"> participant observation</w:t>
      </w:r>
      <w:r w:rsidR="00CC3F40">
        <w:rPr>
          <w:sz w:val="24"/>
          <w:szCs w:val="24"/>
        </w:rPr>
        <w:t>. E</w:t>
      </w:r>
      <w:r w:rsidR="00F43046">
        <w:rPr>
          <w:sz w:val="24"/>
          <w:szCs w:val="24"/>
        </w:rPr>
        <w:t xml:space="preserve">thically it is impossible to completely participate in the conditions of refugee camps, but </w:t>
      </w:r>
      <w:r w:rsidR="00CC3F40">
        <w:rPr>
          <w:sz w:val="24"/>
          <w:szCs w:val="24"/>
        </w:rPr>
        <w:t>only through experiencing and immersing myself in the environment can I truly understand the lives that refugees live similarly to how Bogdan (1973) interprets the importance of participant observation.</w:t>
      </w:r>
      <w:r w:rsidR="00AB421B">
        <w:rPr>
          <w:sz w:val="24"/>
          <w:szCs w:val="24"/>
        </w:rPr>
        <w:t xml:space="preserve"> By living as a refugee to as much as is ethically acceptable, one can experience and understand their life from their point of view. Since this would be minimal in comparison to the time a refugee would truly spend the refugee camp it must be taken into consideration that we cannot surmount a lifetime of experience within a short time frame of living as a refugee.</w:t>
      </w:r>
    </w:p>
    <w:p w14:paraId="1D5EAF7C" w14:textId="6D98B4D8" w:rsidR="008D37A4" w:rsidRDefault="008D37A4" w:rsidP="00AF6B9D">
      <w:pPr>
        <w:rPr>
          <w:sz w:val="24"/>
          <w:szCs w:val="24"/>
        </w:rPr>
      </w:pPr>
      <w:r>
        <w:rPr>
          <w:sz w:val="24"/>
          <w:szCs w:val="24"/>
        </w:rPr>
        <w:lastRenderedPageBreak/>
        <w:t xml:space="preserve">Second, whilst conducting participant observations in the refugee camp in Matamoros it would be imperative to alongside this conduct interviews with refugees and people that are working in this camp, both paid and voluntary workers that may be involved. By conducting ethnographic interviews with open ended questions it would allow us as the researchers to “Reflect on the interview as a moment of engagement, a site of participation in the life of the person we meet and talk with” (Skinner, 2012:74). Just observing and experiencing what is going on will not allow us as researchers to fully ascertain the experiences of those around us. Only through listening as well as observing, by discussing and communicating with other members of these refugee communities, in a sense, can we truly begin to comprehend </w:t>
      </w:r>
      <w:r w:rsidR="00DD51B8">
        <w:rPr>
          <w:sz w:val="24"/>
          <w:szCs w:val="24"/>
        </w:rPr>
        <w:t>the conditions they live in. By listening to the very people who live in these environments for extended periods of time can we truly begin to gather the necessary information to understand the many difficulties and challenges they face in their day to day lives. And by listening to these people speak for themselves, we then can translate this information into data that can be further used by researchers, by government officials to acknowledge the conditions of the refugee camp in Matamoros. Thereby doing so can create change, if necessary, or at least allow people all over the world to understand what it truly means to be a refugee that must migrate for the sake of themselves, their families and their wellbeing.</w:t>
      </w:r>
    </w:p>
    <w:p w14:paraId="0495D1BD" w14:textId="3A5E577D" w:rsidR="007E1CA2" w:rsidRDefault="00AB421B" w:rsidP="00AF6B9D">
      <w:pPr>
        <w:rPr>
          <w:sz w:val="24"/>
          <w:szCs w:val="24"/>
        </w:rPr>
      </w:pPr>
      <w:r>
        <w:rPr>
          <w:sz w:val="24"/>
          <w:szCs w:val="24"/>
        </w:rPr>
        <w:t>Finally, as I will be exploring and experiencing the environment that refugees are put through in the refugee camp at Matamoros, I believe it is imperative to record my own experiences, thoughts and feelings within a reflexive journal (Reed-Danahay, 1997). I believe that reflecting on what I have previously understood and how my own views and opinions might be changed in these environments.</w:t>
      </w:r>
      <w:r w:rsidR="00444217">
        <w:rPr>
          <w:sz w:val="24"/>
          <w:szCs w:val="24"/>
        </w:rPr>
        <w:t xml:space="preserve"> By doing so we can understand how this information can be processed and used to truly represent the experiences refugees have and how the bad experiences can be challenged and changed in order to improve their health, safety and lives.</w:t>
      </w:r>
    </w:p>
    <w:p w14:paraId="504F169F" w14:textId="3B52F104" w:rsidR="00444217" w:rsidRDefault="00444217" w:rsidP="00AF6B9D">
      <w:pPr>
        <w:rPr>
          <w:sz w:val="24"/>
          <w:szCs w:val="24"/>
        </w:rPr>
      </w:pPr>
      <w:r>
        <w:rPr>
          <w:sz w:val="24"/>
          <w:szCs w:val="24"/>
        </w:rPr>
        <w:t xml:space="preserve">All information collected will be stored using qualitative research methods, in order to store written information as means to inform, from experience and understanding what </w:t>
      </w:r>
      <w:r w:rsidR="001F0140">
        <w:rPr>
          <w:sz w:val="24"/>
          <w:szCs w:val="24"/>
        </w:rPr>
        <w:t>it is</w:t>
      </w:r>
      <w:r>
        <w:rPr>
          <w:sz w:val="24"/>
          <w:szCs w:val="24"/>
        </w:rPr>
        <w:t xml:space="preserve"> like to live inside of a refugee camp in Matamoros. Arguably collecting qualitative data and using it for research from observations and ethnographies can be difficult to analyse contextually. However, I agree with </w:t>
      </w:r>
      <w:proofErr w:type="spellStart"/>
      <w:r>
        <w:rPr>
          <w:sz w:val="24"/>
          <w:szCs w:val="24"/>
        </w:rPr>
        <w:t>Boellstorff</w:t>
      </w:r>
      <w:proofErr w:type="spellEnd"/>
      <w:r>
        <w:rPr>
          <w:sz w:val="24"/>
          <w:szCs w:val="24"/>
        </w:rPr>
        <w:t xml:space="preserve"> in that the collection of qualitative data is “about finding, creating, and bringing thoughtful, provocative, productive ideas to acts of writing” (</w:t>
      </w:r>
      <w:proofErr w:type="spellStart"/>
      <w:r>
        <w:rPr>
          <w:sz w:val="24"/>
          <w:szCs w:val="24"/>
        </w:rPr>
        <w:t>Boellstorff</w:t>
      </w:r>
      <w:proofErr w:type="spellEnd"/>
      <w:r>
        <w:rPr>
          <w:sz w:val="24"/>
          <w:szCs w:val="24"/>
        </w:rPr>
        <w:t>, 2012:159)</w:t>
      </w:r>
      <w:r w:rsidR="001F0140">
        <w:rPr>
          <w:sz w:val="24"/>
          <w:szCs w:val="24"/>
        </w:rPr>
        <w:t>. By finding the themes in the collected qualitative data, we can begin to understand the difficulties of refugees. Pinpointing such themes will require us to take on a thematic analysis when analysing our collected data after having conducted research. Only then will we truly begin to understand what it is we have found through conducting our research and what lives refugees truly live. Thematic analysis is an important concept that tends to focus on two aspects being, “recurrence and importance.” (</w:t>
      </w:r>
      <w:proofErr w:type="spellStart"/>
      <w:r w:rsidR="001F0140">
        <w:rPr>
          <w:sz w:val="24"/>
          <w:szCs w:val="24"/>
        </w:rPr>
        <w:t>Buetow</w:t>
      </w:r>
      <w:proofErr w:type="spellEnd"/>
      <w:r w:rsidR="001F0140">
        <w:rPr>
          <w:sz w:val="24"/>
          <w:szCs w:val="24"/>
        </w:rPr>
        <w:t xml:space="preserve">, 2010:123). Exploring the themes that reoccur and reappear throughout this research will allow us to pinpoint problems, experiences and situations that are widely experienced by many within the community of the refugee camp at Matamoros. By doing so we can quickly address collective group problems and highlight experiences that are commonly had by most if not </w:t>
      </w:r>
      <w:r w:rsidR="001F0140">
        <w:rPr>
          <w:sz w:val="24"/>
          <w:szCs w:val="24"/>
        </w:rPr>
        <w:lastRenderedPageBreak/>
        <w:t>all refugees in this camp. Finally, thematic analysis of reoccurring themes will also allow this research to be used to contextually compare to other refugee camps across the world. Providing researchers an invaluable source to cross-cultural compare both the similarities and differences experienced in refugee camps across the world and ultimately how government officials may address these issues if the need arises.</w:t>
      </w:r>
    </w:p>
    <w:p w14:paraId="77F4F92C" w14:textId="64CC5748" w:rsidR="000A46ED" w:rsidRDefault="000A46ED" w:rsidP="00AF6B9D">
      <w:pPr>
        <w:rPr>
          <w:sz w:val="24"/>
          <w:szCs w:val="24"/>
        </w:rPr>
      </w:pPr>
      <w:r>
        <w:rPr>
          <w:sz w:val="24"/>
          <w:szCs w:val="24"/>
        </w:rPr>
        <w:t>In my conclusion this research is important for refugees not just in Matamoros but across the world to help us in understanding the position they are all in and how we may best assist them in their difficult times, projecting their voices through our research and fields of expertise.</w:t>
      </w:r>
    </w:p>
    <w:p w14:paraId="350A6908" w14:textId="0AEA6F7E" w:rsidR="007E1CA2" w:rsidRPr="007E1CA2" w:rsidRDefault="007E1CA2" w:rsidP="007E1CA2">
      <w:pPr>
        <w:jc w:val="center"/>
        <w:rPr>
          <w:sz w:val="24"/>
          <w:szCs w:val="24"/>
          <w:u w:val="single"/>
        </w:rPr>
      </w:pPr>
      <w:r w:rsidRPr="007E1CA2">
        <w:rPr>
          <w:sz w:val="24"/>
          <w:szCs w:val="24"/>
          <w:u w:val="single"/>
        </w:rPr>
        <w:t>References</w:t>
      </w:r>
    </w:p>
    <w:p w14:paraId="0186BA84" w14:textId="15FDB014" w:rsidR="0086056D" w:rsidRDefault="0086056D" w:rsidP="007E1CA2">
      <w:pPr>
        <w:rPr>
          <w:sz w:val="24"/>
          <w:szCs w:val="24"/>
        </w:rPr>
      </w:pPr>
      <w:r>
        <w:rPr>
          <w:sz w:val="24"/>
          <w:szCs w:val="24"/>
        </w:rPr>
        <w:t xml:space="preserve">Association of Social Anthropologists of the UK &amp; Commonwealth. (2011). ‘Association of Social Anthropologists of the UK and the Commonwealth (ASA)’. </w:t>
      </w:r>
      <w:r w:rsidRPr="0086056D">
        <w:rPr>
          <w:i/>
          <w:iCs/>
          <w:sz w:val="24"/>
          <w:szCs w:val="24"/>
        </w:rPr>
        <w:t>ASA Ethical Guidelines 2011</w:t>
      </w:r>
      <w:r>
        <w:rPr>
          <w:sz w:val="24"/>
          <w:szCs w:val="24"/>
        </w:rPr>
        <w:t xml:space="preserve">. Pp. 1-11. Available at: </w:t>
      </w:r>
      <w:hyperlink r:id="rId6" w:history="1">
        <w:r w:rsidRPr="00370775">
          <w:rPr>
            <w:rStyle w:val="Hyperlink"/>
            <w:sz w:val="24"/>
            <w:szCs w:val="24"/>
          </w:rPr>
          <w:t>https://www.theasa.org/downloads/ASA%20ethics%20guidelines%202011.pdf</w:t>
        </w:r>
      </w:hyperlink>
      <w:r>
        <w:rPr>
          <w:sz w:val="24"/>
          <w:szCs w:val="24"/>
        </w:rPr>
        <w:t xml:space="preserve"> (Accessed: 06/06/2020).</w:t>
      </w:r>
    </w:p>
    <w:p w14:paraId="4058A597" w14:textId="0BB9830F" w:rsidR="001F0140" w:rsidRDefault="001F0140" w:rsidP="007E1CA2">
      <w:pPr>
        <w:rPr>
          <w:sz w:val="24"/>
          <w:szCs w:val="24"/>
        </w:rPr>
      </w:pPr>
      <w:proofErr w:type="spellStart"/>
      <w:r>
        <w:rPr>
          <w:sz w:val="24"/>
          <w:szCs w:val="24"/>
        </w:rPr>
        <w:t>Boellstorff</w:t>
      </w:r>
      <w:proofErr w:type="spellEnd"/>
      <w:r>
        <w:rPr>
          <w:sz w:val="24"/>
          <w:szCs w:val="24"/>
        </w:rPr>
        <w:t xml:space="preserve">. T, </w:t>
      </w:r>
      <w:proofErr w:type="spellStart"/>
      <w:r>
        <w:rPr>
          <w:sz w:val="24"/>
          <w:szCs w:val="24"/>
        </w:rPr>
        <w:t>Bardi</w:t>
      </w:r>
      <w:proofErr w:type="spellEnd"/>
      <w:r>
        <w:rPr>
          <w:sz w:val="24"/>
          <w:szCs w:val="24"/>
        </w:rPr>
        <w:t xml:space="preserve">. B, Pearce. C and Taylor. T. L, (2012). </w:t>
      </w:r>
      <w:r w:rsidRPr="001F0140">
        <w:rPr>
          <w:i/>
          <w:iCs/>
          <w:sz w:val="24"/>
          <w:szCs w:val="24"/>
        </w:rPr>
        <w:t>Ethnography and Virtual Worlds: A Handbook of Method</w:t>
      </w:r>
      <w:r>
        <w:rPr>
          <w:sz w:val="24"/>
          <w:szCs w:val="24"/>
        </w:rPr>
        <w:t>. New Jersey: Princeton University Press.</w:t>
      </w:r>
    </w:p>
    <w:p w14:paraId="19CCEA3A" w14:textId="28273E06" w:rsidR="00CC3F40" w:rsidRDefault="00CC3F40" w:rsidP="007E1CA2">
      <w:pPr>
        <w:rPr>
          <w:sz w:val="24"/>
          <w:szCs w:val="24"/>
        </w:rPr>
      </w:pPr>
      <w:r>
        <w:rPr>
          <w:sz w:val="24"/>
          <w:szCs w:val="24"/>
        </w:rPr>
        <w:t xml:space="preserve">Bogdan, R. (1973). ‘Participant Observation’ </w:t>
      </w:r>
      <w:r w:rsidRPr="00CC3F40">
        <w:rPr>
          <w:i/>
          <w:iCs/>
          <w:sz w:val="24"/>
          <w:szCs w:val="24"/>
        </w:rPr>
        <w:t>Peabody Journal of Education</w:t>
      </w:r>
      <w:r>
        <w:rPr>
          <w:sz w:val="24"/>
          <w:szCs w:val="24"/>
        </w:rPr>
        <w:t xml:space="preserve">. Vol: 50(4). Pp. 302-308. Available at: </w:t>
      </w:r>
      <w:hyperlink r:id="rId7" w:history="1">
        <w:r w:rsidRPr="00370775">
          <w:rPr>
            <w:rStyle w:val="Hyperlink"/>
            <w:sz w:val="24"/>
            <w:szCs w:val="24"/>
          </w:rPr>
          <w:t>https://www.jstor.org/stable/pdf/1492424.pdf?refreqid=excelsior%3A5631b639ffc29bb5d8ca77dfdcf2a099</w:t>
        </w:r>
      </w:hyperlink>
      <w:r>
        <w:rPr>
          <w:sz w:val="24"/>
          <w:szCs w:val="24"/>
        </w:rPr>
        <w:t xml:space="preserve"> (Accessed: 06/06/2020).</w:t>
      </w:r>
    </w:p>
    <w:p w14:paraId="048336E3" w14:textId="043D12ED" w:rsidR="001F0140" w:rsidRDefault="001F0140" w:rsidP="007E1CA2">
      <w:pPr>
        <w:rPr>
          <w:sz w:val="24"/>
          <w:szCs w:val="24"/>
        </w:rPr>
      </w:pPr>
      <w:proofErr w:type="spellStart"/>
      <w:r>
        <w:rPr>
          <w:sz w:val="24"/>
          <w:szCs w:val="24"/>
        </w:rPr>
        <w:t>Buetow</w:t>
      </w:r>
      <w:proofErr w:type="spellEnd"/>
      <w:r>
        <w:rPr>
          <w:sz w:val="24"/>
          <w:szCs w:val="24"/>
        </w:rPr>
        <w:t xml:space="preserve">. S, (2010). ‘Thematic analysis and its reconceptualization as ‘saliency analysis’’ </w:t>
      </w:r>
      <w:r w:rsidRPr="001F0140">
        <w:rPr>
          <w:i/>
          <w:iCs/>
          <w:sz w:val="24"/>
          <w:szCs w:val="24"/>
        </w:rPr>
        <w:t>Journal of Health and Services Research &amp; Policy.</w:t>
      </w:r>
      <w:r>
        <w:rPr>
          <w:sz w:val="24"/>
          <w:szCs w:val="24"/>
        </w:rPr>
        <w:t xml:space="preserve"> Vol: 15(2). Pp. 123-125. Available at: </w:t>
      </w:r>
      <w:hyperlink r:id="rId8" w:history="1">
        <w:r w:rsidRPr="00D2640C">
          <w:rPr>
            <w:rStyle w:val="Hyperlink"/>
            <w:sz w:val="24"/>
            <w:szCs w:val="24"/>
          </w:rPr>
          <w:t>https://www.jstor.org/stable/pdf/26751249.pdf?ab_segments=0%2Fbasic_search%2Fcontrol&amp;refreqid=search%3A9ddef775969ccb457e69471fb66caa78</w:t>
        </w:r>
      </w:hyperlink>
      <w:r>
        <w:rPr>
          <w:sz w:val="24"/>
          <w:szCs w:val="24"/>
        </w:rPr>
        <w:t xml:space="preserve"> (Accessed: 09/06/2020).</w:t>
      </w:r>
    </w:p>
    <w:p w14:paraId="5EC3F104" w14:textId="124C7263" w:rsidR="007E1CA2" w:rsidRDefault="007E1CA2" w:rsidP="007E1CA2">
      <w:pPr>
        <w:rPr>
          <w:sz w:val="24"/>
          <w:szCs w:val="24"/>
        </w:rPr>
      </w:pPr>
      <w:r>
        <w:rPr>
          <w:sz w:val="24"/>
          <w:szCs w:val="24"/>
        </w:rPr>
        <w:t xml:space="preserve">Flores, I. (2020). </w:t>
      </w:r>
      <w:r w:rsidRPr="00F43046">
        <w:rPr>
          <w:i/>
          <w:iCs/>
          <w:sz w:val="24"/>
          <w:szCs w:val="24"/>
        </w:rPr>
        <w:t>A Desperate Scramble to Prevent the Pandemic at a U.S-Mexico Border Camp</w:t>
      </w:r>
      <w:r>
        <w:rPr>
          <w:sz w:val="24"/>
          <w:szCs w:val="24"/>
        </w:rPr>
        <w:t xml:space="preserve">. Available at: </w:t>
      </w:r>
      <w:hyperlink r:id="rId9" w:history="1">
        <w:r w:rsidRPr="00370775">
          <w:rPr>
            <w:rStyle w:val="Hyperlink"/>
            <w:sz w:val="24"/>
            <w:szCs w:val="24"/>
          </w:rPr>
          <w:t>https://foreignpolicy.com/2020/03/30/a-desperate-scramble-to-prevent-the-pandemic-at-a-u-s-mexico-border-camp/</w:t>
        </w:r>
      </w:hyperlink>
      <w:r>
        <w:rPr>
          <w:sz w:val="24"/>
          <w:szCs w:val="24"/>
        </w:rPr>
        <w:t xml:space="preserve"> (Accessed: 06/06/2020).</w:t>
      </w:r>
    </w:p>
    <w:p w14:paraId="15ECC24D" w14:textId="5488A1FF" w:rsidR="00F43046" w:rsidRDefault="00F43046" w:rsidP="007E1CA2">
      <w:pPr>
        <w:rPr>
          <w:sz w:val="24"/>
          <w:szCs w:val="24"/>
        </w:rPr>
      </w:pPr>
      <w:r>
        <w:rPr>
          <w:sz w:val="24"/>
          <w:szCs w:val="24"/>
        </w:rPr>
        <w:t xml:space="preserve">Gell, A. (1998). </w:t>
      </w:r>
      <w:r w:rsidRPr="00F43046">
        <w:rPr>
          <w:i/>
          <w:iCs/>
          <w:sz w:val="24"/>
          <w:szCs w:val="24"/>
        </w:rPr>
        <w:t>Art and Agency as Anthropological Theory</w:t>
      </w:r>
      <w:r>
        <w:rPr>
          <w:sz w:val="24"/>
          <w:szCs w:val="24"/>
        </w:rPr>
        <w:t>. Oxford: Oxford University Press.</w:t>
      </w:r>
    </w:p>
    <w:p w14:paraId="18BB9EB6" w14:textId="3062E882" w:rsidR="008D37A4" w:rsidRDefault="008D37A4" w:rsidP="007E1CA2">
      <w:pPr>
        <w:rPr>
          <w:sz w:val="24"/>
          <w:szCs w:val="24"/>
        </w:rPr>
      </w:pPr>
      <w:r>
        <w:rPr>
          <w:sz w:val="24"/>
          <w:szCs w:val="24"/>
        </w:rPr>
        <w:t xml:space="preserve">Hynes, T. (2003). ‘The issue of ‘trust’ or ‘mistrust’ in research with refugees: choices, caveats and considerations for researchers’. </w:t>
      </w:r>
      <w:r w:rsidRPr="008D37A4">
        <w:rPr>
          <w:i/>
          <w:iCs/>
          <w:sz w:val="24"/>
          <w:szCs w:val="24"/>
        </w:rPr>
        <w:t>School o</w:t>
      </w:r>
      <w:r w:rsidR="00444217">
        <w:rPr>
          <w:i/>
          <w:iCs/>
          <w:sz w:val="24"/>
          <w:szCs w:val="24"/>
        </w:rPr>
        <w:t>f</w:t>
      </w:r>
      <w:r w:rsidRPr="008D37A4">
        <w:rPr>
          <w:i/>
          <w:iCs/>
          <w:sz w:val="24"/>
          <w:szCs w:val="24"/>
        </w:rPr>
        <w:t xml:space="preserve"> Health and Social Sciences</w:t>
      </w:r>
      <w:r>
        <w:rPr>
          <w:sz w:val="24"/>
          <w:szCs w:val="24"/>
        </w:rPr>
        <w:t xml:space="preserve">. Vol: 98. Pp 1-25. Available at: </w:t>
      </w:r>
      <w:hyperlink r:id="rId10" w:history="1">
        <w:r w:rsidRPr="00370775">
          <w:rPr>
            <w:rStyle w:val="Hyperlink"/>
            <w:sz w:val="24"/>
            <w:szCs w:val="24"/>
          </w:rPr>
          <w:t>https://www.unhcr.org/3fcb5cee1.pdf</w:t>
        </w:r>
      </w:hyperlink>
      <w:r>
        <w:rPr>
          <w:sz w:val="24"/>
          <w:szCs w:val="24"/>
        </w:rPr>
        <w:t xml:space="preserve"> (Accessed: 07/06/2020).</w:t>
      </w:r>
    </w:p>
    <w:p w14:paraId="5E3E8968" w14:textId="4B159004" w:rsidR="00AB421B" w:rsidRDefault="00AB421B" w:rsidP="007E1CA2">
      <w:pPr>
        <w:rPr>
          <w:sz w:val="24"/>
          <w:szCs w:val="24"/>
        </w:rPr>
      </w:pPr>
      <w:r>
        <w:rPr>
          <w:sz w:val="24"/>
          <w:szCs w:val="24"/>
        </w:rPr>
        <w:t xml:space="preserve">Reed-Danahay, D, E. (1997). </w:t>
      </w:r>
      <w:r w:rsidRPr="00AB421B">
        <w:rPr>
          <w:i/>
          <w:iCs/>
          <w:sz w:val="24"/>
          <w:szCs w:val="24"/>
        </w:rPr>
        <w:t>Auto/Ethnography: rewriting the self and the social</w:t>
      </w:r>
      <w:r>
        <w:rPr>
          <w:sz w:val="24"/>
          <w:szCs w:val="24"/>
        </w:rPr>
        <w:t>. Oxford: Berg.</w:t>
      </w:r>
    </w:p>
    <w:p w14:paraId="7DC6FBF3" w14:textId="7164701B" w:rsidR="008D37A4" w:rsidRPr="00AF6B9D" w:rsidRDefault="008D37A4" w:rsidP="007E1CA2">
      <w:pPr>
        <w:rPr>
          <w:sz w:val="24"/>
          <w:szCs w:val="24"/>
        </w:rPr>
      </w:pPr>
      <w:r>
        <w:rPr>
          <w:sz w:val="24"/>
          <w:szCs w:val="24"/>
        </w:rPr>
        <w:t xml:space="preserve">Skinner, J. (2012). </w:t>
      </w:r>
      <w:r w:rsidRPr="008D37A4">
        <w:rPr>
          <w:i/>
          <w:iCs/>
          <w:sz w:val="24"/>
          <w:szCs w:val="24"/>
        </w:rPr>
        <w:t>The Interview: An Ethnographic Approach</w:t>
      </w:r>
      <w:r>
        <w:rPr>
          <w:sz w:val="24"/>
          <w:szCs w:val="24"/>
        </w:rPr>
        <w:t>. London: Bloomsbury Publishing Berg.</w:t>
      </w:r>
    </w:p>
    <w:sectPr w:rsidR="008D37A4" w:rsidRPr="00AF6B9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143AFF" w14:textId="77777777" w:rsidR="00F1787B" w:rsidRDefault="00F1787B" w:rsidP="00291259">
      <w:pPr>
        <w:spacing w:after="0" w:line="240" w:lineRule="auto"/>
      </w:pPr>
      <w:r>
        <w:separator/>
      </w:r>
    </w:p>
  </w:endnote>
  <w:endnote w:type="continuationSeparator" w:id="0">
    <w:p w14:paraId="3B48BFBF" w14:textId="77777777" w:rsidR="00F1787B" w:rsidRDefault="00F1787B" w:rsidP="00291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48AAFB" w14:textId="4AD9BD27" w:rsidR="00291259" w:rsidRDefault="00291259">
    <w:pPr>
      <w:pStyle w:val="Footer"/>
    </w:pPr>
    <w:r>
      <w:t>Sam Morgan</w:t>
    </w:r>
  </w:p>
  <w:p w14:paraId="1E3A6773" w14:textId="55F963CE" w:rsidR="00291259" w:rsidRDefault="00291259">
    <w:pPr>
      <w:pStyle w:val="Footer"/>
    </w:pPr>
    <w:r>
      <w:t>1701755</w:t>
    </w:r>
  </w:p>
  <w:p w14:paraId="7211A70A" w14:textId="77777777" w:rsidR="00291259" w:rsidRDefault="00291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0E9773" w14:textId="77777777" w:rsidR="00F1787B" w:rsidRDefault="00F1787B" w:rsidP="00291259">
      <w:pPr>
        <w:spacing w:after="0" w:line="240" w:lineRule="auto"/>
      </w:pPr>
      <w:r>
        <w:separator/>
      </w:r>
    </w:p>
  </w:footnote>
  <w:footnote w:type="continuationSeparator" w:id="0">
    <w:p w14:paraId="4725C5D5" w14:textId="77777777" w:rsidR="00F1787B" w:rsidRDefault="00F1787B" w:rsidP="002912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8CD88C" w14:textId="7BF37CD8" w:rsidR="00291259" w:rsidRDefault="00291259">
    <w:pPr>
      <w:pStyle w:val="Header"/>
    </w:pPr>
    <w:r>
      <w:t>HPAN6003                                                   Assignment 2                                                           Andy Bevan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B9D"/>
    <w:rsid w:val="000A46ED"/>
    <w:rsid w:val="001F0140"/>
    <w:rsid w:val="00291259"/>
    <w:rsid w:val="00444217"/>
    <w:rsid w:val="00731B0F"/>
    <w:rsid w:val="00732B89"/>
    <w:rsid w:val="007E1CA2"/>
    <w:rsid w:val="0086056D"/>
    <w:rsid w:val="008D37A4"/>
    <w:rsid w:val="008F4BB7"/>
    <w:rsid w:val="00A21497"/>
    <w:rsid w:val="00AB421B"/>
    <w:rsid w:val="00AF6B9D"/>
    <w:rsid w:val="00CC3F40"/>
    <w:rsid w:val="00DD51B8"/>
    <w:rsid w:val="00F1787B"/>
    <w:rsid w:val="00F43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BE792"/>
  <w15:chartTrackingRefBased/>
  <w15:docId w15:val="{2458E679-3F23-41F3-BA8F-49F29F1A4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1CA2"/>
    <w:rPr>
      <w:color w:val="0563C1" w:themeColor="hyperlink"/>
      <w:u w:val="single"/>
    </w:rPr>
  </w:style>
  <w:style w:type="character" w:styleId="UnresolvedMention">
    <w:name w:val="Unresolved Mention"/>
    <w:basedOn w:val="DefaultParagraphFont"/>
    <w:uiPriority w:val="99"/>
    <w:semiHidden/>
    <w:unhideWhenUsed/>
    <w:rsid w:val="007E1CA2"/>
    <w:rPr>
      <w:color w:val="605E5C"/>
      <w:shd w:val="clear" w:color="auto" w:fill="E1DFDD"/>
    </w:rPr>
  </w:style>
  <w:style w:type="paragraph" w:styleId="Header">
    <w:name w:val="header"/>
    <w:basedOn w:val="Normal"/>
    <w:link w:val="HeaderChar"/>
    <w:uiPriority w:val="99"/>
    <w:unhideWhenUsed/>
    <w:rsid w:val="00291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259"/>
  </w:style>
  <w:style w:type="paragraph" w:styleId="Footer">
    <w:name w:val="footer"/>
    <w:basedOn w:val="Normal"/>
    <w:link w:val="FooterChar"/>
    <w:uiPriority w:val="99"/>
    <w:unhideWhenUsed/>
    <w:rsid w:val="00291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2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pdf/26751249.pdf?ab_segments=0%2Fbasic_search%2Fcontrol&amp;refreqid=search%3A9ddef775969ccb457e69471fb66caa78"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jstor.org/stable/pdf/1492424.pdf?refreqid=excelsior%3A5631b639ffc29bb5d8ca77dfdcf2a099"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asa.org/downloads/ASA%20ethics%20guidelines%202011.pdf"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unhcr.org/3fcb5cee1.pdf" TargetMode="External"/><Relationship Id="rId4" Type="http://schemas.openxmlformats.org/officeDocument/2006/relationships/footnotes" Target="footnotes.xml"/><Relationship Id="rId9" Type="http://schemas.openxmlformats.org/officeDocument/2006/relationships/hyperlink" Target="https://foreignpolicy.com/2020/03/30/a-desperate-scramble-to-prevent-the-pandemic-at-a-u-s-mexico-border-cam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1531</TotalTime>
  <Pages>3</Pages>
  <Words>1497</Words>
  <Characters>8538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Morgan</dc:creator>
  <cp:keywords/>
  <dc:description/>
  <cp:lastModifiedBy>Sam Morgan</cp:lastModifiedBy>
  <cp:revision>3</cp:revision>
  <dcterms:created xsi:type="dcterms:W3CDTF">2020-06-08T11:04:00Z</dcterms:created>
  <dcterms:modified xsi:type="dcterms:W3CDTF">2020-06-11T17:38:00Z</dcterms:modified>
</cp:coreProperties>
</file>