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301B" w:rsidRPr="000A221D" w:rsidRDefault="009A09B6" w:rsidP="009A09B6">
      <w:pPr>
        <w:jc w:val="center"/>
        <w:rPr>
          <w:b/>
          <w:sz w:val="24"/>
          <w:szCs w:val="24"/>
          <w:u w:val="single"/>
        </w:rPr>
      </w:pPr>
      <w:r w:rsidRPr="000A221D">
        <w:rPr>
          <w:b/>
          <w:sz w:val="24"/>
          <w:szCs w:val="24"/>
          <w:u w:val="single"/>
        </w:rPr>
        <w:t>An exploration into how Euseb</w:t>
      </w:r>
      <w:r w:rsidR="000A221D">
        <w:rPr>
          <w:b/>
          <w:sz w:val="24"/>
          <w:szCs w:val="24"/>
          <w:u w:val="single"/>
        </w:rPr>
        <w:t>i</w:t>
      </w:r>
      <w:r w:rsidRPr="000A221D">
        <w:rPr>
          <w:b/>
          <w:sz w:val="24"/>
          <w:szCs w:val="24"/>
          <w:u w:val="single"/>
        </w:rPr>
        <w:t xml:space="preserve">us’ </w:t>
      </w:r>
      <w:r w:rsidRPr="000A221D">
        <w:rPr>
          <w:b/>
          <w:i/>
          <w:sz w:val="24"/>
          <w:szCs w:val="24"/>
          <w:u w:val="single"/>
        </w:rPr>
        <w:t>Life of Constantine</w:t>
      </w:r>
      <w:r w:rsidRPr="000A221D">
        <w:rPr>
          <w:b/>
          <w:sz w:val="24"/>
          <w:szCs w:val="24"/>
          <w:u w:val="single"/>
        </w:rPr>
        <w:t xml:space="preserve"> acted as supporting propaganda for Constantine’s conversion to Christianity in the early 4</w:t>
      </w:r>
      <w:r w:rsidRPr="000A221D">
        <w:rPr>
          <w:b/>
          <w:sz w:val="24"/>
          <w:szCs w:val="24"/>
          <w:u w:val="single"/>
          <w:vertAlign w:val="superscript"/>
        </w:rPr>
        <w:t>th</w:t>
      </w:r>
      <w:r w:rsidRPr="000A221D">
        <w:rPr>
          <w:b/>
          <w:sz w:val="24"/>
          <w:szCs w:val="24"/>
          <w:u w:val="single"/>
        </w:rPr>
        <w:t xml:space="preserve"> Century</w:t>
      </w:r>
      <w:r w:rsidR="00991553" w:rsidRPr="000A221D">
        <w:rPr>
          <w:b/>
          <w:sz w:val="24"/>
          <w:szCs w:val="24"/>
          <w:u w:val="single"/>
        </w:rPr>
        <w:t xml:space="preserve"> and its importance to the conversion to monotheism in the Roman Empire</w:t>
      </w:r>
      <w:r w:rsidRPr="000A221D">
        <w:rPr>
          <w:b/>
          <w:sz w:val="24"/>
          <w:szCs w:val="24"/>
          <w:u w:val="single"/>
        </w:rPr>
        <w:t>.</w:t>
      </w:r>
    </w:p>
    <w:p w:rsidR="009A09B6" w:rsidRPr="000A221D" w:rsidRDefault="009A09B6" w:rsidP="009A09B6">
      <w:pPr>
        <w:rPr>
          <w:sz w:val="24"/>
          <w:szCs w:val="24"/>
        </w:rPr>
      </w:pPr>
    </w:p>
    <w:p w:rsidR="009A09B6" w:rsidRPr="000A221D" w:rsidRDefault="009A09B6" w:rsidP="009A09B6">
      <w:pPr>
        <w:rPr>
          <w:sz w:val="24"/>
          <w:szCs w:val="24"/>
        </w:rPr>
      </w:pPr>
      <w:r w:rsidRPr="000A221D">
        <w:rPr>
          <w:sz w:val="24"/>
          <w:szCs w:val="24"/>
        </w:rPr>
        <w:t xml:space="preserve">The imperial figure in Roman society functioned as both a militaristic and religious figure head within the Roman Empire. The imperial figure, after the reign of Augustus known as Emperor, led the </w:t>
      </w:r>
      <w:r w:rsidRPr="000A221D">
        <w:rPr>
          <w:i/>
          <w:sz w:val="24"/>
          <w:szCs w:val="24"/>
        </w:rPr>
        <w:t>comitatenses</w:t>
      </w:r>
      <w:r w:rsidRPr="000A221D">
        <w:rPr>
          <w:rStyle w:val="FootnoteReference"/>
          <w:i/>
          <w:sz w:val="24"/>
          <w:szCs w:val="24"/>
        </w:rPr>
        <w:footnoteReference w:id="1"/>
      </w:r>
      <w:r w:rsidRPr="000A221D">
        <w:rPr>
          <w:sz w:val="24"/>
          <w:szCs w:val="24"/>
        </w:rPr>
        <w:t>, a mobile field unit comprised of the most elite soldiers within the Roman military. The unit could be led by the Emperor or a Caesar, each with the assistance of a Master of Cavalry and a Master of Infantry</w:t>
      </w:r>
      <w:r w:rsidRPr="000A221D">
        <w:rPr>
          <w:rStyle w:val="FootnoteReference"/>
          <w:sz w:val="24"/>
          <w:szCs w:val="24"/>
        </w:rPr>
        <w:footnoteReference w:id="2"/>
      </w:r>
      <w:r w:rsidRPr="000A221D">
        <w:rPr>
          <w:sz w:val="24"/>
          <w:szCs w:val="24"/>
        </w:rPr>
        <w:t xml:space="preserve">, a development that arose during the reign of Constantine as well as other reforms. In the religious sphere, the Emperor possessed the power to influence the public religion of the Roman people. The difference between public and private religion in the period is important to note, the distinction allows a modern audience to assess the extent to which public religious festivals were celebrated out of piety or out of the need to maintain social standing. Constantine’s acceptance of Christianity made for wider acceptance and less open animosity towards those who followed the Christian faith, even when Constantine had not yet converted to the faith himself. </w:t>
      </w:r>
    </w:p>
    <w:p w:rsidR="00991553" w:rsidRPr="000A221D" w:rsidRDefault="00991553" w:rsidP="009A09B6">
      <w:pPr>
        <w:rPr>
          <w:sz w:val="24"/>
          <w:szCs w:val="24"/>
        </w:rPr>
      </w:pPr>
      <w:r w:rsidRPr="000A221D">
        <w:rPr>
          <w:sz w:val="24"/>
          <w:szCs w:val="24"/>
        </w:rPr>
        <w:t>In order to assess the importance of Constantine’s conversion to Christianity, it is important to understand who Constantine was. The son of Constantius, Constantine was handed the rule of Emperor by way of natural succession to the eldest son of the current ruler</w:t>
      </w:r>
      <w:r w:rsidRPr="000A221D">
        <w:rPr>
          <w:rStyle w:val="FootnoteReference"/>
          <w:sz w:val="24"/>
          <w:szCs w:val="24"/>
        </w:rPr>
        <w:footnoteReference w:id="3"/>
      </w:r>
      <w:r w:rsidRPr="000A221D">
        <w:rPr>
          <w:sz w:val="24"/>
          <w:szCs w:val="24"/>
        </w:rPr>
        <w:t xml:space="preserve"> on July 25</w:t>
      </w:r>
      <w:r w:rsidRPr="000A221D">
        <w:rPr>
          <w:sz w:val="24"/>
          <w:szCs w:val="24"/>
          <w:vertAlign w:val="superscript"/>
        </w:rPr>
        <w:t>th</w:t>
      </w:r>
      <w:r w:rsidRPr="000A221D">
        <w:rPr>
          <w:sz w:val="24"/>
          <w:szCs w:val="24"/>
        </w:rPr>
        <w:t xml:space="preserve"> 306AD</w:t>
      </w:r>
      <w:r w:rsidRPr="000A221D">
        <w:rPr>
          <w:rStyle w:val="FootnoteReference"/>
          <w:sz w:val="24"/>
          <w:szCs w:val="24"/>
        </w:rPr>
        <w:footnoteReference w:id="4"/>
      </w:r>
      <w:r w:rsidRPr="000A221D">
        <w:rPr>
          <w:sz w:val="24"/>
          <w:szCs w:val="24"/>
        </w:rPr>
        <w:t xml:space="preserve"> where Constantine was proclaimed Augustus by his soldiers</w:t>
      </w:r>
      <w:r w:rsidRPr="000A221D">
        <w:rPr>
          <w:rStyle w:val="FootnoteReference"/>
          <w:sz w:val="24"/>
          <w:szCs w:val="24"/>
        </w:rPr>
        <w:footnoteReference w:id="5"/>
      </w:r>
      <w:r w:rsidRPr="000A221D">
        <w:rPr>
          <w:sz w:val="24"/>
          <w:szCs w:val="24"/>
        </w:rPr>
        <w:t>. Constantine carried out a number of notable endeavours during his reign in the lead up to his conversion, one of note was the organisation of the first meeting of the council of Nicaea</w:t>
      </w:r>
      <w:r w:rsidR="003B3B33" w:rsidRPr="000A221D">
        <w:rPr>
          <w:sz w:val="24"/>
          <w:szCs w:val="24"/>
        </w:rPr>
        <w:t xml:space="preserve"> in 325AD</w:t>
      </w:r>
      <w:r w:rsidR="003B3B33" w:rsidRPr="000A221D">
        <w:rPr>
          <w:rStyle w:val="FootnoteReference"/>
          <w:sz w:val="24"/>
          <w:szCs w:val="24"/>
        </w:rPr>
        <w:footnoteReference w:id="6"/>
      </w:r>
      <w:r w:rsidR="003B3B33" w:rsidRPr="000A221D">
        <w:rPr>
          <w:sz w:val="24"/>
          <w:szCs w:val="24"/>
        </w:rPr>
        <w:t>, the council consisted of Christian Bishops which was structured along the lines of the Senate of Rome but Constantine did not cast a vote as he would do in disputes within the Senate</w:t>
      </w:r>
      <w:r w:rsidR="003B3B33" w:rsidRPr="000A221D">
        <w:rPr>
          <w:rStyle w:val="FootnoteReference"/>
          <w:sz w:val="24"/>
          <w:szCs w:val="24"/>
        </w:rPr>
        <w:footnoteReference w:id="7"/>
      </w:r>
      <w:r w:rsidR="003B3B33" w:rsidRPr="000A221D">
        <w:rPr>
          <w:sz w:val="24"/>
          <w:szCs w:val="24"/>
        </w:rPr>
        <w:t>. The need for the council arose from the Arian controversy in response to which Constantine hoped that the council would present an imperially approved, unified version of the Christian faith during his reign</w:t>
      </w:r>
      <w:r w:rsidR="003B3B33" w:rsidRPr="000A221D">
        <w:rPr>
          <w:rStyle w:val="FootnoteReference"/>
          <w:sz w:val="24"/>
          <w:szCs w:val="24"/>
        </w:rPr>
        <w:footnoteReference w:id="8"/>
      </w:r>
      <w:r w:rsidR="003B3B33" w:rsidRPr="000A221D">
        <w:rPr>
          <w:sz w:val="24"/>
          <w:szCs w:val="24"/>
        </w:rPr>
        <w:t>. Constantine fully converted and was baptized on his death bed in 337AD</w:t>
      </w:r>
      <w:r w:rsidR="003B3B33" w:rsidRPr="000A221D">
        <w:rPr>
          <w:rStyle w:val="FootnoteReference"/>
          <w:sz w:val="24"/>
          <w:szCs w:val="24"/>
        </w:rPr>
        <w:footnoteReference w:id="9"/>
      </w:r>
      <w:r w:rsidR="003B3B33" w:rsidRPr="000A221D">
        <w:rPr>
          <w:sz w:val="24"/>
          <w:szCs w:val="24"/>
        </w:rPr>
        <w:t xml:space="preserve">. </w:t>
      </w:r>
    </w:p>
    <w:p w:rsidR="000A221D" w:rsidRPr="000A221D" w:rsidRDefault="003B3B33" w:rsidP="009A09B6">
      <w:pPr>
        <w:rPr>
          <w:sz w:val="24"/>
          <w:szCs w:val="24"/>
        </w:rPr>
      </w:pPr>
      <w:r w:rsidRPr="000A221D">
        <w:rPr>
          <w:sz w:val="24"/>
          <w:szCs w:val="24"/>
        </w:rPr>
        <w:t xml:space="preserve">The time period of Constantine’s reign covered the first quarter of the fourth century, between 306 and 337AD Constantine ended the persecution of Christians to allow for </w:t>
      </w:r>
      <w:r w:rsidRPr="000A221D">
        <w:rPr>
          <w:sz w:val="24"/>
          <w:szCs w:val="24"/>
        </w:rPr>
        <w:lastRenderedPageBreak/>
        <w:t>tolerance and acceptance in most places, before Constantine, Armenia was the first to adopt Christianity as the state religion.</w:t>
      </w:r>
      <w:r w:rsidR="009F4E78" w:rsidRPr="000A221D">
        <w:rPr>
          <w:sz w:val="24"/>
          <w:szCs w:val="24"/>
        </w:rPr>
        <w:t xml:space="preserve"> Religion in the early fourth Century was in a state of flux. </w:t>
      </w:r>
      <w:r w:rsidRPr="000A221D">
        <w:rPr>
          <w:sz w:val="24"/>
          <w:szCs w:val="24"/>
        </w:rPr>
        <w:t>“The religions at the time…outside</w:t>
      </w:r>
      <w:r w:rsidR="009F4E78" w:rsidRPr="000A221D">
        <w:rPr>
          <w:sz w:val="24"/>
          <w:szCs w:val="24"/>
        </w:rPr>
        <w:t xml:space="preserve"> the</w:t>
      </w:r>
      <w:r w:rsidRPr="000A221D">
        <w:rPr>
          <w:sz w:val="24"/>
          <w:szCs w:val="24"/>
        </w:rPr>
        <w:t xml:space="preserve"> Christian world, were divided…into more than five categories”</w:t>
      </w:r>
      <w:r w:rsidRPr="000A221D">
        <w:rPr>
          <w:rStyle w:val="FootnoteReference"/>
          <w:sz w:val="24"/>
          <w:szCs w:val="24"/>
        </w:rPr>
        <w:footnoteReference w:id="10"/>
      </w:r>
      <w:r w:rsidRPr="000A221D">
        <w:rPr>
          <w:sz w:val="24"/>
          <w:szCs w:val="24"/>
        </w:rPr>
        <w:t xml:space="preserve"> among them were paganism, Judaism and a religion that worshipped the sun as a deity</w:t>
      </w:r>
      <w:r w:rsidRPr="000A221D">
        <w:rPr>
          <w:rStyle w:val="FootnoteReference"/>
          <w:sz w:val="24"/>
          <w:szCs w:val="24"/>
        </w:rPr>
        <w:footnoteReference w:id="11"/>
      </w:r>
      <w:r w:rsidRPr="000A221D">
        <w:rPr>
          <w:sz w:val="24"/>
          <w:szCs w:val="24"/>
        </w:rPr>
        <w:t>.</w:t>
      </w:r>
      <w:r w:rsidR="009F4E78" w:rsidRPr="000A221D">
        <w:rPr>
          <w:sz w:val="24"/>
          <w:szCs w:val="24"/>
        </w:rPr>
        <w:t xml:space="preserve"> Ancient Christianity was very much considered a missionary society</w:t>
      </w:r>
      <w:r w:rsidR="009F4E78" w:rsidRPr="000A221D">
        <w:rPr>
          <w:rStyle w:val="FootnoteReference"/>
          <w:sz w:val="24"/>
          <w:szCs w:val="24"/>
        </w:rPr>
        <w:footnoteReference w:id="12"/>
      </w:r>
      <w:r w:rsidR="009F4E78" w:rsidRPr="000A221D">
        <w:rPr>
          <w:sz w:val="24"/>
          <w:szCs w:val="24"/>
        </w:rPr>
        <w:t xml:space="preserve"> and the diversity of state and culture in the Roman Empire allowed for varying degrees of acceptance of the conversion to monotheism. The conversion to monotheism for the Roman Empire was mainly the issue of going from polytheism (multiple deities) to a singular one</w:t>
      </w:r>
      <w:r w:rsidR="0043124B" w:rsidRPr="000A221D">
        <w:rPr>
          <w:sz w:val="24"/>
          <w:szCs w:val="24"/>
        </w:rPr>
        <w:t xml:space="preserve"> where the worshiper would pray or make offerings to a particular deity depending upon what they needed to a singular deity they would have to accept could do all of it</w:t>
      </w:r>
      <w:r w:rsidR="009F4E78" w:rsidRPr="000A221D">
        <w:rPr>
          <w:sz w:val="24"/>
          <w:szCs w:val="24"/>
        </w:rPr>
        <w:t xml:space="preserve">, the pagan religion that was popular within the Roman Empire still possessed popular traits of the religion such as sacrifice, both animal and human in some cases, but with the influence of Christianity it was beginning to be seen as distasteful by those accepting and converting to the new religion. In 324AD Constantine had created a Christian Rome in the East but the Empire briefly returned to paganism under Julian ‘the Apostate’ restoring </w:t>
      </w:r>
      <w:r w:rsidR="0043124B" w:rsidRPr="000A221D">
        <w:rPr>
          <w:sz w:val="24"/>
          <w:szCs w:val="24"/>
        </w:rPr>
        <w:t xml:space="preserve">religious </w:t>
      </w:r>
      <w:r w:rsidR="009F4E78" w:rsidRPr="000A221D">
        <w:rPr>
          <w:sz w:val="24"/>
          <w:szCs w:val="24"/>
        </w:rPr>
        <w:t>sites that were fully destroyed over fifty years later in 395 by Alaric the Goth</w:t>
      </w:r>
      <w:r w:rsidR="009F4E78" w:rsidRPr="000A221D">
        <w:rPr>
          <w:rStyle w:val="FootnoteReference"/>
          <w:sz w:val="24"/>
          <w:szCs w:val="24"/>
        </w:rPr>
        <w:footnoteReference w:id="13"/>
      </w:r>
      <w:r w:rsidR="009F4E78" w:rsidRPr="000A221D">
        <w:rPr>
          <w:sz w:val="24"/>
          <w:szCs w:val="24"/>
        </w:rPr>
        <w:t>.</w:t>
      </w:r>
      <w:r w:rsidR="00F328D8" w:rsidRPr="000A221D">
        <w:rPr>
          <w:sz w:val="24"/>
          <w:szCs w:val="24"/>
        </w:rPr>
        <w:t xml:space="preserve"> </w:t>
      </w:r>
    </w:p>
    <w:p w:rsidR="000A221D" w:rsidRDefault="00F328D8" w:rsidP="009A09B6">
      <w:pPr>
        <w:rPr>
          <w:sz w:val="24"/>
          <w:szCs w:val="24"/>
        </w:rPr>
      </w:pPr>
      <w:r w:rsidRPr="000A221D">
        <w:rPr>
          <w:sz w:val="24"/>
          <w:szCs w:val="24"/>
        </w:rPr>
        <w:t>To assess the extent to which Euseb</w:t>
      </w:r>
      <w:r w:rsidR="000A221D">
        <w:rPr>
          <w:sz w:val="24"/>
          <w:szCs w:val="24"/>
        </w:rPr>
        <w:t>i</w:t>
      </w:r>
      <w:r w:rsidRPr="000A221D">
        <w:rPr>
          <w:sz w:val="24"/>
          <w:szCs w:val="24"/>
        </w:rPr>
        <w:t xml:space="preserve">us’ text </w:t>
      </w:r>
      <w:r w:rsidRPr="000A221D">
        <w:rPr>
          <w:i/>
          <w:sz w:val="24"/>
          <w:szCs w:val="24"/>
        </w:rPr>
        <w:t>Life of Constantine</w:t>
      </w:r>
      <w:r w:rsidRPr="000A221D">
        <w:rPr>
          <w:sz w:val="24"/>
          <w:szCs w:val="24"/>
        </w:rPr>
        <w:t xml:space="preserve"> functioned as propaganda an audience would have to have an understanding of who Euseb</w:t>
      </w:r>
      <w:r w:rsidR="000A221D">
        <w:rPr>
          <w:sz w:val="24"/>
          <w:szCs w:val="24"/>
        </w:rPr>
        <w:t>i</w:t>
      </w:r>
      <w:r w:rsidRPr="000A221D">
        <w:rPr>
          <w:sz w:val="24"/>
          <w:szCs w:val="24"/>
        </w:rPr>
        <w:t>us was. His life bridged the end of the third century AD and the first quarter century peace under the rule of Emperor Constantine, however not much is known or recorded of his early bibliography before he encountered Constantine in 296AD on Constantine’s journey from Palestine in Egypt</w:t>
      </w:r>
      <w:r w:rsidRPr="000A221D">
        <w:rPr>
          <w:rStyle w:val="FootnoteReference"/>
          <w:sz w:val="24"/>
          <w:szCs w:val="24"/>
        </w:rPr>
        <w:footnoteReference w:id="14"/>
      </w:r>
      <w:r w:rsidRPr="000A221D">
        <w:rPr>
          <w:sz w:val="24"/>
          <w:szCs w:val="24"/>
        </w:rPr>
        <w:t>.</w:t>
      </w:r>
      <w:r w:rsidR="000A221D">
        <w:rPr>
          <w:sz w:val="24"/>
          <w:szCs w:val="24"/>
        </w:rPr>
        <w:t xml:space="preserve"> In addition to this we must understand who Eusebius’ audience was. Primarily it would be the Christians and the Pagans who were converting or were curious as to the happenings of the Christian Church, however rewrites of his work present an alignment for certain political angles suggesting that his work would be suitable content for those in the political sphere as well as those in imperial administration. Then finally, Constantine, who in a letter regarded Eusebius as modest,</w:t>
      </w:r>
      <w:r w:rsidR="000A221D">
        <w:rPr>
          <w:rStyle w:val="FootnoteReference"/>
          <w:sz w:val="24"/>
          <w:szCs w:val="24"/>
        </w:rPr>
        <w:footnoteReference w:id="15"/>
      </w:r>
      <w:r w:rsidR="008062C6">
        <w:rPr>
          <w:sz w:val="24"/>
          <w:szCs w:val="24"/>
        </w:rPr>
        <w:t xml:space="preserve"> so it would make sense to produce a work that would present Constantine in a good light as both a friend and the Emperor of the western world.</w:t>
      </w:r>
    </w:p>
    <w:p w:rsidR="00F328D8" w:rsidRDefault="00F328D8" w:rsidP="009A09B6">
      <w:pPr>
        <w:rPr>
          <w:sz w:val="24"/>
          <w:szCs w:val="24"/>
        </w:rPr>
      </w:pPr>
      <w:r w:rsidRPr="000A221D">
        <w:rPr>
          <w:sz w:val="24"/>
          <w:szCs w:val="24"/>
        </w:rPr>
        <w:t xml:space="preserve"> In assessments of modern historians there is concern that he “tinkers”</w:t>
      </w:r>
      <w:r w:rsidRPr="000A221D">
        <w:rPr>
          <w:rStyle w:val="FootnoteReference"/>
          <w:sz w:val="24"/>
          <w:szCs w:val="24"/>
        </w:rPr>
        <w:footnoteReference w:id="16"/>
      </w:r>
      <w:r w:rsidRPr="000A221D">
        <w:rPr>
          <w:sz w:val="24"/>
          <w:szCs w:val="24"/>
        </w:rPr>
        <w:t xml:space="preserve"> with his history.</w:t>
      </w:r>
      <w:r w:rsidR="00416474" w:rsidRPr="000A221D">
        <w:rPr>
          <w:sz w:val="24"/>
          <w:szCs w:val="24"/>
        </w:rPr>
        <w:t xml:space="preserve"> There are four main issues raised by Grant (</w:t>
      </w:r>
      <w:r w:rsidR="00416474" w:rsidRPr="000A221D">
        <w:rPr>
          <w:i/>
          <w:sz w:val="24"/>
          <w:szCs w:val="24"/>
        </w:rPr>
        <w:t>Eusebius as Church Historian</w:t>
      </w:r>
      <w:r w:rsidR="00416474" w:rsidRPr="000A221D">
        <w:rPr>
          <w:rStyle w:val="FootnoteReference"/>
          <w:i/>
          <w:sz w:val="24"/>
          <w:szCs w:val="24"/>
        </w:rPr>
        <w:footnoteReference w:id="17"/>
      </w:r>
      <w:r w:rsidR="00416474" w:rsidRPr="000A221D">
        <w:rPr>
          <w:sz w:val="24"/>
          <w:szCs w:val="24"/>
        </w:rPr>
        <w:t>)</w:t>
      </w:r>
      <w:r w:rsidR="000A221D">
        <w:rPr>
          <w:sz w:val="24"/>
          <w:szCs w:val="24"/>
        </w:rPr>
        <w:t xml:space="preserve"> when discussing how much Eusebus influenced his own works. The primary issue is presented in his </w:t>
      </w:r>
      <w:r w:rsidR="008062C6">
        <w:rPr>
          <w:sz w:val="24"/>
          <w:szCs w:val="24"/>
        </w:rPr>
        <w:t>contradictions</w:t>
      </w:r>
      <w:r w:rsidR="000A221D">
        <w:rPr>
          <w:sz w:val="24"/>
          <w:szCs w:val="24"/>
        </w:rPr>
        <w:t xml:space="preserve">, for example in </w:t>
      </w:r>
      <w:r w:rsidR="000A221D">
        <w:rPr>
          <w:i/>
          <w:sz w:val="24"/>
          <w:szCs w:val="24"/>
        </w:rPr>
        <w:t>Demonstratio</w:t>
      </w:r>
      <w:r w:rsidR="000A221D">
        <w:rPr>
          <w:rStyle w:val="FootnoteReference"/>
          <w:i/>
          <w:sz w:val="24"/>
          <w:szCs w:val="24"/>
        </w:rPr>
        <w:footnoteReference w:id="18"/>
      </w:r>
      <w:r w:rsidR="000A221D">
        <w:rPr>
          <w:sz w:val="24"/>
          <w:szCs w:val="24"/>
        </w:rPr>
        <w:t xml:space="preserve"> he discussed disciples of god refusing to take </w:t>
      </w:r>
      <w:r w:rsidR="000A221D">
        <w:rPr>
          <w:sz w:val="24"/>
          <w:szCs w:val="24"/>
        </w:rPr>
        <w:lastRenderedPageBreak/>
        <w:t xml:space="preserve">wives yet presented testimony from Clement in </w:t>
      </w:r>
      <w:r w:rsidR="000A221D">
        <w:rPr>
          <w:i/>
          <w:sz w:val="24"/>
          <w:szCs w:val="24"/>
        </w:rPr>
        <w:t>Church History</w:t>
      </w:r>
      <w:r w:rsidR="000A221D">
        <w:rPr>
          <w:rStyle w:val="FootnoteReference"/>
          <w:i/>
          <w:sz w:val="24"/>
          <w:szCs w:val="24"/>
        </w:rPr>
        <w:footnoteReference w:id="19"/>
      </w:r>
      <w:r w:rsidR="000A221D">
        <w:rPr>
          <w:i/>
          <w:sz w:val="24"/>
          <w:szCs w:val="24"/>
        </w:rPr>
        <w:t xml:space="preserve"> </w:t>
      </w:r>
      <w:r w:rsidR="000A221D">
        <w:rPr>
          <w:sz w:val="24"/>
          <w:szCs w:val="24"/>
        </w:rPr>
        <w:t xml:space="preserve">that some were married and indeed had families. When Eusebus remarked on this contradiction he claims that his comments were relevant to the matter they were discussing at the time. Suggesting that the same issue presented in two or more of his works could have entirely different representations. </w:t>
      </w:r>
    </w:p>
    <w:p w:rsidR="000A221D" w:rsidRDefault="000A221D" w:rsidP="009A09B6">
      <w:pPr>
        <w:rPr>
          <w:sz w:val="24"/>
          <w:szCs w:val="24"/>
        </w:rPr>
      </w:pPr>
      <w:r>
        <w:rPr>
          <w:sz w:val="24"/>
          <w:szCs w:val="24"/>
        </w:rPr>
        <w:t>A secondary issue presented by Grant was Eusebus’ habit to omit certain information.</w:t>
      </w:r>
      <w:r w:rsidR="008062C6">
        <w:rPr>
          <w:sz w:val="24"/>
          <w:szCs w:val="24"/>
        </w:rPr>
        <w:t xml:space="preserve"> From the examples provided by Grant</w:t>
      </w:r>
      <w:r w:rsidR="008062C6">
        <w:rPr>
          <w:rStyle w:val="FootnoteReference"/>
          <w:sz w:val="24"/>
          <w:szCs w:val="24"/>
        </w:rPr>
        <w:footnoteReference w:id="20"/>
      </w:r>
      <w:r w:rsidR="008062C6">
        <w:rPr>
          <w:sz w:val="24"/>
          <w:szCs w:val="24"/>
        </w:rPr>
        <w:t xml:space="preserve"> it appears that Eusebius would omit any information that is not useful or relevant to his point in that particular work at that particular time</w:t>
      </w:r>
      <w:r w:rsidR="008062C6">
        <w:rPr>
          <w:rStyle w:val="FootnoteReference"/>
          <w:sz w:val="24"/>
          <w:szCs w:val="24"/>
        </w:rPr>
        <w:footnoteReference w:id="21"/>
      </w:r>
      <w:r w:rsidR="008062C6">
        <w:rPr>
          <w:sz w:val="24"/>
          <w:szCs w:val="24"/>
        </w:rPr>
        <w:t>. As well as not discussing things covered in his other works even if it is relevant he would simply reference his other works</w:t>
      </w:r>
      <w:r w:rsidR="008062C6">
        <w:rPr>
          <w:rStyle w:val="FootnoteReference"/>
          <w:sz w:val="24"/>
          <w:szCs w:val="24"/>
        </w:rPr>
        <w:footnoteReference w:id="22"/>
      </w:r>
      <w:r w:rsidR="008062C6">
        <w:rPr>
          <w:sz w:val="24"/>
          <w:szCs w:val="24"/>
        </w:rPr>
        <w:t xml:space="preserve"> making it difficult to get a full picture of his viewpoints in a single work on a particular topic. Further, he had a habit of leaving out large quantities of the history simply because the events were too long to discuss in the shorted length works</w:t>
      </w:r>
      <w:r w:rsidR="008062C6">
        <w:rPr>
          <w:rStyle w:val="FootnoteReference"/>
          <w:sz w:val="24"/>
          <w:szCs w:val="24"/>
        </w:rPr>
        <w:footnoteReference w:id="23"/>
      </w:r>
      <w:r w:rsidR="008062C6">
        <w:rPr>
          <w:sz w:val="24"/>
          <w:szCs w:val="24"/>
        </w:rPr>
        <w:t xml:space="preserve">, so he would simply skip over it as opposed to attempt to record in succinctly. </w:t>
      </w:r>
    </w:p>
    <w:p w:rsidR="00F873C7" w:rsidRPr="00F873C7" w:rsidRDefault="008062C6" w:rsidP="009A09B6">
      <w:pPr>
        <w:rPr>
          <w:sz w:val="24"/>
          <w:szCs w:val="24"/>
        </w:rPr>
      </w:pPr>
      <w:r>
        <w:rPr>
          <w:sz w:val="24"/>
          <w:szCs w:val="24"/>
        </w:rPr>
        <w:t>As well as this he was prone to generalisations. There are a number of examples of this, some which questions his credibility. Firstly, when discussing persecution and martyrdom he wrote “too many to count”</w:t>
      </w:r>
      <w:r>
        <w:rPr>
          <w:rStyle w:val="FootnoteReference"/>
          <w:sz w:val="24"/>
          <w:szCs w:val="24"/>
        </w:rPr>
        <w:footnoteReference w:id="24"/>
      </w:r>
      <w:r>
        <w:rPr>
          <w:sz w:val="24"/>
          <w:szCs w:val="24"/>
        </w:rPr>
        <w:t xml:space="preserve"> in reference to the Myriads when in fact there were only 6</w:t>
      </w:r>
      <w:r w:rsidR="00F873C7">
        <w:rPr>
          <w:rStyle w:val="FootnoteReference"/>
          <w:sz w:val="24"/>
          <w:szCs w:val="24"/>
        </w:rPr>
        <w:footnoteReference w:id="25"/>
      </w:r>
      <w:r w:rsidR="00F873C7">
        <w:rPr>
          <w:sz w:val="24"/>
          <w:szCs w:val="24"/>
        </w:rPr>
        <w:t xml:space="preserve">, in addition to this </w:t>
      </w:r>
      <w:r>
        <w:rPr>
          <w:sz w:val="24"/>
          <w:szCs w:val="24"/>
        </w:rPr>
        <w:t xml:space="preserve">there are three pieces of evidence for </w:t>
      </w:r>
      <w:r w:rsidR="00F873C7">
        <w:rPr>
          <w:sz w:val="24"/>
          <w:szCs w:val="24"/>
        </w:rPr>
        <w:t>the</w:t>
      </w:r>
      <w:r>
        <w:rPr>
          <w:sz w:val="24"/>
          <w:szCs w:val="24"/>
        </w:rPr>
        <w:t xml:space="preserve"> particular event, two he quotes and one that he simply references to lend the third greater weight than what the information actually provided in his argument</w:t>
      </w:r>
      <w:r>
        <w:rPr>
          <w:rStyle w:val="FootnoteReference"/>
          <w:sz w:val="24"/>
          <w:szCs w:val="24"/>
        </w:rPr>
        <w:footnoteReference w:id="26"/>
      </w:r>
      <w:r>
        <w:rPr>
          <w:sz w:val="24"/>
          <w:szCs w:val="24"/>
        </w:rPr>
        <w:t xml:space="preserve">. As well as this with the </w:t>
      </w:r>
      <w:r>
        <w:rPr>
          <w:i/>
          <w:sz w:val="24"/>
          <w:szCs w:val="24"/>
        </w:rPr>
        <w:t>letters of Igriatius</w:t>
      </w:r>
      <w:r>
        <w:rPr>
          <w:sz w:val="24"/>
          <w:szCs w:val="24"/>
        </w:rPr>
        <w:t xml:space="preserve"> it is discussed Igriatius expected to be a martyr. Eusebius fabricated quotes to show he suffered martyrdom during the persecutions</w:t>
      </w:r>
      <w:r>
        <w:rPr>
          <w:rStyle w:val="FootnoteReference"/>
          <w:sz w:val="24"/>
          <w:szCs w:val="24"/>
        </w:rPr>
        <w:footnoteReference w:id="27"/>
      </w:r>
      <w:r>
        <w:rPr>
          <w:sz w:val="24"/>
          <w:szCs w:val="24"/>
        </w:rPr>
        <w:t xml:space="preserve"> and while his inferences may have been partly right to the conclusions they tended to be invalid to the reasoning. </w:t>
      </w:r>
      <w:r w:rsidR="00F873C7">
        <w:rPr>
          <w:sz w:val="24"/>
          <w:szCs w:val="24"/>
        </w:rPr>
        <w:t xml:space="preserve">Finally his credibility is questionable at best due to the two citations taken from Josephus’ </w:t>
      </w:r>
      <w:r w:rsidR="00F873C7">
        <w:rPr>
          <w:i/>
          <w:sz w:val="24"/>
          <w:szCs w:val="24"/>
        </w:rPr>
        <w:t>War</w:t>
      </w:r>
      <w:r w:rsidR="00F873C7">
        <w:rPr>
          <w:sz w:val="24"/>
          <w:szCs w:val="24"/>
        </w:rPr>
        <w:t xml:space="preserve"> in which Eusebius accepts his view points and carries on the same thought process as the other author without question or comment as to whether the work was accurate</w:t>
      </w:r>
      <w:r w:rsidR="00B043EF">
        <w:rPr>
          <w:rStyle w:val="FootnoteReference"/>
          <w:sz w:val="24"/>
          <w:szCs w:val="24"/>
        </w:rPr>
        <w:footnoteReference w:id="28"/>
      </w:r>
      <w:r w:rsidR="00F873C7">
        <w:rPr>
          <w:sz w:val="24"/>
          <w:szCs w:val="24"/>
        </w:rPr>
        <w:t xml:space="preserve"> suggesting that he wasn’t overly concerned with the accuracy of his recordings.</w:t>
      </w:r>
    </w:p>
    <w:p w:rsidR="000A221D" w:rsidRDefault="00F873C7" w:rsidP="009A09B6">
      <w:pPr>
        <w:rPr>
          <w:sz w:val="24"/>
          <w:szCs w:val="24"/>
        </w:rPr>
      </w:pPr>
      <w:r>
        <w:rPr>
          <w:sz w:val="24"/>
          <w:szCs w:val="24"/>
        </w:rPr>
        <w:t xml:space="preserve">To focus upon the text itself </w:t>
      </w:r>
      <w:r w:rsidR="00B043EF">
        <w:rPr>
          <w:sz w:val="24"/>
          <w:szCs w:val="24"/>
        </w:rPr>
        <w:t>this essay will firstly discuss the text and ancestral religion. The text presents two primary instances, one in the military sphere and one in the medical religious sphere of where Eusebius presents Constantine’s ease to accept the Christian option over that of his traditional pagan option. For example, in the military sphere, Eusebius writes how Constantine</w:t>
      </w:r>
      <w:r w:rsidR="00662C30">
        <w:rPr>
          <w:sz w:val="24"/>
          <w:szCs w:val="24"/>
        </w:rPr>
        <w:t xml:space="preserve"> supervised his provinces “allotted to his father’s </w:t>
      </w:r>
      <w:r w:rsidR="00662C30">
        <w:rPr>
          <w:sz w:val="24"/>
          <w:szCs w:val="24"/>
        </w:rPr>
        <w:lastRenderedPageBreak/>
        <w:t>government” with loving care and “if any barbarian tribes… dared to rebel, he subdued them all and burned their savagery to gentleness”</w:t>
      </w:r>
      <w:r w:rsidR="00662C30">
        <w:rPr>
          <w:rStyle w:val="FootnoteReference"/>
          <w:sz w:val="24"/>
          <w:szCs w:val="24"/>
        </w:rPr>
        <w:footnoteReference w:id="29"/>
      </w:r>
      <w:r w:rsidR="00662C30">
        <w:rPr>
          <w:sz w:val="24"/>
          <w:szCs w:val="24"/>
        </w:rPr>
        <w:t xml:space="preserve"> </w:t>
      </w:r>
      <w:r w:rsidR="00B043EF">
        <w:rPr>
          <w:sz w:val="24"/>
          <w:szCs w:val="24"/>
        </w:rPr>
        <w:t xml:space="preserve"> </w:t>
      </w:r>
      <w:r w:rsidR="00662C30">
        <w:rPr>
          <w:sz w:val="24"/>
          <w:szCs w:val="24"/>
        </w:rPr>
        <w:t xml:space="preserve">and he </w:t>
      </w:r>
      <w:r w:rsidR="00B043EF">
        <w:rPr>
          <w:sz w:val="24"/>
          <w:szCs w:val="24"/>
        </w:rPr>
        <w:t xml:space="preserve">was content to meditate on the defeats of the barbarians as he had said he would </w:t>
      </w:r>
      <w:r w:rsidR="0044265F">
        <w:rPr>
          <w:sz w:val="24"/>
          <w:szCs w:val="24"/>
        </w:rPr>
        <w:t>“</w:t>
      </w:r>
      <w:r w:rsidR="00B043EF">
        <w:rPr>
          <w:sz w:val="24"/>
          <w:szCs w:val="24"/>
        </w:rPr>
        <w:t>need more than an army can supply because of the mischievous magical practises practised by the tyrant he sought a god to aid him”</w:t>
      </w:r>
      <w:r w:rsidR="00B043EF">
        <w:rPr>
          <w:rStyle w:val="FootnoteReference"/>
          <w:sz w:val="24"/>
          <w:szCs w:val="24"/>
        </w:rPr>
        <w:footnoteReference w:id="30"/>
      </w:r>
      <w:r w:rsidR="00B043EF">
        <w:rPr>
          <w:sz w:val="24"/>
          <w:szCs w:val="24"/>
        </w:rPr>
        <w:t xml:space="preserve">  which by turning to god and Christianity he found the aid he searched for</w:t>
      </w:r>
      <w:r w:rsidR="00B043EF">
        <w:rPr>
          <w:rStyle w:val="FootnoteReference"/>
          <w:sz w:val="24"/>
          <w:szCs w:val="24"/>
        </w:rPr>
        <w:footnoteReference w:id="31"/>
      </w:r>
      <w:r w:rsidR="00B043EF">
        <w:rPr>
          <w:sz w:val="24"/>
          <w:szCs w:val="24"/>
        </w:rPr>
        <w:t xml:space="preserve"> whereas traditional generals in warfare in the Roman empire would s</w:t>
      </w:r>
      <w:r w:rsidR="00662C30">
        <w:rPr>
          <w:sz w:val="24"/>
          <w:szCs w:val="24"/>
        </w:rPr>
        <w:t>acrifice</w:t>
      </w:r>
      <w:r w:rsidR="007760A4">
        <w:rPr>
          <w:rStyle w:val="FootnoteReference"/>
          <w:sz w:val="24"/>
          <w:szCs w:val="24"/>
        </w:rPr>
        <w:footnoteReference w:id="32"/>
      </w:r>
      <w:r w:rsidR="00662C30">
        <w:rPr>
          <w:sz w:val="24"/>
          <w:szCs w:val="24"/>
        </w:rPr>
        <w:t xml:space="preserve"> to Mars, god of War, to ensure the deities favour and win them victory on the battlefield. In the religious medical sphere, although there are issued with chronology of this account, Constantine was infected with leprosy and his pagan advisors suggested bathing in “blood of infants”</w:t>
      </w:r>
      <w:r w:rsidR="00662C30">
        <w:rPr>
          <w:rStyle w:val="FootnoteReference"/>
          <w:sz w:val="24"/>
          <w:szCs w:val="24"/>
        </w:rPr>
        <w:footnoteReference w:id="33"/>
      </w:r>
      <w:r w:rsidR="00662C30">
        <w:rPr>
          <w:sz w:val="24"/>
          <w:szCs w:val="24"/>
        </w:rPr>
        <w:t xml:space="preserve"> to which Constantine refuses and then has a dream of a symbol of Peter and Paul then after a week’s fasting and prayer he is baptized by Pope Sylvester and is cured</w:t>
      </w:r>
      <w:r w:rsidR="00662C30">
        <w:rPr>
          <w:rStyle w:val="FootnoteReference"/>
          <w:sz w:val="24"/>
          <w:szCs w:val="24"/>
        </w:rPr>
        <w:footnoteReference w:id="34"/>
      </w:r>
      <w:r w:rsidR="00662C30">
        <w:rPr>
          <w:sz w:val="24"/>
          <w:szCs w:val="24"/>
        </w:rPr>
        <w:t>. The issue with chronology here is that Sylvester didn’t become pope until 314AD which was later than it was recorded Constantine was afflicted</w:t>
      </w:r>
      <w:r w:rsidR="00662C30">
        <w:rPr>
          <w:rStyle w:val="FootnoteReference"/>
          <w:sz w:val="24"/>
          <w:szCs w:val="24"/>
        </w:rPr>
        <w:footnoteReference w:id="35"/>
      </w:r>
      <w:r w:rsidR="00662C30">
        <w:rPr>
          <w:sz w:val="24"/>
          <w:szCs w:val="24"/>
        </w:rPr>
        <w:t xml:space="preserve">.  </w:t>
      </w:r>
      <w:r w:rsidR="0044265F">
        <w:rPr>
          <w:sz w:val="24"/>
          <w:szCs w:val="24"/>
        </w:rPr>
        <w:t>The representation of ancestral religion in the text is that it was a lesser religion in the sense of that when paganism failed Constantine he turned to a Christian god who could ensure his victory and the survival of his empire</w:t>
      </w:r>
      <w:r w:rsidR="00573EE6">
        <w:rPr>
          <w:sz w:val="24"/>
          <w:szCs w:val="24"/>
        </w:rPr>
        <w:t xml:space="preserve"> and in some instances condemned their distasteful practises</w:t>
      </w:r>
      <w:r w:rsidR="0044265F">
        <w:rPr>
          <w:sz w:val="24"/>
          <w:szCs w:val="24"/>
        </w:rPr>
        <w:t>. However there are instances where the recordings of Eusebius does not match those of Constantine, for example in 312AD at the Battle of Milvian Bridge Constantine stated to have had a dream that instructed him to put the sign of Christ upon his soldiers shields which he did to the confusion of his soldiers but when they were victorious Constantine believed in the power of God and wished to be under the protection of the supreme deity</w:t>
      </w:r>
      <w:r w:rsidR="0044265F">
        <w:rPr>
          <w:rStyle w:val="FootnoteReference"/>
          <w:sz w:val="24"/>
          <w:szCs w:val="24"/>
        </w:rPr>
        <w:footnoteReference w:id="36"/>
      </w:r>
      <w:r w:rsidR="0044265F">
        <w:rPr>
          <w:sz w:val="24"/>
          <w:szCs w:val="24"/>
        </w:rPr>
        <w:t>.</w:t>
      </w:r>
      <w:r w:rsidR="007760A4">
        <w:rPr>
          <w:sz w:val="24"/>
          <w:szCs w:val="24"/>
        </w:rPr>
        <w:t xml:space="preserve"> As it was recorded in </w:t>
      </w:r>
      <w:r w:rsidR="007760A4">
        <w:rPr>
          <w:i/>
          <w:sz w:val="24"/>
          <w:szCs w:val="24"/>
        </w:rPr>
        <w:t xml:space="preserve">Life of </w:t>
      </w:r>
      <w:r w:rsidR="007760A4" w:rsidRPr="007760A4">
        <w:rPr>
          <w:i/>
          <w:sz w:val="24"/>
          <w:szCs w:val="24"/>
        </w:rPr>
        <w:t>Constantine</w:t>
      </w:r>
      <w:r w:rsidR="007760A4">
        <w:rPr>
          <w:sz w:val="24"/>
          <w:szCs w:val="24"/>
        </w:rPr>
        <w:t xml:space="preserve"> that “in battle, wherever the cross-shaped sign appeared, victorious events ensued”</w:t>
      </w:r>
      <w:r w:rsidR="007760A4">
        <w:rPr>
          <w:rStyle w:val="FootnoteReference"/>
          <w:sz w:val="24"/>
          <w:szCs w:val="24"/>
        </w:rPr>
        <w:footnoteReference w:id="37"/>
      </w:r>
      <w:r w:rsidR="007760A4">
        <w:rPr>
          <w:sz w:val="24"/>
          <w:szCs w:val="24"/>
        </w:rPr>
        <w:t xml:space="preserve"> and Eusebius also wrote how Licinius, an opponent of Constantine’s, urged his men not to engage the cross in battle</w:t>
      </w:r>
      <w:r w:rsidR="007760A4">
        <w:rPr>
          <w:rStyle w:val="FootnoteReference"/>
          <w:sz w:val="24"/>
          <w:szCs w:val="24"/>
        </w:rPr>
        <w:footnoteReference w:id="38"/>
      </w:r>
      <w:r w:rsidR="007760A4">
        <w:rPr>
          <w:sz w:val="24"/>
          <w:szCs w:val="24"/>
        </w:rPr>
        <w:t xml:space="preserve">. </w:t>
      </w:r>
      <w:r w:rsidR="0044265F" w:rsidRPr="007760A4">
        <w:rPr>
          <w:sz w:val="24"/>
          <w:szCs w:val="24"/>
        </w:rPr>
        <w:t>Eusebius</w:t>
      </w:r>
      <w:r w:rsidR="0044265F">
        <w:rPr>
          <w:sz w:val="24"/>
          <w:szCs w:val="24"/>
        </w:rPr>
        <w:t xml:space="preserve"> has a very different account. This suggests that not only is Eusebius potentially presenting propaganda to support Constantine’s conversion to Christianity he may also be doing it himself in order to justify his actions. </w:t>
      </w:r>
      <w:r w:rsidR="007760A4">
        <w:rPr>
          <w:sz w:val="24"/>
          <w:szCs w:val="24"/>
        </w:rPr>
        <w:t>Secondly, Constantine’s influence as an imperial figure in Roman religion meant that he strongly influences the tolerance of the empire to Christianity, leading to his ability to ban persecution of Christians leading to co-existence and then complete conversion to the Christian faith which has lasted to the modern day.</w:t>
      </w:r>
    </w:p>
    <w:p w:rsidR="007760A4" w:rsidRPr="00B839FF" w:rsidRDefault="007760A4" w:rsidP="009A09B6">
      <w:pPr>
        <w:rPr>
          <w:sz w:val="24"/>
          <w:szCs w:val="24"/>
        </w:rPr>
      </w:pPr>
      <w:r>
        <w:rPr>
          <w:sz w:val="24"/>
          <w:szCs w:val="24"/>
        </w:rPr>
        <w:t xml:space="preserve">In order to discuss the text and tolerance presented by Constantine and the wider empire it is important to look at Constantine’s actions as at one point “Constantine ended all </w:t>
      </w:r>
      <w:r>
        <w:rPr>
          <w:sz w:val="24"/>
          <w:szCs w:val="24"/>
        </w:rPr>
        <w:lastRenderedPageBreak/>
        <w:t>persecution in his territories and made way for tolerance”</w:t>
      </w:r>
      <w:r>
        <w:rPr>
          <w:rStyle w:val="FootnoteReference"/>
          <w:sz w:val="24"/>
          <w:szCs w:val="24"/>
        </w:rPr>
        <w:footnoteReference w:id="39"/>
      </w:r>
      <w:r>
        <w:rPr>
          <w:sz w:val="24"/>
          <w:szCs w:val="24"/>
        </w:rPr>
        <w:t xml:space="preserve"> while not ready to convert fully to the faith himself</w:t>
      </w:r>
      <w:r w:rsidR="00B72C45">
        <w:rPr>
          <w:sz w:val="24"/>
          <w:szCs w:val="24"/>
        </w:rPr>
        <w:t xml:space="preserve"> however between 325 and 327AD Constantine continued his support of the Christian church and in a letter of Eusebius of Caesarea he noted the number of Christian converts in Constantinople as well as</w:t>
      </w:r>
      <w:r w:rsidR="00B839FF">
        <w:rPr>
          <w:sz w:val="24"/>
          <w:szCs w:val="24"/>
        </w:rPr>
        <w:t xml:space="preserve"> actively supressing paganism in some specific instances while still going beyond “benevolent sponsorship of the Christian cause”</w:t>
      </w:r>
      <w:r w:rsidR="00B839FF">
        <w:rPr>
          <w:rStyle w:val="FootnoteReference"/>
          <w:sz w:val="24"/>
          <w:szCs w:val="24"/>
        </w:rPr>
        <w:footnoteReference w:id="40"/>
      </w:r>
      <w:r w:rsidR="00B839FF">
        <w:rPr>
          <w:sz w:val="24"/>
          <w:szCs w:val="24"/>
        </w:rPr>
        <w:t xml:space="preserve">, these instances being where he would construct a church of the holy Sepulchre at Jerusalem and the basilica at </w:t>
      </w:r>
      <w:proofErr w:type="spellStart"/>
      <w:r w:rsidR="00B839FF">
        <w:rPr>
          <w:sz w:val="24"/>
          <w:szCs w:val="24"/>
        </w:rPr>
        <w:t>Mamre</w:t>
      </w:r>
      <w:proofErr w:type="spellEnd"/>
      <w:r w:rsidR="00B839FF">
        <w:rPr>
          <w:sz w:val="24"/>
          <w:szCs w:val="24"/>
        </w:rPr>
        <w:t xml:space="preserve"> regardless of the fact that their construction required destruction of existing Pagan shrines. Suggesting that what began initially as equality and lack or persecution became a situation where the favourite religion of the emperor got priority. The text </w:t>
      </w:r>
      <w:r w:rsidR="00B839FF">
        <w:rPr>
          <w:i/>
          <w:sz w:val="24"/>
          <w:szCs w:val="24"/>
        </w:rPr>
        <w:t>Life of Constantine</w:t>
      </w:r>
      <w:r w:rsidR="00B839FF">
        <w:rPr>
          <w:sz w:val="24"/>
          <w:szCs w:val="24"/>
        </w:rPr>
        <w:t xml:space="preserve"> presents, as previously discussed, Paganism as a lesser religion than Christianity but Eusebius also presents it as evil in cases where Constantine has had to match prayer to pagan divination</w:t>
      </w:r>
      <w:r w:rsidR="00B839FF">
        <w:rPr>
          <w:rStyle w:val="FootnoteReference"/>
          <w:sz w:val="24"/>
          <w:szCs w:val="24"/>
        </w:rPr>
        <w:footnoteReference w:id="41"/>
      </w:r>
      <w:r w:rsidR="00B839FF">
        <w:rPr>
          <w:sz w:val="24"/>
          <w:szCs w:val="24"/>
        </w:rPr>
        <w:t xml:space="preserve"> and how he would promote officials within the ranks of his army either Pagan or Christian but if they followed the former faith he forbade them to sacrifice to their gods</w:t>
      </w:r>
      <w:r w:rsidR="00B839FF">
        <w:rPr>
          <w:rStyle w:val="FootnoteReference"/>
          <w:sz w:val="24"/>
          <w:szCs w:val="24"/>
        </w:rPr>
        <w:footnoteReference w:id="42"/>
      </w:r>
      <w:r w:rsidR="00B839FF">
        <w:rPr>
          <w:sz w:val="24"/>
          <w:szCs w:val="24"/>
        </w:rPr>
        <w:t xml:space="preserve"> and eventually ordered even non-Christian soldiers to pray on the Lords Days</w:t>
      </w:r>
      <w:r w:rsidR="00B839FF">
        <w:rPr>
          <w:rStyle w:val="FootnoteReference"/>
          <w:sz w:val="24"/>
          <w:szCs w:val="24"/>
        </w:rPr>
        <w:footnoteReference w:id="43"/>
      </w:r>
      <w:r w:rsidR="00B839FF">
        <w:rPr>
          <w:sz w:val="24"/>
          <w:szCs w:val="24"/>
        </w:rPr>
        <w:t xml:space="preserve">. These instances presented by Eusebius preach more tolerance than acceptance </w:t>
      </w:r>
      <w:r w:rsidR="00573EE6">
        <w:rPr>
          <w:sz w:val="24"/>
          <w:szCs w:val="24"/>
        </w:rPr>
        <w:t xml:space="preserve">on Constantine’s behalf </w:t>
      </w:r>
      <w:r w:rsidR="00B839FF">
        <w:rPr>
          <w:sz w:val="24"/>
          <w:szCs w:val="24"/>
        </w:rPr>
        <w:t>which is a small but crucial difference. Especially in the case of warfare where these soldiers would not be permitted to pray to their deities before potentially fighting until death.</w:t>
      </w:r>
    </w:p>
    <w:p w:rsidR="000A221D" w:rsidRDefault="00573EE6" w:rsidP="009A09B6">
      <w:pPr>
        <w:rPr>
          <w:sz w:val="24"/>
          <w:szCs w:val="24"/>
        </w:rPr>
      </w:pPr>
      <w:r>
        <w:rPr>
          <w:sz w:val="24"/>
          <w:szCs w:val="24"/>
        </w:rPr>
        <w:t xml:space="preserve">Finally this essay will address the text and its representation of conversion. Eusebius presents Constantine as a pious Emperor of Rome who finds enlightenment with the Christian faith however this contradicts modern historian’s representations. The presentation of Constantine in </w:t>
      </w:r>
      <w:r>
        <w:rPr>
          <w:i/>
          <w:sz w:val="24"/>
          <w:szCs w:val="24"/>
        </w:rPr>
        <w:t>Life of Constantine</w:t>
      </w:r>
      <w:r>
        <w:rPr>
          <w:sz w:val="24"/>
          <w:szCs w:val="24"/>
        </w:rPr>
        <w:t xml:space="preserve"> is that he took signs from God that led to victories for his empire and thus began to believe in the power of the Christian faith</w:t>
      </w:r>
      <w:r>
        <w:rPr>
          <w:rStyle w:val="FootnoteReference"/>
          <w:sz w:val="24"/>
          <w:szCs w:val="24"/>
        </w:rPr>
        <w:footnoteReference w:id="44"/>
      </w:r>
      <w:r>
        <w:rPr>
          <w:sz w:val="24"/>
          <w:szCs w:val="24"/>
        </w:rPr>
        <w:t>. Providing legitimate reasoning for why Constantine would turn his back on his ancestral religion. However, modern historians would argue that if he believed these signs were legitimate and would believe wholeheartedly in the power of God then he would have been baptized earlier that on his death bed. Potential re</w:t>
      </w:r>
      <w:r w:rsidR="005117C4">
        <w:rPr>
          <w:sz w:val="24"/>
          <w:szCs w:val="24"/>
        </w:rPr>
        <w:t>a</w:t>
      </w:r>
      <w:r>
        <w:rPr>
          <w:sz w:val="24"/>
          <w:szCs w:val="24"/>
        </w:rPr>
        <w:t xml:space="preserve">soning for this hesitation was that Constantine was not entirely convinced that the Christian God was superior to the Pagan Gods and by remaining unbaptized he could remain in the spiritual grey area of potentially converting while not </w:t>
      </w:r>
      <w:r w:rsidR="005117C4">
        <w:rPr>
          <w:sz w:val="24"/>
          <w:szCs w:val="24"/>
        </w:rPr>
        <w:t>committing</w:t>
      </w:r>
      <w:r>
        <w:rPr>
          <w:sz w:val="24"/>
          <w:szCs w:val="24"/>
        </w:rPr>
        <w:t xml:space="preserve">, with that logic one would assume that on his death bed, he had continually received signs from God and decided dying a baptized Christian was his wish or that he was still unsure and </w:t>
      </w:r>
      <w:r w:rsidR="005117C4">
        <w:rPr>
          <w:sz w:val="24"/>
          <w:szCs w:val="24"/>
        </w:rPr>
        <w:t xml:space="preserve">guessed. However drawing in Constantine’s actions as a leader in military matters it is a clearer path to follow in terms of key events that led to Constantine’s conversion, some have been touched upon by this essay, to summarise he began to raise the Christian faith from a missionary religion to one of equal standing and to </w:t>
      </w:r>
      <w:r w:rsidR="005117C4">
        <w:rPr>
          <w:sz w:val="24"/>
          <w:szCs w:val="24"/>
        </w:rPr>
        <w:lastRenderedPageBreak/>
        <w:t>Paganism and provided protection for the Church’s clergy</w:t>
      </w:r>
      <w:r w:rsidR="005117C4">
        <w:rPr>
          <w:rStyle w:val="FootnoteReference"/>
          <w:sz w:val="24"/>
          <w:szCs w:val="24"/>
        </w:rPr>
        <w:footnoteReference w:id="45"/>
      </w:r>
      <w:r w:rsidR="005117C4">
        <w:rPr>
          <w:sz w:val="24"/>
          <w:szCs w:val="24"/>
        </w:rPr>
        <w:t>, and noting that while Constantine got involved in the church affairs the church lost its independence but the empire didn’t change structurally, just its underlying ideologies</w:t>
      </w:r>
      <w:r w:rsidR="005117C4">
        <w:rPr>
          <w:rStyle w:val="FootnoteReference"/>
          <w:sz w:val="24"/>
          <w:szCs w:val="24"/>
        </w:rPr>
        <w:footnoteReference w:id="46"/>
      </w:r>
      <w:r w:rsidR="005117C4">
        <w:rPr>
          <w:sz w:val="24"/>
          <w:szCs w:val="24"/>
        </w:rPr>
        <w:t>. These ideologies solidified Christianity as a pillar faith of the Empire and set the ground work for a full conversion to monotheism in the Roman Empire.</w:t>
      </w:r>
    </w:p>
    <w:p w:rsidR="005117C4" w:rsidRDefault="005117C4" w:rsidP="005117C4">
      <w:pPr>
        <w:rPr>
          <w:sz w:val="24"/>
          <w:szCs w:val="24"/>
        </w:rPr>
      </w:pPr>
      <w:r>
        <w:rPr>
          <w:sz w:val="24"/>
          <w:szCs w:val="24"/>
        </w:rPr>
        <w:t xml:space="preserve">To conclude this essay, it has explored the how Eusebius’ </w:t>
      </w:r>
      <w:r>
        <w:rPr>
          <w:i/>
          <w:sz w:val="24"/>
          <w:szCs w:val="24"/>
        </w:rPr>
        <w:t>Life of Constantine</w:t>
      </w:r>
      <w:r>
        <w:rPr>
          <w:sz w:val="24"/>
          <w:szCs w:val="24"/>
        </w:rPr>
        <w:t xml:space="preserve"> acted as supporting propaganda. The key conclusions drawn from the research conducted suggest that the representation of important aspects of Constantine’s rule, effect on the conduct of the military for example, show the Christian led army to be superior in battle and this idea of superiority transcends into the medical and domestic fields also. The importance of the text is shown through the events that unfolded after the death of Constantine, in that the Roman Empire converted in most, if not all, of its entirety to monotheism</w:t>
      </w:r>
      <w:r w:rsidR="00E33D65">
        <w:rPr>
          <w:sz w:val="24"/>
          <w:szCs w:val="24"/>
        </w:rPr>
        <w:t xml:space="preserve"> suggesting the journey which Constantine made during his reign influenced the public more as he was an imperial religious figure within the empire as Emperor. Furthermore drawing upon the limitations of Eusebius as a historian as being lenient with the truth of proceedings could mean there are large parts of the story not covered for any of the reasons we had discussed earlier suggesting that he would be the best author to produce a work that praised Constantine as pious and a true believer and righteous convert to Christianity through true faith, creating a work that was a positive representation of his conversion and propaganda supporting Constantine as the first emperor to convert, thus supporting the wider conversion of the empire to monotheism.</w:t>
      </w:r>
    </w:p>
    <w:p w:rsidR="005117C4" w:rsidRPr="000A221D" w:rsidRDefault="005117C4" w:rsidP="005117C4">
      <w:pPr>
        <w:rPr>
          <w:b/>
          <w:sz w:val="24"/>
          <w:szCs w:val="24"/>
          <w:u w:val="single"/>
        </w:rPr>
      </w:pPr>
      <w:r>
        <w:rPr>
          <w:i/>
          <w:sz w:val="24"/>
          <w:szCs w:val="24"/>
        </w:rPr>
        <w:t xml:space="preserve"> </w:t>
      </w:r>
    </w:p>
    <w:p w:rsidR="005117C4" w:rsidRDefault="005117C4" w:rsidP="009A09B6">
      <w:pPr>
        <w:rPr>
          <w:sz w:val="24"/>
          <w:szCs w:val="24"/>
        </w:rPr>
      </w:pPr>
    </w:p>
    <w:p w:rsidR="000A221D" w:rsidRDefault="000A221D" w:rsidP="009A09B6">
      <w:pPr>
        <w:rPr>
          <w:sz w:val="24"/>
          <w:szCs w:val="24"/>
        </w:rPr>
      </w:pPr>
    </w:p>
    <w:p w:rsidR="000A221D" w:rsidRDefault="000A221D" w:rsidP="009A09B6">
      <w:pPr>
        <w:rPr>
          <w:sz w:val="24"/>
          <w:szCs w:val="24"/>
        </w:rPr>
      </w:pPr>
    </w:p>
    <w:p w:rsidR="000A221D" w:rsidRDefault="000A221D" w:rsidP="009A09B6">
      <w:pPr>
        <w:rPr>
          <w:sz w:val="24"/>
          <w:szCs w:val="24"/>
        </w:rPr>
      </w:pPr>
    </w:p>
    <w:p w:rsidR="00E33D65" w:rsidRDefault="00E33D65" w:rsidP="009A09B6">
      <w:pPr>
        <w:rPr>
          <w:sz w:val="24"/>
          <w:szCs w:val="24"/>
        </w:rPr>
      </w:pPr>
    </w:p>
    <w:p w:rsidR="00E33D65" w:rsidRDefault="00E33D65" w:rsidP="009A09B6">
      <w:pPr>
        <w:rPr>
          <w:sz w:val="24"/>
          <w:szCs w:val="24"/>
        </w:rPr>
      </w:pPr>
    </w:p>
    <w:p w:rsidR="00E33D65" w:rsidRDefault="00E33D65" w:rsidP="009A09B6">
      <w:pPr>
        <w:rPr>
          <w:sz w:val="24"/>
          <w:szCs w:val="24"/>
        </w:rPr>
      </w:pPr>
    </w:p>
    <w:p w:rsidR="00E33D65" w:rsidRDefault="00E33D65" w:rsidP="009A09B6">
      <w:pPr>
        <w:rPr>
          <w:sz w:val="24"/>
          <w:szCs w:val="24"/>
        </w:rPr>
      </w:pPr>
    </w:p>
    <w:p w:rsidR="00E33D65" w:rsidRDefault="00E33D65" w:rsidP="009A09B6">
      <w:pPr>
        <w:rPr>
          <w:sz w:val="24"/>
          <w:szCs w:val="24"/>
        </w:rPr>
      </w:pPr>
    </w:p>
    <w:p w:rsidR="00E33D65" w:rsidRDefault="00E33D65" w:rsidP="009A09B6">
      <w:pPr>
        <w:rPr>
          <w:sz w:val="24"/>
          <w:szCs w:val="24"/>
        </w:rPr>
      </w:pPr>
    </w:p>
    <w:p w:rsidR="000A221D" w:rsidRPr="000A221D" w:rsidRDefault="000A221D" w:rsidP="009A09B6">
      <w:pPr>
        <w:rPr>
          <w:sz w:val="24"/>
          <w:szCs w:val="24"/>
        </w:rPr>
      </w:pPr>
      <w:r>
        <w:rPr>
          <w:b/>
          <w:sz w:val="24"/>
          <w:szCs w:val="24"/>
          <w:u w:val="single"/>
        </w:rPr>
        <w:lastRenderedPageBreak/>
        <w:t>Bibliography:</w:t>
      </w:r>
    </w:p>
    <w:p w:rsidR="000A221D" w:rsidRPr="000A221D" w:rsidRDefault="000A221D" w:rsidP="000A221D">
      <w:pPr>
        <w:shd w:val="clear" w:color="auto" w:fill="FFFFFF"/>
        <w:spacing w:after="150" w:line="240" w:lineRule="auto"/>
        <w:rPr>
          <w:rFonts w:eastAsia="Times New Roman" w:cs="Arial"/>
          <w:color w:val="000000"/>
          <w:sz w:val="24"/>
          <w:szCs w:val="24"/>
          <w:lang w:val="en" w:eastAsia="en-GB"/>
        </w:rPr>
      </w:pPr>
      <w:proofErr w:type="spellStart"/>
      <w:r w:rsidRPr="000A221D">
        <w:rPr>
          <w:rFonts w:eastAsia="Times New Roman" w:cs="Arial"/>
          <w:color w:val="000000"/>
          <w:sz w:val="24"/>
          <w:szCs w:val="24"/>
          <w:lang w:val="en" w:eastAsia="en-GB"/>
        </w:rPr>
        <w:t>Bowder</w:t>
      </w:r>
      <w:proofErr w:type="spellEnd"/>
      <w:r w:rsidRPr="000A221D">
        <w:rPr>
          <w:rFonts w:eastAsia="Times New Roman" w:cs="Arial"/>
          <w:color w:val="000000"/>
          <w:sz w:val="24"/>
          <w:szCs w:val="24"/>
          <w:lang w:val="en" w:eastAsia="en-GB"/>
        </w:rPr>
        <w:t xml:space="preserve">, D. (1978). </w:t>
      </w:r>
      <w:proofErr w:type="gramStart"/>
      <w:r w:rsidRPr="000A221D">
        <w:rPr>
          <w:rFonts w:eastAsia="Times New Roman" w:cs="Arial"/>
          <w:i/>
          <w:iCs/>
          <w:color w:val="000000"/>
          <w:sz w:val="24"/>
          <w:szCs w:val="24"/>
          <w:lang w:val="en" w:eastAsia="en-GB"/>
        </w:rPr>
        <w:t>The Age of Constantine and Julian</w:t>
      </w:r>
      <w:r w:rsidRPr="000A221D">
        <w:rPr>
          <w:rFonts w:eastAsia="Times New Roman" w:cs="Arial"/>
          <w:color w:val="000000"/>
          <w:sz w:val="24"/>
          <w:szCs w:val="24"/>
          <w:lang w:val="en" w:eastAsia="en-GB"/>
        </w:rPr>
        <w:t>.</w:t>
      </w:r>
      <w:proofErr w:type="gramEnd"/>
      <w:r w:rsidRPr="000A221D">
        <w:rPr>
          <w:rFonts w:eastAsia="Times New Roman" w:cs="Arial"/>
          <w:color w:val="000000"/>
          <w:sz w:val="24"/>
          <w:szCs w:val="24"/>
          <w:lang w:val="en" w:eastAsia="en-GB"/>
        </w:rPr>
        <w:t xml:space="preserve"> London: P. </w:t>
      </w:r>
      <w:proofErr w:type="spellStart"/>
      <w:r w:rsidRPr="000A221D">
        <w:rPr>
          <w:rFonts w:eastAsia="Times New Roman" w:cs="Arial"/>
          <w:color w:val="000000"/>
          <w:sz w:val="24"/>
          <w:szCs w:val="24"/>
          <w:lang w:val="en" w:eastAsia="en-GB"/>
        </w:rPr>
        <w:t>Elek</w:t>
      </w:r>
      <w:proofErr w:type="spellEnd"/>
      <w:r w:rsidRPr="000A221D">
        <w:rPr>
          <w:rFonts w:eastAsia="Times New Roman" w:cs="Arial"/>
          <w:color w:val="000000"/>
          <w:sz w:val="24"/>
          <w:szCs w:val="24"/>
          <w:lang w:val="en" w:eastAsia="en-GB"/>
        </w:rPr>
        <w:t>.</w:t>
      </w:r>
    </w:p>
    <w:p w:rsidR="000A221D" w:rsidRPr="000A221D" w:rsidRDefault="000A221D" w:rsidP="000A221D">
      <w:pPr>
        <w:shd w:val="clear" w:color="auto" w:fill="FFFFFF"/>
        <w:spacing w:after="150" w:line="240" w:lineRule="auto"/>
        <w:rPr>
          <w:rFonts w:eastAsia="Times New Roman" w:cs="Arial"/>
          <w:color w:val="000000"/>
          <w:sz w:val="24"/>
          <w:szCs w:val="24"/>
          <w:lang w:val="en" w:eastAsia="en-GB"/>
        </w:rPr>
      </w:pPr>
      <w:r w:rsidRPr="000A221D">
        <w:rPr>
          <w:rFonts w:eastAsia="Times New Roman" w:cs="Arial"/>
          <w:color w:val="000000"/>
          <w:sz w:val="24"/>
          <w:szCs w:val="24"/>
          <w:lang w:val="en" w:eastAsia="en-GB"/>
        </w:rPr>
        <w:t xml:space="preserve">Cameron, A., Eusebius. </w:t>
      </w:r>
      <w:proofErr w:type="gramStart"/>
      <w:r w:rsidRPr="000A221D">
        <w:rPr>
          <w:rFonts w:eastAsia="Times New Roman" w:cs="Arial"/>
          <w:color w:val="000000"/>
          <w:sz w:val="24"/>
          <w:szCs w:val="24"/>
          <w:lang w:val="en" w:eastAsia="en-GB"/>
        </w:rPr>
        <w:t>and</w:t>
      </w:r>
      <w:proofErr w:type="gramEnd"/>
      <w:r w:rsidRPr="000A221D">
        <w:rPr>
          <w:rFonts w:eastAsia="Times New Roman" w:cs="Arial"/>
          <w:color w:val="000000"/>
          <w:sz w:val="24"/>
          <w:szCs w:val="24"/>
          <w:lang w:val="en" w:eastAsia="en-GB"/>
        </w:rPr>
        <w:t xml:space="preserve"> Hall, S. (2002). </w:t>
      </w:r>
      <w:proofErr w:type="gramStart"/>
      <w:r w:rsidRPr="000A221D">
        <w:rPr>
          <w:rFonts w:eastAsia="Times New Roman" w:cs="Arial"/>
          <w:i/>
          <w:iCs/>
          <w:color w:val="000000"/>
          <w:sz w:val="24"/>
          <w:szCs w:val="24"/>
          <w:lang w:val="en" w:eastAsia="en-GB"/>
        </w:rPr>
        <w:t>Life of Constantine</w:t>
      </w:r>
      <w:r w:rsidRPr="000A221D">
        <w:rPr>
          <w:rFonts w:eastAsia="Times New Roman" w:cs="Arial"/>
          <w:color w:val="000000"/>
          <w:sz w:val="24"/>
          <w:szCs w:val="24"/>
          <w:lang w:val="en" w:eastAsia="en-GB"/>
        </w:rPr>
        <w:t>.</w:t>
      </w:r>
      <w:proofErr w:type="gramEnd"/>
      <w:r w:rsidRPr="000A221D">
        <w:rPr>
          <w:rFonts w:eastAsia="Times New Roman" w:cs="Arial"/>
          <w:color w:val="000000"/>
          <w:sz w:val="24"/>
          <w:szCs w:val="24"/>
          <w:lang w:val="en" w:eastAsia="en-GB"/>
        </w:rPr>
        <w:t xml:space="preserve"> Oxford [</w:t>
      </w:r>
      <w:proofErr w:type="spellStart"/>
      <w:r w:rsidRPr="000A221D">
        <w:rPr>
          <w:rFonts w:eastAsia="Times New Roman" w:cs="Arial"/>
          <w:color w:val="000000"/>
          <w:sz w:val="24"/>
          <w:szCs w:val="24"/>
          <w:lang w:val="en" w:eastAsia="en-GB"/>
        </w:rPr>
        <w:t>u.a</w:t>
      </w:r>
      <w:proofErr w:type="spellEnd"/>
      <w:r w:rsidRPr="000A221D">
        <w:rPr>
          <w:rFonts w:eastAsia="Times New Roman" w:cs="Arial"/>
          <w:color w:val="000000"/>
          <w:sz w:val="24"/>
          <w:szCs w:val="24"/>
          <w:lang w:val="en" w:eastAsia="en-GB"/>
        </w:rPr>
        <w:t>.]: Clarendon Press.</w:t>
      </w:r>
    </w:p>
    <w:p w:rsidR="000A221D" w:rsidRPr="000A221D" w:rsidRDefault="000A221D" w:rsidP="000A221D">
      <w:pPr>
        <w:shd w:val="clear" w:color="auto" w:fill="FFFFFF"/>
        <w:spacing w:after="150" w:line="240" w:lineRule="auto"/>
        <w:rPr>
          <w:rFonts w:eastAsia="Times New Roman" w:cs="Arial"/>
          <w:color w:val="000000"/>
          <w:sz w:val="24"/>
          <w:szCs w:val="24"/>
          <w:lang w:val="en" w:eastAsia="en-GB"/>
        </w:rPr>
      </w:pPr>
      <w:r w:rsidRPr="000A221D">
        <w:rPr>
          <w:rFonts w:eastAsia="Times New Roman" w:cs="Arial"/>
          <w:color w:val="000000"/>
          <w:sz w:val="24"/>
          <w:szCs w:val="24"/>
          <w:lang w:val="en" w:eastAsia="en-GB"/>
        </w:rPr>
        <w:t xml:space="preserve">Grant, R. (1980). </w:t>
      </w:r>
      <w:proofErr w:type="gramStart"/>
      <w:r w:rsidRPr="000A221D">
        <w:rPr>
          <w:rFonts w:eastAsia="Times New Roman" w:cs="Arial"/>
          <w:i/>
          <w:iCs/>
          <w:color w:val="000000"/>
          <w:sz w:val="24"/>
          <w:szCs w:val="24"/>
          <w:lang w:val="en" w:eastAsia="en-GB"/>
        </w:rPr>
        <w:t>Eusebius as church historian</w:t>
      </w:r>
      <w:r w:rsidRPr="000A221D">
        <w:rPr>
          <w:rFonts w:eastAsia="Times New Roman" w:cs="Arial"/>
          <w:color w:val="000000"/>
          <w:sz w:val="24"/>
          <w:szCs w:val="24"/>
          <w:lang w:val="en" w:eastAsia="en-GB"/>
        </w:rPr>
        <w:t>.</w:t>
      </w:r>
      <w:proofErr w:type="gramEnd"/>
      <w:r w:rsidRPr="000A221D">
        <w:rPr>
          <w:rFonts w:eastAsia="Times New Roman" w:cs="Arial"/>
          <w:color w:val="000000"/>
          <w:sz w:val="24"/>
          <w:szCs w:val="24"/>
          <w:lang w:val="en" w:eastAsia="en-GB"/>
        </w:rPr>
        <w:t xml:space="preserve"> Oxford: Clarendon Press.</w:t>
      </w:r>
    </w:p>
    <w:p w:rsidR="000A221D" w:rsidRPr="000A221D" w:rsidRDefault="000A221D" w:rsidP="000A221D">
      <w:pPr>
        <w:shd w:val="clear" w:color="auto" w:fill="FFFFFF"/>
        <w:spacing w:after="150" w:line="240" w:lineRule="auto"/>
        <w:rPr>
          <w:rFonts w:eastAsia="Times New Roman" w:cs="Arial"/>
          <w:color w:val="000000"/>
          <w:sz w:val="24"/>
          <w:szCs w:val="24"/>
          <w:lang w:val="en" w:eastAsia="en-GB"/>
        </w:rPr>
      </w:pPr>
      <w:proofErr w:type="spellStart"/>
      <w:r w:rsidRPr="000A221D">
        <w:rPr>
          <w:rFonts w:eastAsia="Times New Roman" w:cs="Arial"/>
          <w:color w:val="000000"/>
          <w:sz w:val="24"/>
          <w:szCs w:val="24"/>
          <w:lang w:val="en" w:eastAsia="en-GB"/>
        </w:rPr>
        <w:t>Pohlsander</w:t>
      </w:r>
      <w:proofErr w:type="spellEnd"/>
      <w:r w:rsidRPr="000A221D">
        <w:rPr>
          <w:rFonts w:eastAsia="Times New Roman" w:cs="Arial"/>
          <w:color w:val="000000"/>
          <w:sz w:val="24"/>
          <w:szCs w:val="24"/>
          <w:lang w:val="en" w:eastAsia="en-GB"/>
        </w:rPr>
        <w:t xml:space="preserve">, H. (1996). </w:t>
      </w:r>
      <w:proofErr w:type="gramStart"/>
      <w:r w:rsidRPr="000A221D">
        <w:rPr>
          <w:rFonts w:eastAsia="Times New Roman" w:cs="Arial"/>
          <w:i/>
          <w:iCs/>
          <w:color w:val="000000"/>
          <w:sz w:val="24"/>
          <w:szCs w:val="24"/>
          <w:lang w:val="en" w:eastAsia="en-GB"/>
        </w:rPr>
        <w:t>The emperor Constantine</w:t>
      </w:r>
      <w:r w:rsidRPr="000A221D">
        <w:rPr>
          <w:rFonts w:eastAsia="Times New Roman" w:cs="Arial"/>
          <w:color w:val="000000"/>
          <w:sz w:val="24"/>
          <w:szCs w:val="24"/>
          <w:lang w:val="en" w:eastAsia="en-GB"/>
        </w:rPr>
        <w:t>.</w:t>
      </w:r>
      <w:proofErr w:type="gramEnd"/>
      <w:r w:rsidRPr="000A221D">
        <w:rPr>
          <w:rFonts w:eastAsia="Times New Roman" w:cs="Arial"/>
          <w:color w:val="000000"/>
          <w:sz w:val="24"/>
          <w:szCs w:val="24"/>
          <w:lang w:val="en" w:eastAsia="en-GB"/>
        </w:rPr>
        <w:t xml:space="preserve"> London: Routledge.</w:t>
      </w:r>
    </w:p>
    <w:p w:rsidR="000A221D" w:rsidRPr="000A221D" w:rsidRDefault="000A221D" w:rsidP="000A221D">
      <w:pPr>
        <w:shd w:val="clear" w:color="auto" w:fill="FFFFFF"/>
        <w:spacing w:after="150" w:line="240" w:lineRule="auto"/>
        <w:rPr>
          <w:rFonts w:eastAsia="Times New Roman" w:cs="Arial"/>
          <w:color w:val="000000"/>
          <w:sz w:val="24"/>
          <w:szCs w:val="24"/>
          <w:lang w:val="en" w:eastAsia="en-GB"/>
        </w:rPr>
      </w:pPr>
      <w:proofErr w:type="gramStart"/>
      <w:r w:rsidRPr="000A221D">
        <w:rPr>
          <w:rFonts w:eastAsia="Times New Roman" w:cs="Arial"/>
          <w:color w:val="000000"/>
          <w:sz w:val="24"/>
          <w:szCs w:val="24"/>
          <w:lang w:val="en" w:eastAsia="en-GB"/>
        </w:rPr>
        <w:t>Rives, J. (2007).</w:t>
      </w:r>
      <w:proofErr w:type="gramEnd"/>
      <w:r w:rsidRPr="000A221D">
        <w:rPr>
          <w:rFonts w:eastAsia="Times New Roman" w:cs="Arial"/>
          <w:color w:val="000000"/>
          <w:sz w:val="24"/>
          <w:szCs w:val="24"/>
          <w:lang w:val="en" w:eastAsia="en-GB"/>
        </w:rPr>
        <w:t xml:space="preserve"> </w:t>
      </w:r>
      <w:proofErr w:type="gramStart"/>
      <w:r w:rsidRPr="000A221D">
        <w:rPr>
          <w:rFonts w:eastAsia="Times New Roman" w:cs="Arial"/>
          <w:i/>
          <w:iCs/>
          <w:color w:val="000000"/>
          <w:sz w:val="24"/>
          <w:szCs w:val="24"/>
          <w:lang w:val="en" w:eastAsia="en-GB"/>
        </w:rPr>
        <w:t>Religion in the Roman Empire</w:t>
      </w:r>
      <w:r w:rsidRPr="000A221D">
        <w:rPr>
          <w:rFonts w:eastAsia="Times New Roman" w:cs="Arial"/>
          <w:color w:val="000000"/>
          <w:sz w:val="24"/>
          <w:szCs w:val="24"/>
          <w:lang w:val="en" w:eastAsia="en-GB"/>
        </w:rPr>
        <w:t>.</w:t>
      </w:r>
      <w:proofErr w:type="gramEnd"/>
      <w:r w:rsidRPr="000A221D">
        <w:rPr>
          <w:rFonts w:eastAsia="Times New Roman" w:cs="Arial"/>
          <w:color w:val="000000"/>
          <w:sz w:val="24"/>
          <w:szCs w:val="24"/>
          <w:lang w:val="en" w:eastAsia="en-GB"/>
        </w:rPr>
        <w:t xml:space="preserve"> Malden, Mass.: Blackwell.</w:t>
      </w:r>
    </w:p>
    <w:p w:rsidR="000A221D" w:rsidRPr="000A221D" w:rsidRDefault="000A221D" w:rsidP="000A221D">
      <w:pPr>
        <w:shd w:val="clear" w:color="auto" w:fill="FFFFFF"/>
        <w:spacing w:after="150" w:line="240" w:lineRule="auto"/>
        <w:rPr>
          <w:rFonts w:eastAsia="Times New Roman" w:cs="Arial"/>
          <w:color w:val="000000"/>
          <w:sz w:val="24"/>
          <w:szCs w:val="24"/>
          <w:lang w:val="en" w:eastAsia="en-GB"/>
        </w:rPr>
      </w:pPr>
      <w:r w:rsidRPr="000A221D">
        <w:rPr>
          <w:rFonts w:eastAsia="Times New Roman" w:cs="Arial"/>
          <w:color w:val="000000"/>
          <w:sz w:val="24"/>
          <w:szCs w:val="24"/>
          <w:lang w:val="en" w:eastAsia="en-GB"/>
        </w:rPr>
        <w:t xml:space="preserve">Stoneman, R. (1987). </w:t>
      </w:r>
      <w:proofErr w:type="gramStart"/>
      <w:r w:rsidRPr="000A221D">
        <w:rPr>
          <w:rFonts w:eastAsia="Times New Roman" w:cs="Arial"/>
          <w:i/>
          <w:iCs/>
          <w:color w:val="000000"/>
          <w:sz w:val="24"/>
          <w:szCs w:val="24"/>
          <w:lang w:val="en" w:eastAsia="en-GB"/>
        </w:rPr>
        <w:t>Land of lost Gods</w:t>
      </w:r>
      <w:r w:rsidRPr="000A221D">
        <w:rPr>
          <w:rFonts w:eastAsia="Times New Roman" w:cs="Arial"/>
          <w:color w:val="000000"/>
          <w:sz w:val="24"/>
          <w:szCs w:val="24"/>
          <w:lang w:val="en" w:eastAsia="en-GB"/>
        </w:rPr>
        <w:t>.</w:t>
      </w:r>
      <w:proofErr w:type="gramEnd"/>
      <w:r w:rsidRPr="000A221D">
        <w:rPr>
          <w:rFonts w:eastAsia="Times New Roman" w:cs="Arial"/>
          <w:color w:val="000000"/>
          <w:sz w:val="24"/>
          <w:szCs w:val="24"/>
          <w:lang w:val="en" w:eastAsia="en-GB"/>
        </w:rPr>
        <w:t xml:space="preserve"> London [etc.]: Hutchinson.</w:t>
      </w:r>
    </w:p>
    <w:p w:rsidR="000A221D" w:rsidRPr="000A221D" w:rsidRDefault="000A221D" w:rsidP="000A221D">
      <w:pPr>
        <w:shd w:val="clear" w:color="auto" w:fill="FFFFFF"/>
        <w:spacing w:after="150" w:line="240" w:lineRule="auto"/>
        <w:rPr>
          <w:rFonts w:eastAsia="Times New Roman" w:cs="Arial"/>
          <w:color w:val="000000"/>
          <w:sz w:val="24"/>
          <w:szCs w:val="24"/>
          <w:lang w:val="en" w:eastAsia="en-GB"/>
        </w:rPr>
      </w:pPr>
      <w:proofErr w:type="spellStart"/>
      <w:r w:rsidRPr="000A221D">
        <w:rPr>
          <w:rFonts w:eastAsia="Times New Roman" w:cs="Arial"/>
          <w:color w:val="000000"/>
          <w:sz w:val="24"/>
          <w:szCs w:val="24"/>
          <w:lang w:val="en" w:eastAsia="en-GB"/>
        </w:rPr>
        <w:t>Stuckenbruck</w:t>
      </w:r>
      <w:proofErr w:type="spellEnd"/>
      <w:r w:rsidRPr="000A221D">
        <w:rPr>
          <w:rFonts w:eastAsia="Times New Roman" w:cs="Arial"/>
          <w:color w:val="000000"/>
          <w:sz w:val="24"/>
          <w:szCs w:val="24"/>
          <w:lang w:val="en" w:eastAsia="en-GB"/>
        </w:rPr>
        <w:t xml:space="preserve">, L. (2004). </w:t>
      </w:r>
      <w:proofErr w:type="gramStart"/>
      <w:r w:rsidRPr="000A221D">
        <w:rPr>
          <w:rFonts w:eastAsia="Times New Roman" w:cs="Arial"/>
          <w:i/>
          <w:iCs/>
          <w:color w:val="000000"/>
          <w:sz w:val="24"/>
          <w:szCs w:val="24"/>
          <w:lang w:val="en" w:eastAsia="en-GB"/>
        </w:rPr>
        <w:t>Early Jewish and Christian monotheism</w:t>
      </w:r>
      <w:r w:rsidRPr="000A221D">
        <w:rPr>
          <w:rFonts w:eastAsia="Times New Roman" w:cs="Arial"/>
          <w:color w:val="000000"/>
          <w:sz w:val="24"/>
          <w:szCs w:val="24"/>
          <w:lang w:val="en" w:eastAsia="en-GB"/>
        </w:rPr>
        <w:t>.</w:t>
      </w:r>
      <w:proofErr w:type="gramEnd"/>
      <w:r w:rsidRPr="000A221D">
        <w:rPr>
          <w:rFonts w:eastAsia="Times New Roman" w:cs="Arial"/>
          <w:color w:val="000000"/>
          <w:sz w:val="24"/>
          <w:szCs w:val="24"/>
          <w:lang w:val="en" w:eastAsia="en-GB"/>
        </w:rPr>
        <w:t xml:space="preserve"> London [</w:t>
      </w:r>
      <w:proofErr w:type="spellStart"/>
      <w:r w:rsidRPr="000A221D">
        <w:rPr>
          <w:rFonts w:eastAsia="Times New Roman" w:cs="Arial"/>
          <w:color w:val="000000"/>
          <w:sz w:val="24"/>
          <w:szCs w:val="24"/>
          <w:lang w:val="en" w:eastAsia="en-GB"/>
        </w:rPr>
        <w:t>u.a</w:t>
      </w:r>
      <w:proofErr w:type="spellEnd"/>
      <w:r w:rsidRPr="000A221D">
        <w:rPr>
          <w:rFonts w:eastAsia="Times New Roman" w:cs="Arial"/>
          <w:color w:val="000000"/>
          <w:sz w:val="24"/>
          <w:szCs w:val="24"/>
          <w:lang w:val="en" w:eastAsia="en-GB"/>
        </w:rPr>
        <w:t>.]: Clark.</w:t>
      </w:r>
    </w:p>
    <w:p w:rsidR="000A221D" w:rsidRPr="000A221D" w:rsidRDefault="000A221D" w:rsidP="000A221D">
      <w:pPr>
        <w:shd w:val="clear" w:color="auto" w:fill="FFFFFF"/>
        <w:spacing w:line="240" w:lineRule="auto"/>
        <w:rPr>
          <w:rFonts w:eastAsia="Times New Roman" w:cs="Arial"/>
          <w:color w:val="000000"/>
          <w:sz w:val="24"/>
          <w:szCs w:val="24"/>
          <w:lang w:val="en" w:eastAsia="en-GB"/>
        </w:rPr>
      </w:pPr>
      <w:proofErr w:type="gramStart"/>
      <w:r w:rsidRPr="000A221D">
        <w:rPr>
          <w:rFonts w:eastAsia="Times New Roman" w:cs="Arial"/>
          <w:color w:val="000000"/>
          <w:sz w:val="24"/>
          <w:szCs w:val="24"/>
          <w:lang w:val="en" w:eastAsia="en-GB"/>
        </w:rPr>
        <w:t xml:space="preserve">Vernon </w:t>
      </w:r>
      <w:proofErr w:type="spellStart"/>
      <w:r w:rsidRPr="000A221D">
        <w:rPr>
          <w:rFonts w:eastAsia="Times New Roman" w:cs="Arial"/>
          <w:color w:val="000000"/>
          <w:sz w:val="24"/>
          <w:szCs w:val="24"/>
          <w:lang w:val="en" w:eastAsia="en-GB"/>
        </w:rPr>
        <w:t>Bartlet</w:t>
      </w:r>
      <w:proofErr w:type="spellEnd"/>
      <w:r w:rsidRPr="000A221D">
        <w:rPr>
          <w:rFonts w:eastAsia="Times New Roman" w:cs="Arial"/>
          <w:color w:val="000000"/>
          <w:sz w:val="24"/>
          <w:szCs w:val="24"/>
          <w:lang w:val="en" w:eastAsia="en-GB"/>
        </w:rPr>
        <w:t>, j. and Carlyle, A. (1917).</w:t>
      </w:r>
      <w:proofErr w:type="gramEnd"/>
      <w:r w:rsidRPr="000A221D">
        <w:rPr>
          <w:rFonts w:eastAsia="Times New Roman" w:cs="Arial"/>
          <w:color w:val="000000"/>
          <w:sz w:val="24"/>
          <w:szCs w:val="24"/>
          <w:lang w:val="en" w:eastAsia="en-GB"/>
        </w:rPr>
        <w:t xml:space="preserve"> </w:t>
      </w:r>
      <w:proofErr w:type="gramStart"/>
      <w:r w:rsidRPr="000A221D">
        <w:rPr>
          <w:rFonts w:eastAsia="Times New Roman" w:cs="Arial"/>
          <w:i/>
          <w:iCs/>
          <w:color w:val="000000"/>
          <w:sz w:val="24"/>
          <w:szCs w:val="24"/>
          <w:lang w:val="en" w:eastAsia="en-GB"/>
        </w:rPr>
        <w:t>Christianity in History</w:t>
      </w:r>
      <w:r w:rsidRPr="000A221D">
        <w:rPr>
          <w:rFonts w:eastAsia="Times New Roman" w:cs="Arial"/>
          <w:color w:val="000000"/>
          <w:sz w:val="24"/>
          <w:szCs w:val="24"/>
          <w:lang w:val="en" w:eastAsia="en-GB"/>
        </w:rPr>
        <w:t>.</w:t>
      </w:r>
      <w:proofErr w:type="gramEnd"/>
      <w:r w:rsidRPr="000A221D">
        <w:rPr>
          <w:rFonts w:eastAsia="Times New Roman" w:cs="Arial"/>
          <w:color w:val="000000"/>
          <w:sz w:val="24"/>
          <w:szCs w:val="24"/>
          <w:lang w:val="en" w:eastAsia="en-GB"/>
        </w:rPr>
        <w:t xml:space="preserve"> London: Macmillan &amp; Co.</w:t>
      </w:r>
    </w:p>
    <w:p w:rsidR="00416474" w:rsidRPr="000A221D" w:rsidRDefault="00416474" w:rsidP="009A09B6">
      <w:pPr>
        <w:rPr>
          <w:sz w:val="24"/>
          <w:szCs w:val="24"/>
        </w:rPr>
      </w:pPr>
    </w:p>
    <w:sectPr w:rsidR="00416474" w:rsidRPr="000A22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2744" w:rsidRDefault="00ED2744" w:rsidP="009A09B6">
      <w:pPr>
        <w:spacing w:after="0" w:line="240" w:lineRule="auto"/>
      </w:pPr>
      <w:r>
        <w:separator/>
      </w:r>
    </w:p>
  </w:endnote>
  <w:endnote w:type="continuationSeparator" w:id="0">
    <w:p w:rsidR="00ED2744" w:rsidRDefault="00ED2744" w:rsidP="009A0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2744" w:rsidRDefault="00ED2744" w:rsidP="009A09B6">
      <w:pPr>
        <w:spacing w:after="0" w:line="240" w:lineRule="auto"/>
      </w:pPr>
      <w:r>
        <w:separator/>
      </w:r>
    </w:p>
  </w:footnote>
  <w:footnote w:type="continuationSeparator" w:id="0">
    <w:p w:rsidR="00ED2744" w:rsidRDefault="00ED2744" w:rsidP="009A09B6">
      <w:pPr>
        <w:spacing w:after="0" w:line="240" w:lineRule="auto"/>
      </w:pPr>
      <w:r>
        <w:continuationSeparator/>
      </w:r>
    </w:p>
  </w:footnote>
  <w:footnote w:id="1">
    <w:p w:rsidR="009A09B6" w:rsidRDefault="009A09B6">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2">
    <w:p w:rsidR="009A09B6" w:rsidRDefault="009A09B6">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3">
    <w:p w:rsidR="00991553" w:rsidRDefault="00991553">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4">
    <w:p w:rsidR="00991553" w:rsidRDefault="00991553">
      <w:pPr>
        <w:pStyle w:val="FootnoteText"/>
      </w:pPr>
      <w:r>
        <w:rPr>
          <w:rStyle w:val="FootnoteReference"/>
        </w:rPr>
        <w:footnoteRef/>
      </w:r>
      <w:r>
        <w:t xml:space="preserve"> </w:t>
      </w:r>
      <w:r w:rsidR="00E33D65">
        <w:t>(Grant, 1980)</w:t>
      </w:r>
    </w:p>
  </w:footnote>
  <w:footnote w:id="5">
    <w:p w:rsidR="00991553" w:rsidRDefault="00991553">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6">
    <w:p w:rsidR="003B3B33" w:rsidRDefault="003B3B33">
      <w:pPr>
        <w:pStyle w:val="FootnoteText"/>
      </w:pPr>
      <w:r>
        <w:rPr>
          <w:rStyle w:val="FootnoteReference"/>
        </w:rPr>
        <w:footnoteRef/>
      </w:r>
      <w:r>
        <w:t xml:space="preserve"> </w:t>
      </w:r>
      <w:r w:rsidR="001B1734">
        <w:rPr>
          <w:rStyle w:val="selectable"/>
          <w:rFonts w:ascii="Open Sans" w:hAnsi="Open Sans" w:cs="Arial"/>
          <w:color w:val="000000"/>
          <w:lang w:val="en"/>
        </w:rPr>
        <w:t>(</w:t>
      </w:r>
      <w:proofErr w:type="spellStart"/>
      <w:r w:rsidR="001B1734">
        <w:rPr>
          <w:rStyle w:val="selectable"/>
          <w:rFonts w:ascii="Open Sans" w:hAnsi="Open Sans" w:cs="Arial"/>
          <w:color w:val="000000"/>
          <w:lang w:val="en"/>
        </w:rPr>
        <w:t>Bowder</w:t>
      </w:r>
      <w:proofErr w:type="spellEnd"/>
      <w:r w:rsidR="001B1734">
        <w:rPr>
          <w:rStyle w:val="selectable"/>
          <w:rFonts w:ascii="Open Sans" w:hAnsi="Open Sans" w:cs="Arial"/>
          <w:color w:val="000000"/>
          <w:lang w:val="en"/>
        </w:rPr>
        <w:t>, 1978)</w:t>
      </w:r>
    </w:p>
  </w:footnote>
  <w:footnote w:id="7">
    <w:p w:rsidR="003B3B33" w:rsidRDefault="003B3B33">
      <w:pPr>
        <w:pStyle w:val="FootnoteText"/>
      </w:pPr>
      <w:r>
        <w:rPr>
          <w:rStyle w:val="FootnoteReference"/>
        </w:rPr>
        <w:footnoteRef/>
      </w:r>
      <w:r>
        <w:t xml:space="preserve"> </w:t>
      </w:r>
      <w:r w:rsidR="001B1734">
        <w:rPr>
          <w:rStyle w:val="selectable"/>
          <w:rFonts w:ascii="Open Sans" w:hAnsi="Open Sans" w:cs="Arial"/>
          <w:color w:val="000000"/>
          <w:lang w:val="en"/>
        </w:rPr>
        <w:t>(</w:t>
      </w:r>
      <w:proofErr w:type="spellStart"/>
      <w:r w:rsidR="001B1734">
        <w:rPr>
          <w:rStyle w:val="selectable"/>
          <w:rFonts w:ascii="Open Sans" w:hAnsi="Open Sans" w:cs="Arial"/>
          <w:color w:val="000000"/>
          <w:lang w:val="en"/>
        </w:rPr>
        <w:t>Bowder</w:t>
      </w:r>
      <w:proofErr w:type="spellEnd"/>
      <w:r w:rsidR="001B1734">
        <w:rPr>
          <w:rStyle w:val="selectable"/>
          <w:rFonts w:ascii="Open Sans" w:hAnsi="Open Sans" w:cs="Arial"/>
          <w:color w:val="000000"/>
          <w:lang w:val="en"/>
        </w:rPr>
        <w:t>, 1978)</w:t>
      </w:r>
    </w:p>
  </w:footnote>
  <w:footnote w:id="8">
    <w:p w:rsidR="003B3B33" w:rsidRDefault="003B3B33">
      <w:pPr>
        <w:pStyle w:val="FootnoteText"/>
      </w:pPr>
      <w:r>
        <w:rPr>
          <w:rStyle w:val="FootnoteReference"/>
        </w:rPr>
        <w:footnoteRef/>
      </w:r>
      <w:r>
        <w:t xml:space="preserve"> </w:t>
      </w:r>
      <w:r w:rsidR="001B1734">
        <w:rPr>
          <w:rStyle w:val="selectable"/>
          <w:rFonts w:ascii="Open Sans" w:hAnsi="Open Sans" w:cs="Arial"/>
          <w:color w:val="000000"/>
          <w:lang w:val="en"/>
        </w:rPr>
        <w:t>(</w:t>
      </w:r>
      <w:proofErr w:type="spellStart"/>
      <w:r w:rsidR="001B1734">
        <w:rPr>
          <w:rStyle w:val="selectable"/>
          <w:rFonts w:ascii="Open Sans" w:hAnsi="Open Sans" w:cs="Arial"/>
          <w:color w:val="000000"/>
          <w:lang w:val="en"/>
        </w:rPr>
        <w:t>Bowder</w:t>
      </w:r>
      <w:proofErr w:type="spellEnd"/>
      <w:r w:rsidR="001B1734">
        <w:rPr>
          <w:rStyle w:val="selectable"/>
          <w:rFonts w:ascii="Open Sans" w:hAnsi="Open Sans" w:cs="Arial"/>
          <w:color w:val="000000"/>
          <w:lang w:val="en"/>
        </w:rPr>
        <w:t>, 1978)</w:t>
      </w:r>
    </w:p>
  </w:footnote>
  <w:footnote w:id="9">
    <w:p w:rsidR="003B3B33" w:rsidRDefault="003B3B33">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10">
    <w:p w:rsidR="003B3B33" w:rsidRDefault="003B3B33">
      <w:pPr>
        <w:pStyle w:val="FootnoteText"/>
      </w:pPr>
      <w:r>
        <w:rPr>
          <w:rStyle w:val="FootnoteReference"/>
        </w:rPr>
        <w:footnoteRef/>
      </w:r>
      <w:r>
        <w:t xml:space="preserve"> </w:t>
      </w:r>
      <w:r w:rsidR="001B1734">
        <w:t>(</w:t>
      </w:r>
      <w:proofErr w:type="spellStart"/>
      <w:r w:rsidR="001B1734">
        <w:t>Struckenbruck</w:t>
      </w:r>
      <w:proofErr w:type="spellEnd"/>
      <w:r w:rsidR="001B1734">
        <w:t>, 2004)</w:t>
      </w:r>
    </w:p>
  </w:footnote>
  <w:footnote w:id="11">
    <w:p w:rsidR="003B3B33" w:rsidRDefault="003B3B33">
      <w:pPr>
        <w:pStyle w:val="FootnoteText"/>
      </w:pPr>
      <w:r>
        <w:rPr>
          <w:rStyle w:val="FootnoteReference"/>
        </w:rPr>
        <w:footnoteRef/>
      </w:r>
      <w:r>
        <w:t xml:space="preserve"> </w:t>
      </w:r>
      <w:r w:rsidR="001B1734">
        <w:t>(Stoneman, 1987)</w:t>
      </w:r>
    </w:p>
  </w:footnote>
  <w:footnote w:id="12">
    <w:p w:rsidR="009F4E78" w:rsidRDefault="009F4E78">
      <w:pPr>
        <w:pStyle w:val="FootnoteText"/>
      </w:pPr>
      <w:r>
        <w:rPr>
          <w:rStyle w:val="FootnoteReference"/>
        </w:rPr>
        <w:footnoteRef/>
      </w:r>
      <w:r w:rsidR="001B1734">
        <w:t xml:space="preserve"> </w:t>
      </w:r>
      <w:r w:rsidR="001B1734">
        <w:rPr>
          <w:rStyle w:val="selectable"/>
          <w:rFonts w:ascii="Open Sans" w:hAnsi="Open Sans" w:cs="Arial"/>
          <w:color w:val="000000"/>
          <w:lang w:val="en"/>
        </w:rPr>
        <w:t xml:space="preserve">(Vernon </w:t>
      </w:r>
      <w:proofErr w:type="spellStart"/>
      <w:r w:rsidR="001B1734">
        <w:rPr>
          <w:rStyle w:val="selectable"/>
          <w:rFonts w:ascii="Open Sans" w:hAnsi="Open Sans" w:cs="Arial"/>
          <w:color w:val="000000"/>
          <w:lang w:val="en"/>
        </w:rPr>
        <w:t>Bartlet</w:t>
      </w:r>
      <w:proofErr w:type="spellEnd"/>
      <w:r w:rsidR="001B1734">
        <w:rPr>
          <w:rStyle w:val="selectable"/>
          <w:rFonts w:ascii="Open Sans" w:hAnsi="Open Sans" w:cs="Arial"/>
          <w:color w:val="000000"/>
          <w:lang w:val="en"/>
        </w:rPr>
        <w:t xml:space="preserve"> and Carlyle, 1917)</w:t>
      </w:r>
    </w:p>
  </w:footnote>
  <w:footnote w:id="13">
    <w:p w:rsidR="009F4E78" w:rsidRDefault="009F4E78">
      <w:pPr>
        <w:pStyle w:val="FootnoteText"/>
      </w:pPr>
      <w:r>
        <w:rPr>
          <w:rStyle w:val="FootnoteReference"/>
        </w:rPr>
        <w:footnoteRef/>
      </w:r>
      <w:r>
        <w:t xml:space="preserve"> </w:t>
      </w:r>
      <w:r w:rsidR="001B1734">
        <w:t>(</w:t>
      </w:r>
      <w:proofErr w:type="spellStart"/>
      <w:r w:rsidR="001B1734">
        <w:t>Bowder</w:t>
      </w:r>
      <w:proofErr w:type="spellEnd"/>
      <w:r w:rsidR="001B1734">
        <w:t>, 1978)</w:t>
      </w:r>
    </w:p>
  </w:footnote>
  <w:footnote w:id="14">
    <w:p w:rsidR="00F328D8" w:rsidRDefault="00F328D8">
      <w:pPr>
        <w:pStyle w:val="FootnoteText"/>
      </w:pPr>
      <w:r>
        <w:rPr>
          <w:rStyle w:val="FootnoteReference"/>
        </w:rPr>
        <w:footnoteRef/>
      </w:r>
      <w:r>
        <w:t xml:space="preserve"> </w:t>
      </w:r>
      <w:r w:rsidR="001B1734">
        <w:t>(Grant, 1980)</w:t>
      </w:r>
    </w:p>
  </w:footnote>
  <w:footnote w:id="15">
    <w:p w:rsidR="000A221D" w:rsidRDefault="000A221D">
      <w:pPr>
        <w:pStyle w:val="FootnoteText"/>
      </w:pPr>
      <w:r>
        <w:rPr>
          <w:rStyle w:val="FootnoteReference"/>
        </w:rPr>
        <w:footnoteRef/>
      </w:r>
      <w:r>
        <w:t xml:space="preserve"> </w:t>
      </w:r>
      <w:r w:rsidR="001B1734">
        <w:t>(</w:t>
      </w:r>
      <w:proofErr w:type="spellStart"/>
      <w:r w:rsidR="001B1734">
        <w:t>Vit</w:t>
      </w:r>
      <w:proofErr w:type="spellEnd"/>
      <w:r w:rsidR="001B1734">
        <w:t xml:space="preserve">, </w:t>
      </w:r>
      <w:proofErr w:type="spellStart"/>
      <w:r w:rsidR="001B1734">
        <w:t>Const</w:t>
      </w:r>
      <w:proofErr w:type="spellEnd"/>
      <w:r w:rsidR="001B1734">
        <w:t>, III.60.3)</w:t>
      </w:r>
    </w:p>
  </w:footnote>
  <w:footnote w:id="16">
    <w:p w:rsidR="00F328D8" w:rsidRDefault="00F328D8">
      <w:pPr>
        <w:pStyle w:val="FootnoteText"/>
      </w:pPr>
      <w:r>
        <w:rPr>
          <w:rStyle w:val="FootnoteReference"/>
        </w:rPr>
        <w:footnoteRef/>
      </w:r>
      <w:r>
        <w:t xml:space="preserve"> </w:t>
      </w:r>
      <w:r w:rsidR="001B1734">
        <w:t>(Grant, 1980)</w:t>
      </w:r>
    </w:p>
  </w:footnote>
  <w:footnote w:id="17">
    <w:p w:rsidR="00416474" w:rsidRDefault="00416474">
      <w:pPr>
        <w:pStyle w:val="FootnoteText"/>
      </w:pPr>
      <w:r>
        <w:rPr>
          <w:rStyle w:val="FootnoteReference"/>
        </w:rPr>
        <w:footnoteRef/>
      </w:r>
      <w:r>
        <w:t xml:space="preserve"> </w:t>
      </w:r>
      <w:r w:rsidR="001B1734">
        <w:t>(Grant, 1980)</w:t>
      </w:r>
    </w:p>
  </w:footnote>
  <w:footnote w:id="18">
    <w:p w:rsidR="000A221D" w:rsidRDefault="000A221D">
      <w:pPr>
        <w:pStyle w:val="FootnoteText"/>
      </w:pPr>
      <w:r>
        <w:rPr>
          <w:rStyle w:val="FootnoteReference"/>
        </w:rPr>
        <w:footnoteRef/>
      </w:r>
      <w:r>
        <w:t xml:space="preserve"> </w:t>
      </w:r>
      <w:r w:rsidR="001B1734">
        <w:t>(Grant, 1980)</w:t>
      </w:r>
    </w:p>
  </w:footnote>
  <w:footnote w:id="19">
    <w:p w:rsidR="000A221D" w:rsidRDefault="000A221D">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20">
    <w:p w:rsidR="008062C6" w:rsidRDefault="008062C6">
      <w:pPr>
        <w:pStyle w:val="FootnoteText"/>
      </w:pPr>
      <w:r>
        <w:rPr>
          <w:rStyle w:val="FootnoteReference"/>
        </w:rPr>
        <w:footnoteRef/>
      </w:r>
      <w:r>
        <w:t xml:space="preserve"> </w:t>
      </w:r>
      <w:r w:rsidR="001B1734">
        <w:t>(Grant, 1980)</w:t>
      </w:r>
    </w:p>
  </w:footnote>
  <w:footnote w:id="21">
    <w:p w:rsidR="008062C6" w:rsidRDefault="008062C6">
      <w:pPr>
        <w:pStyle w:val="FootnoteText"/>
      </w:pPr>
      <w:r>
        <w:rPr>
          <w:rStyle w:val="FootnoteReference"/>
        </w:rPr>
        <w:footnoteRef/>
      </w:r>
      <w:r>
        <w:t xml:space="preserve"> </w:t>
      </w:r>
      <w:r w:rsidR="001B1734">
        <w:t>(Grant, 1980)</w:t>
      </w:r>
    </w:p>
  </w:footnote>
  <w:footnote w:id="22">
    <w:p w:rsidR="008062C6" w:rsidRDefault="008062C6">
      <w:pPr>
        <w:pStyle w:val="FootnoteText"/>
      </w:pPr>
      <w:r>
        <w:rPr>
          <w:rStyle w:val="FootnoteReference"/>
        </w:rPr>
        <w:footnoteRef/>
      </w:r>
      <w:r>
        <w:t xml:space="preserve"> </w:t>
      </w:r>
      <w:r w:rsidR="001B1734">
        <w:t>(Grant, 1980)</w:t>
      </w:r>
    </w:p>
  </w:footnote>
  <w:footnote w:id="23">
    <w:p w:rsidR="008062C6" w:rsidRDefault="008062C6">
      <w:pPr>
        <w:pStyle w:val="FootnoteText"/>
      </w:pPr>
      <w:r>
        <w:rPr>
          <w:rStyle w:val="FootnoteReference"/>
        </w:rPr>
        <w:footnoteRef/>
      </w:r>
      <w:r>
        <w:t xml:space="preserve"> </w:t>
      </w:r>
      <w:r w:rsidR="001B1734">
        <w:t>(Grant, 1980)</w:t>
      </w:r>
    </w:p>
  </w:footnote>
  <w:footnote w:id="24">
    <w:p w:rsidR="008062C6" w:rsidRDefault="008062C6">
      <w:pPr>
        <w:pStyle w:val="FootnoteText"/>
      </w:pPr>
      <w:r>
        <w:rPr>
          <w:rStyle w:val="FootnoteReference"/>
        </w:rPr>
        <w:footnoteRef/>
      </w:r>
      <w:r>
        <w:t xml:space="preserve"> </w:t>
      </w:r>
      <w:r w:rsidR="001B1734">
        <w:t>(Grant, 1980)</w:t>
      </w:r>
    </w:p>
  </w:footnote>
  <w:footnote w:id="25">
    <w:p w:rsidR="00F873C7" w:rsidRDefault="00F873C7">
      <w:pPr>
        <w:pStyle w:val="FootnoteText"/>
      </w:pPr>
      <w:r>
        <w:rPr>
          <w:rStyle w:val="FootnoteReference"/>
        </w:rPr>
        <w:footnoteRef/>
      </w:r>
      <w:r>
        <w:t xml:space="preserve"> </w:t>
      </w:r>
      <w:r w:rsidR="001B1734">
        <w:t>(Grant, 1980)</w:t>
      </w:r>
    </w:p>
  </w:footnote>
  <w:footnote w:id="26">
    <w:p w:rsidR="008062C6" w:rsidRDefault="008062C6">
      <w:pPr>
        <w:pStyle w:val="FootnoteText"/>
      </w:pPr>
      <w:r>
        <w:rPr>
          <w:rStyle w:val="FootnoteReference"/>
        </w:rPr>
        <w:footnoteRef/>
      </w:r>
      <w:r>
        <w:t xml:space="preserve"> </w:t>
      </w:r>
      <w:r w:rsidR="001B1734">
        <w:t>(Grant, 1980)</w:t>
      </w:r>
    </w:p>
  </w:footnote>
  <w:footnote w:id="27">
    <w:p w:rsidR="008062C6" w:rsidRDefault="008062C6">
      <w:pPr>
        <w:pStyle w:val="FootnoteText"/>
      </w:pPr>
      <w:r>
        <w:rPr>
          <w:rStyle w:val="FootnoteReference"/>
        </w:rPr>
        <w:footnoteRef/>
      </w:r>
      <w:r>
        <w:t xml:space="preserve"> </w:t>
      </w:r>
      <w:r w:rsidR="001B1734">
        <w:t>(Grant, 1980)</w:t>
      </w:r>
    </w:p>
  </w:footnote>
  <w:footnote w:id="28">
    <w:p w:rsidR="00B043EF" w:rsidRDefault="00B043EF">
      <w:pPr>
        <w:pStyle w:val="FootnoteText"/>
      </w:pPr>
      <w:r>
        <w:rPr>
          <w:rStyle w:val="FootnoteReference"/>
        </w:rPr>
        <w:footnoteRef/>
      </w:r>
      <w:r>
        <w:t xml:space="preserve"> </w:t>
      </w:r>
      <w:r w:rsidR="001B1734">
        <w:t>(Grant, 1980)</w:t>
      </w:r>
    </w:p>
  </w:footnote>
  <w:footnote w:id="29">
    <w:p w:rsidR="00662C30" w:rsidRDefault="00662C30">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30">
    <w:p w:rsidR="00B043EF" w:rsidRDefault="00B043EF">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31">
    <w:p w:rsidR="00B043EF" w:rsidRDefault="00B043EF">
      <w:pPr>
        <w:pStyle w:val="FootnoteText"/>
      </w:pPr>
      <w:r>
        <w:rPr>
          <w:rStyle w:val="FootnoteReference"/>
        </w:rPr>
        <w:footnoteRef/>
      </w:r>
      <w:r>
        <w:t xml:space="preserve"> </w:t>
      </w:r>
      <w:r w:rsidR="001B1734">
        <w:rPr>
          <w:rStyle w:val="selectable"/>
          <w:rFonts w:ascii="Open Sans" w:hAnsi="Open Sans" w:cs="Arial"/>
          <w:color w:val="000000"/>
          <w:lang w:val="en"/>
        </w:rPr>
        <w:t>(Cameron, Eusebius. and Hall, 2002)</w:t>
      </w:r>
    </w:p>
  </w:footnote>
  <w:footnote w:id="32">
    <w:p w:rsidR="007760A4" w:rsidRDefault="007760A4">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33">
    <w:p w:rsidR="00662C30" w:rsidRDefault="00662C30">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34">
    <w:p w:rsidR="00662C30" w:rsidRDefault="00662C30">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35">
    <w:p w:rsidR="00662C30" w:rsidRDefault="00662C30">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36">
    <w:p w:rsidR="0044265F" w:rsidRDefault="0044265F">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37">
    <w:p w:rsidR="007760A4" w:rsidRDefault="007760A4">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38">
    <w:p w:rsidR="007760A4" w:rsidRDefault="007760A4">
      <w:pPr>
        <w:pStyle w:val="FootnoteText"/>
      </w:pPr>
      <w:r>
        <w:rPr>
          <w:rStyle w:val="FootnoteReference"/>
        </w:rPr>
        <w:footnoteRef/>
      </w:r>
      <w:r>
        <w:t xml:space="preserve"> </w:t>
      </w:r>
      <w:r w:rsidR="001B1734">
        <w:rPr>
          <w:rStyle w:val="selectable"/>
          <w:rFonts w:ascii="Open Sans" w:hAnsi="Open Sans" w:cs="Arial"/>
          <w:color w:val="000000"/>
          <w:lang w:val="en"/>
        </w:rPr>
        <w:t xml:space="preserve">(Cameron, Eusebius. and Hall, </w:t>
      </w:r>
      <w:r w:rsidR="001B1734">
        <w:rPr>
          <w:rStyle w:val="selectable"/>
          <w:rFonts w:ascii="Open Sans" w:hAnsi="Open Sans" w:cs="Arial"/>
          <w:color w:val="000000"/>
          <w:lang w:val="en"/>
        </w:rPr>
        <w:t>2002)</w:t>
      </w:r>
      <w:bookmarkStart w:id="0" w:name="_GoBack"/>
      <w:bookmarkEnd w:id="0"/>
    </w:p>
  </w:footnote>
  <w:footnote w:id="39">
    <w:p w:rsidR="007760A4" w:rsidRDefault="007760A4">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40">
    <w:p w:rsidR="00B839FF" w:rsidRDefault="00B839FF">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41">
    <w:p w:rsidR="00B839FF" w:rsidRDefault="00B839FF">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42">
    <w:p w:rsidR="00B839FF" w:rsidRDefault="00B839FF">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43">
    <w:p w:rsidR="00B839FF" w:rsidRDefault="00B839FF">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44">
    <w:p w:rsidR="00573EE6" w:rsidRDefault="00573EE6">
      <w:pPr>
        <w:pStyle w:val="FootnoteText"/>
      </w:pPr>
      <w:r>
        <w:rPr>
          <w:rStyle w:val="FootnoteReference"/>
        </w:rPr>
        <w:footnoteRef/>
      </w:r>
      <w:r>
        <w:t xml:space="preserve"> </w:t>
      </w:r>
      <w:r w:rsidR="00E33D65">
        <w:rPr>
          <w:rStyle w:val="selectable"/>
          <w:rFonts w:ascii="Open Sans" w:hAnsi="Open Sans" w:cs="Arial"/>
          <w:color w:val="000000"/>
          <w:lang w:val="en"/>
        </w:rPr>
        <w:t>(Cameron, Eusebius. and Hall, 2002)</w:t>
      </w:r>
    </w:p>
  </w:footnote>
  <w:footnote w:id="45">
    <w:p w:rsidR="005117C4" w:rsidRDefault="005117C4">
      <w:pPr>
        <w:pStyle w:val="FootnoteText"/>
      </w:pPr>
      <w:r>
        <w:rPr>
          <w:rStyle w:val="FootnoteReference"/>
        </w:rPr>
        <w:footnoteRef/>
      </w:r>
      <w:r>
        <w:t xml:space="preserve"> </w:t>
      </w:r>
      <w:r w:rsidR="001B1734">
        <w:t>(</w:t>
      </w:r>
      <w:proofErr w:type="spellStart"/>
      <w:r w:rsidR="001B1734">
        <w:t>Pohlsander</w:t>
      </w:r>
      <w:proofErr w:type="spellEnd"/>
      <w:r w:rsidR="001B1734">
        <w:t>, 1996)</w:t>
      </w:r>
    </w:p>
  </w:footnote>
  <w:footnote w:id="46">
    <w:p w:rsidR="005117C4" w:rsidRDefault="005117C4">
      <w:pPr>
        <w:pStyle w:val="FootnoteText"/>
      </w:pPr>
      <w:r>
        <w:rPr>
          <w:rStyle w:val="FootnoteReference"/>
        </w:rPr>
        <w:footnoteRef/>
      </w:r>
      <w:r w:rsidR="001B1734">
        <w:t xml:space="preserve"> </w:t>
      </w:r>
      <w:r w:rsidR="001B1734">
        <w:t>(</w:t>
      </w:r>
      <w:proofErr w:type="spellStart"/>
      <w:r w:rsidR="001B1734">
        <w:t>Pohlsander</w:t>
      </w:r>
      <w:proofErr w:type="spellEnd"/>
      <w:r w:rsidR="001B1734">
        <w:t>, 1996)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09B6"/>
    <w:rsid w:val="000A221D"/>
    <w:rsid w:val="001B1734"/>
    <w:rsid w:val="003B3B33"/>
    <w:rsid w:val="00416474"/>
    <w:rsid w:val="0043124B"/>
    <w:rsid w:val="0044265F"/>
    <w:rsid w:val="005117C4"/>
    <w:rsid w:val="00573EE6"/>
    <w:rsid w:val="00662C30"/>
    <w:rsid w:val="007760A4"/>
    <w:rsid w:val="008062C6"/>
    <w:rsid w:val="00991553"/>
    <w:rsid w:val="009A09B6"/>
    <w:rsid w:val="009F4E78"/>
    <w:rsid w:val="00B043EF"/>
    <w:rsid w:val="00B72C45"/>
    <w:rsid w:val="00B839FF"/>
    <w:rsid w:val="00C5301B"/>
    <w:rsid w:val="00E33D65"/>
    <w:rsid w:val="00ED2744"/>
    <w:rsid w:val="00F328D8"/>
    <w:rsid w:val="00F87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0A221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A09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09B6"/>
    <w:rPr>
      <w:sz w:val="20"/>
      <w:szCs w:val="20"/>
    </w:rPr>
  </w:style>
  <w:style w:type="character" w:styleId="FootnoteReference">
    <w:name w:val="footnote reference"/>
    <w:basedOn w:val="DefaultParagraphFont"/>
    <w:uiPriority w:val="99"/>
    <w:semiHidden/>
    <w:unhideWhenUsed/>
    <w:rsid w:val="009A09B6"/>
    <w:rPr>
      <w:vertAlign w:val="superscript"/>
    </w:rPr>
  </w:style>
  <w:style w:type="character" w:customStyle="1" w:styleId="Heading2Char">
    <w:name w:val="Heading 2 Char"/>
    <w:basedOn w:val="DefaultParagraphFont"/>
    <w:link w:val="Heading2"/>
    <w:uiPriority w:val="9"/>
    <w:rsid w:val="000A221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A221D"/>
    <w:pPr>
      <w:spacing w:after="150"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E33D6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0A221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A09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09B6"/>
    <w:rPr>
      <w:sz w:val="20"/>
      <w:szCs w:val="20"/>
    </w:rPr>
  </w:style>
  <w:style w:type="character" w:styleId="FootnoteReference">
    <w:name w:val="footnote reference"/>
    <w:basedOn w:val="DefaultParagraphFont"/>
    <w:uiPriority w:val="99"/>
    <w:semiHidden/>
    <w:unhideWhenUsed/>
    <w:rsid w:val="009A09B6"/>
    <w:rPr>
      <w:vertAlign w:val="superscript"/>
    </w:rPr>
  </w:style>
  <w:style w:type="character" w:customStyle="1" w:styleId="Heading2Char">
    <w:name w:val="Heading 2 Char"/>
    <w:basedOn w:val="DefaultParagraphFont"/>
    <w:link w:val="Heading2"/>
    <w:uiPriority w:val="9"/>
    <w:rsid w:val="000A221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A221D"/>
    <w:pPr>
      <w:spacing w:after="150"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E33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047859">
      <w:bodyDiv w:val="1"/>
      <w:marLeft w:val="0"/>
      <w:marRight w:val="0"/>
      <w:marTop w:val="0"/>
      <w:marBottom w:val="0"/>
      <w:divBdr>
        <w:top w:val="none" w:sz="0" w:space="0" w:color="auto"/>
        <w:left w:val="none" w:sz="0" w:space="0" w:color="auto"/>
        <w:bottom w:val="none" w:sz="0" w:space="0" w:color="auto"/>
        <w:right w:val="none" w:sz="0" w:space="0" w:color="auto"/>
      </w:divBdr>
      <w:divsChild>
        <w:div w:id="1427920472">
          <w:marLeft w:val="0"/>
          <w:marRight w:val="0"/>
          <w:marTop w:val="0"/>
          <w:marBottom w:val="0"/>
          <w:divBdr>
            <w:top w:val="none" w:sz="0" w:space="0" w:color="auto"/>
            <w:left w:val="none" w:sz="0" w:space="0" w:color="auto"/>
            <w:bottom w:val="none" w:sz="0" w:space="0" w:color="auto"/>
            <w:right w:val="none" w:sz="0" w:space="0" w:color="auto"/>
          </w:divBdr>
          <w:divsChild>
            <w:div w:id="696199286">
              <w:marLeft w:val="0"/>
              <w:marRight w:val="0"/>
              <w:marTop w:val="0"/>
              <w:marBottom w:val="0"/>
              <w:divBdr>
                <w:top w:val="none" w:sz="0" w:space="0" w:color="auto"/>
                <w:left w:val="none" w:sz="0" w:space="0" w:color="auto"/>
                <w:bottom w:val="none" w:sz="0" w:space="0" w:color="auto"/>
                <w:right w:val="none" w:sz="0" w:space="0" w:color="auto"/>
              </w:divBdr>
              <w:divsChild>
                <w:div w:id="122444079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17235-70F5-4B6D-938D-02102BCCF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7</Pages>
  <Words>2432</Words>
  <Characters>13866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tammy bowie</dc:creator>
  <cp:lastModifiedBy>tammy bowie</cp:lastModifiedBy>
  <cp:revision>3</cp:revision>
  <dcterms:created xsi:type="dcterms:W3CDTF">2017-12-12T01:07:00Z</dcterms:created>
  <dcterms:modified xsi:type="dcterms:W3CDTF">2017-12-12T04:15:00Z</dcterms:modified>
</cp:coreProperties>
</file>