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41"/>
        <w:tblW w:w="9108" w:type="dxa"/>
        <w:tblLook w:val="04A0" w:firstRow="1" w:lastRow="0" w:firstColumn="1" w:lastColumn="0" w:noHBand="0" w:noVBand="1"/>
      </w:tblPr>
      <w:tblGrid>
        <w:gridCol w:w="4554"/>
        <w:gridCol w:w="4554"/>
      </w:tblGrid>
      <w:tr w:rsidR="00644E84" w14:paraId="3FD0B28D" w14:textId="77777777" w:rsidTr="00BF5481">
        <w:trPr>
          <w:trHeight w:val="932"/>
        </w:trPr>
        <w:tc>
          <w:tcPr>
            <w:tcW w:w="4554" w:type="dxa"/>
          </w:tcPr>
          <w:p w14:paraId="73FFF819" w14:textId="77777777" w:rsidR="00644E84" w:rsidRDefault="00644E84" w:rsidP="00BF5481">
            <w:pPr>
              <w:spacing w:line="360" w:lineRule="auto"/>
              <w:jc w:val="center"/>
              <w:rPr>
                <w:rFonts w:ascii="Arial" w:hAnsi="Arial" w:cs="Arial"/>
                <w:b/>
                <w:bCs/>
                <w:sz w:val="36"/>
                <w:szCs w:val="36"/>
                <w:u w:val="single"/>
              </w:rPr>
            </w:pPr>
            <w:r>
              <w:rPr>
                <w:rFonts w:ascii="Arial" w:hAnsi="Arial" w:cs="Arial"/>
                <w:b/>
                <w:bCs/>
                <w:sz w:val="36"/>
                <w:szCs w:val="36"/>
                <w:u w:val="single"/>
              </w:rPr>
              <w:t>Target 1</w:t>
            </w:r>
          </w:p>
        </w:tc>
        <w:tc>
          <w:tcPr>
            <w:tcW w:w="4554" w:type="dxa"/>
          </w:tcPr>
          <w:p w14:paraId="3DDDC680" w14:textId="77777777" w:rsidR="00644E84" w:rsidRPr="00B84640" w:rsidRDefault="00644E84" w:rsidP="00BF5481">
            <w:pPr>
              <w:spacing w:line="360" w:lineRule="auto"/>
              <w:rPr>
                <w:rFonts w:cstheme="minorHAnsi"/>
                <w:color w:val="283041"/>
                <w:sz w:val="20"/>
                <w:szCs w:val="20"/>
                <w:shd w:val="clear" w:color="auto" w:fill="FFFFFF"/>
              </w:rPr>
            </w:pPr>
            <w:r w:rsidRPr="00B84640">
              <w:rPr>
                <w:rFonts w:cstheme="minorHAnsi"/>
                <w:color w:val="283041"/>
                <w:sz w:val="20"/>
                <w:szCs w:val="20"/>
                <w:shd w:val="clear" w:color="auto" w:fill="FFFFFF"/>
              </w:rPr>
              <w:t>Make more use of academic books and journal articles rather than rely on website sources.</w:t>
            </w:r>
          </w:p>
          <w:p w14:paraId="0014FA3D" w14:textId="474CE826" w:rsidR="00644E84" w:rsidRPr="00D3048B" w:rsidRDefault="00644E84" w:rsidP="00BF5481">
            <w:pPr>
              <w:spacing w:line="360" w:lineRule="auto"/>
              <w:rPr>
                <w:rFonts w:ascii="Arial" w:hAnsi="Arial" w:cs="Arial"/>
                <w:color w:val="00B050"/>
                <w:sz w:val="36"/>
                <w:szCs w:val="36"/>
              </w:rPr>
            </w:pPr>
            <w:r w:rsidRPr="00B84640">
              <w:rPr>
                <w:rFonts w:cstheme="minorHAnsi"/>
                <w:color w:val="00B050"/>
                <w:sz w:val="20"/>
                <w:szCs w:val="20"/>
                <w:shd w:val="clear" w:color="auto" w:fill="FFFFFF"/>
              </w:rPr>
              <w:t>I have used more academic books and journals throughout this assignment</w:t>
            </w:r>
            <w:r>
              <w:rPr>
                <w:rFonts w:ascii="Roboto" w:hAnsi="Roboto"/>
                <w:color w:val="00B050"/>
                <w:sz w:val="21"/>
                <w:szCs w:val="21"/>
                <w:shd w:val="clear" w:color="auto" w:fill="FFFFFF"/>
              </w:rPr>
              <w:t xml:space="preserve"> </w:t>
            </w:r>
            <w:r w:rsidRPr="00644E84">
              <w:rPr>
                <w:rFonts w:ascii="Roboto" w:hAnsi="Roboto"/>
                <w:color w:val="00B050"/>
                <w:sz w:val="18"/>
                <w:szCs w:val="18"/>
                <w:shd w:val="clear" w:color="auto" w:fill="FFFFFF"/>
              </w:rPr>
              <w:t>including online sources, books, articles and more</w:t>
            </w:r>
          </w:p>
        </w:tc>
      </w:tr>
      <w:tr w:rsidR="00644E84" w14:paraId="5DB0E20B" w14:textId="77777777" w:rsidTr="00BF5481">
        <w:trPr>
          <w:trHeight w:val="953"/>
        </w:trPr>
        <w:tc>
          <w:tcPr>
            <w:tcW w:w="4554" w:type="dxa"/>
          </w:tcPr>
          <w:p w14:paraId="445EB480" w14:textId="77777777" w:rsidR="00644E84" w:rsidRDefault="00644E84" w:rsidP="00BF5481">
            <w:pPr>
              <w:spacing w:line="360" w:lineRule="auto"/>
              <w:jc w:val="center"/>
              <w:rPr>
                <w:rFonts w:ascii="Arial" w:hAnsi="Arial" w:cs="Arial"/>
                <w:b/>
                <w:bCs/>
                <w:sz w:val="36"/>
                <w:szCs w:val="36"/>
                <w:u w:val="single"/>
              </w:rPr>
            </w:pPr>
            <w:r>
              <w:rPr>
                <w:rFonts w:ascii="Arial" w:hAnsi="Arial" w:cs="Arial"/>
                <w:b/>
                <w:bCs/>
                <w:sz w:val="36"/>
                <w:szCs w:val="36"/>
                <w:u w:val="single"/>
              </w:rPr>
              <w:t>Target 2</w:t>
            </w:r>
          </w:p>
        </w:tc>
        <w:tc>
          <w:tcPr>
            <w:tcW w:w="4554" w:type="dxa"/>
          </w:tcPr>
          <w:p w14:paraId="003F5B7C" w14:textId="77777777" w:rsidR="00644E84" w:rsidRPr="001E210E" w:rsidRDefault="00644E84" w:rsidP="00BF5481">
            <w:pPr>
              <w:spacing w:line="360" w:lineRule="auto"/>
              <w:rPr>
                <w:rFonts w:cstheme="minorHAnsi"/>
                <w:color w:val="283041"/>
                <w:sz w:val="20"/>
                <w:szCs w:val="20"/>
                <w:shd w:val="clear" w:color="auto" w:fill="FFFFFF"/>
              </w:rPr>
            </w:pPr>
            <w:r w:rsidRPr="001E210E">
              <w:rPr>
                <w:rFonts w:cstheme="minorHAnsi"/>
                <w:color w:val="283041"/>
                <w:sz w:val="20"/>
                <w:szCs w:val="20"/>
                <w:shd w:val="clear" w:color="auto" w:fill="FFFFFF"/>
              </w:rPr>
              <w:t>Revise the Harvard referencing style for within text citations, i.e. surname only when citing authors within the text (see p.3 &amp; 4) and the reference list (round brackets for websites and no page numbers for books). Please use </w:t>
            </w:r>
            <w:hyperlink r:id="rId4" w:history="1">
              <w:r w:rsidRPr="001E210E">
                <w:rPr>
                  <w:rStyle w:val="Hyperlink"/>
                  <w:rFonts w:cstheme="minorHAnsi"/>
                  <w:color w:val="1E7BBB"/>
                  <w:sz w:val="20"/>
                  <w:szCs w:val="20"/>
                  <w:shd w:val="clear" w:color="auto" w:fill="FFFFFF"/>
                </w:rPr>
                <w:t>Harvard Ref (uwtsd.ac.uk)</w:t>
              </w:r>
            </w:hyperlink>
            <w:r w:rsidRPr="001E210E">
              <w:rPr>
                <w:rFonts w:cstheme="minorHAnsi"/>
                <w:color w:val="283041"/>
                <w:sz w:val="20"/>
                <w:szCs w:val="20"/>
                <w:shd w:val="clear" w:color="auto" w:fill="FFFFFF"/>
              </w:rPr>
              <w:t> for further assignments.</w:t>
            </w:r>
          </w:p>
          <w:p w14:paraId="19A55461" w14:textId="3484C9C4" w:rsidR="00644E84" w:rsidRPr="001E210E" w:rsidRDefault="00644E84" w:rsidP="00BF5481">
            <w:pPr>
              <w:spacing w:line="360" w:lineRule="auto"/>
              <w:rPr>
                <w:rFonts w:cstheme="minorHAnsi"/>
                <w:color w:val="00B050"/>
                <w:sz w:val="20"/>
                <w:szCs w:val="20"/>
              </w:rPr>
            </w:pPr>
            <w:r w:rsidRPr="001E210E">
              <w:rPr>
                <w:rFonts w:cstheme="minorHAnsi"/>
                <w:color w:val="00B050"/>
                <w:sz w:val="20"/>
                <w:szCs w:val="20"/>
              </w:rPr>
              <w:t xml:space="preserve">I have referenced alongside the Harvard referencing guide ensuring that only </w:t>
            </w:r>
            <w:proofErr w:type="gramStart"/>
            <w:r w:rsidRPr="001E210E">
              <w:rPr>
                <w:rFonts w:cstheme="minorHAnsi"/>
                <w:color w:val="00B050"/>
                <w:sz w:val="20"/>
                <w:szCs w:val="20"/>
              </w:rPr>
              <w:t xml:space="preserve">surnames </w:t>
            </w:r>
            <w:r>
              <w:rPr>
                <w:rFonts w:cstheme="minorHAnsi"/>
                <w:color w:val="00B050"/>
                <w:sz w:val="20"/>
                <w:szCs w:val="20"/>
              </w:rPr>
              <w:t xml:space="preserve"> and</w:t>
            </w:r>
            <w:proofErr w:type="gramEnd"/>
            <w:r>
              <w:rPr>
                <w:rFonts w:cstheme="minorHAnsi"/>
                <w:color w:val="00B050"/>
                <w:sz w:val="20"/>
                <w:szCs w:val="20"/>
              </w:rPr>
              <w:t xml:space="preserve"> dates </w:t>
            </w:r>
            <w:r w:rsidRPr="001E210E">
              <w:rPr>
                <w:rFonts w:cstheme="minorHAnsi"/>
                <w:color w:val="00B050"/>
                <w:sz w:val="20"/>
                <w:szCs w:val="20"/>
              </w:rPr>
              <w:t>are used in text and have not used page numbers for books in reference list.</w:t>
            </w:r>
          </w:p>
          <w:p w14:paraId="76A2C6C8" w14:textId="77777777" w:rsidR="00644E84" w:rsidRPr="00D3048B" w:rsidRDefault="00644E84" w:rsidP="00BF5481">
            <w:pPr>
              <w:spacing w:line="360" w:lineRule="auto"/>
              <w:jc w:val="center"/>
              <w:rPr>
                <w:rFonts w:ascii="Arial" w:hAnsi="Arial" w:cs="Arial"/>
                <w:color w:val="00B050"/>
              </w:rPr>
            </w:pPr>
          </w:p>
        </w:tc>
      </w:tr>
      <w:tr w:rsidR="00644E84" w14:paraId="6B1852E6" w14:textId="77777777" w:rsidTr="00BF5481">
        <w:trPr>
          <w:trHeight w:val="932"/>
        </w:trPr>
        <w:tc>
          <w:tcPr>
            <w:tcW w:w="4554" w:type="dxa"/>
          </w:tcPr>
          <w:p w14:paraId="65DCA7EB" w14:textId="77777777" w:rsidR="00644E84" w:rsidRDefault="00644E84" w:rsidP="00BF5481">
            <w:pPr>
              <w:spacing w:line="360" w:lineRule="auto"/>
              <w:jc w:val="center"/>
              <w:rPr>
                <w:rFonts w:ascii="Arial" w:hAnsi="Arial" w:cs="Arial"/>
                <w:b/>
                <w:bCs/>
                <w:sz w:val="36"/>
                <w:szCs w:val="36"/>
                <w:u w:val="single"/>
              </w:rPr>
            </w:pPr>
            <w:r>
              <w:rPr>
                <w:rFonts w:ascii="Arial" w:hAnsi="Arial" w:cs="Arial"/>
                <w:b/>
                <w:bCs/>
                <w:sz w:val="36"/>
                <w:szCs w:val="36"/>
                <w:u w:val="single"/>
              </w:rPr>
              <w:t>Target 3</w:t>
            </w:r>
          </w:p>
        </w:tc>
        <w:tc>
          <w:tcPr>
            <w:tcW w:w="4554" w:type="dxa"/>
          </w:tcPr>
          <w:p w14:paraId="5D22E019" w14:textId="77777777" w:rsidR="00644E84" w:rsidRPr="001E210E" w:rsidRDefault="00644E84" w:rsidP="00BF5481">
            <w:pPr>
              <w:spacing w:line="360" w:lineRule="auto"/>
              <w:rPr>
                <w:rFonts w:cstheme="minorHAnsi"/>
                <w:color w:val="283041"/>
                <w:sz w:val="20"/>
                <w:szCs w:val="20"/>
                <w:shd w:val="clear" w:color="auto" w:fill="FFFFFF"/>
              </w:rPr>
            </w:pPr>
            <w:r w:rsidRPr="001E210E">
              <w:rPr>
                <w:rStyle w:val="apple-converted-space"/>
                <w:rFonts w:cstheme="minorHAnsi"/>
                <w:color w:val="283041"/>
                <w:sz w:val="20"/>
                <w:szCs w:val="20"/>
                <w:shd w:val="clear" w:color="auto" w:fill="FFFFFF"/>
              </w:rPr>
              <w:t> </w:t>
            </w:r>
            <w:r>
              <w:rPr>
                <w:rStyle w:val="apple-converted-space"/>
                <w:rFonts w:cstheme="minorHAnsi"/>
                <w:color w:val="283041"/>
                <w:sz w:val="20"/>
                <w:szCs w:val="20"/>
                <w:shd w:val="clear" w:color="auto" w:fill="FFFFFF"/>
              </w:rPr>
              <w:t>P</w:t>
            </w:r>
            <w:r w:rsidRPr="001E210E">
              <w:rPr>
                <w:rFonts w:cstheme="minorHAnsi"/>
                <w:color w:val="283041"/>
                <w:sz w:val="20"/>
                <w:szCs w:val="20"/>
                <w:shd w:val="clear" w:color="auto" w:fill="FFFFFF"/>
              </w:rPr>
              <w:t>roof-read your work thoroughly before submitting to improve use of punctuation, i.e. apostrophes and capital letters as well as spelling and sentence structure.</w:t>
            </w:r>
          </w:p>
          <w:p w14:paraId="1DFC1758" w14:textId="57447D99" w:rsidR="00644E84" w:rsidRPr="00D3048B" w:rsidRDefault="00644E84" w:rsidP="00BF5481">
            <w:pPr>
              <w:spacing w:line="360" w:lineRule="auto"/>
              <w:rPr>
                <w:rFonts w:ascii="Arial" w:hAnsi="Arial" w:cs="Arial"/>
                <w:color w:val="00B050"/>
              </w:rPr>
            </w:pPr>
            <w:r w:rsidRPr="001E210E">
              <w:rPr>
                <w:rFonts w:cstheme="minorHAnsi"/>
                <w:color w:val="00B050"/>
                <w:sz w:val="20"/>
                <w:szCs w:val="20"/>
              </w:rPr>
              <w:t>I have proofread my work</w:t>
            </w:r>
            <w:r>
              <w:rPr>
                <w:rFonts w:cstheme="minorHAnsi"/>
                <w:color w:val="00B050"/>
                <w:sz w:val="20"/>
                <w:szCs w:val="20"/>
              </w:rPr>
              <w:t xml:space="preserve"> and ensured that there are</w:t>
            </w:r>
            <w:r>
              <w:rPr>
                <w:rFonts w:cstheme="minorHAnsi"/>
                <w:color w:val="00B050"/>
                <w:sz w:val="20"/>
                <w:szCs w:val="20"/>
              </w:rPr>
              <w:t xml:space="preserve"> minimal errors in my academic writing</w:t>
            </w:r>
            <w:r>
              <w:rPr>
                <w:rFonts w:cstheme="minorHAnsi"/>
                <w:color w:val="00B050"/>
                <w:sz w:val="20"/>
                <w:szCs w:val="20"/>
              </w:rPr>
              <w:t>.</w:t>
            </w:r>
          </w:p>
        </w:tc>
      </w:tr>
    </w:tbl>
    <w:p w14:paraId="07D791C5" w14:textId="77777777" w:rsidR="00644E84" w:rsidRDefault="00644E84" w:rsidP="00491E1C">
      <w:pPr>
        <w:pStyle w:val="NormalWeb"/>
        <w:rPr>
          <w:rFonts w:ascii="Calibri" w:hAnsi="Calibri" w:cs="Calibri"/>
          <w:b/>
          <w:bCs/>
        </w:rPr>
      </w:pPr>
    </w:p>
    <w:p w14:paraId="1DE237B9" w14:textId="306E058C" w:rsidR="00491E1C" w:rsidRPr="00491E1C" w:rsidRDefault="00491E1C" w:rsidP="00491E1C">
      <w:pPr>
        <w:pStyle w:val="NormalWeb"/>
        <w:rPr>
          <w:rFonts w:ascii="Calibri" w:hAnsi="Calibri" w:cs="Calibri"/>
          <w:b/>
          <w:bCs/>
        </w:rPr>
      </w:pPr>
      <w:r w:rsidRPr="00491E1C">
        <w:rPr>
          <w:rFonts w:ascii="Calibri" w:hAnsi="Calibri" w:cs="Calibri"/>
          <w:b/>
          <w:bCs/>
        </w:rPr>
        <w:t>How a school develops one aspect of its SDP: a report that critically reflects on the actions, impact and evidence base.</w:t>
      </w:r>
    </w:p>
    <w:p w14:paraId="6864BCF2" w14:textId="6574FA4C" w:rsidR="002259F1" w:rsidRPr="002259F1" w:rsidRDefault="002259F1" w:rsidP="006444FD">
      <w:pPr>
        <w:pStyle w:val="NormalWeb"/>
        <w:jc w:val="both"/>
        <w:rPr>
          <w:rFonts w:ascii="Calibri" w:hAnsi="Calibri" w:cs="Calibri"/>
          <w:u w:val="single"/>
        </w:rPr>
      </w:pPr>
      <w:r w:rsidRPr="002259F1">
        <w:rPr>
          <w:rFonts w:ascii="Calibri" w:hAnsi="Calibri" w:cs="Calibri"/>
          <w:u w:val="single"/>
        </w:rPr>
        <w:t>Introduction</w:t>
      </w:r>
    </w:p>
    <w:p w14:paraId="7BA07009" w14:textId="03A81CAF" w:rsidR="00491E1C" w:rsidRPr="00491E1C" w:rsidRDefault="00491E1C" w:rsidP="006444FD">
      <w:pPr>
        <w:pStyle w:val="NormalWeb"/>
        <w:jc w:val="both"/>
        <w:rPr>
          <w:rFonts w:ascii="Calibri" w:hAnsi="Calibri" w:cs="Calibri"/>
        </w:rPr>
      </w:pPr>
      <w:r w:rsidRPr="00491E1C">
        <w:rPr>
          <w:rFonts w:ascii="Calibri" w:hAnsi="Calibri" w:cs="Calibri"/>
        </w:rPr>
        <w:t>In this critical analysis, I will delve into one key aspect of School X's development plan:</w:t>
      </w:r>
      <w:r w:rsidR="002259F1">
        <w:rPr>
          <w:rFonts w:ascii="Calibri" w:hAnsi="Calibri" w:cs="Calibri"/>
        </w:rPr>
        <w:t xml:space="preserve"> </w:t>
      </w:r>
      <w:r w:rsidRPr="00491E1C">
        <w:rPr>
          <w:rFonts w:ascii="Calibri" w:hAnsi="Calibri" w:cs="Calibri"/>
        </w:rPr>
        <w:t xml:space="preserve"> the initiative to close the literacy and numeracy gap between non-Education Free School Meals</w:t>
      </w:r>
      <w:r>
        <w:rPr>
          <w:rFonts w:ascii="Calibri" w:hAnsi="Calibri" w:cs="Calibri"/>
        </w:rPr>
        <w:t xml:space="preserve"> (EFSM) </w:t>
      </w:r>
      <w:r w:rsidRPr="00491E1C">
        <w:rPr>
          <w:rFonts w:ascii="Calibri" w:hAnsi="Calibri" w:cs="Calibri"/>
        </w:rPr>
        <w:t xml:space="preserve">and EFSM boys. </w:t>
      </w:r>
      <w:r>
        <w:rPr>
          <w:rFonts w:ascii="Calibri" w:hAnsi="Calibri" w:cs="Calibri"/>
        </w:rPr>
        <w:t xml:space="preserve"> Following </w:t>
      </w:r>
      <w:r w:rsidRPr="00491E1C">
        <w:rPr>
          <w:rFonts w:ascii="Calibri" w:hAnsi="Calibri" w:cs="Calibri"/>
        </w:rPr>
        <w:t>the British Educational Research Association (BERA) 2018 guidelines, the school will be anonymi</w:t>
      </w:r>
      <w:r>
        <w:rPr>
          <w:rFonts w:ascii="Calibri" w:hAnsi="Calibri" w:cs="Calibri"/>
        </w:rPr>
        <w:t>s</w:t>
      </w:r>
      <w:r w:rsidRPr="00491E1C">
        <w:rPr>
          <w:rFonts w:ascii="Calibri" w:hAnsi="Calibri" w:cs="Calibri"/>
        </w:rPr>
        <w:t>ed as School X throughout the assignment, ensuring confidentiality.</w:t>
      </w:r>
    </w:p>
    <w:p w14:paraId="233C03D4" w14:textId="4FBDBB01" w:rsidR="00491E1C" w:rsidRPr="00491E1C" w:rsidRDefault="00491E1C" w:rsidP="006444FD">
      <w:pPr>
        <w:pStyle w:val="NormalWeb"/>
        <w:jc w:val="both"/>
        <w:rPr>
          <w:rFonts w:ascii="Calibri" w:hAnsi="Calibri" w:cs="Calibri"/>
        </w:rPr>
      </w:pPr>
      <w:r w:rsidRPr="00491E1C">
        <w:rPr>
          <w:rFonts w:ascii="Calibri" w:hAnsi="Calibri" w:cs="Calibri"/>
        </w:rPr>
        <w:t xml:space="preserve">School X is a large community school </w:t>
      </w:r>
      <w:r>
        <w:rPr>
          <w:rFonts w:ascii="Calibri" w:hAnsi="Calibri" w:cs="Calibri"/>
        </w:rPr>
        <w:t xml:space="preserve">located </w:t>
      </w:r>
      <w:r w:rsidRPr="00491E1C">
        <w:rPr>
          <w:rFonts w:ascii="Calibri" w:hAnsi="Calibri" w:cs="Calibri"/>
        </w:rPr>
        <w:t xml:space="preserve">in Pembrokeshire, </w:t>
      </w:r>
      <w:r>
        <w:rPr>
          <w:rFonts w:ascii="Calibri" w:hAnsi="Calibri" w:cs="Calibri"/>
        </w:rPr>
        <w:t>with</w:t>
      </w:r>
      <w:r w:rsidRPr="00491E1C">
        <w:rPr>
          <w:rFonts w:ascii="Calibri" w:hAnsi="Calibri" w:cs="Calibri"/>
        </w:rPr>
        <w:t xml:space="preserve"> over 650 pupils, </w:t>
      </w:r>
      <w:r>
        <w:rPr>
          <w:rFonts w:ascii="Calibri" w:hAnsi="Calibri" w:cs="Calibri"/>
        </w:rPr>
        <w:t xml:space="preserve">not </w:t>
      </w:r>
      <w:r w:rsidRPr="00491E1C">
        <w:rPr>
          <w:rFonts w:ascii="Calibri" w:hAnsi="Calibri" w:cs="Calibri"/>
        </w:rPr>
        <w:t xml:space="preserve">including those in Flying Start classrooms. </w:t>
      </w:r>
      <w:r>
        <w:rPr>
          <w:rFonts w:ascii="Calibri" w:hAnsi="Calibri" w:cs="Calibri"/>
        </w:rPr>
        <w:t xml:space="preserve"> Situated in the centre of</w:t>
      </w:r>
      <w:r w:rsidRPr="00491E1C">
        <w:rPr>
          <w:rFonts w:ascii="Calibri" w:hAnsi="Calibri" w:cs="Calibri"/>
        </w:rPr>
        <w:t xml:space="preserve"> a highly deprived area, School X faces the challenge of addressing educational inequalities, predominantly in literacy and numeracy.</w:t>
      </w:r>
    </w:p>
    <w:p w14:paraId="4BC56B6A" w14:textId="1D610B66" w:rsidR="00491E1C" w:rsidRPr="00491E1C" w:rsidRDefault="00491E1C" w:rsidP="006444FD">
      <w:pPr>
        <w:pStyle w:val="NormalWeb"/>
        <w:jc w:val="both"/>
        <w:rPr>
          <w:rFonts w:ascii="Calibri" w:hAnsi="Calibri" w:cs="Calibri"/>
        </w:rPr>
      </w:pPr>
      <w:r w:rsidRPr="00491E1C">
        <w:rPr>
          <w:rFonts w:ascii="Calibri" w:hAnsi="Calibri" w:cs="Calibri"/>
        </w:rPr>
        <w:lastRenderedPageBreak/>
        <w:t>The school's development plan</w:t>
      </w:r>
      <w:r w:rsidR="002259F1">
        <w:rPr>
          <w:rFonts w:ascii="Calibri" w:hAnsi="Calibri" w:cs="Calibri"/>
        </w:rPr>
        <w:t xml:space="preserve"> (SDP)</w:t>
      </w:r>
      <w:r w:rsidRPr="00491E1C">
        <w:rPr>
          <w:rFonts w:ascii="Calibri" w:hAnsi="Calibri" w:cs="Calibri"/>
        </w:rPr>
        <w:t xml:space="preserve"> </w:t>
      </w:r>
      <w:r w:rsidR="002259F1" w:rsidRPr="00491E1C">
        <w:rPr>
          <w:rFonts w:ascii="Calibri" w:hAnsi="Calibri" w:cs="Calibri"/>
        </w:rPr>
        <w:t>highlights</w:t>
      </w:r>
      <w:r w:rsidRPr="00491E1C">
        <w:rPr>
          <w:rFonts w:ascii="Calibri" w:hAnsi="Calibri" w:cs="Calibri"/>
        </w:rPr>
        <w:t xml:space="preserve"> the urgency to tackle this gap, recogni</w:t>
      </w:r>
      <w:r>
        <w:rPr>
          <w:rFonts w:ascii="Calibri" w:hAnsi="Calibri" w:cs="Calibri"/>
        </w:rPr>
        <w:t>s</w:t>
      </w:r>
      <w:r w:rsidRPr="00491E1C">
        <w:rPr>
          <w:rFonts w:ascii="Calibri" w:hAnsi="Calibri" w:cs="Calibri"/>
        </w:rPr>
        <w:t xml:space="preserve">ing the significance of equitable education for all </w:t>
      </w:r>
      <w:r w:rsidR="002259F1">
        <w:rPr>
          <w:rFonts w:ascii="Calibri" w:hAnsi="Calibri" w:cs="Calibri"/>
        </w:rPr>
        <w:t>learners</w:t>
      </w:r>
      <w:r w:rsidRPr="00491E1C">
        <w:rPr>
          <w:rFonts w:ascii="Calibri" w:hAnsi="Calibri" w:cs="Calibri"/>
        </w:rPr>
        <w:t xml:space="preserve">. </w:t>
      </w:r>
      <w:r>
        <w:rPr>
          <w:rFonts w:ascii="Calibri" w:hAnsi="Calibri" w:cs="Calibri"/>
        </w:rPr>
        <w:t xml:space="preserve"> </w:t>
      </w:r>
      <w:r w:rsidRPr="00491E1C">
        <w:rPr>
          <w:rFonts w:ascii="Calibri" w:hAnsi="Calibri" w:cs="Calibri"/>
        </w:rPr>
        <w:t xml:space="preserve">Closing this gap aligns with broader educational goals </w:t>
      </w:r>
      <w:r>
        <w:rPr>
          <w:rFonts w:ascii="Calibri" w:hAnsi="Calibri" w:cs="Calibri"/>
        </w:rPr>
        <w:t>to</w:t>
      </w:r>
      <w:r w:rsidRPr="00491E1C">
        <w:rPr>
          <w:rFonts w:ascii="Calibri" w:hAnsi="Calibri" w:cs="Calibri"/>
        </w:rPr>
        <w:t xml:space="preserve"> foster inclusivity and ensur</w:t>
      </w:r>
      <w:r>
        <w:rPr>
          <w:rFonts w:ascii="Calibri" w:hAnsi="Calibri" w:cs="Calibri"/>
        </w:rPr>
        <w:t>e</w:t>
      </w:r>
      <w:r w:rsidRPr="00491E1C">
        <w:rPr>
          <w:rFonts w:ascii="Calibri" w:hAnsi="Calibri" w:cs="Calibri"/>
        </w:rPr>
        <w:t xml:space="preserve"> every student has equal opportunities for academic success.</w:t>
      </w:r>
    </w:p>
    <w:p w14:paraId="2CFB1B84" w14:textId="611C0785" w:rsidR="00491E1C" w:rsidRDefault="00491E1C" w:rsidP="006444FD">
      <w:pPr>
        <w:pStyle w:val="NormalWeb"/>
        <w:jc w:val="both"/>
        <w:rPr>
          <w:rFonts w:ascii="Calibri" w:hAnsi="Calibri" w:cs="Calibri"/>
        </w:rPr>
      </w:pPr>
      <w:r w:rsidRPr="00491E1C">
        <w:rPr>
          <w:rFonts w:ascii="Calibri" w:hAnsi="Calibri" w:cs="Calibri"/>
        </w:rPr>
        <w:t>To inform this analysis, I will draw upon relevant literature that explores strategies for addressing educational gaps, such as the impact of socioeconomic status on academic achievement (Sirin, 2005), effective interventions for closing the achievement gap (</w:t>
      </w:r>
      <w:r w:rsidR="006F4CE4" w:rsidRPr="006F4CE4">
        <w:rPr>
          <w:rFonts w:ascii="Calibri" w:hAnsi="Calibri" w:cs="Calibri"/>
          <w:color w:val="000000"/>
        </w:rPr>
        <w:t>Peterson et al.</w:t>
      </w:r>
      <w:r w:rsidR="006F4CE4" w:rsidRPr="006F4CE4">
        <w:rPr>
          <w:rFonts w:ascii="Calibri" w:hAnsi="Calibri" w:cs="Calibri"/>
          <w:color w:val="000000"/>
        </w:rPr>
        <w:t>2016</w:t>
      </w:r>
      <w:r w:rsidRPr="00491E1C">
        <w:rPr>
          <w:rFonts w:ascii="Calibri" w:hAnsi="Calibri" w:cs="Calibri"/>
        </w:rPr>
        <w:t xml:space="preserve">), and the role of targeted support in enhancing literacy and numeracy skills (DfE, 2019). </w:t>
      </w:r>
      <w:r>
        <w:rPr>
          <w:rFonts w:ascii="Calibri" w:hAnsi="Calibri" w:cs="Calibri"/>
        </w:rPr>
        <w:t xml:space="preserve"> </w:t>
      </w:r>
      <w:r w:rsidRPr="00491E1C">
        <w:rPr>
          <w:rFonts w:ascii="Calibri" w:hAnsi="Calibri" w:cs="Calibri"/>
        </w:rPr>
        <w:t>By critically examining School X's approach in light of this research, we can gain insights into the effectiveness of their strategies and identify areas for improvement.</w:t>
      </w:r>
    </w:p>
    <w:p w14:paraId="3BD18C9B" w14:textId="59CC09FD" w:rsidR="002259F1" w:rsidRPr="002259F1" w:rsidRDefault="002259F1" w:rsidP="006444FD">
      <w:pPr>
        <w:pStyle w:val="NormalWeb"/>
        <w:jc w:val="both"/>
        <w:rPr>
          <w:rFonts w:ascii="Calibri" w:hAnsi="Calibri" w:cs="Calibri"/>
          <w:u w:val="single"/>
        </w:rPr>
      </w:pPr>
      <w:r w:rsidRPr="002259F1">
        <w:rPr>
          <w:rFonts w:ascii="Calibri" w:hAnsi="Calibri" w:cs="Calibri"/>
          <w:u w:val="single"/>
        </w:rPr>
        <w:t>Literature review</w:t>
      </w:r>
    </w:p>
    <w:p w14:paraId="64A6C388" w14:textId="5531C591" w:rsidR="002259F1" w:rsidRPr="002259F1" w:rsidRDefault="00BF1E43" w:rsidP="006444FD">
      <w:pPr>
        <w:jc w:val="both"/>
        <w:rPr>
          <w:rFonts w:ascii="Calibri" w:hAnsi="Calibri" w:cs="Calibri"/>
        </w:rPr>
      </w:pPr>
      <w:r>
        <w:rPr>
          <w:rFonts w:ascii="Calibri" w:hAnsi="Calibri" w:cs="Calibri"/>
        </w:rPr>
        <w:t>SDPs</w:t>
      </w:r>
      <w:r w:rsidR="002259F1" w:rsidRPr="002259F1">
        <w:rPr>
          <w:rFonts w:ascii="Calibri" w:hAnsi="Calibri" w:cs="Calibri"/>
        </w:rPr>
        <w:t xml:space="preserve"> </w:t>
      </w:r>
      <w:r w:rsidRPr="002259F1">
        <w:rPr>
          <w:rFonts w:ascii="Calibri" w:hAnsi="Calibri" w:cs="Calibri"/>
        </w:rPr>
        <w:t>work</w:t>
      </w:r>
      <w:r w:rsidR="002259F1" w:rsidRPr="002259F1">
        <w:rPr>
          <w:rFonts w:ascii="Calibri" w:hAnsi="Calibri" w:cs="Calibri"/>
        </w:rPr>
        <w:t xml:space="preserve"> as </w:t>
      </w:r>
      <w:r>
        <w:rPr>
          <w:rFonts w:ascii="Calibri" w:hAnsi="Calibri" w:cs="Calibri"/>
        </w:rPr>
        <w:t xml:space="preserve">the main component </w:t>
      </w:r>
      <w:r w:rsidR="002259F1" w:rsidRPr="002259F1">
        <w:rPr>
          <w:rFonts w:ascii="Calibri" w:hAnsi="Calibri" w:cs="Calibri"/>
        </w:rPr>
        <w:t xml:space="preserve">for schools to achieve their educational goals and improve overall performance. </w:t>
      </w:r>
      <w:r>
        <w:rPr>
          <w:rFonts w:ascii="Calibri" w:hAnsi="Calibri" w:cs="Calibri"/>
        </w:rPr>
        <w:t xml:space="preserve"> </w:t>
      </w:r>
      <w:r w:rsidR="002259F1" w:rsidRPr="002259F1">
        <w:rPr>
          <w:rFonts w:ascii="Calibri" w:hAnsi="Calibri" w:cs="Calibri"/>
        </w:rPr>
        <w:t xml:space="preserve">They </w:t>
      </w:r>
      <w:r w:rsidRPr="002259F1">
        <w:rPr>
          <w:rFonts w:ascii="Calibri" w:hAnsi="Calibri" w:cs="Calibri"/>
        </w:rPr>
        <w:t>include</w:t>
      </w:r>
      <w:r w:rsidR="002259F1" w:rsidRPr="002259F1">
        <w:rPr>
          <w:rFonts w:ascii="Calibri" w:hAnsi="Calibri" w:cs="Calibri"/>
        </w:rPr>
        <w:t xml:space="preserve"> various aspects, including curriculum development, student well-being, staff development, and resource allocation. </w:t>
      </w:r>
      <w:r>
        <w:rPr>
          <w:rFonts w:ascii="Calibri" w:hAnsi="Calibri" w:cs="Calibri"/>
        </w:rPr>
        <w:t xml:space="preserve"> </w:t>
      </w:r>
      <w:r w:rsidR="002259F1" w:rsidRPr="002259F1">
        <w:rPr>
          <w:rFonts w:ascii="Calibri" w:hAnsi="Calibri" w:cs="Calibri"/>
        </w:rPr>
        <w:t>While SDPs are designed with good intentions, their effectiveness is a subject of debate among educators, policymakers, and researchers.</w:t>
      </w:r>
    </w:p>
    <w:p w14:paraId="6CA82F3D" w14:textId="77777777" w:rsidR="002259F1" w:rsidRPr="002259F1" w:rsidRDefault="002259F1" w:rsidP="006444FD">
      <w:pPr>
        <w:jc w:val="both"/>
        <w:rPr>
          <w:rFonts w:ascii="Calibri" w:hAnsi="Calibri" w:cs="Calibri"/>
        </w:rPr>
      </w:pPr>
    </w:p>
    <w:p w14:paraId="0B293A83" w14:textId="40D45A3D" w:rsidR="002259F1" w:rsidRPr="002259F1" w:rsidRDefault="00BF1E43" w:rsidP="006444FD">
      <w:pPr>
        <w:jc w:val="both"/>
        <w:rPr>
          <w:rFonts w:ascii="Calibri" w:hAnsi="Calibri" w:cs="Calibri"/>
        </w:rPr>
      </w:pPr>
      <w:r>
        <w:rPr>
          <w:rFonts w:ascii="Calibri" w:hAnsi="Calibri" w:cs="Calibri"/>
        </w:rPr>
        <w:t xml:space="preserve">One strength of </w:t>
      </w:r>
      <w:r w:rsidR="002259F1" w:rsidRPr="002259F1">
        <w:rPr>
          <w:rFonts w:ascii="Calibri" w:hAnsi="Calibri" w:cs="Calibri"/>
        </w:rPr>
        <w:t xml:space="preserve">SDPs </w:t>
      </w:r>
      <w:r>
        <w:rPr>
          <w:rFonts w:ascii="Calibri" w:hAnsi="Calibri" w:cs="Calibri"/>
        </w:rPr>
        <w:t xml:space="preserve">is that they </w:t>
      </w:r>
      <w:r w:rsidR="002259F1" w:rsidRPr="002259F1">
        <w:rPr>
          <w:rFonts w:ascii="Calibri" w:hAnsi="Calibri" w:cs="Calibri"/>
        </w:rPr>
        <w:t xml:space="preserve">provide a structured framework for schools to identify priorities and allocate resources effectively. </w:t>
      </w:r>
      <w:r>
        <w:rPr>
          <w:rFonts w:ascii="Calibri" w:hAnsi="Calibri" w:cs="Calibri"/>
        </w:rPr>
        <w:t xml:space="preserve"> </w:t>
      </w:r>
      <w:r w:rsidR="002259F1" w:rsidRPr="002259F1">
        <w:rPr>
          <w:rFonts w:ascii="Calibri" w:hAnsi="Calibri" w:cs="Calibri"/>
        </w:rPr>
        <w:t>They encourage collaboration among staff, students, parents, and the wider community, fostering a sense of ownership and shared responsibility for school improvement (</w:t>
      </w:r>
      <w:proofErr w:type="spellStart"/>
      <w:r w:rsidR="002259F1" w:rsidRPr="002259F1">
        <w:rPr>
          <w:rFonts w:ascii="Calibri" w:hAnsi="Calibri" w:cs="Calibri"/>
        </w:rPr>
        <w:t>Earley</w:t>
      </w:r>
      <w:proofErr w:type="spellEnd"/>
      <w:r w:rsidR="002259F1" w:rsidRPr="002259F1">
        <w:rPr>
          <w:rFonts w:ascii="Calibri" w:hAnsi="Calibri" w:cs="Calibri"/>
        </w:rPr>
        <w:t xml:space="preserve"> </w:t>
      </w:r>
      <w:r w:rsidR="00283A02">
        <w:rPr>
          <w:rFonts w:ascii="Calibri" w:hAnsi="Calibri" w:cs="Calibri"/>
        </w:rPr>
        <w:t>and</w:t>
      </w:r>
      <w:r w:rsidR="002259F1" w:rsidRPr="002259F1">
        <w:rPr>
          <w:rFonts w:ascii="Calibri" w:hAnsi="Calibri" w:cs="Calibri"/>
        </w:rPr>
        <w:t xml:space="preserve"> </w:t>
      </w:r>
      <w:proofErr w:type="spellStart"/>
      <w:r w:rsidR="002259F1" w:rsidRPr="002259F1">
        <w:rPr>
          <w:rFonts w:ascii="Calibri" w:hAnsi="Calibri" w:cs="Calibri"/>
        </w:rPr>
        <w:t>Greany</w:t>
      </w:r>
      <w:proofErr w:type="spellEnd"/>
      <w:r w:rsidR="002259F1" w:rsidRPr="002259F1">
        <w:rPr>
          <w:rFonts w:ascii="Calibri" w:hAnsi="Calibri" w:cs="Calibri"/>
        </w:rPr>
        <w:t xml:space="preserve">, 2017). </w:t>
      </w:r>
      <w:r>
        <w:rPr>
          <w:rFonts w:ascii="Calibri" w:hAnsi="Calibri" w:cs="Calibri"/>
        </w:rPr>
        <w:t xml:space="preserve"> </w:t>
      </w:r>
      <w:r w:rsidR="002259F1" w:rsidRPr="002259F1">
        <w:rPr>
          <w:rFonts w:ascii="Calibri" w:hAnsi="Calibri" w:cs="Calibri"/>
        </w:rPr>
        <w:t>Moreover, SDPs promote a culture of continuous improvement by setting clear targets, monitoring progress, and evaluating outcomes (</w:t>
      </w:r>
      <w:proofErr w:type="spellStart"/>
      <w:r w:rsidR="002259F1" w:rsidRPr="002259F1">
        <w:rPr>
          <w:rFonts w:ascii="Calibri" w:hAnsi="Calibri" w:cs="Calibri"/>
        </w:rPr>
        <w:t>Stringfield</w:t>
      </w:r>
      <w:proofErr w:type="spellEnd"/>
      <w:r w:rsidR="002259F1" w:rsidRPr="002259F1">
        <w:rPr>
          <w:rFonts w:ascii="Calibri" w:hAnsi="Calibri" w:cs="Calibri"/>
        </w:rPr>
        <w:t xml:space="preserve"> </w:t>
      </w:r>
      <w:r w:rsidR="00283A02">
        <w:rPr>
          <w:rFonts w:ascii="Calibri" w:hAnsi="Calibri" w:cs="Calibri"/>
        </w:rPr>
        <w:t>and</w:t>
      </w:r>
      <w:r w:rsidR="002259F1" w:rsidRPr="002259F1">
        <w:rPr>
          <w:rFonts w:ascii="Calibri" w:hAnsi="Calibri" w:cs="Calibri"/>
        </w:rPr>
        <w:t xml:space="preserve"> </w:t>
      </w:r>
      <w:proofErr w:type="spellStart"/>
      <w:r w:rsidR="002259F1" w:rsidRPr="002259F1">
        <w:rPr>
          <w:rFonts w:ascii="Calibri" w:hAnsi="Calibri" w:cs="Calibri"/>
        </w:rPr>
        <w:t>Datnow</w:t>
      </w:r>
      <w:proofErr w:type="spellEnd"/>
      <w:r w:rsidR="002259F1" w:rsidRPr="002259F1">
        <w:rPr>
          <w:rFonts w:ascii="Calibri" w:hAnsi="Calibri" w:cs="Calibri"/>
        </w:rPr>
        <w:t>, 2015).</w:t>
      </w:r>
    </w:p>
    <w:p w14:paraId="47B6771A" w14:textId="77777777" w:rsidR="002259F1" w:rsidRPr="002259F1" w:rsidRDefault="002259F1" w:rsidP="006444FD">
      <w:pPr>
        <w:jc w:val="both"/>
        <w:rPr>
          <w:rFonts w:ascii="Calibri" w:hAnsi="Calibri" w:cs="Calibri"/>
        </w:rPr>
      </w:pPr>
    </w:p>
    <w:p w14:paraId="3E03ED2C" w14:textId="7D3143DB" w:rsidR="002259F1" w:rsidRPr="002259F1" w:rsidRDefault="002259F1" w:rsidP="006444FD">
      <w:pPr>
        <w:jc w:val="both"/>
        <w:rPr>
          <w:rFonts w:ascii="Calibri" w:hAnsi="Calibri" w:cs="Calibri"/>
        </w:rPr>
      </w:pPr>
      <w:r w:rsidRPr="002259F1">
        <w:rPr>
          <w:rFonts w:ascii="Calibri" w:hAnsi="Calibri" w:cs="Calibri"/>
        </w:rPr>
        <w:t xml:space="preserve">However, critics argue that SDPs can be overly </w:t>
      </w:r>
      <w:r w:rsidR="00BF1E43" w:rsidRPr="002259F1">
        <w:rPr>
          <w:rFonts w:ascii="Calibri" w:hAnsi="Calibri" w:cs="Calibri"/>
        </w:rPr>
        <w:t>administrative</w:t>
      </w:r>
      <w:r w:rsidRPr="002259F1">
        <w:rPr>
          <w:rFonts w:ascii="Calibri" w:hAnsi="Calibri" w:cs="Calibri"/>
        </w:rPr>
        <w:t xml:space="preserve"> and fail to address the root causes of educational inequality. </w:t>
      </w:r>
      <w:r w:rsidR="00BF1E43">
        <w:rPr>
          <w:rFonts w:ascii="Calibri" w:hAnsi="Calibri" w:cs="Calibri"/>
        </w:rPr>
        <w:t xml:space="preserve"> </w:t>
      </w:r>
      <w:r w:rsidRPr="002259F1">
        <w:rPr>
          <w:rFonts w:ascii="Calibri" w:hAnsi="Calibri" w:cs="Calibri"/>
        </w:rPr>
        <w:t>Some research</w:t>
      </w:r>
      <w:r w:rsidR="00283A02">
        <w:rPr>
          <w:rFonts w:ascii="Calibri" w:hAnsi="Calibri" w:cs="Calibri"/>
        </w:rPr>
        <w:t>ers</w:t>
      </w:r>
      <w:r w:rsidRPr="002259F1">
        <w:rPr>
          <w:rFonts w:ascii="Calibri" w:hAnsi="Calibri" w:cs="Calibri"/>
        </w:rPr>
        <w:t xml:space="preserve"> suggest that the </w:t>
      </w:r>
      <w:r w:rsidR="00BF1E43">
        <w:rPr>
          <w:rFonts w:ascii="Calibri" w:hAnsi="Calibri" w:cs="Calibri"/>
        </w:rPr>
        <w:t>authoritative</w:t>
      </w:r>
      <w:r w:rsidRPr="002259F1">
        <w:rPr>
          <w:rFonts w:ascii="Calibri" w:hAnsi="Calibri" w:cs="Calibri"/>
        </w:rPr>
        <w:t xml:space="preserve"> nature of SDPs may limit teachers' autonomy and creativity, leading to a focus on compliance rather than innovation (Hargreaves </w:t>
      </w:r>
      <w:r w:rsidR="00283A02">
        <w:rPr>
          <w:rFonts w:ascii="Calibri" w:hAnsi="Calibri" w:cs="Calibri"/>
        </w:rPr>
        <w:t>and</w:t>
      </w:r>
      <w:r w:rsidRPr="002259F1">
        <w:rPr>
          <w:rFonts w:ascii="Calibri" w:hAnsi="Calibri" w:cs="Calibri"/>
        </w:rPr>
        <w:t xml:space="preserve"> Fullan, 2012). </w:t>
      </w:r>
      <w:r w:rsidR="00BF1E43">
        <w:rPr>
          <w:rFonts w:ascii="Calibri" w:hAnsi="Calibri" w:cs="Calibri"/>
        </w:rPr>
        <w:t xml:space="preserve"> </w:t>
      </w:r>
      <w:r w:rsidRPr="002259F1">
        <w:rPr>
          <w:rFonts w:ascii="Calibri" w:hAnsi="Calibri" w:cs="Calibri"/>
        </w:rPr>
        <w:t>Furthermore, SDPs often prioriti</w:t>
      </w:r>
      <w:r w:rsidR="00BF1E43">
        <w:rPr>
          <w:rFonts w:ascii="Calibri" w:hAnsi="Calibri" w:cs="Calibri"/>
        </w:rPr>
        <w:t>s</w:t>
      </w:r>
      <w:r w:rsidRPr="002259F1">
        <w:rPr>
          <w:rFonts w:ascii="Calibri" w:hAnsi="Calibri" w:cs="Calibri"/>
        </w:rPr>
        <w:t>e measurable outcomes, such as test scores, at the expense of holistic student development and well-being (Ball, 2016).</w:t>
      </w:r>
    </w:p>
    <w:p w14:paraId="37AE8AD3" w14:textId="77777777" w:rsidR="002259F1" w:rsidRPr="002259F1" w:rsidRDefault="002259F1" w:rsidP="006444FD">
      <w:pPr>
        <w:jc w:val="both"/>
        <w:rPr>
          <w:rFonts w:ascii="Calibri" w:hAnsi="Calibri" w:cs="Calibri"/>
        </w:rPr>
      </w:pPr>
    </w:p>
    <w:p w14:paraId="3E109253" w14:textId="12257330" w:rsidR="002259F1" w:rsidRPr="002259F1" w:rsidRDefault="002259F1" w:rsidP="006444FD">
      <w:pPr>
        <w:jc w:val="both"/>
        <w:rPr>
          <w:rFonts w:ascii="Calibri" w:hAnsi="Calibri" w:cs="Calibri"/>
        </w:rPr>
      </w:pPr>
      <w:r w:rsidRPr="002259F1">
        <w:rPr>
          <w:rFonts w:ascii="Calibri" w:hAnsi="Calibri" w:cs="Calibri"/>
        </w:rPr>
        <w:t>Those who support SDPs emphasi</w:t>
      </w:r>
      <w:r w:rsidR="00BF1E43">
        <w:rPr>
          <w:rFonts w:ascii="Calibri" w:hAnsi="Calibri" w:cs="Calibri"/>
        </w:rPr>
        <w:t>s</w:t>
      </w:r>
      <w:r w:rsidRPr="002259F1">
        <w:rPr>
          <w:rFonts w:ascii="Calibri" w:hAnsi="Calibri" w:cs="Calibri"/>
        </w:rPr>
        <w:t xml:space="preserve">e their role in </w:t>
      </w:r>
      <w:r w:rsidR="00BF1E43" w:rsidRPr="002259F1">
        <w:rPr>
          <w:rFonts w:ascii="Calibri" w:hAnsi="Calibri" w:cs="Calibri"/>
        </w:rPr>
        <w:t>influen</w:t>
      </w:r>
      <w:r w:rsidR="00A3213C">
        <w:rPr>
          <w:rFonts w:ascii="Calibri" w:hAnsi="Calibri" w:cs="Calibri"/>
        </w:rPr>
        <w:t>cing</w:t>
      </w:r>
      <w:r w:rsidRPr="002259F1">
        <w:rPr>
          <w:rFonts w:ascii="Calibri" w:hAnsi="Calibri" w:cs="Calibri"/>
        </w:rPr>
        <w:t xml:space="preserve"> school accountability and raising standards.</w:t>
      </w:r>
      <w:r w:rsidR="00A3213C">
        <w:rPr>
          <w:rFonts w:ascii="Calibri" w:hAnsi="Calibri" w:cs="Calibri"/>
        </w:rPr>
        <w:t xml:space="preserve">  Researchers</w:t>
      </w:r>
      <w:r w:rsidRPr="002259F1">
        <w:rPr>
          <w:rFonts w:ascii="Calibri" w:hAnsi="Calibri" w:cs="Calibri"/>
        </w:rPr>
        <w:t xml:space="preserve"> argue that by setting clear targets and holding stakeholders accountable for outcomes, SDPs can improve educational quality and ensure that resources are allocated where they are needed most (</w:t>
      </w:r>
      <w:proofErr w:type="spellStart"/>
      <w:r w:rsidRPr="002259F1">
        <w:rPr>
          <w:rFonts w:ascii="Calibri" w:hAnsi="Calibri" w:cs="Calibri"/>
        </w:rPr>
        <w:t>Leithwood</w:t>
      </w:r>
      <w:proofErr w:type="spellEnd"/>
      <w:r w:rsidRPr="002259F1">
        <w:rPr>
          <w:rFonts w:ascii="Calibri" w:hAnsi="Calibri" w:cs="Calibri"/>
        </w:rPr>
        <w:t xml:space="preserve"> </w:t>
      </w:r>
      <w:r w:rsidR="00283A02">
        <w:rPr>
          <w:rFonts w:ascii="Calibri" w:hAnsi="Calibri" w:cs="Calibri"/>
        </w:rPr>
        <w:t>and</w:t>
      </w:r>
      <w:r w:rsidRPr="002259F1">
        <w:rPr>
          <w:rFonts w:ascii="Calibri" w:hAnsi="Calibri" w:cs="Calibri"/>
        </w:rPr>
        <w:t xml:space="preserve"> </w:t>
      </w:r>
      <w:proofErr w:type="spellStart"/>
      <w:r w:rsidRPr="002259F1">
        <w:rPr>
          <w:rFonts w:ascii="Calibri" w:hAnsi="Calibri" w:cs="Calibri"/>
        </w:rPr>
        <w:t>Jantzi</w:t>
      </w:r>
      <w:proofErr w:type="spellEnd"/>
      <w:r w:rsidRPr="002259F1">
        <w:rPr>
          <w:rFonts w:ascii="Calibri" w:hAnsi="Calibri" w:cs="Calibri"/>
        </w:rPr>
        <w:t>, 2000).</w:t>
      </w:r>
      <w:r w:rsidR="00A3213C">
        <w:rPr>
          <w:rFonts w:ascii="Calibri" w:hAnsi="Calibri" w:cs="Calibri"/>
        </w:rPr>
        <w:t xml:space="preserve">  </w:t>
      </w:r>
      <w:r w:rsidRPr="002259F1">
        <w:rPr>
          <w:rFonts w:ascii="Calibri" w:hAnsi="Calibri" w:cs="Calibri"/>
        </w:rPr>
        <w:t xml:space="preserve">Additionally, SDPs can </w:t>
      </w:r>
      <w:r w:rsidR="00A3213C" w:rsidRPr="002259F1">
        <w:rPr>
          <w:rFonts w:ascii="Calibri" w:hAnsi="Calibri" w:cs="Calibri"/>
        </w:rPr>
        <w:t>enable</w:t>
      </w:r>
      <w:r w:rsidRPr="002259F1">
        <w:rPr>
          <w:rFonts w:ascii="Calibri" w:hAnsi="Calibri" w:cs="Calibri"/>
        </w:rPr>
        <w:t xml:space="preserve"> schools to respond effectively to </w:t>
      </w:r>
      <w:r w:rsidR="00A3213C">
        <w:rPr>
          <w:rFonts w:ascii="Calibri" w:hAnsi="Calibri" w:cs="Calibri"/>
        </w:rPr>
        <w:t>ever-</w:t>
      </w:r>
      <w:r w:rsidRPr="002259F1">
        <w:rPr>
          <w:rFonts w:ascii="Calibri" w:hAnsi="Calibri" w:cs="Calibri"/>
        </w:rPr>
        <w:t>changing educational contexts and the needs of diverse student populations (Fullan, 2007).</w:t>
      </w:r>
    </w:p>
    <w:p w14:paraId="1CCA538B" w14:textId="77777777" w:rsidR="002259F1" w:rsidRPr="002259F1" w:rsidRDefault="002259F1" w:rsidP="006444FD">
      <w:pPr>
        <w:jc w:val="both"/>
        <w:rPr>
          <w:rFonts w:ascii="Calibri" w:hAnsi="Calibri" w:cs="Calibri"/>
        </w:rPr>
      </w:pPr>
    </w:p>
    <w:p w14:paraId="18F3C9B9" w14:textId="057C1FBC" w:rsidR="002259F1" w:rsidRPr="002259F1" w:rsidRDefault="002259F1" w:rsidP="006444FD">
      <w:pPr>
        <w:jc w:val="both"/>
        <w:rPr>
          <w:rFonts w:ascii="Calibri" w:hAnsi="Calibri" w:cs="Calibri"/>
        </w:rPr>
      </w:pPr>
      <w:r w:rsidRPr="002259F1">
        <w:rPr>
          <w:rFonts w:ascii="Calibri" w:hAnsi="Calibri" w:cs="Calibri"/>
        </w:rPr>
        <w:t xml:space="preserve">On the other hand, </w:t>
      </w:r>
      <w:r w:rsidR="00A3213C" w:rsidRPr="002259F1">
        <w:rPr>
          <w:rFonts w:ascii="Calibri" w:hAnsi="Calibri" w:cs="Calibri"/>
        </w:rPr>
        <w:t>challengers</w:t>
      </w:r>
      <w:r w:rsidRPr="002259F1">
        <w:rPr>
          <w:rFonts w:ascii="Calibri" w:hAnsi="Calibri" w:cs="Calibri"/>
        </w:rPr>
        <w:t xml:space="preserve"> of SDPs contend that they promote a narrow, one-size-fits-all approach to school improvement that fails to consider the unique context and challenges of each school (Cuban, 2015). </w:t>
      </w:r>
      <w:r w:rsidR="00A3213C">
        <w:rPr>
          <w:rFonts w:ascii="Calibri" w:hAnsi="Calibri" w:cs="Calibri"/>
        </w:rPr>
        <w:t xml:space="preserve"> </w:t>
      </w:r>
      <w:r w:rsidRPr="002259F1">
        <w:rPr>
          <w:rFonts w:ascii="Calibri" w:hAnsi="Calibri" w:cs="Calibri"/>
        </w:rPr>
        <w:t xml:space="preserve">Critics argue that SDPs may </w:t>
      </w:r>
      <w:r w:rsidR="00A3213C" w:rsidRPr="002259F1">
        <w:rPr>
          <w:rFonts w:ascii="Calibri" w:hAnsi="Calibri" w:cs="Calibri"/>
        </w:rPr>
        <w:t>aggravate</w:t>
      </w:r>
      <w:r w:rsidRPr="002259F1">
        <w:rPr>
          <w:rFonts w:ascii="Calibri" w:hAnsi="Calibri" w:cs="Calibri"/>
        </w:rPr>
        <w:t xml:space="preserve"> inequalities by privileging schools with greater resources and capacity to meet targets while neglecting those facing more significant barriers to improvement (</w:t>
      </w:r>
      <w:r w:rsidR="0007028E" w:rsidRPr="0007028E">
        <w:rPr>
          <w:rFonts w:ascii="Calibri" w:hAnsi="Calibri" w:cs="Calibri"/>
          <w:color w:val="000000"/>
        </w:rPr>
        <w:t>Smith and Lynch, 2012</w:t>
      </w:r>
      <w:r w:rsidRPr="0007028E">
        <w:rPr>
          <w:rFonts w:ascii="Calibri" w:hAnsi="Calibri" w:cs="Calibri"/>
        </w:rPr>
        <w:t>).</w:t>
      </w:r>
    </w:p>
    <w:p w14:paraId="5B8E89F5" w14:textId="77777777" w:rsidR="002259F1" w:rsidRPr="002259F1" w:rsidRDefault="002259F1" w:rsidP="006444FD">
      <w:pPr>
        <w:jc w:val="both"/>
        <w:rPr>
          <w:rFonts w:ascii="Calibri" w:hAnsi="Calibri" w:cs="Calibri"/>
        </w:rPr>
      </w:pPr>
    </w:p>
    <w:p w14:paraId="7A108B76" w14:textId="68716472" w:rsidR="0025127B" w:rsidRDefault="00A3213C" w:rsidP="006444FD">
      <w:pPr>
        <w:jc w:val="both"/>
        <w:rPr>
          <w:rFonts w:ascii="Calibri" w:hAnsi="Calibri" w:cs="Calibri"/>
        </w:rPr>
      </w:pPr>
      <w:r>
        <w:rPr>
          <w:rFonts w:ascii="Calibri" w:hAnsi="Calibri" w:cs="Calibri"/>
        </w:rPr>
        <w:lastRenderedPageBreak/>
        <w:t>However, w</w:t>
      </w:r>
      <w:r w:rsidRPr="002259F1">
        <w:rPr>
          <w:rFonts w:ascii="Calibri" w:hAnsi="Calibri" w:cs="Calibri"/>
        </w:rPr>
        <w:t xml:space="preserve">hile </w:t>
      </w:r>
      <w:r>
        <w:rPr>
          <w:rFonts w:ascii="Calibri" w:hAnsi="Calibri" w:cs="Calibri"/>
        </w:rPr>
        <w:t xml:space="preserve">SDPs </w:t>
      </w:r>
      <w:r w:rsidR="002259F1" w:rsidRPr="002259F1">
        <w:rPr>
          <w:rFonts w:ascii="Calibri" w:hAnsi="Calibri" w:cs="Calibri"/>
        </w:rPr>
        <w:t xml:space="preserve">offer a structured approach to school improvement, their effectiveness depends on various factors, including the context in which they are implemented and the extent to which they empower stakeholders and address systemic inequalities. </w:t>
      </w:r>
      <w:r>
        <w:rPr>
          <w:rFonts w:ascii="Calibri" w:hAnsi="Calibri" w:cs="Calibri"/>
        </w:rPr>
        <w:t xml:space="preserve"> </w:t>
      </w:r>
      <w:r w:rsidR="002259F1" w:rsidRPr="002259F1">
        <w:rPr>
          <w:rFonts w:ascii="Calibri" w:hAnsi="Calibri" w:cs="Calibri"/>
        </w:rPr>
        <w:t>By critically examining the strengths and limitations of SDPs, educators and policymakers can work towards more inclusive and equitable approaches to school improvement.</w:t>
      </w:r>
    </w:p>
    <w:p w14:paraId="314B85F3" w14:textId="77777777" w:rsidR="00A3213C" w:rsidRPr="00A3213C" w:rsidRDefault="00A3213C" w:rsidP="006444FD">
      <w:pPr>
        <w:jc w:val="both"/>
        <w:rPr>
          <w:rFonts w:ascii="Calibri" w:hAnsi="Calibri" w:cs="Calibri"/>
        </w:rPr>
      </w:pPr>
      <w:r w:rsidRPr="00A3213C">
        <w:rPr>
          <w:rFonts w:ascii="Calibri" w:hAnsi="Calibri" w:cs="Calibri"/>
        </w:rPr>
        <w:t>The gap in literacy and numeracy attainment between Education Free School Meals (EFSM) and non-EFSM boys is a significant issue in education, both in Wales and globally. Numerous studies and statistics highlight the extent of this gap, shedding light on its causes and potential solutions.</w:t>
      </w:r>
    </w:p>
    <w:p w14:paraId="395E8B00" w14:textId="77777777" w:rsidR="00A3213C" w:rsidRPr="00A3213C" w:rsidRDefault="00A3213C" w:rsidP="006444FD">
      <w:pPr>
        <w:jc w:val="both"/>
        <w:rPr>
          <w:rFonts w:ascii="Calibri" w:hAnsi="Calibri" w:cs="Calibri"/>
        </w:rPr>
      </w:pPr>
    </w:p>
    <w:p w14:paraId="7B076307" w14:textId="5CC90455" w:rsidR="00A3213C" w:rsidRPr="00A3213C" w:rsidRDefault="00A3213C" w:rsidP="006444FD">
      <w:pPr>
        <w:jc w:val="both"/>
        <w:rPr>
          <w:rFonts w:ascii="Calibri" w:hAnsi="Calibri" w:cs="Calibri"/>
        </w:rPr>
      </w:pPr>
      <w:r w:rsidRPr="00A3213C">
        <w:rPr>
          <w:rFonts w:ascii="Calibri" w:hAnsi="Calibri" w:cs="Calibri"/>
        </w:rPr>
        <w:t xml:space="preserve">In Wales, data from the Welsh Government the School Dashboard </w:t>
      </w:r>
      <w:r>
        <w:rPr>
          <w:rFonts w:ascii="Calibri" w:hAnsi="Calibri" w:cs="Calibri"/>
        </w:rPr>
        <w:t xml:space="preserve">and </w:t>
      </w:r>
      <w:r w:rsidRPr="00A3213C">
        <w:rPr>
          <w:rFonts w:ascii="Calibri" w:hAnsi="Calibri" w:cs="Calibri"/>
        </w:rPr>
        <w:t>HWB indicate persistent disparities in literacy and numeracy outcomes between EFSM and non-EFSM boys. For instance, the 2020 School Performance Data revealed that EFSM boys were significantly less likely to achieve expected levels in reading, writing, and mathematics compared to their non-EFSM</w:t>
      </w:r>
      <w:r>
        <w:rPr>
          <w:rFonts w:ascii="Calibri" w:hAnsi="Calibri" w:cs="Calibri"/>
        </w:rPr>
        <w:t xml:space="preserve"> peers</w:t>
      </w:r>
      <w:r w:rsidRPr="00A3213C">
        <w:rPr>
          <w:rFonts w:ascii="Calibri" w:hAnsi="Calibri" w:cs="Calibri"/>
        </w:rPr>
        <w:t xml:space="preserve">. </w:t>
      </w:r>
      <w:r>
        <w:rPr>
          <w:rFonts w:ascii="Calibri" w:hAnsi="Calibri" w:cs="Calibri"/>
        </w:rPr>
        <w:t xml:space="preserve"> </w:t>
      </w:r>
      <w:r w:rsidRPr="00A3213C">
        <w:rPr>
          <w:rFonts w:ascii="Calibri" w:hAnsi="Calibri" w:cs="Calibri"/>
        </w:rPr>
        <w:t>This gap is particularly noticeable in areas of high deprivation, reflecting broader socioeconomic disparities (Welsh Government, 2020).</w:t>
      </w:r>
    </w:p>
    <w:p w14:paraId="656EF030" w14:textId="77777777" w:rsidR="00A3213C" w:rsidRPr="00A3213C" w:rsidRDefault="00A3213C" w:rsidP="006444FD">
      <w:pPr>
        <w:jc w:val="both"/>
        <w:rPr>
          <w:rFonts w:ascii="Calibri" w:hAnsi="Calibri" w:cs="Calibri"/>
        </w:rPr>
      </w:pPr>
    </w:p>
    <w:p w14:paraId="6C0149CF" w14:textId="5D97988A" w:rsidR="00A3213C" w:rsidRPr="00A3213C" w:rsidRDefault="00A3213C" w:rsidP="006444FD">
      <w:pPr>
        <w:jc w:val="both"/>
        <w:rPr>
          <w:rFonts w:ascii="Calibri" w:hAnsi="Calibri" w:cs="Calibri"/>
        </w:rPr>
      </w:pPr>
      <w:r w:rsidRPr="00A3213C">
        <w:rPr>
          <w:rFonts w:ascii="Calibri" w:hAnsi="Calibri" w:cs="Calibri"/>
        </w:rPr>
        <w:t xml:space="preserve">Researchers such as Sirin (2005) argue that socioeconomic factors, including poverty, parental education, and home learning environments, play a crucial role in </w:t>
      </w:r>
      <w:r w:rsidR="00E24A7B" w:rsidRPr="00A3213C">
        <w:rPr>
          <w:rFonts w:ascii="Calibri" w:hAnsi="Calibri" w:cs="Calibri"/>
        </w:rPr>
        <w:t>spreading</w:t>
      </w:r>
      <w:r w:rsidRPr="00A3213C">
        <w:rPr>
          <w:rFonts w:ascii="Calibri" w:hAnsi="Calibri" w:cs="Calibri"/>
        </w:rPr>
        <w:t xml:space="preserve"> the gap.</w:t>
      </w:r>
      <w:r w:rsidR="00323196">
        <w:rPr>
          <w:rFonts w:ascii="Calibri" w:hAnsi="Calibri" w:cs="Calibri"/>
        </w:rPr>
        <w:t xml:space="preserve"> </w:t>
      </w:r>
      <w:r w:rsidRPr="00A3213C">
        <w:rPr>
          <w:rFonts w:ascii="Calibri" w:hAnsi="Calibri" w:cs="Calibri"/>
        </w:rPr>
        <w:t xml:space="preserve"> Children from disadvantaged backgrounds often have limited access to educational resources and experiences that foster literacy and numeracy skills, contributing to their lower attainment levels.</w:t>
      </w:r>
    </w:p>
    <w:p w14:paraId="08798B61" w14:textId="77777777" w:rsidR="00A3213C" w:rsidRPr="00A3213C" w:rsidRDefault="00A3213C" w:rsidP="006444FD">
      <w:pPr>
        <w:jc w:val="both"/>
        <w:rPr>
          <w:rFonts w:ascii="Calibri" w:hAnsi="Calibri" w:cs="Calibri"/>
        </w:rPr>
      </w:pPr>
    </w:p>
    <w:p w14:paraId="39E4C169" w14:textId="75DFAA3D" w:rsidR="00A3213C" w:rsidRPr="00A3213C" w:rsidRDefault="00323196" w:rsidP="006444FD">
      <w:pPr>
        <w:jc w:val="both"/>
        <w:rPr>
          <w:rFonts w:ascii="Calibri" w:hAnsi="Calibri" w:cs="Calibri"/>
        </w:rPr>
      </w:pPr>
      <w:r w:rsidRPr="00A3213C">
        <w:rPr>
          <w:rFonts w:ascii="Calibri" w:hAnsi="Calibri" w:cs="Calibri"/>
        </w:rPr>
        <w:t>Furthermore</w:t>
      </w:r>
      <w:r w:rsidR="00A3213C" w:rsidRPr="00A3213C">
        <w:rPr>
          <w:rFonts w:ascii="Calibri" w:hAnsi="Calibri" w:cs="Calibri"/>
        </w:rPr>
        <w:t xml:space="preserve">, cultural and societal stereotypes can influence educational outcomes. </w:t>
      </w:r>
      <w:r>
        <w:rPr>
          <w:rFonts w:ascii="Calibri" w:hAnsi="Calibri" w:cs="Calibri"/>
        </w:rPr>
        <w:t xml:space="preserve"> </w:t>
      </w:r>
      <w:r w:rsidR="00A3213C" w:rsidRPr="00A3213C">
        <w:rPr>
          <w:rFonts w:ascii="Calibri" w:hAnsi="Calibri" w:cs="Calibri"/>
        </w:rPr>
        <w:t>Some theorists, like Bourdieu (1977), emphasi</w:t>
      </w:r>
      <w:r>
        <w:rPr>
          <w:rFonts w:ascii="Calibri" w:hAnsi="Calibri" w:cs="Calibri"/>
        </w:rPr>
        <w:t>s</w:t>
      </w:r>
      <w:r w:rsidR="00A3213C" w:rsidRPr="00A3213C">
        <w:rPr>
          <w:rFonts w:ascii="Calibri" w:hAnsi="Calibri" w:cs="Calibri"/>
        </w:rPr>
        <w:t xml:space="preserve">e the role of cultural capital, suggesting that children from </w:t>
      </w:r>
      <w:r w:rsidRPr="00A3213C">
        <w:rPr>
          <w:rFonts w:ascii="Calibri" w:hAnsi="Calibri" w:cs="Calibri"/>
        </w:rPr>
        <w:t>wealthy</w:t>
      </w:r>
      <w:r w:rsidR="00A3213C" w:rsidRPr="00A3213C">
        <w:rPr>
          <w:rFonts w:ascii="Calibri" w:hAnsi="Calibri" w:cs="Calibri"/>
        </w:rPr>
        <w:t xml:space="preserve"> backgrounds possess cultural resources and expectations that give them an advantage in education. </w:t>
      </w:r>
      <w:r>
        <w:rPr>
          <w:rFonts w:ascii="Calibri" w:hAnsi="Calibri" w:cs="Calibri"/>
        </w:rPr>
        <w:t xml:space="preserve"> </w:t>
      </w:r>
      <w:r w:rsidR="00A3213C" w:rsidRPr="00A3213C">
        <w:rPr>
          <w:rFonts w:ascii="Calibri" w:hAnsi="Calibri" w:cs="Calibri"/>
        </w:rPr>
        <w:t>This perspective highlights the need to address not only material inequalities but also the cultural barriers that perpetuate educational disparities.</w:t>
      </w:r>
    </w:p>
    <w:p w14:paraId="17DCA354" w14:textId="77777777" w:rsidR="00A3213C" w:rsidRPr="00A3213C" w:rsidRDefault="00A3213C" w:rsidP="006444FD">
      <w:pPr>
        <w:jc w:val="both"/>
        <w:rPr>
          <w:rFonts w:ascii="Calibri" w:hAnsi="Calibri" w:cs="Calibri"/>
        </w:rPr>
      </w:pPr>
    </w:p>
    <w:p w14:paraId="06727A40" w14:textId="2092E4CB" w:rsidR="00A3213C" w:rsidRPr="00A3213C" w:rsidRDefault="00A3213C" w:rsidP="006444FD">
      <w:pPr>
        <w:jc w:val="both"/>
        <w:rPr>
          <w:rFonts w:ascii="Calibri" w:hAnsi="Calibri" w:cs="Calibri"/>
        </w:rPr>
      </w:pPr>
      <w:r w:rsidRPr="00A3213C">
        <w:rPr>
          <w:rFonts w:ascii="Calibri" w:hAnsi="Calibri" w:cs="Calibri"/>
        </w:rPr>
        <w:t xml:space="preserve">While there is consensus among researchers about the existence and causes of the EFSM/non-EFSM attainment gap, opinions vary on the most effective interventions. </w:t>
      </w:r>
      <w:r w:rsidR="00323196">
        <w:rPr>
          <w:rFonts w:ascii="Calibri" w:hAnsi="Calibri" w:cs="Calibri"/>
        </w:rPr>
        <w:t xml:space="preserve"> </w:t>
      </w:r>
      <w:r w:rsidRPr="00A3213C">
        <w:rPr>
          <w:rFonts w:ascii="Calibri" w:hAnsi="Calibri" w:cs="Calibri"/>
        </w:rPr>
        <w:t>Hattie (2009) suggests that targeted interventions, such as one-on-one tutoring and small-group instruction, can narrow the gap by providing additional support to disadvantaged students. Similarly, the Education Endowment Foundation (EEF) advocates for evidence-based approaches, such as high-quality teaching and targeted support programs, to improve outcomes for disadvantaged learners (EEF, 2018).</w:t>
      </w:r>
    </w:p>
    <w:p w14:paraId="70C8AD95" w14:textId="77777777" w:rsidR="00A3213C" w:rsidRPr="00A3213C" w:rsidRDefault="00A3213C" w:rsidP="006444FD">
      <w:pPr>
        <w:jc w:val="both"/>
        <w:rPr>
          <w:rFonts w:ascii="Calibri" w:hAnsi="Calibri" w:cs="Calibri"/>
        </w:rPr>
      </w:pPr>
    </w:p>
    <w:p w14:paraId="5DB82024" w14:textId="1BC3C153" w:rsidR="00A3213C" w:rsidRPr="00A3213C" w:rsidRDefault="00A3213C" w:rsidP="006444FD">
      <w:pPr>
        <w:jc w:val="both"/>
        <w:rPr>
          <w:rFonts w:ascii="Calibri" w:hAnsi="Calibri" w:cs="Calibri"/>
        </w:rPr>
      </w:pPr>
      <w:r w:rsidRPr="00A3213C">
        <w:rPr>
          <w:rFonts w:ascii="Calibri" w:hAnsi="Calibri" w:cs="Calibri"/>
        </w:rPr>
        <w:t xml:space="preserve">However, some researchers caution against solely focusing on individual interventions, arguing that broader systemic changes are necessary to address the root causes of educational inequality (Gewirtz et al., 1995). </w:t>
      </w:r>
      <w:r w:rsidR="00E24A7B">
        <w:rPr>
          <w:rFonts w:ascii="Calibri" w:hAnsi="Calibri" w:cs="Calibri"/>
        </w:rPr>
        <w:t xml:space="preserve"> </w:t>
      </w:r>
      <w:r w:rsidRPr="00A3213C">
        <w:rPr>
          <w:rFonts w:ascii="Calibri" w:hAnsi="Calibri" w:cs="Calibri"/>
        </w:rPr>
        <w:t>They advocate for policies that tackle poverty, improve access to early childhood education, and promote parental engagement to create more equitable learning environments.</w:t>
      </w:r>
    </w:p>
    <w:p w14:paraId="7BB5FE62" w14:textId="77777777" w:rsidR="00A3213C" w:rsidRPr="00A3213C" w:rsidRDefault="00A3213C" w:rsidP="006444FD">
      <w:pPr>
        <w:jc w:val="both"/>
        <w:rPr>
          <w:rFonts w:ascii="Calibri" w:hAnsi="Calibri" w:cs="Calibri"/>
        </w:rPr>
      </w:pPr>
    </w:p>
    <w:p w14:paraId="5BDA1C20" w14:textId="036BE76C" w:rsidR="00A3213C" w:rsidRDefault="00323196" w:rsidP="006444FD">
      <w:pPr>
        <w:jc w:val="both"/>
        <w:rPr>
          <w:rFonts w:ascii="Calibri" w:hAnsi="Calibri" w:cs="Calibri"/>
        </w:rPr>
      </w:pPr>
      <w:r>
        <w:rPr>
          <w:rFonts w:ascii="Calibri" w:hAnsi="Calibri" w:cs="Calibri"/>
        </w:rPr>
        <w:t>T</w:t>
      </w:r>
      <w:r w:rsidR="00A3213C" w:rsidRPr="00A3213C">
        <w:rPr>
          <w:rFonts w:ascii="Calibri" w:hAnsi="Calibri" w:cs="Calibri"/>
        </w:rPr>
        <w:t xml:space="preserve">he gap in literacy and numeracy attainment between EFSM and non-EFSM boys is a </w:t>
      </w:r>
      <w:r w:rsidRPr="00A3213C">
        <w:rPr>
          <w:rFonts w:ascii="Calibri" w:hAnsi="Calibri" w:cs="Calibri"/>
        </w:rPr>
        <w:t>complicated</w:t>
      </w:r>
      <w:r w:rsidR="00A3213C" w:rsidRPr="00A3213C">
        <w:rPr>
          <w:rFonts w:ascii="Calibri" w:hAnsi="Calibri" w:cs="Calibri"/>
        </w:rPr>
        <w:t xml:space="preserve"> issue with deep-seated socioeconomic and cultural roots. </w:t>
      </w:r>
      <w:r>
        <w:rPr>
          <w:rFonts w:ascii="Calibri" w:hAnsi="Calibri" w:cs="Calibri"/>
        </w:rPr>
        <w:t xml:space="preserve"> </w:t>
      </w:r>
      <w:r w:rsidR="00A3213C" w:rsidRPr="00A3213C">
        <w:rPr>
          <w:rFonts w:ascii="Calibri" w:hAnsi="Calibri" w:cs="Calibri"/>
        </w:rPr>
        <w:t>While targeted interventions can help narrow the gap, addressing systemic inequalities and promoting inclusive educational policies are essential for achieving lasting change</w:t>
      </w:r>
      <w:r w:rsidR="00E24A7B">
        <w:rPr>
          <w:rFonts w:ascii="Calibri" w:hAnsi="Calibri" w:cs="Calibri"/>
        </w:rPr>
        <w:t xml:space="preserve"> within a school SDP</w:t>
      </w:r>
      <w:r w:rsidR="00A3213C" w:rsidRPr="00A3213C">
        <w:rPr>
          <w:rFonts w:ascii="Calibri" w:hAnsi="Calibri" w:cs="Calibri"/>
        </w:rPr>
        <w:t>.</w:t>
      </w:r>
    </w:p>
    <w:p w14:paraId="2B067169" w14:textId="77777777" w:rsidR="00323196" w:rsidRDefault="00323196" w:rsidP="006444FD">
      <w:pPr>
        <w:jc w:val="both"/>
        <w:rPr>
          <w:rFonts w:ascii="Calibri" w:hAnsi="Calibri" w:cs="Calibri"/>
        </w:rPr>
      </w:pPr>
    </w:p>
    <w:p w14:paraId="4991BA93" w14:textId="6601142E" w:rsidR="00323196" w:rsidRPr="00323196" w:rsidRDefault="00323196" w:rsidP="006444FD">
      <w:pPr>
        <w:jc w:val="both"/>
        <w:rPr>
          <w:rFonts w:ascii="Calibri" w:hAnsi="Calibri" w:cs="Calibri"/>
          <w:u w:val="single"/>
        </w:rPr>
      </w:pPr>
      <w:r w:rsidRPr="00323196">
        <w:rPr>
          <w:rFonts w:ascii="Calibri" w:hAnsi="Calibri" w:cs="Calibri"/>
          <w:u w:val="single"/>
        </w:rPr>
        <w:t>Action point</w:t>
      </w:r>
    </w:p>
    <w:p w14:paraId="76AF66CD" w14:textId="0AB6E6E8" w:rsidR="00323196" w:rsidRPr="00323196" w:rsidRDefault="00323196" w:rsidP="006444FD">
      <w:pPr>
        <w:jc w:val="both"/>
        <w:rPr>
          <w:rFonts w:ascii="Calibri" w:hAnsi="Calibri" w:cs="Calibri"/>
        </w:rPr>
      </w:pPr>
      <w:r w:rsidRPr="00323196">
        <w:rPr>
          <w:rFonts w:ascii="Calibri" w:hAnsi="Calibri" w:cs="Calibri"/>
        </w:rPr>
        <w:t xml:space="preserve">The SDP is a vital tool for guiding school improvement efforts, incorporating processes such as self-evaluation, data analysis, stakeholder involvement, strategic planning, and impact measurement. </w:t>
      </w:r>
      <w:r>
        <w:rPr>
          <w:rFonts w:ascii="Calibri" w:hAnsi="Calibri" w:cs="Calibri"/>
        </w:rPr>
        <w:t xml:space="preserve"> </w:t>
      </w:r>
      <w:r w:rsidRPr="00323196">
        <w:rPr>
          <w:rFonts w:ascii="Calibri" w:hAnsi="Calibri" w:cs="Calibri"/>
        </w:rPr>
        <w:t>While SDPs are intended to motivat</w:t>
      </w:r>
      <w:r>
        <w:rPr>
          <w:rFonts w:ascii="Calibri" w:hAnsi="Calibri" w:cs="Calibri"/>
        </w:rPr>
        <w:t>e</w:t>
      </w:r>
      <w:r w:rsidRPr="00323196">
        <w:rPr>
          <w:rFonts w:ascii="Calibri" w:hAnsi="Calibri" w:cs="Calibri"/>
        </w:rPr>
        <w:t xml:space="preserve"> positive change, their effectiveness can vary, and critical evaluation of their processes and outcomes is essential.</w:t>
      </w:r>
    </w:p>
    <w:p w14:paraId="4207B8AA" w14:textId="77777777" w:rsidR="00323196" w:rsidRPr="00323196" w:rsidRDefault="00323196" w:rsidP="006444FD">
      <w:pPr>
        <w:jc w:val="both"/>
        <w:rPr>
          <w:rFonts w:ascii="Calibri" w:hAnsi="Calibri" w:cs="Calibri"/>
        </w:rPr>
      </w:pPr>
    </w:p>
    <w:p w14:paraId="3D4424B4" w14:textId="47AEBEE5" w:rsidR="00323196" w:rsidRPr="00323196" w:rsidRDefault="00323196" w:rsidP="006444FD">
      <w:pPr>
        <w:jc w:val="both"/>
        <w:rPr>
          <w:rFonts w:ascii="Calibri" w:hAnsi="Calibri" w:cs="Calibri"/>
        </w:rPr>
      </w:pPr>
      <w:r w:rsidRPr="00323196">
        <w:rPr>
          <w:rFonts w:ascii="Calibri" w:hAnsi="Calibri" w:cs="Calibri"/>
        </w:rPr>
        <w:t xml:space="preserve">Self-evaluation is a </w:t>
      </w:r>
      <w:r w:rsidR="00DC7A6F" w:rsidRPr="00323196">
        <w:rPr>
          <w:rFonts w:ascii="Calibri" w:hAnsi="Calibri" w:cs="Calibri"/>
        </w:rPr>
        <w:t>foundation</w:t>
      </w:r>
      <w:r w:rsidRPr="00323196">
        <w:rPr>
          <w:rFonts w:ascii="Calibri" w:hAnsi="Calibri" w:cs="Calibri"/>
        </w:rPr>
        <w:t xml:space="preserve"> of the SDP process, involving reflective assessment of the school's strengths and weaknesses. </w:t>
      </w:r>
      <w:r w:rsidR="00DC7A6F">
        <w:rPr>
          <w:rFonts w:ascii="Calibri" w:hAnsi="Calibri" w:cs="Calibri"/>
        </w:rPr>
        <w:t xml:space="preserve"> </w:t>
      </w:r>
      <w:r>
        <w:rPr>
          <w:rFonts w:ascii="Calibri" w:hAnsi="Calibri" w:cs="Calibri"/>
        </w:rPr>
        <w:t xml:space="preserve">School X </w:t>
      </w:r>
      <w:r w:rsidRPr="00323196">
        <w:rPr>
          <w:rFonts w:ascii="Calibri" w:hAnsi="Calibri" w:cs="Calibri"/>
        </w:rPr>
        <w:t>often utili</w:t>
      </w:r>
      <w:r w:rsidR="00DC7A6F">
        <w:rPr>
          <w:rFonts w:ascii="Calibri" w:hAnsi="Calibri" w:cs="Calibri"/>
        </w:rPr>
        <w:t>s</w:t>
      </w:r>
      <w:r w:rsidRPr="00323196">
        <w:rPr>
          <w:rFonts w:ascii="Calibri" w:hAnsi="Calibri" w:cs="Calibri"/>
        </w:rPr>
        <w:t xml:space="preserve">es various data sources, including </w:t>
      </w:r>
      <w:r w:rsidR="00370832">
        <w:rPr>
          <w:rFonts w:ascii="Calibri" w:hAnsi="Calibri" w:cs="Calibri"/>
        </w:rPr>
        <w:t>termly test</w:t>
      </w:r>
      <w:r w:rsidRPr="00323196">
        <w:rPr>
          <w:rFonts w:ascii="Calibri" w:hAnsi="Calibri" w:cs="Calibri"/>
        </w:rPr>
        <w:t xml:space="preserve"> results, and feedback from staff, </w:t>
      </w:r>
      <w:r w:rsidR="00370832">
        <w:rPr>
          <w:rFonts w:ascii="Calibri" w:hAnsi="Calibri" w:cs="Calibri"/>
        </w:rPr>
        <w:t>learners</w:t>
      </w:r>
      <w:r w:rsidRPr="00323196">
        <w:rPr>
          <w:rFonts w:ascii="Calibri" w:hAnsi="Calibri" w:cs="Calibri"/>
        </w:rPr>
        <w:t>, and parents</w:t>
      </w:r>
      <w:r>
        <w:rPr>
          <w:rFonts w:ascii="Calibri" w:hAnsi="Calibri" w:cs="Calibri"/>
        </w:rPr>
        <w:t xml:space="preserve"> to measure the impact of the</w:t>
      </w:r>
      <w:r w:rsidR="00FB0D8F">
        <w:rPr>
          <w:rFonts w:ascii="Calibri" w:hAnsi="Calibri" w:cs="Calibri"/>
        </w:rPr>
        <w:t xml:space="preserve"> literacy and numer</w:t>
      </w:r>
      <w:r w:rsidR="00644E84">
        <w:rPr>
          <w:rFonts w:ascii="Calibri" w:hAnsi="Calibri" w:cs="Calibri"/>
        </w:rPr>
        <w:t>a</w:t>
      </w:r>
      <w:r w:rsidR="00FB0D8F">
        <w:rPr>
          <w:rFonts w:ascii="Calibri" w:hAnsi="Calibri" w:cs="Calibri"/>
        </w:rPr>
        <w:t xml:space="preserve">cy </w:t>
      </w:r>
      <w:r w:rsidR="00644E84">
        <w:rPr>
          <w:rFonts w:ascii="Calibri" w:hAnsi="Calibri" w:cs="Calibri"/>
        </w:rPr>
        <w:t>interventions</w:t>
      </w:r>
      <w:r>
        <w:rPr>
          <w:rFonts w:ascii="Calibri" w:hAnsi="Calibri" w:cs="Calibri"/>
        </w:rPr>
        <w:t xml:space="preserve"> rollout throughout the w</w:t>
      </w:r>
      <w:r w:rsidR="00DC7A6F">
        <w:rPr>
          <w:rFonts w:ascii="Calibri" w:hAnsi="Calibri" w:cs="Calibri"/>
        </w:rPr>
        <w:t>h</w:t>
      </w:r>
      <w:r>
        <w:rPr>
          <w:rFonts w:ascii="Calibri" w:hAnsi="Calibri" w:cs="Calibri"/>
        </w:rPr>
        <w:t>ole schoo</w:t>
      </w:r>
      <w:r w:rsidR="00DC7A6F">
        <w:rPr>
          <w:rFonts w:ascii="Calibri" w:hAnsi="Calibri" w:cs="Calibri"/>
        </w:rPr>
        <w:t>l</w:t>
      </w:r>
      <w:r w:rsidRPr="00323196">
        <w:rPr>
          <w:rFonts w:ascii="Calibri" w:hAnsi="Calibri" w:cs="Calibri"/>
        </w:rPr>
        <w:t xml:space="preserve">. </w:t>
      </w:r>
      <w:r w:rsidR="00DC7A6F">
        <w:rPr>
          <w:rFonts w:ascii="Calibri" w:hAnsi="Calibri" w:cs="Calibri"/>
        </w:rPr>
        <w:t xml:space="preserve"> This process is carried out termly to collect enough data to show how effective the motions they have put in place have been.</w:t>
      </w:r>
      <w:r w:rsidR="00644E84">
        <w:rPr>
          <w:rFonts w:ascii="Calibri" w:hAnsi="Calibri" w:cs="Calibri"/>
        </w:rPr>
        <w:t xml:space="preserve"> </w:t>
      </w:r>
      <w:r w:rsidR="00DC7A6F">
        <w:rPr>
          <w:rFonts w:ascii="Calibri" w:hAnsi="Calibri" w:cs="Calibri"/>
        </w:rPr>
        <w:t xml:space="preserve"> </w:t>
      </w:r>
      <w:r w:rsidR="00370832" w:rsidRPr="00370832">
        <w:rPr>
          <w:rFonts w:ascii="Calibri" w:hAnsi="Calibri" w:cs="Calibri"/>
          <w:color w:val="0D0D0D"/>
          <w:shd w:val="clear" w:color="auto" w:fill="FFFFFF"/>
        </w:rPr>
        <w:t>Estyn introduce</w:t>
      </w:r>
      <w:r w:rsidR="00E24A7B">
        <w:rPr>
          <w:rFonts w:ascii="Calibri" w:hAnsi="Calibri" w:cs="Calibri"/>
          <w:color w:val="0D0D0D"/>
          <w:shd w:val="clear" w:color="auto" w:fill="FFFFFF"/>
        </w:rPr>
        <w:t>d</w:t>
      </w:r>
      <w:r w:rsidR="00370832" w:rsidRPr="00370832">
        <w:rPr>
          <w:rFonts w:ascii="Calibri" w:hAnsi="Calibri" w:cs="Calibri"/>
          <w:color w:val="0D0D0D"/>
          <w:shd w:val="clear" w:color="auto" w:fill="FFFFFF"/>
        </w:rPr>
        <w:t xml:space="preserve"> an updated framework for self-evaluation in Welsh schools. </w:t>
      </w:r>
      <w:r w:rsidR="00370832">
        <w:rPr>
          <w:rFonts w:ascii="Calibri" w:hAnsi="Calibri" w:cs="Calibri"/>
          <w:color w:val="0D0D0D"/>
          <w:shd w:val="clear" w:color="auto" w:fill="FFFFFF"/>
        </w:rPr>
        <w:t xml:space="preserve"> </w:t>
      </w:r>
      <w:r w:rsidR="00370832" w:rsidRPr="00370832">
        <w:rPr>
          <w:rFonts w:ascii="Calibri" w:hAnsi="Calibri" w:cs="Calibri"/>
          <w:color w:val="0D0D0D"/>
          <w:shd w:val="clear" w:color="auto" w:fill="FFFFFF"/>
        </w:rPr>
        <w:t xml:space="preserve">The revised approach aims to </w:t>
      </w:r>
      <w:r w:rsidR="00370832" w:rsidRPr="00370832">
        <w:rPr>
          <w:rFonts w:ascii="Calibri" w:hAnsi="Calibri" w:cs="Calibri"/>
          <w:color w:val="0D0D0D"/>
          <w:shd w:val="clear" w:color="auto" w:fill="FFFFFF"/>
        </w:rPr>
        <w:t>update</w:t>
      </w:r>
      <w:r w:rsidR="00370832" w:rsidRPr="00370832">
        <w:rPr>
          <w:rFonts w:ascii="Calibri" w:hAnsi="Calibri" w:cs="Calibri"/>
          <w:color w:val="0D0D0D"/>
          <w:shd w:val="clear" w:color="auto" w:fill="FFFFFF"/>
        </w:rPr>
        <w:t xml:space="preserve"> the evaluation process, focusing on key areas such as teaching and learning, wellbeing, leadership, and planning for improvement. </w:t>
      </w:r>
      <w:r w:rsidR="00370832">
        <w:rPr>
          <w:rFonts w:ascii="Calibri" w:hAnsi="Calibri" w:cs="Calibri"/>
          <w:color w:val="0D0D0D"/>
          <w:shd w:val="clear" w:color="auto" w:fill="FFFFFF"/>
        </w:rPr>
        <w:t xml:space="preserve"> </w:t>
      </w:r>
      <w:r w:rsidR="00370832" w:rsidRPr="00370832">
        <w:rPr>
          <w:rFonts w:ascii="Calibri" w:hAnsi="Calibri" w:cs="Calibri"/>
          <w:color w:val="0D0D0D"/>
          <w:shd w:val="clear" w:color="auto" w:fill="FFFFFF"/>
        </w:rPr>
        <w:t>By providing clearer guidance and expectations, Estyn aims to support schools in accurately assessing their performance and identifying areas for development. This new framework emphasi</w:t>
      </w:r>
      <w:r w:rsidR="00370832">
        <w:rPr>
          <w:rFonts w:ascii="Calibri" w:hAnsi="Calibri" w:cs="Calibri"/>
          <w:color w:val="0D0D0D"/>
          <w:shd w:val="clear" w:color="auto" w:fill="FFFFFF"/>
        </w:rPr>
        <w:t>s</w:t>
      </w:r>
      <w:r w:rsidR="00370832" w:rsidRPr="00370832">
        <w:rPr>
          <w:rFonts w:ascii="Calibri" w:hAnsi="Calibri" w:cs="Calibri"/>
          <w:color w:val="0D0D0D"/>
          <w:shd w:val="clear" w:color="auto" w:fill="FFFFFF"/>
        </w:rPr>
        <w:t>es collaboration, encouraging schools to engage with stakeholders and share best practices.</w:t>
      </w:r>
      <w:r w:rsidR="00370832">
        <w:rPr>
          <w:rFonts w:ascii="Calibri" w:hAnsi="Calibri" w:cs="Calibri"/>
          <w:color w:val="0D0D0D"/>
          <w:shd w:val="clear" w:color="auto" w:fill="FFFFFF"/>
        </w:rPr>
        <w:t xml:space="preserve"> </w:t>
      </w:r>
      <w:r w:rsidR="00370832" w:rsidRPr="00370832">
        <w:rPr>
          <w:rFonts w:ascii="Calibri" w:hAnsi="Calibri" w:cs="Calibri"/>
          <w:color w:val="0D0D0D"/>
          <w:shd w:val="clear" w:color="auto" w:fill="FFFFFF"/>
        </w:rPr>
        <w:t xml:space="preserve"> Overall, the revised approach seeks to enhance the effectiveness of self-evaluation as a tool for school improvement, ultimately benefiting students and the wider educational community in Wales</w:t>
      </w:r>
      <w:r w:rsidR="00370832">
        <w:rPr>
          <w:rFonts w:ascii="Calibri" w:hAnsi="Calibri" w:cs="Calibri"/>
          <w:color w:val="0D0D0D"/>
          <w:shd w:val="clear" w:color="auto" w:fill="FFFFFF"/>
        </w:rPr>
        <w:t xml:space="preserve"> (Estyn, 2018)</w:t>
      </w:r>
      <w:r w:rsidR="00370832" w:rsidRPr="00370832">
        <w:rPr>
          <w:rFonts w:ascii="Calibri" w:hAnsi="Calibri" w:cs="Calibri"/>
          <w:color w:val="0D0D0D"/>
          <w:shd w:val="clear" w:color="auto" w:fill="FFFFFF"/>
        </w:rPr>
        <w:t>.</w:t>
      </w:r>
      <w:r w:rsidR="00370832">
        <w:rPr>
          <w:rFonts w:ascii="Calibri" w:hAnsi="Calibri" w:cs="Calibri"/>
          <w:color w:val="0D0D0D"/>
          <w:shd w:val="clear" w:color="auto" w:fill="FFFFFF"/>
        </w:rPr>
        <w:t xml:space="preserve"> </w:t>
      </w:r>
      <w:r w:rsidR="00DC7A6F" w:rsidRPr="00370832">
        <w:rPr>
          <w:rFonts w:ascii="Calibri" w:hAnsi="Calibri" w:cs="Calibri"/>
        </w:rPr>
        <w:t xml:space="preserve"> </w:t>
      </w:r>
      <w:r w:rsidRPr="00323196">
        <w:rPr>
          <w:rFonts w:ascii="Calibri" w:hAnsi="Calibri" w:cs="Calibri"/>
        </w:rPr>
        <w:t>However, critics argue that self-evaluation may be biased or limited in scope, particularly if it lacks external validation or input from independent assessors (E</w:t>
      </w:r>
      <w:r w:rsidR="00370832">
        <w:rPr>
          <w:rFonts w:ascii="Calibri" w:hAnsi="Calibri" w:cs="Calibri"/>
        </w:rPr>
        <w:t>ysenck</w:t>
      </w:r>
      <w:r w:rsidRPr="00323196">
        <w:rPr>
          <w:rFonts w:ascii="Calibri" w:hAnsi="Calibri" w:cs="Calibri"/>
        </w:rPr>
        <w:t xml:space="preserve"> </w:t>
      </w:r>
      <w:r w:rsidR="00283A02">
        <w:rPr>
          <w:rFonts w:ascii="Calibri" w:hAnsi="Calibri" w:cs="Calibri"/>
        </w:rPr>
        <w:t>and</w:t>
      </w:r>
      <w:r w:rsidRPr="00323196">
        <w:rPr>
          <w:rFonts w:ascii="Calibri" w:hAnsi="Calibri" w:cs="Calibri"/>
        </w:rPr>
        <w:t xml:space="preserve"> G</w:t>
      </w:r>
      <w:r w:rsidR="00370832">
        <w:rPr>
          <w:rFonts w:ascii="Calibri" w:hAnsi="Calibri" w:cs="Calibri"/>
        </w:rPr>
        <w:t>ray</w:t>
      </w:r>
      <w:r w:rsidRPr="00323196">
        <w:rPr>
          <w:rFonts w:ascii="Calibri" w:hAnsi="Calibri" w:cs="Calibri"/>
        </w:rPr>
        <w:t>, 20</w:t>
      </w:r>
      <w:r w:rsidR="00370832">
        <w:rPr>
          <w:rFonts w:ascii="Calibri" w:hAnsi="Calibri" w:cs="Calibri"/>
        </w:rPr>
        <w:t>00</w:t>
      </w:r>
      <w:r w:rsidRPr="00323196">
        <w:rPr>
          <w:rFonts w:ascii="Calibri" w:hAnsi="Calibri" w:cs="Calibri"/>
        </w:rPr>
        <w:t>).</w:t>
      </w:r>
    </w:p>
    <w:p w14:paraId="7A40EA26" w14:textId="77777777" w:rsidR="00323196" w:rsidRPr="00323196" w:rsidRDefault="00323196" w:rsidP="006444FD">
      <w:pPr>
        <w:jc w:val="both"/>
        <w:rPr>
          <w:rFonts w:ascii="Calibri" w:hAnsi="Calibri" w:cs="Calibri"/>
        </w:rPr>
      </w:pPr>
    </w:p>
    <w:p w14:paraId="2763AF10" w14:textId="242D4782" w:rsidR="00323196" w:rsidRPr="00323196" w:rsidRDefault="00323196" w:rsidP="006444FD">
      <w:pPr>
        <w:jc w:val="both"/>
        <w:rPr>
          <w:rFonts w:ascii="Calibri" w:hAnsi="Calibri" w:cs="Calibri"/>
        </w:rPr>
      </w:pPr>
      <w:r w:rsidRPr="00323196">
        <w:rPr>
          <w:rFonts w:ascii="Calibri" w:hAnsi="Calibri" w:cs="Calibri"/>
        </w:rPr>
        <w:t>Data analysis is another crucial aspect of the SDP, providing insights into student performance, attendance, behavio</w:t>
      </w:r>
      <w:r w:rsidR="00DC7A6F">
        <w:rPr>
          <w:rFonts w:ascii="Calibri" w:hAnsi="Calibri" w:cs="Calibri"/>
        </w:rPr>
        <w:t>u</w:t>
      </w:r>
      <w:r w:rsidRPr="00323196">
        <w:rPr>
          <w:rFonts w:ascii="Calibri" w:hAnsi="Calibri" w:cs="Calibri"/>
        </w:rPr>
        <w:t xml:space="preserve">r, and other key indicators. </w:t>
      </w:r>
      <w:r w:rsidR="00DC7A6F">
        <w:rPr>
          <w:rFonts w:ascii="Calibri" w:hAnsi="Calibri" w:cs="Calibri"/>
        </w:rPr>
        <w:t xml:space="preserve"> </w:t>
      </w:r>
      <w:r w:rsidRPr="00323196">
        <w:rPr>
          <w:rFonts w:ascii="Calibri" w:hAnsi="Calibri" w:cs="Calibri"/>
        </w:rPr>
        <w:t xml:space="preserve">By identifying patterns and trends, schools can target areas for improvement and measure progress over time. </w:t>
      </w:r>
      <w:r w:rsidR="00DC7A6F">
        <w:rPr>
          <w:rFonts w:ascii="Calibri" w:hAnsi="Calibri" w:cs="Calibri"/>
        </w:rPr>
        <w:t xml:space="preserve"> School X continuously collects research data and adds this to their SDP when necessary.  School X’s SDP is an ongoing long-term document that can be accessed by all staff and stakeholders to update with relevant data to show improvement.  </w:t>
      </w:r>
      <w:r w:rsidR="00370832" w:rsidRPr="00370832">
        <w:rPr>
          <w:rFonts w:ascii="Calibri" w:hAnsi="Calibri" w:cs="Calibri"/>
        </w:rPr>
        <w:t>By understanding the significance of data analysis, stakeholders can identify areas of strength and areas needing improvement, ultimately supporting the school's overall effectiveness and enhancing outcomes for students. This resource underscores the importance of data-driven decision-making in governance and provides practical guidance for maximizing the impact of educational data in school management and strategic planning</w:t>
      </w:r>
      <w:r w:rsidR="00370832">
        <w:rPr>
          <w:rFonts w:ascii="Calibri" w:hAnsi="Calibri" w:cs="Calibri"/>
        </w:rPr>
        <w:t xml:space="preserve">.  </w:t>
      </w:r>
      <w:r w:rsidRPr="00323196">
        <w:rPr>
          <w:rFonts w:ascii="Calibri" w:hAnsi="Calibri" w:cs="Calibri"/>
        </w:rPr>
        <w:t>However, there are concerns about the over-reliance on quantitative data, which may overlook qualitative aspects of teaching and learning (Ball, 2016).</w:t>
      </w:r>
    </w:p>
    <w:p w14:paraId="363FCB02" w14:textId="77777777" w:rsidR="00323196" w:rsidRPr="00323196" w:rsidRDefault="00323196" w:rsidP="006444FD">
      <w:pPr>
        <w:jc w:val="both"/>
        <w:rPr>
          <w:rFonts w:ascii="Calibri" w:hAnsi="Calibri" w:cs="Calibri"/>
        </w:rPr>
      </w:pPr>
    </w:p>
    <w:p w14:paraId="485BEF88" w14:textId="5014FA99" w:rsidR="00323196" w:rsidRPr="00323196" w:rsidRDefault="00323196" w:rsidP="006444FD">
      <w:pPr>
        <w:jc w:val="both"/>
        <w:rPr>
          <w:rFonts w:ascii="Calibri" w:hAnsi="Calibri" w:cs="Calibri"/>
        </w:rPr>
      </w:pPr>
      <w:r w:rsidRPr="00323196">
        <w:rPr>
          <w:rFonts w:ascii="Calibri" w:hAnsi="Calibri" w:cs="Calibri"/>
        </w:rPr>
        <w:t xml:space="preserve">Involving stakeholders is essential for ensuring that the SDP reflects the needs and aspirations of the entire school community. This may include teachers, support staff, students, parents, governors, and external partners. </w:t>
      </w:r>
      <w:r w:rsidR="00DC7A6F">
        <w:rPr>
          <w:rFonts w:ascii="Calibri" w:hAnsi="Calibri" w:cs="Calibri"/>
        </w:rPr>
        <w:t xml:space="preserve"> School X has designated staff and governors that work together on all aspects of teaching and learning as well as other school development aspects.  Having governors as part of the SDP allows </w:t>
      </w:r>
      <w:r w:rsidR="006444FD">
        <w:rPr>
          <w:rFonts w:ascii="Calibri" w:hAnsi="Calibri" w:cs="Calibri"/>
        </w:rPr>
        <w:t>S</w:t>
      </w:r>
      <w:r w:rsidR="00DC7A6F">
        <w:rPr>
          <w:rFonts w:ascii="Calibri" w:hAnsi="Calibri" w:cs="Calibri"/>
        </w:rPr>
        <w:t xml:space="preserve">chool X to continuously ask </w:t>
      </w:r>
      <w:r w:rsidR="006444FD">
        <w:rPr>
          <w:rFonts w:ascii="Calibri" w:hAnsi="Calibri" w:cs="Calibri"/>
        </w:rPr>
        <w:t xml:space="preserve">for </w:t>
      </w:r>
      <w:r w:rsidR="00DC7A6F">
        <w:rPr>
          <w:rFonts w:ascii="Calibri" w:hAnsi="Calibri" w:cs="Calibri"/>
        </w:rPr>
        <w:t xml:space="preserve">advice from those working within the government and how best to move forward with their prospects.  </w:t>
      </w:r>
      <w:r w:rsidRPr="00323196">
        <w:rPr>
          <w:rFonts w:ascii="Calibri" w:hAnsi="Calibri" w:cs="Calibri"/>
        </w:rPr>
        <w:t>While stakeholder involvement can enhance ownership and buy-in, it may also lead to competing priorities or conflicts of interest (</w:t>
      </w:r>
      <w:proofErr w:type="spellStart"/>
      <w:r w:rsidRPr="00323196">
        <w:rPr>
          <w:rFonts w:ascii="Calibri" w:hAnsi="Calibri" w:cs="Calibri"/>
        </w:rPr>
        <w:t>Stringfield</w:t>
      </w:r>
      <w:proofErr w:type="spellEnd"/>
      <w:r w:rsidRPr="00323196">
        <w:rPr>
          <w:rFonts w:ascii="Calibri" w:hAnsi="Calibri" w:cs="Calibri"/>
        </w:rPr>
        <w:t xml:space="preserve"> </w:t>
      </w:r>
      <w:r w:rsidR="00283A02">
        <w:rPr>
          <w:rFonts w:ascii="Calibri" w:hAnsi="Calibri" w:cs="Calibri"/>
        </w:rPr>
        <w:t>and</w:t>
      </w:r>
      <w:r w:rsidRPr="00323196">
        <w:rPr>
          <w:rFonts w:ascii="Calibri" w:hAnsi="Calibri" w:cs="Calibri"/>
        </w:rPr>
        <w:t xml:space="preserve"> </w:t>
      </w:r>
      <w:proofErr w:type="spellStart"/>
      <w:r w:rsidRPr="00323196">
        <w:rPr>
          <w:rFonts w:ascii="Calibri" w:hAnsi="Calibri" w:cs="Calibri"/>
        </w:rPr>
        <w:t>Datnow</w:t>
      </w:r>
      <w:proofErr w:type="spellEnd"/>
      <w:r w:rsidRPr="00323196">
        <w:rPr>
          <w:rFonts w:ascii="Calibri" w:hAnsi="Calibri" w:cs="Calibri"/>
        </w:rPr>
        <w:t>, 2015).</w:t>
      </w:r>
    </w:p>
    <w:p w14:paraId="0A010C27" w14:textId="77777777" w:rsidR="00323196" w:rsidRPr="00323196" w:rsidRDefault="00323196" w:rsidP="006444FD">
      <w:pPr>
        <w:jc w:val="both"/>
        <w:rPr>
          <w:rFonts w:ascii="Calibri" w:hAnsi="Calibri" w:cs="Calibri"/>
        </w:rPr>
      </w:pPr>
    </w:p>
    <w:p w14:paraId="653BDC2E" w14:textId="24FFCAE1" w:rsidR="00323196" w:rsidRPr="00323196" w:rsidRDefault="00323196" w:rsidP="006444FD">
      <w:pPr>
        <w:jc w:val="both"/>
        <w:rPr>
          <w:rFonts w:ascii="Calibri" w:hAnsi="Calibri" w:cs="Calibri"/>
        </w:rPr>
      </w:pPr>
      <w:r w:rsidRPr="00323196">
        <w:rPr>
          <w:rFonts w:ascii="Calibri" w:hAnsi="Calibri" w:cs="Calibri"/>
        </w:rPr>
        <w:lastRenderedPageBreak/>
        <w:t xml:space="preserve">Strategic planning within the SDP involves setting clear goals, actions, and timelines for improvement. Effective strategic planning requires careful consideration of available resources, evidence-based practices, and the unique context of the school. </w:t>
      </w:r>
      <w:r w:rsidR="00607DEF">
        <w:rPr>
          <w:rFonts w:ascii="Calibri" w:hAnsi="Calibri" w:cs="Calibri"/>
        </w:rPr>
        <w:t xml:space="preserve"> Within </w:t>
      </w:r>
      <w:r w:rsidR="00283A02">
        <w:rPr>
          <w:rFonts w:ascii="Calibri" w:hAnsi="Calibri" w:cs="Calibri"/>
        </w:rPr>
        <w:t>S</w:t>
      </w:r>
      <w:r w:rsidR="00607DEF">
        <w:rPr>
          <w:rFonts w:ascii="Calibri" w:hAnsi="Calibri" w:cs="Calibri"/>
        </w:rPr>
        <w:t xml:space="preserve">chool X’s </w:t>
      </w:r>
      <w:r w:rsidR="000F1253">
        <w:rPr>
          <w:rFonts w:ascii="Calibri" w:hAnsi="Calibri" w:cs="Calibri"/>
        </w:rPr>
        <w:t>SDP</w:t>
      </w:r>
      <w:r w:rsidR="006444FD">
        <w:rPr>
          <w:rFonts w:ascii="Calibri" w:hAnsi="Calibri" w:cs="Calibri"/>
        </w:rPr>
        <w:t>,</w:t>
      </w:r>
      <w:r w:rsidR="00607DEF">
        <w:rPr>
          <w:rFonts w:ascii="Calibri" w:hAnsi="Calibri" w:cs="Calibri"/>
        </w:rPr>
        <w:t xml:space="preserve"> they have set clear goals they want to achieve and how they are going to achieve these</w:t>
      </w:r>
      <w:r w:rsidR="000F1253">
        <w:rPr>
          <w:rFonts w:ascii="Calibri" w:hAnsi="Calibri" w:cs="Calibri"/>
        </w:rPr>
        <w:t>.</w:t>
      </w:r>
      <w:r w:rsidR="00370832">
        <w:rPr>
          <w:rFonts w:ascii="Calibri" w:hAnsi="Calibri" w:cs="Calibri"/>
        </w:rPr>
        <w:t xml:space="preserve"> This also includes a timeline of when these </w:t>
      </w:r>
      <w:r w:rsidR="00283A02">
        <w:rPr>
          <w:rFonts w:ascii="Calibri" w:hAnsi="Calibri" w:cs="Calibri"/>
        </w:rPr>
        <w:t xml:space="preserve">actions should have taken place.  School X also has half-termly reviews on all aspects of the SDP to see where they are with their targets and which aspects need to be addressed more.  They then create a document called the school improvement documents which is a calendar for the term to show which target should be met and by when. </w:t>
      </w:r>
      <w:r w:rsidR="00607DEF">
        <w:rPr>
          <w:rFonts w:ascii="Calibri" w:hAnsi="Calibri" w:cs="Calibri"/>
        </w:rPr>
        <w:t xml:space="preserve"> </w:t>
      </w:r>
      <w:r w:rsidRPr="00323196">
        <w:rPr>
          <w:rFonts w:ascii="Calibri" w:hAnsi="Calibri" w:cs="Calibri"/>
        </w:rPr>
        <w:t xml:space="preserve">However, there is a risk of plans becoming overly prescriptive or disconnected from the day-to-day realities of teaching and learning (Hargreaves </w:t>
      </w:r>
      <w:r w:rsidR="00283A02">
        <w:rPr>
          <w:rFonts w:ascii="Calibri" w:hAnsi="Calibri" w:cs="Calibri"/>
        </w:rPr>
        <w:t>and</w:t>
      </w:r>
      <w:r w:rsidRPr="00323196">
        <w:rPr>
          <w:rFonts w:ascii="Calibri" w:hAnsi="Calibri" w:cs="Calibri"/>
        </w:rPr>
        <w:t xml:space="preserve"> Fullan, 2012).</w:t>
      </w:r>
    </w:p>
    <w:p w14:paraId="447AAA66" w14:textId="77777777" w:rsidR="00323196" w:rsidRPr="00323196" w:rsidRDefault="00323196" w:rsidP="006444FD">
      <w:pPr>
        <w:jc w:val="both"/>
        <w:rPr>
          <w:rFonts w:ascii="Calibri" w:hAnsi="Calibri" w:cs="Calibri"/>
        </w:rPr>
      </w:pPr>
    </w:p>
    <w:p w14:paraId="30E7F528" w14:textId="3C1335F5" w:rsidR="00323196" w:rsidRPr="00323196" w:rsidRDefault="00323196" w:rsidP="006444FD">
      <w:pPr>
        <w:jc w:val="both"/>
        <w:rPr>
          <w:rFonts w:ascii="Calibri" w:hAnsi="Calibri" w:cs="Calibri"/>
        </w:rPr>
      </w:pPr>
      <w:r w:rsidRPr="00323196">
        <w:rPr>
          <w:rFonts w:ascii="Calibri" w:hAnsi="Calibri" w:cs="Calibri"/>
        </w:rPr>
        <w:t xml:space="preserve">Measuring impact is perhaps the most challenging aspect of the SDP process, as it requires determining whether planned actions have led to desired outcomes. While quantitative measures such as test </w:t>
      </w:r>
      <w:r w:rsidR="00607DEF">
        <w:rPr>
          <w:rFonts w:ascii="Calibri" w:hAnsi="Calibri" w:cs="Calibri"/>
        </w:rPr>
        <w:t xml:space="preserve">scores </w:t>
      </w:r>
      <w:r w:rsidRPr="00323196">
        <w:rPr>
          <w:rFonts w:ascii="Calibri" w:hAnsi="Calibri" w:cs="Calibri"/>
        </w:rPr>
        <w:t xml:space="preserve">are often used, they may not capture the full range of outcomes or unintended consequences. Additionally, causality can be difficult to establish, especially in complex educational systems </w:t>
      </w:r>
      <w:r w:rsidRPr="001D5978">
        <w:rPr>
          <w:rFonts w:ascii="Calibri" w:hAnsi="Calibri" w:cs="Calibri"/>
        </w:rPr>
        <w:t>(</w:t>
      </w:r>
      <w:r w:rsidR="001D5978" w:rsidRPr="001D5978">
        <w:rPr>
          <w:rFonts w:ascii="Calibri" w:hAnsi="Calibri" w:cs="Calibri"/>
          <w:color w:val="000000"/>
        </w:rPr>
        <w:t>Bush, 2007</w:t>
      </w:r>
      <w:r w:rsidRPr="001D5978">
        <w:rPr>
          <w:rFonts w:ascii="Calibri" w:hAnsi="Calibri" w:cs="Calibri"/>
        </w:rPr>
        <w:t>).</w:t>
      </w:r>
      <w:r w:rsidR="00E24A7B">
        <w:rPr>
          <w:rFonts w:ascii="Calibri" w:hAnsi="Calibri" w:cs="Calibri"/>
        </w:rPr>
        <w:t xml:space="preserve">  </w:t>
      </w:r>
      <w:r w:rsidR="006444FD">
        <w:rPr>
          <w:rFonts w:ascii="Calibri" w:hAnsi="Calibri" w:cs="Calibri"/>
        </w:rPr>
        <w:t>T</w:t>
      </w:r>
      <w:r w:rsidR="00607DEF">
        <w:rPr>
          <w:rFonts w:ascii="Calibri" w:hAnsi="Calibri" w:cs="Calibri"/>
        </w:rPr>
        <w:t xml:space="preserve">o measure the impact of literacy and numeracy </w:t>
      </w:r>
      <w:r w:rsidR="00C33773">
        <w:rPr>
          <w:rFonts w:ascii="Calibri" w:hAnsi="Calibri" w:cs="Calibri"/>
        </w:rPr>
        <w:t>S</w:t>
      </w:r>
      <w:r w:rsidR="00607DEF">
        <w:rPr>
          <w:rFonts w:ascii="Calibri" w:hAnsi="Calibri" w:cs="Calibri"/>
        </w:rPr>
        <w:t>chool X have been using tests and quizzes to assess their learners</w:t>
      </w:r>
      <w:r w:rsidR="00C33773">
        <w:rPr>
          <w:rFonts w:ascii="Calibri" w:hAnsi="Calibri" w:cs="Calibri"/>
        </w:rPr>
        <w:t>’</w:t>
      </w:r>
      <w:r w:rsidR="00607DEF">
        <w:rPr>
          <w:rFonts w:ascii="Calibri" w:hAnsi="Calibri" w:cs="Calibri"/>
        </w:rPr>
        <w:t xml:space="preserve"> progress with these skills, they also use reading bands where they track how the learners are moving up in the reading levels.</w:t>
      </w:r>
    </w:p>
    <w:p w14:paraId="4DB4BACD" w14:textId="77777777" w:rsidR="00323196" w:rsidRPr="00323196" w:rsidRDefault="00323196" w:rsidP="006444FD">
      <w:pPr>
        <w:jc w:val="both"/>
        <w:rPr>
          <w:rFonts w:ascii="Calibri" w:hAnsi="Calibri" w:cs="Calibri"/>
        </w:rPr>
      </w:pPr>
    </w:p>
    <w:p w14:paraId="103AF9B5" w14:textId="18279D86" w:rsidR="00C33773" w:rsidRDefault="00C33773" w:rsidP="006444FD">
      <w:pPr>
        <w:jc w:val="both"/>
        <w:rPr>
          <w:rFonts w:ascii="Calibri" w:hAnsi="Calibri" w:cs="Calibri"/>
          <w:u w:val="single"/>
        </w:rPr>
      </w:pPr>
      <w:r>
        <w:rPr>
          <w:rFonts w:ascii="Calibri" w:hAnsi="Calibri" w:cs="Calibri"/>
          <w:u w:val="single"/>
        </w:rPr>
        <w:t>Evaluation</w:t>
      </w:r>
    </w:p>
    <w:p w14:paraId="685951F0" w14:textId="2FE2D83A" w:rsidR="00C33773" w:rsidRPr="00C33773" w:rsidRDefault="00C33773" w:rsidP="006444FD">
      <w:pPr>
        <w:jc w:val="both"/>
        <w:rPr>
          <w:rFonts w:ascii="Calibri" w:hAnsi="Calibri" w:cs="Calibri"/>
        </w:rPr>
      </w:pPr>
      <w:r w:rsidRPr="00C33773">
        <w:rPr>
          <w:rFonts w:ascii="Calibri" w:hAnsi="Calibri" w:cs="Calibri"/>
        </w:rPr>
        <w:t xml:space="preserve">Reflecting on the development in School X aimed at improving literacy and numeracy attainment for EFSM learners, one notable initiative is the incorporation of reading for pleasure </w:t>
      </w:r>
      <w:r>
        <w:rPr>
          <w:rFonts w:ascii="Calibri" w:hAnsi="Calibri" w:cs="Calibri"/>
        </w:rPr>
        <w:t xml:space="preserve">(RFP) </w:t>
      </w:r>
      <w:r w:rsidRPr="00C33773">
        <w:rPr>
          <w:rFonts w:ascii="Calibri" w:hAnsi="Calibri" w:cs="Calibri"/>
        </w:rPr>
        <w:t xml:space="preserve">training for all staff, along with funds allocated for schools to purchase new books and enhance their reading corners. </w:t>
      </w:r>
      <w:r w:rsidR="006444FD">
        <w:rPr>
          <w:rFonts w:ascii="Calibri" w:hAnsi="Calibri" w:cs="Calibri"/>
        </w:rPr>
        <w:t xml:space="preserve"> </w:t>
      </w:r>
      <w:r w:rsidRPr="00C33773">
        <w:rPr>
          <w:rFonts w:ascii="Calibri" w:hAnsi="Calibri" w:cs="Calibri"/>
        </w:rPr>
        <w:t>This approach recogni</w:t>
      </w:r>
      <w:r w:rsidR="006444FD">
        <w:rPr>
          <w:rFonts w:ascii="Calibri" w:hAnsi="Calibri" w:cs="Calibri"/>
        </w:rPr>
        <w:t>s</w:t>
      </w:r>
      <w:r w:rsidRPr="00C33773">
        <w:rPr>
          <w:rFonts w:ascii="Calibri" w:hAnsi="Calibri" w:cs="Calibri"/>
        </w:rPr>
        <w:t>es the importance of fostering a love of reading among students, which can significantly impact their literacy skills and overall academic achievement.</w:t>
      </w:r>
    </w:p>
    <w:p w14:paraId="45A95554" w14:textId="77777777" w:rsidR="00C33773" w:rsidRPr="00C33773" w:rsidRDefault="00C33773" w:rsidP="006444FD">
      <w:pPr>
        <w:jc w:val="both"/>
        <w:rPr>
          <w:rFonts w:ascii="Calibri" w:hAnsi="Calibri" w:cs="Calibri"/>
        </w:rPr>
      </w:pPr>
    </w:p>
    <w:p w14:paraId="0C3B5BFF" w14:textId="5085E556" w:rsidR="00C33773" w:rsidRPr="00C33773" w:rsidRDefault="00C33773" w:rsidP="006444FD">
      <w:pPr>
        <w:jc w:val="both"/>
        <w:rPr>
          <w:rFonts w:ascii="Calibri" w:hAnsi="Calibri" w:cs="Calibri"/>
        </w:rPr>
      </w:pPr>
      <w:r w:rsidRPr="00C33773">
        <w:rPr>
          <w:rFonts w:ascii="Calibri" w:hAnsi="Calibri" w:cs="Calibri"/>
        </w:rPr>
        <w:t xml:space="preserve">The introduction </w:t>
      </w:r>
      <w:r>
        <w:rPr>
          <w:rFonts w:ascii="Calibri" w:hAnsi="Calibri" w:cs="Calibri"/>
        </w:rPr>
        <w:t xml:space="preserve">of RFP </w:t>
      </w:r>
      <w:r w:rsidRPr="00C33773">
        <w:rPr>
          <w:rFonts w:ascii="Calibri" w:hAnsi="Calibri" w:cs="Calibri"/>
        </w:rPr>
        <w:t xml:space="preserve">training is a positive step, as it acknowledges the role of educators in promoting a reading culture within the school. </w:t>
      </w:r>
      <w:r w:rsidR="006444FD">
        <w:rPr>
          <w:rFonts w:ascii="Calibri" w:hAnsi="Calibri" w:cs="Calibri"/>
        </w:rPr>
        <w:t xml:space="preserve"> </w:t>
      </w:r>
      <w:r w:rsidRPr="00C33773">
        <w:rPr>
          <w:rFonts w:ascii="Calibri" w:hAnsi="Calibri" w:cs="Calibri"/>
        </w:rPr>
        <w:t xml:space="preserve">Research has consistently shown that engaging in regular reading for enjoyment correlates with improved literacy skills, vocabulary development, and academic performance (Clark </w:t>
      </w:r>
      <w:r w:rsidR="00283A02">
        <w:rPr>
          <w:rFonts w:ascii="Calibri" w:hAnsi="Calibri" w:cs="Calibri"/>
        </w:rPr>
        <w:t>and</w:t>
      </w:r>
      <w:r w:rsidRPr="00C33773">
        <w:rPr>
          <w:rFonts w:ascii="Calibri" w:hAnsi="Calibri" w:cs="Calibri"/>
        </w:rPr>
        <w:t xml:space="preserve"> Rumbold, 2006). </w:t>
      </w:r>
      <w:r w:rsidR="006444FD">
        <w:rPr>
          <w:rFonts w:ascii="Calibri" w:hAnsi="Calibri" w:cs="Calibri"/>
        </w:rPr>
        <w:t xml:space="preserve"> </w:t>
      </w:r>
      <w:r w:rsidRPr="00C33773">
        <w:rPr>
          <w:rFonts w:ascii="Calibri" w:hAnsi="Calibri" w:cs="Calibri"/>
        </w:rPr>
        <w:t>By equipping staff with strategies to cultivate a love of reading among students, School X is addressing a fundamental aspect of literacy development.</w:t>
      </w:r>
    </w:p>
    <w:p w14:paraId="5C450F5D" w14:textId="77777777" w:rsidR="00C33773" w:rsidRPr="00C33773" w:rsidRDefault="00C33773" w:rsidP="006444FD">
      <w:pPr>
        <w:jc w:val="both"/>
        <w:rPr>
          <w:rFonts w:ascii="Calibri" w:hAnsi="Calibri" w:cs="Calibri"/>
        </w:rPr>
      </w:pPr>
    </w:p>
    <w:p w14:paraId="606B58CC" w14:textId="74D85615" w:rsidR="00C33773" w:rsidRPr="00C33773" w:rsidRDefault="00C33773" w:rsidP="006444FD">
      <w:pPr>
        <w:jc w:val="both"/>
        <w:rPr>
          <w:rFonts w:ascii="Calibri" w:hAnsi="Calibri" w:cs="Calibri"/>
        </w:rPr>
      </w:pPr>
      <w:r w:rsidRPr="00C33773">
        <w:rPr>
          <w:rFonts w:ascii="Calibri" w:hAnsi="Calibri" w:cs="Calibri"/>
        </w:rPr>
        <w:t>Furthermore, providing funds for schools to update their reading resources and create inviting reading spaces can enhance the overall reading experience for students.</w:t>
      </w:r>
      <w:r w:rsidR="006444FD">
        <w:rPr>
          <w:rFonts w:ascii="Calibri" w:hAnsi="Calibri" w:cs="Calibri"/>
        </w:rPr>
        <w:t xml:space="preserve"> </w:t>
      </w:r>
      <w:r w:rsidRPr="00C33773">
        <w:rPr>
          <w:rFonts w:ascii="Calibri" w:hAnsi="Calibri" w:cs="Calibri"/>
        </w:rPr>
        <w:t xml:space="preserve"> A well-designed reading corner can stimulate interest and motivation, making students more likely to engage with books independently (McGill-Franzen </w:t>
      </w:r>
      <w:r w:rsidR="00283A02">
        <w:rPr>
          <w:rFonts w:ascii="Calibri" w:hAnsi="Calibri" w:cs="Calibri"/>
        </w:rPr>
        <w:t>and</w:t>
      </w:r>
      <w:r w:rsidRPr="00C33773">
        <w:rPr>
          <w:rFonts w:ascii="Calibri" w:hAnsi="Calibri" w:cs="Calibri"/>
        </w:rPr>
        <w:t xml:space="preserve"> Allington, 2009).</w:t>
      </w:r>
      <w:r w:rsidR="006444FD">
        <w:rPr>
          <w:rFonts w:ascii="Calibri" w:hAnsi="Calibri" w:cs="Calibri"/>
        </w:rPr>
        <w:t xml:space="preserve"> </w:t>
      </w:r>
      <w:r w:rsidRPr="00C33773">
        <w:rPr>
          <w:rFonts w:ascii="Calibri" w:hAnsi="Calibri" w:cs="Calibri"/>
        </w:rPr>
        <w:t xml:space="preserve"> However, it is essential to ensure that the selection of books reflects the diverse interests and backgrounds of the student population to maximi</w:t>
      </w:r>
      <w:r w:rsidR="000F1253">
        <w:rPr>
          <w:rFonts w:ascii="Calibri" w:hAnsi="Calibri" w:cs="Calibri"/>
        </w:rPr>
        <w:t>s</w:t>
      </w:r>
      <w:r w:rsidRPr="00C33773">
        <w:rPr>
          <w:rFonts w:ascii="Calibri" w:hAnsi="Calibri" w:cs="Calibri"/>
        </w:rPr>
        <w:t>e engagement and relevance.</w:t>
      </w:r>
    </w:p>
    <w:p w14:paraId="113A672C" w14:textId="77777777" w:rsidR="00C33773" w:rsidRPr="00C33773" w:rsidRDefault="00C33773" w:rsidP="006444FD">
      <w:pPr>
        <w:jc w:val="both"/>
        <w:rPr>
          <w:rFonts w:ascii="Calibri" w:hAnsi="Calibri" w:cs="Calibri"/>
        </w:rPr>
      </w:pPr>
    </w:p>
    <w:p w14:paraId="0894CD64" w14:textId="4B4A5AF1" w:rsidR="00C33773" w:rsidRPr="00C33773" w:rsidRDefault="00C33773" w:rsidP="006444FD">
      <w:pPr>
        <w:jc w:val="both"/>
        <w:rPr>
          <w:rFonts w:ascii="Calibri" w:hAnsi="Calibri" w:cs="Calibri"/>
        </w:rPr>
      </w:pPr>
      <w:r w:rsidRPr="00C33773">
        <w:rPr>
          <w:rFonts w:ascii="Calibri" w:hAnsi="Calibri" w:cs="Calibri"/>
        </w:rPr>
        <w:t xml:space="preserve">Despite these positive steps, there are areas where School X could improve its approach to addressing the literacy and numeracy gap for EFSM learners. </w:t>
      </w:r>
      <w:r w:rsidR="006444FD">
        <w:rPr>
          <w:rFonts w:ascii="Calibri" w:hAnsi="Calibri" w:cs="Calibri"/>
        </w:rPr>
        <w:t xml:space="preserve"> </w:t>
      </w:r>
      <w:r w:rsidRPr="00C33773">
        <w:rPr>
          <w:rFonts w:ascii="Calibri" w:hAnsi="Calibri" w:cs="Calibri"/>
        </w:rPr>
        <w:t xml:space="preserve">Firstly, while </w:t>
      </w:r>
      <w:r w:rsidR="006444FD">
        <w:rPr>
          <w:rFonts w:ascii="Calibri" w:hAnsi="Calibri" w:cs="Calibri"/>
        </w:rPr>
        <w:t>RFP</w:t>
      </w:r>
      <w:r w:rsidRPr="00C33773">
        <w:rPr>
          <w:rFonts w:ascii="Calibri" w:hAnsi="Calibri" w:cs="Calibri"/>
        </w:rPr>
        <w:t xml:space="preserve"> training is valuable, it should be complemented by explicit instruction in reading comprehension strategies, particularly for students who may struggle with literacy.</w:t>
      </w:r>
      <w:r w:rsidR="006444FD">
        <w:rPr>
          <w:rFonts w:ascii="Calibri" w:hAnsi="Calibri" w:cs="Calibri"/>
        </w:rPr>
        <w:t xml:space="preserve"> </w:t>
      </w:r>
      <w:r w:rsidRPr="00C33773">
        <w:rPr>
          <w:rFonts w:ascii="Calibri" w:hAnsi="Calibri" w:cs="Calibri"/>
        </w:rPr>
        <w:t xml:space="preserve"> Research suggests that </w:t>
      </w:r>
      <w:r w:rsidRPr="00C33773">
        <w:rPr>
          <w:rFonts w:ascii="Calibri" w:hAnsi="Calibri" w:cs="Calibri"/>
        </w:rPr>
        <w:lastRenderedPageBreak/>
        <w:t>combining both approaches</w:t>
      </w:r>
      <w:r w:rsidR="000F1253">
        <w:rPr>
          <w:rFonts w:ascii="Calibri" w:hAnsi="Calibri" w:cs="Calibri"/>
        </w:rPr>
        <w:t xml:space="preserve"> </w:t>
      </w:r>
      <w:r w:rsidRPr="00C33773">
        <w:rPr>
          <w:rFonts w:ascii="Calibri" w:hAnsi="Calibri" w:cs="Calibri"/>
        </w:rPr>
        <w:t xml:space="preserve">promoting </w:t>
      </w:r>
      <w:r w:rsidR="000F1253">
        <w:rPr>
          <w:rFonts w:ascii="Calibri" w:hAnsi="Calibri" w:cs="Calibri"/>
        </w:rPr>
        <w:t xml:space="preserve">the </w:t>
      </w:r>
      <w:r w:rsidRPr="00C33773">
        <w:rPr>
          <w:rFonts w:ascii="Calibri" w:hAnsi="Calibri" w:cs="Calibri"/>
        </w:rPr>
        <w:t>enjoyment of reading alongside targeted instruction</w:t>
      </w:r>
      <w:r w:rsidR="000F1253">
        <w:rPr>
          <w:rFonts w:ascii="Calibri" w:hAnsi="Calibri" w:cs="Calibri"/>
        </w:rPr>
        <w:t xml:space="preserve"> </w:t>
      </w:r>
      <w:r w:rsidRPr="00C33773">
        <w:rPr>
          <w:rFonts w:ascii="Calibri" w:hAnsi="Calibri" w:cs="Calibri"/>
        </w:rPr>
        <w:t>can lead to the greatest gains in literacy skills (Guthrie et al., 2009).</w:t>
      </w:r>
    </w:p>
    <w:p w14:paraId="4F9836F7" w14:textId="77777777" w:rsidR="00C33773" w:rsidRPr="00C33773" w:rsidRDefault="00C33773" w:rsidP="006444FD">
      <w:pPr>
        <w:jc w:val="both"/>
        <w:rPr>
          <w:rFonts w:ascii="Calibri" w:hAnsi="Calibri" w:cs="Calibri"/>
        </w:rPr>
      </w:pPr>
    </w:p>
    <w:p w14:paraId="1D818011" w14:textId="7F503F5D" w:rsidR="00C33773" w:rsidRPr="00C33773" w:rsidRDefault="00C33773" w:rsidP="006444FD">
      <w:pPr>
        <w:jc w:val="both"/>
        <w:rPr>
          <w:rFonts w:ascii="Calibri" w:hAnsi="Calibri" w:cs="Calibri"/>
        </w:rPr>
      </w:pPr>
      <w:r w:rsidRPr="00C33773">
        <w:rPr>
          <w:rFonts w:ascii="Calibri" w:hAnsi="Calibri" w:cs="Calibri"/>
        </w:rPr>
        <w:t xml:space="preserve">Additionally, School X could benefit from a more comprehensive approach to parental involvement in promoting literacy and numeracy at home. </w:t>
      </w:r>
      <w:r w:rsidR="006444FD">
        <w:rPr>
          <w:rFonts w:ascii="Calibri" w:hAnsi="Calibri" w:cs="Calibri"/>
        </w:rPr>
        <w:t xml:space="preserve"> </w:t>
      </w:r>
      <w:r w:rsidRPr="00C33773">
        <w:rPr>
          <w:rFonts w:ascii="Calibri" w:hAnsi="Calibri" w:cs="Calibri"/>
        </w:rPr>
        <w:t xml:space="preserve">Engaging parents as partners in their children's education can have a significant impact on academic outcomes, especially for students from disadvantaged backgrounds (Desimone, 1999). </w:t>
      </w:r>
      <w:r w:rsidR="006444FD">
        <w:rPr>
          <w:rFonts w:ascii="Calibri" w:hAnsi="Calibri" w:cs="Calibri"/>
        </w:rPr>
        <w:t xml:space="preserve"> </w:t>
      </w:r>
      <w:r w:rsidRPr="00C33773">
        <w:rPr>
          <w:rFonts w:ascii="Calibri" w:hAnsi="Calibri" w:cs="Calibri"/>
        </w:rPr>
        <w:t>Providing resources and workshops for parents on supporting literacy and numeracy development at home could complement the school-based initiatives and create a more cohesive learning environment.</w:t>
      </w:r>
    </w:p>
    <w:p w14:paraId="0C1AD9F4" w14:textId="77777777" w:rsidR="00C33773" w:rsidRPr="00C33773" w:rsidRDefault="00C33773" w:rsidP="006444FD">
      <w:pPr>
        <w:jc w:val="both"/>
        <w:rPr>
          <w:rFonts w:ascii="Calibri" w:hAnsi="Calibri" w:cs="Calibri"/>
        </w:rPr>
      </w:pPr>
    </w:p>
    <w:p w14:paraId="7D282DF1" w14:textId="0F6BBCAA" w:rsidR="00C33773" w:rsidRPr="00C33773" w:rsidRDefault="00C33773" w:rsidP="006444FD">
      <w:pPr>
        <w:jc w:val="both"/>
        <w:rPr>
          <w:rFonts w:ascii="Calibri" w:hAnsi="Calibri" w:cs="Calibri"/>
        </w:rPr>
      </w:pPr>
      <w:r w:rsidRPr="00C33773">
        <w:rPr>
          <w:rFonts w:ascii="Calibri" w:hAnsi="Calibri" w:cs="Calibri"/>
        </w:rPr>
        <w:t xml:space="preserve">Furthermore, it is essential for School X to regularly assess the impact of its interventions on EFSM learners' literacy and numeracy attainment. </w:t>
      </w:r>
      <w:r w:rsidR="006444FD">
        <w:rPr>
          <w:rFonts w:ascii="Calibri" w:hAnsi="Calibri" w:cs="Calibri"/>
        </w:rPr>
        <w:t xml:space="preserve"> </w:t>
      </w:r>
      <w:r w:rsidRPr="00C33773">
        <w:rPr>
          <w:rFonts w:ascii="Calibri" w:hAnsi="Calibri" w:cs="Calibri"/>
        </w:rPr>
        <w:t xml:space="preserve">This could involve collecting data on reading habits, comprehension skills, and academic progress over time to determine the effectiveness of the </w:t>
      </w:r>
      <w:r w:rsidR="006444FD">
        <w:rPr>
          <w:rFonts w:ascii="Calibri" w:hAnsi="Calibri" w:cs="Calibri"/>
        </w:rPr>
        <w:t xml:space="preserve">RFP </w:t>
      </w:r>
      <w:r w:rsidRPr="00C33773">
        <w:rPr>
          <w:rFonts w:ascii="Calibri" w:hAnsi="Calibri" w:cs="Calibri"/>
        </w:rPr>
        <w:t>program and other initiatives.</w:t>
      </w:r>
      <w:r w:rsidR="006444FD">
        <w:rPr>
          <w:rFonts w:ascii="Calibri" w:hAnsi="Calibri" w:cs="Calibri"/>
        </w:rPr>
        <w:t xml:space="preserve"> </w:t>
      </w:r>
      <w:r w:rsidRPr="00C33773">
        <w:rPr>
          <w:rFonts w:ascii="Calibri" w:hAnsi="Calibri" w:cs="Calibri"/>
        </w:rPr>
        <w:t xml:space="preserve"> Adjustments can then be made based on the evidence gathered to ensure that resources are allocated </w:t>
      </w:r>
      <w:r w:rsidR="006444FD" w:rsidRPr="00C33773">
        <w:rPr>
          <w:rFonts w:ascii="Calibri" w:hAnsi="Calibri" w:cs="Calibri"/>
        </w:rPr>
        <w:t>effectively,</w:t>
      </w:r>
      <w:r w:rsidRPr="00C33773">
        <w:rPr>
          <w:rFonts w:ascii="Calibri" w:hAnsi="Calibri" w:cs="Calibri"/>
        </w:rPr>
        <w:t xml:space="preserve"> and interventions are targeted where they are most needed (</w:t>
      </w:r>
      <w:proofErr w:type="spellStart"/>
      <w:r w:rsidRPr="00C33773">
        <w:rPr>
          <w:rFonts w:ascii="Calibri" w:hAnsi="Calibri" w:cs="Calibri"/>
        </w:rPr>
        <w:t>Leithwood</w:t>
      </w:r>
      <w:proofErr w:type="spellEnd"/>
      <w:r w:rsidRPr="00C33773">
        <w:rPr>
          <w:rFonts w:ascii="Calibri" w:hAnsi="Calibri" w:cs="Calibri"/>
        </w:rPr>
        <w:t xml:space="preserve"> </w:t>
      </w:r>
      <w:r w:rsidR="00283A02">
        <w:rPr>
          <w:rFonts w:ascii="Calibri" w:hAnsi="Calibri" w:cs="Calibri"/>
        </w:rPr>
        <w:t>and</w:t>
      </w:r>
      <w:r w:rsidRPr="00C33773">
        <w:rPr>
          <w:rFonts w:ascii="Calibri" w:hAnsi="Calibri" w:cs="Calibri"/>
        </w:rPr>
        <w:t xml:space="preserve"> </w:t>
      </w:r>
      <w:proofErr w:type="spellStart"/>
      <w:r w:rsidRPr="00C33773">
        <w:rPr>
          <w:rFonts w:ascii="Calibri" w:hAnsi="Calibri" w:cs="Calibri"/>
        </w:rPr>
        <w:t>Jantzi</w:t>
      </w:r>
      <w:proofErr w:type="spellEnd"/>
      <w:r w:rsidRPr="00C33773">
        <w:rPr>
          <w:rFonts w:ascii="Calibri" w:hAnsi="Calibri" w:cs="Calibri"/>
        </w:rPr>
        <w:t>, 2000).</w:t>
      </w:r>
    </w:p>
    <w:p w14:paraId="0977819F" w14:textId="77777777" w:rsidR="00C33773" w:rsidRPr="00C33773" w:rsidRDefault="00C33773" w:rsidP="006444FD">
      <w:pPr>
        <w:jc w:val="both"/>
        <w:rPr>
          <w:rFonts w:ascii="Calibri" w:hAnsi="Calibri" w:cs="Calibri"/>
        </w:rPr>
      </w:pPr>
    </w:p>
    <w:p w14:paraId="48B46908" w14:textId="2612CDA9" w:rsidR="00C33773" w:rsidRPr="00C33773" w:rsidRDefault="00C33773" w:rsidP="006444FD">
      <w:pPr>
        <w:jc w:val="both"/>
        <w:rPr>
          <w:rFonts w:ascii="Calibri" w:hAnsi="Calibri" w:cs="Calibri"/>
        </w:rPr>
      </w:pPr>
      <w:r w:rsidRPr="00C33773">
        <w:rPr>
          <w:rFonts w:ascii="Calibri" w:hAnsi="Calibri" w:cs="Calibri"/>
        </w:rPr>
        <w:t xml:space="preserve">School X's efforts to improve literacy and numeracy attainment for EFSM learners through </w:t>
      </w:r>
      <w:r w:rsidR="006444FD">
        <w:rPr>
          <w:rFonts w:ascii="Calibri" w:hAnsi="Calibri" w:cs="Calibri"/>
        </w:rPr>
        <w:t xml:space="preserve">RFP </w:t>
      </w:r>
      <w:r w:rsidRPr="00C33773">
        <w:rPr>
          <w:rFonts w:ascii="Calibri" w:hAnsi="Calibri" w:cs="Calibri"/>
        </w:rPr>
        <w:t xml:space="preserve">training and investment in reading resources are commendable. </w:t>
      </w:r>
      <w:r w:rsidR="006444FD">
        <w:rPr>
          <w:rFonts w:ascii="Calibri" w:hAnsi="Calibri" w:cs="Calibri"/>
        </w:rPr>
        <w:t xml:space="preserve"> </w:t>
      </w:r>
      <w:r w:rsidRPr="00C33773">
        <w:rPr>
          <w:rFonts w:ascii="Calibri" w:hAnsi="Calibri" w:cs="Calibri"/>
        </w:rPr>
        <w:t>However, to maximi</w:t>
      </w:r>
      <w:r w:rsidR="006444FD">
        <w:rPr>
          <w:rFonts w:ascii="Calibri" w:hAnsi="Calibri" w:cs="Calibri"/>
        </w:rPr>
        <w:t>s</w:t>
      </w:r>
      <w:r w:rsidRPr="00C33773">
        <w:rPr>
          <w:rFonts w:ascii="Calibri" w:hAnsi="Calibri" w:cs="Calibri"/>
        </w:rPr>
        <w:t>e the effectiveness of these initiatives, the school should consider integrating explicit reading instruction, enhancing parental involvement, and implementing rigorous evaluation processes. By adopting a holistic and evidence-based approach, School X can better support the academic success of all its students.</w:t>
      </w:r>
    </w:p>
    <w:p w14:paraId="4C2E418E" w14:textId="77777777" w:rsidR="00C33773" w:rsidRDefault="00C33773" w:rsidP="006444FD">
      <w:pPr>
        <w:jc w:val="both"/>
        <w:rPr>
          <w:rFonts w:ascii="Calibri" w:hAnsi="Calibri" w:cs="Calibri"/>
          <w:u w:val="single"/>
        </w:rPr>
      </w:pPr>
    </w:p>
    <w:p w14:paraId="5AE3A74C" w14:textId="167E69EA" w:rsidR="006444FD" w:rsidRDefault="006444FD" w:rsidP="006444FD">
      <w:pPr>
        <w:jc w:val="both"/>
        <w:rPr>
          <w:rFonts w:ascii="Calibri" w:hAnsi="Calibri" w:cs="Calibri"/>
          <w:u w:val="single"/>
        </w:rPr>
      </w:pPr>
      <w:r>
        <w:rPr>
          <w:rFonts w:ascii="Calibri" w:hAnsi="Calibri" w:cs="Calibri"/>
          <w:u w:val="single"/>
        </w:rPr>
        <w:t>Conclusion</w:t>
      </w:r>
    </w:p>
    <w:p w14:paraId="66570BB7" w14:textId="77777777" w:rsidR="006444FD" w:rsidRDefault="006444FD" w:rsidP="006444FD">
      <w:pPr>
        <w:jc w:val="both"/>
        <w:rPr>
          <w:rFonts w:ascii="Calibri" w:hAnsi="Calibri" w:cs="Calibri"/>
          <w:u w:val="single"/>
        </w:rPr>
      </w:pPr>
    </w:p>
    <w:p w14:paraId="760189A5" w14:textId="0C77BF67" w:rsidR="006444FD" w:rsidRPr="006444FD" w:rsidRDefault="006444FD" w:rsidP="006444FD">
      <w:pPr>
        <w:jc w:val="both"/>
        <w:rPr>
          <w:rFonts w:ascii="Calibri" w:hAnsi="Calibri" w:cs="Calibri"/>
        </w:rPr>
      </w:pPr>
      <w:r w:rsidRPr="006444FD">
        <w:rPr>
          <w:rFonts w:ascii="Calibri" w:hAnsi="Calibri" w:cs="Calibri"/>
        </w:rPr>
        <w:t xml:space="preserve">This assignment critically analysed School X's development plan aimed at closing the literacy and numeracy gap for EFSM learners. </w:t>
      </w:r>
      <w:r>
        <w:rPr>
          <w:rFonts w:ascii="Calibri" w:hAnsi="Calibri" w:cs="Calibri"/>
        </w:rPr>
        <w:t xml:space="preserve"> </w:t>
      </w:r>
      <w:r w:rsidRPr="006444FD">
        <w:rPr>
          <w:rFonts w:ascii="Calibri" w:hAnsi="Calibri" w:cs="Calibri"/>
        </w:rPr>
        <w:t xml:space="preserve">The plan included initiatives such as </w:t>
      </w:r>
      <w:r>
        <w:rPr>
          <w:rFonts w:ascii="Calibri" w:hAnsi="Calibri" w:cs="Calibri"/>
        </w:rPr>
        <w:t>RFP</w:t>
      </w:r>
      <w:r w:rsidRPr="006444FD">
        <w:rPr>
          <w:rFonts w:ascii="Calibri" w:hAnsi="Calibri" w:cs="Calibri"/>
        </w:rPr>
        <w:t xml:space="preserve"> training for staff and funding for new books and reading corners. </w:t>
      </w:r>
      <w:r>
        <w:rPr>
          <w:rFonts w:ascii="Calibri" w:hAnsi="Calibri" w:cs="Calibri"/>
        </w:rPr>
        <w:t xml:space="preserve"> </w:t>
      </w:r>
      <w:r w:rsidRPr="006444FD">
        <w:rPr>
          <w:rFonts w:ascii="Calibri" w:hAnsi="Calibri" w:cs="Calibri"/>
        </w:rPr>
        <w:t>Through this analysis, I explored the processes involved in school development planning, including self-evaluation, data analysis, stakeholder involvement, strategic planning, and impact measurement.</w:t>
      </w:r>
    </w:p>
    <w:p w14:paraId="340A77F4" w14:textId="77777777" w:rsidR="006444FD" w:rsidRPr="006444FD" w:rsidRDefault="006444FD" w:rsidP="006444FD">
      <w:pPr>
        <w:jc w:val="both"/>
        <w:rPr>
          <w:rFonts w:ascii="Calibri" w:hAnsi="Calibri" w:cs="Calibri"/>
        </w:rPr>
      </w:pPr>
    </w:p>
    <w:p w14:paraId="10A88C9B" w14:textId="0D1F1A83" w:rsidR="006444FD" w:rsidRPr="006444FD" w:rsidRDefault="006444FD" w:rsidP="006444FD">
      <w:pPr>
        <w:jc w:val="both"/>
        <w:rPr>
          <w:rFonts w:ascii="Calibri" w:hAnsi="Calibri" w:cs="Calibri"/>
        </w:rPr>
      </w:pPr>
      <w:r w:rsidRPr="006444FD">
        <w:rPr>
          <w:rFonts w:ascii="Calibri" w:hAnsi="Calibri" w:cs="Calibri"/>
        </w:rPr>
        <w:t>From this assignment, I</w:t>
      </w:r>
      <w:r>
        <w:rPr>
          <w:rFonts w:ascii="Calibri" w:hAnsi="Calibri" w:cs="Calibri"/>
        </w:rPr>
        <w:t xml:space="preserve"> have</w:t>
      </w:r>
      <w:r w:rsidRPr="006444FD">
        <w:rPr>
          <w:rFonts w:ascii="Calibri" w:hAnsi="Calibri" w:cs="Calibri"/>
        </w:rPr>
        <w:t xml:space="preserve"> learned the importance of taking a holistic approach to school improvement, considering both the academic and socio-economic factors that influence educational outcomes. </w:t>
      </w:r>
      <w:r>
        <w:rPr>
          <w:rFonts w:ascii="Calibri" w:hAnsi="Calibri" w:cs="Calibri"/>
        </w:rPr>
        <w:t xml:space="preserve"> </w:t>
      </w:r>
      <w:r w:rsidRPr="006444FD">
        <w:rPr>
          <w:rFonts w:ascii="Calibri" w:hAnsi="Calibri" w:cs="Calibri"/>
        </w:rPr>
        <w:t>I</w:t>
      </w:r>
      <w:r>
        <w:rPr>
          <w:rFonts w:ascii="Calibri" w:hAnsi="Calibri" w:cs="Calibri"/>
        </w:rPr>
        <w:t xml:space="preserve"> have</w:t>
      </w:r>
      <w:r w:rsidRPr="006444FD">
        <w:rPr>
          <w:rFonts w:ascii="Calibri" w:hAnsi="Calibri" w:cs="Calibri"/>
        </w:rPr>
        <w:t xml:space="preserve"> also gained insight into the complexities of addressing educational inequalities and the need for evidence-based interventions that engage all stakeholders.</w:t>
      </w:r>
    </w:p>
    <w:p w14:paraId="2D26DC4B" w14:textId="77777777" w:rsidR="006444FD" w:rsidRPr="006444FD" w:rsidRDefault="006444FD" w:rsidP="006444FD">
      <w:pPr>
        <w:jc w:val="both"/>
        <w:rPr>
          <w:rFonts w:ascii="Calibri" w:hAnsi="Calibri" w:cs="Calibri"/>
        </w:rPr>
      </w:pPr>
    </w:p>
    <w:p w14:paraId="46DDF5BF" w14:textId="3B29F53A" w:rsidR="006444FD" w:rsidRPr="006444FD" w:rsidRDefault="006444FD" w:rsidP="006444FD">
      <w:pPr>
        <w:jc w:val="both"/>
        <w:rPr>
          <w:rFonts w:ascii="Calibri" w:hAnsi="Calibri" w:cs="Calibri"/>
        </w:rPr>
      </w:pPr>
      <w:r w:rsidRPr="006444FD">
        <w:rPr>
          <w:rFonts w:ascii="Calibri" w:hAnsi="Calibri" w:cs="Calibri"/>
        </w:rPr>
        <w:t xml:space="preserve">One key takeaway is the significance of promoting </w:t>
      </w:r>
      <w:r>
        <w:rPr>
          <w:rFonts w:ascii="Calibri" w:hAnsi="Calibri" w:cs="Calibri"/>
        </w:rPr>
        <w:t>RFP</w:t>
      </w:r>
      <w:r w:rsidRPr="006444FD">
        <w:rPr>
          <w:rFonts w:ascii="Calibri" w:hAnsi="Calibri" w:cs="Calibri"/>
        </w:rPr>
        <w:t xml:space="preserve"> as a means of improving literacy skills.</w:t>
      </w:r>
      <w:r>
        <w:rPr>
          <w:rFonts w:ascii="Calibri" w:hAnsi="Calibri" w:cs="Calibri"/>
        </w:rPr>
        <w:t xml:space="preserve"> </w:t>
      </w:r>
      <w:r w:rsidRPr="006444FD">
        <w:rPr>
          <w:rFonts w:ascii="Calibri" w:hAnsi="Calibri" w:cs="Calibri"/>
        </w:rPr>
        <w:t xml:space="preserve"> Research by Allington and McGill-Franzen (2014) emphasi</w:t>
      </w:r>
      <w:r>
        <w:rPr>
          <w:rFonts w:ascii="Calibri" w:hAnsi="Calibri" w:cs="Calibri"/>
        </w:rPr>
        <w:t>s</w:t>
      </w:r>
      <w:r w:rsidRPr="006444FD">
        <w:rPr>
          <w:rFonts w:ascii="Calibri" w:hAnsi="Calibri" w:cs="Calibri"/>
        </w:rPr>
        <w:t>es the positive impact of independent reading on literacy development, highlighting the need for schools to create supportive environments that encourage a love of reading.</w:t>
      </w:r>
    </w:p>
    <w:p w14:paraId="4C298BAF" w14:textId="77777777" w:rsidR="006444FD" w:rsidRPr="006444FD" w:rsidRDefault="006444FD" w:rsidP="006444FD">
      <w:pPr>
        <w:jc w:val="both"/>
        <w:rPr>
          <w:rFonts w:ascii="Calibri" w:hAnsi="Calibri" w:cs="Calibri"/>
        </w:rPr>
      </w:pPr>
    </w:p>
    <w:p w14:paraId="70E0969B" w14:textId="1CD74156" w:rsidR="006444FD" w:rsidRPr="006444FD" w:rsidRDefault="006444FD" w:rsidP="006444FD">
      <w:pPr>
        <w:jc w:val="both"/>
        <w:rPr>
          <w:rFonts w:ascii="Calibri" w:hAnsi="Calibri" w:cs="Calibri"/>
        </w:rPr>
      </w:pPr>
      <w:r w:rsidRPr="006444FD">
        <w:rPr>
          <w:rFonts w:ascii="Calibri" w:hAnsi="Calibri" w:cs="Calibri"/>
        </w:rPr>
        <w:t>Additionally, I</w:t>
      </w:r>
      <w:r>
        <w:rPr>
          <w:rFonts w:ascii="Calibri" w:hAnsi="Calibri" w:cs="Calibri"/>
        </w:rPr>
        <w:t xml:space="preserve"> also</w:t>
      </w:r>
      <w:r w:rsidRPr="006444FD">
        <w:rPr>
          <w:rFonts w:ascii="Calibri" w:hAnsi="Calibri" w:cs="Calibri"/>
        </w:rPr>
        <w:t xml:space="preserve"> </w:t>
      </w:r>
      <w:r>
        <w:rPr>
          <w:rFonts w:ascii="Calibri" w:hAnsi="Calibri" w:cs="Calibri"/>
        </w:rPr>
        <w:t xml:space="preserve">recognise </w:t>
      </w:r>
      <w:r w:rsidRPr="006444FD">
        <w:rPr>
          <w:rFonts w:ascii="Calibri" w:hAnsi="Calibri" w:cs="Calibri"/>
        </w:rPr>
        <w:t>the importance of parental involvement in supporting children's learning, as emphasi</w:t>
      </w:r>
      <w:r>
        <w:rPr>
          <w:rFonts w:ascii="Calibri" w:hAnsi="Calibri" w:cs="Calibri"/>
        </w:rPr>
        <w:t>s</w:t>
      </w:r>
      <w:r w:rsidRPr="006444FD">
        <w:rPr>
          <w:rFonts w:ascii="Calibri" w:hAnsi="Calibri" w:cs="Calibri"/>
        </w:rPr>
        <w:t xml:space="preserve">ed by Desimone (1999). </w:t>
      </w:r>
      <w:r>
        <w:rPr>
          <w:rFonts w:ascii="Calibri" w:hAnsi="Calibri" w:cs="Calibri"/>
        </w:rPr>
        <w:t xml:space="preserve"> </w:t>
      </w:r>
      <w:r w:rsidRPr="006444FD">
        <w:rPr>
          <w:rFonts w:ascii="Calibri" w:hAnsi="Calibri" w:cs="Calibri"/>
        </w:rPr>
        <w:t>Engaging parents as partners in education can enhance the effectiveness of school-based interventions and create a more cohesive learning environment.</w:t>
      </w:r>
    </w:p>
    <w:p w14:paraId="72FEB6EF" w14:textId="77777777" w:rsidR="006444FD" w:rsidRPr="006444FD" w:rsidRDefault="006444FD" w:rsidP="006444FD">
      <w:pPr>
        <w:jc w:val="both"/>
        <w:rPr>
          <w:rFonts w:ascii="Calibri" w:hAnsi="Calibri" w:cs="Calibri"/>
        </w:rPr>
      </w:pPr>
    </w:p>
    <w:p w14:paraId="30BCEDFB" w14:textId="4FD93E74" w:rsidR="006444FD" w:rsidRPr="006444FD" w:rsidRDefault="006444FD" w:rsidP="006444FD">
      <w:pPr>
        <w:jc w:val="both"/>
        <w:rPr>
          <w:rFonts w:ascii="Calibri" w:hAnsi="Calibri" w:cs="Calibri"/>
        </w:rPr>
      </w:pPr>
      <w:r w:rsidRPr="006444FD">
        <w:rPr>
          <w:rFonts w:ascii="Calibri" w:hAnsi="Calibri" w:cs="Calibri"/>
        </w:rPr>
        <w:t xml:space="preserve">Moving forward, this assignment will influence me professionally by shaping my approach to educational practice and policy. </w:t>
      </w:r>
      <w:r>
        <w:rPr>
          <w:rFonts w:ascii="Calibri" w:hAnsi="Calibri" w:cs="Calibri"/>
        </w:rPr>
        <w:t xml:space="preserve"> </w:t>
      </w:r>
      <w:r w:rsidRPr="006444FD">
        <w:rPr>
          <w:rFonts w:ascii="Calibri" w:hAnsi="Calibri" w:cs="Calibri"/>
        </w:rPr>
        <w:t xml:space="preserve">I now understand the importance of critically evaluating interventions and considering their broader implications for student learning and well-being. </w:t>
      </w:r>
      <w:r>
        <w:rPr>
          <w:rFonts w:ascii="Calibri" w:hAnsi="Calibri" w:cs="Calibri"/>
        </w:rPr>
        <w:t xml:space="preserve"> </w:t>
      </w:r>
      <w:r w:rsidRPr="006444FD">
        <w:rPr>
          <w:rFonts w:ascii="Calibri" w:hAnsi="Calibri" w:cs="Calibri"/>
        </w:rPr>
        <w:t>I will strive to incorporate evidence-based strategies into my work, ensuring that my efforts are targeted, impactful, and responsive to the needs of diverse learners.</w:t>
      </w:r>
    </w:p>
    <w:p w14:paraId="5B027319" w14:textId="77777777" w:rsidR="006444FD" w:rsidRPr="006444FD" w:rsidRDefault="006444FD" w:rsidP="006444FD">
      <w:pPr>
        <w:jc w:val="both"/>
        <w:rPr>
          <w:rFonts w:ascii="Calibri" w:hAnsi="Calibri" w:cs="Calibri"/>
        </w:rPr>
      </w:pPr>
    </w:p>
    <w:p w14:paraId="080679C6" w14:textId="11548830" w:rsidR="006444FD" w:rsidRPr="006444FD" w:rsidRDefault="006444FD" w:rsidP="006444FD">
      <w:pPr>
        <w:jc w:val="both"/>
        <w:rPr>
          <w:rFonts w:ascii="Calibri" w:hAnsi="Calibri" w:cs="Calibri"/>
        </w:rPr>
      </w:pPr>
      <w:r w:rsidRPr="006444FD">
        <w:rPr>
          <w:rFonts w:ascii="Calibri" w:hAnsi="Calibri" w:cs="Calibri"/>
        </w:rPr>
        <w:t>Moreover, I recogni</w:t>
      </w:r>
      <w:r>
        <w:rPr>
          <w:rFonts w:ascii="Calibri" w:hAnsi="Calibri" w:cs="Calibri"/>
        </w:rPr>
        <w:t>s</w:t>
      </w:r>
      <w:r w:rsidRPr="006444FD">
        <w:rPr>
          <w:rFonts w:ascii="Calibri" w:hAnsi="Calibri" w:cs="Calibri"/>
        </w:rPr>
        <w:t xml:space="preserve">e the value of collaboration and stakeholder engagement in driving meaningful change within educational settings. </w:t>
      </w:r>
      <w:r>
        <w:rPr>
          <w:rFonts w:ascii="Calibri" w:hAnsi="Calibri" w:cs="Calibri"/>
        </w:rPr>
        <w:t xml:space="preserve"> </w:t>
      </w:r>
      <w:r w:rsidRPr="006444FD">
        <w:rPr>
          <w:rFonts w:ascii="Calibri" w:hAnsi="Calibri" w:cs="Calibri"/>
        </w:rPr>
        <w:t>By fostering partnerships with colleagues, families, and communities, I can leverage collective expertise and resources to create more equitable and inclusive learning environments.</w:t>
      </w:r>
    </w:p>
    <w:p w14:paraId="7B7A65C9" w14:textId="77777777" w:rsidR="006444FD" w:rsidRPr="006444FD" w:rsidRDefault="006444FD" w:rsidP="006444FD">
      <w:pPr>
        <w:jc w:val="both"/>
        <w:rPr>
          <w:rFonts w:ascii="Calibri" w:hAnsi="Calibri" w:cs="Calibri"/>
        </w:rPr>
      </w:pPr>
    </w:p>
    <w:p w14:paraId="4B43AB06" w14:textId="72F95BE5" w:rsidR="006444FD" w:rsidRPr="006444FD" w:rsidRDefault="006444FD" w:rsidP="006444FD">
      <w:pPr>
        <w:jc w:val="both"/>
        <w:rPr>
          <w:rFonts w:ascii="Calibri" w:hAnsi="Calibri" w:cs="Calibri"/>
        </w:rPr>
      </w:pPr>
      <w:r w:rsidRPr="006444FD">
        <w:rPr>
          <w:rFonts w:ascii="Calibri" w:hAnsi="Calibri" w:cs="Calibri"/>
        </w:rPr>
        <w:t xml:space="preserve">In conclusion, this assignment has deepened my understanding of school development planning and the complexities of addressing educational inequalities. </w:t>
      </w:r>
      <w:r>
        <w:rPr>
          <w:rFonts w:ascii="Calibri" w:hAnsi="Calibri" w:cs="Calibri"/>
        </w:rPr>
        <w:t xml:space="preserve"> </w:t>
      </w:r>
      <w:r w:rsidRPr="006444FD">
        <w:rPr>
          <w:rFonts w:ascii="Calibri" w:hAnsi="Calibri" w:cs="Calibri"/>
        </w:rPr>
        <w:t>It has equipped me with valuable insights and practical strategies that will guide my professional practice and advocacy for positive change in the field of education.</w:t>
      </w:r>
    </w:p>
    <w:p w14:paraId="2595C2C6" w14:textId="77777777" w:rsidR="00C33773" w:rsidRPr="00C33773" w:rsidRDefault="00C33773" w:rsidP="00C33773">
      <w:pPr>
        <w:rPr>
          <w:rFonts w:ascii="Calibri" w:hAnsi="Calibri" w:cs="Calibri"/>
          <w:u w:val="single"/>
        </w:rPr>
      </w:pPr>
    </w:p>
    <w:p w14:paraId="7D5DE5C4" w14:textId="0791E8B7" w:rsidR="00C33773" w:rsidRDefault="00FB0D8F" w:rsidP="00C33773">
      <w:pPr>
        <w:rPr>
          <w:rFonts w:ascii="Calibri" w:hAnsi="Calibri" w:cs="Calibri"/>
          <w:u w:val="single"/>
        </w:rPr>
      </w:pPr>
      <w:r>
        <w:rPr>
          <w:rFonts w:ascii="Calibri" w:hAnsi="Calibri" w:cs="Calibri"/>
          <w:u w:val="single"/>
        </w:rPr>
        <w:t>References:</w:t>
      </w:r>
    </w:p>
    <w:p w14:paraId="4A2C58E7" w14:textId="5A974B8B" w:rsidR="00FB0D8F" w:rsidRPr="00FB0D8F" w:rsidRDefault="00FB0D8F" w:rsidP="00FB0D8F">
      <w:pPr>
        <w:pStyle w:val="NormalWeb"/>
        <w:spacing w:before="0" w:beforeAutospacing="0" w:after="240" w:afterAutospacing="0" w:line="360" w:lineRule="atLeast"/>
        <w:rPr>
          <w:rFonts w:ascii="Calibri" w:hAnsi="Calibri" w:cs="Calibri"/>
          <w:color w:val="000000"/>
        </w:rPr>
      </w:pPr>
      <w:r w:rsidRPr="00FB0D8F">
        <w:rPr>
          <w:rFonts w:ascii="Calibri" w:hAnsi="Calibri" w:cs="Calibri"/>
          <w:color w:val="000000"/>
        </w:rPr>
        <w:t xml:space="preserve"> </w:t>
      </w:r>
      <w:proofErr w:type="spellStart"/>
      <w:r w:rsidRPr="00FB0D8F">
        <w:rPr>
          <w:rFonts w:ascii="Calibri" w:hAnsi="Calibri" w:cs="Calibri"/>
          <w:color w:val="000000"/>
        </w:rPr>
        <w:t>Leithwood</w:t>
      </w:r>
      <w:proofErr w:type="spellEnd"/>
      <w:r w:rsidRPr="00FB0D8F">
        <w:rPr>
          <w:rFonts w:ascii="Calibri" w:hAnsi="Calibri" w:cs="Calibri"/>
          <w:color w:val="000000"/>
        </w:rPr>
        <w:t xml:space="preserve">, </w:t>
      </w:r>
      <w:r>
        <w:rPr>
          <w:rFonts w:ascii="Calibri" w:hAnsi="Calibri" w:cs="Calibri"/>
          <w:color w:val="000000"/>
        </w:rPr>
        <w:t>E.,</w:t>
      </w:r>
      <w:r w:rsidRPr="00FB0D8F">
        <w:rPr>
          <w:rFonts w:ascii="Calibri" w:hAnsi="Calibri" w:cs="Calibri"/>
          <w:color w:val="000000"/>
        </w:rPr>
        <w:t xml:space="preserve"> </w:t>
      </w:r>
      <w:proofErr w:type="spellStart"/>
      <w:r w:rsidRPr="00FB0D8F">
        <w:rPr>
          <w:rFonts w:ascii="Calibri" w:hAnsi="Calibri" w:cs="Calibri"/>
          <w:color w:val="000000"/>
        </w:rPr>
        <w:t>Jantzi</w:t>
      </w:r>
      <w:proofErr w:type="spellEnd"/>
      <w:r>
        <w:rPr>
          <w:rFonts w:ascii="Calibri" w:hAnsi="Calibri" w:cs="Calibri"/>
          <w:color w:val="000000"/>
        </w:rPr>
        <w:t xml:space="preserve">. </w:t>
      </w:r>
      <w:r w:rsidRPr="00FB0D8F">
        <w:rPr>
          <w:rFonts w:ascii="Calibri" w:hAnsi="Calibri" w:cs="Calibri"/>
          <w:color w:val="000000"/>
        </w:rPr>
        <w:t>(1999). DOCUMENT RESUME The Effects of Transformational Leadership on Organizational Conditions and Student Engagement with School. Reproductions supplied by EDRS are the best that can be made from the original document.</w:t>
      </w:r>
      <w:r w:rsidRPr="00FB0D8F">
        <w:rPr>
          <w:rStyle w:val="apple-converted-space"/>
          <w:rFonts w:ascii="Calibri" w:eastAsiaTheme="majorEastAsia" w:hAnsi="Calibri" w:cs="Calibri"/>
          <w:color w:val="000000"/>
        </w:rPr>
        <w:t> </w:t>
      </w:r>
      <w:r w:rsidRPr="00FB0D8F">
        <w:rPr>
          <w:rFonts w:ascii="Calibri" w:hAnsi="Calibri" w:cs="Calibri"/>
          <w:i/>
          <w:iCs/>
          <w:color w:val="000000"/>
        </w:rPr>
        <w:t>PUB TYPE Reports Research</w:t>
      </w:r>
      <w:r w:rsidRPr="00FB0D8F">
        <w:rPr>
          <w:rFonts w:ascii="Calibri" w:hAnsi="Calibri" w:cs="Calibri"/>
          <w:color w:val="000000"/>
        </w:rPr>
        <w:t xml:space="preserve">, [online] (143). Available at: </w:t>
      </w:r>
      <w:hyperlink r:id="rId5" w:history="1">
        <w:r w:rsidRPr="00BE438F">
          <w:rPr>
            <w:rStyle w:val="Hyperlink"/>
            <w:rFonts w:ascii="Calibri" w:hAnsi="Calibri" w:cs="Calibri"/>
          </w:rPr>
          <w:t>https://files.eric.ed.gov/fulltext/ED432035.pdf</w:t>
        </w:r>
      </w:hyperlink>
      <w:r>
        <w:rPr>
          <w:rFonts w:ascii="Calibri" w:hAnsi="Calibri" w:cs="Calibri"/>
          <w:color w:val="000000"/>
        </w:rPr>
        <w:t xml:space="preserve"> </w:t>
      </w:r>
      <w:r w:rsidRPr="00FB0D8F">
        <w:rPr>
          <w:rFonts w:ascii="Calibri" w:hAnsi="Calibri" w:cs="Calibri"/>
          <w:color w:val="000000"/>
        </w:rPr>
        <w:t xml:space="preserve">[Accessed </w:t>
      </w:r>
      <w:r>
        <w:rPr>
          <w:rFonts w:ascii="Calibri" w:hAnsi="Calibri" w:cs="Calibri"/>
          <w:color w:val="000000"/>
        </w:rPr>
        <w:t>2</w:t>
      </w:r>
      <w:r w:rsidRPr="00FB0D8F">
        <w:rPr>
          <w:rFonts w:ascii="Calibri" w:hAnsi="Calibri" w:cs="Calibri"/>
          <w:color w:val="000000"/>
        </w:rPr>
        <w:t xml:space="preserve"> May 2024].</w:t>
      </w:r>
    </w:p>
    <w:p w14:paraId="225B71B5" w14:textId="1CFC6F0C" w:rsidR="00FB0D8F" w:rsidRPr="00FB0D8F" w:rsidRDefault="00FB0D8F" w:rsidP="00FB0D8F">
      <w:pPr>
        <w:pStyle w:val="NormalWeb"/>
        <w:spacing w:before="0" w:beforeAutospacing="0" w:after="240" w:afterAutospacing="0" w:line="360" w:lineRule="atLeast"/>
        <w:rPr>
          <w:rFonts w:ascii="Calibri" w:hAnsi="Calibri" w:cs="Calibri"/>
          <w:color w:val="000000"/>
        </w:rPr>
      </w:pPr>
      <w:r w:rsidRPr="00FB0D8F">
        <w:rPr>
          <w:rFonts w:ascii="Calibri" w:hAnsi="Calibri" w:cs="Calibri"/>
          <w:color w:val="000000"/>
        </w:rPr>
        <w:t>Allington, R.L. and McGill‐Franzen, A.M. (2021). Reading Volume and Reading Achievement: A Review of Recent Research.</w:t>
      </w:r>
      <w:r w:rsidRPr="00FB0D8F">
        <w:rPr>
          <w:rStyle w:val="apple-converted-space"/>
          <w:rFonts w:ascii="Calibri" w:eastAsiaTheme="majorEastAsia" w:hAnsi="Calibri" w:cs="Calibri"/>
          <w:color w:val="000000"/>
        </w:rPr>
        <w:t> </w:t>
      </w:r>
      <w:r w:rsidRPr="00FB0D8F">
        <w:rPr>
          <w:rFonts w:ascii="Calibri" w:hAnsi="Calibri" w:cs="Calibri"/>
          <w:i/>
          <w:iCs/>
          <w:color w:val="000000"/>
        </w:rPr>
        <w:t>Reading Research Quarterly</w:t>
      </w:r>
      <w:r w:rsidRPr="00FB0D8F">
        <w:rPr>
          <w:rFonts w:ascii="Calibri" w:hAnsi="Calibri" w:cs="Calibri"/>
          <w:color w:val="000000"/>
        </w:rPr>
        <w:t xml:space="preserve">. </w:t>
      </w:r>
      <w:proofErr w:type="spellStart"/>
      <w:proofErr w:type="gramStart"/>
      <w:r w:rsidRPr="00FB0D8F">
        <w:rPr>
          <w:rFonts w:ascii="Calibri" w:hAnsi="Calibri" w:cs="Calibri"/>
          <w:color w:val="000000"/>
        </w:rPr>
        <w:t>doi:https</w:t>
      </w:r>
      <w:proofErr w:type="spellEnd"/>
      <w:r w:rsidRPr="00FB0D8F">
        <w:rPr>
          <w:rFonts w:ascii="Calibri" w:hAnsi="Calibri" w:cs="Calibri"/>
          <w:color w:val="000000"/>
        </w:rPr>
        <w:t>://doi.org/10.1002/rrq.404</w:t>
      </w:r>
      <w:proofErr w:type="gramEnd"/>
      <w:r>
        <w:rPr>
          <w:rFonts w:ascii="Calibri" w:hAnsi="Calibri" w:cs="Calibri"/>
          <w:color w:val="000000"/>
        </w:rPr>
        <w:t xml:space="preserve"> </w:t>
      </w:r>
      <w:r w:rsidRPr="00FB0D8F">
        <w:rPr>
          <w:rFonts w:ascii="Calibri" w:hAnsi="Calibri" w:cs="Calibri"/>
          <w:color w:val="000000"/>
        </w:rPr>
        <w:t xml:space="preserve">[Accessed </w:t>
      </w:r>
      <w:r>
        <w:rPr>
          <w:rFonts w:ascii="Calibri" w:hAnsi="Calibri" w:cs="Calibri"/>
          <w:color w:val="000000"/>
        </w:rPr>
        <w:t>29 April</w:t>
      </w:r>
      <w:r w:rsidRPr="00FB0D8F">
        <w:rPr>
          <w:rFonts w:ascii="Calibri" w:hAnsi="Calibri" w:cs="Calibri"/>
          <w:color w:val="000000"/>
        </w:rPr>
        <w:t xml:space="preserve"> 2024].</w:t>
      </w:r>
    </w:p>
    <w:p w14:paraId="2925F3CA" w14:textId="71A88F8F" w:rsidR="00FB0D8F" w:rsidRPr="00FB0D8F" w:rsidRDefault="00FB0D8F" w:rsidP="00FB0D8F">
      <w:pPr>
        <w:pStyle w:val="NormalWeb"/>
        <w:spacing w:before="0" w:beforeAutospacing="0" w:after="240" w:afterAutospacing="0" w:line="360" w:lineRule="atLeast"/>
        <w:rPr>
          <w:rFonts w:ascii="Calibri" w:hAnsi="Calibri" w:cs="Calibri"/>
          <w:color w:val="000000"/>
        </w:rPr>
      </w:pPr>
      <w:r w:rsidRPr="00FB0D8F">
        <w:rPr>
          <w:rFonts w:ascii="Calibri" w:hAnsi="Calibri" w:cs="Calibri"/>
          <w:color w:val="000000"/>
        </w:rPr>
        <w:t>Ball, S.J., Bowe, R. and Gewirtz, S. (1995). Circuits of Schooling: A Sociological Exploration of Parental Choice of School in Social Class Contexts.</w:t>
      </w:r>
      <w:r w:rsidRPr="00FB0D8F">
        <w:rPr>
          <w:rStyle w:val="apple-converted-space"/>
          <w:rFonts w:ascii="Calibri" w:eastAsiaTheme="majorEastAsia" w:hAnsi="Calibri" w:cs="Calibri"/>
          <w:color w:val="000000"/>
        </w:rPr>
        <w:t> </w:t>
      </w:r>
      <w:r w:rsidRPr="00FB0D8F">
        <w:rPr>
          <w:rFonts w:ascii="Calibri" w:hAnsi="Calibri" w:cs="Calibri"/>
          <w:i/>
          <w:iCs/>
          <w:color w:val="000000"/>
        </w:rPr>
        <w:t>The Sociological Review</w:t>
      </w:r>
      <w:r w:rsidRPr="00FB0D8F">
        <w:rPr>
          <w:rFonts w:ascii="Calibri" w:hAnsi="Calibri" w:cs="Calibri"/>
          <w:color w:val="000000"/>
        </w:rPr>
        <w:t xml:space="preserve">, [online] 43(1), pp.52–78. </w:t>
      </w:r>
      <w:proofErr w:type="spellStart"/>
      <w:proofErr w:type="gramStart"/>
      <w:r w:rsidRPr="00FB0D8F">
        <w:rPr>
          <w:rFonts w:ascii="Calibri" w:hAnsi="Calibri" w:cs="Calibri"/>
          <w:color w:val="000000"/>
        </w:rPr>
        <w:t>doi:https</w:t>
      </w:r>
      <w:proofErr w:type="spellEnd"/>
      <w:r w:rsidRPr="00FB0D8F">
        <w:rPr>
          <w:rFonts w:ascii="Calibri" w:hAnsi="Calibri" w:cs="Calibri"/>
          <w:color w:val="000000"/>
        </w:rPr>
        <w:t>://doi.org/10.1111/j.1467-954x.1995.tb02478.x</w:t>
      </w:r>
      <w:proofErr w:type="gramEnd"/>
      <w:r>
        <w:rPr>
          <w:rFonts w:ascii="Calibri" w:hAnsi="Calibri" w:cs="Calibri"/>
          <w:color w:val="000000"/>
        </w:rPr>
        <w:t xml:space="preserve"> </w:t>
      </w:r>
      <w:r w:rsidRPr="00FB0D8F">
        <w:rPr>
          <w:rFonts w:ascii="Calibri" w:hAnsi="Calibri" w:cs="Calibri"/>
          <w:color w:val="000000"/>
        </w:rPr>
        <w:t xml:space="preserve">[Accessed </w:t>
      </w:r>
      <w:r>
        <w:rPr>
          <w:rFonts w:ascii="Calibri" w:hAnsi="Calibri" w:cs="Calibri"/>
          <w:color w:val="000000"/>
        </w:rPr>
        <w:t>29 April</w:t>
      </w:r>
      <w:r w:rsidRPr="00FB0D8F">
        <w:rPr>
          <w:rFonts w:ascii="Calibri" w:hAnsi="Calibri" w:cs="Calibri"/>
          <w:color w:val="000000"/>
        </w:rPr>
        <w:t xml:space="preserve"> 2024].</w:t>
      </w:r>
    </w:p>
    <w:p w14:paraId="3006475A" w14:textId="78F33D73" w:rsidR="00FB0D8F" w:rsidRPr="00FB0D8F" w:rsidRDefault="00FB0D8F" w:rsidP="00FB0D8F">
      <w:pPr>
        <w:pStyle w:val="NormalWeb"/>
        <w:spacing w:before="0" w:beforeAutospacing="0" w:after="240" w:afterAutospacing="0" w:line="360" w:lineRule="atLeast"/>
        <w:rPr>
          <w:rFonts w:ascii="Calibri" w:hAnsi="Calibri" w:cs="Calibri"/>
          <w:color w:val="000000"/>
        </w:rPr>
      </w:pPr>
      <w:r w:rsidRPr="00FB0D8F">
        <w:rPr>
          <w:rFonts w:ascii="Calibri" w:hAnsi="Calibri" w:cs="Calibri"/>
          <w:color w:val="000000"/>
        </w:rPr>
        <w:t>BERA (2018).</w:t>
      </w:r>
      <w:r w:rsidRPr="00FB0D8F">
        <w:rPr>
          <w:rStyle w:val="apple-converted-space"/>
          <w:rFonts w:ascii="Calibri" w:eastAsiaTheme="majorEastAsia" w:hAnsi="Calibri" w:cs="Calibri"/>
          <w:color w:val="000000"/>
        </w:rPr>
        <w:t> </w:t>
      </w:r>
      <w:r w:rsidRPr="00FB0D8F">
        <w:rPr>
          <w:rFonts w:ascii="Calibri" w:hAnsi="Calibri" w:cs="Calibri"/>
          <w:i/>
          <w:iCs/>
          <w:color w:val="000000"/>
        </w:rPr>
        <w:t>Ethical Guidelines for Educational Research, fourth edition (2018)</w:t>
      </w:r>
      <w:r w:rsidRPr="00FB0D8F">
        <w:rPr>
          <w:rFonts w:ascii="Calibri" w:hAnsi="Calibri" w:cs="Calibri"/>
          <w:color w:val="000000"/>
        </w:rPr>
        <w:t xml:space="preserve">. [online] Bera.ac.uk. Available at: </w:t>
      </w:r>
      <w:hyperlink r:id="rId6" w:history="1">
        <w:r w:rsidRPr="00BE438F">
          <w:rPr>
            <w:rStyle w:val="Hyperlink"/>
            <w:rFonts w:ascii="Calibri" w:hAnsi="Calibri" w:cs="Calibri"/>
          </w:rPr>
          <w:t>https://www.bera.ac.uk/publication/ethical-guidelines-for-educational-research-2018</w:t>
        </w:r>
      </w:hyperlink>
      <w:r>
        <w:rPr>
          <w:rFonts w:ascii="Calibri" w:hAnsi="Calibri" w:cs="Calibri"/>
          <w:color w:val="000000"/>
        </w:rPr>
        <w:t xml:space="preserve"> </w:t>
      </w:r>
      <w:r w:rsidRPr="00FB0D8F">
        <w:rPr>
          <w:rFonts w:ascii="Calibri" w:hAnsi="Calibri" w:cs="Calibri"/>
          <w:color w:val="000000"/>
        </w:rPr>
        <w:t xml:space="preserve">[Accessed </w:t>
      </w:r>
      <w:r>
        <w:rPr>
          <w:rFonts w:ascii="Calibri" w:hAnsi="Calibri" w:cs="Calibri"/>
          <w:color w:val="000000"/>
        </w:rPr>
        <w:t>29 April</w:t>
      </w:r>
      <w:r w:rsidRPr="00FB0D8F">
        <w:rPr>
          <w:rFonts w:ascii="Calibri" w:hAnsi="Calibri" w:cs="Calibri"/>
          <w:color w:val="000000"/>
        </w:rPr>
        <w:t xml:space="preserve"> 2024].</w:t>
      </w:r>
    </w:p>
    <w:p w14:paraId="7BEC1FA8" w14:textId="154EC3E3" w:rsidR="00FB0D8F" w:rsidRPr="00FB0D8F" w:rsidRDefault="00FB0D8F" w:rsidP="00FB0D8F">
      <w:pPr>
        <w:pStyle w:val="NormalWeb"/>
        <w:spacing w:before="0" w:beforeAutospacing="0" w:after="240" w:afterAutospacing="0" w:line="360" w:lineRule="atLeast"/>
        <w:rPr>
          <w:rFonts w:ascii="Calibri" w:hAnsi="Calibri" w:cs="Calibri"/>
          <w:color w:val="000000"/>
        </w:rPr>
      </w:pPr>
      <w:r w:rsidRPr="00FB0D8F">
        <w:rPr>
          <w:rFonts w:ascii="Calibri" w:hAnsi="Calibri" w:cs="Calibri"/>
          <w:color w:val="000000"/>
        </w:rPr>
        <w:t>Bradbury, A., Musgrave, J. and Perkins, H. (2023).</w:t>
      </w:r>
      <w:r w:rsidRPr="00FB0D8F">
        <w:rPr>
          <w:rStyle w:val="apple-converted-space"/>
          <w:rFonts w:ascii="Calibri" w:eastAsiaTheme="majorEastAsia" w:hAnsi="Calibri" w:cs="Calibri"/>
          <w:color w:val="000000"/>
        </w:rPr>
        <w:t> </w:t>
      </w:r>
      <w:r w:rsidRPr="00FB0D8F">
        <w:rPr>
          <w:rFonts w:ascii="Calibri" w:hAnsi="Calibri" w:cs="Calibri"/>
          <w:i/>
          <w:iCs/>
          <w:color w:val="000000"/>
        </w:rPr>
        <w:t>A Practical Guide to Early Childhood Studies Graduate Practitioner Competencies</w:t>
      </w:r>
      <w:r w:rsidRPr="00FB0D8F">
        <w:rPr>
          <w:rFonts w:ascii="Calibri" w:hAnsi="Calibri" w:cs="Calibri"/>
          <w:color w:val="000000"/>
        </w:rPr>
        <w:t>. [online]</w:t>
      </w:r>
      <w:r w:rsidRPr="00FB0D8F">
        <w:rPr>
          <w:rStyle w:val="apple-converted-space"/>
          <w:rFonts w:ascii="Calibri" w:eastAsiaTheme="majorEastAsia" w:hAnsi="Calibri" w:cs="Calibri"/>
          <w:color w:val="000000"/>
        </w:rPr>
        <w:t> </w:t>
      </w:r>
      <w:r w:rsidRPr="00FB0D8F">
        <w:rPr>
          <w:rFonts w:ascii="Calibri" w:hAnsi="Calibri" w:cs="Calibri"/>
          <w:i/>
          <w:iCs/>
          <w:color w:val="000000"/>
        </w:rPr>
        <w:t>Google Books</w:t>
      </w:r>
      <w:r w:rsidRPr="00FB0D8F">
        <w:rPr>
          <w:rFonts w:ascii="Calibri" w:hAnsi="Calibri" w:cs="Calibri"/>
          <w:color w:val="000000"/>
        </w:rPr>
        <w:t xml:space="preserve">. SAGE Publications. Available at: https://books.google.co.uk/books?hl=en&amp;lr=&amp;id=nkqkEAAAQBAJ&amp;oi=fnd&amp;pg=PA13&amp;dq=Ball [Accessed </w:t>
      </w:r>
      <w:r>
        <w:rPr>
          <w:rFonts w:ascii="Calibri" w:hAnsi="Calibri" w:cs="Calibri"/>
          <w:color w:val="000000"/>
        </w:rPr>
        <w:t xml:space="preserve">3 </w:t>
      </w:r>
      <w:r w:rsidRPr="00FB0D8F">
        <w:rPr>
          <w:rFonts w:ascii="Calibri" w:hAnsi="Calibri" w:cs="Calibri"/>
          <w:color w:val="000000"/>
        </w:rPr>
        <w:t>May 2024].</w:t>
      </w:r>
    </w:p>
    <w:p w14:paraId="2C8779AD" w14:textId="77777777" w:rsidR="00FB0D8F" w:rsidRPr="00FB0D8F" w:rsidRDefault="00FB0D8F" w:rsidP="00FB0D8F">
      <w:pPr>
        <w:pStyle w:val="NormalWeb"/>
        <w:spacing w:before="0" w:beforeAutospacing="0" w:after="240" w:afterAutospacing="0" w:line="360" w:lineRule="atLeast"/>
        <w:rPr>
          <w:rFonts w:ascii="Calibri" w:hAnsi="Calibri" w:cs="Calibri"/>
          <w:color w:val="000000"/>
        </w:rPr>
      </w:pPr>
      <w:r w:rsidRPr="00FB0D8F">
        <w:rPr>
          <w:rFonts w:ascii="Calibri" w:hAnsi="Calibri" w:cs="Calibri"/>
          <w:color w:val="000000"/>
        </w:rPr>
        <w:lastRenderedPageBreak/>
        <w:t>Bush, T. (2007). Educational Leadership and management: theory, policy, and Practice.</w:t>
      </w:r>
      <w:r w:rsidRPr="00FB0D8F">
        <w:rPr>
          <w:rStyle w:val="apple-converted-space"/>
          <w:rFonts w:ascii="Calibri" w:eastAsiaTheme="majorEastAsia" w:hAnsi="Calibri" w:cs="Calibri"/>
          <w:color w:val="000000"/>
        </w:rPr>
        <w:t> </w:t>
      </w:r>
      <w:r w:rsidRPr="00FB0D8F">
        <w:rPr>
          <w:rFonts w:ascii="Calibri" w:hAnsi="Calibri" w:cs="Calibri"/>
          <w:i/>
          <w:iCs/>
          <w:color w:val="000000"/>
        </w:rPr>
        <w:t>South African Journal of Education Copyright © 2007 EASA</w:t>
      </w:r>
      <w:r w:rsidRPr="00FB0D8F">
        <w:rPr>
          <w:rFonts w:ascii="Calibri" w:hAnsi="Calibri" w:cs="Calibri"/>
          <w:color w:val="000000"/>
        </w:rPr>
        <w:t>, 27(3), pp.391–406.</w:t>
      </w:r>
    </w:p>
    <w:p w14:paraId="6453AF3F" w14:textId="7A9CB8B8" w:rsidR="00FB0D8F" w:rsidRPr="00FB0D8F" w:rsidRDefault="00FB0D8F" w:rsidP="00FB0D8F">
      <w:pPr>
        <w:pStyle w:val="NormalWeb"/>
        <w:spacing w:before="0" w:beforeAutospacing="0" w:after="240" w:afterAutospacing="0" w:line="360" w:lineRule="atLeast"/>
        <w:rPr>
          <w:rFonts w:ascii="Calibri" w:hAnsi="Calibri" w:cs="Calibri"/>
          <w:color w:val="000000"/>
        </w:rPr>
      </w:pPr>
      <w:r w:rsidRPr="00FB0D8F">
        <w:rPr>
          <w:rFonts w:ascii="Calibri" w:hAnsi="Calibri" w:cs="Calibri"/>
          <w:color w:val="000000"/>
        </w:rPr>
        <w:t>Bush, T. and Glover, D. (2003).</w:t>
      </w:r>
      <w:r w:rsidRPr="00FB0D8F">
        <w:rPr>
          <w:rStyle w:val="apple-converted-space"/>
          <w:rFonts w:ascii="Calibri" w:eastAsiaTheme="majorEastAsia" w:hAnsi="Calibri" w:cs="Calibri"/>
          <w:color w:val="000000"/>
        </w:rPr>
        <w:t> </w:t>
      </w:r>
      <w:r w:rsidRPr="00FB0D8F">
        <w:rPr>
          <w:rFonts w:ascii="Calibri" w:hAnsi="Calibri" w:cs="Calibri"/>
          <w:i/>
          <w:iCs/>
          <w:color w:val="000000"/>
        </w:rPr>
        <w:t>School Leadership: Concepts and Evidence A review of the literature carried out for NCSL by</w:t>
      </w:r>
      <w:r w:rsidRPr="00FB0D8F">
        <w:rPr>
          <w:rFonts w:ascii="Calibri" w:hAnsi="Calibri" w:cs="Calibri"/>
          <w:color w:val="000000"/>
        </w:rPr>
        <w:t xml:space="preserve">. [online] Available at: </w:t>
      </w:r>
      <w:hyperlink r:id="rId7" w:history="1">
        <w:r w:rsidRPr="00BE438F">
          <w:rPr>
            <w:rStyle w:val="Hyperlink"/>
            <w:rFonts w:ascii="Calibri" w:hAnsi="Calibri" w:cs="Calibri"/>
          </w:rPr>
          <w:t>https://dera.ioe.ac.uk/id/eprint/5119/13/media-84d-76-school-leadership-concepts-and-evidence-summary_Redacted.pdf</w:t>
        </w:r>
      </w:hyperlink>
      <w:r>
        <w:rPr>
          <w:rFonts w:ascii="Calibri" w:hAnsi="Calibri" w:cs="Calibri"/>
          <w:color w:val="000000"/>
        </w:rPr>
        <w:t xml:space="preserve"> </w:t>
      </w:r>
      <w:r w:rsidRPr="00FB0D8F">
        <w:rPr>
          <w:rFonts w:ascii="Calibri" w:hAnsi="Calibri" w:cs="Calibri"/>
          <w:color w:val="000000"/>
        </w:rPr>
        <w:t xml:space="preserve">[Accessed </w:t>
      </w:r>
      <w:r>
        <w:rPr>
          <w:rFonts w:ascii="Calibri" w:hAnsi="Calibri" w:cs="Calibri"/>
          <w:color w:val="000000"/>
        </w:rPr>
        <w:t>2</w:t>
      </w:r>
      <w:r>
        <w:rPr>
          <w:rFonts w:ascii="Calibri" w:hAnsi="Calibri" w:cs="Calibri"/>
          <w:color w:val="000000"/>
        </w:rPr>
        <w:t xml:space="preserve"> May</w:t>
      </w:r>
      <w:r w:rsidRPr="00FB0D8F">
        <w:rPr>
          <w:rFonts w:ascii="Calibri" w:hAnsi="Calibri" w:cs="Calibri"/>
          <w:color w:val="000000"/>
        </w:rPr>
        <w:t xml:space="preserve"> 2024].</w:t>
      </w:r>
    </w:p>
    <w:p w14:paraId="7976F613" w14:textId="21EFB862" w:rsidR="00FB0D8F" w:rsidRPr="00FB0D8F" w:rsidRDefault="00FB0D8F" w:rsidP="00FB0D8F">
      <w:pPr>
        <w:pStyle w:val="NormalWeb"/>
        <w:spacing w:before="0" w:beforeAutospacing="0" w:after="240" w:afterAutospacing="0" w:line="360" w:lineRule="atLeast"/>
        <w:rPr>
          <w:rFonts w:ascii="Calibri" w:hAnsi="Calibri" w:cs="Calibri"/>
          <w:color w:val="000000"/>
        </w:rPr>
      </w:pPr>
      <w:r w:rsidRPr="00FB0D8F">
        <w:rPr>
          <w:rFonts w:ascii="Calibri" w:hAnsi="Calibri" w:cs="Calibri"/>
          <w:color w:val="000000"/>
        </w:rPr>
        <w:t>Clark, C. and Rumbold, K. (2019).</w:t>
      </w:r>
      <w:r w:rsidRPr="00FB0D8F">
        <w:rPr>
          <w:rStyle w:val="apple-converted-space"/>
          <w:rFonts w:ascii="Calibri" w:eastAsiaTheme="majorEastAsia" w:hAnsi="Calibri" w:cs="Calibri"/>
          <w:color w:val="000000"/>
        </w:rPr>
        <w:t> </w:t>
      </w:r>
      <w:r w:rsidRPr="00FB0D8F">
        <w:rPr>
          <w:rFonts w:ascii="Calibri" w:hAnsi="Calibri" w:cs="Calibri"/>
          <w:i/>
          <w:iCs/>
          <w:color w:val="000000"/>
        </w:rPr>
        <w:t>Reading for Pleasure: A Research Overview.</w:t>
      </w:r>
      <w:r w:rsidRPr="00FB0D8F">
        <w:rPr>
          <w:rStyle w:val="apple-converted-space"/>
          <w:rFonts w:ascii="Calibri" w:eastAsiaTheme="majorEastAsia" w:hAnsi="Calibri" w:cs="Calibri"/>
          <w:color w:val="000000"/>
        </w:rPr>
        <w:t> </w:t>
      </w:r>
      <w:r w:rsidRPr="00FB0D8F">
        <w:rPr>
          <w:rFonts w:ascii="Calibri" w:hAnsi="Calibri" w:cs="Calibri"/>
          <w:color w:val="000000"/>
        </w:rPr>
        <w:t xml:space="preserve">[online] National Literacy Trust. Available at: </w:t>
      </w:r>
      <w:hyperlink r:id="rId8" w:history="1">
        <w:r w:rsidRPr="00BE438F">
          <w:rPr>
            <w:rStyle w:val="Hyperlink"/>
            <w:rFonts w:ascii="Calibri" w:hAnsi="Calibri" w:cs="Calibri"/>
          </w:rPr>
          <w:t>https://eric.ed.gov/?id=ED496343</w:t>
        </w:r>
      </w:hyperlink>
      <w:r>
        <w:rPr>
          <w:rFonts w:ascii="Calibri" w:hAnsi="Calibri" w:cs="Calibri"/>
          <w:color w:val="000000"/>
        </w:rPr>
        <w:t xml:space="preserve"> </w:t>
      </w:r>
      <w:r w:rsidRPr="00FB0D8F">
        <w:rPr>
          <w:rFonts w:ascii="Calibri" w:hAnsi="Calibri" w:cs="Calibri"/>
          <w:color w:val="000000"/>
        </w:rPr>
        <w:t xml:space="preserve">[Accessed </w:t>
      </w:r>
      <w:r>
        <w:rPr>
          <w:rFonts w:ascii="Calibri" w:hAnsi="Calibri" w:cs="Calibri"/>
          <w:color w:val="000000"/>
        </w:rPr>
        <w:t>29 April</w:t>
      </w:r>
      <w:r w:rsidRPr="00FB0D8F">
        <w:rPr>
          <w:rFonts w:ascii="Calibri" w:hAnsi="Calibri" w:cs="Calibri"/>
          <w:color w:val="000000"/>
        </w:rPr>
        <w:t xml:space="preserve"> 2024].</w:t>
      </w:r>
    </w:p>
    <w:p w14:paraId="63CB3036" w14:textId="573AF392" w:rsidR="00FB0D8F" w:rsidRPr="00FB0D8F" w:rsidRDefault="00FB0D8F" w:rsidP="00FB0D8F">
      <w:pPr>
        <w:pStyle w:val="NormalWeb"/>
        <w:spacing w:before="0" w:beforeAutospacing="0" w:after="240" w:afterAutospacing="0" w:line="360" w:lineRule="atLeast"/>
        <w:rPr>
          <w:rFonts w:ascii="Calibri" w:hAnsi="Calibri" w:cs="Calibri"/>
          <w:color w:val="000000"/>
        </w:rPr>
      </w:pPr>
      <w:r w:rsidRPr="00FB0D8F">
        <w:rPr>
          <w:rFonts w:ascii="Calibri" w:hAnsi="Calibri" w:cs="Calibri"/>
          <w:color w:val="000000"/>
        </w:rPr>
        <w:t>Cuban, L. (2015).</w:t>
      </w:r>
      <w:r w:rsidRPr="00FB0D8F">
        <w:rPr>
          <w:rStyle w:val="apple-converted-space"/>
          <w:rFonts w:ascii="Calibri" w:eastAsiaTheme="majorEastAsia" w:hAnsi="Calibri" w:cs="Calibri"/>
          <w:color w:val="000000"/>
        </w:rPr>
        <w:t> </w:t>
      </w:r>
      <w:r w:rsidRPr="00FB0D8F">
        <w:rPr>
          <w:rFonts w:ascii="Calibri" w:hAnsi="Calibri" w:cs="Calibri"/>
          <w:i/>
          <w:iCs/>
          <w:color w:val="000000"/>
        </w:rPr>
        <w:t>October 2015 – Larry Cuban on School Reform and Classroom Practice</w:t>
      </w:r>
      <w:r w:rsidRPr="00FB0D8F">
        <w:rPr>
          <w:rFonts w:ascii="Calibri" w:hAnsi="Calibri" w:cs="Calibri"/>
          <w:color w:val="000000"/>
        </w:rPr>
        <w:t xml:space="preserve">. [online] Larry Cuban on School Reform and Classroom Practice. Available at: https://larrycuban.wordpress.com/2015/10/ [Accessed </w:t>
      </w:r>
      <w:r>
        <w:rPr>
          <w:rFonts w:ascii="Calibri" w:hAnsi="Calibri" w:cs="Calibri"/>
          <w:color w:val="000000"/>
        </w:rPr>
        <w:t xml:space="preserve">2 </w:t>
      </w:r>
      <w:r w:rsidRPr="00FB0D8F">
        <w:rPr>
          <w:rFonts w:ascii="Calibri" w:hAnsi="Calibri" w:cs="Calibri"/>
          <w:color w:val="000000"/>
        </w:rPr>
        <w:t>May 2024].</w:t>
      </w:r>
    </w:p>
    <w:p w14:paraId="05056475" w14:textId="77777777" w:rsidR="00FB0D8F" w:rsidRPr="00FB0D8F" w:rsidRDefault="00FB0D8F" w:rsidP="00FB0D8F">
      <w:pPr>
        <w:pStyle w:val="NormalWeb"/>
        <w:spacing w:before="0" w:beforeAutospacing="0" w:after="240" w:afterAutospacing="0" w:line="360" w:lineRule="atLeast"/>
        <w:rPr>
          <w:rFonts w:ascii="Calibri" w:hAnsi="Calibri" w:cs="Calibri"/>
          <w:color w:val="000000"/>
        </w:rPr>
      </w:pPr>
      <w:proofErr w:type="spellStart"/>
      <w:r w:rsidRPr="00FB0D8F">
        <w:rPr>
          <w:rFonts w:ascii="Calibri" w:hAnsi="Calibri" w:cs="Calibri"/>
          <w:color w:val="000000"/>
        </w:rPr>
        <w:t>Datnow</w:t>
      </w:r>
      <w:proofErr w:type="spellEnd"/>
      <w:r w:rsidRPr="00FB0D8F">
        <w:rPr>
          <w:rFonts w:ascii="Calibri" w:hAnsi="Calibri" w:cs="Calibri"/>
          <w:color w:val="000000"/>
        </w:rPr>
        <w:t xml:space="preserve">, A. and </w:t>
      </w:r>
      <w:proofErr w:type="spellStart"/>
      <w:r w:rsidRPr="00FB0D8F">
        <w:rPr>
          <w:rFonts w:ascii="Calibri" w:hAnsi="Calibri" w:cs="Calibri"/>
          <w:color w:val="000000"/>
        </w:rPr>
        <w:t>Stringfield</w:t>
      </w:r>
      <w:proofErr w:type="spellEnd"/>
      <w:r w:rsidRPr="00FB0D8F">
        <w:rPr>
          <w:rFonts w:ascii="Calibri" w:hAnsi="Calibri" w:cs="Calibri"/>
          <w:color w:val="000000"/>
        </w:rPr>
        <w:t>, S. (2000).</w:t>
      </w:r>
      <w:r w:rsidRPr="00FB0D8F">
        <w:rPr>
          <w:rStyle w:val="apple-converted-space"/>
          <w:rFonts w:ascii="Calibri" w:eastAsiaTheme="majorEastAsia" w:hAnsi="Calibri" w:cs="Calibri"/>
          <w:color w:val="000000"/>
        </w:rPr>
        <w:t> </w:t>
      </w:r>
      <w:r w:rsidRPr="00FB0D8F">
        <w:rPr>
          <w:rFonts w:ascii="Calibri" w:hAnsi="Calibri" w:cs="Calibri"/>
          <w:i/>
          <w:iCs/>
          <w:color w:val="000000"/>
        </w:rPr>
        <w:t>working together for reliable school reform</w:t>
      </w:r>
      <w:r w:rsidRPr="00FB0D8F">
        <w:rPr>
          <w:rFonts w:ascii="Calibri" w:hAnsi="Calibri" w:cs="Calibri"/>
          <w:color w:val="000000"/>
        </w:rPr>
        <w:t>. [online] Available at: https://www.researchgate.net/publication/229033039_Working_Together_for_Reliable_School_Reform [Accessed 28 Apr. 2024].</w:t>
      </w:r>
    </w:p>
    <w:p w14:paraId="3AEB9201" w14:textId="1966D86C" w:rsidR="00FB0D8F" w:rsidRPr="00FB0D8F" w:rsidRDefault="00FB0D8F" w:rsidP="00FB0D8F">
      <w:pPr>
        <w:pStyle w:val="NormalWeb"/>
        <w:spacing w:before="0" w:beforeAutospacing="0" w:after="240" w:afterAutospacing="0" w:line="360" w:lineRule="atLeast"/>
        <w:rPr>
          <w:rFonts w:ascii="Calibri" w:hAnsi="Calibri" w:cs="Calibri"/>
          <w:color w:val="000000"/>
        </w:rPr>
      </w:pPr>
      <w:r w:rsidRPr="00FB0D8F">
        <w:rPr>
          <w:rFonts w:ascii="Calibri" w:hAnsi="Calibri" w:cs="Calibri"/>
          <w:color w:val="000000"/>
        </w:rPr>
        <w:t>Desimone, L. (1999).</w:t>
      </w:r>
      <w:r w:rsidRPr="00FB0D8F">
        <w:rPr>
          <w:rStyle w:val="apple-converted-space"/>
          <w:rFonts w:ascii="Calibri" w:eastAsiaTheme="majorEastAsia" w:hAnsi="Calibri" w:cs="Calibri"/>
          <w:color w:val="000000"/>
        </w:rPr>
        <w:t> </w:t>
      </w:r>
      <w:r w:rsidRPr="00FB0D8F">
        <w:rPr>
          <w:rFonts w:ascii="Calibri" w:hAnsi="Calibri" w:cs="Calibri"/>
          <w:i/>
          <w:iCs/>
          <w:color w:val="000000"/>
        </w:rPr>
        <w:t xml:space="preserve">APA </w:t>
      </w:r>
      <w:proofErr w:type="spellStart"/>
      <w:r w:rsidRPr="00FB0D8F">
        <w:rPr>
          <w:rFonts w:ascii="Calibri" w:hAnsi="Calibri" w:cs="Calibri"/>
          <w:i/>
          <w:iCs/>
          <w:color w:val="000000"/>
        </w:rPr>
        <w:t>PsycNet</w:t>
      </w:r>
      <w:proofErr w:type="spellEnd"/>
      <w:r w:rsidRPr="00FB0D8F">
        <w:rPr>
          <w:rFonts w:ascii="Calibri" w:hAnsi="Calibri" w:cs="Calibri"/>
          <w:color w:val="000000"/>
        </w:rPr>
        <w:t xml:space="preserve">. [online] psycnet.apa.org. Available at: </w:t>
      </w:r>
      <w:hyperlink r:id="rId9" w:history="1">
        <w:r w:rsidRPr="00BE438F">
          <w:rPr>
            <w:rStyle w:val="Hyperlink"/>
            <w:rFonts w:ascii="Calibri" w:hAnsi="Calibri" w:cs="Calibri"/>
          </w:rPr>
          <w:t>https://psycnet.apa.org/record/1999-15074-002</w:t>
        </w:r>
      </w:hyperlink>
      <w:r>
        <w:rPr>
          <w:rFonts w:ascii="Calibri" w:hAnsi="Calibri" w:cs="Calibri"/>
          <w:color w:val="000000"/>
        </w:rPr>
        <w:t xml:space="preserve"> </w:t>
      </w:r>
      <w:r w:rsidRPr="00FB0D8F">
        <w:rPr>
          <w:rFonts w:ascii="Calibri" w:hAnsi="Calibri" w:cs="Calibri"/>
          <w:color w:val="000000"/>
        </w:rPr>
        <w:t xml:space="preserve">[Accessed </w:t>
      </w:r>
      <w:r>
        <w:rPr>
          <w:rFonts w:ascii="Calibri" w:hAnsi="Calibri" w:cs="Calibri"/>
          <w:color w:val="000000"/>
        </w:rPr>
        <w:t>3 May</w:t>
      </w:r>
      <w:r w:rsidRPr="00FB0D8F">
        <w:rPr>
          <w:rFonts w:ascii="Calibri" w:hAnsi="Calibri" w:cs="Calibri"/>
          <w:color w:val="000000"/>
        </w:rPr>
        <w:t xml:space="preserve"> 2024].</w:t>
      </w:r>
    </w:p>
    <w:p w14:paraId="7A4CFE5C" w14:textId="3D5BDA39" w:rsidR="00FB0D8F" w:rsidRPr="00FB0D8F" w:rsidRDefault="00FB0D8F" w:rsidP="00FB0D8F">
      <w:pPr>
        <w:pStyle w:val="NormalWeb"/>
        <w:spacing w:before="0" w:beforeAutospacing="0" w:after="240" w:afterAutospacing="0" w:line="360" w:lineRule="atLeast"/>
        <w:rPr>
          <w:rFonts w:ascii="Calibri" w:hAnsi="Calibri" w:cs="Calibri"/>
          <w:color w:val="000000"/>
        </w:rPr>
      </w:pPr>
      <w:r w:rsidRPr="00FB0D8F">
        <w:rPr>
          <w:rFonts w:ascii="Calibri" w:hAnsi="Calibri" w:cs="Calibri"/>
          <w:color w:val="000000"/>
        </w:rPr>
        <w:t>DfE (2019).</w:t>
      </w:r>
      <w:r w:rsidRPr="00FB0D8F">
        <w:rPr>
          <w:rStyle w:val="apple-converted-space"/>
          <w:rFonts w:ascii="Calibri" w:eastAsiaTheme="majorEastAsia" w:hAnsi="Calibri" w:cs="Calibri"/>
          <w:color w:val="000000"/>
        </w:rPr>
        <w:t> </w:t>
      </w:r>
      <w:r w:rsidRPr="00FB0D8F">
        <w:rPr>
          <w:rFonts w:ascii="Calibri" w:hAnsi="Calibri" w:cs="Calibri"/>
          <w:i/>
          <w:iCs/>
          <w:color w:val="000000"/>
        </w:rPr>
        <w:t>Department for Education Consolidated annual report and accounts</w:t>
      </w:r>
      <w:r w:rsidRPr="00FB0D8F">
        <w:rPr>
          <w:rFonts w:ascii="Calibri" w:hAnsi="Calibri" w:cs="Calibri"/>
          <w:color w:val="000000"/>
        </w:rPr>
        <w:t xml:space="preserve">. [online] Available at: </w:t>
      </w:r>
      <w:hyperlink r:id="rId10" w:history="1">
        <w:r w:rsidRPr="00BE438F">
          <w:rPr>
            <w:rStyle w:val="Hyperlink"/>
            <w:rFonts w:ascii="Calibri" w:hAnsi="Calibri" w:cs="Calibri"/>
          </w:rPr>
          <w:t>https://assets.publishing.service.gov.uk/media/5fa3c4ead3bf7f03a6550df2/DfE_consolidated_annual_report_and_accounts_2019_to_2020__web_version_.pdf</w:t>
        </w:r>
      </w:hyperlink>
      <w:r>
        <w:rPr>
          <w:rFonts w:ascii="Calibri" w:hAnsi="Calibri" w:cs="Calibri"/>
          <w:color w:val="000000"/>
        </w:rPr>
        <w:t xml:space="preserve"> </w:t>
      </w:r>
      <w:r w:rsidRPr="00FB0D8F">
        <w:rPr>
          <w:rFonts w:ascii="Calibri" w:hAnsi="Calibri" w:cs="Calibri"/>
          <w:color w:val="000000"/>
        </w:rPr>
        <w:t xml:space="preserve">[Accessed </w:t>
      </w:r>
      <w:r>
        <w:rPr>
          <w:rFonts w:ascii="Calibri" w:hAnsi="Calibri" w:cs="Calibri"/>
          <w:color w:val="000000"/>
        </w:rPr>
        <w:t>29 April</w:t>
      </w:r>
      <w:r w:rsidRPr="00FB0D8F">
        <w:rPr>
          <w:rFonts w:ascii="Calibri" w:hAnsi="Calibri" w:cs="Calibri"/>
          <w:color w:val="000000"/>
        </w:rPr>
        <w:t xml:space="preserve"> 2024].</w:t>
      </w:r>
    </w:p>
    <w:p w14:paraId="76C712FE" w14:textId="77777777" w:rsidR="00FB0D8F" w:rsidRPr="00FB0D8F" w:rsidRDefault="00FB0D8F" w:rsidP="00FB0D8F">
      <w:pPr>
        <w:pStyle w:val="NormalWeb"/>
        <w:spacing w:before="0" w:beforeAutospacing="0" w:after="240" w:afterAutospacing="0" w:line="360" w:lineRule="atLeast"/>
        <w:rPr>
          <w:rFonts w:ascii="Calibri" w:hAnsi="Calibri" w:cs="Calibri"/>
          <w:color w:val="000000"/>
        </w:rPr>
      </w:pPr>
      <w:proofErr w:type="spellStart"/>
      <w:r w:rsidRPr="00FB0D8F">
        <w:rPr>
          <w:rFonts w:ascii="Calibri" w:hAnsi="Calibri" w:cs="Calibri"/>
          <w:color w:val="000000"/>
        </w:rPr>
        <w:t>Earley</w:t>
      </w:r>
      <w:proofErr w:type="spellEnd"/>
      <w:r w:rsidRPr="00FB0D8F">
        <w:rPr>
          <w:rFonts w:ascii="Calibri" w:hAnsi="Calibri" w:cs="Calibri"/>
          <w:color w:val="000000"/>
        </w:rPr>
        <w:t>, P. (2017).</w:t>
      </w:r>
      <w:r w:rsidRPr="00FB0D8F">
        <w:rPr>
          <w:rStyle w:val="apple-converted-space"/>
          <w:rFonts w:ascii="Calibri" w:eastAsiaTheme="majorEastAsia" w:hAnsi="Calibri" w:cs="Calibri"/>
          <w:color w:val="000000"/>
        </w:rPr>
        <w:t> </w:t>
      </w:r>
      <w:r w:rsidRPr="00FB0D8F">
        <w:rPr>
          <w:rFonts w:ascii="Calibri" w:hAnsi="Calibri" w:cs="Calibri"/>
          <w:i/>
          <w:iCs/>
          <w:color w:val="000000"/>
        </w:rPr>
        <w:t>Conceptions of leadership and leading the learning</w:t>
      </w:r>
      <w:r w:rsidRPr="00FB0D8F">
        <w:rPr>
          <w:rFonts w:ascii="Calibri" w:hAnsi="Calibri" w:cs="Calibri"/>
          <w:color w:val="000000"/>
        </w:rPr>
        <w:t>. [online] UCL Discovery. Available at: https://discovery.ucl.ac.uk/id/eprint/1558507/1/Earley_Chap9%202017.pdf [Accessed 29 Apr. 2024].</w:t>
      </w:r>
    </w:p>
    <w:p w14:paraId="4E3098FA" w14:textId="48074DE5" w:rsidR="00FB0D8F" w:rsidRPr="00FB0D8F" w:rsidRDefault="00FB0D8F" w:rsidP="00FB0D8F">
      <w:pPr>
        <w:pStyle w:val="NormalWeb"/>
        <w:spacing w:before="0" w:beforeAutospacing="0" w:after="240" w:afterAutospacing="0" w:line="360" w:lineRule="atLeast"/>
        <w:rPr>
          <w:rFonts w:ascii="Calibri" w:hAnsi="Calibri" w:cs="Calibri"/>
          <w:color w:val="000000"/>
        </w:rPr>
      </w:pPr>
      <w:r w:rsidRPr="00FB0D8F">
        <w:rPr>
          <w:rFonts w:ascii="Calibri" w:hAnsi="Calibri" w:cs="Calibri"/>
          <w:color w:val="000000"/>
        </w:rPr>
        <w:t>Edgerton, J.D. and Roberts, L.W. (2014). Cultural Capital or habitus? Bourdieu and beyond in the Explanation of Enduring Educational Inequality.</w:t>
      </w:r>
      <w:r w:rsidRPr="00FB0D8F">
        <w:rPr>
          <w:rStyle w:val="apple-converted-space"/>
          <w:rFonts w:ascii="Calibri" w:eastAsiaTheme="majorEastAsia" w:hAnsi="Calibri" w:cs="Calibri"/>
          <w:color w:val="000000"/>
        </w:rPr>
        <w:t> </w:t>
      </w:r>
      <w:r w:rsidRPr="00FB0D8F">
        <w:rPr>
          <w:rFonts w:ascii="Calibri" w:hAnsi="Calibri" w:cs="Calibri"/>
          <w:i/>
          <w:iCs/>
          <w:color w:val="000000"/>
        </w:rPr>
        <w:t>School Field</w:t>
      </w:r>
      <w:r w:rsidRPr="00FB0D8F">
        <w:rPr>
          <w:rFonts w:ascii="Calibri" w:hAnsi="Calibri" w:cs="Calibri"/>
          <w:color w:val="000000"/>
        </w:rPr>
        <w:t xml:space="preserve">, [online] 12(2), pp.193–220. </w:t>
      </w:r>
      <w:proofErr w:type="spellStart"/>
      <w:proofErr w:type="gramStart"/>
      <w:r w:rsidRPr="00FB0D8F">
        <w:rPr>
          <w:rFonts w:ascii="Calibri" w:hAnsi="Calibri" w:cs="Calibri"/>
          <w:color w:val="000000"/>
        </w:rPr>
        <w:t>doi:https</w:t>
      </w:r>
      <w:proofErr w:type="spellEnd"/>
      <w:r w:rsidRPr="00FB0D8F">
        <w:rPr>
          <w:rFonts w:ascii="Calibri" w:hAnsi="Calibri" w:cs="Calibri"/>
          <w:color w:val="000000"/>
        </w:rPr>
        <w:t>://doi.org/10.1177/1477878514530231</w:t>
      </w:r>
      <w:proofErr w:type="gramEnd"/>
      <w:r>
        <w:rPr>
          <w:rFonts w:ascii="Calibri" w:hAnsi="Calibri" w:cs="Calibri"/>
          <w:color w:val="000000"/>
        </w:rPr>
        <w:t xml:space="preserve"> </w:t>
      </w:r>
      <w:r w:rsidRPr="00FB0D8F">
        <w:rPr>
          <w:rFonts w:ascii="Calibri" w:hAnsi="Calibri" w:cs="Calibri"/>
          <w:color w:val="000000"/>
        </w:rPr>
        <w:t xml:space="preserve">[Accessed </w:t>
      </w:r>
      <w:r>
        <w:rPr>
          <w:rFonts w:ascii="Calibri" w:hAnsi="Calibri" w:cs="Calibri"/>
          <w:color w:val="000000"/>
        </w:rPr>
        <w:t>4 May</w:t>
      </w:r>
      <w:r w:rsidRPr="00FB0D8F">
        <w:rPr>
          <w:rFonts w:ascii="Calibri" w:hAnsi="Calibri" w:cs="Calibri"/>
          <w:color w:val="000000"/>
        </w:rPr>
        <w:t xml:space="preserve"> 2024].</w:t>
      </w:r>
    </w:p>
    <w:p w14:paraId="39698EA8" w14:textId="16B2C9FD" w:rsidR="00FB0D8F" w:rsidRPr="00FB0D8F" w:rsidRDefault="00FB0D8F" w:rsidP="00FB0D8F">
      <w:pPr>
        <w:pStyle w:val="NormalWeb"/>
        <w:spacing w:before="0" w:beforeAutospacing="0" w:after="240" w:afterAutospacing="0" w:line="360" w:lineRule="atLeast"/>
        <w:rPr>
          <w:rFonts w:ascii="Calibri" w:hAnsi="Calibri" w:cs="Calibri"/>
          <w:color w:val="000000"/>
        </w:rPr>
      </w:pPr>
      <w:r w:rsidRPr="00FB0D8F">
        <w:rPr>
          <w:rFonts w:ascii="Calibri" w:hAnsi="Calibri" w:cs="Calibri"/>
          <w:color w:val="000000"/>
        </w:rPr>
        <w:t>Education and Skills Funding Agency (2019).</w:t>
      </w:r>
      <w:r w:rsidRPr="00FB0D8F">
        <w:rPr>
          <w:rStyle w:val="apple-converted-space"/>
          <w:rFonts w:ascii="Calibri" w:eastAsiaTheme="majorEastAsia" w:hAnsi="Calibri" w:cs="Calibri"/>
          <w:color w:val="000000"/>
        </w:rPr>
        <w:t> </w:t>
      </w:r>
      <w:r w:rsidRPr="00FB0D8F">
        <w:rPr>
          <w:rFonts w:ascii="Calibri" w:hAnsi="Calibri" w:cs="Calibri"/>
          <w:i/>
          <w:iCs/>
          <w:color w:val="000000"/>
        </w:rPr>
        <w:t>Understanding your data: a guide for school governors and academy trustees</w:t>
      </w:r>
      <w:r w:rsidRPr="00FB0D8F">
        <w:rPr>
          <w:rFonts w:ascii="Calibri" w:hAnsi="Calibri" w:cs="Calibri"/>
          <w:color w:val="000000"/>
        </w:rPr>
        <w:t xml:space="preserve">. [online] GOV.UK. Available at: </w:t>
      </w:r>
      <w:hyperlink r:id="rId11" w:history="1">
        <w:r w:rsidRPr="00BE438F">
          <w:rPr>
            <w:rStyle w:val="Hyperlink"/>
            <w:rFonts w:ascii="Calibri" w:hAnsi="Calibri" w:cs="Calibri"/>
          </w:rPr>
          <w:t>https://www.gov.uk/government/publications/understanding-your-data-a-guide-for-school-</w:t>
        </w:r>
        <w:r w:rsidRPr="00BE438F">
          <w:rPr>
            <w:rStyle w:val="Hyperlink"/>
            <w:rFonts w:ascii="Calibri" w:hAnsi="Calibri" w:cs="Calibri"/>
          </w:rPr>
          <w:lastRenderedPageBreak/>
          <w:t>governors-and-academy-trustees/understanding-your-data-a-guide-for-school-governors-and-academy-trustees</w:t>
        </w:r>
      </w:hyperlink>
      <w:r>
        <w:rPr>
          <w:rFonts w:ascii="Calibri" w:hAnsi="Calibri" w:cs="Calibri"/>
          <w:color w:val="000000"/>
        </w:rPr>
        <w:t xml:space="preserve"> </w:t>
      </w:r>
      <w:r w:rsidRPr="00FB0D8F">
        <w:rPr>
          <w:rFonts w:ascii="Calibri" w:hAnsi="Calibri" w:cs="Calibri"/>
          <w:color w:val="000000"/>
        </w:rPr>
        <w:t xml:space="preserve">[Accessed </w:t>
      </w:r>
      <w:r>
        <w:rPr>
          <w:rFonts w:ascii="Calibri" w:hAnsi="Calibri" w:cs="Calibri"/>
          <w:color w:val="000000"/>
        </w:rPr>
        <w:t>4 May</w:t>
      </w:r>
      <w:r w:rsidRPr="00FB0D8F">
        <w:rPr>
          <w:rFonts w:ascii="Calibri" w:hAnsi="Calibri" w:cs="Calibri"/>
          <w:color w:val="000000"/>
        </w:rPr>
        <w:t xml:space="preserve"> 2024].</w:t>
      </w:r>
    </w:p>
    <w:p w14:paraId="219282B9" w14:textId="156E2F88" w:rsidR="00FB0D8F" w:rsidRPr="00FB0D8F" w:rsidRDefault="00FB0D8F" w:rsidP="00FB0D8F">
      <w:pPr>
        <w:pStyle w:val="NormalWeb"/>
        <w:spacing w:before="0" w:beforeAutospacing="0" w:after="240" w:afterAutospacing="0" w:line="360" w:lineRule="atLeast"/>
        <w:rPr>
          <w:rFonts w:ascii="Calibri" w:hAnsi="Calibri" w:cs="Calibri"/>
          <w:color w:val="000000"/>
        </w:rPr>
      </w:pPr>
      <w:r w:rsidRPr="00FB0D8F">
        <w:rPr>
          <w:rFonts w:ascii="Calibri" w:hAnsi="Calibri" w:cs="Calibri"/>
          <w:color w:val="000000"/>
        </w:rPr>
        <w:t>EEF (2019).</w:t>
      </w:r>
      <w:r w:rsidRPr="00FB0D8F">
        <w:rPr>
          <w:rStyle w:val="apple-converted-space"/>
          <w:rFonts w:ascii="Calibri" w:eastAsiaTheme="majorEastAsia" w:hAnsi="Calibri" w:cs="Calibri"/>
          <w:color w:val="000000"/>
        </w:rPr>
        <w:t> </w:t>
      </w:r>
      <w:r w:rsidRPr="00FB0D8F">
        <w:rPr>
          <w:rFonts w:ascii="Calibri" w:hAnsi="Calibri" w:cs="Calibri"/>
          <w:i/>
          <w:iCs/>
          <w:color w:val="000000"/>
        </w:rPr>
        <w:t>EEF -</w:t>
      </w:r>
      <w:r w:rsidRPr="00FB0D8F">
        <w:rPr>
          <w:rFonts w:ascii="Calibri" w:hAnsi="Calibri" w:cs="Calibri"/>
          <w:color w:val="000000"/>
        </w:rPr>
        <w:t xml:space="preserve">. [online] Educationendowmentfoundation.org.uk. Available at: </w:t>
      </w:r>
      <w:hyperlink r:id="rId12" w:history="1">
        <w:r w:rsidRPr="00BE438F">
          <w:rPr>
            <w:rStyle w:val="Hyperlink"/>
            <w:rFonts w:ascii="Calibri" w:hAnsi="Calibri" w:cs="Calibri"/>
          </w:rPr>
          <w:t>https://educationendowmentfoundation.org.uk/</w:t>
        </w:r>
      </w:hyperlink>
      <w:r>
        <w:rPr>
          <w:rFonts w:ascii="Calibri" w:hAnsi="Calibri" w:cs="Calibri"/>
          <w:color w:val="000000"/>
        </w:rPr>
        <w:t xml:space="preserve"> </w:t>
      </w:r>
      <w:r w:rsidRPr="00FB0D8F">
        <w:rPr>
          <w:rFonts w:ascii="Calibri" w:hAnsi="Calibri" w:cs="Calibri"/>
          <w:color w:val="000000"/>
        </w:rPr>
        <w:t xml:space="preserve">[Accessed </w:t>
      </w:r>
      <w:r>
        <w:rPr>
          <w:rFonts w:ascii="Calibri" w:hAnsi="Calibri" w:cs="Calibri"/>
          <w:color w:val="000000"/>
        </w:rPr>
        <w:t>3 May</w:t>
      </w:r>
      <w:r w:rsidRPr="00FB0D8F">
        <w:rPr>
          <w:rFonts w:ascii="Calibri" w:hAnsi="Calibri" w:cs="Calibri"/>
          <w:color w:val="000000"/>
        </w:rPr>
        <w:t xml:space="preserve"> 2024].</w:t>
      </w:r>
    </w:p>
    <w:p w14:paraId="0CADB5D2" w14:textId="2333194C" w:rsidR="00FB0D8F" w:rsidRPr="00FB0D8F" w:rsidRDefault="00FB0D8F" w:rsidP="00FB0D8F">
      <w:pPr>
        <w:pStyle w:val="NormalWeb"/>
        <w:spacing w:before="0" w:beforeAutospacing="0" w:after="240" w:afterAutospacing="0" w:line="360" w:lineRule="atLeast"/>
        <w:rPr>
          <w:rFonts w:ascii="Calibri" w:hAnsi="Calibri" w:cs="Calibri"/>
          <w:color w:val="000000"/>
        </w:rPr>
      </w:pPr>
      <w:r w:rsidRPr="00FB0D8F">
        <w:rPr>
          <w:rFonts w:ascii="Calibri" w:hAnsi="Calibri" w:cs="Calibri"/>
          <w:color w:val="000000"/>
        </w:rPr>
        <w:t>Estyn (2018).</w:t>
      </w:r>
      <w:r w:rsidRPr="00FB0D8F">
        <w:rPr>
          <w:rStyle w:val="apple-converted-space"/>
          <w:rFonts w:ascii="Calibri" w:eastAsiaTheme="majorEastAsia" w:hAnsi="Calibri" w:cs="Calibri"/>
          <w:color w:val="000000"/>
        </w:rPr>
        <w:t> </w:t>
      </w:r>
      <w:r w:rsidRPr="00FB0D8F">
        <w:rPr>
          <w:rFonts w:ascii="Calibri" w:hAnsi="Calibri" w:cs="Calibri"/>
          <w:i/>
          <w:iCs/>
          <w:color w:val="000000"/>
        </w:rPr>
        <w:t>A new approach to self-evaluation reports – but what does it mean for schools? | Estyn</w:t>
      </w:r>
      <w:r w:rsidRPr="00FB0D8F">
        <w:rPr>
          <w:rFonts w:ascii="Calibri" w:hAnsi="Calibri" w:cs="Calibri"/>
          <w:color w:val="000000"/>
        </w:rPr>
        <w:t xml:space="preserve">. [online] www.estyn.gov.wales. Available at: </w:t>
      </w:r>
      <w:hyperlink r:id="rId13" w:history="1">
        <w:r w:rsidRPr="00BE438F">
          <w:rPr>
            <w:rStyle w:val="Hyperlink"/>
            <w:rFonts w:ascii="Calibri" w:hAnsi="Calibri" w:cs="Calibri"/>
          </w:rPr>
          <w:t>https://www.estyn.gov.wales/blog/new-approach-self-evaluation-reports-what-does-it-mean-schools</w:t>
        </w:r>
      </w:hyperlink>
      <w:r>
        <w:rPr>
          <w:rFonts w:ascii="Calibri" w:hAnsi="Calibri" w:cs="Calibri"/>
          <w:color w:val="000000"/>
        </w:rPr>
        <w:t xml:space="preserve"> </w:t>
      </w:r>
      <w:r w:rsidRPr="00FB0D8F">
        <w:rPr>
          <w:rFonts w:ascii="Calibri" w:hAnsi="Calibri" w:cs="Calibri"/>
          <w:color w:val="000000"/>
        </w:rPr>
        <w:t xml:space="preserve">[Accessed </w:t>
      </w:r>
      <w:r>
        <w:rPr>
          <w:rFonts w:ascii="Calibri" w:hAnsi="Calibri" w:cs="Calibri"/>
          <w:color w:val="000000"/>
        </w:rPr>
        <w:t>2</w:t>
      </w:r>
      <w:r>
        <w:rPr>
          <w:rFonts w:ascii="Calibri" w:hAnsi="Calibri" w:cs="Calibri"/>
          <w:color w:val="000000"/>
        </w:rPr>
        <w:t>8</w:t>
      </w:r>
      <w:r>
        <w:rPr>
          <w:rFonts w:ascii="Calibri" w:hAnsi="Calibri" w:cs="Calibri"/>
          <w:color w:val="000000"/>
        </w:rPr>
        <w:t xml:space="preserve"> April</w:t>
      </w:r>
      <w:r w:rsidRPr="00FB0D8F">
        <w:rPr>
          <w:rFonts w:ascii="Calibri" w:hAnsi="Calibri" w:cs="Calibri"/>
          <w:color w:val="000000"/>
        </w:rPr>
        <w:t xml:space="preserve"> 2024].</w:t>
      </w:r>
    </w:p>
    <w:p w14:paraId="495C2D31" w14:textId="598DC6E2" w:rsidR="00FB0D8F" w:rsidRPr="00FB0D8F" w:rsidRDefault="00FB0D8F" w:rsidP="00FB0D8F">
      <w:pPr>
        <w:pStyle w:val="NormalWeb"/>
        <w:spacing w:before="0" w:beforeAutospacing="0" w:after="240" w:afterAutospacing="0" w:line="360" w:lineRule="atLeast"/>
        <w:rPr>
          <w:rFonts w:ascii="Calibri" w:hAnsi="Calibri" w:cs="Calibri"/>
          <w:color w:val="000000"/>
        </w:rPr>
      </w:pPr>
      <w:r w:rsidRPr="00FB0D8F">
        <w:rPr>
          <w:rFonts w:ascii="Calibri" w:hAnsi="Calibri" w:cs="Calibri"/>
          <w:color w:val="000000"/>
        </w:rPr>
        <w:t>Fullan, M. and Hargreaves, A. (2012).</w:t>
      </w:r>
      <w:r w:rsidRPr="00FB0D8F">
        <w:rPr>
          <w:rStyle w:val="apple-converted-space"/>
          <w:rFonts w:ascii="Calibri" w:eastAsiaTheme="majorEastAsia" w:hAnsi="Calibri" w:cs="Calibri"/>
          <w:color w:val="000000"/>
        </w:rPr>
        <w:t> </w:t>
      </w:r>
      <w:r w:rsidRPr="00FB0D8F">
        <w:rPr>
          <w:rFonts w:ascii="Calibri" w:hAnsi="Calibri" w:cs="Calibri"/>
          <w:i/>
          <w:iCs/>
          <w:color w:val="000000"/>
        </w:rPr>
        <w:t>as Reviving Teaching With ‘Professional Capital’ COMMENTARY Reviving Teaching With ‘Professional Capital’</w:t>
      </w:r>
      <w:r w:rsidRPr="00FB0D8F">
        <w:rPr>
          <w:rFonts w:ascii="Calibri" w:hAnsi="Calibri" w:cs="Calibri"/>
          <w:color w:val="000000"/>
        </w:rPr>
        <w:t xml:space="preserve">. [online] Available at: </w:t>
      </w:r>
      <w:hyperlink r:id="rId14" w:history="1">
        <w:r w:rsidRPr="00BE438F">
          <w:rPr>
            <w:rStyle w:val="Hyperlink"/>
            <w:rFonts w:ascii="Calibri" w:hAnsi="Calibri" w:cs="Calibri"/>
          </w:rPr>
          <w:t>https://michaelfullan.ca/wp-content/uploads/2016/06/13438456970.pdf</w:t>
        </w:r>
      </w:hyperlink>
      <w:r>
        <w:rPr>
          <w:rFonts w:ascii="Calibri" w:hAnsi="Calibri" w:cs="Calibri"/>
          <w:color w:val="000000"/>
        </w:rPr>
        <w:t xml:space="preserve"> </w:t>
      </w:r>
      <w:r w:rsidRPr="00FB0D8F">
        <w:rPr>
          <w:rFonts w:ascii="Calibri" w:hAnsi="Calibri" w:cs="Calibri"/>
          <w:color w:val="000000"/>
        </w:rPr>
        <w:t xml:space="preserve">[Accessed </w:t>
      </w:r>
      <w:r>
        <w:rPr>
          <w:rFonts w:ascii="Calibri" w:hAnsi="Calibri" w:cs="Calibri"/>
          <w:color w:val="000000"/>
        </w:rPr>
        <w:t>30</w:t>
      </w:r>
      <w:r>
        <w:rPr>
          <w:rFonts w:ascii="Calibri" w:hAnsi="Calibri" w:cs="Calibri"/>
          <w:color w:val="000000"/>
        </w:rPr>
        <w:t xml:space="preserve"> April</w:t>
      </w:r>
      <w:r w:rsidRPr="00FB0D8F">
        <w:rPr>
          <w:rFonts w:ascii="Calibri" w:hAnsi="Calibri" w:cs="Calibri"/>
          <w:color w:val="000000"/>
        </w:rPr>
        <w:t xml:space="preserve"> 2024].</w:t>
      </w:r>
    </w:p>
    <w:p w14:paraId="703E7E0D" w14:textId="368A0611" w:rsidR="00FB0D8F" w:rsidRPr="00FB0D8F" w:rsidRDefault="00FB0D8F" w:rsidP="00FB0D8F">
      <w:pPr>
        <w:pStyle w:val="NormalWeb"/>
        <w:spacing w:before="0" w:beforeAutospacing="0" w:after="240" w:afterAutospacing="0" w:line="360" w:lineRule="atLeast"/>
        <w:rPr>
          <w:rFonts w:ascii="Calibri" w:hAnsi="Calibri" w:cs="Calibri"/>
          <w:color w:val="000000"/>
        </w:rPr>
      </w:pPr>
      <w:proofErr w:type="spellStart"/>
      <w:r w:rsidRPr="00FB0D8F">
        <w:rPr>
          <w:rFonts w:ascii="Calibri" w:hAnsi="Calibri" w:cs="Calibri"/>
          <w:color w:val="000000"/>
        </w:rPr>
        <w:t>Fullen</w:t>
      </w:r>
      <w:proofErr w:type="spellEnd"/>
      <w:r w:rsidRPr="00FB0D8F">
        <w:rPr>
          <w:rFonts w:ascii="Calibri" w:hAnsi="Calibri" w:cs="Calibri"/>
          <w:color w:val="000000"/>
        </w:rPr>
        <w:t>, m (2007).</w:t>
      </w:r>
      <w:r w:rsidRPr="00FB0D8F">
        <w:rPr>
          <w:rStyle w:val="apple-converted-space"/>
          <w:rFonts w:ascii="Calibri" w:eastAsiaTheme="majorEastAsia" w:hAnsi="Calibri" w:cs="Calibri"/>
          <w:color w:val="000000"/>
        </w:rPr>
        <w:t> </w:t>
      </w:r>
      <w:r w:rsidRPr="00FB0D8F">
        <w:rPr>
          <w:rFonts w:ascii="Calibri" w:hAnsi="Calibri" w:cs="Calibri"/>
          <w:i/>
          <w:iCs/>
          <w:color w:val="000000"/>
        </w:rPr>
        <w:t>Fullan, M. (2007). The New Meaning of Educational Change. New York Routledge. - References - Scientific Research Publishing</w:t>
      </w:r>
      <w:r w:rsidRPr="00FB0D8F">
        <w:rPr>
          <w:rFonts w:ascii="Calibri" w:hAnsi="Calibri" w:cs="Calibri"/>
          <w:color w:val="000000"/>
        </w:rPr>
        <w:t xml:space="preserve">. [online] www.scirp.org. Available at: </w:t>
      </w:r>
      <w:hyperlink r:id="rId15" w:history="1">
        <w:r w:rsidRPr="00BE438F">
          <w:rPr>
            <w:rStyle w:val="Hyperlink"/>
            <w:rFonts w:ascii="Calibri" w:hAnsi="Calibri" w:cs="Calibri"/>
          </w:rPr>
          <w:t>https://www.scirp.org/reference/referencespapers?referenceid=1802900</w:t>
        </w:r>
      </w:hyperlink>
      <w:r>
        <w:rPr>
          <w:rFonts w:ascii="Calibri" w:hAnsi="Calibri" w:cs="Calibri"/>
          <w:color w:val="000000"/>
        </w:rPr>
        <w:t xml:space="preserve"> </w:t>
      </w:r>
      <w:r w:rsidRPr="00FB0D8F">
        <w:rPr>
          <w:rFonts w:ascii="Calibri" w:hAnsi="Calibri" w:cs="Calibri"/>
          <w:color w:val="000000"/>
        </w:rPr>
        <w:t xml:space="preserve">[Accessed </w:t>
      </w:r>
      <w:r>
        <w:rPr>
          <w:rFonts w:ascii="Calibri" w:hAnsi="Calibri" w:cs="Calibri"/>
          <w:color w:val="000000"/>
        </w:rPr>
        <w:t>2</w:t>
      </w:r>
      <w:r>
        <w:rPr>
          <w:rFonts w:ascii="Calibri" w:hAnsi="Calibri" w:cs="Calibri"/>
          <w:color w:val="000000"/>
        </w:rPr>
        <w:t>8</w:t>
      </w:r>
      <w:r>
        <w:rPr>
          <w:rFonts w:ascii="Calibri" w:hAnsi="Calibri" w:cs="Calibri"/>
          <w:color w:val="000000"/>
        </w:rPr>
        <w:t xml:space="preserve"> April</w:t>
      </w:r>
      <w:r w:rsidRPr="00FB0D8F">
        <w:rPr>
          <w:rFonts w:ascii="Calibri" w:hAnsi="Calibri" w:cs="Calibri"/>
          <w:color w:val="000000"/>
        </w:rPr>
        <w:t xml:space="preserve"> 2024].</w:t>
      </w:r>
    </w:p>
    <w:p w14:paraId="28769CFA" w14:textId="7824B9F0" w:rsidR="00FB0D8F" w:rsidRPr="00FB0D8F" w:rsidRDefault="00FB0D8F" w:rsidP="00FB0D8F">
      <w:pPr>
        <w:pStyle w:val="NormalWeb"/>
        <w:spacing w:before="0" w:beforeAutospacing="0" w:after="240" w:afterAutospacing="0" w:line="360" w:lineRule="atLeast"/>
        <w:rPr>
          <w:rFonts w:ascii="Calibri" w:hAnsi="Calibri" w:cs="Calibri"/>
          <w:color w:val="000000"/>
        </w:rPr>
      </w:pPr>
      <w:r w:rsidRPr="00FB0D8F">
        <w:rPr>
          <w:rFonts w:ascii="Calibri" w:hAnsi="Calibri" w:cs="Calibri"/>
          <w:color w:val="000000"/>
        </w:rPr>
        <w:t>Jackson, C. (200AD). Comparison between Eysenck’s and Gray’s models of</w:t>
      </w:r>
      <w:r>
        <w:rPr>
          <w:rFonts w:ascii="Calibri" w:hAnsi="Calibri" w:cs="Calibri"/>
          <w:color w:val="000000"/>
        </w:rPr>
        <w:t xml:space="preserve"> </w:t>
      </w:r>
      <w:r w:rsidRPr="00FB0D8F">
        <w:rPr>
          <w:rFonts w:ascii="Calibri" w:hAnsi="Calibri" w:cs="Calibri"/>
          <w:color w:val="000000"/>
        </w:rPr>
        <w:t xml:space="preserve">personality in the prediction of motivational work criteria. [online] pp.129–144. Available at: </w:t>
      </w:r>
      <w:hyperlink r:id="rId16" w:history="1">
        <w:r w:rsidRPr="00BE438F">
          <w:rPr>
            <w:rStyle w:val="Hyperlink"/>
            <w:rFonts w:ascii="Calibri" w:hAnsi="Calibri" w:cs="Calibri"/>
          </w:rPr>
          <w:t>https://www.researchgate.net/publication/222676023_Comparison_between_Eysenck_Gray's_models_of_personality_in_the_prediction_of_motivational_work_criteria</w:t>
        </w:r>
      </w:hyperlink>
      <w:r>
        <w:rPr>
          <w:rFonts w:ascii="Calibri" w:hAnsi="Calibri" w:cs="Calibri"/>
          <w:color w:val="000000"/>
        </w:rPr>
        <w:t xml:space="preserve"> </w:t>
      </w:r>
      <w:r w:rsidRPr="00FB0D8F">
        <w:rPr>
          <w:rFonts w:ascii="Calibri" w:hAnsi="Calibri" w:cs="Calibri"/>
          <w:color w:val="000000"/>
        </w:rPr>
        <w:t xml:space="preserve">[Accessed </w:t>
      </w:r>
      <w:r>
        <w:rPr>
          <w:rFonts w:ascii="Calibri" w:hAnsi="Calibri" w:cs="Calibri"/>
          <w:color w:val="000000"/>
        </w:rPr>
        <w:t>29 April</w:t>
      </w:r>
      <w:r w:rsidRPr="00FB0D8F">
        <w:rPr>
          <w:rFonts w:ascii="Calibri" w:hAnsi="Calibri" w:cs="Calibri"/>
          <w:color w:val="000000"/>
        </w:rPr>
        <w:t xml:space="preserve"> 2024].</w:t>
      </w:r>
    </w:p>
    <w:p w14:paraId="6970FE01" w14:textId="43784610" w:rsidR="00FB0D8F" w:rsidRPr="00FB0D8F" w:rsidRDefault="00FB0D8F" w:rsidP="00FB0D8F">
      <w:pPr>
        <w:pStyle w:val="NormalWeb"/>
        <w:spacing w:before="0" w:beforeAutospacing="0" w:after="240" w:afterAutospacing="0" w:line="360" w:lineRule="atLeast"/>
        <w:rPr>
          <w:rFonts w:ascii="Calibri" w:hAnsi="Calibri" w:cs="Calibri"/>
          <w:color w:val="000000"/>
        </w:rPr>
      </w:pPr>
      <w:r w:rsidRPr="00FB0D8F">
        <w:rPr>
          <w:rFonts w:ascii="Calibri" w:hAnsi="Calibri" w:cs="Calibri"/>
          <w:color w:val="000000"/>
        </w:rPr>
        <w:t>Munir, J., Faiza, M., Jamal, B., Daud, S. and Iqbal, K. (2023). The Impact of Socio-economic Status on Academic Achievement.</w:t>
      </w:r>
      <w:r w:rsidRPr="00FB0D8F">
        <w:rPr>
          <w:rStyle w:val="apple-converted-space"/>
          <w:rFonts w:ascii="Calibri" w:eastAsiaTheme="majorEastAsia" w:hAnsi="Calibri" w:cs="Calibri"/>
          <w:color w:val="000000"/>
        </w:rPr>
        <w:t> </w:t>
      </w:r>
      <w:r w:rsidRPr="00FB0D8F">
        <w:rPr>
          <w:rFonts w:ascii="Calibri" w:hAnsi="Calibri" w:cs="Calibri"/>
          <w:i/>
          <w:iCs/>
          <w:color w:val="000000"/>
        </w:rPr>
        <w:t>JOURNAL OF SOCIAL SCIENCES REVIEW</w:t>
      </w:r>
      <w:r w:rsidRPr="00FB0D8F">
        <w:rPr>
          <w:rFonts w:ascii="Calibri" w:hAnsi="Calibri" w:cs="Calibri"/>
          <w:color w:val="000000"/>
        </w:rPr>
        <w:t xml:space="preserve">, 3(2), pp.695–705. </w:t>
      </w:r>
      <w:proofErr w:type="spellStart"/>
      <w:proofErr w:type="gramStart"/>
      <w:r w:rsidRPr="00FB0D8F">
        <w:rPr>
          <w:rFonts w:ascii="Calibri" w:hAnsi="Calibri" w:cs="Calibri"/>
          <w:color w:val="000000"/>
        </w:rPr>
        <w:t>doi:https</w:t>
      </w:r>
      <w:proofErr w:type="spellEnd"/>
      <w:r w:rsidRPr="00FB0D8F">
        <w:rPr>
          <w:rFonts w:ascii="Calibri" w:hAnsi="Calibri" w:cs="Calibri"/>
          <w:color w:val="000000"/>
        </w:rPr>
        <w:t>://doi.org/10.54183/jssr.v3i2.308</w:t>
      </w:r>
      <w:proofErr w:type="gramEnd"/>
      <w:r>
        <w:rPr>
          <w:rFonts w:ascii="Calibri" w:hAnsi="Calibri" w:cs="Calibri"/>
          <w:color w:val="000000"/>
        </w:rPr>
        <w:t xml:space="preserve"> </w:t>
      </w:r>
      <w:r w:rsidRPr="00FB0D8F">
        <w:rPr>
          <w:rFonts w:ascii="Calibri" w:hAnsi="Calibri" w:cs="Calibri"/>
          <w:color w:val="000000"/>
        </w:rPr>
        <w:t xml:space="preserve">[Accessed </w:t>
      </w:r>
      <w:r>
        <w:rPr>
          <w:rFonts w:ascii="Calibri" w:hAnsi="Calibri" w:cs="Calibri"/>
          <w:color w:val="000000"/>
        </w:rPr>
        <w:t>2</w:t>
      </w:r>
      <w:r>
        <w:rPr>
          <w:rFonts w:ascii="Calibri" w:hAnsi="Calibri" w:cs="Calibri"/>
          <w:color w:val="000000"/>
        </w:rPr>
        <w:t>7</w:t>
      </w:r>
      <w:r>
        <w:rPr>
          <w:rFonts w:ascii="Calibri" w:hAnsi="Calibri" w:cs="Calibri"/>
          <w:color w:val="000000"/>
        </w:rPr>
        <w:t xml:space="preserve"> April</w:t>
      </w:r>
      <w:r w:rsidRPr="00FB0D8F">
        <w:rPr>
          <w:rFonts w:ascii="Calibri" w:hAnsi="Calibri" w:cs="Calibri"/>
          <w:color w:val="000000"/>
        </w:rPr>
        <w:t xml:space="preserve"> 2024].</w:t>
      </w:r>
    </w:p>
    <w:p w14:paraId="2ECD6EBD" w14:textId="4726ED9D" w:rsidR="00FB0D8F" w:rsidRPr="00FB0D8F" w:rsidRDefault="00FB0D8F" w:rsidP="00FB0D8F">
      <w:pPr>
        <w:pStyle w:val="NormalWeb"/>
        <w:spacing w:before="0" w:beforeAutospacing="0" w:after="240" w:afterAutospacing="0" w:line="360" w:lineRule="atLeast"/>
        <w:rPr>
          <w:rFonts w:ascii="Calibri" w:hAnsi="Calibri" w:cs="Calibri"/>
          <w:color w:val="000000"/>
        </w:rPr>
      </w:pPr>
      <w:r w:rsidRPr="00FB0D8F">
        <w:rPr>
          <w:rFonts w:ascii="Calibri" w:hAnsi="Calibri" w:cs="Calibri"/>
          <w:color w:val="000000"/>
        </w:rPr>
        <w:t>Peterson, E.R., Rubie-Davies, C., Osborne, D. and Sibley, C. (2016). Teachers’ explicit expectations and implicit prejudiced attitudes to educational achievement: Relations with student achievement and the ethnic achievement gap.</w:t>
      </w:r>
      <w:r w:rsidRPr="00FB0D8F">
        <w:rPr>
          <w:rStyle w:val="apple-converted-space"/>
          <w:rFonts w:ascii="Calibri" w:eastAsiaTheme="majorEastAsia" w:hAnsi="Calibri" w:cs="Calibri"/>
          <w:color w:val="000000"/>
        </w:rPr>
        <w:t> </w:t>
      </w:r>
      <w:r w:rsidRPr="00FB0D8F">
        <w:rPr>
          <w:rFonts w:ascii="Calibri" w:hAnsi="Calibri" w:cs="Calibri"/>
          <w:i/>
          <w:iCs/>
          <w:color w:val="000000"/>
        </w:rPr>
        <w:t>Learning and Instruction</w:t>
      </w:r>
      <w:r w:rsidRPr="00FB0D8F">
        <w:rPr>
          <w:rFonts w:ascii="Calibri" w:hAnsi="Calibri" w:cs="Calibri"/>
          <w:color w:val="000000"/>
        </w:rPr>
        <w:t xml:space="preserve">, 42, pp.123–140. </w:t>
      </w:r>
      <w:proofErr w:type="spellStart"/>
      <w:proofErr w:type="gramStart"/>
      <w:r w:rsidRPr="00FB0D8F">
        <w:rPr>
          <w:rFonts w:ascii="Calibri" w:hAnsi="Calibri" w:cs="Calibri"/>
          <w:color w:val="000000"/>
        </w:rPr>
        <w:t>doi:https</w:t>
      </w:r>
      <w:proofErr w:type="spellEnd"/>
      <w:r w:rsidRPr="00FB0D8F">
        <w:rPr>
          <w:rFonts w:ascii="Calibri" w:hAnsi="Calibri" w:cs="Calibri"/>
          <w:color w:val="000000"/>
        </w:rPr>
        <w:t>://doi.org/10.1016/j.learninstruc.2016.01.010</w:t>
      </w:r>
      <w:proofErr w:type="gramEnd"/>
      <w:r>
        <w:rPr>
          <w:rFonts w:ascii="Calibri" w:hAnsi="Calibri" w:cs="Calibri"/>
          <w:color w:val="000000"/>
        </w:rPr>
        <w:t xml:space="preserve"> </w:t>
      </w:r>
      <w:r w:rsidRPr="00FB0D8F">
        <w:rPr>
          <w:rFonts w:ascii="Calibri" w:hAnsi="Calibri" w:cs="Calibri"/>
          <w:color w:val="000000"/>
        </w:rPr>
        <w:t xml:space="preserve">[Accessed </w:t>
      </w:r>
      <w:r>
        <w:rPr>
          <w:rFonts w:ascii="Calibri" w:hAnsi="Calibri" w:cs="Calibri"/>
          <w:color w:val="000000"/>
        </w:rPr>
        <w:t>29 April</w:t>
      </w:r>
      <w:r w:rsidRPr="00FB0D8F">
        <w:rPr>
          <w:rFonts w:ascii="Calibri" w:hAnsi="Calibri" w:cs="Calibri"/>
          <w:color w:val="000000"/>
        </w:rPr>
        <w:t xml:space="preserve"> 2024].</w:t>
      </w:r>
    </w:p>
    <w:p w14:paraId="1A1E249A" w14:textId="77777777" w:rsidR="00FB0D8F" w:rsidRPr="00FB0D8F" w:rsidRDefault="00FB0D8F" w:rsidP="00FB0D8F">
      <w:pPr>
        <w:pStyle w:val="NormalWeb"/>
        <w:spacing w:before="0" w:beforeAutospacing="0" w:after="240" w:afterAutospacing="0" w:line="360" w:lineRule="atLeast"/>
        <w:rPr>
          <w:rFonts w:ascii="Calibri" w:hAnsi="Calibri" w:cs="Calibri"/>
          <w:color w:val="000000"/>
        </w:rPr>
      </w:pPr>
      <w:r w:rsidRPr="00FB0D8F">
        <w:rPr>
          <w:rFonts w:ascii="Calibri" w:hAnsi="Calibri" w:cs="Calibri"/>
          <w:color w:val="000000"/>
        </w:rPr>
        <w:t>Smith, R. and Lynch, D. (2012).</w:t>
      </w:r>
      <w:r w:rsidRPr="00FB0D8F">
        <w:rPr>
          <w:rStyle w:val="apple-converted-space"/>
          <w:rFonts w:ascii="Calibri" w:eastAsiaTheme="majorEastAsia" w:hAnsi="Calibri" w:cs="Calibri"/>
          <w:color w:val="000000"/>
        </w:rPr>
        <w:t> </w:t>
      </w:r>
      <w:r w:rsidRPr="00FB0D8F">
        <w:rPr>
          <w:rFonts w:ascii="Calibri" w:hAnsi="Calibri" w:cs="Calibri"/>
          <w:i/>
          <w:iCs/>
          <w:color w:val="000000"/>
        </w:rPr>
        <w:t>Case Studies in Education: Leadership and Innovation</w:t>
      </w:r>
      <w:r w:rsidRPr="00FB0D8F">
        <w:rPr>
          <w:rFonts w:ascii="Calibri" w:hAnsi="Calibri" w:cs="Calibri"/>
          <w:color w:val="000000"/>
        </w:rPr>
        <w:t>. [online]</w:t>
      </w:r>
      <w:r w:rsidRPr="00FB0D8F">
        <w:rPr>
          <w:rStyle w:val="apple-converted-space"/>
          <w:rFonts w:ascii="Calibri" w:eastAsiaTheme="majorEastAsia" w:hAnsi="Calibri" w:cs="Calibri"/>
          <w:color w:val="000000"/>
        </w:rPr>
        <w:t> </w:t>
      </w:r>
      <w:r w:rsidRPr="00FB0D8F">
        <w:rPr>
          <w:rFonts w:ascii="Calibri" w:hAnsi="Calibri" w:cs="Calibri"/>
          <w:i/>
          <w:iCs/>
          <w:color w:val="000000"/>
        </w:rPr>
        <w:t>Google Books</w:t>
      </w:r>
      <w:r w:rsidRPr="00FB0D8F">
        <w:rPr>
          <w:rFonts w:ascii="Calibri" w:hAnsi="Calibri" w:cs="Calibri"/>
          <w:color w:val="000000"/>
        </w:rPr>
        <w:t>. Lulu.com. Available at: https://books.google.co.uk/books?hl=en&amp;lr=&amp;id=bvXzAwAAQBAJ&amp;oi=fnd&amp;pg=PA148&amp;dq=Au [Accessed 6 May 2024].</w:t>
      </w:r>
    </w:p>
    <w:p w14:paraId="116ED68E" w14:textId="44080E05" w:rsidR="00FB0D8F" w:rsidRPr="00FB0D8F" w:rsidRDefault="00FB0D8F" w:rsidP="00FB0D8F">
      <w:pPr>
        <w:pStyle w:val="NormalWeb"/>
        <w:spacing w:before="0" w:beforeAutospacing="0" w:after="240" w:afterAutospacing="0" w:line="360" w:lineRule="atLeast"/>
        <w:rPr>
          <w:rFonts w:ascii="Calibri" w:hAnsi="Calibri" w:cs="Calibri"/>
          <w:color w:val="000000"/>
        </w:rPr>
      </w:pPr>
      <w:r w:rsidRPr="00FB0D8F">
        <w:rPr>
          <w:rFonts w:ascii="Calibri" w:hAnsi="Calibri" w:cs="Calibri"/>
          <w:color w:val="000000"/>
        </w:rPr>
        <w:lastRenderedPageBreak/>
        <w:t xml:space="preserve">Taboada, A., Tonks, S.M., </w:t>
      </w:r>
      <w:proofErr w:type="spellStart"/>
      <w:r w:rsidRPr="00FB0D8F">
        <w:rPr>
          <w:rFonts w:ascii="Calibri" w:hAnsi="Calibri" w:cs="Calibri"/>
          <w:color w:val="000000"/>
        </w:rPr>
        <w:t>Wigfield</w:t>
      </w:r>
      <w:proofErr w:type="spellEnd"/>
      <w:r w:rsidRPr="00FB0D8F">
        <w:rPr>
          <w:rFonts w:ascii="Calibri" w:hAnsi="Calibri" w:cs="Calibri"/>
          <w:color w:val="000000"/>
        </w:rPr>
        <w:t>, A. and Guthrie, J.T. (2008). Effects of motivational and cognitive variables on reading comprehension.</w:t>
      </w:r>
      <w:r w:rsidRPr="00FB0D8F">
        <w:rPr>
          <w:rStyle w:val="apple-converted-space"/>
          <w:rFonts w:ascii="Calibri" w:eastAsiaTheme="majorEastAsia" w:hAnsi="Calibri" w:cs="Calibri"/>
          <w:color w:val="000000"/>
        </w:rPr>
        <w:t> </w:t>
      </w:r>
      <w:r w:rsidRPr="00FB0D8F">
        <w:rPr>
          <w:rFonts w:ascii="Calibri" w:hAnsi="Calibri" w:cs="Calibri"/>
          <w:i/>
          <w:iCs/>
          <w:color w:val="000000"/>
        </w:rPr>
        <w:t>Reading and Writing</w:t>
      </w:r>
      <w:r w:rsidRPr="00FB0D8F">
        <w:rPr>
          <w:rFonts w:ascii="Calibri" w:hAnsi="Calibri" w:cs="Calibri"/>
          <w:color w:val="000000"/>
        </w:rPr>
        <w:t xml:space="preserve">, 22(1), pp.85–106. </w:t>
      </w:r>
      <w:proofErr w:type="spellStart"/>
      <w:proofErr w:type="gramStart"/>
      <w:r w:rsidRPr="00FB0D8F">
        <w:rPr>
          <w:rFonts w:ascii="Calibri" w:hAnsi="Calibri" w:cs="Calibri"/>
          <w:color w:val="000000"/>
        </w:rPr>
        <w:t>doi:https</w:t>
      </w:r>
      <w:proofErr w:type="spellEnd"/>
      <w:r w:rsidRPr="00FB0D8F">
        <w:rPr>
          <w:rFonts w:ascii="Calibri" w:hAnsi="Calibri" w:cs="Calibri"/>
          <w:color w:val="000000"/>
        </w:rPr>
        <w:t>://doi.org/10.1007/s11145-008-9133-y</w:t>
      </w:r>
      <w:proofErr w:type="gramEnd"/>
      <w:r>
        <w:rPr>
          <w:rFonts w:ascii="Calibri" w:hAnsi="Calibri" w:cs="Calibri"/>
          <w:color w:val="000000"/>
        </w:rPr>
        <w:t xml:space="preserve"> </w:t>
      </w:r>
      <w:r w:rsidRPr="00FB0D8F">
        <w:rPr>
          <w:rFonts w:ascii="Calibri" w:hAnsi="Calibri" w:cs="Calibri"/>
          <w:color w:val="000000"/>
        </w:rPr>
        <w:t>[Access</w:t>
      </w:r>
      <w:r>
        <w:rPr>
          <w:rFonts w:ascii="Calibri" w:hAnsi="Calibri" w:cs="Calibri"/>
          <w:color w:val="000000"/>
        </w:rPr>
        <w:t xml:space="preserve">ed 2 May </w:t>
      </w:r>
      <w:r w:rsidRPr="00FB0D8F">
        <w:rPr>
          <w:rFonts w:ascii="Calibri" w:hAnsi="Calibri" w:cs="Calibri"/>
          <w:color w:val="000000"/>
        </w:rPr>
        <w:t>2024].</w:t>
      </w:r>
    </w:p>
    <w:p w14:paraId="6429B84F" w14:textId="0BC65F74" w:rsidR="00FB0D8F" w:rsidRPr="00FB0D8F" w:rsidRDefault="00FB0D8F" w:rsidP="00FB0D8F">
      <w:pPr>
        <w:pStyle w:val="NormalWeb"/>
        <w:spacing w:before="0" w:beforeAutospacing="0" w:after="240" w:afterAutospacing="0" w:line="360" w:lineRule="atLeast"/>
        <w:rPr>
          <w:rFonts w:ascii="Calibri" w:hAnsi="Calibri" w:cs="Calibri"/>
          <w:color w:val="000000"/>
        </w:rPr>
      </w:pPr>
      <w:r w:rsidRPr="00FB0D8F">
        <w:rPr>
          <w:rFonts w:ascii="Calibri" w:hAnsi="Calibri" w:cs="Calibri"/>
          <w:color w:val="000000"/>
        </w:rPr>
        <w:t>Welsh Government (2014).</w:t>
      </w:r>
      <w:r w:rsidRPr="00FB0D8F">
        <w:rPr>
          <w:rStyle w:val="apple-converted-space"/>
          <w:rFonts w:ascii="Calibri" w:eastAsiaTheme="majorEastAsia" w:hAnsi="Calibri" w:cs="Calibri"/>
          <w:color w:val="000000"/>
        </w:rPr>
        <w:t> </w:t>
      </w:r>
      <w:r w:rsidRPr="00FB0D8F">
        <w:rPr>
          <w:rFonts w:ascii="Calibri" w:hAnsi="Calibri" w:cs="Calibri"/>
          <w:i/>
          <w:iCs/>
          <w:color w:val="000000"/>
        </w:rPr>
        <w:t>School development plans Guidance</w:t>
      </w:r>
      <w:r w:rsidRPr="00FB0D8F">
        <w:rPr>
          <w:rFonts w:ascii="Calibri" w:hAnsi="Calibri" w:cs="Calibri"/>
          <w:color w:val="000000"/>
        </w:rPr>
        <w:t xml:space="preserve">. [online] Available at: </w:t>
      </w:r>
      <w:hyperlink r:id="rId17" w:history="1">
        <w:r w:rsidRPr="00BE438F">
          <w:rPr>
            <w:rStyle w:val="Hyperlink"/>
            <w:rFonts w:ascii="Calibri" w:hAnsi="Calibri" w:cs="Calibri"/>
          </w:rPr>
          <w:t>https://www.gov.wales/sites/default/files/publications/2018-03/school-development-plans.pdf</w:t>
        </w:r>
      </w:hyperlink>
      <w:r>
        <w:rPr>
          <w:rFonts w:ascii="Calibri" w:hAnsi="Calibri" w:cs="Calibri"/>
          <w:color w:val="000000"/>
        </w:rPr>
        <w:t xml:space="preserve"> </w:t>
      </w:r>
      <w:r w:rsidRPr="00FB0D8F">
        <w:rPr>
          <w:rFonts w:ascii="Calibri" w:hAnsi="Calibri" w:cs="Calibri"/>
          <w:color w:val="000000"/>
        </w:rPr>
        <w:t xml:space="preserve">[Accessed </w:t>
      </w:r>
      <w:r>
        <w:rPr>
          <w:rFonts w:ascii="Calibri" w:hAnsi="Calibri" w:cs="Calibri"/>
          <w:color w:val="000000"/>
        </w:rPr>
        <w:t>29 April</w:t>
      </w:r>
      <w:r w:rsidRPr="00FB0D8F">
        <w:rPr>
          <w:rFonts w:ascii="Calibri" w:hAnsi="Calibri" w:cs="Calibri"/>
          <w:color w:val="000000"/>
        </w:rPr>
        <w:t xml:space="preserve"> 2024].</w:t>
      </w:r>
    </w:p>
    <w:p w14:paraId="311BBDD2" w14:textId="77777777" w:rsidR="00FB0D8F" w:rsidRPr="00C33773" w:rsidRDefault="00FB0D8F" w:rsidP="00C33773">
      <w:pPr>
        <w:rPr>
          <w:rFonts w:ascii="Calibri" w:hAnsi="Calibri" w:cs="Calibri"/>
          <w:u w:val="single"/>
        </w:rPr>
      </w:pPr>
    </w:p>
    <w:p w14:paraId="1644871E" w14:textId="77777777" w:rsidR="00C33773" w:rsidRPr="00C33773" w:rsidRDefault="00C33773" w:rsidP="00C33773">
      <w:pPr>
        <w:rPr>
          <w:rFonts w:ascii="Calibri" w:hAnsi="Calibri" w:cs="Calibri"/>
          <w:u w:val="single"/>
        </w:rPr>
      </w:pPr>
    </w:p>
    <w:p w14:paraId="2DABB1D3" w14:textId="77777777" w:rsidR="00C33773" w:rsidRPr="00323196" w:rsidRDefault="00C33773" w:rsidP="00323196">
      <w:pPr>
        <w:rPr>
          <w:rFonts w:ascii="Calibri" w:hAnsi="Calibri" w:cs="Calibri"/>
          <w:u w:val="single"/>
        </w:rPr>
      </w:pPr>
    </w:p>
    <w:p w14:paraId="11B5772E" w14:textId="77777777" w:rsidR="00323196" w:rsidRPr="00323196" w:rsidRDefault="00323196" w:rsidP="00323196">
      <w:pPr>
        <w:rPr>
          <w:rFonts w:ascii="Calibri" w:hAnsi="Calibri" w:cs="Calibri"/>
          <w:u w:val="single"/>
        </w:rPr>
      </w:pPr>
    </w:p>
    <w:p w14:paraId="79A9CFA9" w14:textId="77777777" w:rsidR="00323196" w:rsidRPr="00323196" w:rsidRDefault="00323196" w:rsidP="00323196">
      <w:pPr>
        <w:rPr>
          <w:rFonts w:ascii="Calibri" w:hAnsi="Calibri" w:cs="Calibri"/>
          <w:u w:val="single"/>
        </w:rPr>
      </w:pPr>
    </w:p>
    <w:p w14:paraId="02909031" w14:textId="77777777" w:rsidR="00323196" w:rsidRPr="00323196" w:rsidRDefault="00323196" w:rsidP="00323196">
      <w:pPr>
        <w:rPr>
          <w:rFonts w:ascii="Calibri" w:hAnsi="Calibri" w:cs="Calibri"/>
          <w:u w:val="single"/>
        </w:rPr>
      </w:pPr>
    </w:p>
    <w:p w14:paraId="1BA90143" w14:textId="77777777" w:rsidR="00323196" w:rsidRPr="00323196" w:rsidRDefault="00323196" w:rsidP="00A3213C">
      <w:pPr>
        <w:rPr>
          <w:rFonts w:ascii="Calibri" w:hAnsi="Calibri" w:cs="Calibri"/>
          <w:u w:val="single"/>
        </w:rPr>
      </w:pPr>
    </w:p>
    <w:sectPr w:rsidR="00323196" w:rsidRPr="003231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E1C"/>
    <w:rsid w:val="0007028E"/>
    <w:rsid w:val="000F1253"/>
    <w:rsid w:val="001C0A3D"/>
    <w:rsid w:val="001D5978"/>
    <w:rsid w:val="002259F1"/>
    <w:rsid w:val="0025127B"/>
    <w:rsid w:val="002647C1"/>
    <w:rsid w:val="00283A02"/>
    <w:rsid w:val="00323196"/>
    <w:rsid w:val="0035130C"/>
    <w:rsid w:val="00370832"/>
    <w:rsid w:val="003940E4"/>
    <w:rsid w:val="00491E1C"/>
    <w:rsid w:val="005E0CEA"/>
    <w:rsid w:val="00607DEF"/>
    <w:rsid w:val="00621D93"/>
    <w:rsid w:val="006444FD"/>
    <w:rsid w:val="00644E84"/>
    <w:rsid w:val="006F4CE4"/>
    <w:rsid w:val="007D5604"/>
    <w:rsid w:val="00A3213C"/>
    <w:rsid w:val="00BF1E43"/>
    <w:rsid w:val="00C33773"/>
    <w:rsid w:val="00DC7A6F"/>
    <w:rsid w:val="00E24A7B"/>
    <w:rsid w:val="00F87D71"/>
    <w:rsid w:val="00FB0D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6F5291"/>
  <w15:chartTrackingRefBased/>
  <w15:docId w15:val="{F8338195-009A-B847-B95C-25B5AE64F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1E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1E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1E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1E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1E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1E1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1E1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1E1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1E1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1E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1E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1E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1E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1E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1E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1E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1E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1E1C"/>
    <w:rPr>
      <w:rFonts w:eastAsiaTheme="majorEastAsia" w:cstheme="majorBidi"/>
      <w:color w:val="272727" w:themeColor="text1" w:themeTint="D8"/>
    </w:rPr>
  </w:style>
  <w:style w:type="paragraph" w:styleId="Title">
    <w:name w:val="Title"/>
    <w:basedOn w:val="Normal"/>
    <w:next w:val="Normal"/>
    <w:link w:val="TitleChar"/>
    <w:uiPriority w:val="10"/>
    <w:qFormat/>
    <w:rsid w:val="00491E1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1E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1E1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1E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1E1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91E1C"/>
    <w:rPr>
      <w:i/>
      <w:iCs/>
      <w:color w:val="404040" w:themeColor="text1" w:themeTint="BF"/>
    </w:rPr>
  </w:style>
  <w:style w:type="paragraph" w:styleId="ListParagraph">
    <w:name w:val="List Paragraph"/>
    <w:basedOn w:val="Normal"/>
    <w:uiPriority w:val="34"/>
    <w:qFormat/>
    <w:rsid w:val="00491E1C"/>
    <w:pPr>
      <w:ind w:left="720"/>
      <w:contextualSpacing/>
    </w:pPr>
  </w:style>
  <w:style w:type="character" w:styleId="IntenseEmphasis">
    <w:name w:val="Intense Emphasis"/>
    <w:basedOn w:val="DefaultParagraphFont"/>
    <w:uiPriority w:val="21"/>
    <w:qFormat/>
    <w:rsid w:val="00491E1C"/>
    <w:rPr>
      <w:i/>
      <w:iCs/>
      <w:color w:val="0F4761" w:themeColor="accent1" w:themeShade="BF"/>
    </w:rPr>
  </w:style>
  <w:style w:type="paragraph" w:styleId="IntenseQuote">
    <w:name w:val="Intense Quote"/>
    <w:basedOn w:val="Normal"/>
    <w:next w:val="Normal"/>
    <w:link w:val="IntenseQuoteChar"/>
    <w:uiPriority w:val="30"/>
    <w:qFormat/>
    <w:rsid w:val="00491E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1E1C"/>
    <w:rPr>
      <w:i/>
      <w:iCs/>
      <w:color w:val="0F4761" w:themeColor="accent1" w:themeShade="BF"/>
    </w:rPr>
  </w:style>
  <w:style w:type="character" w:styleId="IntenseReference">
    <w:name w:val="Intense Reference"/>
    <w:basedOn w:val="DefaultParagraphFont"/>
    <w:uiPriority w:val="32"/>
    <w:qFormat/>
    <w:rsid w:val="00491E1C"/>
    <w:rPr>
      <w:b/>
      <w:bCs/>
      <w:smallCaps/>
      <w:color w:val="0F4761" w:themeColor="accent1" w:themeShade="BF"/>
      <w:spacing w:val="5"/>
    </w:rPr>
  </w:style>
  <w:style w:type="paragraph" w:styleId="NormalWeb">
    <w:name w:val="Normal (Web)"/>
    <w:basedOn w:val="Normal"/>
    <w:uiPriority w:val="99"/>
    <w:semiHidden/>
    <w:unhideWhenUsed/>
    <w:rsid w:val="00491E1C"/>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FB0D8F"/>
  </w:style>
  <w:style w:type="character" w:styleId="Hyperlink">
    <w:name w:val="Hyperlink"/>
    <w:basedOn w:val="DefaultParagraphFont"/>
    <w:uiPriority w:val="99"/>
    <w:unhideWhenUsed/>
    <w:rsid w:val="00FB0D8F"/>
    <w:rPr>
      <w:color w:val="467886" w:themeColor="hyperlink"/>
      <w:u w:val="single"/>
    </w:rPr>
  </w:style>
  <w:style w:type="character" w:styleId="UnresolvedMention">
    <w:name w:val="Unresolved Mention"/>
    <w:basedOn w:val="DefaultParagraphFont"/>
    <w:uiPriority w:val="99"/>
    <w:semiHidden/>
    <w:unhideWhenUsed/>
    <w:rsid w:val="00FB0D8F"/>
    <w:rPr>
      <w:color w:val="605E5C"/>
      <w:shd w:val="clear" w:color="auto" w:fill="E1DFDD"/>
    </w:rPr>
  </w:style>
  <w:style w:type="table" w:styleId="TableGrid">
    <w:name w:val="Table Grid"/>
    <w:basedOn w:val="TableNormal"/>
    <w:uiPriority w:val="39"/>
    <w:rsid w:val="00644E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907000">
      <w:bodyDiv w:val="1"/>
      <w:marLeft w:val="0"/>
      <w:marRight w:val="0"/>
      <w:marTop w:val="0"/>
      <w:marBottom w:val="0"/>
      <w:divBdr>
        <w:top w:val="none" w:sz="0" w:space="0" w:color="auto"/>
        <w:left w:val="none" w:sz="0" w:space="0" w:color="auto"/>
        <w:bottom w:val="none" w:sz="0" w:space="0" w:color="auto"/>
        <w:right w:val="none" w:sz="0" w:space="0" w:color="auto"/>
      </w:divBdr>
    </w:div>
    <w:div w:id="675882593">
      <w:bodyDiv w:val="1"/>
      <w:marLeft w:val="0"/>
      <w:marRight w:val="0"/>
      <w:marTop w:val="0"/>
      <w:marBottom w:val="0"/>
      <w:divBdr>
        <w:top w:val="none" w:sz="0" w:space="0" w:color="auto"/>
        <w:left w:val="none" w:sz="0" w:space="0" w:color="auto"/>
        <w:bottom w:val="none" w:sz="0" w:space="0" w:color="auto"/>
        <w:right w:val="none" w:sz="0" w:space="0" w:color="auto"/>
      </w:divBdr>
      <w:divsChild>
        <w:div w:id="611478839">
          <w:marLeft w:val="0"/>
          <w:marRight w:val="0"/>
          <w:marTop w:val="0"/>
          <w:marBottom w:val="0"/>
          <w:divBdr>
            <w:top w:val="single" w:sz="2" w:space="0" w:color="E3E3E3"/>
            <w:left w:val="single" w:sz="2" w:space="0" w:color="E3E3E3"/>
            <w:bottom w:val="single" w:sz="2" w:space="0" w:color="E3E3E3"/>
            <w:right w:val="single" w:sz="2" w:space="0" w:color="E3E3E3"/>
          </w:divBdr>
          <w:divsChild>
            <w:div w:id="801995122">
              <w:marLeft w:val="0"/>
              <w:marRight w:val="0"/>
              <w:marTop w:val="0"/>
              <w:marBottom w:val="0"/>
              <w:divBdr>
                <w:top w:val="single" w:sz="2" w:space="0" w:color="E3E3E3"/>
                <w:left w:val="single" w:sz="2" w:space="0" w:color="E3E3E3"/>
                <w:bottom w:val="single" w:sz="2" w:space="0" w:color="E3E3E3"/>
                <w:right w:val="single" w:sz="2" w:space="0" w:color="E3E3E3"/>
              </w:divBdr>
              <w:divsChild>
                <w:div w:id="1154028526">
                  <w:marLeft w:val="0"/>
                  <w:marRight w:val="0"/>
                  <w:marTop w:val="0"/>
                  <w:marBottom w:val="0"/>
                  <w:divBdr>
                    <w:top w:val="single" w:sz="2" w:space="0" w:color="E3E3E3"/>
                    <w:left w:val="single" w:sz="2" w:space="0" w:color="E3E3E3"/>
                    <w:bottom w:val="single" w:sz="2" w:space="0" w:color="E3E3E3"/>
                    <w:right w:val="single" w:sz="2" w:space="0" w:color="E3E3E3"/>
                  </w:divBdr>
                  <w:divsChild>
                    <w:div w:id="2069959810">
                      <w:marLeft w:val="0"/>
                      <w:marRight w:val="0"/>
                      <w:marTop w:val="0"/>
                      <w:marBottom w:val="0"/>
                      <w:divBdr>
                        <w:top w:val="single" w:sz="2" w:space="0" w:color="E3E3E3"/>
                        <w:left w:val="single" w:sz="2" w:space="0" w:color="E3E3E3"/>
                        <w:bottom w:val="single" w:sz="2" w:space="0" w:color="E3E3E3"/>
                        <w:right w:val="single" w:sz="2" w:space="0" w:color="E3E3E3"/>
                      </w:divBdr>
                      <w:divsChild>
                        <w:div w:id="1918245156">
                          <w:marLeft w:val="0"/>
                          <w:marRight w:val="0"/>
                          <w:marTop w:val="0"/>
                          <w:marBottom w:val="0"/>
                          <w:divBdr>
                            <w:top w:val="single" w:sz="2" w:space="0" w:color="E3E3E3"/>
                            <w:left w:val="single" w:sz="2" w:space="0" w:color="E3E3E3"/>
                            <w:bottom w:val="single" w:sz="2" w:space="0" w:color="E3E3E3"/>
                            <w:right w:val="single" w:sz="2" w:space="0" w:color="E3E3E3"/>
                          </w:divBdr>
                          <w:divsChild>
                            <w:div w:id="753939726">
                              <w:marLeft w:val="0"/>
                              <w:marRight w:val="0"/>
                              <w:marTop w:val="0"/>
                              <w:marBottom w:val="0"/>
                              <w:divBdr>
                                <w:top w:val="single" w:sz="2" w:space="0" w:color="E3E3E3"/>
                                <w:left w:val="single" w:sz="2" w:space="0" w:color="E3E3E3"/>
                                <w:bottom w:val="single" w:sz="2" w:space="0" w:color="E3E3E3"/>
                                <w:right w:val="single" w:sz="2" w:space="0" w:color="E3E3E3"/>
                              </w:divBdr>
                              <w:divsChild>
                                <w:div w:id="459501030">
                                  <w:marLeft w:val="0"/>
                                  <w:marRight w:val="0"/>
                                  <w:marTop w:val="100"/>
                                  <w:marBottom w:val="100"/>
                                  <w:divBdr>
                                    <w:top w:val="single" w:sz="2" w:space="0" w:color="E3E3E3"/>
                                    <w:left w:val="single" w:sz="2" w:space="0" w:color="E3E3E3"/>
                                    <w:bottom w:val="single" w:sz="2" w:space="0" w:color="E3E3E3"/>
                                    <w:right w:val="single" w:sz="2" w:space="0" w:color="E3E3E3"/>
                                  </w:divBdr>
                                  <w:divsChild>
                                    <w:div w:id="628777972">
                                      <w:marLeft w:val="0"/>
                                      <w:marRight w:val="0"/>
                                      <w:marTop w:val="0"/>
                                      <w:marBottom w:val="0"/>
                                      <w:divBdr>
                                        <w:top w:val="single" w:sz="2" w:space="0" w:color="E3E3E3"/>
                                        <w:left w:val="single" w:sz="2" w:space="0" w:color="E3E3E3"/>
                                        <w:bottom w:val="single" w:sz="2" w:space="0" w:color="E3E3E3"/>
                                        <w:right w:val="single" w:sz="2" w:space="0" w:color="E3E3E3"/>
                                      </w:divBdr>
                                      <w:divsChild>
                                        <w:div w:id="1009601048">
                                          <w:marLeft w:val="0"/>
                                          <w:marRight w:val="0"/>
                                          <w:marTop w:val="0"/>
                                          <w:marBottom w:val="0"/>
                                          <w:divBdr>
                                            <w:top w:val="single" w:sz="2" w:space="0" w:color="E3E3E3"/>
                                            <w:left w:val="single" w:sz="2" w:space="0" w:color="E3E3E3"/>
                                            <w:bottom w:val="single" w:sz="2" w:space="0" w:color="E3E3E3"/>
                                            <w:right w:val="single" w:sz="2" w:space="0" w:color="E3E3E3"/>
                                          </w:divBdr>
                                          <w:divsChild>
                                            <w:div w:id="293681084">
                                              <w:marLeft w:val="0"/>
                                              <w:marRight w:val="0"/>
                                              <w:marTop w:val="0"/>
                                              <w:marBottom w:val="0"/>
                                              <w:divBdr>
                                                <w:top w:val="single" w:sz="2" w:space="0" w:color="E3E3E3"/>
                                                <w:left w:val="single" w:sz="2" w:space="0" w:color="E3E3E3"/>
                                                <w:bottom w:val="single" w:sz="2" w:space="0" w:color="E3E3E3"/>
                                                <w:right w:val="single" w:sz="2" w:space="0" w:color="E3E3E3"/>
                                              </w:divBdr>
                                              <w:divsChild>
                                                <w:div w:id="587153046">
                                                  <w:marLeft w:val="0"/>
                                                  <w:marRight w:val="0"/>
                                                  <w:marTop w:val="0"/>
                                                  <w:marBottom w:val="0"/>
                                                  <w:divBdr>
                                                    <w:top w:val="single" w:sz="2" w:space="0" w:color="E3E3E3"/>
                                                    <w:left w:val="single" w:sz="2" w:space="0" w:color="E3E3E3"/>
                                                    <w:bottom w:val="single" w:sz="2" w:space="0" w:color="E3E3E3"/>
                                                    <w:right w:val="single" w:sz="2" w:space="0" w:color="E3E3E3"/>
                                                  </w:divBdr>
                                                  <w:divsChild>
                                                    <w:div w:id="1261065640">
                                                      <w:marLeft w:val="0"/>
                                                      <w:marRight w:val="0"/>
                                                      <w:marTop w:val="0"/>
                                                      <w:marBottom w:val="0"/>
                                                      <w:divBdr>
                                                        <w:top w:val="single" w:sz="2" w:space="0" w:color="E3E3E3"/>
                                                        <w:left w:val="single" w:sz="2" w:space="0" w:color="E3E3E3"/>
                                                        <w:bottom w:val="single" w:sz="2" w:space="0" w:color="E3E3E3"/>
                                                        <w:right w:val="single" w:sz="2" w:space="0" w:color="E3E3E3"/>
                                                      </w:divBdr>
                                                      <w:divsChild>
                                                        <w:div w:id="16157472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92709130">
          <w:marLeft w:val="0"/>
          <w:marRight w:val="0"/>
          <w:marTop w:val="0"/>
          <w:marBottom w:val="0"/>
          <w:divBdr>
            <w:top w:val="none" w:sz="0" w:space="0" w:color="auto"/>
            <w:left w:val="none" w:sz="0" w:space="0" w:color="auto"/>
            <w:bottom w:val="none" w:sz="0" w:space="0" w:color="auto"/>
            <w:right w:val="none" w:sz="0" w:space="0" w:color="auto"/>
          </w:divBdr>
          <w:divsChild>
            <w:div w:id="2123183421">
              <w:marLeft w:val="0"/>
              <w:marRight w:val="0"/>
              <w:marTop w:val="100"/>
              <w:marBottom w:val="100"/>
              <w:divBdr>
                <w:top w:val="single" w:sz="2" w:space="0" w:color="E3E3E3"/>
                <w:left w:val="single" w:sz="2" w:space="0" w:color="E3E3E3"/>
                <w:bottom w:val="single" w:sz="2" w:space="0" w:color="E3E3E3"/>
                <w:right w:val="single" w:sz="2" w:space="0" w:color="E3E3E3"/>
              </w:divBdr>
              <w:divsChild>
                <w:div w:id="967591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692076915">
      <w:bodyDiv w:val="1"/>
      <w:marLeft w:val="0"/>
      <w:marRight w:val="0"/>
      <w:marTop w:val="0"/>
      <w:marBottom w:val="0"/>
      <w:divBdr>
        <w:top w:val="none" w:sz="0" w:space="0" w:color="auto"/>
        <w:left w:val="none" w:sz="0" w:space="0" w:color="auto"/>
        <w:bottom w:val="none" w:sz="0" w:space="0" w:color="auto"/>
        <w:right w:val="none" w:sz="0" w:space="0" w:color="auto"/>
      </w:divBdr>
      <w:divsChild>
        <w:div w:id="447939522">
          <w:marLeft w:val="0"/>
          <w:marRight w:val="0"/>
          <w:marTop w:val="0"/>
          <w:marBottom w:val="0"/>
          <w:divBdr>
            <w:top w:val="none" w:sz="0" w:space="0" w:color="auto"/>
            <w:left w:val="none" w:sz="0" w:space="0" w:color="auto"/>
            <w:bottom w:val="none" w:sz="0" w:space="0" w:color="auto"/>
            <w:right w:val="none" w:sz="0" w:space="0" w:color="auto"/>
          </w:divBdr>
        </w:div>
      </w:divsChild>
    </w:div>
    <w:div w:id="805319713">
      <w:bodyDiv w:val="1"/>
      <w:marLeft w:val="0"/>
      <w:marRight w:val="0"/>
      <w:marTop w:val="0"/>
      <w:marBottom w:val="0"/>
      <w:divBdr>
        <w:top w:val="none" w:sz="0" w:space="0" w:color="auto"/>
        <w:left w:val="none" w:sz="0" w:space="0" w:color="auto"/>
        <w:bottom w:val="none" w:sz="0" w:space="0" w:color="auto"/>
        <w:right w:val="none" w:sz="0" w:space="0" w:color="auto"/>
      </w:divBdr>
      <w:divsChild>
        <w:div w:id="1529103289">
          <w:marLeft w:val="0"/>
          <w:marRight w:val="0"/>
          <w:marTop w:val="0"/>
          <w:marBottom w:val="0"/>
          <w:divBdr>
            <w:top w:val="single" w:sz="2" w:space="0" w:color="E3E3E3"/>
            <w:left w:val="single" w:sz="2" w:space="0" w:color="E3E3E3"/>
            <w:bottom w:val="single" w:sz="2" w:space="0" w:color="E3E3E3"/>
            <w:right w:val="single" w:sz="2" w:space="0" w:color="E3E3E3"/>
          </w:divBdr>
          <w:divsChild>
            <w:div w:id="1332298485">
              <w:marLeft w:val="0"/>
              <w:marRight w:val="0"/>
              <w:marTop w:val="0"/>
              <w:marBottom w:val="0"/>
              <w:divBdr>
                <w:top w:val="single" w:sz="2" w:space="0" w:color="E3E3E3"/>
                <w:left w:val="single" w:sz="2" w:space="0" w:color="E3E3E3"/>
                <w:bottom w:val="single" w:sz="2" w:space="0" w:color="E3E3E3"/>
                <w:right w:val="single" w:sz="2" w:space="0" w:color="E3E3E3"/>
              </w:divBdr>
              <w:divsChild>
                <w:div w:id="441071775">
                  <w:marLeft w:val="0"/>
                  <w:marRight w:val="0"/>
                  <w:marTop w:val="0"/>
                  <w:marBottom w:val="0"/>
                  <w:divBdr>
                    <w:top w:val="single" w:sz="2" w:space="0" w:color="E3E3E3"/>
                    <w:left w:val="single" w:sz="2" w:space="0" w:color="E3E3E3"/>
                    <w:bottom w:val="single" w:sz="2" w:space="0" w:color="E3E3E3"/>
                    <w:right w:val="single" w:sz="2" w:space="0" w:color="E3E3E3"/>
                  </w:divBdr>
                  <w:divsChild>
                    <w:div w:id="1132403237">
                      <w:marLeft w:val="0"/>
                      <w:marRight w:val="0"/>
                      <w:marTop w:val="0"/>
                      <w:marBottom w:val="0"/>
                      <w:divBdr>
                        <w:top w:val="single" w:sz="2" w:space="0" w:color="E3E3E3"/>
                        <w:left w:val="single" w:sz="2" w:space="0" w:color="E3E3E3"/>
                        <w:bottom w:val="single" w:sz="2" w:space="0" w:color="E3E3E3"/>
                        <w:right w:val="single" w:sz="2" w:space="0" w:color="E3E3E3"/>
                      </w:divBdr>
                      <w:divsChild>
                        <w:div w:id="2082677214">
                          <w:marLeft w:val="0"/>
                          <w:marRight w:val="0"/>
                          <w:marTop w:val="0"/>
                          <w:marBottom w:val="0"/>
                          <w:divBdr>
                            <w:top w:val="single" w:sz="2" w:space="0" w:color="E3E3E3"/>
                            <w:left w:val="single" w:sz="2" w:space="0" w:color="E3E3E3"/>
                            <w:bottom w:val="single" w:sz="2" w:space="0" w:color="E3E3E3"/>
                            <w:right w:val="single" w:sz="2" w:space="0" w:color="E3E3E3"/>
                          </w:divBdr>
                          <w:divsChild>
                            <w:div w:id="1895265098">
                              <w:marLeft w:val="0"/>
                              <w:marRight w:val="0"/>
                              <w:marTop w:val="0"/>
                              <w:marBottom w:val="0"/>
                              <w:divBdr>
                                <w:top w:val="single" w:sz="2" w:space="0" w:color="E3E3E3"/>
                                <w:left w:val="single" w:sz="2" w:space="0" w:color="E3E3E3"/>
                                <w:bottom w:val="single" w:sz="2" w:space="0" w:color="E3E3E3"/>
                                <w:right w:val="single" w:sz="2" w:space="0" w:color="E3E3E3"/>
                              </w:divBdr>
                              <w:divsChild>
                                <w:div w:id="1567838887">
                                  <w:marLeft w:val="0"/>
                                  <w:marRight w:val="0"/>
                                  <w:marTop w:val="100"/>
                                  <w:marBottom w:val="100"/>
                                  <w:divBdr>
                                    <w:top w:val="single" w:sz="2" w:space="0" w:color="E3E3E3"/>
                                    <w:left w:val="single" w:sz="2" w:space="0" w:color="E3E3E3"/>
                                    <w:bottom w:val="single" w:sz="2" w:space="0" w:color="E3E3E3"/>
                                    <w:right w:val="single" w:sz="2" w:space="0" w:color="E3E3E3"/>
                                  </w:divBdr>
                                  <w:divsChild>
                                    <w:div w:id="94206880">
                                      <w:marLeft w:val="0"/>
                                      <w:marRight w:val="0"/>
                                      <w:marTop w:val="0"/>
                                      <w:marBottom w:val="0"/>
                                      <w:divBdr>
                                        <w:top w:val="single" w:sz="2" w:space="0" w:color="E3E3E3"/>
                                        <w:left w:val="single" w:sz="2" w:space="0" w:color="E3E3E3"/>
                                        <w:bottom w:val="single" w:sz="2" w:space="0" w:color="E3E3E3"/>
                                        <w:right w:val="single" w:sz="2" w:space="0" w:color="E3E3E3"/>
                                      </w:divBdr>
                                      <w:divsChild>
                                        <w:div w:id="305621179">
                                          <w:marLeft w:val="0"/>
                                          <w:marRight w:val="0"/>
                                          <w:marTop w:val="0"/>
                                          <w:marBottom w:val="0"/>
                                          <w:divBdr>
                                            <w:top w:val="single" w:sz="2" w:space="0" w:color="E3E3E3"/>
                                            <w:left w:val="single" w:sz="2" w:space="0" w:color="E3E3E3"/>
                                            <w:bottom w:val="single" w:sz="2" w:space="0" w:color="E3E3E3"/>
                                            <w:right w:val="single" w:sz="2" w:space="0" w:color="E3E3E3"/>
                                          </w:divBdr>
                                          <w:divsChild>
                                            <w:div w:id="587885152">
                                              <w:marLeft w:val="0"/>
                                              <w:marRight w:val="0"/>
                                              <w:marTop w:val="0"/>
                                              <w:marBottom w:val="0"/>
                                              <w:divBdr>
                                                <w:top w:val="single" w:sz="2" w:space="0" w:color="E3E3E3"/>
                                                <w:left w:val="single" w:sz="2" w:space="0" w:color="E3E3E3"/>
                                                <w:bottom w:val="single" w:sz="2" w:space="0" w:color="E3E3E3"/>
                                                <w:right w:val="single" w:sz="2" w:space="0" w:color="E3E3E3"/>
                                              </w:divBdr>
                                              <w:divsChild>
                                                <w:div w:id="1139806597">
                                                  <w:marLeft w:val="0"/>
                                                  <w:marRight w:val="0"/>
                                                  <w:marTop w:val="0"/>
                                                  <w:marBottom w:val="0"/>
                                                  <w:divBdr>
                                                    <w:top w:val="single" w:sz="2" w:space="0" w:color="E3E3E3"/>
                                                    <w:left w:val="single" w:sz="2" w:space="0" w:color="E3E3E3"/>
                                                    <w:bottom w:val="single" w:sz="2" w:space="0" w:color="E3E3E3"/>
                                                    <w:right w:val="single" w:sz="2" w:space="0" w:color="E3E3E3"/>
                                                  </w:divBdr>
                                                  <w:divsChild>
                                                    <w:div w:id="1430465834">
                                                      <w:marLeft w:val="0"/>
                                                      <w:marRight w:val="0"/>
                                                      <w:marTop w:val="0"/>
                                                      <w:marBottom w:val="0"/>
                                                      <w:divBdr>
                                                        <w:top w:val="single" w:sz="2" w:space="0" w:color="E3E3E3"/>
                                                        <w:left w:val="single" w:sz="2" w:space="0" w:color="E3E3E3"/>
                                                        <w:bottom w:val="single" w:sz="2" w:space="0" w:color="E3E3E3"/>
                                                        <w:right w:val="single" w:sz="2" w:space="0" w:color="E3E3E3"/>
                                                      </w:divBdr>
                                                      <w:divsChild>
                                                        <w:div w:id="10885039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48222759">
          <w:marLeft w:val="0"/>
          <w:marRight w:val="0"/>
          <w:marTop w:val="0"/>
          <w:marBottom w:val="0"/>
          <w:divBdr>
            <w:top w:val="none" w:sz="0" w:space="0" w:color="auto"/>
            <w:left w:val="none" w:sz="0" w:space="0" w:color="auto"/>
            <w:bottom w:val="none" w:sz="0" w:space="0" w:color="auto"/>
            <w:right w:val="none" w:sz="0" w:space="0" w:color="auto"/>
          </w:divBdr>
          <w:divsChild>
            <w:div w:id="1287853533">
              <w:marLeft w:val="0"/>
              <w:marRight w:val="0"/>
              <w:marTop w:val="100"/>
              <w:marBottom w:val="100"/>
              <w:divBdr>
                <w:top w:val="single" w:sz="2" w:space="0" w:color="E3E3E3"/>
                <w:left w:val="single" w:sz="2" w:space="0" w:color="E3E3E3"/>
                <w:bottom w:val="single" w:sz="2" w:space="0" w:color="E3E3E3"/>
                <w:right w:val="single" w:sz="2" w:space="0" w:color="E3E3E3"/>
              </w:divBdr>
              <w:divsChild>
                <w:div w:id="10170746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895897185">
      <w:bodyDiv w:val="1"/>
      <w:marLeft w:val="0"/>
      <w:marRight w:val="0"/>
      <w:marTop w:val="0"/>
      <w:marBottom w:val="0"/>
      <w:divBdr>
        <w:top w:val="none" w:sz="0" w:space="0" w:color="auto"/>
        <w:left w:val="none" w:sz="0" w:space="0" w:color="auto"/>
        <w:bottom w:val="none" w:sz="0" w:space="0" w:color="auto"/>
        <w:right w:val="none" w:sz="0" w:space="0" w:color="auto"/>
      </w:divBdr>
      <w:divsChild>
        <w:div w:id="610479002">
          <w:marLeft w:val="0"/>
          <w:marRight w:val="0"/>
          <w:marTop w:val="0"/>
          <w:marBottom w:val="0"/>
          <w:divBdr>
            <w:top w:val="single" w:sz="2" w:space="0" w:color="E3E3E3"/>
            <w:left w:val="single" w:sz="2" w:space="0" w:color="E3E3E3"/>
            <w:bottom w:val="single" w:sz="2" w:space="0" w:color="E3E3E3"/>
            <w:right w:val="single" w:sz="2" w:space="0" w:color="E3E3E3"/>
          </w:divBdr>
          <w:divsChild>
            <w:div w:id="1966235589">
              <w:marLeft w:val="0"/>
              <w:marRight w:val="0"/>
              <w:marTop w:val="0"/>
              <w:marBottom w:val="0"/>
              <w:divBdr>
                <w:top w:val="single" w:sz="2" w:space="0" w:color="E3E3E3"/>
                <w:left w:val="single" w:sz="2" w:space="0" w:color="E3E3E3"/>
                <w:bottom w:val="single" w:sz="2" w:space="0" w:color="E3E3E3"/>
                <w:right w:val="single" w:sz="2" w:space="0" w:color="E3E3E3"/>
              </w:divBdr>
              <w:divsChild>
                <w:div w:id="21250559">
                  <w:marLeft w:val="0"/>
                  <w:marRight w:val="0"/>
                  <w:marTop w:val="0"/>
                  <w:marBottom w:val="0"/>
                  <w:divBdr>
                    <w:top w:val="single" w:sz="2" w:space="0" w:color="E3E3E3"/>
                    <w:left w:val="single" w:sz="2" w:space="0" w:color="E3E3E3"/>
                    <w:bottom w:val="single" w:sz="2" w:space="0" w:color="E3E3E3"/>
                    <w:right w:val="single" w:sz="2" w:space="0" w:color="E3E3E3"/>
                  </w:divBdr>
                  <w:divsChild>
                    <w:div w:id="1468861964">
                      <w:marLeft w:val="0"/>
                      <w:marRight w:val="0"/>
                      <w:marTop w:val="0"/>
                      <w:marBottom w:val="0"/>
                      <w:divBdr>
                        <w:top w:val="single" w:sz="2" w:space="0" w:color="E3E3E3"/>
                        <w:left w:val="single" w:sz="2" w:space="0" w:color="E3E3E3"/>
                        <w:bottom w:val="single" w:sz="2" w:space="0" w:color="E3E3E3"/>
                        <w:right w:val="single" w:sz="2" w:space="0" w:color="E3E3E3"/>
                      </w:divBdr>
                      <w:divsChild>
                        <w:div w:id="962661416">
                          <w:marLeft w:val="0"/>
                          <w:marRight w:val="0"/>
                          <w:marTop w:val="0"/>
                          <w:marBottom w:val="0"/>
                          <w:divBdr>
                            <w:top w:val="single" w:sz="2" w:space="0" w:color="E3E3E3"/>
                            <w:left w:val="single" w:sz="2" w:space="0" w:color="E3E3E3"/>
                            <w:bottom w:val="single" w:sz="2" w:space="0" w:color="E3E3E3"/>
                            <w:right w:val="single" w:sz="2" w:space="0" w:color="E3E3E3"/>
                          </w:divBdr>
                          <w:divsChild>
                            <w:div w:id="584144159">
                              <w:marLeft w:val="0"/>
                              <w:marRight w:val="0"/>
                              <w:marTop w:val="0"/>
                              <w:marBottom w:val="0"/>
                              <w:divBdr>
                                <w:top w:val="single" w:sz="2" w:space="0" w:color="E3E3E3"/>
                                <w:left w:val="single" w:sz="2" w:space="0" w:color="E3E3E3"/>
                                <w:bottom w:val="single" w:sz="2" w:space="0" w:color="E3E3E3"/>
                                <w:right w:val="single" w:sz="2" w:space="0" w:color="E3E3E3"/>
                              </w:divBdr>
                              <w:divsChild>
                                <w:div w:id="971523558">
                                  <w:marLeft w:val="0"/>
                                  <w:marRight w:val="0"/>
                                  <w:marTop w:val="100"/>
                                  <w:marBottom w:val="100"/>
                                  <w:divBdr>
                                    <w:top w:val="single" w:sz="2" w:space="0" w:color="E3E3E3"/>
                                    <w:left w:val="single" w:sz="2" w:space="0" w:color="E3E3E3"/>
                                    <w:bottom w:val="single" w:sz="2" w:space="0" w:color="E3E3E3"/>
                                    <w:right w:val="single" w:sz="2" w:space="0" w:color="E3E3E3"/>
                                  </w:divBdr>
                                  <w:divsChild>
                                    <w:div w:id="649016065">
                                      <w:marLeft w:val="0"/>
                                      <w:marRight w:val="0"/>
                                      <w:marTop w:val="0"/>
                                      <w:marBottom w:val="0"/>
                                      <w:divBdr>
                                        <w:top w:val="single" w:sz="2" w:space="0" w:color="E3E3E3"/>
                                        <w:left w:val="single" w:sz="2" w:space="0" w:color="E3E3E3"/>
                                        <w:bottom w:val="single" w:sz="2" w:space="0" w:color="E3E3E3"/>
                                        <w:right w:val="single" w:sz="2" w:space="0" w:color="E3E3E3"/>
                                      </w:divBdr>
                                      <w:divsChild>
                                        <w:div w:id="1257980373">
                                          <w:marLeft w:val="0"/>
                                          <w:marRight w:val="0"/>
                                          <w:marTop w:val="0"/>
                                          <w:marBottom w:val="0"/>
                                          <w:divBdr>
                                            <w:top w:val="single" w:sz="2" w:space="0" w:color="E3E3E3"/>
                                            <w:left w:val="single" w:sz="2" w:space="0" w:color="E3E3E3"/>
                                            <w:bottom w:val="single" w:sz="2" w:space="0" w:color="E3E3E3"/>
                                            <w:right w:val="single" w:sz="2" w:space="0" w:color="E3E3E3"/>
                                          </w:divBdr>
                                          <w:divsChild>
                                            <w:div w:id="198323412">
                                              <w:marLeft w:val="0"/>
                                              <w:marRight w:val="0"/>
                                              <w:marTop w:val="0"/>
                                              <w:marBottom w:val="0"/>
                                              <w:divBdr>
                                                <w:top w:val="single" w:sz="2" w:space="0" w:color="E3E3E3"/>
                                                <w:left w:val="single" w:sz="2" w:space="0" w:color="E3E3E3"/>
                                                <w:bottom w:val="single" w:sz="2" w:space="0" w:color="E3E3E3"/>
                                                <w:right w:val="single" w:sz="2" w:space="0" w:color="E3E3E3"/>
                                              </w:divBdr>
                                              <w:divsChild>
                                                <w:div w:id="1460419602">
                                                  <w:marLeft w:val="0"/>
                                                  <w:marRight w:val="0"/>
                                                  <w:marTop w:val="0"/>
                                                  <w:marBottom w:val="0"/>
                                                  <w:divBdr>
                                                    <w:top w:val="single" w:sz="2" w:space="0" w:color="E3E3E3"/>
                                                    <w:left w:val="single" w:sz="2" w:space="0" w:color="E3E3E3"/>
                                                    <w:bottom w:val="single" w:sz="2" w:space="0" w:color="E3E3E3"/>
                                                    <w:right w:val="single" w:sz="2" w:space="0" w:color="E3E3E3"/>
                                                  </w:divBdr>
                                                  <w:divsChild>
                                                    <w:div w:id="1169174573">
                                                      <w:marLeft w:val="0"/>
                                                      <w:marRight w:val="0"/>
                                                      <w:marTop w:val="0"/>
                                                      <w:marBottom w:val="0"/>
                                                      <w:divBdr>
                                                        <w:top w:val="single" w:sz="2" w:space="0" w:color="E3E3E3"/>
                                                        <w:left w:val="single" w:sz="2" w:space="0" w:color="E3E3E3"/>
                                                        <w:bottom w:val="single" w:sz="2" w:space="0" w:color="E3E3E3"/>
                                                        <w:right w:val="single" w:sz="2" w:space="0" w:color="E3E3E3"/>
                                                      </w:divBdr>
                                                      <w:divsChild>
                                                        <w:div w:id="16491675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89244132">
          <w:marLeft w:val="0"/>
          <w:marRight w:val="0"/>
          <w:marTop w:val="0"/>
          <w:marBottom w:val="0"/>
          <w:divBdr>
            <w:top w:val="none" w:sz="0" w:space="0" w:color="auto"/>
            <w:left w:val="none" w:sz="0" w:space="0" w:color="auto"/>
            <w:bottom w:val="none" w:sz="0" w:space="0" w:color="auto"/>
            <w:right w:val="none" w:sz="0" w:space="0" w:color="auto"/>
          </w:divBdr>
          <w:divsChild>
            <w:div w:id="622006615">
              <w:marLeft w:val="0"/>
              <w:marRight w:val="0"/>
              <w:marTop w:val="100"/>
              <w:marBottom w:val="100"/>
              <w:divBdr>
                <w:top w:val="single" w:sz="2" w:space="0" w:color="E3E3E3"/>
                <w:left w:val="single" w:sz="2" w:space="0" w:color="E3E3E3"/>
                <w:bottom w:val="single" w:sz="2" w:space="0" w:color="E3E3E3"/>
                <w:right w:val="single" w:sz="2" w:space="0" w:color="E3E3E3"/>
              </w:divBdr>
              <w:divsChild>
                <w:div w:id="12157000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095787705">
      <w:bodyDiv w:val="1"/>
      <w:marLeft w:val="0"/>
      <w:marRight w:val="0"/>
      <w:marTop w:val="0"/>
      <w:marBottom w:val="0"/>
      <w:divBdr>
        <w:top w:val="none" w:sz="0" w:space="0" w:color="auto"/>
        <w:left w:val="none" w:sz="0" w:space="0" w:color="auto"/>
        <w:bottom w:val="none" w:sz="0" w:space="0" w:color="auto"/>
        <w:right w:val="none" w:sz="0" w:space="0" w:color="auto"/>
      </w:divBdr>
    </w:div>
    <w:div w:id="1649556374">
      <w:bodyDiv w:val="1"/>
      <w:marLeft w:val="0"/>
      <w:marRight w:val="0"/>
      <w:marTop w:val="0"/>
      <w:marBottom w:val="0"/>
      <w:divBdr>
        <w:top w:val="none" w:sz="0" w:space="0" w:color="auto"/>
        <w:left w:val="none" w:sz="0" w:space="0" w:color="auto"/>
        <w:bottom w:val="none" w:sz="0" w:space="0" w:color="auto"/>
        <w:right w:val="none" w:sz="0" w:space="0" w:color="auto"/>
      </w:divBdr>
    </w:div>
    <w:div w:id="1975721192">
      <w:bodyDiv w:val="1"/>
      <w:marLeft w:val="0"/>
      <w:marRight w:val="0"/>
      <w:marTop w:val="0"/>
      <w:marBottom w:val="0"/>
      <w:divBdr>
        <w:top w:val="none" w:sz="0" w:space="0" w:color="auto"/>
        <w:left w:val="none" w:sz="0" w:space="0" w:color="auto"/>
        <w:bottom w:val="none" w:sz="0" w:space="0" w:color="auto"/>
        <w:right w:val="none" w:sz="0" w:space="0" w:color="auto"/>
      </w:divBdr>
    </w:div>
    <w:div w:id="2125883710">
      <w:bodyDiv w:val="1"/>
      <w:marLeft w:val="0"/>
      <w:marRight w:val="0"/>
      <w:marTop w:val="0"/>
      <w:marBottom w:val="0"/>
      <w:divBdr>
        <w:top w:val="none" w:sz="0" w:space="0" w:color="auto"/>
        <w:left w:val="none" w:sz="0" w:space="0" w:color="auto"/>
        <w:bottom w:val="none" w:sz="0" w:space="0" w:color="auto"/>
        <w:right w:val="none" w:sz="0" w:space="0" w:color="auto"/>
      </w:divBdr>
      <w:divsChild>
        <w:div w:id="956637937">
          <w:marLeft w:val="0"/>
          <w:marRight w:val="0"/>
          <w:marTop w:val="0"/>
          <w:marBottom w:val="0"/>
          <w:divBdr>
            <w:top w:val="none" w:sz="0" w:space="0" w:color="auto"/>
            <w:left w:val="none" w:sz="0" w:space="0" w:color="auto"/>
            <w:bottom w:val="none" w:sz="0" w:space="0" w:color="auto"/>
            <w:right w:val="none" w:sz="0" w:space="0" w:color="auto"/>
          </w:divBdr>
          <w:divsChild>
            <w:div w:id="61611645">
              <w:marLeft w:val="0"/>
              <w:marRight w:val="0"/>
              <w:marTop w:val="0"/>
              <w:marBottom w:val="0"/>
              <w:divBdr>
                <w:top w:val="none" w:sz="0" w:space="0" w:color="auto"/>
                <w:left w:val="none" w:sz="0" w:space="0" w:color="auto"/>
                <w:bottom w:val="none" w:sz="0" w:space="0" w:color="auto"/>
                <w:right w:val="none" w:sz="0" w:space="0" w:color="auto"/>
              </w:divBdr>
              <w:divsChild>
                <w:div w:id="118948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ric.ed.gov/?id=ED496343" TargetMode="External"/><Relationship Id="rId13" Type="http://schemas.openxmlformats.org/officeDocument/2006/relationships/hyperlink" Target="https://www.estyn.gov.wales/blog/new-approach-self-evaluation-reports-what-does-it-mean-schools"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era.ioe.ac.uk/id/eprint/5119/13/media-84d-76-school-leadership-concepts-and-evidence-summary_Redacted.pdf" TargetMode="External"/><Relationship Id="rId12" Type="http://schemas.openxmlformats.org/officeDocument/2006/relationships/hyperlink" Target="https://educationendowmentfoundation.org.uk/" TargetMode="External"/><Relationship Id="rId17" Type="http://schemas.openxmlformats.org/officeDocument/2006/relationships/hyperlink" Target="https://www.gov.wales/sites/default/files/publications/2018-03/school-development-plans.pdf" TargetMode="External"/><Relationship Id="rId2" Type="http://schemas.openxmlformats.org/officeDocument/2006/relationships/settings" Target="settings.xml"/><Relationship Id="rId16" Type="http://schemas.openxmlformats.org/officeDocument/2006/relationships/hyperlink" Target="https://www.researchgate.net/publication/222676023_Comparison_between_Eysenck_Gray's_models_of_personality_in_the_prediction_of_motivational_work_criteria" TargetMode="External"/><Relationship Id="rId1" Type="http://schemas.openxmlformats.org/officeDocument/2006/relationships/styles" Target="styles.xml"/><Relationship Id="rId6" Type="http://schemas.openxmlformats.org/officeDocument/2006/relationships/hyperlink" Target="https://www.bera.ac.uk/publication/ethical-guidelines-for-educational-research-2018" TargetMode="External"/><Relationship Id="rId11" Type="http://schemas.openxmlformats.org/officeDocument/2006/relationships/hyperlink" Target="https://www.gov.uk/government/publications/understanding-your-data-a-guide-for-school-governors-and-academy-trustees/understanding-your-data-a-guide-for-school-governors-and-academy-trustees" TargetMode="External"/><Relationship Id="rId5" Type="http://schemas.openxmlformats.org/officeDocument/2006/relationships/hyperlink" Target="https://files.eric.ed.gov/fulltext/ED432035.pdf" TargetMode="External"/><Relationship Id="rId15" Type="http://schemas.openxmlformats.org/officeDocument/2006/relationships/hyperlink" Target="https://www.scirp.org/reference/referencespapers?referenceid=1802900" TargetMode="External"/><Relationship Id="rId10" Type="http://schemas.openxmlformats.org/officeDocument/2006/relationships/hyperlink" Target="https://assets.publishing.service.gov.uk/media/5fa3c4ead3bf7f03a6550df2/DfE_consolidated_annual_report_and_accounts_2019_to_2020__web_version_.pdf" TargetMode="External"/><Relationship Id="rId19" Type="http://schemas.openxmlformats.org/officeDocument/2006/relationships/theme" Target="theme/theme1.xml"/><Relationship Id="rId4" Type="http://schemas.openxmlformats.org/officeDocument/2006/relationships/hyperlink" Target="https://www.uwtsd.ac.uk/media/uwtsd-website/content-assets/documents/library-and-learning-resources/Harvard-en_v.1.3-(V6).pdf" TargetMode="External"/><Relationship Id="rId9" Type="http://schemas.openxmlformats.org/officeDocument/2006/relationships/hyperlink" Target="https://psycnet.apa.org/record/1999-15074-002" TargetMode="External"/><Relationship Id="rId14" Type="http://schemas.openxmlformats.org/officeDocument/2006/relationships/hyperlink" Target="https://michaelfullan.ca/wp-content/uploads/2016/06/1343845697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4076</Words>
  <Characters>23234</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lily-may newton</dc:creator>
  <cp:keywords/>
  <dc:description/>
  <cp:lastModifiedBy>lily-may newton</cp:lastModifiedBy>
  <cp:revision>2</cp:revision>
  <dcterms:created xsi:type="dcterms:W3CDTF">2024-05-06T17:30:00Z</dcterms:created>
  <dcterms:modified xsi:type="dcterms:W3CDTF">2024-05-06T17:30:00Z</dcterms:modified>
</cp:coreProperties>
</file>