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3C156" w14:textId="52C6E954" w:rsidR="00333070" w:rsidRPr="00EE336A" w:rsidRDefault="00333070" w:rsidP="00EE336A">
      <w:pPr>
        <w:jc w:val="center"/>
        <w:rPr>
          <w:rFonts w:ascii="Arial" w:hAnsi="Arial" w:cs="Arial"/>
          <w:sz w:val="144"/>
          <w:szCs w:val="144"/>
        </w:rPr>
      </w:pPr>
    </w:p>
    <w:p w14:paraId="33F2222B" w14:textId="072FC471" w:rsidR="00EE336A" w:rsidRPr="00EE336A" w:rsidRDefault="00EE336A" w:rsidP="00EE336A">
      <w:pPr>
        <w:jc w:val="center"/>
        <w:rPr>
          <w:rFonts w:ascii="Arial" w:hAnsi="Arial" w:cs="Arial"/>
          <w:sz w:val="112"/>
          <w:szCs w:val="112"/>
        </w:rPr>
      </w:pPr>
      <w:r w:rsidRPr="00EE336A">
        <w:rPr>
          <w:rFonts w:ascii="Arial" w:hAnsi="Arial" w:cs="Arial"/>
          <w:sz w:val="112"/>
          <w:szCs w:val="112"/>
        </w:rPr>
        <w:t>Property law</w:t>
      </w:r>
    </w:p>
    <w:p w14:paraId="4E8FE1FD" w14:textId="77777777" w:rsidR="00EE336A" w:rsidRPr="00EE336A" w:rsidRDefault="00EE336A" w:rsidP="00EE336A">
      <w:pPr>
        <w:jc w:val="center"/>
        <w:rPr>
          <w:rFonts w:ascii="Arial" w:hAnsi="Arial" w:cs="Arial"/>
          <w:sz w:val="112"/>
          <w:szCs w:val="112"/>
        </w:rPr>
      </w:pPr>
    </w:p>
    <w:p w14:paraId="588ACD58" w14:textId="00DD96EF" w:rsidR="00EE336A" w:rsidRPr="00EE336A" w:rsidRDefault="00EE336A" w:rsidP="00EE336A">
      <w:pPr>
        <w:jc w:val="center"/>
        <w:rPr>
          <w:rFonts w:ascii="Arial" w:hAnsi="Arial" w:cs="Arial"/>
          <w:sz w:val="112"/>
          <w:szCs w:val="112"/>
        </w:rPr>
      </w:pPr>
      <w:r w:rsidRPr="00EE336A">
        <w:rPr>
          <w:rFonts w:ascii="Arial" w:hAnsi="Arial" w:cs="Arial"/>
          <w:sz w:val="112"/>
          <w:szCs w:val="112"/>
        </w:rPr>
        <w:t>Scenario question</w:t>
      </w:r>
    </w:p>
    <w:p w14:paraId="4FF3F124" w14:textId="77777777" w:rsidR="00EE336A" w:rsidRPr="00EE336A" w:rsidRDefault="00EE336A" w:rsidP="00EE336A">
      <w:pPr>
        <w:jc w:val="center"/>
        <w:rPr>
          <w:rFonts w:ascii="Arial" w:hAnsi="Arial" w:cs="Arial"/>
          <w:sz w:val="112"/>
          <w:szCs w:val="112"/>
        </w:rPr>
      </w:pPr>
    </w:p>
    <w:p w14:paraId="7CDE52DF" w14:textId="17A87CE3" w:rsidR="00EE336A" w:rsidRDefault="00EE336A" w:rsidP="00EE336A">
      <w:pPr>
        <w:jc w:val="center"/>
        <w:rPr>
          <w:rFonts w:ascii="Arial" w:hAnsi="Arial" w:cs="Arial"/>
          <w:sz w:val="112"/>
          <w:szCs w:val="112"/>
        </w:rPr>
      </w:pPr>
      <w:r w:rsidRPr="00EE336A">
        <w:rPr>
          <w:rFonts w:ascii="Arial" w:hAnsi="Arial" w:cs="Arial"/>
          <w:sz w:val="112"/>
          <w:szCs w:val="112"/>
        </w:rPr>
        <w:t>Chloe Reynolds</w:t>
      </w:r>
    </w:p>
    <w:p w14:paraId="35CBCC55" w14:textId="666AB7BC" w:rsidR="00EE336A" w:rsidRDefault="00EE336A" w:rsidP="00EE336A">
      <w:pPr>
        <w:jc w:val="center"/>
        <w:rPr>
          <w:rFonts w:ascii="Arial" w:hAnsi="Arial" w:cs="Arial"/>
          <w:sz w:val="112"/>
          <w:szCs w:val="112"/>
        </w:rPr>
      </w:pPr>
    </w:p>
    <w:p w14:paraId="2717A5DA" w14:textId="51426E04" w:rsidR="00EE336A" w:rsidRDefault="00EE336A" w:rsidP="00EE336A">
      <w:pPr>
        <w:jc w:val="center"/>
        <w:rPr>
          <w:rFonts w:ascii="Arial" w:hAnsi="Arial" w:cs="Arial"/>
          <w:sz w:val="112"/>
          <w:szCs w:val="112"/>
        </w:rPr>
      </w:pPr>
    </w:p>
    <w:p w14:paraId="2D360C3B" w14:textId="345CB253" w:rsidR="00EE336A" w:rsidRDefault="00EE336A" w:rsidP="00EE336A">
      <w:pPr>
        <w:rPr>
          <w:rFonts w:ascii="Arial" w:hAnsi="Arial" w:cs="Arial"/>
          <w:sz w:val="24"/>
          <w:szCs w:val="24"/>
        </w:rPr>
      </w:pPr>
    </w:p>
    <w:p w14:paraId="6331F783" w14:textId="0EF142DF" w:rsidR="00EE336A" w:rsidRDefault="00EE336A" w:rsidP="00EE336A">
      <w:pPr>
        <w:rPr>
          <w:rFonts w:ascii="Arial" w:hAnsi="Arial" w:cs="Arial"/>
          <w:sz w:val="24"/>
          <w:szCs w:val="24"/>
        </w:rPr>
      </w:pPr>
    </w:p>
    <w:p w14:paraId="754B4540" w14:textId="77FD7D26" w:rsidR="001A0346" w:rsidRDefault="00EE336A" w:rsidP="00EE336A">
      <w:pPr>
        <w:rPr>
          <w:rFonts w:ascii="Arial" w:hAnsi="Arial" w:cs="Arial"/>
          <w:sz w:val="24"/>
          <w:szCs w:val="24"/>
        </w:rPr>
      </w:pPr>
      <w:r>
        <w:rPr>
          <w:rFonts w:ascii="Arial" w:hAnsi="Arial" w:cs="Arial"/>
          <w:sz w:val="24"/>
          <w:szCs w:val="24"/>
        </w:rPr>
        <w:lastRenderedPageBreak/>
        <w:t xml:space="preserve">This </w:t>
      </w:r>
      <w:r w:rsidR="002B2137">
        <w:rPr>
          <w:rFonts w:ascii="Arial" w:hAnsi="Arial" w:cs="Arial"/>
          <w:sz w:val="24"/>
          <w:szCs w:val="24"/>
        </w:rPr>
        <w:t>scenario</w:t>
      </w:r>
      <w:r>
        <w:rPr>
          <w:rFonts w:ascii="Arial" w:hAnsi="Arial" w:cs="Arial"/>
          <w:sz w:val="24"/>
          <w:szCs w:val="24"/>
        </w:rPr>
        <w:t xml:space="preserve"> is based on the concept of fixtures and fitting when buying a property. </w:t>
      </w:r>
    </w:p>
    <w:p w14:paraId="64F14186" w14:textId="2D8EC991" w:rsidR="00FE0579" w:rsidRDefault="00380373" w:rsidP="00FE0579">
      <w:pPr>
        <w:spacing w:before="72"/>
        <w:rPr>
          <w:rFonts w:ascii="Arial" w:hAnsi="Arial" w:cs="Arial"/>
          <w:sz w:val="24"/>
          <w:szCs w:val="24"/>
        </w:rPr>
      </w:pPr>
      <w:r>
        <w:rPr>
          <w:rFonts w:ascii="Arial" w:hAnsi="Arial" w:cs="Arial"/>
          <w:sz w:val="24"/>
          <w:szCs w:val="24"/>
        </w:rPr>
        <w:t>A fixture is something that cannot be moved around freely. It is usually bolted down which makes it apart of the land. Fittings commonly referred to as chattels is anything that can be moved</w:t>
      </w:r>
      <w:r w:rsidR="009B7212">
        <w:rPr>
          <w:rFonts w:ascii="Arial" w:hAnsi="Arial" w:cs="Arial"/>
          <w:sz w:val="24"/>
          <w:szCs w:val="24"/>
        </w:rPr>
        <w:t xml:space="preserve">. </w:t>
      </w:r>
      <w:r w:rsidR="00FE0579">
        <w:rPr>
          <w:rFonts w:ascii="Arial" w:hAnsi="Arial" w:cs="Arial"/>
          <w:sz w:val="24"/>
          <w:szCs w:val="24"/>
        </w:rPr>
        <w:t>The</w:t>
      </w:r>
      <w:r w:rsidR="00FE0579">
        <w:rPr>
          <w:rFonts w:ascii="Arial" w:hAnsi="Arial" w:cs="Arial"/>
          <w:sz w:val="24"/>
          <w:szCs w:val="24"/>
        </w:rPr>
        <w:t>re are tests</w:t>
      </w:r>
      <w:r w:rsidR="00FE0579">
        <w:rPr>
          <w:rFonts w:ascii="Arial" w:hAnsi="Arial" w:cs="Arial"/>
          <w:sz w:val="24"/>
          <w:szCs w:val="24"/>
        </w:rPr>
        <w:t xml:space="preserve"> that were adopted by the courts in order to establish whether an object is a fixture or fitting otherwise known as chattel.</w:t>
      </w:r>
      <w:r w:rsidR="00F9410F">
        <w:rPr>
          <w:rFonts w:ascii="Arial" w:hAnsi="Arial" w:cs="Arial"/>
          <w:sz w:val="24"/>
          <w:szCs w:val="24"/>
        </w:rPr>
        <w:t xml:space="preserve"> This is supported by section 62 of the Law of Property Act 1925 (UK Government,2021)</w:t>
      </w:r>
    </w:p>
    <w:p w14:paraId="429962A5" w14:textId="002F4905" w:rsidR="00EE336A" w:rsidRDefault="009B7212" w:rsidP="00EE336A">
      <w:pPr>
        <w:rPr>
          <w:rFonts w:ascii="Arial" w:hAnsi="Arial" w:cs="Arial"/>
          <w:sz w:val="24"/>
          <w:szCs w:val="24"/>
        </w:rPr>
      </w:pPr>
      <w:r>
        <w:rPr>
          <w:rFonts w:ascii="Arial" w:hAnsi="Arial" w:cs="Arial"/>
          <w:sz w:val="24"/>
          <w:szCs w:val="24"/>
        </w:rPr>
        <w:t>The tests consist of whether the object can be moved and what damage this would cause if it was to be moved</w:t>
      </w:r>
      <w:r w:rsidR="002227F2">
        <w:rPr>
          <w:rFonts w:ascii="Arial" w:hAnsi="Arial" w:cs="Arial"/>
          <w:sz w:val="24"/>
          <w:szCs w:val="24"/>
        </w:rPr>
        <w:t xml:space="preserve"> </w:t>
      </w:r>
      <w:r>
        <w:rPr>
          <w:rFonts w:ascii="Arial" w:hAnsi="Arial" w:cs="Arial"/>
          <w:sz w:val="24"/>
          <w:szCs w:val="24"/>
        </w:rPr>
        <w:t>(</w:t>
      </w:r>
      <w:r w:rsidR="001B49F0">
        <w:rPr>
          <w:rFonts w:ascii="Arial" w:hAnsi="Arial" w:cs="Arial"/>
          <w:sz w:val="24"/>
          <w:szCs w:val="24"/>
        </w:rPr>
        <w:t>HM Revenue &amp; Customs,2021</w:t>
      </w:r>
      <w:r>
        <w:rPr>
          <w:rFonts w:ascii="Arial" w:hAnsi="Arial" w:cs="Arial"/>
          <w:sz w:val="24"/>
          <w:szCs w:val="24"/>
        </w:rPr>
        <w:t>)</w:t>
      </w:r>
      <w:r w:rsidR="000B1A66">
        <w:rPr>
          <w:rFonts w:ascii="Arial" w:hAnsi="Arial" w:cs="Arial"/>
          <w:sz w:val="24"/>
          <w:szCs w:val="24"/>
        </w:rPr>
        <w:t xml:space="preserve"> </w:t>
      </w:r>
      <w:r>
        <w:rPr>
          <w:rFonts w:ascii="Arial" w:hAnsi="Arial" w:cs="Arial"/>
          <w:sz w:val="24"/>
          <w:szCs w:val="24"/>
        </w:rPr>
        <w:t>The test is spilt into two</w:t>
      </w:r>
      <w:r w:rsidR="00FE0579">
        <w:rPr>
          <w:rFonts w:ascii="Arial" w:hAnsi="Arial" w:cs="Arial"/>
          <w:sz w:val="24"/>
          <w:szCs w:val="24"/>
        </w:rPr>
        <w:t xml:space="preserve"> factors. They are spilt in order </w:t>
      </w:r>
      <w:r>
        <w:rPr>
          <w:rFonts w:ascii="Arial" w:hAnsi="Arial" w:cs="Arial"/>
          <w:sz w:val="24"/>
          <w:szCs w:val="24"/>
        </w:rPr>
        <w:t xml:space="preserve">to determine if it’s a fixture or a fitting. The degree of annexation is one stage of the test, that considers how firmly affixed is the object to the land. The second stage being the </w:t>
      </w:r>
      <w:r w:rsidR="00FE1888">
        <w:rPr>
          <w:rFonts w:ascii="Arial" w:hAnsi="Arial" w:cs="Arial"/>
          <w:sz w:val="24"/>
          <w:szCs w:val="24"/>
        </w:rPr>
        <w:t>purpose</w:t>
      </w:r>
      <w:r>
        <w:rPr>
          <w:rFonts w:ascii="Arial" w:hAnsi="Arial" w:cs="Arial"/>
          <w:sz w:val="24"/>
          <w:szCs w:val="24"/>
        </w:rPr>
        <w:t xml:space="preserve"> of the annexation that take into consideration the reason why the object has been attached to the land</w:t>
      </w:r>
      <w:r w:rsidR="005D3CBD">
        <w:rPr>
          <w:rFonts w:ascii="Arial" w:hAnsi="Arial" w:cs="Arial"/>
          <w:sz w:val="24"/>
          <w:szCs w:val="24"/>
        </w:rPr>
        <w:t>. This stage takes priority over the degree of annexation. If the tests are overlapping the outcome depends on om the circumstance. This can be demonstrated in case law of Elitestone Ltd v Morris1977</w:t>
      </w:r>
      <w:r w:rsidR="00FE1888">
        <w:rPr>
          <w:rFonts w:ascii="Arial" w:hAnsi="Arial" w:cs="Arial"/>
          <w:sz w:val="24"/>
          <w:szCs w:val="24"/>
        </w:rPr>
        <w:t xml:space="preserve"> (</w:t>
      </w:r>
      <w:r w:rsidR="00334BA5">
        <w:rPr>
          <w:rFonts w:ascii="Arial" w:hAnsi="Arial" w:cs="Arial"/>
          <w:sz w:val="24"/>
          <w:szCs w:val="24"/>
        </w:rPr>
        <w:t>House of Lords,2021</w:t>
      </w:r>
      <w:r w:rsidR="00FE1888">
        <w:rPr>
          <w:rFonts w:ascii="Arial" w:hAnsi="Arial" w:cs="Arial"/>
          <w:sz w:val="24"/>
          <w:szCs w:val="24"/>
        </w:rPr>
        <w:t>)</w:t>
      </w:r>
      <w:r w:rsidR="00FE0579">
        <w:rPr>
          <w:rFonts w:ascii="Arial" w:hAnsi="Arial" w:cs="Arial"/>
          <w:sz w:val="24"/>
          <w:szCs w:val="24"/>
        </w:rPr>
        <w:t xml:space="preserve"> whether there was </w:t>
      </w:r>
      <w:r w:rsidR="00A44297">
        <w:rPr>
          <w:rFonts w:ascii="Arial" w:hAnsi="Arial" w:cs="Arial"/>
          <w:sz w:val="24"/>
          <w:szCs w:val="24"/>
        </w:rPr>
        <w:t>an</w:t>
      </w:r>
      <w:r w:rsidR="00FE0579">
        <w:rPr>
          <w:rFonts w:ascii="Arial" w:hAnsi="Arial" w:cs="Arial"/>
          <w:sz w:val="24"/>
          <w:szCs w:val="24"/>
        </w:rPr>
        <w:t xml:space="preserve"> argument of whether a bungalow was classed a </w:t>
      </w:r>
      <w:r w:rsidR="00F9410F">
        <w:rPr>
          <w:rFonts w:ascii="Arial" w:hAnsi="Arial" w:cs="Arial"/>
          <w:sz w:val="24"/>
          <w:szCs w:val="24"/>
        </w:rPr>
        <w:t>chattel</w:t>
      </w:r>
      <w:r w:rsidR="00FE0579">
        <w:rPr>
          <w:rFonts w:ascii="Arial" w:hAnsi="Arial" w:cs="Arial"/>
          <w:sz w:val="24"/>
          <w:szCs w:val="24"/>
        </w:rPr>
        <w:t xml:space="preserve"> or a fixture. This occurred because the bungalow was </w:t>
      </w:r>
      <w:r w:rsidR="00F9410F">
        <w:rPr>
          <w:rFonts w:ascii="Arial" w:hAnsi="Arial" w:cs="Arial"/>
          <w:sz w:val="24"/>
          <w:szCs w:val="24"/>
        </w:rPr>
        <w:t>resting</w:t>
      </w:r>
      <w:r w:rsidR="00FE0579">
        <w:rPr>
          <w:rFonts w:ascii="Arial" w:hAnsi="Arial" w:cs="Arial"/>
          <w:sz w:val="24"/>
          <w:szCs w:val="24"/>
        </w:rPr>
        <w:t xml:space="preserve"> on </w:t>
      </w:r>
      <w:r w:rsidR="00F9410F">
        <w:rPr>
          <w:rFonts w:ascii="Arial" w:hAnsi="Arial" w:cs="Arial"/>
          <w:sz w:val="24"/>
          <w:szCs w:val="24"/>
        </w:rPr>
        <w:t>concrete</w:t>
      </w:r>
      <w:r w:rsidR="00FE0579">
        <w:rPr>
          <w:rFonts w:ascii="Arial" w:hAnsi="Arial" w:cs="Arial"/>
          <w:sz w:val="24"/>
          <w:szCs w:val="24"/>
        </w:rPr>
        <w:t xml:space="preserve"> blocks and not attach directly to the land.</w:t>
      </w:r>
    </w:p>
    <w:p w14:paraId="0447EDA6" w14:textId="4F282100" w:rsidR="00BE2468" w:rsidRPr="0060668E" w:rsidRDefault="00BE2468" w:rsidP="0060668E">
      <w:pPr>
        <w:spacing w:before="72"/>
        <w:rPr>
          <w:rFonts w:asciiTheme="minorBidi" w:hAnsiTheme="minorBidi"/>
          <w:bCs/>
          <w:sz w:val="24"/>
          <w:szCs w:val="24"/>
          <w:lang w:eastAsia="zh-CN"/>
        </w:rPr>
      </w:pPr>
      <w:r>
        <w:rPr>
          <w:rFonts w:ascii="Arial" w:hAnsi="Arial" w:cs="Arial"/>
          <w:sz w:val="24"/>
          <w:szCs w:val="24"/>
        </w:rPr>
        <w:t xml:space="preserve">Selina will be </w:t>
      </w:r>
      <w:r w:rsidR="002227F2">
        <w:rPr>
          <w:rFonts w:ascii="Arial" w:hAnsi="Arial" w:cs="Arial"/>
          <w:sz w:val="24"/>
          <w:szCs w:val="24"/>
        </w:rPr>
        <w:t>entitled to the statue of Venus in the garden. This is because the statue is cemented by its base to the ground</w:t>
      </w:r>
      <w:r w:rsidR="004C60DA">
        <w:rPr>
          <w:rFonts w:ascii="Arial" w:hAnsi="Arial" w:cs="Arial"/>
          <w:sz w:val="24"/>
          <w:szCs w:val="24"/>
        </w:rPr>
        <w:t xml:space="preserve">. This means that if the statue was to be removed, it </w:t>
      </w:r>
      <w:r w:rsidR="008276C2">
        <w:rPr>
          <w:rFonts w:ascii="Arial" w:hAnsi="Arial" w:cs="Arial"/>
          <w:sz w:val="24"/>
          <w:szCs w:val="24"/>
        </w:rPr>
        <w:t xml:space="preserve">would cause a significant damage to the ground around it as it has been cemented to the ground. The statue is also not easily moved as the statue is heavy, therefore it is not easily </w:t>
      </w:r>
      <w:r w:rsidR="00E833D2">
        <w:rPr>
          <w:rFonts w:ascii="Arial" w:hAnsi="Arial" w:cs="Arial"/>
          <w:sz w:val="24"/>
          <w:szCs w:val="24"/>
        </w:rPr>
        <w:t>moved (</w:t>
      </w:r>
      <w:r w:rsidR="00F65052">
        <w:rPr>
          <w:rFonts w:ascii="Arial" w:hAnsi="Arial" w:cs="Arial"/>
          <w:sz w:val="24"/>
          <w:szCs w:val="24"/>
        </w:rPr>
        <w:t>CJ hole ,2021</w:t>
      </w:r>
      <w:r w:rsidR="00B93A41">
        <w:rPr>
          <w:rFonts w:ascii="Arial" w:hAnsi="Arial" w:cs="Arial"/>
          <w:sz w:val="24"/>
          <w:szCs w:val="24"/>
        </w:rPr>
        <w:t>)</w:t>
      </w:r>
      <w:r w:rsidR="009B70BB">
        <w:rPr>
          <w:rFonts w:ascii="Arial" w:hAnsi="Arial" w:cs="Arial"/>
          <w:sz w:val="24"/>
          <w:szCs w:val="24"/>
        </w:rPr>
        <w:t xml:space="preserve">. This can be demonstrated in the </w:t>
      </w:r>
      <w:r w:rsidR="009B70BB" w:rsidRPr="009B70BB">
        <w:rPr>
          <w:rFonts w:ascii="Arial" w:eastAsiaTheme="minorEastAsia" w:hAnsi="Arial" w:cs="Arial"/>
          <w:bCs/>
          <w:kern w:val="24"/>
          <w:sz w:val="24"/>
          <w:szCs w:val="24"/>
        </w:rPr>
        <w:t>D’Eyncourt v Gregory [1866] LR 3 Eq 38</w:t>
      </w:r>
      <w:r w:rsidR="0060668E">
        <w:rPr>
          <w:rFonts w:ascii="Arial" w:eastAsiaTheme="minorEastAsia" w:hAnsi="Arial" w:cs="Arial"/>
          <w:bCs/>
          <w:kern w:val="24"/>
          <w:sz w:val="24"/>
          <w:szCs w:val="24"/>
        </w:rPr>
        <w:t xml:space="preserve">2 where the court held that a statue of lion, garden seats and vases were fixtures as they formed part of the overall design (The National Archives, 2021). Although, </w:t>
      </w:r>
      <w:r w:rsidR="0060668E">
        <w:rPr>
          <w:rFonts w:ascii="Arial" w:hAnsi="Arial" w:cs="Arial"/>
          <w:sz w:val="24"/>
          <w:szCs w:val="24"/>
        </w:rPr>
        <w:t>it</w:t>
      </w:r>
      <w:r w:rsidR="009B70BB">
        <w:rPr>
          <w:rFonts w:ascii="Arial" w:hAnsi="Arial" w:cs="Arial"/>
          <w:sz w:val="24"/>
          <w:szCs w:val="24"/>
        </w:rPr>
        <w:t xml:space="preserve"> c</w:t>
      </w:r>
      <w:r w:rsidR="00905998">
        <w:rPr>
          <w:rFonts w:ascii="Arial" w:hAnsi="Arial" w:cs="Arial"/>
          <w:sz w:val="24"/>
          <w:szCs w:val="24"/>
        </w:rPr>
        <w:t xml:space="preserve">an </w:t>
      </w:r>
      <w:r w:rsidR="0060668E">
        <w:rPr>
          <w:rFonts w:ascii="Arial" w:hAnsi="Arial" w:cs="Arial"/>
          <w:sz w:val="24"/>
          <w:szCs w:val="24"/>
        </w:rPr>
        <w:t xml:space="preserve">still </w:t>
      </w:r>
      <w:r w:rsidR="00905998">
        <w:rPr>
          <w:rFonts w:ascii="Arial" w:hAnsi="Arial" w:cs="Arial"/>
          <w:sz w:val="24"/>
          <w:szCs w:val="24"/>
        </w:rPr>
        <w:t xml:space="preserve">be argued that Amy and Bob brought this statue for enjoyment and holds sentimental value as </w:t>
      </w:r>
      <w:r w:rsidR="00D47882">
        <w:rPr>
          <w:rFonts w:ascii="Arial" w:hAnsi="Arial" w:cs="Arial"/>
          <w:sz w:val="24"/>
          <w:szCs w:val="24"/>
        </w:rPr>
        <w:t>they</w:t>
      </w:r>
      <w:r w:rsidR="00905998">
        <w:rPr>
          <w:rFonts w:ascii="Arial" w:hAnsi="Arial" w:cs="Arial"/>
          <w:sz w:val="24"/>
          <w:szCs w:val="24"/>
        </w:rPr>
        <w:t xml:space="preserve"> bought it as keep sake om order to remember their holiday. </w:t>
      </w:r>
    </w:p>
    <w:p w14:paraId="2429BCF5" w14:textId="3EF385CE" w:rsidR="00905998" w:rsidRDefault="00A062CB" w:rsidP="00EE336A">
      <w:pPr>
        <w:rPr>
          <w:rFonts w:ascii="Arial" w:hAnsi="Arial" w:cs="Arial"/>
          <w:sz w:val="24"/>
          <w:szCs w:val="24"/>
        </w:rPr>
      </w:pPr>
      <w:r>
        <w:rPr>
          <w:rFonts w:ascii="Arial" w:hAnsi="Arial" w:cs="Arial"/>
          <w:sz w:val="24"/>
          <w:szCs w:val="24"/>
        </w:rPr>
        <w:t>Selina would also like to confirm that Amy and Bob are not permitted to remove</w:t>
      </w:r>
      <w:r w:rsidR="001A0E53">
        <w:rPr>
          <w:rFonts w:ascii="Arial" w:hAnsi="Arial" w:cs="Arial"/>
          <w:sz w:val="24"/>
          <w:szCs w:val="24"/>
        </w:rPr>
        <w:t xml:space="preserve"> one of</w:t>
      </w:r>
      <w:r>
        <w:rPr>
          <w:rFonts w:ascii="Arial" w:hAnsi="Arial" w:cs="Arial"/>
          <w:sz w:val="24"/>
          <w:szCs w:val="24"/>
        </w:rPr>
        <w:t xml:space="preserve"> the t</w:t>
      </w:r>
      <w:r w:rsidR="003E5323">
        <w:rPr>
          <w:rFonts w:ascii="Arial" w:hAnsi="Arial" w:cs="Arial"/>
          <w:sz w:val="24"/>
          <w:szCs w:val="24"/>
        </w:rPr>
        <w:t>erracotta</w:t>
      </w:r>
      <w:r w:rsidR="00EE336A">
        <w:rPr>
          <w:rFonts w:ascii="Arial" w:hAnsi="Arial" w:cs="Arial"/>
          <w:sz w:val="24"/>
          <w:szCs w:val="24"/>
        </w:rPr>
        <w:t xml:space="preserve"> pots</w:t>
      </w:r>
      <w:r>
        <w:rPr>
          <w:rFonts w:ascii="Arial" w:hAnsi="Arial" w:cs="Arial"/>
          <w:sz w:val="24"/>
          <w:szCs w:val="24"/>
        </w:rPr>
        <w:t xml:space="preserve">. There is a series of these terracotta pot in the garden but one of these pots is </w:t>
      </w:r>
      <w:r w:rsidR="00D47882">
        <w:rPr>
          <w:rFonts w:ascii="Arial" w:hAnsi="Arial" w:cs="Arial"/>
          <w:sz w:val="24"/>
          <w:szCs w:val="24"/>
        </w:rPr>
        <w:t>overrun</w:t>
      </w:r>
      <w:r>
        <w:rPr>
          <w:rFonts w:ascii="Arial" w:hAnsi="Arial" w:cs="Arial"/>
          <w:sz w:val="24"/>
          <w:szCs w:val="24"/>
        </w:rPr>
        <w:t xml:space="preserve"> with ivy that has submerged it from the ground. This means that this pot will be extremely difficult to remove. This is because ivy forming from the ground can take weeks to remove. It is extremely difficult to get rid of ivy and in order to remove the terracotta pot, it would have to be dug out. (</w:t>
      </w:r>
      <w:r w:rsidR="001A0E53">
        <w:rPr>
          <w:rFonts w:ascii="Arial" w:hAnsi="Arial" w:cs="Arial"/>
          <w:sz w:val="24"/>
          <w:szCs w:val="24"/>
        </w:rPr>
        <w:t>Flowerpot Man,2021</w:t>
      </w:r>
      <w:r>
        <w:rPr>
          <w:rFonts w:ascii="Arial" w:hAnsi="Arial" w:cs="Arial"/>
          <w:sz w:val="24"/>
          <w:szCs w:val="24"/>
        </w:rPr>
        <w:t xml:space="preserve">) </w:t>
      </w:r>
      <w:r w:rsidR="00D47882">
        <w:rPr>
          <w:rFonts w:ascii="Arial" w:hAnsi="Arial" w:cs="Arial"/>
          <w:sz w:val="24"/>
          <w:szCs w:val="24"/>
        </w:rPr>
        <w:t xml:space="preserve">as a result of this pot would not be removed without causing damage. However, when applying the purpose of the annexation, it could be said that the terracotta pots were added to the garden by Amy and Bob for the better enjoyment of them. The </w:t>
      </w:r>
      <w:r w:rsidR="001A0E53">
        <w:rPr>
          <w:rFonts w:ascii="Arial" w:hAnsi="Arial" w:cs="Arial"/>
          <w:sz w:val="24"/>
          <w:szCs w:val="24"/>
        </w:rPr>
        <w:t>terracotta</w:t>
      </w:r>
      <w:r w:rsidR="00D47882">
        <w:rPr>
          <w:rFonts w:ascii="Arial" w:hAnsi="Arial" w:cs="Arial"/>
          <w:sz w:val="24"/>
          <w:szCs w:val="24"/>
        </w:rPr>
        <w:t xml:space="preserve"> pots then retain their characteristic as a fitting because the rest can easily be </w:t>
      </w:r>
      <w:r w:rsidR="001A0E53">
        <w:rPr>
          <w:rFonts w:ascii="Arial" w:hAnsi="Arial" w:cs="Arial"/>
          <w:sz w:val="24"/>
          <w:szCs w:val="24"/>
        </w:rPr>
        <w:t>removed,</w:t>
      </w:r>
      <w:r w:rsidR="00D47882">
        <w:rPr>
          <w:rFonts w:ascii="Arial" w:hAnsi="Arial" w:cs="Arial"/>
          <w:sz w:val="24"/>
          <w:szCs w:val="24"/>
        </w:rPr>
        <w:t xml:space="preserve"> and they are personal items of the couple and not fixtures of the property (</w:t>
      </w:r>
      <w:r w:rsidR="00334BA5">
        <w:rPr>
          <w:rFonts w:ascii="Arial" w:hAnsi="Arial" w:cs="Arial"/>
          <w:sz w:val="24"/>
          <w:szCs w:val="24"/>
        </w:rPr>
        <w:t>Fenton,2021</w:t>
      </w:r>
      <w:r w:rsidR="00D47882">
        <w:rPr>
          <w:rFonts w:ascii="Arial" w:hAnsi="Arial" w:cs="Arial"/>
          <w:sz w:val="24"/>
          <w:szCs w:val="24"/>
        </w:rPr>
        <w:t>). Although, the terracotta pot that has ivy growing in it cannot be removed</w:t>
      </w:r>
      <w:r w:rsidR="00092C34">
        <w:rPr>
          <w:rFonts w:ascii="Arial" w:hAnsi="Arial" w:cs="Arial"/>
          <w:sz w:val="24"/>
          <w:szCs w:val="24"/>
        </w:rPr>
        <w:t xml:space="preserve"> as it will cause damage to the property.</w:t>
      </w:r>
    </w:p>
    <w:p w14:paraId="1E405CCB" w14:textId="4EC25B7D" w:rsidR="00EE336A" w:rsidRDefault="0089686F" w:rsidP="00EE336A">
      <w:pPr>
        <w:rPr>
          <w:rFonts w:ascii="Arial" w:hAnsi="Arial" w:cs="Arial"/>
          <w:sz w:val="24"/>
          <w:szCs w:val="24"/>
        </w:rPr>
      </w:pPr>
      <w:r>
        <w:rPr>
          <w:rFonts w:ascii="Arial" w:hAnsi="Arial" w:cs="Arial"/>
          <w:sz w:val="24"/>
          <w:szCs w:val="24"/>
        </w:rPr>
        <w:t>Amy and Bob had landscaped the garden into a collage garden style. In this garden they added the rustic s</w:t>
      </w:r>
      <w:r w:rsidR="00EE336A">
        <w:rPr>
          <w:rFonts w:ascii="Arial" w:hAnsi="Arial" w:cs="Arial"/>
          <w:sz w:val="24"/>
          <w:szCs w:val="24"/>
        </w:rPr>
        <w:t>eat</w:t>
      </w:r>
      <w:r>
        <w:rPr>
          <w:rFonts w:ascii="Arial" w:hAnsi="Arial" w:cs="Arial"/>
          <w:sz w:val="24"/>
          <w:szCs w:val="24"/>
        </w:rPr>
        <w:t xml:space="preserve"> that finished the gardens decoration. This seat has now sunk into the ground under its own weight, making it apart of the garden. </w:t>
      </w:r>
      <w:r w:rsidR="00011157">
        <w:rPr>
          <w:rFonts w:ascii="Arial" w:hAnsi="Arial" w:cs="Arial"/>
          <w:sz w:val="24"/>
          <w:szCs w:val="24"/>
        </w:rPr>
        <w:t xml:space="preserve">However, this can easily be removed as it is not bolted down, its only sunk. Although, it could </w:t>
      </w:r>
      <w:r w:rsidR="00011157">
        <w:rPr>
          <w:rFonts w:ascii="Arial" w:hAnsi="Arial" w:cs="Arial"/>
          <w:sz w:val="24"/>
          <w:szCs w:val="24"/>
        </w:rPr>
        <w:lastRenderedPageBreak/>
        <w:t>be argued that it has now become a f</w:t>
      </w:r>
      <w:r w:rsidR="00DC0BFA">
        <w:rPr>
          <w:rFonts w:ascii="Arial" w:hAnsi="Arial" w:cs="Arial"/>
          <w:sz w:val="24"/>
          <w:szCs w:val="24"/>
        </w:rPr>
        <w:t>i</w:t>
      </w:r>
      <w:r w:rsidR="00011157">
        <w:rPr>
          <w:rFonts w:ascii="Arial" w:hAnsi="Arial" w:cs="Arial"/>
          <w:sz w:val="24"/>
          <w:szCs w:val="24"/>
        </w:rPr>
        <w:t xml:space="preserve">xed part of the garden because it has sunk into the ground and removing it could cause damage to the property. On the other hand, </w:t>
      </w:r>
      <w:r w:rsidR="00DC0BFA">
        <w:rPr>
          <w:rFonts w:ascii="Arial" w:hAnsi="Arial" w:cs="Arial"/>
          <w:sz w:val="24"/>
          <w:szCs w:val="24"/>
        </w:rPr>
        <w:t>w</w:t>
      </w:r>
      <w:r>
        <w:rPr>
          <w:rFonts w:ascii="Arial" w:hAnsi="Arial" w:cs="Arial"/>
          <w:sz w:val="24"/>
          <w:szCs w:val="24"/>
        </w:rPr>
        <w:t xml:space="preserve">hen applying the </w:t>
      </w:r>
      <w:r w:rsidR="00011157">
        <w:rPr>
          <w:rFonts w:ascii="Arial" w:hAnsi="Arial" w:cs="Arial"/>
          <w:sz w:val="24"/>
          <w:szCs w:val="24"/>
        </w:rPr>
        <w:t>two tests</w:t>
      </w:r>
      <w:r>
        <w:rPr>
          <w:rFonts w:ascii="Arial" w:hAnsi="Arial" w:cs="Arial"/>
          <w:sz w:val="24"/>
          <w:szCs w:val="24"/>
        </w:rPr>
        <w:t xml:space="preserve"> it can also be seen that the seat was added to the garden in order to </w:t>
      </w:r>
      <w:r w:rsidR="00011157">
        <w:rPr>
          <w:rFonts w:ascii="Arial" w:hAnsi="Arial" w:cs="Arial"/>
          <w:sz w:val="24"/>
          <w:szCs w:val="24"/>
        </w:rPr>
        <w:t>enhance the land</w:t>
      </w:r>
      <w:r w:rsidR="00DC0BFA">
        <w:rPr>
          <w:rFonts w:ascii="Arial" w:hAnsi="Arial" w:cs="Arial"/>
          <w:sz w:val="24"/>
          <w:szCs w:val="24"/>
        </w:rPr>
        <w:t>. According to the purpose of annexation this will then make the seat a fixture because it was landscaped into the garden in order to improve the garden, therefore creating a permanent improve (</w:t>
      </w:r>
      <w:r w:rsidR="006333CD">
        <w:rPr>
          <w:rFonts w:ascii="Arial" w:hAnsi="Arial" w:cs="Arial"/>
          <w:sz w:val="24"/>
          <w:szCs w:val="24"/>
        </w:rPr>
        <w:t>Barton,2021</w:t>
      </w:r>
      <w:r w:rsidR="00DC0BFA">
        <w:rPr>
          <w:rFonts w:ascii="Arial" w:hAnsi="Arial" w:cs="Arial"/>
          <w:sz w:val="24"/>
          <w:szCs w:val="24"/>
        </w:rPr>
        <w:t xml:space="preserve">). </w:t>
      </w:r>
    </w:p>
    <w:p w14:paraId="4B254B7A" w14:textId="0B53A137" w:rsidR="00EE336A" w:rsidRDefault="00CB2F1B" w:rsidP="00EE336A">
      <w:pPr>
        <w:rPr>
          <w:rFonts w:ascii="Arial" w:hAnsi="Arial" w:cs="Arial"/>
          <w:sz w:val="24"/>
          <w:szCs w:val="24"/>
        </w:rPr>
      </w:pPr>
      <w:r>
        <w:rPr>
          <w:rFonts w:ascii="Arial" w:hAnsi="Arial" w:cs="Arial"/>
          <w:sz w:val="24"/>
          <w:szCs w:val="24"/>
        </w:rPr>
        <w:t>As a result of the purpose of annexation test that was adopted by the courts for settling disputes. The summer house is classed as a fixture and should automatically come with the land. This is because as the test states, as the summer house was attached to the land in</w:t>
      </w:r>
      <w:r w:rsidR="003C147F">
        <w:rPr>
          <w:rFonts w:ascii="Arial" w:hAnsi="Arial" w:cs="Arial"/>
          <w:sz w:val="24"/>
          <w:szCs w:val="24"/>
        </w:rPr>
        <w:t xml:space="preserve"> </w:t>
      </w:r>
      <w:r>
        <w:rPr>
          <w:rFonts w:ascii="Arial" w:hAnsi="Arial" w:cs="Arial"/>
          <w:sz w:val="24"/>
          <w:szCs w:val="24"/>
        </w:rPr>
        <w:t xml:space="preserve">order to enhance the land and create a permanent improvement, it now becomes a fixture. Again, this means that because this was added to the garden to crease a cottage style garden that the summer house will come with the house. Also, </w:t>
      </w:r>
      <w:r w:rsidR="00380373">
        <w:rPr>
          <w:rFonts w:ascii="Arial" w:hAnsi="Arial" w:cs="Arial"/>
          <w:sz w:val="24"/>
          <w:szCs w:val="24"/>
        </w:rPr>
        <w:t xml:space="preserve">it is also stated that the summer house is </w:t>
      </w:r>
      <w:r w:rsidR="00237FA3">
        <w:rPr>
          <w:rFonts w:ascii="Arial" w:hAnsi="Arial" w:cs="Arial"/>
          <w:sz w:val="24"/>
          <w:szCs w:val="24"/>
        </w:rPr>
        <w:t>anchored</w:t>
      </w:r>
      <w:r w:rsidR="00380373">
        <w:rPr>
          <w:rFonts w:ascii="Arial" w:hAnsi="Arial" w:cs="Arial"/>
          <w:sz w:val="24"/>
          <w:szCs w:val="24"/>
        </w:rPr>
        <w:t xml:space="preserve"> down by bolt onto a </w:t>
      </w:r>
      <w:r w:rsidR="003C147F">
        <w:rPr>
          <w:rFonts w:ascii="Arial" w:hAnsi="Arial" w:cs="Arial"/>
          <w:sz w:val="24"/>
          <w:szCs w:val="24"/>
        </w:rPr>
        <w:t>concrete</w:t>
      </w:r>
      <w:r w:rsidR="00380373">
        <w:rPr>
          <w:rFonts w:ascii="Arial" w:hAnsi="Arial" w:cs="Arial"/>
          <w:sz w:val="24"/>
          <w:szCs w:val="24"/>
        </w:rPr>
        <w:t xml:space="preserve"> base</w:t>
      </w:r>
      <w:r w:rsidR="00237FA3">
        <w:rPr>
          <w:rFonts w:ascii="Arial" w:hAnsi="Arial" w:cs="Arial"/>
          <w:sz w:val="24"/>
          <w:szCs w:val="24"/>
        </w:rPr>
        <w:t xml:space="preserve"> (</w:t>
      </w:r>
      <w:r w:rsidR="006333CD">
        <w:rPr>
          <w:rFonts w:ascii="Arial" w:hAnsi="Arial" w:cs="Arial"/>
          <w:sz w:val="24"/>
          <w:szCs w:val="24"/>
        </w:rPr>
        <w:t>Gassett,2021</w:t>
      </w:r>
      <w:r w:rsidR="00237FA3">
        <w:rPr>
          <w:rFonts w:ascii="Arial" w:hAnsi="Arial" w:cs="Arial"/>
          <w:sz w:val="24"/>
          <w:szCs w:val="24"/>
        </w:rPr>
        <w:t>)</w:t>
      </w:r>
      <w:r w:rsidR="00380373">
        <w:rPr>
          <w:rFonts w:ascii="Arial" w:hAnsi="Arial" w:cs="Arial"/>
          <w:sz w:val="24"/>
          <w:szCs w:val="24"/>
        </w:rPr>
        <w:t xml:space="preserve"> </w:t>
      </w:r>
      <w:r w:rsidR="00B6655C">
        <w:rPr>
          <w:rFonts w:ascii="Arial" w:hAnsi="Arial" w:cs="Arial"/>
          <w:sz w:val="24"/>
          <w:szCs w:val="24"/>
        </w:rPr>
        <w:t xml:space="preserve">When compared to </w:t>
      </w:r>
      <w:r w:rsidR="000B1A66">
        <w:rPr>
          <w:rFonts w:ascii="Arial" w:hAnsi="Arial" w:cs="Arial"/>
          <w:sz w:val="24"/>
          <w:szCs w:val="24"/>
        </w:rPr>
        <w:t xml:space="preserve">the Holland v Hodgson 1872 where </w:t>
      </w:r>
      <w:r w:rsidR="00B6655C">
        <w:rPr>
          <w:rFonts w:ascii="Arial" w:hAnsi="Arial" w:cs="Arial"/>
          <w:sz w:val="24"/>
          <w:szCs w:val="24"/>
        </w:rPr>
        <w:t>an</w:t>
      </w:r>
      <w:r w:rsidR="000B1A66">
        <w:rPr>
          <w:rFonts w:ascii="Arial" w:hAnsi="Arial" w:cs="Arial"/>
          <w:sz w:val="24"/>
          <w:szCs w:val="24"/>
        </w:rPr>
        <w:t xml:space="preserve"> owner </w:t>
      </w:r>
      <w:r w:rsidR="00B6655C">
        <w:rPr>
          <w:rFonts w:ascii="Arial" w:hAnsi="Arial" w:cs="Arial"/>
          <w:sz w:val="24"/>
          <w:szCs w:val="24"/>
        </w:rPr>
        <w:t xml:space="preserve">purchase loom for his mill they were attached to the stone floor by nails that could easily be removed, it was still held that it was apart of the mill. This means that the summer house could also be classed as a fixture because it is bolted to concrete (Toyad, 2021). </w:t>
      </w:r>
    </w:p>
    <w:p w14:paraId="43A10733" w14:textId="77777777" w:rsidR="00F9410F" w:rsidRDefault="00DC0BFA" w:rsidP="00EE336A">
      <w:pPr>
        <w:rPr>
          <w:rFonts w:ascii="Arial" w:hAnsi="Arial" w:cs="Arial"/>
          <w:sz w:val="24"/>
          <w:szCs w:val="24"/>
        </w:rPr>
      </w:pPr>
      <w:r>
        <w:rPr>
          <w:rFonts w:ascii="Arial" w:hAnsi="Arial" w:cs="Arial"/>
          <w:sz w:val="24"/>
          <w:szCs w:val="24"/>
        </w:rPr>
        <w:t>When it comes to the k</w:t>
      </w:r>
      <w:r w:rsidR="00EE336A">
        <w:rPr>
          <w:rFonts w:ascii="Arial" w:hAnsi="Arial" w:cs="Arial"/>
          <w:sz w:val="24"/>
          <w:szCs w:val="24"/>
        </w:rPr>
        <w:t>itchen unit</w:t>
      </w:r>
      <w:r>
        <w:rPr>
          <w:rFonts w:ascii="Arial" w:hAnsi="Arial" w:cs="Arial"/>
          <w:sz w:val="24"/>
          <w:szCs w:val="24"/>
        </w:rPr>
        <w:t xml:space="preserve">s, it becomes </w:t>
      </w:r>
      <w:r w:rsidR="004A62BD">
        <w:rPr>
          <w:rFonts w:ascii="Arial" w:hAnsi="Arial" w:cs="Arial"/>
          <w:sz w:val="24"/>
          <w:szCs w:val="24"/>
        </w:rPr>
        <w:t>trickier</w:t>
      </w:r>
      <w:r>
        <w:rPr>
          <w:rFonts w:ascii="Arial" w:hAnsi="Arial" w:cs="Arial"/>
          <w:sz w:val="24"/>
          <w:szCs w:val="24"/>
        </w:rPr>
        <w:t xml:space="preserve">. This is because the kitchen was recently re-fitted with a </w:t>
      </w:r>
      <w:r w:rsidR="004A62BD">
        <w:rPr>
          <w:rFonts w:ascii="Arial" w:hAnsi="Arial" w:cs="Arial"/>
          <w:sz w:val="24"/>
          <w:szCs w:val="24"/>
        </w:rPr>
        <w:t xml:space="preserve">non-fitted kitchen units. This means that these units were not bolted to the walls. The kitchen units not being fitted to the wall means that they can easily be removed from the property without causing damage to the property. There is a great possibility that these units will not come with </w:t>
      </w:r>
      <w:r w:rsidR="00DE7F89">
        <w:rPr>
          <w:rFonts w:ascii="Arial" w:hAnsi="Arial" w:cs="Arial"/>
          <w:sz w:val="24"/>
          <w:szCs w:val="24"/>
        </w:rPr>
        <w:t>the</w:t>
      </w:r>
      <w:r w:rsidR="004A62BD">
        <w:rPr>
          <w:rFonts w:ascii="Arial" w:hAnsi="Arial" w:cs="Arial"/>
          <w:sz w:val="24"/>
          <w:szCs w:val="24"/>
        </w:rPr>
        <w:t xml:space="preserve"> property. However, on the other hand </w:t>
      </w:r>
      <w:r w:rsidR="004A62BD" w:rsidRPr="004A62BD">
        <w:rPr>
          <w:rFonts w:ascii="Arial" w:hAnsi="Arial" w:cs="Arial"/>
          <w:sz w:val="24"/>
          <w:szCs w:val="24"/>
        </w:rPr>
        <w:t xml:space="preserve">these kitchen units </w:t>
      </w:r>
      <w:r w:rsidR="003E5323" w:rsidRPr="004A62BD">
        <w:rPr>
          <w:rFonts w:ascii="Arial" w:hAnsi="Arial" w:cs="Arial"/>
          <w:sz w:val="24"/>
          <w:szCs w:val="24"/>
        </w:rPr>
        <w:t>were</w:t>
      </w:r>
      <w:r w:rsidR="004A62BD" w:rsidRPr="004A62BD">
        <w:rPr>
          <w:rFonts w:ascii="Arial" w:hAnsi="Arial" w:cs="Arial"/>
          <w:sz w:val="24"/>
          <w:szCs w:val="24"/>
        </w:rPr>
        <w:t xml:space="preserve"> attached to the land in order t</w:t>
      </w:r>
      <w:r w:rsidR="004A62BD">
        <w:rPr>
          <w:rFonts w:ascii="Arial" w:hAnsi="Arial" w:cs="Arial"/>
          <w:sz w:val="24"/>
          <w:szCs w:val="24"/>
        </w:rPr>
        <w:t xml:space="preserve">o </w:t>
      </w:r>
      <w:r w:rsidR="004A62BD" w:rsidRPr="004A62BD">
        <w:rPr>
          <w:rFonts w:ascii="Arial" w:hAnsi="Arial" w:cs="Arial"/>
          <w:sz w:val="24"/>
          <w:szCs w:val="24"/>
        </w:rPr>
        <w:t>enhance it and to create a permanent improvement</w:t>
      </w:r>
      <w:r w:rsidR="00DE7F89">
        <w:rPr>
          <w:rFonts w:ascii="Arial" w:hAnsi="Arial" w:cs="Arial"/>
          <w:sz w:val="24"/>
          <w:szCs w:val="24"/>
        </w:rPr>
        <w:t xml:space="preserve">. </w:t>
      </w:r>
      <w:r w:rsidR="00DE7F89" w:rsidRPr="00DE7F89">
        <w:rPr>
          <w:rFonts w:ascii="Arial" w:hAnsi="Arial" w:cs="Arial"/>
          <w:sz w:val="24"/>
          <w:szCs w:val="24"/>
        </w:rPr>
        <w:t>In simpler terms</w:t>
      </w:r>
      <w:r w:rsidR="00DE7F89">
        <w:rPr>
          <w:rFonts w:ascii="Arial" w:hAnsi="Arial" w:cs="Arial"/>
          <w:sz w:val="24"/>
          <w:szCs w:val="24"/>
        </w:rPr>
        <w:t>,</w:t>
      </w:r>
      <w:r w:rsidR="00DE7F89" w:rsidRPr="00DE7F89">
        <w:rPr>
          <w:rFonts w:ascii="Arial" w:hAnsi="Arial" w:cs="Arial"/>
          <w:sz w:val="24"/>
          <w:szCs w:val="24"/>
        </w:rPr>
        <w:t xml:space="preserve"> by adding a new kitchen Bob an</w:t>
      </w:r>
      <w:r w:rsidR="00DE7F89">
        <w:rPr>
          <w:rFonts w:ascii="Arial" w:hAnsi="Arial" w:cs="Arial"/>
          <w:sz w:val="24"/>
          <w:szCs w:val="24"/>
        </w:rPr>
        <w:t>d</w:t>
      </w:r>
      <w:r w:rsidR="00DE7F89" w:rsidRPr="00DE7F89">
        <w:rPr>
          <w:rFonts w:ascii="Arial" w:hAnsi="Arial" w:cs="Arial"/>
          <w:sz w:val="24"/>
          <w:szCs w:val="24"/>
        </w:rPr>
        <w:t xml:space="preserve"> Amy</w:t>
      </w:r>
      <w:r w:rsidR="00DE7F89">
        <w:rPr>
          <w:rFonts w:ascii="Arial" w:hAnsi="Arial" w:cs="Arial"/>
          <w:sz w:val="24"/>
          <w:szCs w:val="24"/>
        </w:rPr>
        <w:t xml:space="preserve"> </w:t>
      </w:r>
      <w:r w:rsidR="00DE7F89" w:rsidRPr="00DE7F89">
        <w:rPr>
          <w:rFonts w:ascii="Arial" w:hAnsi="Arial" w:cs="Arial"/>
          <w:sz w:val="24"/>
          <w:szCs w:val="24"/>
        </w:rPr>
        <w:t>aimed to create a permanent improvement to the house in order to sell it at a higher price</w:t>
      </w:r>
      <w:r w:rsidR="00DE7F89">
        <w:rPr>
          <w:rFonts w:ascii="Arial" w:hAnsi="Arial" w:cs="Arial"/>
          <w:sz w:val="24"/>
          <w:szCs w:val="24"/>
        </w:rPr>
        <w:t>.</w:t>
      </w:r>
      <w:r w:rsidR="00DE7F89" w:rsidRPr="00DE7F89">
        <w:rPr>
          <w:rFonts w:ascii="Arial" w:hAnsi="Arial" w:cs="Arial"/>
          <w:sz w:val="24"/>
          <w:szCs w:val="24"/>
        </w:rPr>
        <w:t xml:space="preserve"> Therefore, Sel</w:t>
      </w:r>
      <w:r w:rsidR="00DE7F89">
        <w:rPr>
          <w:rFonts w:ascii="Arial" w:hAnsi="Arial" w:cs="Arial"/>
          <w:sz w:val="24"/>
          <w:szCs w:val="24"/>
        </w:rPr>
        <w:t xml:space="preserve">ina </w:t>
      </w:r>
      <w:r w:rsidR="00DE7F89" w:rsidRPr="00DE7F89">
        <w:rPr>
          <w:rFonts w:ascii="Arial" w:hAnsi="Arial" w:cs="Arial"/>
          <w:sz w:val="24"/>
          <w:szCs w:val="24"/>
        </w:rPr>
        <w:t>has a good argument for keeping these kitchen</w:t>
      </w:r>
      <w:r w:rsidR="00DE7F89">
        <w:rPr>
          <w:rFonts w:ascii="Arial" w:hAnsi="Arial" w:cs="Arial"/>
          <w:sz w:val="24"/>
          <w:szCs w:val="24"/>
        </w:rPr>
        <w:t xml:space="preserve"> </w:t>
      </w:r>
      <w:r w:rsidR="00DE7F89" w:rsidRPr="00DE7F89">
        <w:rPr>
          <w:rFonts w:ascii="Arial" w:hAnsi="Arial" w:cs="Arial"/>
          <w:sz w:val="24"/>
          <w:szCs w:val="24"/>
        </w:rPr>
        <w:t>cupboards as they were attached to the land</w:t>
      </w:r>
      <w:r w:rsidR="00DE7F89">
        <w:rPr>
          <w:rFonts w:ascii="Arial" w:hAnsi="Arial" w:cs="Arial"/>
          <w:sz w:val="24"/>
          <w:szCs w:val="24"/>
        </w:rPr>
        <w:t>.</w:t>
      </w:r>
      <w:r w:rsidR="00DE7F89" w:rsidRPr="00DE7F89">
        <w:rPr>
          <w:rFonts w:ascii="Arial" w:hAnsi="Arial" w:cs="Arial"/>
          <w:sz w:val="24"/>
          <w:szCs w:val="24"/>
        </w:rPr>
        <w:t xml:space="preserve"> making it a fixture not a fi</w:t>
      </w:r>
      <w:r w:rsidR="00DE7F89">
        <w:rPr>
          <w:rFonts w:ascii="Arial" w:hAnsi="Arial" w:cs="Arial"/>
          <w:sz w:val="24"/>
          <w:szCs w:val="24"/>
        </w:rPr>
        <w:t xml:space="preserve">tting. </w:t>
      </w:r>
      <w:r w:rsidR="003E5323" w:rsidRPr="003E5323">
        <w:rPr>
          <w:rFonts w:ascii="Arial" w:hAnsi="Arial" w:cs="Arial"/>
          <w:sz w:val="24"/>
          <w:szCs w:val="24"/>
        </w:rPr>
        <w:t>Although it could be argued that these particular kitchen units were added for the enjoyment of Amy and Bob as they preferred to use non fitted cupboards in that kitchen instead of fitted cupboards</w:t>
      </w:r>
      <w:r w:rsidR="003E5323">
        <w:rPr>
          <w:rFonts w:ascii="Arial" w:hAnsi="Arial" w:cs="Arial"/>
          <w:sz w:val="24"/>
          <w:szCs w:val="24"/>
        </w:rPr>
        <w:t xml:space="preserve">. </w:t>
      </w:r>
      <w:r w:rsidR="003E5323" w:rsidRPr="003E5323">
        <w:rPr>
          <w:rFonts w:ascii="Arial" w:hAnsi="Arial" w:cs="Arial"/>
          <w:sz w:val="24"/>
          <w:szCs w:val="24"/>
        </w:rPr>
        <w:t>this could be their personal preference meaning Amy and Bob could argue that they added the kitchen cupboards for their benefit I'm personal use only</w:t>
      </w:r>
      <w:r w:rsidR="003E5323">
        <w:rPr>
          <w:rFonts w:ascii="Arial" w:hAnsi="Arial" w:cs="Arial"/>
          <w:sz w:val="24"/>
          <w:szCs w:val="24"/>
        </w:rPr>
        <w:t xml:space="preserve"> (</w:t>
      </w:r>
      <w:r w:rsidR="001B49F0">
        <w:rPr>
          <w:rFonts w:ascii="Arial" w:hAnsi="Arial" w:cs="Arial"/>
          <w:sz w:val="24"/>
          <w:szCs w:val="24"/>
        </w:rPr>
        <w:t>Cushman &amp; Wakefield, 2021</w:t>
      </w:r>
      <w:r w:rsidR="003E5323">
        <w:rPr>
          <w:rFonts w:ascii="Arial" w:hAnsi="Arial" w:cs="Arial"/>
          <w:sz w:val="24"/>
          <w:szCs w:val="24"/>
        </w:rPr>
        <w:t xml:space="preserve">). </w:t>
      </w:r>
      <w:r w:rsidR="00092C34">
        <w:rPr>
          <w:rFonts w:ascii="Arial" w:hAnsi="Arial" w:cs="Arial"/>
          <w:sz w:val="24"/>
          <w:szCs w:val="24"/>
        </w:rPr>
        <w:t xml:space="preserve">This </w:t>
      </w:r>
      <w:r w:rsidR="009B70BB">
        <w:rPr>
          <w:rFonts w:ascii="Arial" w:hAnsi="Arial" w:cs="Arial"/>
          <w:sz w:val="24"/>
          <w:szCs w:val="24"/>
        </w:rPr>
        <w:t>debate</w:t>
      </w:r>
      <w:r w:rsidR="00092C34">
        <w:rPr>
          <w:rFonts w:ascii="Arial" w:hAnsi="Arial" w:cs="Arial"/>
          <w:sz w:val="24"/>
          <w:szCs w:val="24"/>
        </w:rPr>
        <w:t xml:space="preserve"> can be </w:t>
      </w:r>
      <w:r w:rsidR="009B70BB">
        <w:rPr>
          <w:rFonts w:ascii="Arial" w:hAnsi="Arial" w:cs="Arial"/>
          <w:sz w:val="24"/>
          <w:szCs w:val="24"/>
        </w:rPr>
        <w:t xml:space="preserve">demonstrated in the case law of TSB Bank PLC v Botham [1996] EGCS 149 where </w:t>
      </w:r>
      <w:r w:rsidR="00F65052">
        <w:rPr>
          <w:rFonts w:ascii="Arial" w:hAnsi="Arial" w:cs="Arial"/>
          <w:sz w:val="24"/>
          <w:szCs w:val="24"/>
        </w:rPr>
        <w:t>it’s</w:t>
      </w:r>
      <w:r w:rsidR="009B70BB">
        <w:rPr>
          <w:rFonts w:ascii="Arial" w:hAnsi="Arial" w:cs="Arial"/>
          <w:sz w:val="24"/>
          <w:szCs w:val="24"/>
        </w:rPr>
        <w:t xml:space="preserve"> stated that kitchen units are fixtures in a property. However, a freestanding oven that was only attached vis a flex is a chattel. This means that it could be argued that these kitchen units are indeed chattels as they are fixed to anything and are simple to remove without causing damage</w:t>
      </w:r>
      <w:r w:rsidR="00F65052">
        <w:rPr>
          <w:rFonts w:ascii="Arial" w:hAnsi="Arial" w:cs="Arial"/>
          <w:sz w:val="24"/>
          <w:szCs w:val="24"/>
        </w:rPr>
        <w:t xml:space="preserve"> (Williams,2018)</w:t>
      </w:r>
      <w:r w:rsidR="009B70BB">
        <w:rPr>
          <w:rFonts w:ascii="Arial" w:hAnsi="Arial" w:cs="Arial"/>
          <w:sz w:val="24"/>
          <w:szCs w:val="24"/>
        </w:rPr>
        <w:t>.</w:t>
      </w:r>
      <w:r w:rsidR="00F9410F">
        <w:rPr>
          <w:rFonts w:ascii="Arial" w:hAnsi="Arial" w:cs="Arial"/>
          <w:sz w:val="24"/>
          <w:szCs w:val="24"/>
        </w:rPr>
        <w:t xml:space="preserve"> </w:t>
      </w:r>
    </w:p>
    <w:p w14:paraId="256761F6" w14:textId="14BF53CD" w:rsidR="00EE336A" w:rsidRDefault="00F9410F" w:rsidP="00EE336A">
      <w:pPr>
        <w:rPr>
          <w:rFonts w:ascii="Arial" w:hAnsi="Arial" w:cs="Arial"/>
          <w:sz w:val="24"/>
          <w:szCs w:val="24"/>
        </w:rPr>
      </w:pPr>
      <w:r>
        <w:rPr>
          <w:rFonts w:ascii="Arial" w:hAnsi="Arial" w:cs="Arial"/>
          <w:sz w:val="24"/>
          <w:szCs w:val="24"/>
        </w:rPr>
        <w:t xml:space="preserve">To conclude, there it is very clear to see that </w:t>
      </w:r>
      <w:r w:rsidR="00E40C06">
        <w:rPr>
          <w:rFonts w:ascii="Arial" w:hAnsi="Arial" w:cs="Arial"/>
          <w:sz w:val="24"/>
          <w:szCs w:val="24"/>
        </w:rPr>
        <w:t>on some of the items Selina will get the confirmation that she is asking for when it comes to majority of the items under the LPA 1925. However, there is still a good argument that she may not. it all depends on how Amy and Bob want to deal with it. They could say that they want to take the terracotta pot as they bought them for their own personal enjoyment, and they have the right to do so as the terracotta pots are classed as they own personal objects.</w:t>
      </w:r>
    </w:p>
    <w:p w14:paraId="19361A29" w14:textId="113CB88F" w:rsidR="00FE447C" w:rsidRPr="00F9410F" w:rsidRDefault="00FE447C" w:rsidP="00EE336A">
      <w:pPr>
        <w:rPr>
          <w:rFonts w:ascii="Arial" w:hAnsi="Arial" w:cs="Arial"/>
          <w:b/>
          <w:bCs/>
          <w:i/>
          <w:iCs/>
          <w:sz w:val="24"/>
          <w:szCs w:val="24"/>
          <w:u w:val="single"/>
        </w:rPr>
      </w:pPr>
      <w:r w:rsidRPr="00F9410F">
        <w:rPr>
          <w:rFonts w:ascii="Arial" w:hAnsi="Arial" w:cs="Arial"/>
          <w:b/>
          <w:bCs/>
          <w:i/>
          <w:iCs/>
          <w:sz w:val="24"/>
          <w:szCs w:val="24"/>
          <w:u w:val="single"/>
        </w:rPr>
        <w:lastRenderedPageBreak/>
        <w:t xml:space="preserve">Reference </w:t>
      </w:r>
    </w:p>
    <w:p w14:paraId="6180F9DF" w14:textId="12F12A00" w:rsidR="006333CD" w:rsidRDefault="006333CD" w:rsidP="00EE336A">
      <w:pPr>
        <w:rPr>
          <w:rFonts w:ascii="Arial" w:hAnsi="Arial" w:cs="Arial"/>
          <w:sz w:val="24"/>
          <w:szCs w:val="24"/>
        </w:rPr>
      </w:pPr>
      <w:r>
        <w:rPr>
          <w:rFonts w:ascii="Arial" w:hAnsi="Arial" w:cs="Arial"/>
          <w:sz w:val="24"/>
          <w:szCs w:val="24"/>
        </w:rPr>
        <w:t xml:space="preserve">Barton, C (2021) </w:t>
      </w:r>
      <w:r w:rsidR="001A0E53">
        <w:rPr>
          <w:rFonts w:ascii="Arial" w:hAnsi="Arial" w:cs="Arial"/>
          <w:sz w:val="24"/>
          <w:szCs w:val="24"/>
        </w:rPr>
        <w:t xml:space="preserve">Garden fixtures and furniture. Available at URL </w:t>
      </w:r>
      <w:hyperlink r:id="rId5" w:history="1">
        <w:r w:rsidR="001A0E53" w:rsidRPr="001B0DBC">
          <w:rPr>
            <w:rStyle w:val="Hyperlink"/>
            <w:rFonts w:ascii="Arial" w:hAnsi="Arial" w:cs="Arial"/>
            <w:sz w:val="24"/>
            <w:szCs w:val="24"/>
          </w:rPr>
          <w:t>http</w:t>
        </w:r>
        <w:r w:rsidR="001A0E53" w:rsidRPr="001B0DBC">
          <w:rPr>
            <w:rStyle w:val="Hyperlink"/>
            <w:rFonts w:ascii="Arial" w:hAnsi="Arial" w:cs="Arial"/>
            <w:sz w:val="24"/>
            <w:szCs w:val="24"/>
          </w:rPr>
          <w:t>s://devontimber.co.uk/our-products/garden-fixtures-furniture/</w:t>
        </w:r>
      </w:hyperlink>
      <w:r w:rsidR="001A0E53">
        <w:rPr>
          <w:rFonts w:ascii="Arial" w:hAnsi="Arial" w:cs="Arial"/>
          <w:sz w:val="24"/>
          <w:szCs w:val="24"/>
        </w:rPr>
        <w:t xml:space="preserve"> [Accessed; 28</w:t>
      </w:r>
      <w:r w:rsidR="001A0E53" w:rsidRPr="001A0E53">
        <w:rPr>
          <w:rFonts w:ascii="Arial" w:hAnsi="Arial" w:cs="Arial"/>
          <w:sz w:val="24"/>
          <w:szCs w:val="24"/>
          <w:vertAlign w:val="superscript"/>
        </w:rPr>
        <w:t>th</w:t>
      </w:r>
      <w:r w:rsidR="001A0E53">
        <w:rPr>
          <w:rFonts w:ascii="Arial" w:hAnsi="Arial" w:cs="Arial"/>
          <w:sz w:val="24"/>
          <w:szCs w:val="24"/>
        </w:rPr>
        <w:t xml:space="preserve"> November 2021]</w:t>
      </w:r>
    </w:p>
    <w:p w14:paraId="4DDB263C" w14:textId="4A7FDBEF" w:rsidR="00F65052" w:rsidRDefault="00F65052" w:rsidP="00FE447C">
      <w:pPr>
        <w:rPr>
          <w:rFonts w:ascii="Arial" w:hAnsi="Arial" w:cs="Arial"/>
          <w:sz w:val="24"/>
          <w:szCs w:val="24"/>
        </w:rPr>
      </w:pPr>
      <w:r>
        <w:rPr>
          <w:rFonts w:ascii="Arial" w:hAnsi="Arial" w:cs="Arial"/>
          <w:sz w:val="24"/>
          <w:szCs w:val="24"/>
        </w:rPr>
        <w:t xml:space="preserve">CJ hole (2021) Everything you need to know about fixtures and fittings. Available at URL </w:t>
      </w:r>
      <w:hyperlink r:id="rId6" w:history="1">
        <w:r w:rsidRPr="001B0DBC">
          <w:rPr>
            <w:rStyle w:val="Hyperlink"/>
            <w:rFonts w:ascii="Arial" w:hAnsi="Arial" w:cs="Arial"/>
            <w:sz w:val="24"/>
            <w:szCs w:val="24"/>
          </w:rPr>
          <w:t>http</w:t>
        </w:r>
        <w:r w:rsidRPr="001B0DBC">
          <w:rPr>
            <w:rStyle w:val="Hyperlink"/>
            <w:rFonts w:ascii="Arial" w:hAnsi="Arial" w:cs="Arial"/>
            <w:sz w:val="24"/>
            <w:szCs w:val="24"/>
          </w:rPr>
          <w:t>s://www.cjhole.co.uk/news/fixtures-and-fittings-guide</w:t>
        </w:r>
      </w:hyperlink>
      <w:r>
        <w:rPr>
          <w:rFonts w:ascii="Arial" w:hAnsi="Arial" w:cs="Arial"/>
          <w:sz w:val="24"/>
          <w:szCs w:val="24"/>
        </w:rPr>
        <w:t xml:space="preserve"> </w:t>
      </w:r>
      <w:r w:rsidR="001B49F0">
        <w:rPr>
          <w:rFonts w:ascii="Arial" w:hAnsi="Arial" w:cs="Arial"/>
          <w:sz w:val="24"/>
          <w:szCs w:val="24"/>
        </w:rPr>
        <w:t>[Accessed; 27</w:t>
      </w:r>
      <w:r w:rsidR="001B49F0" w:rsidRPr="001B49F0">
        <w:rPr>
          <w:rFonts w:ascii="Arial" w:hAnsi="Arial" w:cs="Arial"/>
          <w:sz w:val="24"/>
          <w:szCs w:val="24"/>
          <w:vertAlign w:val="superscript"/>
        </w:rPr>
        <w:t>th</w:t>
      </w:r>
      <w:r w:rsidR="001B49F0">
        <w:rPr>
          <w:rFonts w:ascii="Arial" w:hAnsi="Arial" w:cs="Arial"/>
          <w:sz w:val="24"/>
          <w:szCs w:val="24"/>
        </w:rPr>
        <w:t xml:space="preserve"> November 2021] </w:t>
      </w:r>
    </w:p>
    <w:p w14:paraId="26253C96" w14:textId="1F610FE5" w:rsidR="001B49F0" w:rsidRDefault="001B49F0" w:rsidP="00FE447C">
      <w:pPr>
        <w:rPr>
          <w:rFonts w:ascii="Arial" w:hAnsi="Arial" w:cs="Arial"/>
          <w:sz w:val="24"/>
          <w:szCs w:val="24"/>
        </w:rPr>
      </w:pPr>
      <w:r>
        <w:rPr>
          <w:rFonts w:ascii="Arial" w:hAnsi="Arial" w:cs="Arial"/>
          <w:sz w:val="24"/>
          <w:szCs w:val="24"/>
        </w:rPr>
        <w:t xml:space="preserve">Cushman &amp; Wakefield (2021) Fixture or Chattel? Available at URL </w:t>
      </w:r>
      <w:hyperlink r:id="rId7" w:history="1">
        <w:r w:rsidR="006333CD" w:rsidRPr="001B0DBC">
          <w:rPr>
            <w:rStyle w:val="Hyperlink"/>
            <w:rFonts w:ascii="Arial" w:hAnsi="Arial" w:cs="Arial"/>
            <w:sz w:val="24"/>
            <w:szCs w:val="24"/>
          </w:rPr>
          <w:t>http</w:t>
        </w:r>
        <w:r w:rsidR="006333CD" w:rsidRPr="001B0DBC">
          <w:rPr>
            <w:rStyle w:val="Hyperlink"/>
            <w:rFonts w:ascii="Arial" w:hAnsi="Arial" w:cs="Arial"/>
            <w:sz w:val="24"/>
            <w:szCs w:val="24"/>
          </w:rPr>
          <w:t>s://www.gov.uk/government/publications/chattels-and-capital-gains-tax-hs293-self-assessment-helpsheet/hs293-chattels-and-capital-gains-tax-2019</w:t>
        </w:r>
      </w:hyperlink>
      <w:r w:rsidR="006333CD">
        <w:rPr>
          <w:rFonts w:ascii="Arial" w:hAnsi="Arial" w:cs="Arial"/>
          <w:sz w:val="24"/>
          <w:szCs w:val="24"/>
        </w:rPr>
        <w:t xml:space="preserve"> [Accessed; 28</w:t>
      </w:r>
      <w:r w:rsidR="006333CD" w:rsidRPr="006333CD">
        <w:rPr>
          <w:rFonts w:ascii="Arial" w:hAnsi="Arial" w:cs="Arial"/>
          <w:sz w:val="24"/>
          <w:szCs w:val="24"/>
          <w:vertAlign w:val="superscript"/>
        </w:rPr>
        <w:t>th</w:t>
      </w:r>
      <w:r w:rsidR="006333CD">
        <w:rPr>
          <w:rFonts w:ascii="Arial" w:hAnsi="Arial" w:cs="Arial"/>
          <w:sz w:val="24"/>
          <w:szCs w:val="24"/>
        </w:rPr>
        <w:t xml:space="preserve"> November 2021]</w:t>
      </w:r>
    </w:p>
    <w:p w14:paraId="69AB98C9" w14:textId="2F73EFDA" w:rsidR="00334BA5" w:rsidRDefault="00334BA5" w:rsidP="00FE447C">
      <w:pPr>
        <w:rPr>
          <w:rFonts w:ascii="Arial" w:hAnsi="Arial" w:cs="Arial"/>
          <w:sz w:val="24"/>
          <w:szCs w:val="24"/>
        </w:rPr>
      </w:pPr>
      <w:r>
        <w:rPr>
          <w:rFonts w:ascii="Arial" w:hAnsi="Arial" w:cs="Arial"/>
          <w:sz w:val="24"/>
          <w:szCs w:val="24"/>
        </w:rPr>
        <w:t xml:space="preserve">Fenton, J (2021) What is the difference between a chattel and a fixture? Available at URL </w:t>
      </w:r>
      <w:hyperlink r:id="rId8" w:history="1">
        <w:r w:rsidRPr="001B0DBC">
          <w:rPr>
            <w:rStyle w:val="Hyperlink"/>
            <w:rFonts w:ascii="Arial" w:hAnsi="Arial" w:cs="Arial"/>
            <w:sz w:val="24"/>
            <w:szCs w:val="24"/>
          </w:rPr>
          <w:t>http</w:t>
        </w:r>
        <w:r w:rsidRPr="001B0DBC">
          <w:rPr>
            <w:rStyle w:val="Hyperlink"/>
            <w:rFonts w:ascii="Arial" w:hAnsi="Arial" w:cs="Arial"/>
            <w:sz w:val="24"/>
            <w:szCs w:val="24"/>
          </w:rPr>
          <w:t>s://www.morrishsolicitors.com/resources/property/what-is-the-difference-between-chattel-and-fixture/</w:t>
        </w:r>
      </w:hyperlink>
      <w:r>
        <w:rPr>
          <w:rFonts w:ascii="Arial" w:hAnsi="Arial" w:cs="Arial"/>
          <w:sz w:val="24"/>
          <w:szCs w:val="24"/>
        </w:rPr>
        <w:t xml:space="preserve"> [Accessed;28</w:t>
      </w:r>
      <w:r w:rsidRPr="00334BA5">
        <w:rPr>
          <w:rFonts w:ascii="Arial" w:hAnsi="Arial" w:cs="Arial"/>
          <w:sz w:val="24"/>
          <w:szCs w:val="24"/>
          <w:vertAlign w:val="superscript"/>
        </w:rPr>
        <w:t>th</w:t>
      </w:r>
      <w:r>
        <w:rPr>
          <w:rFonts w:ascii="Arial" w:hAnsi="Arial" w:cs="Arial"/>
          <w:sz w:val="24"/>
          <w:szCs w:val="24"/>
        </w:rPr>
        <w:t xml:space="preserve"> November 2021]</w:t>
      </w:r>
    </w:p>
    <w:p w14:paraId="1EEA1CCD" w14:textId="4D37D872" w:rsidR="001A0E53" w:rsidRDefault="001A0E53" w:rsidP="00FE447C">
      <w:pPr>
        <w:rPr>
          <w:rFonts w:ascii="Arial" w:hAnsi="Arial" w:cs="Arial"/>
          <w:sz w:val="24"/>
          <w:szCs w:val="24"/>
        </w:rPr>
      </w:pPr>
      <w:r>
        <w:rPr>
          <w:rFonts w:ascii="Arial" w:hAnsi="Arial" w:cs="Arial"/>
          <w:sz w:val="24"/>
          <w:szCs w:val="24"/>
        </w:rPr>
        <w:t xml:space="preserve">Flowerpot Man (2021) How to clear and kill ivy, Available at URL </w:t>
      </w:r>
      <w:hyperlink r:id="rId9" w:history="1">
        <w:r w:rsidRPr="001B0DBC">
          <w:rPr>
            <w:rStyle w:val="Hyperlink"/>
            <w:rFonts w:ascii="Arial" w:hAnsi="Arial" w:cs="Arial"/>
            <w:sz w:val="24"/>
            <w:szCs w:val="24"/>
          </w:rPr>
          <w:t>http</w:t>
        </w:r>
        <w:r w:rsidRPr="001B0DBC">
          <w:rPr>
            <w:rStyle w:val="Hyperlink"/>
            <w:rFonts w:ascii="Arial" w:hAnsi="Arial" w:cs="Arial"/>
            <w:sz w:val="24"/>
            <w:szCs w:val="24"/>
          </w:rPr>
          <w:t>s://www.flowerpotman.com/garden-pest-control/how-to-clear-ivy/</w:t>
        </w:r>
      </w:hyperlink>
      <w:r>
        <w:rPr>
          <w:rFonts w:ascii="Arial" w:hAnsi="Arial" w:cs="Arial"/>
          <w:sz w:val="24"/>
          <w:szCs w:val="24"/>
        </w:rPr>
        <w:t xml:space="preserve"> [Accessed;28</w:t>
      </w:r>
      <w:r w:rsidRPr="001A0E53">
        <w:rPr>
          <w:rFonts w:ascii="Arial" w:hAnsi="Arial" w:cs="Arial"/>
          <w:sz w:val="24"/>
          <w:szCs w:val="24"/>
          <w:vertAlign w:val="superscript"/>
        </w:rPr>
        <w:t>th</w:t>
      </w:r>
      <w:r>
        <w:rPr>
          <w:rFonts w:ascii="Arial" w:hAnsi="Arial" w:cs="Arial"/>
          <w:sz w:val="24"/>
          <w:szCs w:val="24"/>
        </w:rPr>
        <w:t xml:space="preserve"> November 2021]</w:t>
      </w:r>
    </w:p>
    <w:p w14:paraId="26EE080C" w14:textId="36D4903F" w:rsidR="006333CD" w:rsidRDefault="006333CD" w:rsidP="00FE447C">
      <w:pPr>
        <w:rPr>
          <w:rFonts w:ascii="Arial" w:hAnsi="Arial" w:cs="Arial"/>
          <w:sz w:val="24"/>
          <w:szCs w:val="24"/>
        </w:rPr>
      </w:pPr>
      <w:r>
        <w:rPr>
          <w:rFonts w:ascii="Arial" w:hAnsi="Arial" w:cs="Arial"/>
          <w:sz w:val="24"/>
          <w:szCs w:val="24"/>
        </w:rPr>
        <w:t xml:space="preserve">Gassett B (2021) What are fixtures when selling a house. Available at URL </w:t>
      </w:r>
      <w:hyperlink r:id="rId10" w:history="1">
        <w:r w:rsidRPr="001B0DBC">
          <w:rPr>
            <w:rStyle w:val="Hyperlink"/>
            <w:rFonts w:ascii="Arial" w:hAnsi="Arial" w:cs="Arial"/>
            <w:sz w:val="24"/>
            <w:szCs w:val="24"/>
          </w:rPr>
          <w:t>http</w:t>
        </w:r>
        <w:r w:rsidRPr="001B0DBC">
          <w:rPr>
            <w:rStyle w:val="Hyperlink"/>
            <w:rFonts w:ascii="Arial" w:hAnsi="Arial" w:cs="Arial"/>
            <w:sz w:val="24"/>
            <w:szCs w:val="24"/>
          </w:rPr>
          <w:t>s://www.maxrealestateexposure.com/whats-a-fixture-vs-personal-property/</w:t>
        </w:r>
      </w:hyperlink>
      <w:r>
        <w:rPr>
          <w:rFonts w:ascii="Arial" w:hAnsi="Arial" w:cs="Arial"/>
          <w:sz w:val="24"/>
          <w:szCs w:val="24"/>
        </w:rPr>
        <w:t xml:space="preserve"> [Accessed; 29</w:t>
      </w:r>
      <w:r w:rsidRPr="006333CD">
        <w:rPr>
          <w:rFonts w:ascii="Arial" w:hAnsi="Arial" w:cs="Arial"/>
          <w:sz w:val="24"/>
          <w:szCs w:val="24"/>
          <w:vertAlign w:val="superscript"/>
        </w:rPr>
        <w:t>th</w:t>
      </w:r>
      <w:r>
        <w:rPr>
          <w:rFonts w:ascii="Arial" w:hAnsi="Arial" w:cs="Arial"/>
          <w:sz w:val="24"/>
          <w:szCs w:val="24"/>
        </w:rPr>
        <w:t xml:space="preserve"> November 2021]</w:t>
      </w:r>
    </w:p>
    <w:p w14:paraId="4ABF585D" w14:textId="65C35631" w:rsidR="00334BA5" w:rsidRDefault="00334BA5" w:rsidP="00FE447C">
      <w:pPr>
        <w:rPr>
          <w:rFonts w:ascii="Arial" w:hAnsi="Arial" w:cs="Arial"/>
          <w:sz w:val="24"/>
          <w:szCs w:val="24"/>
        </w:rPr>
      </w:pPr>
      <w:r>
        <w:rPr>
          <w:rFonts w:ascii="Arial" w:hAnsi="Arial" w:cs="Arial"/>
          <w:sz w:val="24"/>
          <w:szCs w:val="24"/>
        </w:rPr>
        <w:t xml:space="preserve">House of Lords (2021) Elitestone Ltd v Morris and Another. Available at URL </w:t>
      </w:r>
      <w:hyperlink r:id="rId11" w:history="1">
        <w:r w:rsidR="000B1A66" w:rsidRPr="001B0DBC">
          <w:rPr>
            <w:rStyle w:val="Hyperlink"/>
            <w:rFonts w:ascii="Arial" w:hAnsi="Arial" w:cs="Arial"/>
            <w:sz w:val="24"/>
            <w:szCs w:val="24"/>
          </w:rPr>
          <w:t>http</w:t>
        </w:r>
        <w:r w:rsidR="000B1A66" w:rsidRPr="001B0DBC">
          <w:rPr>
            <w:rStyle w:val="Hyperlink"/>
            <w:rFonts w:ascii="Arial" w:hAnsi="Arial" w:cs="Arial"/>
            <w:sz w:val="24"/>
            <w:szCs w:val="24"/>
          </w:rPr>
          <w:t>s://publications.parliament.uk/pa/ld199697/ldjudgmt/jd970501/elites01.htm</w:t>
        </w:r>
      </w:hyperlink>
      <w:r w:rsidR="000B1A66">
        <w:rPr>
          <w:rFonts w:ascii="Arial" w:hAnsi="Arial" w:cs="Arial"/>
          <w:sz w:val="24"/>
          <w:szCs w:val="24"/>
        </w:rPr>
        <w:t xml:space="preserve"> [Accessed; 28</w:t>
      </w:r>
      <w:r w:rsidR="000B1A66" w:rsidRPr="000B1A66">
        <w:rPr>
          <w:rFonts w:ascii="Arial" w:hAnsi="Arial" w:cs="Arial"/>
          <w:sz w:val="24"/>
          <w:szCs w:val="24"/>
          <w:vertAlign w:val="superscript"/>
        </w:rPr>
        <w:t>th</w:t>
      </w:r>
      <w:r w:rsidR="000B1A66">
        <w:rPr>
          <w:rFonts w:ascii="Arial" w:hAnsi="Arial" w:cs="Arial"/>
          <w:sz w:val="24"/>
          <w:szCs w:val="24"/>
        </w:rPr>
        <w:t xml:space="preserve"> November 2021]</w:t>
      </w:r>
    </w:p>
    <w:p w14:paraId="03F719EE" w14:textId="332BBEB6" w:rsidR="001B49F0" w:rsidRDefault="001B49F0" w:rsidP="00FE447C">
      <w:pPr>
        <w:rPr>
          <w:rFonts w:ascii="Arial" w:hAnsi="Arial" w:cs="Arial"/>
          <w:sz w:val="24"/>
          <w:szCs w:val="24"/>
        </w:rPr>
      </w:pPr>
      <w:r>
        <w:rPr>
          <w:rFonts w:ascii="Arial" w:hAnsi="Arial" w:cs="Arial"/>
          <w:sz w:val="24"/>
          <w:szCs w:val="24"/>
        </w:rPr>
        <w:t xml:space="preserve">HM Revenue &amp; customs. (2021) Chattels and Capital gains tax 2019. Available at URL </w:t>
      </w:r>
      <w:hyperlink r:id="rId12" w:history="1">
        <w:r w:rsidRPr="001B0DBC">
          <w:rPr>
            <w:rStyle w:val="Hyperlink"/>
            <w:rFonts w:ascii="Arial" w:hAnsi="Arial" w:cs="Arial"/>
            <w:sz w:val="24"/>
            <w:szCs w:val="24"/>
          </w:rPr>
          <w:t>http</w:t>
        </w:r>
        <w:r w:rsidRPr="001B0DBC">
          <w:rPr>
            <w:rStyle w:val="Hyperlink"/>
            <w:rFonts w:ascii="Arial" w:hAnsi="Arial" w:cs="Arial"/>
            <w:sz w:val="24"/>
            <w:szCs w:val="24"/>
          </w:rPr>
          <w:t>s://www.gov.uk/government/publications/chattels-and-capital-gains-tax-hs293-self-assessment-helpsheet/hs293-chattels-and-capital-gains-tax-2019</w:t>
        </w:r>
      </w:hyperlink>
      <w:r>
        <w:rPr>
          <w:rFonts w:ascii="Arial" w:hAnsi="Arial" w:cs="Arial"/>
          <w:sz w:val="24"/>
          <w:szCs w:val="24"/>
        </w:rPr>
        <w:t xml:space="preserve"> [Accessed; 28</w:t>
      </w:r>
      <w:r w:rsidRPr="001B49F0">
        <w:rPr>
          <w:rFonts w:ascii="Arial" w:hAnsi="Arial" w:cs="Arial"/>
          <w:sz w:val="24"/>
          <w:szCs w:val="24"/>
          <w:vertAlign w:val="superscript"/>
        </w:rPr>
        <w:t>th</w:t>
      </w:r>
      <w:r>
        <w:rPr>
          <w:rFonts w:ascii="Arial" w:hAnsi="Arial" w:cs="Arial"/>
          <w:sz w:val="24"/>
          <w:szCs w:val="24"/>
        </w:rPr>
        <w:t xml:space="preserve"> November 2021]</w:t>
      </w:r>
    </w:p>
    <w:p w14:paraId="240F30D2" w14:textId="225C5F19" w:rsidR="00FE447C" w:rsidRDefault="00FE447C" w:rsidP="00FE447C">
      <w:pPr>
        <w:rPr>
          <w:rFonts w:ascii="Arial" w:hAnsi="Arial" w:cs="Arial"/>
          <w:color w:val="000000"/>
          <w:sz w:val="24"/>
          <w:szCs w:val="24"/>
        </w:rPr>
      </w:pPr>
      <w:r>
        <w:rPr>
          <w:rFonts w:ascii="Arial" w:hAnsi="Arial" w:cs="Arial"/>
          <w:color w:val="000000"/>
          <w:sz w:val="24"/>
          <w:szCs w:val="24"/>
        </w:rPr>
        <w:t xml:space="preserve">The National Archives (2021) </w:t>
      </w:r>
      <w:r w:rsidRPr="00FE447C">
        <w:rPr>
          <w:rFonts w:ascii="Arial" w:hAnsi="Arial" w:cs="Arial"/>
          <w:color w:val="000000"/>
          <w:sz w:val="24"/>
          <w:szCs w:val="24"/>
        </w:rPr>
        <w:t>Cause: D'Eyncourt v Gregory (i) Inventory of articles (heirlooms, including library and...</w:t>
      </w:r>
      <w:r>
        <w:rPr>
          <w:rFonts w:ascii="Arial" w:hAnsi="Arial" w:cs="Arial"/>
          <w:color w:val="000000"/>
          <w:sz w:val="24"/>
          <w:szCs w:val="24"/>
        </w:rPr>
        <w:t xml:space="preserve"> </w:t>
      </w:r>
      <w:r w:rsidR="00F65052">
        <w:rPr>
          <w:rFonts w:ascii="Arial" w:hAnsi="Arial" w:cs="Arial"/>
          <w:color w:val="000000"/>
          <w:sz w:val="24"/>
          <w:szCs w:val="24"/>
        </w:rPr>
        <w:t>A</w:t>
      </w:r>
      <w:r>
        <w:rPr>
          <w:rFonts w:ascii="Arial" w:hAnsi="Arial" w:cs="Arial"/>
          <w:color w:val="000000"/>
          <w:sz w:val="24"/>
          <w:szCs w:val="24"/>
        </w:rPr>
        <w:t xml:space="preserve">vailable at URL </w:t>
      </w:r>
      <w:hyperlink r:id="rId13" w:history="1">
        <w:r w:rsidRPr="001B0DBC">
          <w:rPr>
            <w:rStyle w:val="Hyperlink"/>
            <w:rFonts w:ascii="Arial" w:hAnsi="Arial" w:cs="Arial"/>
            <w:sz w:val="24"/>
            <w:szCs w:val="24"/>
          </w:rPr>
          <w:t>https://discovery.nationalarchives.gov.uk/details/r/C3579480</w:t>
        </w:r>
      </w:hyperlink>
      <w:r>
        <w:rPr>
          <w:rFonts w:ascii="Arial" w:hAnsi="Arial" w:cs="Arial"/>
          <w:color w:val="000000"/>
          <w:sz w:val="24"/>
          <w:szCs w:val="24"/>
        </w:rPr>
        <w:t xml:space="preserve"> [Accessed; 27</w:t>
      </w:r>
      <w:r w:rsidRPr="00FE447C">
        <w:rPr>
          <w:rFonts w:ascii="Arial" w:hAnsi="Arial" w:cs="Arial"/>
          <w:color w:val="000000"/>
          <w:sz w:val="24"/>
          <w:szCs w:val="24"/>
          <w:vertAlign w:val="superscript"/>
        </w:rPr>
        <w:t>th</w:t>
      </w:r>
      <w:r>
        <w:rPr>
          <w:rFonts w:ascii="Arial" w:hAnsi="Arial" w:cs="Arial"/>
          <w:color w:val="000000"/>
          <w:sz w:val="24"/>
          <w:szCs w:val="24"/>
        </w:rPr>
        <w:t xml:space="preserve"> November 2021] </w:t>
      </w:r>
    </w:p>
    <w:p w14:paraId="4CB90AB0" w14:textId="1C5373EF" w:rsidR="00B6655C" w:rsidRDefault="00B6655C" w:rsidP="00FE447C">
      <w:pPr>
        <w:rPr>
          <w:rFonts w:ascii="Arial" w:hAnsi="Arial" w:cs="Arial"/>
          <w:color w:val="000000"/>
          <w:sz w:val="24"/>
          <w:szCs w:val="24"/>
        </w:rPr>
      </w:pPr>
      <w:r>
        <w:rPr>
          <w:rFonts w:ascii="Arial" w:hAnsi="Arial" w:cs="Arial"/>
          <w:color w:val="000000"/>
          <w:sz w:val="24"/>
          <w:szCs w:val="24"/>
        </w:rPr>
        <w:t xml:space="preserve">Toyad, A (2021) Holland v Hodgson [1872] Available at URL </w:t>
      </w:r>
      <w:hyperlink r:id="rId14" w:history="1">
        <w:r w:rsidRPr="001B0DBC">
          <w:rPr>
            <w:rStyle w:val="Hyperlink"/>
            <w:rFonts w:ascii="Arial" w:hAnsi="Arial" w:cs="Arial"/>
            <w:sz w:val="24"/>
            <w:szCs w:val="24"/>
          </w:rPr>
          <w:t>http</w:t>
        </w:r>
        <w:r w:rsidRPr="001B0DBC">
          <w:rPr>
            <w:rStyle w:val="Hyperlink"/>
            <w:rFonts w:ascii="Arial" w:hAnsi="Arial" w:cs="Arial"/>
            <w:sz w:val="24"/>
            <w:szCs w:val="24"/>
          </w:rPr>
          <w:t>s://aldrictoyad.com/2021/09/20/holland-v-hodgson-1872-lr-7-cp-328-41-ljcp-146-20-wr-990-1861-73-all-er-rep-237</w:t>
        </w:r>
        <w:r w:rsidRPr="001B0DBC">
          <w:rPr>
            <w:rStyle w:val="Hyperlink"/>
            <w:rFonts w:ascii="Arial" w:hAnsi="Arial" w:cs="Arial"/>
            <w:sz w:val="24"/>
            <w:szCs w:val="24"/>
          </w:rPr>
          <w:t>/</w:t>
        </w:r>
      </w:hyperlink>
      <w:r>
        <w:rPr>
          <w:rFonts w:ascii="Arial" w:hAnsi="Arial" w:cs="Arial"/>
          <w:color w:val="000000"/>
          <w:sz w:val="24"/>
          <w:szCs w:val="24"/>
        </w:rPr>
        <w:t xml:space="preserve"> [Accessed 28</w:t>
      </w:r>
      <w:r w:rsidRPr="00B6655C">
        <w:rPr>
          <w:rFonts w:ascii="Arial" w:hAnsi="Arial" w:cs="Arial"/>
          <w:color w:val="000000"/>
          <w:sz w:val="24"/>
          <w:szCs w:val="24"/>
          <w:vertAlign w:val="superscript"/>
        </w:rPr>
        <w:t>th</w:t>
      </w:r>
      <w:r>
        <w:rPr>
          <w:rFonts w:ascii="Arial" w:hAnsi="Arial" w:cs="Arial"/>
          <w:color w:val="000000"/>
          <w:sz w:val="24"/>
          <w:szCs w:val="24"/>
        </w:rPr>
        <w:t xml:space="preserve"> November 2021]</w:t>
      </w:r>
    </w:p>
    <w:p w14:paraId="07B1CC2D" w14:textId="073AAB50" w:rsidR="00F9410F" w:rsidRDefault="00F9410F" w:rsidP="00FE447C">
      <w:pPr>
        <w:rPr>
          <w:rFonts w:ascii="Arial" w:hAnsi="Arial" w:cs="Arial"/>
          <w:color w:val="000000"/>
          <w:sz w:val="24"/>
          <w:szCs w:val="24"/>
        </w:rPr>
      </w:pPr>
      <w:r>
        <w:rPr>
          <w:rFonts w:ascii="Arial" w:hAnsi="Arial" w:cs="Arial"/>
          <w:color w:val="000000"/>
          <w:sz w:val="24"/>
          <w:szCs w:val="24"/>
        </w:rPr>
        <w:t xml:space="preserve">UK Government (2021) Law of property act 1925. Available at URL </w:t>
      </w:r>
      <w:hyperlink r:id="rId15" w:history="1">
        <w:r w:rsidRPr="001B0DBC">
          <w:rPr>
            <w:rStyle w:val="Hyperlink"/>
            <w:rFonts w:ascii="Arial" w:hAnsi="Arial" w:cs="Arial"/>
            <w:sz w:val="24"/>
            <w:szCs w:val="24"/>
          </w:rPr>
          <w:t>http</w:t>
        </w:r>
        <w:r w:rsidRPr="001B0DBC">
          <w:rPr>
            <w:rStyle w:val="Hyperlink"/>
            <w:rFonts w:ascii="Arial" w:hAnsi="Arial" w:cs="Arial"/>
            <w:sz w:val="24"/>
            <w:szCs w:val="24"/>
          </w:rPr>
          <w:t>s://www.legislation.gov.uk/ukpga/Geo5/15-16/20/contents</w:t>
        </w:r>
      </w:hyperlink>
      <w:r>
        <w:rPr>
          <w:rFonts w:ascii="Arial" w:hAnsi="Arial" w:cs="Arial"/>
          <w:color w:val="000000"/>
          <w:sz w:val="24"/>
          <w:szCs w:val="24"/>
        </w:rPr>
        <w:t xml:space="preserve"> [Accessed; 28</w:t>
      </w:r>
      <w:r w:rsidRPr="00F9410F">
        <w:rPr>
          <w:rFonts w:ascii="Arial" w:hAnsi="Arial" w:cs="Arial"/>
          <w:color w:val="000000"/>
          <w:sz w:val="24"/>
          <w:szCs w:val="24"/>
          <w:vertAlign w:val="superscript"/>
        </w:rPr>
        <w:t>th</w:t>
      </w:r>
      <w:r>
        <w:rPr>
          <w:rFonts w:ascii="Arial" w:hAnsi="Arial" w:cs="Arial"/>
          <w:color w:val="000000"/>
          <w:sz w:val="24"/>
          <w:szCs w:val="24"/>
        </w:rPr>
        <w:t xml:space="preserve"> November 2021]</w:t>
      </w:r>
    </w:p>
    <w:p w14:paraId="09C1EE06" w14:textId="292DE7A2" w:rsidR="00AF3082" w:rsidRDefault="001B49F0" w:rsidP="00EE336A">
      <w:pPr>
        <w:rPr>
          <w:rFonts w:ascii="Arial" w:hAnsi="Arial" w:cs="Arial"/>
          <w:sz w:val="24"/>
          <w:szCs w:val="24"/>
        </w:rPr>
      </w:pPr>
      <w:r>
        <w:rPr>
          <w:rFonts w:ascii="Arial" w:hAnsi="Arial" w:cs="Arial"/>
          <w:color w:val="000000"/>
          <w:sz w:val="24"/>
          <w:szCs w:val="24"/>
        </w:rPr>
        <w:t>Williams</w:t>
      </w:r>
      <w:r w:rsidR="00F65052">
        <w:rPr>
          <w:rFonts w:ascii="Arial" w:hAnsi="Arial" w:cs="Arial"/>
          <w:color w:val="000000"/>
          <w:sz w:val="24"/>
          <w:szCs w:val="24"/>
        </w:rPr>
        <w:t xml:space="preserve"> A (2018) Chattel, </w:t>
      </w:r>
      <w:r w:rsidR="00AF3082">
        <w:rPr>
          <w:rFonts w:ascii="Arial" w:hAnsi="Arial" w:cs="Arial"/>
          <w:color w:val="000000"/>
          <w:sz w:val="24"/>
          <w:szCs w:val="24"/>
        </w:rPr>
        <w:t>fixture,</w:t>
      </w:r>
      <w:r w:rsidR="00F65052">
        <w:rPr>
          <w:rFonts w:ascii="Arial" w:hAnsi="Arial" w:cs="Arial"/>
          <w:color w:val="000000"/>
          <w:sz w:val="24"/>
          <w:szCs w:val="24"/>
        </w:rPr>
        <w:t xml:space="preserve"> and 300 years of case law. Available at URL </w:t>
      </w:r>
      <w:hyperlink r:id="rId16" w:history="1">
        <w:r w:rsidR="00F65052" w:rsidRPr="001B0DBC">
          <w:rPr>
            <w:rStyle w:val="Hyperlink"/>
            <w:rFonts w:ascii="Arial" w:hAnsi="Arial" w:cs="Arial"/>
            <w:sz w:val="24"/>
            <w:szCs w:val="24"/>
          </w:rPr>
          <w:t>http</w:t>
        </w:r>
        <w:r w:rsidR="00F65052" w:rsidRPr="001B0DBC">
          <w:rPr>
            <w:rStyle w:val="Hyperlink"/>
            <w:rFonts w:ascii="Arial" w:hAnsi="Arial" w:cs="Arial"/>
            <w:sz w:val="24"/>
            <w:szCs w:val="24"/>
          </w:rPr>
          <w:t>s://www.exchangechambers.co.uk/chattels-fixtures-300-years-case-law/</w:t>
        </w:r>
      </w:hyperlink>
      <w:r w:rsidR="00F65052">
        <w:rPr>
          <w:rFonts w:ascii="Arial" w:hAnsi="Arial" w:cs="Arial"/>
          <w:color w:val="000000"/>
          <w:sz w:val="24"/>
          <w:szCs w:val="24"/>
        </w:rPr>
        <w:t xml:space="preserve"> </w:t>
      </w:r>
      <w:r>
        <w:rPr>
          <w:rFonts w:ascii="Arial" w:hAnsi="Arial" w:cs="Arial"/>
          <w:color w:val="000000"/>
          <w:sz w:val="24"/>
          <w:szCs w:val="24"/>
        </w:rPr>
        <w:t>[Accessed; 27</w:t>
      </w:r>
      <w:r w:rsidRPr="001B49F0">
        <w:rPr>
          <w:rFonts w:ascii="Arial" w:hAnsi="Arial" w:cs="Arial"/>
          <w:color w:val="000000"/>
          <w:sz w:val="24"/>
          <w:szCs w:val="24"/>
          <w:vertAlign w:val="superscript"/>
        </w:rPr>
        <w:t>th</w:t>
      </w:r>
      <w:r>
        <w:rPr>
          <w:rFonts w:ascii="Arial" w:hAnsi="Arial" w:cs="Arial"/>
          <w:color w:val="000000"/>
          <w:sz w:val="24"/>
          <w:szCs w:val="24"/>
        </w:rPr>
        <w:t xml:space="preserve"> November 2021]</w:t>
      </w:r>
    </w:p>
    <w:p w14:paraId="39AA0FA8" w14:textId="122069A4" w:rsidR="00E438F6" w:rsidRDefault="00E438F6" w:rsidP="00E438F6">
      <w:pPr>
        <w:spacing w:after="0"/>
        <w:rPr>
          <w:rFonts w:ascii="Arial" w:hAnsi="Arial" w:cs="Arial"/>
          <w:sz w:val="24"/>
          <w:szCs w:val="24"/>
        </w:rPr>
      </w:pPr>
      <w:r>
        <w:rPr>
          <w:rFonts w:ascii="Arial" w:hAnsi="Arial" w:cs="Arial"/>
          <w:sz w:val="24"/>
          <w:szCs w:val="24"/>
        </w:rPr>
        <w:lastRenderedPageBreak/>
        <w:t xml:space="preserve">In order for </w:t>
      </w:r>
      <w:r>
        <w:rPr>
          <w:rFonts w:ascii="Arial" w:hAnsi="Arial" w:cs="Arial"/>
          <w:sz w:val="24"/>
          <w:szCs w:val="24"/>
        </w:rPr>
        <w:t>a mortgage to exist there must be a borrow which in this case is peter. A borrower is someone that borrows money in a form of a mortgage from a bank. The bank which is Trinity bank is known as the lender. The lender lends Peter the money he needs to purchase his property. Through this agreement a mortgage is created</w:t>
      </w:r>
      <w:r>
        <w:rPr>
          <w:rFonts w:ascii="Arial" w:hAnsi="Arial" w:cs="Arial"/>
          <w:sz w:val="24"/>
          <w:szCs w:val="24"/>
        </w:rPr>
        <w:t xml:space="preserve"> (</w:t>
      </w:r>
      <w:r w:rsidR="003E3B9D">
        <w:rPr>
          <w:rFonts w:ascii="Arial" w:hAnsi="Arial" w:cs="Arial"/>
          <w:sz w:val="24"/>
          <w:szCs w:val="24"/>
        </w:rPr>
        <w:t>Merriam-Webster,2021</w:t>
      </w:r>
      <w:r>
        <w:rPr>
          <w:rFonts w:ascii="Arial" w:hAnsi="Arial" w:cs="Arial"/>
          <w:sz w:val="24"/>
          <w:szCs w:val="24"/>
        </w:rPr>
        <w:t>)</w:t>
      </w:r>
      <w:r>
        <w:rPr>
          <w:rFonts w:ascii="Arial" w:hAnsi="Arial" w:cs="Arial"/>
          <w:sz w:val="24"/>
          <w:szCs w:val="24"/>
        </w:rPr>
        <w:t>.</w:t>
      </w:r>
    </w:p>
    <w:p w14:paraId="70AE49A8" w14:textId="694C92D6" w:rsidR="00E438F6" w:rsidRDefault="00E438F6" w:rsidP="00E438F6">
      <w:pPr>
        <w:spacing w:after="0"/>
        <w:rPr>
          <w:rFonts w:ascii="Arial" w:hAnsi="Arial" w:cs="Arial"/>
          <w:sz w:val="24"/>
          <w:szCs w:val="24"/>
        </w:rPr>
      </w:pPr>
      <w:r>
        <w:rPr>
          <w:rFonts w:ascii="Arial" w:hAnsi="Arial" w:cs="Arial"/>
          <w:sz w:val="24"/>
          <w:szCs w:val="24"/>
        </w:rPr>
        <w:t xml:space="preserve"> </w:t>
      </w:r>
    </w:p>
    <w:p w14:paraId="527D8C50" w14:textId="46FB2638" w:rsidR="00212537" w:rsidRDefault="004605E3" w:rsidP="00EE336A">
      <w:pPr>
        <w:rPr>
          <w:rFonts w:ascii="Arial" w:hAnsi="Arial" w:cs="Arial"/>
          <w:sz w:val="24"/>
          <w:szCs w:val="24"/>
        </w:rPr>
      </w:pPr>
      <w:r>
        <w:rPr>
          <w:rFonts w:ascii="Arial" w:hAnsi="Arial" w:cs="Arial"/>
          <w:sz w:val="24"/>
          <w:szCs w:val="24"/>
        </w:rPr>
        <w:t xml:space="preserve">A mortgage is a legal </w:t>
      </w:r>
      <w:r w:rsidR="00212537">
        <w:rPr>
          <w:rFonts w:ascii="Arial" w:hAnsi="Arial" w:cs="Arial"/>
          <w:sz w:val="24"/>
          <w:szCs w:val="24"/>
        </w:rPr>
        <w:t>agreement</w:t>
      </w:r>
      <w:r>
        <w:rPr>
          <w:rFonts w:ascii="Arial" w:hAnsi="Arial" w:cs="Arial"/>
          <w:sz w:val="24"/>
          <w:szCs w:val="24"/>
        </w:rPr>
        <w:t xml:space="preserve"> created by a bank or building society and </w:t>
      </w:r>
      <w:r w:rsidR="00212537">
        <w:rPr>
          <w:rFonts w:ascii="Arial" w:hAnsi="Arial" w:cs="Arial"/>
          <w:sz w:val="24"/>
          <w:szCs w:val="24"/>
        </w:rPr>
        <w:t>a mortgag</w:t>
      </w:r>
      <w:r w:rsidR="004A52AF">
        <w:rPr>
          <w:rFonts w:ascii="Arial" w:hAnsi="Arial" w:cs="Arial"/>
          <w:sz w:val="24"/>
          <w:szCs w:val="24"/>
        </w:rPr>
        <w:t>or</w:t>
      </w:r>
      <w:r w:rsidR="00212537">
        <w:rPr>
          <w:rFonts w:ascii="Arial" w:hAnsi="Arial" w:cs="Arial"/>
          <w:sz w:val="24"/>
          <w:szCs w:val="24"/>
        </w:rPr>
        <w:t>. This legal agreement is created by the mortgagee borrowing money at interest in exchange of taking title of the debtor propert</w:t>
      </w:r>
      <w:r w:rsidR="000C0DB2">
        <w:rPr>
          <w:rFonts w:ascii="Arial" w:hAnsi="Arial" w:cs="Arial"/>
          <w:sz w:val="24"/>
          <w:szCs w:val="24"/>
        </w:rPr>
        <w:t>y (Taylor,2021)</w:t>
      </w:r>
      <w:r w:rsidR="00212537">
        <w:rPr>
          <w:rFonts w:ascii="Arial" w:hAnsi="Arial" w:cs="Arial"/>
          <w:sz w:val="24"/>
          <w:szCs w:val="24"/>
        </w:rPr>
        <w:t xml:space="preserve">. </w:t>
      </w:r>
      <w:r w:rsidR="000C0DB2">
        <w:rPr>
          <w:rFonts w:ascii="Arial" w:hAnsi="Arial" w:cs="Arial"/>
          <w:sz w:val="24"/>
          <w:szCs w:val="24"/>
        </w:rPr>
        <w:t>This means that a person borrows money from a lender in order to buy a house. The house then become collateral for the mortgage. This means that i</w:t>
      </w:r>
      <w:r w:rsidR="00896F13">
        <w:rPr>
          <w:rFonts w:ascii="Arial" w:hAnsi="Arial" w:cs="Arial"/>
          <w:sz w:val="24"/>
          <w:szCs w:val="24"/>
        </w:rPr>
        <w:t xml:space="preserve">f </w:t>
      </w:r>
      <w:r w:rsidR="000C0DB2">
        <w:rPr>
          <w:rFonts w:ascii="Arial" w:hAnsi="Arial" w:cs="Arial"/>
          <w:sz w:val="24"/>
          <w:szCs w:val="24"/>
        </w:rPr>
        <w:t xml:space="preserve">the borrower does not make full monthly payments and falls </w:t>
      </w:r>
      <w:r w:rsidR="003962D7">
        <w:rPr>
          <w:rFonts w:ascii="Arial" w:hAnsi="Arial" w:cs="Arial"/>
          <w:sz w:val="24"/>
          <w:szCs w:val="24"/>
        </w:rPr>
        <w:t>into</w:t>
      </w:r>
      <w:r w:rsidR="000C0DB2">
        <w:rPr>
          <w:rFonts w:ascii="Arial" w:hAnsi="Arial" w:cs="Arial"/>
          <w:sz w:val="24"/>
          <w:szCs w:val="24"/>
        </w:rPr>
        <w:t xml:space="preserve"> defaults on the loan; the lender can take action and sell the home to </w:t>
      </w:r>
      <w:r w:rsidR="009E7BC3">
        <w:rPr>
          <w:rFonts w:ascii="Arial" w:hAnsi="Arial" w:cs="Arial"/>
          <w:sz w:val="24"/>
          <w:szCs w:val="24"/>
        </w:rPr>
        <w:t xml:space="preserve">get its money back. </w:t>
      </w:r>
    </w:p>
    <w:p w14:paraId="337E0BB2" w14:textId="164C66A8" w:rsidR="00272485" w:rsidRDefault="00896F13" w:rsidP="00F0504F">
      <w:pPr>
        <w:spacing w:after="0"/>
        <w:rPr>
          <w:rFonts w:ascii="Arial" w:hAnsi="Arial" w:cs="Arial"/>
          <w:sz w:val="24"/>
          <w:szCs w:val="24"/>
        </w:rPr>
      </w:pPr>
      <w:r>
        <w:rPr>
          <w:rFonts w:ascii="Arial" w:hAnsi="Arial" w:cs="Arial"/>
          <w:sz w:val="24"/>
          <w:szCs w:val="24"/>
        </w:rPr>
        <w:t>A mortgage must be created by deed in order to be legal. This also mean that a mortgage has the potential of being a legal interest.</w:t>
      </w:r>
      <w:r w:rsidR="00324385">
        <w:rPr>
          <w:rFonts w:ascii="Arial" w:hAnsi="Arial" w:cs="Arial"/>
          <w:sz w:val="24"/>
          <w:szCs w:val="24"/>
        </w:rPr>
        <w:t xml:space="preserve"> When entering into a mortgage a lender automatically receives the right to repossess this house, if the borrower defaults. However, of the property is occupied as a dwelling a court order will be required. The borrower then had the option to seek out protection of the AJA 1970. (</w:t>
      </w:r>
      <w:r w:rsidR="009067B4">
        <w:rPr>
          <w:rFonts w:ascii="Arial" w:hAnsi="Arial" w:cs="Arial"/>
          <w:sz w:val="24"/>
          <w:szCs w:val="24"/>
        </w:rPr>
        <w:t>Bamford,2019</w:t>
      </w:r>
      <w:r w:rsidR="00324385">
        <w:rPr>
          <w:rFonts w:ascii="Arial" w:hAnsi="Arial" w:cs="Arial"/>
          <w:sz w:val="24"/>
          <w:szCs w:val="24"/>
        </w:rPr>
        <w:t>)</w:t>
      </w:r>
    </w:p>
    <w:p w14:paraId="3BF78B3C" w14:textId="22A55956" w:rsidR="00272485" w:rsidRDefault="00272485" w:rsidP="00F0504F">
      <w:pPr>
        <w:spacing w:after="0"/>
        <w:rPr>
          <w:rFonts w:ascii="Arial" w:hAnsi="Arial" w:cs="Arial"/>
          <w:sz w:val="24"/>
          <w:szCs w:val="24"/>
        </w:rPr>
      </w:pPr>
    </w:p>
    <w:p w14:paraId="2BF60058" w14:textId="13F08149" w:rsidR="00896F13" w:rsidRDefault="00F0504F" w:rsidP="00F0504F">
      <w:pPr>
        <w:spacing w:after="0"/>
        <w:rPr>
          <w:rFonts w:ascii="Arial" w:hAnsi="Arial" w:cs="Arial"/>
          <w:sz w:val="24"/>
          <w:szCs w:val="24"/>
        </w:rPr>
      </w:pPr>
      <w:r>
        <w:rPr>
          <w:rFonts w:ascii="Arial" w:hAnsi="Arial" w:cs="Arial"/>
          <w:sz w:val="24"/>
          <w:szCs w:val="24"/>
        </w:rPr>
        <w:t xml:space="preserve">The Trinity Bank </w:t>
      </w:r>
      <w:r w:rsidR="00F958EC">
        <w:rPr>
          <w:rFonts w:ascii="Arial" w:hAnsi="Arial" w:cs="Arial"/>
          <w:sz w:val="24"/>
          <w:szCs w:val="24"/>
        </w:rPr>
        <w:t xml:space="preserve">is bound by certain duties when exercising a power of sale. This is because the power of sale is only exercisable when it has met certain criteria. The Trinity Bank can also pursue peter by a debt action. A debt action is a method used to recover the debt by an action for repayment </w:t>
      </w:r>
      <w:r w:rsidR="00D5446C">
        <w:rPr>
          <w:rFonts w:ascii="Arial" w:hAnsi="Arial" w:cs="Arial"/>
          <w:sz w:val="24"/>
          <w:szCs w:val="24"/>
        </w:rPr>
        <w:t xml:space="preserve">on the borrower’s covenant to pay. For this to occur, the legal date for the redemption must have passed before any action can be taken by the bank. </w:t>
      </w:r>
      <w:r w:rsidR="00563690">
        <w:rPr>
          <w:rFonts w:ascii="Arial" w:hAnsi="Arial" w:cs="Arial"/>
          <w:sz w:val="24"/>
          <w:szCs w:val="24"/>
        </w:rPr>
        <w:t>However, Peter</w:t>
      </w:r>
      <w:r w:rsidR="00D5446C">
        <w:rPr>
          <w:rFonts w:ascii="Arial" w:hAnsi="Arial" w:cs="Arial"/>
          <w:sz w:val="24"/>
          <w:szCs w:val="24"/>
        </w:rPr>
        <w:t xml:space="preserve"> may have protection against this because according to the Limitation Act 1980. The trinity bank has </w:t>
      </w:r>
      <w:r w:rsidR="00507F67">
        <w:rPr>
          <w:rFonts w:ascii="Arial" w:hAnsi="Arial" w:cs="Arial"/>
          <w:sz w:val="24"/>
          <w:szCs w:val="24"/>
        </w:rPr>
        <w:t>limitation in</w:t>
      </w:r>
      <w:r w:rsidR="00D5446C">
        <w:rPr>
          <w:rFonts w:ascii="Arial" w:hAnsi="Arial" w:cs="Arial"/>
          <w:sz w:val="24"/>
          <w:szCs w:val="24"/>
        </w:rPr>
        <w:t xml:space="preserve"> recovering the debt. The limitation they have is that it must be six years for the recovery of interest and twelve years for the recovery of capital. Debt action usually occurs when the lender has exercised the power of sale and the end result of the </w:t>
      </w:r>
      <w:r w:rsidR="00563690">
        <w:rPr>
          <w:rFonts w:ascii="Arial" w:hAnsi="Arial" w:cs="Arial"/>
          <w:sz w:val="24"/>
          <w:szCs w:val="24"/>
        </w:rPr>
        <w:t>sale was insufficient enough to pay the debt. The borrower will then fall into negative equity and the lender can purse the borrower for the rest of the money as a debt action. (</w:t>
      </w:r>
      <w:r w:rsidR="009067B4">
        <w:rPr>
          <w:rFonts w:ascii="Arial" w:hAnsi="Arial" w:cs="Arial"/>
          <w:sz w:val="24"/>
          <w:szCs w:val="24"/>
        </w:rPr>
        <w:t>Amess,2021</w:t>
      </w:r>
      <w:r w:rsidR="00563690">
        <w:rPr>
          <w:rFonts w:ascii="Arial" w:hAnsi="Arial" w:cs="Arial"/>
          <w:sz w:val="24"/>
          <w:szCs w:val="24"/>
        </w:rPr>
        <w:t>)</w:t>
      </w:r>
    </w:p>
    <w:p w14:paraId="49B0EF57" w14:textId="23DAB04D" w:rsidR="00563690" w:rsidRDefault="00563690" w:rsidP="00F0504F">
      <w:pPr>
        <w:spacing w:after="0"/>
        <w:rPr>
          <w:rFonts w:ascii="Arial" w:hAnsi="Arial" w:cs="Arial"/>
          <w:sz w:val="24"/>
          <w:szCs w:val="24"/>
        </w:rPr>
      </w:pPr>
    </w:p>
    <w:p w14:paraId="6F6EDC18" w14:textId="7D8F3169" w:rsidR="00563690" w:rsidRDefault="00563690" w:rsidP="00F0504F">
      <w:pPr>
        <w:spacing w:after="0"/>
        <w:rPr>
          <w:rFonts w:ascii="Arial" w:hAnsi="Arial" w:cs="Arial"/>
          <w:sz w:val="24"/>
          <w:szCs w:val="24"/>
        </w:rPr>
      </w:pPr>
      <w:r>
        <w:rPr>
          <w:rFonts w:ascii="Arial" w:hAnsi="Arial" w:cs="Arial"/>
          <w:sz w:val="24"/>
          <w:szCs w:val="24"/>
        </w:rPr>
        <w:t>The Trinity bank can also claim possession of Peters farm through the use of the Administration of Justice Act 1</w:t>
      </w:r>
      <w:r w:rsidR="00507F67">
        <w:rPr>
          <w:rFonts w:ascii="Arial" w:hAnsi="Arial" w:cs="Arial"/>
          <w:sz w:val="24"/>
          <w:szCs w:val="24"/>
        </w:rPr>
        <w:t xml:space="preserve">970 and 1973. The Administration of Justice Act 1970 occurs when a mortgage lender claims possession of a dwelling-house. The dwelling-house is a building or part of a building where someone may live (SHELTER,2021) </w:t>
      </w:r>
    </w:p>
    <w:p w14:paraId="79677A0F" w14:textId="11C28777" w:rsidR="00CF2FFB" w:rsidRDefault="00CF2FFB" w:rsidP="00F0504F">
      <w:pPr>
        <w:spacing w:after="0"/>
        <w:rPr>
          <w:rFonts w:ascii="Arial" w:hAnsi="Arial" w:cs="Arial"/>
          <w:sz w:val="24"/>
          <w:szCs w:val="24"/>
        </w:rPr>
      </w:pPr>
    </w:p>
    <w:p w14:paraId="6A8A142F" w14:textId="3994DCD0" w:rsidR="008E0BE5" w:rsidRDefault="00CF2FFB" w:rsidP="00F0504F">
      <w:pPr>
        <w:spacing w:after="0"/>
        <w:rPr>
          <w:rFonts w:ascii="Arial" w:hAnsi="Arial" w:cs="Arial"/>
          <w:sz w:val="24"/>
          <w:szCs w:val="24"/>
        </w:rPr>
      </w:pPr>
      <w:r>
        <w:rPr>
          <w:rFonts w:ascii="Arial" w:hAnsi="Arial" w:cs="Arial"/>
          <w:sz w:val="24"/>
          <w:szCs w:val="24"/>
        </w:rPr>
        <w:t>Another, other option available to the lender is that they could appoint a receiver i</w:t>
      </w:r>
      <w:r w:rsidR="00467F02">
        <w:rPr>
          <w:rFonts w:ascii="Arial" w:hAnsi="Arial" w:cs="Arial"/>
          <w:sz w:val="24"/>
          <w:szCs w:val="24"/>
        </w:rPr>
        <w:t xml:space="preserve">f a property falls into default. A bank usually </w:t>
      </w:r>
      <w:r w:rsidR="00A44297">
        <w:rPr>
          <w:rFonts w:ascii="Arial" w:hAnsi="Arial" w:cs="Arial"/>
          <w:sz w:val="24"/>
          <w:szCs w:val="24"/>
        </w:rPr>
        <w:t>appoints</w:t>
      </w:r>
      <w:r w:rsidR="00467F02">
        <w:rPr>
          <w:rFonts w:ascii="Arial" w:hAnsi="Arial" w:cs="Arial"/>
          <w:sz w:val="24"/>
          <w:szCs w:val="24"/>
        </w:rPr>
        <w:t xml:space="preserve"> a receiver if the property that has the mortgage is producing an income. The income is usually in the form of a buy to let scheme. Where the property is bought in order to rent out instead of the being the buyer primary residences. The receivers power arises in a similar way of the power of sale. </w:t>
      </w:r>
      <w:r w:rsidR="008E0BE5">
        <w:rPr>
          <w:rFonts w:ascii="Arial" w:hAnsi="Arial" w:cs="Arial"/>
          <w:sz w:val="24"/>
          <w:szCs w:val="24"/>
        </w:rPr>
        <w:t xml:space="preserve">This means that it must also follow the </w:t>
      </w:r>
      <w:r w:rsidR="00A44297">
        <w:rPr>
          <w:rFonts w:ascii="Arial" w:hAnsi="Arial" w:cs="Arial"/>
          <w:sz w:val="24"/>
          <w:szCs w:val="24"/>
        </w:rPr>
        <w:t>same</w:t>
      </w:r>
      <w:r w:rsidR="008E0BE5">
        <w:rPr>
          <w:rFonts w:ascii="Arial" w:hAnsi="Arial" w:cs="Arial"/>
          <w:sz w:val="24"/>
          <w:szCs w:val="24"/>
        </w:rPr>
        <w:t xml:space="preserve"> </w:t>
      </w:r>
      <w:r w:rsidR="00A44297">
        <w:rPr>
          <w:rFonts w:ascii="Arial" w:hAnsi="Arial" w:cs="Arial"/>
          <w:sz w:val="24"/>
          <w:szCs w:val="24"/>
        </w:rPr>
        <w:t>guidelines</w:t>
      </w:r>
      <w:r w:rsidR="008E0BE5">
        <w:rPr>
          <w:rFonts w:ascii="Arial" w:hAnsi="Arial" w:cs="Arial"/>
          <w:sz w:val="24"/>
          <w:szCs w:val="24"/>
        </w:rPr>
        <w:t xml:space="preserve"> and be </w:t>
      </w:r>
      <w:r w:rsidR="00A44297">
        <w:rPr>
          <w:rFonts w:ascii="Arial" w:hAnsi="Arial" w:cs="Arial"/>
          <w:sz w:val="24"/>
          <w:szCs w:val="24"/>
        </w:rPr>
        <w:t>exercised</w:t>
      </w:r>
      <w:r w:rsidR="008E0BE5">
        <w:rPr>
          <w:rFonts w:ascii="Arial" w:hAnsi="Arial" w:cs="Arial"/>
          <w:sz w:val="24"/>
          <w:szCs w:val="24"/>
        </w:rPr>
        <w:t xml:space="preserve"> in </w:t>
      </w:r>
      <w:r w:rsidR="008E0BE5">
        <w:rPr>
          <w:rFonts w:ascii="Arial" w:hAnsi="Arial" w:cs="Arial"/>
          <w:sz w:val="24"/>
          <w:szCs w:val="24"/>
        </w:rPr>
        <w:lastRenderedPageBreak/>
        <w:t>section 109(1) of the Law of Property Act 1925. The reiver must be appointed in writing and the lender is the one to decide who to the receiver is that gets appointed. The receiver gets the power to demand and receive income from the property. The income must be applied as per in section 109 (8) LPA 1925 to pay the outgoings on the property</w:t>
      </w:r>
      <w:r w:rsidR="003546B5">
        <w:rPr>
          <w:rFonts w:ascii="Arial" w:hAnsi="Arial" w:cs="Arial"/>
          <w:sz w:val="24"/>
          <w:szCs w:val="24"/>
        </w:rPr>
        <w:t xml:space="preserve"> (</w:t>
      </w:r>
      <w:r w:rsidR="00FC2B0F">
        <w:rPr>
          <w:rFonts w:ascii="Arial" w:hAnsi="Arial" w:cs="Arial"/>
          <w:sz w:val="24"/>
          <w:szCs w:val="24"/>
        </w:rPr>
        <w:t>HM Land Registry,2018</w:t>
      </w:r>
      <w:r w:rsidR="003546B5">
        <w:rPr>
          <w:rFonts w:ascii="Arial" w:hAnsi="Arial" w:cs="Arial"/>
          <w:sz w:val="24"/>
          <w:szCs w:val="24"/>
        </w:rPr>
        <w:t>)</w:t>
      </w:r>
      <w:r w:rsidR="008E0BE5">
        <w:rPr>
          <w:rFonts w:ascii="Arial" w:hAnsi="Arial" w:cs="Arial"/>
          <w:sz w:val="24"/>
          <w:szCs w:val="24"/>
        </w:rPr>
        <w:t xml:space="preserve">. These outgoings consist of </w:t>
      </w:r>
      <w:r w:rsidR="003546B5">
        <w:rPr>
          <w:rFonts w:ascii="Arial" w:hAnsi="Arial" w:cs="Arial"/>
          <w:sz w:val="24"/>
          <w:szCs w:val="24"/>
        </w:rPr>
        <w:t>things</w:t>
      </w:r>
      <w:r w:rsidR="008E0BE5">
        <w:rPr>
          <w:rFonts w:ascii="Arial" w:hAnsi="Arial" w:cs="Arial"/>
          <w:sz w:val="24"/>
          <w:szCs w:val="24"/>
        </w:rPr>
        <w:t xml:space="preserve"> such as the </w:t>
      </w:r>
      <w:r w:rsidR="003546B5">
        <w:rPr>
          <w:rFonts w:ascii="Arial" w:hAnsi="Arial" w:cs="Arial"/>
          <w:sz w:val="24"/>
          <w:szCs w:val="24"/>
        </w:rPr>
        <w:t>interest</w:t>
      </w:r>
      <w:r w:rsidR="008E0BE5">
        <w:rPr>
          <w:rFonts w:ascii="Arial" w:hAnsi="Arial" w:cs="Arial"/>
          <w:sz w:val="24"/>
          <w:szCs w:val="24"/>
        </w:rPr>
        <w:t xml:space="preserve"> on any prior mortgages, insurance premiums, costs of repairs and their own costs. It also includes the interest on the current mortgage, the capital on the current mortgage and the balance to the borrower. </w:t>
      </w:r>
      <w:r w:rsidR="00742F53">
        <w:rPr>
          <w:rFonts w:ascii="Arial" w:hAnsi="Arial" w:cs="Arial"/>
          <w:sz w:val="24"/>
          <w:szCs w:val="24"/>
        </w:rPr>
        <w:t xml:space="preserve">It is also important to understand that the LPA 1925 does not grant the receiver any power to sell the property. The mortgages terms wills usually extend the powers of the receiver to include a power to sell the property. The borrower is solely responsible for the acts of the receiver because the receiver is deemed to be the agent of the borrower in section 109 (2) of the LPA 1925.appointing a receiver is more appealing to a lender than taking possession because the borrower has no recourse to the lender for the acts or omissions of the receiver. </w:t>
      </w:r>
      <w:r w:rsidR="003546B5">
        <w:rPr>
          <w:rFonts w:ascii="Arial" w:hAnsi="Arial" w:cs="Arial"/>
          <w:sz w:val="24"/>
          <w:szCs w:val="24"/>
        </w:rPr>
        <w:t>Appointing a receiver allows the lender to escape the strict duty to account in taking possession and liability as this is passed to the receiver. (</w:t>
      </w:r>
      <w:r w:rsidR="00701FFD">
        <w:rPr>
          <w:rFonts w:ascii="Arial" w:hAnsi="Arial" w:cs="Arial"/>
          <w:sz w:val="24"/>
          <w:szCs w:val="24"/>
        </w:rPr>
        <w:t>Laytons, 2020</w:t>
      </w:r>
      <w:r w:rsidR="003546B5">
        <w:rPr>
          <w:rFonts w:ascii="Arial" w:hAnsi="Arial" w:cs="Arial"/>
          <w:sz w:val="24"/>
          <w:szCs w:val="24"/>
        </w:rPr>
        <w:t xml:space="preserve">). </w:t>
      </w:r>
      <w:r w:rsidR="00FC2B0F">
        <w:rPr>
          <w:rFonts w:ascii="Arial" w:hAnsi="Arial" w:cs="Arial"/>
          <w:sz w:val="24"/>
          <w:szCs w:val="24"/>
        </w:rPr>
        <w:t xml:space="preserve">However, a receiver has a duty to both the lender and the borrower. They have to ensure that their personal interest do </w:t>
      </w:r>
      <w:r w:rsidR="00A44297">
        <w:rPr>
          <w:rFonts w:ascii="Arial" w:hAnsi="Arial" w:cs="Arial"/>
          <w:sz w:val="24"/>
          <w:szCs w:val="24"/>
        </w:rPr>
        <w:t>not</w:t>
      </w:r>
      <w:r w:rsidR="00FC2B0F">
        <w:rPr>
          <w:rFonts w:ascii="Arial" w:hAnsi="Arial" w:cs="Arial"/>
          <w:sz w:val="24"/>
          <w:szCs w:val="24"/>
        </w:rPr>
        <w:t xml:space="preserve"> conflict with their role as a receiver. This means that the receiver can not purchase the property after it is mortgaged. </w:t>
      </w:r>
    </w:p>
    <w:p w14:paraId="6C82DBBB" w14:textId="77777777" w:rsidR="008E0BE5" w:rsidRDefault="008E0BE5" w:rsidP="00F0504F">
      <w:pPr>
        <w:spacing w:after="0"/>
        <w:rPr>
          <w:rFonts w:ascii="Arial" w:hAnsi="Arial" w:cs="Arial"/>
          <w:sz w:val="24"/>
          <w:szCs w:val="24"/>
        </w:rPr>
      </w:pPr>
    </w:p>
    <w:p w14:paraId="733AEFEC" w14:textId="26B96B5A" w:rsidR="00507F67" w:rsidRDefault="002352D2" w:rsidP="00F0504F">
      <w:pPr>
        <w:spacing w:after="0"/>
        <w:rPr>
          <w:rFonts w:ascii="Arial" w:hAnsi="Arial" w:cs="Arial"/>
          <w:sz w:val="24"/>
          <w:szCs w:val="24"/>
        </w:rPr>
      </w:pPr>
      <w:r>
        <w:rPr>
          <w:rFonts w:ascii="Arial" w:hAnsi="Arial" w:cs="Arial"/>
          <w:sz w:val="24"/>
          <w:szCs w:val="24"/>
        </w:rPr>
        <w:t xml:space="preserve">Foreclosure is also available to Trinity bank. Foreclosure is application that the lender can apply for to the High Court. </w:t>
      </w:r>
      <w:r w:rsidR="005D3CE0">
        <w:rPr>
          <w:rFonts w:ascii="Arial" w:hAnsi="Arial" w:cs="Arial"/>
          <w:sz w:val="24"/>
          <w:szCs w:val="24"/>
        </w:rPr>
        <w:t xml:space="preserve">Foreclosure is a legal process by which a lender attempts to regain the amount owed on the default loan by taking ownership of the mortgaged property and selling it. </w:t>
      </w:r>
      <w:r>
        <w:rPr>
          <w:rFonts w:ascii="Arial" w:hAnsi="Arial" w:cs="Arial"/>
          <w:sz w:val="24"/>
          <w:szCs w:val="24"/>
        </w:rPr>
        <w:t>This can only occur when a legal date for the redemption has passed. The foreclosure has two main factors. The first factor is known as the foreclosure Nisi</w:t>
      </w:r>
      <w:r w:rsidR="00E438F6">
        <w:rPr>
          <w:rFonts w:ascii="Arial" w:hAnsi="Arial" w:cs="Arial"/>
          <w:sz w:val="24"/>
          <w:szCs w:val="24"/>
        </w:rPr>
        <w:t>. This first factor directs the preparation of account of what is owed by the borrow. This is then followed by a period of six month in which Peter would have to pay (</w:t>
      </w:r>
      <w:r w:rsidR="002A49F6">
        <w:rPr>
          <w:rFonts w:ascii="Arial" w:hAnsi="Arial" w:cs="Arial"/>
          <w:sz w:val="24"/>
          <w:szCs w:val="24"/>
        </w:rPr>
        <w:t>UK government, 2021</w:t>
      </w:r>
      <w:r w:rsidR="00E438F6">
        <w:rPr>
          <w:rFonts w:ascii="Arial" w:hAnsi="Arial" w:cs="Arial"/>
          <w:sz w:val="24"/>
          <w:szCs w:val="24"/>
        </w:rPr>
        <w:t>). The Second foreclosure factor is the Foreclosure absolute. This has the effect of vesting the title of the property in the lender and extinguishing the equity of redemption held by the borrower (</w:t>
      </w:r>
      <w:r w:rsidR="002A49F6">
        <w:rPr>
          <w:rFonts w:ascii="Arial" w:hAnsi="Arial" w:cs="Arial"/>
          <w:sz w:val="24"/>
          <w:szCs w:val="24"/>
        </w:rPr>
        <w:t>Bag,2016</w:t>
      </w:r>
      <w:r w:rsidR="00E438F6">
        <w:rPr>
          <w:rFonts w:ascii="Arial" w:hAnsi="Arial" w:cs="Arial"/>
          <w:sz w:val="24"/>
          <w:szCs w:val="24"/>
        </w:rPr>
        <w:t xml:space="preserve">). When a property is worth more than the sum owed to the lender. The lender </w:t>
      </w:r>
      <w:r w:rsidR="005D3CE0">
        <w:rPr>
          <w:rFonts w:ascii="Arial" w:hAnsi="Arial" w:cs="Arial"/>
          <w:sz w:val="24"/>
          <w:szCs w:val="24"/>
        </w:rPr>
        <w:t>is then entitled to keep the surplus of the property as they have gained ownership through the courts. On the other hand, if the property is worth less than the amount owed to th</w:t>
      </w:r>
      <w:r w:rsidR="00A80741">
        <w:rPr>
          <w:rFonts w:ascii="Arial" w:hAnsi="Arial" w:cs="Arial"/>
          <w:sz w:val="24"/>
          <w:szCs w:val="24"/>
        </w:rPr>
        <w:t xml:space="preserve">e lender, the borrow become released from liability. This is why this remedy is rarely used when there is negative equity involved as they may lose out on their money owed. However, Peter the borrow is protected from the draconian effect of foreclosure by </w:t>
      </w:r>
      <w:r w:rsidR="003E3B9D">
        <w:rPr>
          <w:rFonts w:ascii="Arial" w:hAnsi="Arial" w:cs="Arial"/>
          <w:sz w:val="24"/>
          <w:szCs w:val="24"/>
        </w:rPr>
        <w:t>the discretion of the court to re-open foreclosure proceeding</w:t>
      </w:r>
      <w:r w:rsidR="00461DC2">
        <w:rPr>
          <w:rFonts w:ascii="Arial" w:hAnsi="Arial" w:cs="Arial"/>
          <w:sz w:val="24"/>
          <w:szCs w:val="24"/>
        </w:rPr>
        <w:t xml:space="preserve">. </w:t>
      </w:r>
    </w:p>
    <w:p w14:paraId="0D707F7C" w14:textId="2FD76B26" w:rsidR="00E84222" w:rsidRDefault="00E84222" w:rsidP="00F0504F">
      <w:pPr>
        <w:spacing w:after="0"/>
        <w:rPr>
          <w:rFonts w:ascii="Arial" w:hAnsi="Arial" w:cs="Arial"/>
          <w:sz w:val="24"/>
          <w:szCs w:val="24"/>
        </w:rPr>
      </w:pPr>
    </w:p>
    <w:p w14:paraId="11A3FDCB" w14:textId="1CB65628" w:rsidR="009A37A1" w:rsidRDefault="00E84222" w:rsidP="00EE336A">
      <w:pPr>
        <w:rPr>
          <w:rFonts w:ascii="Arial" w:hAnsi="Arial" w:cs="Arial"/>
          <w:sz w:val="24"/>
          <w:szCs w:val="24"/>
        </w:rPr>
      </w:pPr>
      <w:r>
        <w:rPr>
          <w:rFonts w:ascii="Arial" w:hAnsi="Arial" w:cs="Arial"/>
          <w:sz w:val="24"/>
          <w:szCs w:val="24"/>
        </w:rPr>
        <w:t>Furthermore, Trinity Bank has a duty of care to their borrowers.</w:t>
      </w:r>
      <w:r w:rsidR="002952D5" w:rsidRPr="002952D5">
        <w:rPr>
          <w:rFonts w:ascii="Arial" w:hAnsi="Arial" w:cs="Arial"/>
          <w:sz w:val="24"/>
          <w:szCs w:val="24"/>
        </w:rPr>
        <w:t xml:space="preserve"> </w:t>
      </w:r>
      <w:r w:rsidR="002952D5">
        <w:rPr>
          <w:rFonts w:ascii="Arial" w:hAnsi="Arial" w:cs="Arial"/>
          <w:sz w:val="24"/>
          <w:szCs w:val="24"/>
        </w:rPr>
        <w:t xml:space="preserve">Trinity </w:t>
      </w:r>
      <w:r w:rsidR="002952D5">
        <w:rPr>
          <w:rFonts w:ascii="Arial" w:hAnsi="Arial" w:cs="Arial"/>
          <w:sz w:val="24"/>
          <w:szCs w:val="24"/>
        </w:rPr>
        <w:t>Bank must do proper checks to ensure that a borrower can afford to make payments instead of taking the borrower’s word. They usually do this in the form of checking a borrower’s bank statements and pay slips. This protects both the borrower and the lender as the borrower does not get into debt he cannot afford. It protects the lender by stopping them from losing money on a loan that the borrower cannot afford to pay back. (Arthurs,2013)</w:t>
      </w:r>
      <w:r w:rsidR="002952D5">
        <w:rPr>
          <w:rFonts w:ascii="Arial" w:hAnsi="Arial" w:cs="Arial"/>
          <w:sz w:val="24"/>
          <w:szCs w:val="24"/>
        </w:rPr>
        <w:t xml:space="preserve"> However, people circumstances can change and that could be the cause with Peter</w:t>
      </w:r>
      <w:r w:rsidR="007060AF">
        <w:rPr>
          <w:rFonts w:ascii="Arial" w:hAnsi="Arial" w:cs="Arial"/>
          <w:sz w:val="24"/>
          <w:szCs w:val="24"/>
        </w:rPr>
        <w:t xml:space="preserve"> (Neale,2021)</w:t>
      </w:r>
      <w:r w:rsidR="002952D5">
        <w:rPr>
          <w:rFonts w:ascii="Arial" w:hAnsi="Arial" w:cs="Arial"/>
          <w:sz w:val="24"/>
          <w:szCs w:val="24"/>
        </w:rPr>
        <w:t xml:space="preserve">. Peters’ circumstances could have changed and </w:t>
      </w:r>
      <w:r w:rsidR="002952D5">
        <w:rPr>
          <w:rFonts w:ascii="Arial" w:hAnsi="Arial" w:cs="Arial"/>
          <w:sz w:val="24"/>
          <w:szCs w:val="24"/>
        </w:rPr>
        <w:lastRenderedPageBreak/>
        <w:t xml:space="preserve">that’s why he fell into default. If this was the case Peter should have contacted the lender and sorted out a payment plan, that may have been more flexible. He could have also contact </w:t>
      </w:r>
      <w:r w:rsidR="007060AF">
        <w:rPr>
          <w:rFonts w:ascii="Arial" w:hAnsi="Arial" w:cs="Arial"/>
          <w:sz w:val="24"/>
          <w:szCs w:val="24"/>
        </w:rPr>
        <w:t>citizen</w:t>
      </w:r>
      <w:r w:rsidR="002952D5">
        <w:rPr>
          <w:rFonts w:ascii="Arial" w:hAnsi="Arial" w:cs="Arial"/>
          <w:sz w:val="24"/>
          <w:szCs w:val="24"/>
        </w:rPr>
        <w:t xml:space="preserve"> advice who could help with his finances and suitable advice</w:t>
      </w:r>
      <w:r w:rsidR="007060AF">
        <w:rPr>
          <w:rFonts w:ascii="Arial" w:hAnsi="Arial" w:cs="Arial"/>
          <w:sz w:val="24"/>
          <w:szCs w:val="24"/>
        </w:rPr>
        <w:t xml:space="preserve"> (Citizens Advice, 2021)</w:t>
      </w:r>
      <w:r w:rsidR="002952D5">
        <w:rPr>
          <w:rFonts w:ascii="Arial" w:hAnsi="Arial" w:cs="Arial"/>
          <w:sz w:val="24"/>
          <w:szCs w:val="24"/>
        </w:rPr>
        <w:t xml:space="preserve">. </w:t>
      </w:r>
    </w:p>
    <w:p w14:paraId="1A1405D0" w14:textId="09ADCFBB" w:rsidR="00701FFD" w:rsidRDefault="00701FFD" w:rsidP="00EE336A">
      <w:pPr>
        <w:rPr>
          <w:rFonts w:ascii="Arial" w:hAnsi="Arial" w:cs="Arial"/>
          <w:sz w:val="24"/>
          <w:szCs w:val="24"/>
        </w:rPr>
      </w:pPr>
      <w:r>
        <w:rPr>
          <w:rFonts w:ascii="Arial" w:hAnsi="Arial" w:cs="Arial"/>
          <w:sz w:val="24"/>
          <w:szCs w:val="24"/>
        </w:rPr>
        <w:t xml:space="preserve">To conclude, there are many remedies available to both Trinity bank and Peter. However, they do have strict guidelines that they have to follow in order to take possession of a property. They also have to give peter plenty of notice and warnings before they can continue forward. </w:t>
      </w:r>
      <w:r w:rsidR="00A44297">
        <w:rPr>
          <w:rFonts w:ascii="Arial" w:hAnsi="Arial" w:cs="Arial"/>
          <w:sz w:val="24"/>
          <w:szCs w:val="24"/>
        </w:rPr>
        <w:t xml:space="preserve">Therefore, Peter will have plenty of notice an option before his home is repossessed. </w:t>
      </w:r>
    </w:p>
    <w:p w14:paraId="191D71F6" w14:textId="788F105D" w:rsidR="003546B5" w:rsidRDefault="003546B5" w:rsidP="00EE336A">
      <w:pPr>
        <w:rPr>
          <w:rFonts w:ascii="Arial" w:hAnsi="Arial" w:cs="Arial"/>
          <w:sz w:val="24"/>
          <w:szCs w:val="24"/>
        </w:rPr>
      </w:pPr>
    </w:p>
    <w:p w14:paraId="33EC55C7" w14:textId="1C216DBD" w:rsidR="009A37A1" w:rsidRDefault="009A37A1" w:rsidP="00EE336A">
      <w:pPr>
        <w:rPr>
          <w:rFonts w:ascii="Arial" w:hAnsi="Arial" w:cs="Arial"/>
          <w:sz w:val="24"/>
          <w:szCs w:val="24"/>
        </w:rPr>
      </w:pPr>
    </w:p>
    <w:p w14:paraId="497BBD7B" w14:textId="2B20FF03" w:rsidR="00BD21D8" w:rsidRDefault="00BD21D8" w:rsidP="00EE336A">
      <w:pPr>
        <w:rPr>
          <w:rFonts w:ascii="Arial" w:hAnsi="Arial" w:cs="Arial"/>
          <w:sz w:val="24"/>
          <w:szCs w:val="24"/>
        </w:rPr>
      </w:pPr>
    </w:p>
    <w:p w14:paraId="2BE3DC13" w14:textId="5F7E9167" w:rsidR="00BD21D8" w:rsidRDefault="00BD21D8" w:rsidP="00EE336A">
      <w:pPr>
        <w:rPr>
          <w:rFonts w:ascii="Arial" w:hAnsi="Arial" w:cs="Arial"/>
          <w:sz w:val="24"/>
          <w:szCs w:val="24"/>
        </w:rPr>
      </w:pPr>
    </w:p>
    <w:p w14:paraId="159D07B8" w14:textId="443DD584" w:rsidR="00BD21D8" w:rsidRDefault="00BD21D8" w:rsidP="00EE336A">
      <w:pPr>
        <w:rPr>
          <w:rFonts w:ascii="Arial" w:hAnsi="Arial" w:cs="Arial"/>
          <w:sz w:val="24"/>
          <w:szCs w:val="24"/>
        </w:rPr>
      </w:pPr>
    </w:p>
    <w:p w14:paraId="13350139" w14:textId="737C9A22" w:rsidR="00BD21D8" w:rsidRDefault="00BD21D8" w:rsidP="00EE336A">
      <w:pPr>
        <w:rPr>
          <w:rFonts w:ascii="Arial" w:hAnsi="Arial" w:cs="Arial"/>
          <w:sz w:val="24"/>
          <w:szCs w:val="24"/>
        </w:rPr>
      </w:pPr>
    </w:p>
    <w:p w14:paraId="0E31ED8F" w14:textId="2C734D4F" w:rsidR="00BD21D8" w:rsidRDefault="00BD21D8" w:rsidP="00EE336A">
      <w:pPr>
        <w:rPr>
          <w:rFonts w:ascii="Arial" w:hAnsi="Arial" w:cs="Arial"/>
          <w:sz w:val="24"/>
          <w:szCs w:val="24"/>
        </w:rPr>
      </w:pPr>
    </w:p>
    <w:p w14:paraId="5E6998AE" w14:textId="141321E8" w:rsidR="00BD21D8" w:rsidRDefault="00BD21D8" w:rsidP="00EE336A">
      <w:pPr>
        <w:rPr>
          <w:rFonts w:ascii="Arial" w:hAnsi="Arial" w:cs="Arial"/>
          <w:sz w:val="24"/>
          <w:szCs w:val="24"/>
        </w:rPr>
      </w:pPr>
    </w:p>
    <w:p w14:paraId="3D087AD4" w14:textId="095CDDAD" w:rsidR="00BD21D8" w:rsidRDefault="00BD21D8" w:rsidP="00EE336A">
      <w:pPr>
        <w:rPr>
          <w:rFonts w:ascii="Arial" w:hAnsi="Arial" w:cs="Arial"/>
          <w:sz w:val="24"/>
          <w:szCs w:val="24"/>
        </w:rPr>
      </w:pPr>
    </w:p>
    <w:p w14:paraId="4AB0F456" w14:textId="019A73D1" w:rsidR="00BD21D8" w:rsidRDefault="00BD21D8" w:rsidP="00EE336A">
      <w:pPr>
        <w:rPr>
          <w:rFonts w:ascii="Arial" w:hAnsi="Arial" w:cs="Arial"/>
          <w:sz w:val="24"/>
          <w:szCs w:val="24"/>
        </w:rPr>
      </w:pPr>
    </w:p>
    <w:p w14:paraId="1D59D3F9" w14:textId="1A25B008" w:rsidR="00BD21D8" w:rsidRDefault="00BD21D8" w:rsidP="00EE336A">
      <w:pPr>
        <w:rPr>
          <w:rFonts w:ascii="Arial" w:hAnsi="Arial" w:cs="Arial"/>
          <w:sz w:val="24"/>
          <w:szCs w:val="24"/>
        </w:rPr>
      </w:pPr>
    </w:p>
    <w:p w14:paraId="32DEE734" w14:textId="2C58923E" w:rsidR="00BD21D8" w:rsidRDefault="00BD21D8" w:rsidP="00EE336A">
      <w:pPr>
        <w:rPr>
          <w:rFonts w:ascii="Arial" w:hAnsi="Arial" w:cs="Arial"/>
          <w:sz w:val="24"/>
          <w:szCs w:val="24"/>
        </w:rPr>
      </w:pPr>
    </w:p>
    <w:p w14:paraId="5CEF1646" w14:textId="5B365109" w:rsidR="00BD21D8" w:rsidRDefault="00BD21D8" w:rsidP="00EE336A">
      <w:pPr>
        <w:rPr>
          <w:rFonts w:ascii="Arial" w:hAnsi="Arial" w:cs="Arial"/>
          <w:sz w:val="24"/>
          <w:szCs w:val="24"/>
        </w:rPr>
      </w:pPr>
    </w:p>
    <w:p w14:paraId="4DCFA115" w14:textId="3163822A" w:rsidR="00BD21D8" w:rsidRDefault="00BD21D8" w:rsidP="00EE336A">
      <w:pPr>
        <w:rPr>
          <w:rFonts w:ascii="Arial" w:hAnsi="Arial" w:cs="Arial"/>
          <w:sz w:val="24"/>
          <w:szCs w:val="24"/>
        </w:rPr>
      </w:pPr>
    </w:p>
    <w:p w14:paraId="51854F70" w14:textId="02454EC9" w:rsidR="00BD21D8" w:rsidRDefault="00BD21D8" w:rsidP="00EE336A">
      <w:pPr>
        <w:rPr>
          <w:rFonts w:ascii="Arial" w:hAnsi="Arial" w:cs="Arial"/>
          <w:sz w:val="24"/>
          <w:szCs w:val="24"/>
        </w:rPr>
      </w:pPr>
    </w:p>
    <w:p w14:paraId="37EC395B" w14:textId="7C6124B6" w:rsidR="00BD21D8" w:rsidRDefault="00BD21D8" w:rsidP="00EE336A">
      <w:pPr>
        <w:rPr>
          <w:rFonts w:ascii="Arial" w:hAnsi="Arial" w:cs="Arial"/>
          <w:sz w:val="24"/>
          <w:szCs w:val="24"/>
        </w:rPr>
      </w:pPr>
    </w:p>
    <w:p w14:paraId="35CA43FE" w14:textId="2B9F3414" w:rsidR="00BD21D8" w:rsidRDefault="00BD21D8" w:rsidP="00EE336A">
      <w:pPr>
        <w:rPr>
          <w:rFonts w:ascii="Arial" w:hAnsi="Arial" w:cs="Arial"/>
          <w:sz w:val="24"/>
          <w:szCs w:val="24"/>
        </w:rPr>
      </w:pPr>
    </w:p>
    <w:p w14:paraId="159D9DB6" w14:textId="5AB81CAB" w:rsidR="00BD21D8" w:rsidRDefault="00BD21D8" w:rsidP="00EE336A">
      <w:pPr>
        <w:rPr>
          <w:rFonts w:ascii="Arial" w:hAnsi="Arial" w:cs="Arial"/>
          <w:sz w:val="24"/>
          <w:szCs w:val="24"/>
        </w:rPr>
      </w:pPr>
    </w:p>
    <w:p w14:paraId="6430A5E2" w14:textId="3958C02B" w:rsidR="00BD21D8" w:rsidRDefault="00BD21D8" w:rsidP="00EE336A">
      <w:pPr>
        <w:rPr>
          <w:rFonts w:ascii="Arial" w:hAnsi="Arial" w:cs="Arial"/>
          <w:sz w:val="24"/>
          <w:szCs w:val="24"/>
        </w:rPr>
      </w:pPr>
    </w:p>
    <w:p w14:paraId="1CD10F22" w14:textId="1B3E5934" w:rsidR="00BD21D8" w:rsidRDefault="00BD21D8" w:rsidP="00EE336A">
      <w:pPr>
        <w:rPr>
          <w:rFonts w:ascii="Arial" w:hAnsi="Arial" w:cs="Arial"/>
          <w:sz w:val="24"/>
          <w:szCs w:val="24"/>
        </w:rPr>
      </w:pPr>
    </w:p>
    <w:p w14:paraId="41F0EF2A" w14:textId="5313FED7" w:rsidR="00BD21D8" w:rsidRDefault="00BD21D8" w:rsidP="00EE336A">
      <w:pPr>
        <w:rPr>
          <w:rFonts w:ascii="Arial" w:hAnsi="Arial" w:cs="Arial"/>
          <w:sz w:val="24"/>
          <w:szCs w:val="24"/>
        </w:rPr>
      </w:pPr>
    </w:p>
    <w:p w14:paraId="41245D1D" w14:textId="2B1507AA" w:rsidR="00BD21D8" w:rsidRDefault="00BD21D8" w:rsidP="00EE336A">
      <w:pPr>
        <w:rPr>
          <w:rFonts w:ascii="Arial" w:hAnsi="Arial" w:cs="Arial"/>
          <w:sz w:val="24"/>
          <w:szCs w:val="24"/>
        </w:rPr>
      </w:pPr>
    </w:p>
    <w:p w14:paraId="60D3CE56" w14:textId="389FA152" w:rsidR="00BD21D8" w:rsidRDefault="00BD21D8" w:rsidP="00EE336A">
      <w:pPr>
        <w:rPr>
          <w:rFonts w:ascii="Arial" w:hAnsi="Arial" w:cs="Arial"/>
          <w:sz w:val="24"/>
          <w:szCs w:val="24"/>
        </w:rPr>
      </w:pPr>
    </w:p>
    <w:p w14:paraId="024633AD" w14:textId="77777777" w:rsidR="00BD21D8" w:rsidRDefault="00BD21D8" w:rsidP="00EE336A">
      <w:pPr>
        <w:rPr>
          <w:rFonts w:ascii="Arial" w:hAnsi="Arial" w:cs="Arial"/>
          <w:sz w:val="24"/>
          <w:szCs w:val="24"/>
        </w:rPr>
      </w:pPr>
    </w:p>
    <w:p w14:paraId="648A257D" w14:textId="305705A0" w:rsidR="0060668E" w:rsidRPr="00BD21D8" w:rsidRDefault="004605E3" w:rsidP="00EE336A">
      <w:pPr>
        <w:rPr>
          <w:rFonts w:ascii="Arial" w:hAnsi="Arial" w:cs="Arial"/>
          <w:b/>
          <w:bCs/>
          <w:i/>
          <w:iCs/>
          <w:sz w:val="24"/>
          <w:szCs w:val="24"/>
          <w:u w:val="single"/>
        </w:rPr>
      </w:pPr>
      <w:r w:rsidRPr="00BD21D8">
        <w:rPr>
          <w:rFonts w:ascii="Arial" w:hAnsi="Arial" w:cs="Arial"/>
          <w:b/>
          <w:bCs/>
          <w:i/>
          <w:iCs/>
          <w:sz w:val="24"/>
          <w:szCs w:val="24"/>
          <w:u w:val="single"/>
        </w:rPr>
        <w:lastRenderedPageBreak/>
        <w:t xml:space="preserve"> </w:t>
      </w:r>
      <w:r w:rsidR="000C0DB2" w:rsidRPr="00BD21D8">
        <w:rPr>
          <w:rFonts w:ascii="Arial" w:hAnsi="Arial" w:cs="Arial"/>
          <w:b/>
          <w:bCs/>
          <w:i/>
          <w:iCs/>
          <w:sz w:val="24"/>
          <w:szCs w:val="24"/>
          <w:u w:val="single"/>
        </w:rPr>
        <w:t xml:space="preserve">Reference </w:t>
      </w:r>
    </w:p>
    <w:p w14:paraId="0E2BA706" w14:textId="103213DC" w:rsidR="00E84222" w:rsidRDefault="00E84222" w:rsidP="00EE336A">
      <w:pPr>
        <w:rPr>
          <w:rFonts w:ascii="Arial" w:hAnsi="Arial" w:cs="Arial"/>
          <w:sz w:val="24"/>
          <w:szCs w:val="24"/>
        </w:rPr>
      </w:pPr>
      <w:r>
        <w:rPr>
          <w:rFonts w:ascii="Arial" w:hAnsi="Arial" w:cs="Arial"/>
          <w:sz w:val="24"/>
          <w:szCs w:val="24"/>
        </w:rPr>
        <w:t xml:space="preserve">Arthurs, C (2013) Borrowers, </w:t>
      </w:r>
      <w:r w:rsidR="00A44297">
        <w:rPr>
          <w:rFonts w:ascii="Arial" w:hAnsi="Arial" w:cs="Arial"/>
          <w:sz w:val="24"/>
          <w:szCs w:val="24"/>
        </w:rPr>
        <w:t>lenders,</w:t>
      </w:r>
      <w:r>
        <w:rPr>
          <w:rFonts w:ascii="Arial" w:hAnsi="Arial" w:cs="Arial"/>
          <w:sz w:val="24"/>
          <w:szCs w:val="24"/>
        </w:rPr>
        <w:t xml:space="preserve"> and the duty of care. Available at URL </w:t>
      </w:r>
      <w:hyperlink r:id="rId17" w:history="1">
        <w:r w:rsidRPr="001B0DBC">
          <w:rPr>
            <w:rStyle w:val="Hyperlink"/>
            <w:rFonts w:ascii="Arial" w:hAnsi="Arial" w:cs="Arial"/>
            <w:sz w:val="24"/>
            <w:szCs w:val="24"/>
          </w:rPr>
          <w:t>http</w:t>
        </w:r>
        <w:r w:rsidRPr="001B0DBC">
          <w:rPr>
            <w:rStyle w:val="Hyperlink"/>
            <w:rFonts w:ascii="Arial" w:hAnsi="Arial" w:cs="Arial"/>
            <w:sz w:val="24"/>
            <w:szCs w:val="24"/>
          </w:rPr>
          <w:t>s://www.penningtonslaw.com/news-publications/latest-news/wouldnt-bank-on-it-borrowers,-lenders-and-the-duty-of-care</w:t>
        </w:r>
      </w:hyperlink>
      <w:r>
        <w:rPr>
          <w:rFonts w:ascii="Arial" w:hAnsi="Arial" w:cs="Arial"/>
          <w:sz w:val="24"/>
          <w:szCs w:val="24"/>
        </w:rPr>
        <w:t xml:space="preserve"> [Accessed; 28</w:t>
      </w:r>
      <w:r w:rsidRPr="00E84222">
        <w:rPr>
          <w:rFonts w:ascii="Arial" w:hAnsi="Arial" w:cs="Arial"/>
          <w:sz w:val="24"/>
          <w:szCs w:val="24"/>
          <w:vertAlign w:val="superscript"/>
        </w:rPr>
        <w:t>th</w:t>
      </w:r>
      <w:r>
        <w:rPr>
          <w:rFonts w:ascii="Arial" w:hAnsi="Arial" w:cs="Arial"/>
          <w:sz w:val="24"/>
          <w:szCs w:val="24"/>
        </w:rPr>
        <w:t xml:space="preserve"> November 2021] </w:t>
      </w:r>
    </w:p>
    <w:p w14:paraId="56FA4163" w14:textId="0C0AFEC5" w:rsidR="002A49F6" w:rsidRDefault="002A49F6" w:rsidP="00EE336A">
      <w:pPr>
        <w:rPr>
          <w:rFonts w:ascii="Arial" w:hAnsi="Arial" w:cs="Arial"/>
          <w:sz w:val="24"/>
          <w:szCs w:val="24"/>
        </w:rPr>
      </w:pPr>
      <w:r>
        <w:rPr>
          <w:rFonts w:ascii="Arial" w:hAnsi="Arial" w:cs="Arial"/>
          <w:sz w:val="24"/>
          <w:szCs w:val="24"/>
        </w:rPr>
        <w:t xml:space="preserve">Bag, A (2016) Right to foreclosure under transfer of Property Act. Available at URL </w:t>
      </w:r>
      <w:hyperlink r:id="rId18" w:history="1">
        <w:r w:rsidRPr="001B0DBC">
          <w:rPr>
            <w:rStyle w:val="Hyperlink"/>
            <w:rFonts w:ascii="Arial" w:hAnsi="Arial" w:cs="Arial"/>
            <w:sz w:val="24"/>
            <w:szCs w:val="24"/>
          </w:rPr>
          <w:t>http</w:t>
        </w:r>
        <w:r w:rsidRPr="001B0DBC">
          <w:rPr>
            <w:rStyle w:val="Hyperlink"/>
            <w:rFonts w:ascii="Arial" w:hAnsi="Arial" w:cs="Arial"/>
            <w:sz w:val="24"/>
            <w:szCs w:val="24"/>
          </w:rPr>
          <w:t>s://blog.ipleaders.in/right-foreclosure-transfer-property-act/</w:t>
        </w:r>
      </w:hyperlink>
      <w:r>
        <w:rPr>
          <w:rFonts w:ascii="Arial" w:hAnsi="Arial" w:cs="Arial"/>
          <w:sz w:val="24"/>
          <w:szCs w:val="24"/>
        </w:rPr>
        <w:t xml:space="preserve"> [Accessed; 28</w:t>
      </w:r>
      <w:r w:rsidRPr="002A49F6">
        <w:rPr>
          <w:rFonts w:ascii="Arial" w:hAnsi="Arial" w:cs="Arial"/>
          <w:sz w:val="24"/>
          <w:szCs w:val="24"/>
          <w:vertAlign w:val="superscript"/>
        </w:rPr>
        <w:t>th</w:t>
      </w:r>
      <w:r>
        <w:rPr>
          <w:rFonts w:ascii="Arial" w:hAnsi="Arial" w:cs="Arial"/>
          <w:sz w:val="24"/>
          <w:szCs w:val="24"/>
        </w:rPr>
        <w:t xml:space="preserve"> November 2021]</w:t>
      </w:r>
    </w:p>
    <w:p w14:paraId="1CDC86D6" w14:textId="290A07EE" w:rsidR="009067B4" w:rsidRDefault="009067B4" w:rsidP="00EE336A">
      <w:pPr>
        <w:rPr>
          <w:rFonts w:ascii="Arial" w:hAnsi="Arial" w:cs="Arial"/>
          <w:sz w:val="24"/>
          <w:szCs w:val="24"/>
        </w:rPr>
      </w:pPr>
      <w:r>
        <w:rPr>
          <w:rFonts w:ascii="Arial" w:hAnsi="Arial" w:cs="Arial"/>
          <w:sz w:val="24"/>
          <w:szCs w:val="24"/>
        </w:rPr>
        <w:t xml:space="preserve">Bamford, J (2019) Definition of a legal mortgage. Available at URL </w:t>
      </w:r>
      <w:hyperlink r:id="rId19" w:history="1">
        <w:r w:rsidRPr="001B0DBC">
          <w:rPr>
            <w:rStyle w:val="Hyperlink"/>
            <w:rFonts w:ascii="Arial" w:hAnsi="Arial" w:cs="Arial"/>
            <w:sz w:val="24"/>
            <w:szCs w:val="24"/>
          </w:rPr>
          <w:t>http</w:t>
        </w:r>
        <w:r w:rsidRPr="001B0DBC">
          <w:rPr>
            <w:rStyle w:val="Hyperlink"/>
            <w:rFonts w:ascii="Arial" w:hAnsi="Arial" w:cs="Arial"/>
            <w:sz w:val="24"/>
            <w:szCs w:val="24"/>
          </w:rPr>
          <w:t>s://www.regulationtomorrow.com/eu/definition-of-a-legal-mortgage/</w:t>
        </w:r>
      </w:hyperlink>
      <w:r>
        <w:rPr>
          <w:rFonts w:ascii="Arial" w:hAnsi="Arial" w:cs="Arial"/>
          <w:sz w:val="24"/>
          <w:szCs w:val="24"/>
        </w:rPr>
        <w:t xml:space="preserve"> [Accessed;29</w:t>
      </w:r>
      <w:r w:rsidRPr="009067B4">
        <w:rPr>
          <w:rFonts w:ascii="Arial" w:hAnsi="Arial" w:cs="Arial"/>
          <w:sz w:val="24"/>
          <w:szCs w:val="24"/>
          <w:vertAlign w:val="superscript"/>
        </w:rPr>
        <w:t>th</w:t>
      </w:r>
      <w:r>
        <w:rPr>
          <w:rFonts w:ascii="Arial" w:hAnsi="Arial" w:cs="Arial"/>
          <w:sz w:val="24"/>
          <w:szCs w:val="24"/>
        </w:rPr>
        <w:t xml:space="preserve"> November 2021] </w:t>
      </w:r>
    </w:p>
    <w:p w14:paraId="1202E1E1" w14:textId="2475042F" w:rsidR="007060AF" w:rsidRDefault="007060AF" w:rsidP="00EE336A">
      <w:pPr>
        <w:rPr>
          <w:rFonts w:ascii="Arial" w:hAnsi="Arial" w:cs="Arial"/>
          <w:sz w:val="24"/>
          <w:szCs w:val="24"/>
        </w:rPr>
      </w:pPr>
      <w:r>
        <w:rPr>
          <w:rFonts w:ascii="Arial" w:hAnsi="Arial" w:cs="Arial"/>
          <w:sz w:val="24"/>
          <w:szCs w:val="24"/>
        </w:rPr>
        <w:t xml:space="preserve">Citizens Advice (2021) Managing your mortgage. Available at URL </w:t>
      </w:r>
      <w:hyperlink r:id="rId20" w:history="1">
        <w:r w:rsidRPr="001B0DBC">
          <w:rPr>
            <w:rStyle w:val="Hyperlink"/>
            <w:rFonts w:ascii="Arial" w:hAnsi="Arial" w:cs="Arial"/>
            <w:sz w:val="24"/>
            <w:szCs w:val="24"/>
          </w:rPr>
          <w:t>http</w:t>
        </w:r>
        <w:r w:rsidRPr="001B0DBC">
          <w:rPr>
            <w:rStyle w:val="Hyperlink"/>
            <w:rFonts w:ascii="Arial" w:hAnsi="Arial" w:cs="Arial"/>
            <w:sz w:val="24"/>
            <w:szCs w:val="24"/>
          </w:rPr>
          <w:t>s://www.citizensadvice.org.uk/debt-and-money/mortgage-problems/managing-your-mortgage/</w:t>
        </w:r>
      </w:hyperlink>
      <w:r>
        <w:rPr>
          <w:rFonts w:ascii="Arial" w:hAnsi="Arial" w:cs="Arial"/>
          <w:sz w:val="24"/>
          <w:szCs w:val="24"/>
        </w:rPr>
        <w:t xml:space="preserve"> [Accessed; 28</w:t>
      </w:r>
      <w:r w:rsidRPr="007060AF">
        <w:rPr>
          <w:rFonts w:ascii="Arial" w:hAnsi="Arial" w:cs="Arial"/>
          <w:sz w:val="24"/>
          <w:szCs w:val="24"/>
          <w:vertAlign w:val="superscript"/>
        </w:rPr>
        <w:t>th</w:t>
      </w:r>
      <w:r>
        <w:rPr>
          <w:rFonts w:ascii="Arial" w:hAnsi="Arial" w:cs="Arial"/>
          <w:sz w:val="24"/>
          <w:szCs w:val="24"/>
        </w:rPr>
        <w:t xml:space="preserve"> November 2021]</w:t>
      </w:r>
    </w:p>
    <w:p w14:paraId="42EAB030" w14:textId="1FB19422" w:rsidR="00FC2B0F" w:rsidRDefault="00FC2B0F" w:rsidP="00EE336A">
      <w:pPr>
        <w:rPr>
          <w:rFonts w:ascii="Arial" w:hAnsi="Arial" w:cs="Arial"/>
          <w:sz w:val="24"/>
          <w:szCs w:val="24"/>
        </w:rPr>
      </w:pPr>
      <w:r>
        <w:rPr>
          <w:rFonts w:ascii="Arial" w:hAnsi="Arial" w:cs="Arial"/>
          <w:sz w:val="24"/>
          <w:szCs w:val="24"/>
        </w:rPr>
        <w:t xml:space="preserve">HM Land Registry (2018) practice guide 36A; receivers appointed under the provisions of the LPA 1925. Available at URL </w:t>
      </w:r>
      <w:hyperlink r:id="rId21" w:history="1">
        <w:r w:rsidRPr="001B0DBC">
          <w:rPr>
            <w:rStyle w:val="Hyperlink"/>
            <w:rFonts w:ascii="Arial" w:hAnsi="Arial" w:cs="Arial"/>
            <w:sz w:val="24"/>
            <w:szCs w:val="24"/>
          </w:rPr>
          <w:t>http</w:t>
        </w:r>
        <w:r w:rsidRPr="001B0DBC">
          <w:rPr>
            <w:rStyle w:val="Hyperlink"/>
            <w:rFonts w:ascii="Arial" w:hAnsi="Arial" w:cs="Arial"/>
            <w:sz w:val="24"/>
            <w:szCs w:val="24"/>
          </w:rPr>
          <w:t>s://www.gov.uk/government/publications/dispositions-executed-by-law-of-property-act-receivers/practice-guide-36a-receivers-appointed-under-the-provisions-of-the-law-of-property-act-1925</w:t>
        </w:r>
      </w:hyperlink>
      <w:r>
        <w:rPr>
          <w:rFonts w:ascii="Arial" w:hAnsi="Arial" w:cs="Arial"/>
          <w:sz w:val="24"/>
          <w:szCs w:val="24"/>
        </w:rPr>
        <w:t xml:space="preserve"> [Accessed; 28</w:t>
      </w:r>
      <w:r w:rsidRPr="00FC2B0F">
        <w:rPr>
          <w:rFonts w:ascii="Arial" w:hAnsi="Arial" w:cs="Arial"/>
          <w:sz w:val="24"/>
          <w:szCs w:val="24"/>
          <w:vertAlign w:val="superscript"/>
        </w:rPr>
        <w:t>th</w:t>
      </w:r>
      <w:r>
        <w:rPr>
          <w:rFonts w:ascii="Arial" w:hAnsi="Arial" w:cs="Arial"/>
          <w:sz w:val="24"/>
          <w:szCs w:val="24"/>
        </w:rPr>
        <w:t xml:space="preserve"> November 2021]</w:t>
      </w:r>
    </w:p>
    <w:p w14:paraId="55C1EDF3" w14:textId="0C9C7B9B" w:rsidR="00507F67" w:rsidRDefault="00507F67" w:rsidP="00EE336A">
      <w:pPr>
        <w:rPr>
          <w:rFonts w:ascii="Arial" w:hAnsi="Arial" w:cs="Arial"/>
          <w:sz w:val="24"/>
          <w:szCs w:val="24"/>
        </w:rPr>
      </w:pPr>
      <w:r>
        <w:rPr>
          <w:rFonts w:ascii="Arial" w:hAnsi="Arial" w:cs="Arial"/>
          <w:sz w:val="24"/>
          <w:szCs w:val="24"/>
        </w:rPr>
        <w:t xml:space="preserve">SHELTER (2021) Legal framework for mortgage arrears repossession. Available at URL </w:t>
      </w:r>
      <w:hyperlink r:id="rId22" w:history="1">
        <w:r w:rsidRPr="001B0DBC">
          <w:rPr>
            <w:rStyle w:val="Hyperlink"/>
            <w:rFonts w:ascii="Arial" w:hAnsi="Arial" w:cs="Arial"/>
            <w:sz w:val="24"/>
            <w:szCs w:val="24"/>
          </w:rPr>
          <w:t>http</w:t>
        </w:r>
        <w:r w:rsidRPr="001B0DBC">
          <w:rPr>
            <w:rStyle w:val="Hyperlink"/>
            <w:rFonts w:ascii="Arial" w:hAnsi="Arial" w:cs="Arial"/>
            <w:sz w:val="24"/>
            <w:szCs w:val="24"/>
          </w:rPr>
          <w:t>s://england.shelter.org.uk/professional_resources/legal/possession_and_eviction/mortgage_possession_proceedings/legal_framework_for_mortgage_arrears_repossession#:~:text=The%20Administration%20of%20Justice%20Acts%201970%20and%201973,building%20where%20someone%20lives%2C%20not%20necessarily%20the%20borrower</w:t>
        </w:r>
      </w:hyperlink>
      <w:r w:rsidRPr="00507F67">
        <w:rPr>
          <w:rFonts w:ascii="Arial" w:hAnsi="Arial" w:cs="Arial"/>
          <w:sz w:val="24"/>
          <w:szCs w:val="24"/>
        </w:rPr>
        <w:t>.</w:t>
      </w:r>
      <w:r>
        <w:rPr>
          <w:rFonts w:ascii="Arial" w:hAnsi="Arial" w:cs="Arial"/>
          <w:sz w:val="24"/>
          <w:szCs w:val="24"/>
        </w:rPr>
        <w:t xml:space="preserve"> [Accessed 29</w:t>
      </w:r>
      <w:r w:rsidRPr="00507F67">
        <w:rPr>
          <w:rFonts w:ascii="Arial" w:hAnsi="Arial" w:cs="Arial"/>
          <w:sz w:val="24"/>
          <w:szCs w:val="24"/>
          <w:vertAlign w:val="superscript"/>
        </w:rPr>
        <w:t>th</w:t>
      </w:r>
      <w:r>
        <w:rPr>
          <w:rFonts w:ascii="Arial" w:hAnsi="Arial" w:cs="Arial"/>
          <w:sz w:val="24"/>
          <w:szCs w:val="24"/>
        </w:rPr>
        <w:t xml:space="preserve"> November 2021]</w:t>
      </w:r>
    </w:p>
    <w:p w14:paraId="6A3E919E" w14:textId="5FF6631F" w:rsidR="009067B4" w:rsidRDefault="009067B4" w:rsidP="00EE336A">
      <w:pPr>
        <w:rPr>
          <w:rFonts w:ascii="Arial" w:hAnsi="Arial" w:cs="Arial"/>
          <w:sz w:val="24"/>
          <w:szCs w:val="24"/>
        </w:rPr>
      </w:pPr>
      <w:r>
        <w:rPr>
          <w:rFonts w:ascii="Arial" w:hAnsi="Arial" w:cs="Arial"/>
          <w:sz w:val="24"/>
          <w:szCs w:val="24"/>
        </w:rPr>
        <w:t xml:space="preserve">Amess, K (2021) Power of sale. Available at URL </w:t>
      </w:r>
      <w:hyperlink r:id="rId23" w:history="1">
        <w:r w:rsidRPr="001B0DBC">
          <w:rPr>
            <w:rStyle w:val="Hyperlink"/>
            <w:rFonts w:ascii="Arial" w:hAnsi="Arial" w:cs="Arial"/>
            <w:sz w:val="24"/>
            <w:szCs w:val="24"/>
          </w:rPr>
          <w:t>http</w:t>
        </w:r>
        <w:r w:rsidRPr="001B0DBC">
          <w:rPr>
            <w:rStyle w:val="Hyperlink"/>
            <w:rFonts w:ascii="Arial" w:hAnsi="Arial" w:cs="Arial"/>
            <w:sz w:val="24"/>
            <w:szCs w:val="24"/>
          </w:rPr>
          <w:t>s://london3dhomes.com/real-estate-tips/power-of-sale.html</w:t>
        </w:r>
      </w:hyperlink>
      <w:r>
        <w:rPr>
          <w:rFonts w:ascii="Arial" w:hAnsi="Arial" w:cs="Arial"/>
          <w:sz w:val="24"/>
          <w:szCs w:val="24"/>
        </w:rPr>
        <w:t xml:space="preserve"> [Accessed</w:t>
      </w:r>
      <w:r w:rsidR="003E3B9D">
        <w:rPr>
          <w:rFonts w:ascii="Arial" w:hAnsi="Arial" w:cs="Arial"/>
          <w:sz w:val="24"/>
          <w:szCs w:val="24"/>
        </w:rPr>
        <w:t>; 28</w:t>
      </w:r>
      <w:r w:rsidR="003E3B9D" w:rsidRPr="003E3B9D">
        <w:rPr>
          <w:rFonts w:ascii="Arial" w:hAnsi="Arial" w:cs="Arial"/>
          <w:sz w:val="24"/>
          <w:szCs w:val="24"/>
          <w:vertAlign w:val="superscript"/>
        </w:rPr>
        <w:t>th</w:t>
      </w:r>
      <w:r w:rsidR="003E3B9D">
        <w:rPr>
          <w:rFonts w:ascii="Arial" w:hAnsi="Arial" w:cs="Arial"/>
          <w:sz w:val="24"/>
          <w:szCs w:val="24"/>
        </w:rPr>
        <w:t xml:space="preserve"> November 2021]</w:t>
      </w:r>
    </w:p>
    <w:p w14:paraId="68E7AB0E" w14:textId="0B5D7DF8" w:rsidR="00701FFD" w:rsidRDefault="00701FFD" w:rsidP="00EE336A">
      <w:pPr>
        <w:rPr>
          <w:rFonts w:ascii="Arial" w:hAnsi="Arial" w:cs="Arial"/>
          <w:sz w:val="24"/>
          <w:szCs w:val="24"/>
        </w:rPr>
      </w:pPr>
      <w:r>
        <w:rPr>
          <w:rFonts w:ascii="Arial" w:hAnsi="Arial" w:cs="Arial"/>
          <w:sz w:val="24"/>
          <w:szCs w:val="24"/>
        </w:rPr>
        <w:t xml:space="preserve">Laytons (2020) Receivership- what is it and how is it useful to lenders? Available at URL </w:t>
      </w:r>
      <w:hyperlink r:id="rId24" w:history="1">
        <w:r w:rsidRPr="001B0DBC">
          <w:rPr>
            <w:rStyle w:val="Hyperlink"/>
            <w:rFonts w:ascii="Arial" w:hAnsi="Arial" w:cs="Arial"/>
            <w:sz w:val="24"/>
            <w:szCs w:val="24"/>
          </w:rPr>
          <w:t>http</w:t>
        </w:r>
        <w:r w:rsidRPr="001B0DBC">
          <w:rPr>
            <w:rStyle w:val="Hyperlink"/>
            <w:rFonts w:ascii="Arial" w:hAnsi="Arial" w:cs="Arial"/>
            <w:sz w:val="24"/>
            <w:szCs w:val="24"/>
          </w:rPr>
          <w:t>s://www.laytons.com/publications/receivership-what-is-it-and-how-is-it-useful-to-lenders</w:t>
        </w:r>
      </w:hyperlink>
      <w:r>
        <w:rPr>
          <w:rFonts w:ascii="Arial" w:hAnsi="Arial" w:cs="Arial"/>
          <w:sz w:val="24"/>
          <w:szCs w:val="24"/>
        </w:rPr>
        <w:t xml:space="preserve"> [Accessed; 29</w:t>
      </w:r>
      <w:r w:rsidRPr="00701FFD">
        <w:rPr>
          <w:rFonts w:ascii="Arial" w:hAnsi="Arial" w:cs="Arial"/>
          <w:sz w:val="24"/>
          <w:szCs w:val="24"/>
          <w:vertAlign w:val="superscript"/>
        </w:rPr>
        <w:t>th</w:t>
      </w:r>
      <w:r>
        <w:rPr>
          <w:rFonts w:ascii="Arial" w:hAnsi="Arial" w:cs="Arial"/>
          <w:sz w:val="24"/>
          <w:szCs w:val="24"/>
        </w:rPr>
        <w:t xml:space="preserve"> November 2021]</w:t>
      </w:r>
    </w:p>
    <w:p w14:paraId="7E82F91E" w14:textId="11A3D29A" w:rsidR="003E3B9D" w:rsidRDefault="003E3B9D" w:rsidP="00EE336A">
      <w:pPr>
        <w:rPr>
          <w:rFonts w:ascii="Arial" w:hAnsi="Arial" w:cs="Arial"/>
          <w:sz w:val="24"/>
          <w:szCs w:val="24"/>
        </w:rPr>
      </w:pPr>
      <w:r>
        <w:rPr>
          <w:rFonts w:ascii="Arial" w:hAnsi="Arial" w:cs="Arial"/>
          <w:sz w:val="24"/>
          <w:szCs w:val="24"/>
        </w:rPr>
        <w:t xml:space="preserve">Merriam-Webster (2021) Mortgage. Available at URL </w:t>
      </w:r>
      <w:hyperlink r:id="rId25" w:history="1">
        <w:r w:rsidRPr="001B0DBC">
          <w:rPr>
            <w:rStyle w:val="Hyperlink"/>
            <w:rFonts w:ascii="Arial" w:hAnsi="Arial" w:cs="Arial"/>
            <w:sz w:val="24"/>
            <w:szCs w:val="24"/>
          </w:rPr>
          <w:t>http</w:t>
        </w:r>
        <w:r w:rsidRPr="001B0DBC">
          <w:rPr>
            <w:rStyle w:val="Hyperlink"/>
            <w:rFonts w:ascii="Arial" w:hAnsi="Arial" w:cs="Arial"/>
            <w:sz w:val="24"/>
            <w:szCs w:val="24"/>
          </w:rPr>
          <w:t>s://www.merriam-webster.com/dictionary/mortgage</w:t>
        </w:r>
      </w:hyperlink>
      <w:r>
        <w:rPr>
          <w:rFonts w:ascii="Arial" w:hAnsi="Arial" w:cs="Arial"/>
          <w:sz w:val="24"/>
          <w:szCs w:val="24"/>
        </w:rPr>
        <w:t xml:space="preserve"> [Accessed; 28</w:t>
      </w:r>
      <w:r w:rsidRPr="003E3B9D">
        <w:rPr>
          <w:rFonts w:ascii="Arial" w:hAnsi="Arial" w:cs="Arial"/>
          <w:sz w:val="24"/>
          <w:szCs w:val="24"/>
          <w:vertAlign w:val="superscript"/>
        </w:rPr>
        <w:t>th</w:t>
      </w:r>
      <w:r>
        <w:rPr>
          <w:rFonts w:ascii="Arial" w:hAnsi="Arial" w:cs="Arial"/>
          <w:sz w:val="24"/>
          <w:szCs w:val="24"/>
        </w:rPr>
        <w:t xml:space="preserve"> November 2021] </w:t>
      </w:r>
    </w:p>
    <w:p w14:paraId="3DB6DFBB" w14:textId="4506401C" w:rsidR="007060AF" w:rsidRDefault="007060AF" w:rsidP="00EE336A">
      <w:pPr>
        <w:rPr>
          <w:rFonts w:ascii="Arial" w:hAnsi="Arial" w:cs="Arial"/>
          <w:sz w:val="24"/>
          <w:szCs w:val="24"/>
        </w:rPr>
      </w:pPr>
      <w:r>
        <w:rPr>
          <w:rFonts w:ascii="Arial" w:hAnsi="Arial" w:cs="Arial"/>
          <w:sz w:val="24"/>
          <w:szCs w:val="24"/>
        </w:rPr>
        <w:t xml:space="preserve">Neale, S (2021) Mortgage with Default. Available at URL </w:t>
      </w:r>
      <w:hyperlink r:id="rId26" w:history="1">
        <w:r w:rsidRPr="001B0DBC">
          <w:rPr>
            <w:rStyle w:val="Hyperlink"/>
            <w:rFonts w:ascii="Arial" w:hAnsi="Arial" w:cs="Arial"/>
            <w:sz w:val="24"/>
            <w:szCs w:val="24"/>
          </w:rPr>
          <w:t>http</w:t>
        </w:r>
        <w:r w:rsidRPr="001B0DBC">
          <w:rPr>
            <w:rStyle w:val="Hyperlink"/>
            <w:rFonts w:ascii="Arial" w:hAnsi="Arial" w:cs="Arial"/>
            <w:sz w:val="24"/>
            <w:szCs w:val="24"/>
          </w:rPr>
          <w:t>s://stevenneale.co.uk/mortgage-with-defaults</w:t>
        </w:r>
      </w:hyperlink>
      <w:r>
        <w:rPr>
          <w:rFonts w:ascii="Arial" w:hAnsi="Arial" w:cs="Arial"/>
          <w:sz w:val="24"/>
          <w:szCs w:val="24"/>
        </w:rPr>
        <w:t xml:space="preserve"> [Accessed; 28</w:t>
      </w:r>
      <w:r w:rsidRPr="007060AF">
        <w:rPr>
          <w:rFonts w:ascii="Arial" w:hAnsi="Arial" w:cs="Arial"/>
          <w:sz w:val="24"/>
          <w:szCs w:val="24"/>
          <w:vertAlign w:val="superscript"/>
        </w:rPr>
        <w:t>th</w:t>
      </w:r>
      <w:r>
        <w:rPr>
          <w:rFonts w:ascii="Arial" w:hAnsi="Arial" w:cs="Arial"/>
          <w:sz w:val="24"/>
          <w:szCs w:val="24"/>
        </w:rPr>
        <w:t xml:space="preserve"> November 2021]</w:t>
      </w:r>
    </w:p>
    <w:p w14:paraId="337F1661" w14:textId="47CB7800" w:rsidR="00FE447C" w:rsidRDefault="000C0DB2" w:rsidP="00FE447C">
      <w:pPr>
        <w:rPr>
          <w:rFonts w:ascii="Arial" w:hAnsi="Arial" w:cs="Arial"/>
          <w:sz w:val="24"/>
          <w:szCs w:val="24"/>
        </w:rPr>
      </w:pPr>
      <w:r>
        <w:rPr>
          <w:rFonts w:ascii="Arial" w:hAnsi="Arial" w:cs="Arial"/>
          <w:sz w:val="24"/>
          <w:szCs w:val="24"/>
        </w:rPr>
        <w:t xml:space="preserve">Taylor, M (2021) what is a mortgage? Available at URL </w:t>
      </w:r>
      <w:hyperlink r:id="rId27" w:history="1">
        <w:r w:rsidRPr="001B0DBC">
          <w:rPr>
            <w:rStyle w:val="Hyperlink"/>
            <w:rFonts w:ascii="Arial" w:hAnsi="Arial" w:cs="Arial"/>
            <w:sz w:val="24"/>
            <w:szCs w:val="24"/>
          </w:rPr>
          <w:t>https</w:t>
        </w:r>
        <w:r w:rsidRPr="001B0DBC">
          <w:rPr>
            <w:rStyle w:val="Hyperlink"/>
            <w:rFonts w:ascii="Arial" w:hAnsi="Arial" w:cs="Arial"/>
            <w:sz w:val="24"/>
            <w:szCs w:val="24"/>
          </w:rPr>
          <w:t>://www.bankrate.com/mortgages/what-is-mortgage/</w:t>
        </w:r>
      </w:hyperlink>
      <w:r>
        <w:rPr>
          <w:rFonts w:ascii="Arial" w:hAnsi="Arial" w:cs="Arial"/>
          <w:sz w:val="24"/>
          <w:szCs w:val="24"/>
        </w:rPr>
        <w:t xml:space="preserve"> [Accessed’ 23</w:t>
      </w:r>
      <w:r w:rsidR="00FE447C" w:rsidRPr="00FE447C">
        <w:rPr>
          <w:rFonts w:ascii="Arial" w:hAnsi="Arial" w:cs="Arial"/>
          <w:sz w:val="24"/>
          <w:szCs w:val="24"/>
          <w:vertAlign w:val="superscript"/>
        </w:rPr>
        <w:t>rd</w:t>
      </w:r>
      <w:r w:rsidR="00FE447C">
        <w:rPr>
          <w:rFonts w:ascii="Arial" w:hAnsi="Arial" w:cs="Arial"/>
          <w:sz w:val="24"/>
          <w:szCs w:val="24"/>
        </w:rPr>
        <w:t xml:space="preserve"> </w:t>
      </w:r>
      <w:r w:rsidR="00507F67">
        <w:rPr>
          <w:rFonts w:ascii="Arial" w:hAnsi="Arial" w:cs="Arial"/>
          <w:sz w:val="24"/>
          <w:szCs w:val="24"/>
        </w:rPr>
        <w:t>November</w:t>
      </w:r>
      <w:r>
        <w:rPr>
          <w:rFonts w:ascii="Arial" w:hAnsi="Arial" w:cs="Arial"/>
          <w:sz w:val="24"/>
          <w:szCs w:val="24"/>
        </w:rPr>
        <w:t xml:space="preserve"> 2021]</w:t>
      </w:r>
    </w:p>
    <w:p w14:paraId="41B6614F" w14:textId="7DED261D" w:rsidR="002A49F6" w:rsidRDefault="002A49F6" w:rsidP="00FE447C">
      <w:pPr>
        <w:rPr>
          <w:rFonts w:ascii="Arial" w:hAnsi="Arial" w:cs="Arial"/>
          <w:sz w:val="24"/>
          <w:szCs w:val="24"/>
        </w:rPr>
      </w:pPr>
      <w:r>
        <w:rPr>
          <w:rFonts w:ascii="Arial" w:hAnsi="Arial" w:cs="Arial"/>
          <w:sz w:val="24"/>
          <w:szCs w:val="24"/>
        </w:rPr>
        <w:t xml:space="preserve">UK government (2021) Law of Property Act 1925. Available at URL </w:t>
      </w:r>
      <w:hyperlink r:id="rId28" w:history="1">
        <w:r w:rsidRPr="001B0DBC">
          <w:rPr>
            <w:rStyle w:val="Hyperlink"/>
            <w:rFonts w:ascii="Arial" w:hAnsi="Arial" w:cs="Arial"/>
            <w:sz w:val="24"/>
            <w:szCs w:val="24"/>
          </w:rPr>
          <w:t>http</w:t>
        </w:r>
        <w:r w:rsidRPr="001B0DBC">
          <w:rPr>
            <w:rStyle w:val="Hyperlink"/>
            <w:rFonts w:ascii="Arial" w:hAnsi="Arial" w:cs="Arial"/>
            <w:sz w:val="24"/>
            <w:szCs w:val="24"/>
          </w:rPr>
          <w:t>s://www.legislation.gov.uk/ukpga/Geo5/15-16/20/contents</w:t>
        </w:r>
      </w:hyperlink>
      <w:r>
        <w:rPr>
          <w:rFonts w:ascii="Arial" w:hAnsi="Arial" w:cs="Arial"/>
          <w:sz w:val="24"/>
          <w:szCs w:val="24"/>
        </w:rPr>
        <w:t xml:space="preserve"> [Accessed;28th November 2021]</w:t>
      </w:r>
    </w:p>
    <w:p w14:paraId="6E00A911" w14:textId="43927A44" w:rsidR="0060668E" w:rsidRPr="00EE336A" w:rsidRDefault="0060668E" w:rsidP="00EE336A">
      <w:pPr>
        <w:rPr>
          <w:rFonts w:ascii="Arial" w:hAnsi="Arial" w:cs="Arial"/>
          <w:sz w:val="24"/>
          <w:szCs w:val="24"/>
        </w:rPr>
      </w:pPr>
    </w:p>
    <w:sectPr w:rsidR="0060668E" w:rsidRPr="00EE3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36A"/>
    <w:rsid w:val="00011157"/>
    <w:rsid w:val="00092C34"/>
    <w:rsid w:val="000B1A66"/>
    <w:rsid w:val="000C0DB2"/>
    <w:rsid w:val="001938D3"/>
    <w:rsid w:val="001A0346"/>
    <w:rsid w:val="001A0E53"/>
    <w:rsid w:val="001A0F87"/>
    <w:rsid w:val="001B49F0"/>
    <w:rsid w:val="001F63E3"/>
    <w:rsid w:val="00212537"/>
    <w:rsid w:val="002227F2"/>
    <w:rsid w:val="002352D2"/>
    <w:rsid w:val="00237FA3"/>
    <w:rsid w:val="00272485"/>
    <w:rsid w:val="002952D5"/>
    <w:rsid w:val="002A49F6"/>
    <w:rsid w:val="002B2137"/>
    <w:rsid w:val="00324385"/>
    <w:rsid w:val="00333070"/>
    <w:rsid w:val="00334BA5"/>
    <w:rsid w:val="003546B5"/>
    <w:rsid w:val="00380373"/>
    <w:rsid w:val="003962D7"/>
    <w:rsid w:val="003C147F"/>
    <w:rsid w:val="003E3B9D"/>
    <w:rsid w:val="003E5323"/>
    <w:rsid w:val="004605E3"/>
    <w:rsid w:val="00461DC2"/>
    <w:rsid w:val="00467F02"/>
    <w:rsid w:val="004A52AF"/>
    <w:rsid w:val="004A62BD"/>
    <w:rsid w:val="004C60DA"/>
    <w:rsid w:val="00507F67"/>
    <w:rsid w:val="00550587"/>
    <w:rsid w:val="00563690"/>
    <w:rsid w:val="005D3CBD"/>
    <w:rsid w:val="005D3CE0"/>
    <w:rsid w:val="005D5423"/>
    <w:rsid w:val="0060668E"/>
    <w:rsid w:val="006333CD"/>
    <w:rsid w:val="00701FFD"/>
    <w:rsid w:val="007060AF"/>
    <w:rsid w:val="00742F53"/>
    <w:rsid w:val="007B3812"/>
    <w:rsid w:val="008276C2"/>
    <w:rsid w:val="0089686F"/>
    <w:rsid w:val="00896F13"/>
    <w:rsid w:val="008E0BE5"/>
    <w:rsid w:val="00905998"/>
    <w:rsid w:val="009067B4"/>
    <w:rsid w:val="009A37A1"/>
    <w:rsid w:val="009B70BB"/>
    <w:rsid w:val="009B7212"/>
    <w:rsid w:val="009E7BC3"/>
    <w:rsid w:val="00A062CB"/>
    <w:rsid w:val="00A44297"/>
    <w:rsid w:val="00A80741"/>
    <w:rsid w:val="00AF3082"/>
    <w:rsid w:val="00B32E3C"/>
    <w:rsid w:val="00B6655C"/>
    <w:rsid w:val="00B93A41"/>
    <w:rsid w:val="00BB7B9C"/>
    <w:rsid w:val="00BD21D8"/>
    <w:rsid w:val="00BE2468"/>
    <w:rsid w:val="00CB2F1B"/>
    <w:rsid w:val="00CF2FFB"/>
    <w:rsid w:val="00D47882"/>
    <w:rsid w:val="00D5446C"/>
    <w:rsid w:val="00DC0BFA"/>
    <w:rsid w:val="00DE7F89"/>
    <w:rsid w:val="00DF5443"/>
    <w:rsid w:val="00E0083C"/>
    <w:rsid w:val="00E40C06"/>
    <w:rsid w:val="00E438F6"/>
    <w:rsid w:val="00E833D2"/>
    <w:rsid w:val="00E84222"/>
    <w:rsid w:val="00EE336A"/>
    <w:rsid w:val="00F0504F"/>
    <w:rsid w:val="00F47410"/>
    <w:rsid w:val="00F65052"/>
    <w:rsid w:val="00F9410F"/>
    <w:rsid w:val="00F958EC"/>
    <w:rsid w:val="00FC2B0F"/>
    <w:rsid w:val="00FE0579"/>
    <w:rsid w:val="00FE1888"/>
    <w:rsid w:val="00FE447C"/>
    <w:rsid w:val="00FE7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00B21"/>
  <w15:docId w15:val="{09F9F641-B123-454E-9C3A-82A17C761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E447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DB2"/>
    <w:rPr>
      <w:color w:val="0563C1" w:themeColor="hyperlink"/>
      <w:u w:val="single"/>
    </w:rPr>
  </w:style>
  <w:style w:type="character" w:styleId="UnresolvedMention">
    <w:name w:val="Unresolved Mention"/>
    <w:basedOn w:val="DefaultParagraphFont"/>
    <w:uiPriority w:val="99"/>
    <w:semiHidden/>
    <w:unhideWhenUsed/>
    <w:rsid w:val="000C0DB2"/>
    <w:rPr>
      <w:color w:val="605E5C"/>
      <w:shd w:val="clear" w:color="auto" w:fill="E1DFDD"/>
    </w:rPr>
  </w:style>
  <w:style w:type="character" w:customStyle="1" w:styleId="Heading1Char">
    <w:name w:val="Heading 1 Char"/>
    <w:basedOn w:val="DefaultParagraphFont"/>
    <w:link w:val="Heading1"/>
    <w:uiPriority w:val="9"/>
    <w:rsid w:val="00FE447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69502">
      <w:bodyDiv w:val="1"/>
      <w:marLeft w:val="0"/>
      <w:marRight w:val="0"/>
      <w:marTop w:val="0"/>
      <w:marBottom w:val="0"/>
      <w:divBdr>
        <w:top w:val="none" w:sz="0" w:space="0" w:color="auto"/>
        <w:left w:val="none" w:sz="0" w:space="0" w:color="auto"/>
        <w:bottom w:val="none" w:sz="0" w:space="0" w:color="auto"/>
        <w:right w:val="none" w:sz="0" w:space="0" w:color="auto"/>
      </w:divBdr>
    </w:div>
    <w:div w:id="1991324753">
      <w:bodyDiv w:val="1"/>
      <w:marLeft w:val="0"/>
      <w:marRight w:val="0"/>
      <w:marTop w:val="0"/>
      <w:marBottom w:val="0"/>
      <w:divBdr>
        <w:top w:val="none" w:sz="0" w:space="0" w:color="auto"/>
        <w:left w:val="none" w:sz="0" w:space="0" w:color="auto"/>
        <w:bottom w:val="none" w:sz="0" w:space="0" w:color="auto"/>
        <w:right w:val="none" w:sz="0" w:space="0" w:color="auto"/>
      </w:divBdr>
    </w:div>
    <w:div w:id="2007708962">
      <w:bodyDiv w:val="1"/>
      <w:marLeft w:val="0"/>
      <w:marRight w:val="0"/>
      <w:marTop w:val="0"/>
      <w:marBottom w:val="0"/>
      <w:divBdr>
        <w:top w:val="none" w:sz="0" w:space="0" w:color="auto"/>
        <w:left w:val="none" w:sz="0" w:space="0" w:color="auto"/>
        <w:bottom w:val="none" w:sz="0" w:space="0" w:color="auto"/>
        <w:right w:val="none" w:sz="0" w:space="0" w:color="auto"/>
      </w:divBdr>
    </w:div>
    <w:div w:id="20919256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orrishsolicitors.com/resources/property/what-is-the-difference-between-chattel-and-fixture/" TargetMode="External"/><Relationship Id="rId13" Type="http://schemas.openxmlformats.org/officeDocument/2006/relationships/hyperlink" Target="https://discovery.nationalarchives.gov.uk/details/r/C3579480" TargetMode="External"/><Relationship Id="rId18" Type="http://schemas.openxmlformats.org/officeDocument/2006/relationships/hyperlink" Target="https://blog.ipleaders.in/right-foreclosure-transfer-property-act/" TargetMode="External"/><Relationship Id="rId26" Type="http://schemas.openxmlformats.org/officeDocument/2006/relationships/hyperlink" Target="https://stevenneale.co.uk/mortgage-with-defaults" TargetMode="External"/><Relationship Id="rId3" Type="http://schemas.openxmlformats.org/officeDocument/2006/relationships/settings" Target="settings.xml"/><Relationship Id="rId21" Type="http://schemas.openxmlformats.org/officeDocument/2006/relationships/hyperlink" Target="https://www.gov.uk/government/publications/dispositions-executed-by-law-of-property-act-receivers/practice-guide-36a-receivers-appointed-under-the-provisions-of-the-law-of-property-act-1925" TargetMode="External"/><Relationship Id="rId7" Type="http://schemas.openxmlformats.org/officeDocument/2006/relationships/hyperlink" Target="https://www.gov.uk/government/publications/chattels-and-capital-gains-tax-hs293-self-assessment-helpsheet/hs293-chattels-and-capital-gains-tax-2019" TargetMode="External"/><Relationship Id="rId12" Type="http://schemas.openxmlformats.org/officeDocument/2006/relationships/hyperlink" Target="https://www.gov.uk/government/publications/chattels-and-capital-gains-tax-hs293-self-assessment-helpsheet/hs293-chattels-and-capital-gains-tax-2019" TargetMode="External"/><Relationship Id="rId17" Type="http://schemas.openxmlformats.org/officeDocument/2006/relationships/hyperlink" Target="https://www.penningtonslaw.com/news-publications/latest-news/wouldnt-bank-on-it-borrowers,-lenders-and-the-duty-of-care" TargetMode="External"/><Relationship Id="rId25" Type="http://schemas.openxmlformats.org/officeDocument/2006/relationships/hyperlink" Target="https://www.merriam-webster.com/dictionary/mortgage" TargetMode="External"/><Relationship Id="rId2" Type="http://schemas.openxmlformats.org/officeDocument/2006/relationships/styles" Target="styles.xml"/><Relationship Id="rId16" Type="http://schemas.openxmlformats.org/officeDocument/2006/relationships/hyperlink" Target="https://www.exchangechambers.co.uk/chattels-fixtures-300-years-case-law/" TargetMode="External"/><Relationship Id="rId20" Type="http://schemas.openxmlformats.org/officeDocument/2006/relationships/hyperlink" Target="https://www.citizensadvice.org.uk/debt-and-money/mortgage-problems/managing-your-mortgag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cjhole.co.uk/news/fixtures-and-fittings-guide" TargetMode="External"/><Relationship Id="rId11" Type="http://schemas.openxmlformats.org/officeDocument/2006/relationships/hyperlink" Target="https://publications.parliament.uk/pa/ld199697/ldjudgmt/jd970501/elites01.htm" TargetMode="External"/><Relationship Id="rId24" Type="http://schemas.openxmlformats.org/officeDocument/2006/relationships/hyperlink" Target="https://www.laytons.com/publications/receivership-what-is-it-and-how-is-it-useful-to-lenders" TargetMode="External"/><Relationship Id="rId5" Type="http://schemas.openxmlformats.org/officeDocument/2006/relationships/hyperlink" Target="https://devontimber.co.uk/our-products/garden-fixtures-furniture/" TargetMode="External"/><Relationship Id="rId15" Type="http://schemas.openxmlformats.org/officeDocument/2006/relationships/hyperlink" Target="https://www.legislation.gov.uk/ukpga/Geo5/15-16/20/contents" TargetMode="External"/><Relationship Id="rId23" Type="http://schemas.openxmlformats.org/officeDocument/2006/relationships/hyperlink" Target="https://london3dhomes.com/real-estate-tips/power-of-sale.html" TargetMode="External"/><Relationship Id="rId28" Type="http://schemas.openxmlformats.org/officeDocument/2006/relationships/hyperlink" Target="https://www.legislation.gov.uk/ukpga/Geo5/15-16/20/contents" TargetMode="External"/><Relationship Id="rId10" Type="http://schemas.openxmlformats.org/officeDocument/2006/relationships/hyperlink" Target="https://www.maxrealestateexposure.com/whats-a-fixture-vs-personal-property/" TargetMode="External"/><Relationship Id="rId19" Type="http://schemas.openxmlformats.org/officeDocument/2006/relationships/hyperlink" Target="https://www.regulationtomorrow.com/eu/definition-of-a-legal-mortgage/" TargetMode="External"/><Relationship Id="rId4" Type="http://schemas.openxmlformats.org/officeDocument/2006/relationships/webSettings" Target="webSettings.xml"/><Relationship Id="rId9" Type="http://schemas.openxmlformats.org/officeDocument/2006/relationships/hyperlink" Target="https://www.flowerpotman.com/garden-pest-control/how-to-clear-ivy/" TargetMode="External"/><Relationship Id="rId14" Type="http://schemas.openxmlformats.org/officeDocument/2006/relationships/hyperlink" Target="https://aldrictoyad.com/2021/09/20/holland-v-hodgson-1872-lr-7-cp-328-41-ljcp-146-20-wr-990-1861-73-all-er-rep-237/" TargetMode="External"/><Relationship Id="rId22" Type="http://schemas.openxmlformats.org/officeDocument/2006/relationships/hyperlink" Target="https://england.shelter.org.uk/professional_resources/legal/possession_and_eviction/mortgage_possession_proceedings/legal_framework_for_mortgage_arrears_repossession#:~:text=The%20Administration%20of%20Justice%20Acts%201970%20and%201973,building%20where%20someone%20lives%2C%20not%20necessarily%20the%20borrower" TargetMode="External"/><Relationship Id="rId27" Type="http://schemas.openxmlformats.org/officeDocument/2006/relationships/hyperlink" Target="https://www.bankrate.com/mortgages/what-is-mortgag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CAF94-6F5E-49E9-BEEB-DC909DA65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3044</TotalTime>
  <Pages>9</Pages>
  <Words>3318</Words>
  <Characters>18913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x-roxy-x91@outlook.com</dc:creator>
  <cp:keywords/>
  <dc:description/>
  <cp:lastModifiedBy>x-roxy-x91@outlook.com</cp:lastModifiedBy>
  <cp:revision>12</cp:revision>
  <dcterms:created xsi:type="dcterms:W3CDTF">2021-11-30T21:13:00Z</dcterms:created>
  <dcterms:modified xsi:type="dcterms:W3CDTF">2021-12-03T00:18:00Z</dcterms:modified>
</cp:coreProperties>
</file>