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A7CAC" w14:textId="77777777" w:rsidR="00DE180D" w:rsidRPr="00BA4BDF" w:rsidRDefault="00DE180D" w:rsidP="00447F66">
      <w:pPr>
        <w:rPr>
          <w:rFonts w:ascii="Arial" w:hAnsi="Arial" w:cs="Arial"/>
          <w:b/>
          <w:bCs/>
          <w:sz w:val="22"/>
          <w:szCs w:val="22"/>
        </w:rPr>
      </w:pPr>
    </w:p>
    <w:p w14:paraId="744805AD" w14:textId="77777777" w:rsidR="00DE1AAF" w:rsidRPr="00BA4BDF" w:rsidRDefault="00DE1AAF" w:rsidP="00611C72">
      <w:pPr>
        <w:jc w:val="center"/>
        <w:rPr>
          <w:rFonts w:ascii="Arial" w:hAnsi="Arial" w:cs="Arial"/>
          <w:b/>
          <w:bCs/>
          <w:sz w:val="22"/>
          <w:szCs w:val="22"/>
        </w:rPr>
      </w:pPr>
    </w:p>
    <w:p w14:paraId="33E3F6D7" w14:textId="6CC6E58B" w:rsidR="00DE180D" w:rsidRPr="00BA4BDF" w:rsidRDefault="00DE180D" w:rsidP="00611C72">
      <w:pPr>
        <w:jc w:val="center"/>
        <w:rPr>
          <w:rFonts w:ascii="Arial" w:hAnsi="Arial" w:cs="Arial"/>
          <w:b/>
          <w:bCs/>
          <w:sz w:val="22"/>
          <w:szCs w:val="22"/>
        </w:rPr>
      </w:pPr>
      <w:r w:rsidRPr="00BA4BDF">
        <w:rPr>
          <w:rFonts w:ascii="Arial" w:hAnsi="Arial" w:cs="Arial"/>
          <w:b/>
          <w:bCs/>
          <w:sz w:val="22"/>
          <w:szCs w:val="22"/>
        </w:rPr>
        <w:t>Rozalia-Mia Dragan</w:t>
      </w:r>
    </w:p>
    <w:p w14:paraId="142D6C56" w14:textId="30BB0B3A" w:rsidR="00DE180D" w:rsidRPr="00BA4BDF" w:rsidRDefault="007E468E" w:rsidP="00611C72">
      <w:pPr>
        <w:jc w:val="center"/>
        <w:rPr>
          <w:rFonts w:ascii="Arial" w:hAnsi="Arial" w:cs="Arial"/>
          <w:b/>
          <w:bCs/>
          <w:sz w:val="22"/>
          <w:szCs w:val="22"/>
        </w:rPr>
      </w:pPr>
      <w:r w:rsidRPr="00BA4BDF">
        <w:rPr>
          <w:rFonts w:ascii="Arial" w:hAnsi="Arial" w:cs="Arial"/>
          <w:b/>
          <w:bCs/>
          <w:sz w:val="22"/>
          <w:szCs w:val="22"/>
        </w:rPr>
        <w:t>Student Number-</w:t>
      </w:r>
      <w:r w:rsidR="009D4B62" w:rsidRPr="00BA4BDF">
        <w:rPr>
          <w:rFonts w:ascii="Arial" w:hAnsi="Arial" w:cs="Arial"/>
          <w:b/>
          <w:bCs/>
          <w:sz w:val="22"/>
          <w:szCs w:val="22"/>
        </w:rPr>
        <w:t xml:space="preserve"> </w:t>
      </w:r>
      <w:r w:rsidR="00DE180D" w:rsidRPr="00BA4BDF">
        <w:rPr>
          <w:rFonts w:ascii="Arial" w:hAnsi="Arial" w:cs="Arial"/>
          <w:b/>
          <w:bCs/>
          <w:sz w:val="22"/>
          <w:szCs w:val="22"/>
        </w:rPr>
        <w:t>2330749</w:t>
      </w:r>
    </w:p>
    <w:p w14:paraId="5BA6898C" w14:textId="0C68085A" w:rsidR="00DE180D" w:rsidRPr="00BA4BDF" w:rsidRDefault="00DE1AAF" w:rsidP="00611C72">
      <w:pPr>
        <w:jc w:val="center"/>
        <w:rPr>
          <w:rFonts w:ascii="Arial" w:hAnsi="Arial" w:cs="Arial"/>
          <w:b/>
          <w:bCs/>
          <w:sz w:val="22"/>
          <w:szCs w:val="22"/>
        </w:rPr>
      </w:pPr>
      <w:r w:rsidRPr="00BA4BDF">
        <w:rPr>
          <w:rFonts w:ascii="Arial" w:hAnsi="Arial" w:cs="Arial"/>
          <w:b/>
          <w:bCs/>
          <w:sz w:val="22"/>
          <w:szCs w:val="22"/>
        </w:rPr>
        <w:t>Strategic Management for Business</w:t>
      </w:r>
    </w:p>
    <w:p w14:paraId="5C35CBAB" w14:textId="1F56BC69" w:rsidR="00DE1AAF" w:rsidRPr="00BA4BDF" w:rsidRDefault="00DE1AAF" w:rsidP="00611C72">
      <w:pPr>
        <w:jc w:val="center"/>
        <w:rPr>
          <w:rFonts w:ascii="Arial" w:hAnsi="Arial" w:cs="Arial"/>
          <w:b/>
          <w:bCs/>
          <w:sz w:val="22"/>
          <w:szCs w:val="22"/>
        </w:rPr>
      </w:pPr>
      <w:r w:rsidRPr="00BA4BDF">
        <w:rPr>
          <w:rFonts w:ascii="Arial" w:hAnsi="Arial" w:cs="Arial"/>
          <w:b/>
          <w:bCs/>
          <w:sz w:val="22"/>
          <w:szCs w:val="22"/>
        </w:rPr>
        <w:t>LCLM 6001</w:t>
      </w:r>
    </w:p>
    <w:p w14:paraId="14711918" w14:textId="11F3C20B" w:rsidR="00DE1AAF" w:rsidRPr="00BA4BDF" w:rsidRDefault="00DE1AAF" w:rsidP="00611C72">
      <w:pPr>
        <w:jc w:val="center"/>
        <w:rPr>
          <w:rFonts w:ascii="Arial" w:hAnsi="Arial" w:cs="Arial"/>
          <w:b/>
          <w:bCs/>
          <w:sz w:val="22"/>
          <w:szCs w:val="22"/>
        </w:rPr>
      </w:pPr>
      <w:r w:rsidRPr="00BA4BDF">
        <w:rPr>
          <w:rFonts w:ascii="Arial" w:hAnsi="Arial" w:cs="Arial"/>
          <w:b/>
          <w:bCs/>
          <w:sz w:val="22"/>
          <w:szCs w:val="22"/>
        </w:rPr>
        <w:t>Individual Report</w:t>
      </w:r>
    </w:p>
    <w:p w14:paraId="0C42CAA0" w14:textId="77777777" w:rsidR="00DE180D" w:rsidRPr="00BA4BDF" w:rsidRDefault="00DE180D" w:rsidP="00447F66">
      <w:pPr>
        <w:rPr>
          <w:rFonts w:ascii="Arial" w:hAnsi="Arial" w:cs="Arial"/>
          <w:b/>
          <w:bCs/>
          <w:sz w:val="22"/>
          <w:szCs w:val="22"/>
        </w:rPr>
      </w:pPr>
    </w:p>
    <w:p w14:paraId="0ECB77B7" w14:textId="77777777" w:rsidR="00DE180D" w:rsidRPr="00BA4BDF" w:rsidRDefault="00DE180D" w:rsidP="00611C72">
      <w:pPr>
        <w:jc w:val="center"/>
        <w:rPr>
          <w:rFonts w:ascii="Arial" w:hAnsi="Arial" w:cs="Arial"/>
          <w:b/>
          <w:bCs/>
          <w:sz w:val="22"/>
          <w:szCs w:val="22"/>
        </w:rPr>
      </w:pPr>
    </w:p>
    <w:p w14:paraId="19B6E371" w14:textId="7964101F" w:rsidR="0050710B" w:rsidRPr="00BA4BDF" w:rsidRDefault="00E8306B" w:rsidP="00611C72">
      <w:pPr>
        <w:jc w:val="center"/>
        <w:rPr>
          <w:rFonts w:ascii="Arial" w:hAnsi="Arial" w:cs="Arial"/>
          <w:b/>
          <w:bCs/>
          <w:sz w:val="22"/>
          <w:szCs w:val="22"/>
        </w:rPr>
      </w:pPr>
      <w:r w:rsidRPr="00BA4BDF">
        <w:rPr>
          <w:rFonts w:ascii="Arial" w:hAnsi="Arial" w:cs="Arial"/>
          <w:b/>
          <w:bCs/>
          <w:sz w:val="22"/>
          <w:szCs w:val="22"/>
        </w:rPr>
        <w:t>Strategic Growth Report for Vodafone Three UK</w:t>
      </w:r>
    </w:p>
    <w:p w14:paraId="77C0318A" w14:textId="77777777" w:rsidR="002E21CE" w:rsidRPr="00BA4BDF" w:rsidRDefault="002E21CE" w:rsidP="00611C72">
      <w:pPr>
        <w:jc w:val="center"/>
        <w:rPr>
          <w:rFonts w:ascii="Arial" w:hAnsi="Arial" w:cs="Arial"/>
          <w:b/>
          <w:bCs/>
          <w:sz w:val="22"/>
          <w:szCs w:val="22"/>
        </w:rPr>
      </w:pPr>
    </w:p>
    <w:p w14:paraId="495DBD9B" w14:textId="77777777" w:rsidR="002E21CE" w:rsidRPr="00BA4BDF" w:rsidRDefault="002E21CE" w:rsidP="00DE180D">
      <w:pPr>
        <w:rPr>
          <w:rFonts w:ascii="Arial" w:hAnsi="Arial" w:cs="Arial"/>
          <w:b/>
          <w:bCs/>
          <w:sz w:val="22"/>
          <w:szCs w:val="22"/>
        </w:rPr>
      </w:pPr>
    </w:p>
    <w:p w14:paraId="4368E5A8" w14:textId="77777777" w:rsidR="00DE1AAF" w:rsidRPr="00BA4BDF" w:rsidRDefault="00DE1AAF" w:rsidP="00DE180D">
      <w:pPr>
        <w:rPr>
          <w:rFonts w:ascii="Arial" w:hAnsi="Arial" w:cs="Arial"/>
          <w:b/>
          <w:bCs/>
          <w:sz w:val="22"/>
          <w:szCs w:val="22"/>
        </w:rPr>
      </w:pPr>
    </w:p>
    <w:p w14:paraId="58042406" w14:textId="77777777" w:rsidR="00DE1AAF" w:rsidRPr="00BA4BDF" w:rsidRDefault="00DE1AAF" w:rsidP="00DE180D">
      <w:pPr>
        <w:rPr>
          <w:rFonts w:ascii="Arial" w:hAnsi="Arial" w:cs="Arial"/>
          <w:b/>
          <w:bCs/>
          <w:sz w:val="22"/>
          <w:szCs w:val="22"/>
        </w:rPr>
      </w:pPr>
    </w:p>
    <w:p w14:paraId="032C29C8" w14:textId="77777777" w:rsidR="00DE1AAF" w:rsidRPr="00BA4BDF" w:rsidRDefault="00DE1AAF" w:rsidP="00DE180D">
      <w:pPr>
        <w:rPr>
          <w:rFonts w:ascii="Arial" w:hAnsi="Arial" w:cs="Arial"/>
          <w:b/>
          <w:bCs/>
          <w:sz w:val="22"/>
          <w:szCs w:val="22"/>
        </w:rPr>
      </w:pPr>
    </w:p>
    <w:p w14:paraId="0E9EB850" w14:textId="77777777" w:rsidR="00DE1AAF" w:rsidRPr="00BA4BDF" w:rsidRDefault="00DE1AAF" w:rsidP="00DE180D">
      <w:pPr>
        <w:rPr>
          <w:rFonts w:ascii="Arial" w:hAnsi="Arial" w:cs="Arial"/>
          <w:b/>
          <w:bCs/>
          <w:sz w:val="22"/>
          <w:szCs w:val="22"/>
        </w:rPr>
      </w:pPr>
    </w:p>
    <w:p w14:paraId="3ABD53CC" w14:textId="77777777" w:rsidR="00DC2467" w:rsidRPr="00BA4BDF" w:rsidRDefault="00DC2467" w:rsidP="00DE180D">
      <w:pPr>
        <w:rPr>
          <w:rFonts w:ascii="Arial" w:hAnsi="Arial" w:cs="Arial"/>
          <w:b/>
          <w:bCs/>
          <w:sz w:val="22"/>
          <w:szCs w:val="22"/>
        </w:rPr>
      </w:pPr>
    </w:p>
    <w:p w14:paraId="672F4288" w14:textId="77777777" w:rsidR="00B92943" w:rsidRPr="00BA4BDF" w:rsidRDefault="00B92943" w:rsidP="00B92943">
      <w:pPr>
        <w:pStyle w:val="Heading1"/>
        <w:rPr>
          <w:rFonts w:ascii="Arial" w:hAnsi="Arial" w:cs="Arial"/>
          <w:sz w:val="22"/>
          <w:szCs w:val="22"/>
        </w:rPr>
      </w:pPr>
      <w:bookmarkStart w:id="0" w:name="_Toc234763970"/>
      <w:r w:rsidRPr="00BA4BDF">
        <w:rPr>
          <w:rFonts w:ascii="Arial" w:hAnsi="Arial" w:cs="Arial"/>
          <w:sz w:val="22"/>
          <w:szCs w:val="22"/>
        </w:rPr>
        <w:t>Executive Summary</w:t>
      </w:r>
      <w:bookmarkEnd w:id="0"/>
    </w:p>
    <w:p w14:paraId="1B185252" w14:textId="77777777" w:rsidR="00B92943" w:rsidRPr="00BA4BDF" w:rsidRDefault="00B92943" w:rsidP="00B92943">
      <w:pPr>
        <w:rPr>
          <w:rFonts w:ascii="Arial" w:hAnsi="Arial" w:cs="Arial"/>
          <w:sz w:val="22"/>
          <w:szCs w:val="22"/>
        </w:rPr>
      </w:pPr>
      <w:r w:rsidRPr="00BA4BDF">
        <w:rPr>
          <w:rFonts w:ascii="Arial" w:hAnsi="Arial" w:cs="Arial"/>
          <w:sz w:val="22"/>
          <w:szCs w:val="22"/>
        </w:rPr>
        <w:t>The UK telecommunications industry is undergoing significant transformation driven by technological innovation, increasing customer expectations, regulatory developments and intensifying competition. Against this backdrop, Vodafone UK's merger with Three UK in 2025 represents one of the most significant strategic developments in the sector, creating Vodafone Three, the largest mobile network operator in the United Kingdom with approximately 27 million customers (Vodafone Three, 2025). The merger is expected to deliver substantial operational efficiencies, strengthen network capabilities and support the deployment of the UK's leading standalone 5G network through an £11 billion investment programme over the next decade (Vodafone Three, 2025).</w:t>
      </w:r>
    </w:p>
    <w:p w14:paraId="0F1AD162" w14:textId="77777777" w:rsidR="00B92943" w:rsidRPr="00BA4BDF" w:rsidRDefault="00B92943" w:rsidP="00B92943">
      <w:pPr>
        <w:rPr>
          <w:rFonts w:ascii="Arial" w:hAnsi="Arial" w:cs="Arial"/>
          <w:sz w:val="22"/>
          <w:szCs w:val="22"/>
        </w:rPr>
      </w:pPr>
      <w:r w:rsidRPr="00BA4BDF">
        <w:rPr>
          <w:rFonts w:ascii="Arial" w:hAnsi="Arial" w:cs="Arial"/>
          <w:sz w:val="22"/>
          <w:szCs w:val="22"/>
        </w:rPr>
        <w:t>This report evaluates Vodafone Three's strategic position and identifies growth opportunities capable of generating sustainable competitive advantage. A comprehensive external and internal analysis is conducted using PESTEL, Porter's Five Forces and SWOT frameworks to assess the opportunities and challenges facing the organisation. The findings indicate that Vodafone Three benefits from strong market positioning, extensive network assets and significant economies of scale. However, the company continues to operate within a highly competitive and heavily regulated environment characterised by rapid technological change and increasing pressure to deliver customer value.</w:t>
      </w:r>
    </w:p>
    <w:p w14:paraId="12DF5BEB" w14:textId="77777777" w:rsidR="00B92943" w:rsidRPr="00BA4BDF" w:rsidRDefault="00B92943" w:rsidP="00B92943">
      <w:pPr>
        <w:rPr>
          <w:rFonts w:ascii="Arial" w:hAnsi="Arial" w:cs="Arial"/>
          <w:sz w:val="22"/>
          <w:szCs w:val="22"/>
        </w:rPr>
      </w:pPr>
      <w:r w:rsidRPr="00BA4BDF">
        <w:rPr>
          <w:rFonts w:ascii="Arial" w:hAnsi="Arial" w:cs="Arial"/>
          <w:sz w:val="22"/>
          <w:szCs w:val="22"/>
        </w:rPr>
        <w:lastRenderedPageBreak/>
        <w:t>Several strategic growth options are assessed using Ansoff's Matrix and Porter's Generic Strategies. Following critical evaluation, the report recommends a combined Product Development and Market Development strategy focused on establishing Vodafone Three as the UK's leading digital connectivity ecosystem provider. The strategy centres on expanding enterprise 5G solutions, Internet of Things (IoT) services, artificial intelligence (AI)-enabled connectivity, smart city infrastructure and private network solutions.</w:t>
      </w:r>
    </w:p>
    <w:p w14:paraId="1DD60C82" w14:textId="77777777" w:rsidR="00B92943" w:rsidRPr="00BA4BDF" w:rsidRDefault="00B92943" w:rsidP="00B92943">
      <w:pPr>
        <w:rPr>
          <w:rFonts w:ascii="Arial" w:hAnsi="Arial" w:cs="Arial"/>
          <w:sz w:val="22"/>
          <w:szCs w:val="22"/>
        </w:rPr>
      </w:pPr>
      <w:r w:rsidRPr="00BA4BDF">
        <w:rPr>
          <w:rFonts w:ascii="Arial" w:hAnsi="Arial" w:cs="Arial"/>
          <w:sz w:val="22"/>
          <w:szCs w:val="22"/>
        </w:rPr>
        <w:t>The proposed strategy is evaluated using the Suitability, Feasibility and Acceptability (SFA) framework and is found to align closely with Vodafone Three's strategic objectives, capabilities and stakeholder expectations. Finally, an implementation plan is presented alongside measurable Key Performance Indicators (KPIs) designed to support long-term growth, innovation and shareholder value creation.</w:t>
      </w:r>
    </w:p>
    <w:p w14:paraId="3D6A4A17" w14:textId="77777777" w:rsidR="00DC2467" w:rsidRPr="00BA4BDF" w:rsidRDefault="00DC2467" w:rsidP="00DE180D">
      <w:pPr>
        <w:rPr>
          <w:rFonts w:ascii="Arial" w:hAnsi="Arial" w:cs="Arial"/>
          <w:b/>
          <w:bCs/>
          <w:sz w:val="22"/>
          <w:szCs w:val="22"/>
        </w:rPr>
      </w:pPr>
    </w:p>
    <w:p w14:paraId="3F10EBDC" w14:textId="77777777" w:rsidR="00DC2467" w:rsidRPr="00BA4BDF" w:rsidRDefault="00DC2467" w:rsidP="00DE180D">
      <w:pPr>
        <w:rPr>
          <w:rFonts w:ascii="Arial" w:hAnsi="Arial" w:cs="Arial"/>
          <w:b/>
          <w:bCs/>
          <w:sz w:val="22"/>
          <w:szCs w:val="22"/>
        </w:rPr>
      </w:pPr>
    </w:p>
    <w:p w14:paraId="1C2416F7" w14:textId="77777777" w:rsidR="00DC2467" w:rsidRPr="00BA4BDF" w:rsidRDefault="00DC2467" w:rsidP="00DE180D">
      <w:pPr>
        <w:rPr>
          <w:rFonts w:ascii="Arial" w:hAnsi="Arial" w:cs="Arial"/>
          <w:b/>
          <w:bCs/>
          <w:sz w:val="22"/>
          <w:szCs w:val="22"/>
        </w:rPr>
      </w:pPr>
    </w:p>
    <w:p w14:paraId="07739ACE" w14:textId="77777777" w:rsidR="00DC2467" w:rsidRPr="00BA4BDF" w:rsidRDefault="00DC2467" w:rsidP="00DE180D">
      <w:pPr>
        <w:rPr>
          <w:rFonts w:ascii="Arial" w:hAnsi="Arial" w:cs="Arial"/>
          <w:b/>
          <w:bCs/>
          <w:sz w:val="22"/>
          <w:szCs w:val="22"/>
        </w:rPr>
      </w:pPr>
    </w:p>
    <w:p w14:paraId="53D19DA7" w14:textId="77777777" w:rsidR="005E7D57" w:rsidRPr="00BA4BDF" w:rsidRDefault="005E7D57">
      <w:pPr>
        <w:rPr>
          <w:rFonts w:ascii="Arial" w:hAnsi="Arial" w:cs="Arial"/>
          <w:b/>
          <w:bCs/>
          <w:sz w:val="22"/>
          <w:szCs w:val="22"/>
        </w:rPr>
      </w:pPr>
    </w:p>
    <w:sdt>
      <w:sdtPr>
        <w:rPr>
          <w:rFonts w:ascii="Arial" w:eastAsiaTheme="minorHAnsi" w:hAnsi="Arial" w:cs="Arial"/>
          <w:color w:val="auto"/>
          <w:kern w:val="2"/>
          <w:sz w:val="22"/>
          <w:szCs w:val="22"/>
          <w:lang w:val="en-GB"/>
          <w14:ligatures w14:val="standardContextual"/>
        </w:rPr>
        <w:id w:val="-259141941"/>
        <w:docPartObj>
          <w:docPartGallery w:val="Table of Contents"/>
          <w:docPartUnique/>
        </w:docPartObj>
      </w:sdtPr>
      <w:sdtEndPr>
        <w:rPr>
          <w:b/>
          <w:bCs/>
          <w:noProof/>
        </w:rPr>
      </w:sdtEndPr>
      <w:sdtContent>
        <w:p w14:paraId="1F71F8F1" w14:textId="05CFD2C6" w:rsidR="00611C72" w:rsidRPr="00BA4BDF" w:rsidRDefault="00742ABA" w:rsidP="00742ABA">
          <w:pPr>
            <w:pStyle w:val="TOCHeading"/>
            <w:jc w:val="center"/>
            <w:rPr>
              <w:rFonts w:ascii="Arial" w:hAnsi="Arial" w:cs="Arial"/>
              <w:b/>
              <w:bCs/>
              <w:color w:val="000000" w:themeColor="text1"/>
              <w:sz w:val="22"/>
              <w:szCs w:val="22"/>
            </w:rPr>
          </w:pPr>
          <w:r w:rsidRPr="00BA4BDF">
            <w:rPr>
              <w:rFonts w:ascii="Arial" w:hAnsi="Arial" w:cs="Arial"/>
              <w:b/>
              <w:bCs/>
              <w:color w:val="000000" w:themeColor="text1"/>
              <w:sz w:val="22"/>
              <w:szCs w:val="22"/>
            </w:rPr>
            <w:t>Table of</w:t>
          </w:r>
          <w:r w:rsidRPr="00BA4BDF">
            <w:rPr>
              <w:rFonts w:ascii="Arial" w:hAnsi="Arial" w:cs="Arial"/>
              <w:color w:val="000000" w:themeColor="text1"/>
              <w:sz w:val="22"/>
              <w:szCs w:val="22"/>
            </w:rPr>
            <w:t xml:space="preserve"> </w:t>
          </w:r>
          <w:r w:rsidR="00611C72" w:rsidRPr="00BA4BDF">
            <w:rPr>
              <w:rFonts w:ascii="Arial" w:hAnsi="Arial" w:cs="Arial"/>
              <w:b/>
              <w:bCs/>
              <w:color w:val="000000" w:themeColor="text1"/>
              <w:sz w:val="22"/>
              <w:szCs w:val="22"/>
            </w:rPr>
            <w:t>Contents</w:t>
          </w:r>
        </w:p>
        <w:p w14:paraId="7DC89CD7" w14:textId="77777777" w:rsidR="00C16D41" w:rsidRPr="00BA4BDF" w:rsidRDefault="00C16D41" w:rsidP="00C16D41">
          <w:pPr>
            <w:rPr>
              <w:rFonts w:ascii="Arial" w:hAnsi="Arial" w:cs="Arial"/>
              <w:sz w:val="22"/>
              <w:szCs w:val="22"/>
              <w:lang w:val="en-US"/>
            </w:rPr>
          </w:pPr>
        </w:p>
        <w:p w14:paraId="15AE114B" w14:textId="19AFC39E" w:rsidR="00E253F3" w:rsidRDefault="00611C72">
          <w:pPr>
            <w:pStyle w:val="TOC1"/>
            <w:tabs>
              <w:tab w:val="right" w:leader="dot" w:pos="9016"/>
            </w:tabs>
            <w:rPr>
              <w:rFonts w:eastAsiaTheme="minorEastAsia"/>
              <w:noProof/>
              <w:lang w:eastAsia="en-GB"/>
            </w:rPr>
          </w:pPr>
          <w:r w:rsidRPr="00BA4BDF">
            <w:rPr>
              <w:rFonts w:ascii="Arial" w:hAnsi="Arial" w:cs="Arial"/>
              <w:color w:val="000000" w:themeColor="text1"/>
              <w:sz w:val="22"/>
              <w:szCs w:val="22"/>
            </w:rPr>
            <w:fldChar w:fldCharType="begin"/>
          </w:r>
          <w:r w:rsidRPr="00BA4BDF">
            <w:rPr>
              <w:rFonts w:ascii="Arial" w:hAnsi="Arial" w:cs="Arial"/>
              <w:color w:val="000000" w:themeColor="text1"/>
              <w:sz w:val="22"/>
              <w:szCs w:val="22"/>
            </w:rPr>
            <w:instrText xml:space="preserve"> TOC \o "1-3" \h \z \u </w:instrText>
          </w:r>
          <w:r w:rsidRPr="00BA4BDF">
            <w:rPr>
              <w:rFonts w:ascii="Arial" w:hAnsi="Arial" w:cs="Arial"/>
              <w:color w:val="000000" w:themeColor="text1"/>
              <w:sz w:val="22"/>
              <w:szCs w:val="22"/>
            </w:rPr>
            <w:fldChar w:fldCharType="separate"/>
          </w:r>
          <w:hyperlink w:anchor="_Toc234763970" w:history="1">
            <w:r w:rsidR="00E253F3" w:rsidRPr="00B603E2">
              <w:rPr>
                <w:rStyle w:val="Hyperlink"/>
                <w:rFonts w:ascii="Arial" w:hAnsi="Arial" w:cs="Arial"/>
                <w:noProof/>
              </w:rPr>
              <w:t>Executive Summary</w:t>
            </w:r>
            <w:r w:rsidR="00E253F3">
              <w:rPr>
                <w:noProof/>
                <w:webHidden/>
              </w:rPr>
              <w:tab/>
            </w:r>
            <w:r w:rsidR="00E253F3">
              <w:rPr>
                <w:noProof/>
                <w:webHidden/>
              </w:rPr>
              <w:fldChar w:fldCharType="begin"/>
            </w:r>
            <w:r w:rsidR="00E253F3">
              <w:rPr>
                <w:noProof/>
                <w:webHidden/>
              </w:rPr>
              <w:instrText xml:space="preserve"> PAGEREF _Toc234763970 \h </w:instrText>
            </w:r>
            <w:r w:rsidR="00E253F3">
              <w:rPr>
                <w:noProof/>
                <w:webHidden/>
              </w:rPr>
            </w:r>
            <w:r w:rsidR="00E253F3">
              <w:rPr>
                <w:noProof/>
                <w:webHidden/>
              </w:rPr>
              <w:fldChar w:fldCharType="separate"/>
            </w:r>
            <w:r w:rsidR="00E253F3">
              <w:rPr>
                <w:noProof/>
                <w:webHidden/>
              </w:rPr>
              <w:t>1</w:t>
            </w:r>
            <w:r w:rsidR="00E253F3">
              <w:rPr>
                <w:noProof/>
                <w:webHidden/>
              </w:rPr>
              <w:fldChar w:fldCharType="end"/>
            </w:r>
          </w:hyperlink>
        </w:p>
        <w:p w14:paraId="51DA25AA" w14:textId="4A03ADE1" w:rsidR="00E253F3" w:rsidRDefault="00E253F3">
          <w:pPr>
            <w:pStyle w:val="TOC1"/>
            <w:tabs>
              <w:tab w:val="right" w:leader="dot" w:pos="9016"/>
            </w:tabs>
            <w:rPr>
              <w:rFonts w:eastAsiaTheme="minorEastAsia"/>
              <w:noProof/>
              <w:lang w:eastAsia="en-GB"/>
            </w:rPr>
          </w:pPr>
          <w:hyperlink w:anchor="_Toc234763971" w:history="1">
            <w:r w:rsidRPr="00B603E2">
              <w:rPr>
                <w:rStyle w:val="Hyperlink"/>
                <w:rFonts w:ascii="Arial" w:hAnsi="Arial" w:cs="Arial"/>
                <w:noProof/>
              </w:rPr>
              <w:t>Introduction to Vodafone Three UK</w:t>
            </w:r>
            <w:r>
              <w:rPr>
                <w:noProof/>
                <w:webHidden/>
              </w:rPr>
              <w:tab/>
            </w:r>
            <w:r>
              <w:rPr>
                <w:noProof/>
                <w:webHidden/>
              </w:rPr>
              <w:fldChar w:fldCharType="begin"/>
            </w:r>
            <w:r>
              <w:rPr>
                <w:noProof/>
                <w:webHidden/>
              </w:rPr>
              <w:instrText xml:space="preserve"> PAGEREF _Toc234763971 \h </w:instrText>
            </w:r>
            <w:r>
              <w:rPr>
                <w:noProof/>
                <w:webHidden/>
              </w:rPr>
            </w:r>
            <w:r>
              <w:rPr>
                <w:noProof/>
                <w:webHidden/>
              </w:rPr>
              <w:fldChar w:fldCharType="separate"/>
            </w:r>
            <w:r>
              <w:rPr>
                <w:noProof/>
                <w:webHidden/>
              </w:rPr>
              <w:t>3</w:t>
            </w:r>
            <w:r>
              <w:rPr>
                <w:noProof/>
                <w:webHidden/>
              </w:rPr>
              <w:fldChar w:fldCharType="end"/>
            </w:r>
          </w:hyperlink>
        </w:p>
        <w:p w14:paraId="38E3C62C" w14:textId="4E687C52" w:rsidR="00E253F3" w:rsidRDefault="00E253F3">
          <w:pPr>
            <w:pStyle w:val="TOC1"/>
            <w:tabs>
              <w:tab w:val="right" w:leader="dot" w:pos="9016"/>
            </w:tabs>
            <w:rPr>
              <w:rFonts w:eastAsiaTheme="minorEastAsia"/>
              <w:noProof/>
              <w:lang w:eastAsia="en-GB"/>
            </w:rPr>
          </w:pPr>
          <w:hyperlink w:anchor="_Toc234763972" w:history="1">
            <w:r w:rsidRPr="00B603E2">
              <w:rPr>
                <w:rStyle w:val="Hyperlink"/>
                <w:rFonts w:ascii="Arial" w:hAnsi="Arial" w:cs="Arial"/>
                <w:noProof/>
              </w:rPr>
              <w:t>Evaluation of the Current Market Situation</w:t>
            </w:r>
            <w:r>
              <w:rPr>
                <w:noProof/>
                <w:webHidden/>
              </w:rPr>
              <w:tab/>
            </w:r>
            <w:r>
              <w:rPr>
                <w:noProof/>
                <w:webHidden/>
              </w:rPr>
              <w:fldChar w:fldCharType="begin"/>
            </w:r>
            <w:r>
              <w:rPr>
                <w:noProof/>
                <w:webHidden/>
              </w:rPr>
              <w:instrText xml:space="preserve"> PAGEREF _Toc234763972 \h </w:instrText>
            </w:r>
            <w:r>
              <w:rPr>
                <w:noProof/>
                <w:webHidden/>
              </w:rPr>
            </w:r>
            <w:r>
              <w:rPr>
                <w:noProof/>
                <w:webHidden/>
              </w:rPr>
              <w:fldChar w:fldCharType="separate"/>
            </w:r>
            <w:r>
              <w:rPr>
                <w:noProof/>
                <w:webHidden/>
              </w:rPr>
              <w:t>4</w:t>
            </w:r>
            <w:r>
              <w:rPr>
                <w:noProof/>
                <w:webHidden/>
              </w:rPr>
              <w:fldChar w:fldCharType="end"/>
            </w:r>
          </w:hyperlink>
        </w:p>
        <w:p w14:paraId="1536508A" w14:textId="66F6DAAF" w:rsidR="00E253F3" w:rsidRDefault="00E253F3">
          <w:pPr>
            <w:pStyle w:val="TOC1"/>
            <w:tabs>
              <w:tab w:val="right" w:leader="dot" w:pos="9016"/>
            </w:tabs>
            <w:rPr>
              <w:rFonts w:eastAsiaTheme="minorEastAsia"/>
              <w:noProof/>
              <w:lang w:eastAsia="en-GB"/>
            </w:rPr>
          </w:pPr>
          <w:hyperlink w:anchor="_Toc234763973" w:history="1">
            <w:r w:rsidRPr="00B603E2">
              <w:rPr>
                <w:rStyle w:val="Hyperlink"/>
                <w:rFonts w:ascii="Arial" w:hAnsi="Arial" w:cs="Arial"/>
                <w:noProof/>
              </w:rPr>
              <w:t>Strategic Growth Options and Proposed Strategy</w:t>
            </w:r>
            <w:r>
              <w:rPr>
                <w:noProof/>
                <w:webHidden/>
              </w:rPr>
              <w:tab/>
            </w:r>
            <w:r>
              <w:rPr>
                <w:noProof/>
                <w:webHidden/>
              </w:rPr>
              <w:fldChar w:fldCharType="begin"/>
            </w:r>
            <w:r>
              <w:rPr>
                <w:noProof/>
                <w:webHidden/>
              </w:rPr>
              <w:instrText xml:space="preserve"> PAGEREF _Toc234763973 \h </w:instrText>
            </w:r>
            <w:r>
              <w:rPr>
                <w:noProof/>
                <w:webHidden/>
              </w:rPr>
            </w:r>
            <w:r>
              <w:rPr>
                <w:noProof/>
                <w:webHidden/>
              </w:rPr>
              <w:fldChar w:fldCharType="separate"/>
            </w:r>
            <w:r>
              <w:rPr>
                <w:noProof/>
                <w:webHidden/>
              </w:rPr>
              <w:t>8</w:t>
            </w:r>
            <w:r>
              <w:rPr>
                <w:noProof/>
                <w:webHidden/>
              </w:rPr>
              <w:fldChar w:fldCharType="end"/>
            </w:r>
          </w:hyperlink>
        </w:p>
        <w:p w14:paraId="5FBC8DB4" w14:textId="038A522C" w:rsidR="00E253F3" w:rsidRDefault="00E253F3">
          <w:pPr>
            <w:pStyle w:val="TOC1"/>
            <w:tabs>
              <w:tab w:val="right" w:leader="dot" w:pos="9016"/>
            </w:tabs>
            <w:rPr>
              <w:rFonts w:eastAsiaTheme="minorEastAsia"/>
              <w:noProof/>
              <w:lang w:eastAsia="en-GB"/>
            </w:rPr>
          </w:pPr>
          <w:hyperlink w:anchor="_Toc234763974" w:history="1">
            <w:r w:rsidRPr="00B603E2">
              <w:rPr>
                <w:rStyle w:val="Hyperlink"/>
                <w:rFonts w:ascii="Arial" w:hAnsi="Arial" w:cs="Arial"/>
                <w:noProof/>
              </w:rPr>
              <w:t>Strategy Evaluation</w:t>
            </w:r>
            <w:r>
              <w:rPr>
                <w:noProof/>
                <w:webHidden/>
              </w:rPr>
              <w:tab/>
            </w:r>
            <w:r>
              <w:rPr>
                <w:noProof/>
                <w:webHidden/>
              </w:rPr>
              <w:fldChar w:fldCharType="begin"/>
            </w:r>
            <w:r>
              <w:rPr>
                <w:noProof/>
                <w:webHidden/>
              </w:rPr>
              <w:instrText xml:space="preserve"> PAGEREF _Toc234763974 \h </w:instrText>
            </w:r>
            <w:r>
              <w:rPr>
                <w:noProof/>
                <w:webHidden/>
              </w:rPr>
            </w:r>
            <w:r>
              <w:rPr>
                <w:noProof/>
                <w:webHidden/>
              </w:rPr>
              <w:fldChar w:fldCharType="separate"/>
            </w:r>
            <w:r>
              <w:rPr>
                <w:noProof/>
                <w:webHidden/>
              </w:rPr>
              <w:t>10</w:t>
            </w:r>
            <w:r>
              <w:rPr>
                <w:noProof/>
                <w:webHidden/>
              </w:rPr>
              <w:fldChar w:fldCharType="end"/>
            </w:r>
          </w:hyperlink>
        </w:p>
        <w:p w14:paraId="5F952ED8" w14:textId="6389747A" w:rsidR="00E253F3" w:rsidRDefault="00E253F3">
          <w:pPr>
            <w:pStyle w:val="TOC1"/>
            <w:tabs>
              <w:tab w:val="right" w:leader="dot" w:pos="9016"/>
            </w:tabs>
            <w:rPr>
              <w:rFonts w:eastAsiaTheme="minorEastAsia"/>
              <w:noProof/>
              <w:lang w:eastAsia="en-GB"/>
            </w:rPr>
          </w:pPr>
          <w:hyperlink w:anchor="_Toc234763975" w:history="1">
            <w:r w:rsidRPr="00B603E2">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_Toc234763975 \h </w:instrText>
            </w:r>
            <w:r>
              <w:rPr>
                <w:noProof/>
                <w:webHidden/>
              </w:rPr>
            </w:r>
            <w:r>
              <w:rPr>
                <w:noProof/>
                <w:webHidden/>
              </w:rPr>
              <w:fldChar w:fldCharType="separate"/>
            </w:r>
            <w:r>
              <w:rPr>
                <w:noProof/>
                <w:webHidden/>
              </w:rPr>
              <w:t>11</w:t>
            </w:r>
            <w:r>
              <w:rPr>
                <w:noProof/>
                <w:webHidden/>
              </w:rPr>
              <w:fldChar w:fldCharType="end"/>
            </w:r>
          </w:hyperlink>
        </w:p>
        <w:p w14:paraId="7933095B" w14:textId="42CD5B41" w:rsidR="00E253F3" w:rsidRDefault="00E253F3">
          <w:pPr>
            <w:pStyle w:val="TOC1"/>
            <w:tabs>
              <w:tab w:val="right" w:leader="dot" w:pos="9016"/>
            </w:tabs>
            <w:rPr>
              <w:rFonts w:eastAsiaTheme="minorEastAsia"/>
              <w:noProof/>
              <w:lang w:eastAsia="en-GB"/>
            </w:rPr>
          </w:pPr>
          <w:hyperlink w:anchor="_Toc234763976" w:history="1">
            <w:r w:rsidRPr="00B603E2">
              <w:rPr>
                <w:rStyle w:val="Hyperlink"/>
                <w:rFonts w:ascii="Arial" w:hAnsi="Arial" w:cs="Arial"/>
                <w:noProof/>
              </w:rPr>
              <w:t>Implementation and Monitoring</w:t>
            </w:r>
            <w:r>
              <w:rPr>
                <w:noProof/>
                <w:webHidden/>
              </w:rPr>
              <w:tab/>
            </w:r>
            <w:r>
              <w:rPr>
                <w:noProof/>
                <w:webHidden/>
              </w:rPr>
              <w:fldChar w:fldCharType="begin"/>
            </w:r>
            <w:r>
              <w:rPr>
                <w:noProof/>
                <w:webHidden/>
              </w:rPr>
              <w:instrText xml:space="preserve"> PAGEREF _Toc234763976 \h </w:instrText>
            </w:r>
            <w:r>
              <w:rPr>
                <w:noProof/>
                <w:webHidden/>
              </w:rPr>
            </w:r>
            <w:r>
              <w:rPr>
                <w:noProof/>
                <w:webHidden/>
              </w:rPr>
              <w:fldChar w:fldCharType="separate"/>
            </w:r>
            <w:r>
              <w:rPr>
                <w:noProof/>
                <w:webHidden/>
              </w:rPr>
              <w:t>12</w:t>
            </w:r>
            <w:r>
              <w:rPr>
                <w:noProof/>
                <w:webHidden/>
              </w:rPr>
              <w:fldChar w:fldCharType="end"/>
            </w:r>
          </w:hyperlink>
        </w:p>
        <w:p w14:paraId="35FACFAF" w14:textId="429E3100" w:rsidR="00E253F3" w:rsidRDefault="00E253F3">
          <w:pPr>
            <w:pStyle w:val="TOC1"/>
            <w:tabs>
              <w:tab w:val="right" w:leader="dot" w:pos="9016"/>
            </w:tabs>
            <w:rPr>
              <w:rFonts w:eastAsiaTheme="minorEastAsia"/>
              <w:noProof/>
              <w:lang w:eastAsia="en-GB"/>
            </w:rPr>
          </w:pPr>
          <w:hyperlink w:anchor="_Toc234763977" w:history="1">
            <w:r w:rsidRPr="00B603E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_Toc234763977 \h </w:instrText>
            </w:r>
            <w:r>
              <w:rPr>
                <w:noProof/>
                <w:webHidden/>
              </w:rPr>
            </w:r>
            <w:r>
              <w:rPr>
                <w:noProof/>
                <w:webHidden/>
              </w:rPr>
              <w:fldChar w:fldCharType="separate"/>
            </w:r>
            <w:r>
              <w:rPr>
                <w:noProof/>
                <w:webHidden/>
              </w:rPr>
              <w:t>12</w:t>
            </w:r>
            <w:r>
              <w:rPr>
                <w:noProof/>
                <w:webHidden/>
              </w:rPr>
              <w:fldChar w:fldCharType="end"/>
            </w:r>
          </w:hyperlink>
        </w:p>
        <w:p w14:paraId="71FE4E81" w14:textId="7E91D639" w:rsidR="00E253F3" w:rsidRDefault="00E253F3">
          <w:pPr>
            <w:pStyle w:val="TOC1"/>
            <w:tabs>
              <w:tab w:val="right" w:leader="dot" w:pos="9016"/>
            </w:tabs>
            <w:rPr>
              <w:rFonts w:eastAsiaTheme="minorEastAsia"/>
              <w:noProof/>
              <w:lang w:eastAsia="en-GB"/>
            </w:rPr>
          </w:pPr>
          <w:hyperlink w:anchor="_Toc234763978" w:history="1">
            <w:r w:rsidRPr="00B603E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_Toc234763978 \h </w:instrText>
            </w:r>
            <w:r>
              <w:rPr>
                <w:noProof/>
                <w:webHidden/>
              </w:rPr>
            </w:r>
            <w:r>
              <w:rPr>
                <w:noProof/>
                <w:webHidden/>
              </w:rPr>
              <w:fldChar w:fldCharType="separate"/>
            </w:r>
            <w:r>
              <w:rPr>
                <w:noProof/>
                <w:webHidden/>
              </w:rPr>
              <w:t>13</w:t>
            </w:r>
            <w:r>
              <w:rPr>
                <w:noProof/>
                <w:webHidden/>
              </w:rPr>
              <w:fldChar w:fldCharType="end"/>
            </w:r>
          </w:hyperlink>
        </w:p>
        <w:p w14:paraId="177470BD" w14:textId="44169436" w:rsidR="00F14140" w:rsidRPr="00BA4BDF" w:rsidRDefault="00611C72">
          <w:pPr>
            <w:rPr>
              <w:rFonts w:ascii="Arial" w:hAnsi="Arial" w:cs="Arial"/>
              <w:sz w:val="22"/>
              <w:szCs w:val="22"/>
            </w:rPr>
          </w:pPr>
          <w:r w:rsidRPr="00BA4BDF">
            <w:rPr>
              <w:rFonts w:ascii="Arial" w:hAnsi="Arial" w:cs="Arial"/>
              <w:b/>
              <w:bCs/>
              <w:noProof/>
              <w:color w:val="000000" w:themeColor="text1"/>
              <w:sz w:val="22"/>
              <w:szCs w:val="22"/>
            </w:rPr>
            <w:fldChar w:fldCharType="end"/>
          </w:r>
        </w:p>
      </w:sdtContent>
    </w:sdt>
    <w:p w14:paraId="4BC13A21" w14:textId="77777777" w:rsidR="00DE1AAF" w:rsidRPr="00BA4BDF" w:rsidRDefault="00DE1AAF">
      <w:pPr>
        <w:rPr>
          <w:rFonts w:ascii="Arial" w:hAnsi="Arial" w:cs="Arial"/>
          <w:b/>
          <w:bCs/>
          <w:sz w:val="22"/>
          <w:szCs w:val="22"/>
        </w:rPr>
      </w:pPr>
    </w:p>
    <w:p w14:paraId="7D0EA287" w14:textId="77777777" w:rsidR="00DE1AAF" w:rsidRPr="00BA4BDF" w:rsidRDefault="00DE1AAF">
      <w:pPr>
        <w:rPr>
          <w:rFonts w:ascii="Arial" w:hAnsi="Arial" w:cs="Arial"/>
          <w:b/>
          <w:bCs/>
          <w:sz w:val="22"/>
          <w:szCs w:val="22"/>
        </w:rPr>
      </w:pPr>
    </w:p>
    <w:p w14:paraId="43074C5B" w14:textId="77777777" w:rsidR="00DE1AAF" w:rsidRPr="00BA4BDF" w:rsidRDefault="00DE1AAF">
      <w:pPr>
        <w:rPr>
          <w:rFonts w:ascii="Arial" w:hAnsi="Arial" w:cs="Arial"/>
          <w:b/>
          <w:bCs/>
          <w:sz w:val="22"/>
          <w:szCs w:val="22"/>
        </w:rPr>
      </w:pPr>
    </w:p>
    <w:p w14:paraId="1918AC39" w14:textId="77777777" w:rsidR="00DE1AAF" w:rsidRPr="00BA4BDF" w:rsidRDefault="00DE1AAF">
      <w:pPr>
        <w:rPr>
          <w:rFonts w:ascii="Arial" w:hAnsi="Arial" w:cs="Arial"/>
          <w:b/>
          <w:bCs/>
          <w:sz w:val="22"/>
          <w:szCs w:val="22"/>
        </w:rPr>
      </w:pPr>
    </w:p>
    <w:p w14:paraId="673BEA0E" w14:textId="77777777" w:rsidR="00E253F3" w:rsidRDefault="00E253F3" w:rsidP="00AC21D3">
      <w:pPr>
        <w:pStyle w:val="Heading1"/>
        <w:rPr>
          <w:rFonts w:ascii="Arial" w:hAnsi="Arial" w:cs="Arial"/>
          <w:sz w:val="22"/>
          <w:szCs w:val="22"/>
        </w:rPr>
      </w:pPr>
      <w:bookmarkStart w:id="1" w:name="_Toc234763971"/>
    </w:p>
    <w:p w14:paraId="69614609" w14:textId="5880FB77" w:rsidR="00CC4C28" w:rsidRPr="00BA4BDF" w:rsidRDefault="00CC4C28" w:rsidP="00AC21D3">
      <w:pPr>
        <w:pStyle w:val="Heading1"/>
        <w:rPr>
          <w:rFonts w:ascii="Arial" w:hAnsi="Arial" w:cs="Arial"/>
          <w:sz w:val="22"/>
          <w:szCs w:val="22"/>
        </w:rPr>
      </w:pPr>
      <w:r w:rsidRPr="00BA4BDF">
        <w:rPr>
          <w:rFonts w:ascii="Arial" w:hAnsi="Arial" w:cs="Arial"/>
          <w:sz w:val="22"/>
          <w:szCs w:val="22"/>
        </w:rPr>
        <w:t>Introduction to Vodafone Three UK</w:t>
      </w:r>
      <w:bookmarkEnd w:id="1"/>
    </w:p>
    <w:p w14:paraId="7D28A069" w14:textId="081E7311" w:rsidR="009D2C51" w:rsidRPr="00BA4BDF" w:rsidRDefault="00CC4C28" w:rsidP="00CC4C28">
      <w:pPr>
        <w:rPr>
          <w:rFonts w:ascii="Arial" w:hAnsi="Arial" w:cs="Arial"/>
          <w:sz w:val="22"/>
          <w:szCs w:val="22"/>
        </w:rPr>
      </w:pPr>
      <w:r w:rsidRPr="00BA4BDF">
        <w:rPr>
          <w:rFonts w:ascii="Arial" w:hAnsi="Arial" w:cs="Arial"/>
          <w:sz w:val="22"/>
          <w:szCs w:val="22"/>
        </w:rPr>
        <w:t>Vodafone Group plc is one of the world's largest telecommunications companies, providing mobile, broadband, digital connectivity and technology services across Europe and Africa. Established in 1984, the organisation has evolved from a traditional mobile network provider into a global technology company supporting consumers, businesses and governments through digital infrastructure and connectivity solutions (Vodafone Group, 2025). The telecommunications sector has experienced significant disruption in recent years due to rapid technological advances, increasing data consumption and growing demand for digital services, forcing operators to continuously adapt their</w:t>
      </w:r>
      <w:r w:rsidR="00447E63" w:rsidRPr="00BA4BDF">
        <w:rPr>
          <w:rFonts w:ascii="Arial" w:hAnsi="Arial" w:cs="Arial"/>
          <w:sz w:val="22"/>
          <w:szCs w:val="22"/>
        </w:rPr>
        <w:t xml:space="preserve"> business models to remain competitive</w:t>
      </w:r>
      <w:r w:rsidR="002B4310" w:rsidRPr="00BA4BDF">
        <w:rPr>
          <w:rFonts w:ascii="Arial" w:hAnsi="Arial" w:cs="Arial"/>
          <w:sz w:val="22"/>
          <w:szCs w:val="22"/>
        </w:rPr>
        <w:t xml:space="preserve"> </w:t>
      </w:r>
      <w:r w:rsidR="0038473E" w:rsidRPr="00BA4BDF">
        <w:rPr>
          <w:rFonts w:ascii="Arial" w:hAnsi="Arial" w:cs="Arial"/>
          <w:sz w:val="22"/>
          <w:szCs w:val="22"/>
        </w:rPr>
        <w:t>(Johnson et al., 2023)</w:t>
      </w:r>
      <w:r w:rsidR="000B7BDC" w:rsidRPr="00BA4BDF">
        <w:rPr>
          <w:rFonts w:ascii="Arial" w:hAnsi="Arial" w:cs="Arial"/>
          <w:sz w:val="22"/>
          <w:szCs w:val="22"/>
        </w:rPr>
        <w:t>.</w:t>
      </w:r>
    </w:p>
    <w:p w14:paraId="53C8C7C5" w14:textId="3971FE77" w:rsidR="00CC4C28" w:rsidRPr="00BA4BDF" w:rsidRDefault="000B7BDC" w:rsidP="00CC4C28">
      <w:pPr>
        <w:rPr>
          <w:rFonts w:ascii="Arial" w:hAnsi="Arial" w:cs="Arial"/>
          <w:sz w:val="22"/>
          <w:szCs w:val="22"/>
        </w:rPr>
      </w:pPr>
      <w:r w:rsidRPr="00BA4BDF">
        <w:rPr>
          <w:rFonts w:ascii="Arial" w:hAnsi="Arial" w:cs="Arial"/>
          <w:sz w:val="22"/>
          <w:szCs w:val="22"/>
        </w:rPr>
        <w:t>A major milestone in Vodafone's strategic evolution occurred in June 2025 with the completion of its merger with Three UK, creating Vodafone   Three. Valued at approximately £16.5 billion, the transaction established the largest mobile operator in the UK market, serving around 27 million customers and creating a stronger competitor to market leaders BT/EE and Virgin Media O2 (Vodafone</w:t>
      </w:r>
      <w:r w:rsidR="00B73D40" w:rsidRPr="00BA4BDF">
        <w:rPr>
          <w:rFonts w:ascii="Arial" w:hAnsi="Arial" w:cs="Arial"/>
          <w:sz w:val="22"/>
          <w:szCs w:val="22"/>
        </w:rPr>
        <w:t xml:space="preserve"> Three</w:t>
      </w:r>
      <w:r w:rsidRPr="00BA4BDF">
        <w:rPr>
          <w:rFonts w:ascii="Arial" w:hAnsi="Arial" w:cs="Arial"/>
          <w:sz w:val="22"/>
          <w:szCs w:val="22"/>
        </w:rPr>
        <w:t xml:space="preserve"> 2025). The merger was driven by the strategic objective of enhancing network quality, accelerating 5G deployment and improving long-term financial performance through significant operational and cost synergies. Vodafone</w:t>
      </w:r>
      <w:r w:rsidR="00B73D40" w:rsidRPr="00BA4BDF">
        <w:rPr>
          <w:rFonts w:ascii="Arial" w:hAnsi="Arial" w:cs="Arial"/>
          <w:sz w:val="22"/>
          <w:szCs w:val="22"/>
        </w:rPr>
        <w:t xml:space="preserve"> Three</w:t>
      </w:r>
      <w:r w:rsidRPr="00BA4BDF">
        <w:rPr>
          <w:rFonts w:ascii="Arial" w:hAnsi="Arial" w:cs="Arial"/>
          <w:sz w:val="22"/>
          <w:szCs w:val="22"/>
        </w:rPr>
        <w:t xml:space="preserve"> has committed to investing £11 billion over the next ten years to develop the UK's most advanced standalone 5G network, supporting future</w:t>
      </w:r>
      <w:r w:rsidR="00422B5F" w:rsidRPr="00BA4BDF">
        <w:rPr>
          <w:rFonts w:ascii="Arial" w:hAnsi="Arial" w:cs="Arial"/>
          <w:sz w:val="22"/>
          <w:szCs w:val="22"/>
        </w:rPr>
        <w:t xml:space="preserve"> innovations including autono</w:t>
      </w:r>
      <w:r w:rsidR="00591451" w:rsidRPr="00BA4BDF">
        <w:rPr>
          <w:rFonts w:ascii="Arial" w:hAnsi="Arial" w:cs="Arial"/>
          <w:sz w:val="22"/>
          <w:szCs w:val="22"/>
        </w:rPr>
        <w:t>mous transport, smart cities, artificial</w:t>
      </w:r>
      <w:r w:rsidR="009143B7" w:rsidRPr="00BA4BDF">
        <w:rPr>
          <w:rFonts w:ascii="Arial" w:hAnsi="Arial" w:cs="Arial"/>
          <w:sz w:val="22"/>
          <w:szCs w:val="22"/>
        </w:rPr>
        <w:t xml:space="preserve"> intelligence and the Internet of Things</w:t>
      </w:r>
      <w:r w:rsidR="00D618FF" w:rsidRPr="00BA4BDF">
        <w:rPr>
          <w:rFonts w:ascii="Arial" w:hAnsi="Arial" w:cs="Arial"/>
          <w:sz w:val="22"/>
          <w:szCs w:val="22"/>
        </w:rPr>
        <w:t xml:space="preserve"> (Vodafone Three, 2025).</w:t>
      </w:r>
      <w:r w:rsidR="00A808AB" w:rsidRPr="00BA4BDF">
        <w:rPr>
          <w:rFonts w:ascii="Arial" w:hAnsi="Arial" w:cs="Arial"/>
          <w:sz w:val="22"/>
          <w:szCs w:val="22"/>
        </w:rPr>
        <w:t xml:space="preserve"> Vodafone's corporate purpose is to "connect for a better future", reflecting its commitment to using technology to improve lives, businesses and societies (Vodafone Group, 2025). This purpose is supported by a strategic vision focused on becoming the leading connectivity provider in its operating markets while delivering sustainable growth and digital inclusion. The organisation's core values emphasise customer focus, innovation, simplicity, trust and sustainability, all of which underpin its approach to strategic</w:t>
      </w:r>
      <w:r w:rsidR="00C422F1" w:rsidRPr="00BA4BDF">
        <w:rPr>
          <w:rFonts w:ascii="Arial" w:hAnsi="Arial" w:cs="Arial"/>
          <w:sz w:val="22"/>
          <w:szCs w:val="22"/>
        </w:rPr>
        <w:t xml:space="preserve"> decision-making and stakeholder engagement</w:t>
      </w:r>
      <w:r w:rsidR="00DE6CA4" w:rsidRPr="00BA4BDF">
        <w:rPr>
          <w:rFonts w:ascii="Arial" w:hAnsi="Arial" w:cs="Arial"/>
          <w:sz w:val="22"/>
          <w:szCs w:val="22"/>
        </w:rPr>
        <w:t xml:space="preserve"> (Vodafone Group, 2025)</w:t>
      </w:r>
      <w:r w:rsidR="0069646B" w:rsidRPr="00BA4BDF">
        <w:rPr>
          <w:rFonts w:ascii="Arial" w:hAnsi="Arial" w:cs="Arial"/>
          <w:sz w:val="22"/>
          <w:szCs w:val="22"/>
        </w:rPr>
        <w:t>.</w:t>
      </w:r>
    </w:p>
    <w:p w14:paraId="461EDD44" w14:textId="670228D3" w:rsidR="0069646B" w:rsidRPr="00BA4BDF" w:rsidRDefault="0069646B" w:rsidP="00CC4C28">
      <w:pPr>
        <w:rPr>
          <w:rFonts w:ascii="Arial" w:hAnsi="Arial" w:cs="Arial"/>
          <w:sz w:val="22"/>
          <w:szCs w:val="22"/>
        </w:rPr>
      </w:pPr>
      <w:r w:rsidRPr="00BA4BDF">
        <w:rPr>
          <w:rFonts w:ascii="Arial" w:hAnsi="Arial" w:cs="Arial"/>
          <w:sz w:val="22"/>
          <w:szCs w:val="22"/>
        </w:rPr>
        <w:t>The purpose of this report is to evaluate Vodafone Three's current strategic position within the UK telecommunications market and recommend a suitable growth strategy capable of strengthening its competitive advantage. Through the application of recognised strategic management frameworks, the report will analyse the external business environment, assess growth opportunities and develop recommendations that support Vodafone Three's long-term ambitions while remaining aligned with its organisational values and stakeholder</w:t>
      </w:r>
      <w:r w:rsidR="006C3006" w:rsidRPr="00BA4BDF">
        <w:rPr>
          <w:rFonts w:ascii="Arial" w:hAnsi="Arial" w:cs="Arial"/>
          <w:sz w:val="22"/>
          <w:szCs w:val="22"/>
        </w:rPr>
        <w:t>’s</w:t>
      </w:r>
      <w:r w:rsidRPr="00BA4BDF">
        <w:rPr>
          <w:rFonts w:ascii="Arial" w:hAnsi="Arial" w:cs="Arial"/>
          <w:sz w:val="22"/>
          <w:szCs w:val="22"/>
        </w:rPr>
        <w:t xml:space="preserve"> expectations.</w:t>
      </w:r>
    </w:p>
    <w:p w14:paraId="00887258" w14:textId="77777777" w:rsidR="00CD3027" w:rsidRPr="00BA4BDF" w:rsidRDefault="00CD3027" w:rsidP="00CC4C28">
      <w:pPr>
        <w:rPr>
          <w:rFonts w:ascii="Arial" w:hAnsi="Arial" w:cs="Arial"/>
          <w:sz w:val="22"/>
          <w:szCs w:val="22"/>
        </w:rPr>
      </w:pPr>
    </w:p>
    <w:p w14:paraId="4D091B3A" w14:textId="52A57891" w:rsidR="00CD3027" w:rsidRPr="00BA4BDF" w:rsidRDefault="00CD3027" w:rsidP="00AC21D3">
      <w:pPr>
        <w:pStyle w:val="Heading1"/>
        <w:rPr>
          <w:rFonts w:ascii="Arial" w:hAnsi="Arial" w:cs="Arial"/>
          <w:sz w:val="22"/>
          <w:szCs w:val="22"/>
        </w:rPr>
      </w:pPr>
      <w:bookmarkStart w:id="2" w:name="_Toc234763972"/>
      <w:r w:rsidRPr="00BA4BDF">
        <w:rPr>
          <w:rFonts w:ascii="Arial" w:hAnsi="Arial" w:cs="Arial"/>
          <w:sz w:val="22"/>
          <w:szCs w:val="22"/>
        </w:rPr>
        <w:t>Evaluation of the Current Market Situation</w:t>
      </w:r>
      <w:bookmarkEnd w:id="2"/>
    </w:p>
    <w:p w14:paraId="71664B72" w14:textId="7732286C" w:rsidR="00CD3027" w:rsidRPr="00BA4BDF" w:rsidRDefault="00CD3027" w:rsidP="00CD3027">
      <w:pPr>
        <w:rPr>
          <w:rFonts w:ascii="Arial" w:hAnsi="Arial" w:cs="Arial"/>
          <w:sz w:val="22"/>
          <w:szCs w:val="22"/>
        </w:rPr>
      </w:pPr>
      <w:r w:rsidRPr="00BA4BDF">
        <w:rPr>
          <w:rFonts w:ascii="Arial" w:hAnsi="Arial" w:cs="Arial"/>
          <w:sz w:val="22"/>
          <w:szCs w:val="22"/>
        </w:rPr>
        <w:t>Understanding Vodafone</w:t>
      </w:r>
      <w:r w:rsidR="00D36346" w:rsidRPr="00BA4BDF">
        <w:rPr>
          <w:rFonts w:ascii="Arial" w:hAnsi="Arial" w:cs="Arial"/>
          <w:sz w:val="22"/>
          <w:szCs w:val="22"/>
        </w:rPr>
        <w:t xml:space="preserve"> </w:t>
      </w:r>
      <w:r w:rsidRPr="00BA4BDF">
        <w:rPr>
          <w:rFonts w:ascii="Arial" w:hAnsi="Arial" w:cs="Arial"/>
          <w:sz w:val="22"/>
          <w:szCs w:val="22"/>
        </w:rPr>
        <w:t xml:space="preserve">Three's strategic position requires an assessment of both the external and internal business environment. The UK telecommunications industry is characterised by rapid technological advancement, high capital investment requirements, significant regulatory oversight and intense competition among a small number of large providers. Strategic management literature emphasises that organisations operating within such dynamic environments must continuously evaluate external opportunities and threats </w:t>
      </w:r>
      <w:r w:rsidRPr="00BA4BDF">
        <w:rPr>
          <w:rFonts w:ascii="Arial" w:hAnsi="Arial" w:cs="Arial"/>
          <w:sz w:val="22"/>
          <w:szCs w:val="22"/>
        </w:rPr>
        <w:lastRenderedPageBreak/>
        <w:t>while leveraging internal strengths to achieve sustainable competitive advantage (Johnson et al., 2023). To assess Vodafone</w:t>
      </w:r>
      <w:r w:rsidR="00D36346" w:rsidRPr="00BA4BDF">
        <w:rPr>
          <w:rFonts w:ascii="Arial" w:hAnsi="Arial" w:cs="Arial"/>
          <w:sz w:val="22"/>
          <w:szCs w:val="22"/>
        </w:rPr>
        <w:t xml:space="preserve"> </w:t>
      </w:r>
      <w:r w:rsidRPr="00BA4BDF">
        <w:rPr>
          <w:rFonts w:ascii="Arial" w:hAnsi="Arial" w:cs="Arial"/>
          <w:sz w:val="22"/>
          <w:szCs w:val="22"/>
        </w:rPr>
        <w:t>Three's current position, this section applies PESTEL</w:t>
      </w:r>
      <w:r w:rsidR="00B40DEC" w:rsidRPr="00BA4BDF">
        <w:rPr>
          <w:rFonts w:ascii="Arial" w:hAnsi="Arial" w:cs="Arial"/>
          <w:sz w:val="22"/>
          <w:szCs w:val="22"/>
        </w:rPr>
        <w:t xml:space="preserve"> analysis, Portes’s Five Forces</w:t>
      </w:r>
      <w:r w:rsidR="006A2E11" w:rsidRPr="00BA4BDF">
        <w:rPr>
          <w:rFonts w:ascii="Arial" w:hAnsi="Arial" w:cs="Arial"/>
          <w:sz w:val="22"/>
          <w:szCs w:val="22"/>
        </w:rPr>
        <w:t xml:space="preserve"> framework and SWOT analysis</w:t>
      </w:r>
      <w:r w:rsidR="00F74421" w:rsidRPr="00BA4BDF">
        <w:rPr>
          <w:rFonts w:ascii="Arial" w:hAnsi="Arial" w:cs="Arial"/>
          <w:sz w:val="22"/>
          <w:szCs w:val="22"/>
        </w:rPr>
        <w:t>.</w:t>
      </w:r>
    </w:p>
    <w:p w14:paraId="350205D8" w14:textId="77777777" w:rsidR="003F1FDC" w:rsidRPr="00BA4BDF" w:rsidRDefault="003F1FDC" w:rsidP="00CD3027">
      <w:pPr>
        <w:rPr>
          <w:rFonts w:ascii="Arial" w:hAnsi="Arial" w:cs="Arial"/>
          <w:sz w:val="22"/>
          <w:szCs w:val="22"/>
        </w:rPr>
      </w:pPr>
    </w:p>
    <w:p w14:paraId="22E6B429" w14:textId="65D9D392" w:rsidR="003F1FDC" w:rsidRPr="00BA4BDF" w:rsidRDefault="003F1FDC" w:rsidP="003F1FDC">
      <w:pPr>
        <w:rPr>
          <w:rStyle w:val="BookTitle"/>
          <w:rFonts w:ascii="Arial" w:hAnsi="Arial" w:cs="Arial"/>
          <w:sz w:val="22"/>
          <w:szCs w:val="22"/>
        </w:rPr>
      </w:pPr>
      <w:r w:rsidRPr="00BA4BDF">
        <w:rPr>
          <w:rStyle w:val="BookTitle"/>
          <w:rFonts w:ascii="Arial" w:hAnsi="Arial" w:cs="Arial"/>
          <w:sz w:val="22"/>
          <w:szCs w:val="22"/>
        </w:rPr>
        <w:t>PESTEL Analysis</w:t>
      </w:r>
    </w:p>
    <w:p w14:paraId="079A4810" w14:textId="77777777" w:rsidR="003F1FDC" w:rsidRPr="00BA4BDF" w:rsidRDefault="003F1FDC" w:rsidP="003F1FDC">
      <w:pPr>
        <w:rPr>
          <w:rFonts w:ascii="Arial" w:hAnsi="Arial" w:cs="Arial"/>
          <w:b/>
          <w:bCs/>
          <w:sz w:val="22"/>
          <w:szCs w:val="22"/>
        </w:rPr>
      </w:pPr>
      <w:r w:rsidRPr="00BA4BDF">
        <w:rPr>
          <w:rFonts w:ascii="Arial" w:hAnsi="Arial" w:cs="Arial"/>
          <w:b/>
          <w:bCs/>
          <w:sz w:val="22"/>
          <w:szCs w:val="22"/>
        </w:rPr>
        <w:t>Political Factors</w:t>
      </w:r>
    </w:p>
    <w:p w14:paraId="44CB4602" w14:textId="77777777" w:rsidR="003F1FDC" w:rsidRPr="00BA4BDF" w:rsidRDefault="003F1FDC" w:rsidP="003F1FDC">
      <w:pPr>
        <w:rPr>
          <w:rFonts w:ascii="Arial" w:hAnsi="Arial" w:cs="Arial"/>
          <w:sz w:val="22"/>
          <w:szCs w:val="22"/>
        </w:rPr>
      </w:pPr>
      <w:r w:rsidRPr="00BA4BDF">
        <w:rPr>
          <w:rFonts w:ascii="Arial" w:hAnsi="Arial" w:cs="Arial"/>
          <w:sz w:val="22"/>
          <w:szCs w:val="22"/>
        </w:rPr>
        <w:t>Political and regulatory factors have a significant influence on the telecommunications industry because communication networks are regarded as critical national infrastructure. In the United Kingdom, the sector is heavily regulated by Ofcom and monitored by the Competition and Markets Authority (CMA). The approval of the Vodafone–Three merger illustrates the importance of political oversight, as the CMA initially raised concerns regarding reduced competition before ultimately approving the transaction subject to legally binding commitments concerning network investment and consumer protection (Competition and Markets Authority, 2024).</w:t>
      </w:r>
    </w:p>
    <w:p w14:paraId="45499D68" w14:textId="31FA1A30" w:rsidR="003F1FDC" w:rsidRPr="00BA4BDF" w:rsidRDefault="003F1FDC" w:rsidP="003F1FDC">
      <w:pPr>
        <w:rPr>
          <w:rFonts w:ascii="Arial" w:hAnsi="Arial" w:cs="Arial"/>
          <w:sz w:val="22"/>
          <w:szCs w:val="22"/>
        </w:rPr>
      </w:pPr>
      <w:r w:rsidRPr="00BA4BDF">
        <w:rPr>
          <w:rFonts w:ascii="Arial" w:hAnsi="Arial" w:cs="Arial"/>
          <w:sz w:val="22"/>
          <w:szCs w:val="22"/>
        </w:rPr>
        <w:t>Government policy increasingly supports digital transformation and nationwide connectivity. The UK Government's digital strategy prioritises improved broadband and mobile infrastructure to enhance productivity and economic growth (Department for Science, Innovation and Technology, 2024). These initiatives create opportunities for Vodafon</w:t>
      </w:r>
      <w:r w:rsidR="008A1E01" w:rsidRPr="00BA4BDF">
        <w:rPr>
          <w:rFonts w:ascii="Arial" w:hAnsi="Arial" w:cs="Arial"/>
          <w:sz w:val="22"/>
          <w:szCs w:val="22"/>
        </w:rPr>
        <w:t xml:space="preserve">e </w:t>
      </w:r>
      <w:r w:rsidRPr="00BA4BDF">
        <w:rPr>
          <w:rFonts w:ascii="Arial" w:hAnsi="Arial" w:cs="Arial"/>
          <w:sz w:val="22"/>
          <w:szCs w:val="22"/>
        </w:rPr>
        <w:t>Three to benefit from public-private partnerships and infrastructure development programmes. However, continued regulatory scrutiny regarding pricing, competition and network security remains a potential constraint on future strategic</w:t>
      </w:r>
      <w:r w:rsidR="008A1E01" w:rsidRPr="00BA4BDF">
        <w:rPr>
          <w:rFonts w:ascii="Arial" w:hAnsi="Arial" w:cs="Arial"/>
          <w:sz w:val="22"/>
          <w:szCs w:val="22"/>
        </w:rPr>
        <w:t xml:space="preserve"> decisions.</w:t>
      </w:r>
    </w:p>
    <w:p w14:paraId="28E8E0B6" w14:textId="77777777" w:rsidR="00E71750" w:rsidRPr="00BA4BDF" w:rsidRDefault="00E71750" w:rsidP="003F1FDC">
      <w:pPr>
        <w:rPr>
          <w:rFonts w:ascii="Arial" w:hAnsi="Arial" w:cs="Arial"/>
          <w:sz w:val="22"/>
          <w:szCs w:val="22"/>
        </w:rPr>
      </w:pPr>
    </w:p>
    <w:p w14:paraId="38FE9A59" w14:textId="77777777" w:rsidR="005C0A76" w:rsidRPr="00BA4BDF" w:rsidRDefault="005C0A76" w:rsidP="005C0A76">
      <w:pPr>
        <w:rPr>
          <w:rFonts w:ascii="Arial" w:hAnsi="Arial" w:cs="Arial"/>
          <w:b/>
          <w:bCs/>
          <w:sz w:val="22"/>
          <w:szCs w:val="22"/>
        </w:rPr>
      </w:pPr>
      <w:r w:rsidRPr="00BA4BDF">
        <w:rPr>
          <w:rFonts w:ascii="Arial" w:hAnsi="Arial" w:cs="Arial"/>
          <w:b/>
          <w:bCs/>
          <w:sz w:val="22"/>
          <w:szCs w:val="22"/>
        </w:rPr>
        <w:t>Economic Factors</w:t>
      </w:r>
    </w:p>
    <w:p w14:paraId="1A741270" w14:textId="77777777" w:rsidR="005C0A76" w:rsidRPr="00BA4BDF" w:rsidRDefault="005C0A76" w:rsidP="005C0A76">
      <w:pPr>
        <w:rPr>
          <w:rFonts w:ascii="Arial" w:hAnsi="Arial" w:cs="Arial"/>
          <w:sz w:val="22"/>
          <w:szCs w:val="22"/>
        </w:rPr>
      </w:pPr>
      <w:r w:rsidRPr="00BA4BDF">
        <w:rPr>
          <w:rFonts w:ascii="Arial" w:hAnsi="Arial" w:cs="Arial"/>
          <w:sz w:val="22"/>
          <w:szCs w:val="22"/>
        </w:rPr>
        <w:t>Economic conditions significantly affect consumer purchasing behaviour and organisational investment decisions. The UK economy has experienced inflationary pressures and cost-of-living challenges in recent years, increasing price sensitivity among consumers (Office for National Statistics, 2025). This trend places pressure on telecommunications providers to balance affordability with profitability.</w:t>
      </w:r>
    </w:p>
    <w:p w14:paraId="71F41ED0" w14:textId="11747976" w:rsidR="005C0A76" w:rsidRPr="00BA4BDF" w:rsidRDefault="005C0A76" w:rsidP="005C0A76">
      <w:pPr>
        <w:rPr>
          <w:rFonts w:ascii="Arial" w:hAnsi="Arial" w:cs="Arial"/>
          <w:sz w:val="22"/>
          <w:szCs w:val="22"/>
        </w:rPr>
      </w:pPr>
      <w:r w:rsidRPr="00BA4BDF">
        <w:rPr>
          <w:rFonts w:ascii="Arial" w:hAnsi="Arial" w:cs="Arial"/>
          <w:sz w:val="22"/>
          <w:szCs w:val="22"/>
        </w:rPr>
        <w:t>Despite economic uncertainty, telecommunications services remain relatively resilient due to their essential nature. Demand for mobile connectivity, broadband and digital services continue to grow as businesses and consumers become increasingly dependent on digital technologies. According to GSMA (2024), mobile technologies and services contributed over £160 billion to the UK economy, demonstrating the sector's economic significance.</w:t>
      </w:r>
    </w:p>
    <w:p w14:paraId="3D4F0062" w14:textId="1E911895" w:rsidR="005C0A76" w:rsidRPr="00BA4BDF" w:rsidRDefault="005C0A76" w:rsidP="005C0A76">
      <w:pPr>
        <w:rPr>
          <w:rFonts w:ascii="Arial" w:hAnsi="Arial" w:cs="Arial"/>
          <w:sz w:val="22"/>
          <w:szCs w:val="22"/>
        </w:rPr>
      </w:pPr>
      <w:r w:rsidRPr="00BA4BDF">
        <w:rPr>
          <w:rFonts w:ascii="Arial" w:hAnsi="Arial" w:cs="Arial"/>
          <w:sz w:val="22"/>
          <w:szCs w:val="22"/>
        </w:rPr>
        <w:t>For Vodafone Three, the merger provides an opportunity to improve financial performance through economies of scale and cost synergies. The company expects approximately £700 million in</w:t>
      </w:r>
      <w:r w:rsidR="00C819C5" w:rsidRPr="00BA4BDF">
        <w:rPr>
          <w:rFonts w:ascii="Arial" w:hAnsi="Arial" w:cs="Arial"/>
          <w:sz w:val="22"/>
          <w:szCs w:val="22"/>
        </w:rPr>
        <w:t xml:space="preserve"> annual savings through network</w:t>
      </w:r>
      <w:r w:rsidR="00AA29D9" w:rsidRPr="00BA4BDF">
        <w:rPr>
          <w:rFonts w:ascii="Arial" w:hAnsi="Arial" w:cs="Arial"/>
          <w:sz w:val="22"/>
          <w:szCs w:val="22"/>
        </w:rPr>
        <w:t xml:space="preserve"> consolidation and operational integration (Vodafone Group</w:t>
      </w:r>
      <w:r w:rsidR="00B07454" w:rsidRPr="00BA4BDF">
        <w:rPr>
          <w:rFonts w:ascii="Arial" w:hAnsi="Arial" w:cs="Arial"/>
          <w:sz w:val="22"/>
          <w:szCs w:val="22"/>
        </w:rPr>
        <w:t>, 2025). These efficiencies could str</w:t>
      </w:r>
      <w:r w:rsidR="007D69CE" w:rsidRPr="00BA4BDF">
        <w:rPr>
          <w:rFonts w:ascii="Arial" w:hAnsi="Arial" w:cs="Arial"/>
          <w:sz w:val="22"/>
          <w:szCs w:val="22"/>
        </w:rPr>
        <w:t xml:space="preserve">engthen profitability while </w:t>
      </w:r>
      <w:r w:rsidR="00666083" w:rsidRPr="00BA4BDF">
        <w:rPr>
          <w:rFonts w:ascii="Arial" w:hAnsi="Arial" w:cs="Arial"/>
          <w:sz w:val="22"/>
          <w:szCs w:val="22"/>
        </w:rPr>
        <w:t>supporting substantial investment in future technologies.</w:t>
      </w:r>
    </w:p>
    <w:p w14:paraId="5D000250" w14:textId="77777777" w:rsidR="00C71074" w:rsidRDefault="00C71074" w:rsidP="005C0A76">
      <w:pPr>
        <w:rPr>
          <w:rFonts w:ascii="Arial" w:hAnsi="Arial" w:cs="Arial"/>
          <w:sz w:val="22"/>
          <w:szCs w:val="22"/>
        </w:rPr>
      </w:pPr>
    </w:p>
    <w:p w14:paraId="0C396184" w14:textId="77777777" w:rsidR="00E253F3" w:rsidRPr="00BA4BDF" w:rsidRDefault="00E253F3" w:rsidP="005C0A76">
      <w:pPr>
        <w:rPr>
          <w:rFonts w:ascii="Arial" w:hAnsi="Arial" w:cs="Arial"/>
          <w:sz w:val="22"/>
          <w:szCs w:val="22"/>
        </w:rPr>
      </w:pPr>
    </w:p>
    <w:p w14:paraId="405F5240" w14:textId="77777777" w:rsidR="00C71074" w:rsidRPr="00BA4BDF" w:rsidRDefault="00C71074" w:rsidP="00C71074">
      <w:pPr>
        <w:rPr>
          <w:rFonts w:ascii="Arial" w:hAnsi="Arial" w:cs="Arial"/>
          <w:b/>
          <w:bCs/>
          <w:sz w:val="22"/>
          <w:szCs w:val="22"/>
        </w:rPr>
      </w:pPr>
      <w:r w:rsidRPr="00BA4BDF">
        <w:rPr>
          <w:rFonts w:ascii="Arial" w:hAnsi="Arial" w:cs="Arial"/>
          <w:b/>
          <w:bCs/>
          <w:sz w:val="22"/>
          <w:szCs w:val="22"/>
        </w:rPr>
        <w:lastRenderedPageBreak/>
        <w:t>Social Factors</w:t>
      </w:r>
    </w:p>
    <w:p w14:paraId="23E3365F" w14:textId="77777777" w:rsidR="00C71074" w:rsidRPr="00BA4BDF" w:rsidRDefault="00C71074" w:rsidP="00C71074">
      <w:pPr>
        <w:rPr>
          <w:rFonts w:ascii="Arial" w:hAnsi="Arial" w:cs="Arial"/>
          <w:sz w:val="22"/>
          <w:szCs w:val="22"/>
        </w:rPr>
      </w:pPr>
      <w:r w:rsidRPr="00BA4BDF">
        <w:rPr>
          <w:rFonts w:ascii="Arial" w:hAnsi="Arial" w:cs="Arial"/>
          <w:sz w:val="22"/>
          <w:szCs w:val="22"/>
        </w:rPr>
        <w:t>Social trends continue to reshape demand within the telecommunications sector. Consumers increasingly expect seamless digital experiences, reliable connectivity and personalised services. The growth of remote working, online education, digital entertainment and e-commerce has increased dependence on mobile and broadband networks (Deloitte, 2025).</w:t>
      </w:r>
    </w:p>
    <w:p w14:paraId="5EA99B2C" w14:textId="77777777" w:rsidR="00C71074" w:rsidRPr="00BA4BDF" w:rsidRDefault="00C71074" w:rsidP="00C71074">
      <w:pPr>
        <w:rPr>
          <w:rFonts w:ascii="Arial" w:hAnsi="Arial" w:cs="Arial"/>
          <w:sz w:val="22"/>
          <w:szCs w:val="22"/>
        </w:rPr>
      </w:pPr>
      <w:r w:rsidRPr="00BA4BDF">
        <w:rPr>
          <w:rFonts w:ascii="Arial" w:hAnsi="Arial" w:cs="Arial"/>
          <w:sz w:val="22"/>
          <w:szCs w:val="22"/>
        </w:rPr>
        <w:t>Demographic changes also influence service demand. Younger consumers typically demonstrate higher levels of data consumption and digital engagement, while older populations increasingly rely on digital services for communication, healthcare and financial transactions. Consequently, telecommunications providers must deliver both technological innovation and digital inclusion.</w:t>
      </w:r>
    </w:p>
    <w:p w14:paraId="2BB2DDD2" w14:textId="1D5CEE53" w:rsidR="00C71074" w:rsidRPr="00BA4BDF" w:rsidRDefault="00C71074" w:rsidP="00C71074">
      <w:pPr>
        <w:rPr>
          <w:rFonts w:ascii="Arial" w:hAnsi="Arial" w:cs="Arial"/>
          <w:sz w:val="22"/>
          <w:szCs w:val="22"/>
        </w:rPr>
      </w:pPr>
      <w:r w:rsidRPr="00BA4BDF">
        <w:rPr>
          <w:rFonts w:ascii="Arial" w:hAnsi="Arial" w:cs="Arial"/>
          <w:sz w:val="22"/>
          <w:szCs w:val="22"/>
        </w:rPr>
        <w:t>Customer expectations regarding environmental and social responsibility have also increased. Research indicates that consumers are increasingly likely to support organisations demonstrating strong sustainability performance and ethical business practices (PwC, 2024). Vodafone's long-standing commitment to sustainability therefore represents both a social responsibility and a competitive advantage.</w:t>
      </w:r>
    </w:p>
    <w:p w14:paraId="170A2909" w14:textId="77777777" w:rsidR="00E71750" w:rsidRPr="00BA4BDF" w:rsidRDefault="00E71750" w:rsidP="00C71074">
      <w:pPr>
        <w:rPr>
          <w:rFonts w:ascii="Arial" w:hAnsi="Arial" w:cs="Arial"/>
          <w:sz w:val="22"/>
          <w:szCs w:val="22"/>
        </w:rPr>
      </w:pPr>
    </w:p>
    <w:p w14:paraId="07106DB8" w14:textId="77777777" w:rsidR="00976C5A" w:rsidRPr="00BA4BDF" w:rsidRDefault="00976C5A" w:rsidP="00C71074">
      <w:pPr>
        <w:rPr>
          <w:rFonts w:ascii="Arial" w:hAnsi="Arial" w:cs="Arial"/>
          <w:sz w:val="22"/>
          <w:szCs w:val="22"/>
        </w:rPr>
      </w:pPr>
    </w:p>
    <w:p w14:paraId="540A8B6F" w14:textId="77777777" w:rsidR="00976C5A" w:rsidRPr="00BA4BDF" w:rsidRDefault="00976C5A" w:rsidP="00976C5A">
      <w:pPr>
        <w:rPr>
          <w:rFonts w:ascii="Arial" w:hAnsi="Arial" w:cs="Arial"/>
          <w:b/>
          <w:bCs/>
          <w:sz w:val="22"/>
          <w:szCs w:val="22"/>
        </w:rPr>
      </w:pPr>
      <w:r w:rsidRPr="00BA4BDF">
        <w:rPr>
          <w:rFonts w:ascii="Arial" w:hAnsi="Arial" w:cs="Arial"/>
          <w:b/>
          <w:bCs/>
          <w:sz w:val="22"/>
          <w:szCs w:val="22"/>
        </w:rPr>
        <w:t>Technological Factors</w:t>
      </w:r>
    </w:p>
    <w:p w14:paraId="339416F6" w14:textId="77777777" w:rsidR="00976C5A" w:rsidRPr="00BA4BDF" w:rsidRDefault="00976C5A" w:rsidP="00976C5A">
      <w:pPr>
        <w:rPr>
          <w:rFonts w:ascii="Arial" w:hAnsi="Arial" w:cs="Arial"/>
          <w:sz w:val="22"/>
          <w:szCs w:val="22"/>
        </w:rPr>
      </w:pPr>
      <w:r w:rsidRPr="00BA4BDF">
        <w:rPr>
          <w:rFonts w:ascii="Arial" w:hAnsi="Arial" w:cs="Arial"/>
          <w:sz w:val="22"/>
          <w:szCs w:val="22"/>
        </w:rPr>
        <w:t>Technological change represents the most significant driver of transformation within the telecommunications industry. Emerging technologies including 5G, artificial intelligence (AI), cloud computing, edge computing and the Internet of Things (IoT) are creating new business opportunities while simultaneously disrupting traditional revenue models (Grant, 2022).</w:t>
      </w:r>
    </w:p>
    <w:p w14:paraId="5341BBF3" w14:textId="4760E970" w:rsidR="00976C5A" w:rsidRPr="00BA4BDF" w:rsidRDefault="00976C5A" w:rsidP="00976C5A">
      <w:pPr>
        <w:rPr>
          <w:rFonts w:ascii="Arial" w:hAnsi="Arial" w:cs="Arial"/>
          <w:sz w:val="22"/>
          <w:szCs w:val="22"/>
        </w:rPr>
      </w:pPr>
      <w:r w:rsidRPr="00BA4BDF">
        <w:rPr>
          <w:rFonts w:ascii="Arial" w:hAnsi="Arial" w:cs="Arial"/>
          <w:sz w:val="22"/>
          <w:szCs w:val="22"/>
        </w:rPr>
        <w:t xml:space="preserve">The Vodafone </w:t>
      </w:r>
      <w:r w:rsidR="00FD31B9" w:rsidRPr="00BA4BDF">
        <w:rPr>
          <w:rFonts w:ascii="Arial" w:hAnsi="Arial" w:cs="Arial"/>
          <w:sz w:val="22"/>
          <w:szCs w:val="22"/>
        </w:rPr>
        <w:t>Three</w:t>
      </w:r>
      <w:r w:rsidRPr="00BA4BDF">
        <w:rPr>
          <w:rFonts w:ascii="Arial" w:hAnsi="Arial" w:cs="Arial"/>
          <w:sz w:val="22"/>
          <w:szCs w:val="22"/>
        </w:rPr>
        <w:t xml:space="preserve"> merger is fundamentally linked to technological advancement. The organisation has committed to investing £11 billion in developing the UK's leading standalone 5G network over the next decade (Vodafone</w:t>
      </w:r>
      <w:r w:rsidR="00FC1FC0" w:rsidRPr="00BA4BDF">
        <w:rPr>
          <w:rFonts w:ascii="Arial" w:hAnsi="Arial" w:cs="Arial"/>
          <w:sz w:val="22"/>
          <w:szCs w:val="22"/>
        </w:rPr>
        <w:t xml:space="preserve"> </w:t>
      </w:r>
      <w:r w:rsidRPr="00BA4BDF">
        <w:rPr>
          <w:rFonts w:ascii="Arial" w:hAnsi="Arial" w:cs="Arial"/>
          <w:sz w:val="22"/>
          <w:szCs w:val="22"/>
        </w:rPr>
        <w:t>Three, 2025). This investment is expected to improve network performance, increase coverage and support emerging applications such as autonomous vehicles, smart cities and industrial automation.</w:t>
      </w:r>
    </w:p>
    <w:p w14:paraId="1BD4384A" w14:textId="319704A4" w:rsidR="00976C5A" w:rsidRPr="00BA4BDF" w:rsidRDefault="00976C5A" w:rsidP="00976C5A">
      <w:pPr>
        <w:rPr>
          <w:rFonts w:ascii="Arial" w:hAnsi="Arial" w:cs="Arial"/>
          <w:sz w:val="22"/>
          <w:szCs w:val="22"/>
        </w:rPr>
      </w:pPr>
      <w:r w:rsidRPr="00BA4BDF">
        <w:rPr>
          <w:rFonts w:ascii="Arial" w:hAnsi="Arial" w:cs="Arial"/>
          <w:sz w:val="22"/>
          <w:szCs w:val="22"/>
        </w:rPr>
        <w:t>Furthermore, enterprise demand for private 5G networks, cybersecurity services and IoT connectivity is increasing rapidly. According to Ericsson (2024), global IoT connections are projected to exceed 38 billion by 2030, highlighting substantial growth opportunities for telecommunications providers capable of</w:t>
      </w:r>
      <w:r w:rsidR="00FC1FC0" w:rsidRPr="00BA4BDF">
        <w:rPr>
          <w:rFonts w:ascii="Arial" w:hAnsi="Arial" w:cs="Arial"/>
          <w:sz w:val="22"/>
          <w:szCs w:val="22"/>
        </w:rPr>
        <w:t xml:space="preserve"> delivering advanced digital infrastructure</w:t>
      </w:r>
      <w:r w:rsidR="001324FC" w:rsidRPr="00BA4BDF">
        <w:rPr>
          <w:rFonts w:ascii="Arial" w:hAnsi="Arial" w:cs="Arial"/>
          <w:sz w:val="22"/>
          <w:szCs w:val="22"/>
        </w:rPr>
        <w:t xml:space="preserve"> solutions.</w:t>
      </w:r>
    </w:p>
    <w:p w14:paraId="0EFDEC39" w14:textId="77777777" w:rsidR="006A0AE2" w:rsidRPr="00BA4BDF" w:rsidRDefault="006A0AE2" w:rsidP="00976C5A">
      <w:pPr>
        <w:rPr>
          <w:rFonts w:ascii="Arial" w:hAnsi="Arial" w:cs="Arial"/>
          <w:sz w:val="22"/>
          <w:szCs w:val="22"/>
        </w:rPr>
      </w:pPr>
    </w:p>
    <w:p w14:paraId="5E33DB14" w14:textId="77777777" w:rsidR="006A0AE2" w:rsidRPr="00BA4BDF" w:rsidRDefault="006A0AE2" w:rsidP="006A0AE2">
      <w:pPr>
        <w:rPr>
          <w:rFonts w:ascii="Arial" w:hAnsi="Arial" w:cs="Arial"/>
          <w:b/>
          <w:bCs/>
          <w:sz w:val="22"/>
          <w:szCs w:val="22"/>
        </w:rPr>
      </w:pPr>
      <w:r w:rsidRPr="00BA4BDF">
        <w:rPr>
          <w:rFonts w:ascii="Arial" w:hAnsi="Arial" w:cs="Arial"/>
          <w:b/>
          <w:bCs/>
          <w:sz w:val="22"/>
          <w:szCs w:val="22"/>
        </w:rPr>
        <w:t>Environmental Factors</w:t>
      </w:r>
    </w:p>
    <w:p w14:paraId="06687BBD" w14:textId="77777777" w:rsidR="006A0AE2" w:rsidRPr="00BA4BDF" w:rsidRDefault="006A0AE2" w:rsidP="006A0AE2">
      <w:pPr>
        <w:rPr>
          <w:rFonts w:ascii="Arial" w:hAnsi="Arial" w:cs="Arial"/>
          <w:sz w:val="22"/>
          <w:szCs w:val="22"/>
        </w:rPr>
      </w:pPr>
      <w:r w:rsidRPr="00BA4BDF">
        <w:rPr>
          <w:rFonts w:ascii="Arial" w:hAnsi="Arial" w:cs="Arial"/>
          <w:sz w:val="22"/>
          <w:szCs w:val="22"/>
        </w:rPr>
        <w:t>Environmental sustainability is becoming increasingly important within the telecommunications sector. Network infrastructure consumes significant amounts of energy, while stakeholders expect organisations to reduce carbon emissions and support broader environmental objectives.</w:t>
      </w:r>
    </w:p>
    <w:p w14:paraId="715FC398" w14:textId="77777777" w:rsidR="006A0AE2" w:rsidRPr="00BA4BDF" w:rsidRDefault="006A0AE2" w:rsidP="006A0AE2">
      <w:pPr>
        <w:rPr>
          <w:rFonts w:ascii="Arial" w:hAnsi="Arial" w:cs="Arial"/>
          <w:sz w:val="22"/>
          <w:szCs w:val="22"/>
        </w:rPr>
      </w:pPr>
      <w:r w:rsidRPr="00BA4BDF">
        <w:rPr>
          <w:rFonts w:ascii="Arial" w:hAnsi="Arial" w:cs="Arial"/>
          <w:sz w:val="22"/>
          <w:szCs w:val="22"/>
        </w:rPr>
        <w:t xml:space="preserve">Vodafone has established ambitious sustainability targets, including commitments to reduce greenhouse gas emissions and increase the use of renewable energy across its operations </w:t>
      </w:r>
      <w:r w:rsidRPr="00BA4BDF">
        <w:rPr>
          <w:rFonts w:ascii="Arial" w:hAnsi="Arial" w:cs="Arial"/>
          <w:sz w:val="22"/>
          <w:szCs w:val="22"/>
        </w:rPr>
        <w:lastRenderedPageBreak/>
        <w:t>(Vodafone Group, 2025). These initiatives align with wider governmental and societal expectations regarding climate change mitigation.</w:t>
      </w:r>
    </w:p>
    <w:p w14:paraId="01DF986E" w14:textId="7E99D20C" w:rsidR="006A0AE2" w:rsidRPr="00BA4BDF" w:rsidRDefault="006A0AE2" w:rsidP="006A0AE2">
      <w:pPr>
        <w:rPr>
          <w:rFonts w:ascii="Arial" w:hAnsi="Arial" w:cs="Arial"/>
          <w:sz w:val="22"/>
          <w:szCs w:val="22"/>
        </w:rPr>
      </w:pPr>
      <w:r w:rsidRPr="00BA4BDF">
        <w:rPr>
          <w:rFonts w:ascii="Arial" w:hAnsi="Arial" w:cs="Arial"/>
          <w:sz w:val="22"/>
          <w:szCs w:val="22"/>
        </w:rPr>
        <w:t xml:space="preserve">However, expanding network infrastructure may increase energy consumption and operational complexity. Consequently, Vodafone </w:t>
      </w:r>
      <w:r w:rsidR="007B47A3" w:rsidRPr="00BA4BDF">
        <w:rPr>
          <w:rFonts w:ascii="Arial" w:hAnsi="Arial" w:cs="Arial"/>
          <w:sz w:val="22"/>
          <w:szCs w:val="22"/>
        </w:rPr>
        <w:t>Three</w:t>
      </w:r>
      <w:r w:rsidRPr="00BA4BDF">
        <w:rPr>
          <w:rFonts w:ascii="Arial" w:hAnsi="Arial" w:cs="Arial"/>
          <w:sz w:val="22"/>
          <w:szCs w:val="22"/>
        </w:rPr>
        <w:t xml:space="preserve"> must ensure that future growth initiatives incorporate sustainable technologies and energy-efficient operating practices</w:t>
      </w:r>
      <w:r w:rsidR="00C12E78" w:rsidRPr="00BA4BDF">
        <w:rPr>
          <w:rFonts w:ascii="Arial" w:hAnsi="Arial" w:cs="Arial"/>
          <w:sz w:val="22"/>
          <w:szCs w:val="22"/>
        </w:rPr>
        <w:t>.</w:t>
      </w:r>
    </w:p>
    <w:p w14:paraId="3570055C" w14:textId="77777777" w:rsidR="00E71750" w:rsidRPr="00BA4BDF" w:rsidRDefault="00E71750" w:rsidP="006A0AE2">
      <w:pPr>
        <w:rPr>
          <w:rFonts w:ascii="Arial" w:hAnsi="Arial" w:cs="Arial"/>
          <w:sz w:val="22"/>
          <w:szCs w:val="22"/>
        </w:rPr>
      </w:pPr>
    </w:p>
    <w:p w14:paraId="4DE5C4A5" w14:textId="77777777" w:rsidR="00C161C6" w:rsidRPr="00BA4BDF" w:rsidRDefault="00C161C6" w:rsidP="006A0AE2">
      <w:pPr>
        <w:rPr>
          <w:rFonts w:ascii="Arial" w:hAnsi="Arial" w:cs="Arial"/>
          <w:sz w:val="22"/>
          <w:szCs w:val="22"/>
        </w:rPr>
      </w:pPr>
    </w:p>
    <w:p w14:paraId="055A7FB0" w14:textId="29EC9F40" w:rsidR="00FD31B9" w:rsidRPr="00BA4BDF" w:rsidRDefault="00C161C6" w:rsidP="00C161C6">
      <w:pPr>
        <w:rPr>
          <w:rFonts w:ascii="Arial" w:hAnsi="Arial" w:cs="Arial"/>
          <w:b/>
          <w:bCs/>
          <w:sz w:val="22"/>
          <w:szCs w:val="22"/>
        </w:rPr>
      </w:pPr>
      <w:r w:rsidRPr="00BA4BDF">
        <w:rPr>
          <w:rFonts w:ascii="Arial" w:hAnsi="Arial" w:cs="Arial"/>
          <w:b/>
          <w:bCs/>
          <w:sz w:val="22"/>
          <w:szCs w:val="22"/>
        </w:rPr>
        <w:t>Legal Factors</w:t>
      </w:r>
    </w:p>
    <w:p w14:paraId="4F1980B7" w14:textId="77777777" w:rsidR="00C161C6" w:rsidRPr="00BA4BDF" w:rsidRDefault="00C161C6" w:rsidP="00C161C6">
      <w:pPr>
        <w:rPr>
          <w:rFonts w:ascii="Arial" w:hAnsi="Arial" w:cs="Arial"/>
          <w:sz w:val="22"/>
          <w:szCs w:val="22"/>
        </w:rPr>
      </w:pPr>
      <w:r w:rsidRPr="00BA4BDF">
        <w:rPr>
          <w:rFonts w:ascii="Arial" w:hAnsi="Arial" w:cs="Arial"/>
          <w:sz w:val="22"/>
          <w:szCs w:val="22"/>
        </w:rPr>
        <w:t>Legal considerations are particularly important within the telecommunications industry due to extensive regulation relating to competition, consumer rights and data protection. Compliance with the UK General Data Protection Regulation (UK GDPR) is essential given the vast amounts of customer data managed by telecommunications providers.</w:t>
      </w:r>
    </w:p>
    <w:p w14:paraId="206BC98B" w14:textId="77777777" w:rsidR="00C161C6" w:rsidRPr="00BA4BDF" w:rsidRDefault="00C161C6" w:rsidP="00C161C6">
      <w:pPr>
        <w:rPr>
          <w:rFonts w:ascii="Arial" w:hAnsi="Arial" w:cs="Arial"/>
          <w:sz w:val="22"/>
          <w:szCs w:val="22"/>
        </w:rPr>
      </w:pPr>
      <w:r w:rsidRPr="00BA4BDF">
        <w:rPr>
          <w:rFonts w:ascii="Arial" w:hAnsi="Arial" w:cs="Arial"/>
          <w:sz w:val="22"/>
          <w:szCs w:val="22"/>
        </w:rPr>
        <w:t>Cybersecurity legislation and national security requirements have also become increasingly important due to growing concerns regarding cyber threats and digital resilience (National Cyber Security Centre, 2024). Failure to comply with legal requirements could result in substantial financial penalties and reputational damage.</w:t>
      </w:r>
    </w:p>
    <w:p w14:paraId="621FA3E6" w14:textId="0E50AE50" w:rsidR="00C161C6" w:rsidRPr="00BA4BDF" w:rsidRDefault="00C161C6" w:rsidP="00C161C6">
      <w:pPr>
        <w:rPr>
          <w:rFonts w:ascii="Arial" w:hAnsi="Arial" w:cs="Arial"/>
          <w:sz w:val="22"/>
          <w:szCs w:val="22"/>
        </w:rPr>
      </w:pPr>
      <w:r w:rsidRPr="00BA4BDF">
        <w:rPr>
          <w:rFonts w:ascii="Arial" w:hAnsi="Arial" w:cs="Arial"/>
          <w:sz w:val="22"/>
          <w:szCs w:val="22"/>
        </w:rPr>
        <w:t>Overall, the PESTEL analysis suggests that while Vodafone</w:t>
      </w:r>
      <w:r w:rsidR="00435375" w:rsidRPr="00BA4BDF">
        <w:rPr>
          <w:rFonts w:ascii="Arial" w:hAnsi="Arial" w:cs="Arial"/>
          <w:sz w:val="22"/>
          <w:szCs w:val="22"/>
        </w:rPr>
        <w:t xml:space="preserve"> </w:t>
      </w:r>
      <w:r w:rsidRPr="00BA4BDF">
        <w:rPr>
          <w:rFonts w:ascii="Arial" w:hAnsi="Arial" w:cs="Arial"/>
          <w:sz w:val="22"/>
          <w:szCs w:val="22"/>
        </w:rPr>
        <w:t>Three operates within a highly regulated environment, significant opportunities exist through government support for digital infrastructure, technological innovation and increasing demand for</w:t>
      </w:r>
      <w:r w:rsidR="00147B63" w:rsidRPr="00BA4BDF">
        <w:rPr>
          <w:rFonts w:ascii="Arial" w:hAnsi="Arial" w:cs="Arial"/>
          <w:sz w:val="22"/>
          <w:szCs w:val="22"/>
        </w:rPr>
        <w:t xml:space="preserve"> advanced</w:t>
      </w:r>
      <w:r w:rsidR="00435375" w:rsidRPr="00BA4BDF">
        <w:rPr>
          <w:rFonts w:ascii="Arial" w:hAnsi="Arial" w:cs="Arial"/>
          <w:sz w:val="22"/>
          <w:szCs w:val="22"/>
        </w:rPr>
        <w:t xml:space="preserve"> connectivity solutions.</w:t>
      </w:r>
    </w:p>
    <w:p w14:paraId="1D403606" w14:textId="77777777" w:rsidR="00617E89" w:rsidRPr="00BA4BDF" w:rsidRDefault="00617E89" w:rsidP="00C161C6">
      <w:pPr>
        <w:rPr>
          <w:rFonts w:ascii="Arial" w:hAnsi="Arial" w:cs="Arial"/>
          <w:sz w:val="22"/>
          <w:szCs w:val="22"/>
        </w:rPr>
      </w:pPr>
    </w:p>
    <w:p w14:paraId="06848F5E" w14:textId="77777777" w:rsidR="004E0DD8" w:rsidRPr="00BA4BDF" w:rsidRDefault="004E0DD8" w:rsidP="00C161C6">
      <w:pPr>
        <w:rPr>
          <w:rFonts w:ascii="Arial" w:hAnsi="Arial" w:cs="Arial"/>
          <w:sz w:val="22"/>
          <w:szCs w:val="22"/>
        </w:rPr>
      </w:pPr>
    </w:p>
    <w:p w14:paraId="4B589283" w14:textId="7720DD47" w:rsidR="00617E89" w:rsidRPr="00BA4BDF" w:rsidRDefault="004E0DD8" w:rsidP="004E0DD8">
      <w:pPr>
        <w:rPr>
          <w:rStyle w:val="BookTitle"/>
          <w:rFonts w:ascii="Arial" w:hAnsi="Arial" w:cs="Arial"/>
          <w:sz w:val="22"/>
          <w:szCs w:val="22"/>
        </w:rPr>
      </w:pPr>
      <w:r w:rsidRPr="00BA4BDF">
        <w:rPr>
          <w:rStyle w:val="BookTitle"/>
          <w:rFonts w:ascii="Arial" w:hAnsi="Arial" w:cs="Arial"/>
          <w:sz w:val="22"/>
          <w:szCs w:val="22"/>
        </w:rPr>
        <w:t>Porter's Five Forces Analysi</w:t>
      </w:r>
      <w:r w:rsidR="00617E89" w:rsidRPr="00BA4BDF">
        <w:rPr>
          <w:rStyle w:val="BookTitle"/>
          <w:rFonts w:ascii="Arial" w:hAnsi="Arial" w:cs="Arial"/>
          <w:sz w:val="22"/>
          <w:szCs w:val="22"/>
        </w:rPr>
        <w:t>s</w:t>
      </w:r>
    </w:p>
    <w:p w14:paraId="46C3B63B" w14:textId="77777777" w:rsidR="004E0DD8" w:rsidRPr="00BA4BDF" w:rsidRDefault="004E0DD8" w:rsidP="004E0DD8">
      <w:pPr>
        <w:rPr>
          <w:rFonts w:ascii="Arial" w:hAnsi="Arial" w:cs="Arial"/>
          <w:sz w:val="22"/>
          <w:szCs w:val="22"/>
        </w:rPr>
      </w:pPr>
      <w:r w:rsidRPr="00BA4BDF">
        <w:rPr>
          <w:rFonts w:ascii="Arial" w:hAnsi="Arial" w:cs="Arial"/>
          <w:sz w:val="22"/>
          <w:szCs w:val="22"/>
        </w:rPr>
        <w:t>Porter (2008) argues that industry profitability is determined by five competitive forces that shape the intensity of competition and the potential for sustainable returns.</w:t>
      </w:r>
    </w:p>
    <w:p w14:paraId="5D32D411" w14:textId="77777777" w:rsidR="004E0DD8" w:rsidRPr="00BA4BDF" w:rsidRDefault="004E0DD8" w:rsidP="004E0DD8">
      <w:pPr>
        <w:rPr>
          <w:rFonts w:ascii="Arial" w:hAnsi="Arial" w:cs="Arial"/>
          <w:b/>
          <w:bCs/>
          <w:sz w:val="22"/>
          <w:szCs w:val="22"/>
        </w:rPr>
      </w:pPr>
      <w:r w:rsidRPr="00BA4BDF">
        <w:rPr>
          <w:rFonts w:ascii="Arial" w:hAnsi="Arial" w:cs="Arial"/>
          <w:b/>
          <w:bCs/>
          <w:sz w:val="22"/>
          <w:szCs w:val="22"/>
        </w:rPr>
        <w:t>Competitive Rivalry – High</w:t>
      </w:r>
    </w:p>
    <w:p w14:paraId="01FE79D4" w14:textId="7374E7A3" w:rsidR="004E0DD8" w:rsidRPr="00BA4BDF" w:rsidRDefault="004E0DD8" w:rsidP="004E0DD8">
      <w:pPr>
        <w:rPr>
          <w:rFonts w:ascii="Arial" w:hAnsi="Arial" w:cs="Arial"/>
          <w:sz w:val="22"/>
          <w:szCs w:val="22"/>
        </w:rPr>
      </w:pPr>
      <w:r w:rsidRPr="00BA4BDF">
        <w:rPr>
          <w:rFonts w:ascii="Arial" w:hAnsi="Arial" w:cs="Arial"/>
          <w:sz w:val="22"/>
          <w:szCs w:val="22"/>
        </w:rPr>
        <w:t>Competitive rivalry within the UK telecommunications market remains extremely intense. Vodafone</w:t>
      </w:r>
      <w:r w:rsidR="00854FF2" w:rsidRPr="00BA4BDF">
        <w:rPr>
          <w:rFonts w:ascii="Arial" w:hAnsi="Arial" w:cs="Arial"/>
          <w:sz w:val="22"/>
          <w:szCs w:val="22"/>
        </w:rPr>
        <w:t xml:space="preserve"> Three</w:t>
      </w:r>
      <w:r w:rsidRPr="00BA4BDF">
        <w:rPr>
          <w:rFonts w:ascii="Arial" w:hAnsi="Arial" w:cs="Arial"/>
          <w:sz w:val="22"/>
          <w:szCs w:val="22"/>
        </w:rPr>
        <w:t xml:space="preserve"> competes directly with BT/EE and Virgin Media O2, while numerous Mobile Virtual Network Operators (MVNOs), including Giffgaff and Sky Mobile, compete aggressively on price and service offerings. Market maturity limits customer growth opportunities, increasing competition for market share. Consequently, operators are forced to differentiate through network quality, innovation and customer experience rather than relying solely on subscriber growth.</w:t>
      </w:r>
    </w:p>
    <w:p w14:paraId="1A9471D7" w14:textId="77777777" w:rsidR="004E0DD8" w:rsidRPr="00BA4BDF" w:rsidRDefault="004E0DD8" w:rsidP="004E0DD8">
      <w:pPr>
        <w:rPr>
          <w:rFonts w:ascii="Arial" w:hAnsi="Arial" w:cs="Arial"/>
          <w:b/>
          <w:bCs/>
          <w:sz w:val="22"/>
          <w:szCs w:val="22"/>
        </w:rPr>
      </w:pPr>
      <w:r w:rsidRPr="00BA4BDF">
        <w:rPr>
          <w:rFonts w:ascii="Arial" w:hAnsi="Arial" w:cs="Arial"/>
          <w:b/>
          <w:bCs/>
          <w:sz w:val="22"/>
          <w:szCs w:val="22"/>
        </w:rPr>
        <w:t>Threat of New Entrants – Low</w:t>
      </w:r>
    </w:p>
    <w:p w14:paraId="4BE004F2" w14:textId="1F57F8DA" w:rsidR="004E0DD8" w:rsidRPr="00BA4BDF" w:rsidRDefault="004E0DD8" w:rsidP="004E0DD8">
      <w:pPr>
        <w:rPr>
          <w:rFonts w:ascii="Arial" w:hAnsi="Arial" w:cs="Arial"/>
          <w:sz w:val="22"/>
          <w:szCs w:val="22"/>
        </w:rPr>
      </w:pPr>
      <w:r w:rsidRPr="00BA4BDF">
        <w:rPr>
          <w:rFonts w:ascii="Arial" w:hAnsi="Arial" w:cs="Arial"/>
          <w:sz w:val="22"/>
          <w:szCs w:val="22"/>
        </w:rPr>
        <w:t>The threat of new entrants is relatively low due to substantial barriers to entry. Telecommunications infrastructure requires</w:t>
      </w:r>
      <w:r w:rsidR="00921D5E" w:rsidRPr="00BA4BDF">
        <w:rPr>
          <w:rFonts w:ascii="Arial" w:hAnsi="Arial" w:cs="Arial"/>
          <w:sz w:val="22"/>
          <w:szCs w:val="22"/>
        </w:rPr>
        <w:t xml:space="preserve"> significant capital </w:t>
      </w:r>
      <w:r w:rsidR="00AF2A16" w:rsidRPr="00BA4BDF">
        <w:rPr>
          <w:rFonts w:ascii="Arial" w:hAnsi="Arial" w:cs="Arial"/>
          <w:sz w:val="22"/>
          <w:szCs w:val="22"/>
        </w:rPr>
        <w:t>investment, regulatory</w:t>
      </w:r>
      <w:r w:rsidR="003E65DE" w:rsidRPr="00BA4BDF">
        <w:rPr>
          <w:rFonts w:ascii="Arial" w:hAnsi="Arial" w:cs="Arial"/>
          <w:sz w:val="22"/>
          <w:szCs w:val="22"/>
        </w:rPr>
        <w:t xml:space="preserve"> approval and access to spectrum licen</w:t>
      </w:r>
      <w:r w:rsidR="00E82EF8" w:rsidRPr="00BA4BDF">
        <w:rPr>
          <w:rFonts w:ascii="Arial" w:hAnsi="Arial" w:cs="Arial"/>
          <w:sz w:val="22"/>
          <w:szCs w:val="22"/>
        </w:rPr>
        <w:t>ces. Building a nationwide network would require</w:t>
      </w:r>
      <w:r w:rsidR="00B04689" w:rsidRPr="00BA4BDF">
        <w:rPr>
          <w:rFonts w:ascii="Arial" w:hAnsi="Arial" w:cs="Arial"/>
          <w:sz w:val="22"/>
          <w:szCs w:val="22"/>
        </w:rPr>
        <w:t xml:space="preserve"> billions of pounds in investment, making market entry difficult for new competitors</w:t>
      </w:r>
      <w:r w:rsidR="00B76064" w:rsidRPr="00BA4BDF">
        <w:rPr>
          <w:rFonts w:ascii="Arial" w:hAnsi="Arial" w:cs="Arial"/>
          <w:sz w:val="22"/>
          <w:szCs w:val="22"/>
        </w:rPr>
        <w:t xml:space="preserve"> </w:t>
      </w:r>
      <w:r w:rsidR="00545ADA" w:rsidRPr="00BA4BDF">
        <w:rPr>
          <w:rFonts w:ascii="Arial" w:hAnsi="Arial" w:cs="Arial"/>
          <w:sz w:val="22"/>
          <w:szCs w:val="22"/>
        </w:rPr>
        <w:t>(Ofcom, 2024).</w:t>
      </w:r>
    </w:p>
    <w:p w14:paraId="5896A6A5" w14:textId="77777777" w:rsidR="00691F89" w:rsidRPr="00BA4BDF" w:rsidRDefault="00691F89" w:rsidP="004E0DD8">
      <w:pPr>
        <w:rPr>
          <w:rFonts w:ascii="Arial" w:hAnsi="Arial" w:cs="Arial"/>
          <w:sz w:val="22"/>
          <w:szCs w:val="22"/>
        </w:rPr>
      </w:pPr>
    </w:p>
    <w:p w14:paraId="1194CD93" w14:textId="77777777" w:rsidR="00A5753B" w:rsidRPr="00BA4BDF" w:rsidRDefault="00A5753B" w:rsidP="00A5753B">
      <w:pPr>
        <w:rPr>
          <w:rFonts w:ascii="Arial" w:hAnsi="Arial" w:cs="Arial"/>
          <w:b/>
          <w:bCs/>
          <w:sz w:val="22"/>
          <w:szCs w:val="22"/>
        </w:rPr>
      </w:pPr>
      <w:r w:rsidRPr="00BA4BDF">
        <w:rPr>
          <w:rFonts w:ascii="Arial" w:hAnsi="Arial" w:cs="Arial"/>
          <w:b/>
          <w:bCs/>
          <w:sz w:val="22"/>
          <w:szCs w:val="22"/>
        </w:rPr>
        <w:t>Bargaining Power of Buyers – High</w:t>
      </w:r>
    </w:p>
    <w:p w14:paraId="149F4411" w14:textId="77777777" w:rsidR="00A5753B" w:rsidRPr="00BA4BDF" w:rsidRDefault="00A5753B" w:rsidP="00A5753B">
      <w:pPr>
        <w:rPr>
          <w:rFonts w:ascii="Arial" w:hAnsi="Arial" w:cs="Arial"/>
          <w:sz w:val="22"/>
          <w:szCs w:val="22"/>
        </w:rPr>
      </w:pPr>
      <w:r w:rsidRPr="00BA4BDF">
        <w:rPr>
          <w:rFonts w:ascii="Arial" w:hAnsi="Arial" w:cs="Arial"/>
          <w:sz w:val="22"/>
          <w:szCs w:val="22"/>
        </w:rPr>
        <w:t>Customers possess considerable bargaining power due to low switching costs and extensive market transparency. Comparison websites enable consumers to easily evaluate pricing and service quality across providers. As a result, customer retention and satisfaction have become critical strategic priorities.</w:t>
      </w:r>
    </w:p>
    <w:p w14:paraId="3D02F47A" w14:textId="77777777" w:rsidR="00A5753B" w:rsidRPr="00BA4BDF" w:rsidRDefault="00A5753B" w:rsidP="00A5753B">
      <w:pPr>
        <w:rPr>
          <w:rFonts w:ascii="Arial" w:hAnsi="Arial" w:cs="Arial"/>
          <w:b/>
          <w:bCs/>
          <w:sz w:val="22"/>
          <w:szCs w:val="22"/>
        </w:rPr>
      </w:pPr>
      <w:r w:rsidRPr="00BA4BDF">
        <w:rPr>
          <w:rFonts w:ascii="Arial" w:hAnsi="Arial" w:cs="Arial"/>
          <w:b/>
          <w:bCs/>
          <w:sz w:val="22"/>
          <w:szCs w:val="22"/>
        </w:rPr>
        <w:t>Bargaining Power of Suppliers – Moderate</w:t>
      </w:r>
    </w:p>
    <w:p w14:paraId="3569BDEB" w14:textId="0AD89BAF" w:rsidR="00A5753B" w:rsidRPr="00BA4BDF" w:rsidRDefault="00A5753B" w:rsidP="00A5753B">
      <w:pPr>
        <w:rPr>
          <w:rFonts w:ascii="Arial" w:hAnsi="Arial" w:cs="Arial"/>
          <w:sz w:val="22"/>
          <w:szCs w:val="22"/>
        </w:rPr>
      </w:pPr>
      <w:r w:rsidRPr="00BA4BDF">
        <w:rPr>
          <w:rFonts w:ascii="Arial" w:hAnsi="Arial" w:cs="Arial"/>
          <w:sz w:val="22"/>
          <w:szCs w:val="22"/>
        </w:rPr>
        <w:t>Vodafone</w:t>
      </w:r>
      <w:r w:rsidR="009D68EE" w:rsidRPr="00BA4BDF">
        <w:rPr>
          <w:rFonts w:ascii="Arial" w:hAnsi="Arial" w:cs="Arial"/>
          <w:sz w:val="22"/>
          <w:szCs w:val="22"/>
        </w:rPr>
        <w:t xml:space="preserve"> </w:t>
      </w:r>
      <w:r w:rsidRPr="00BA4BDF">
        <w:rPr>
          <w:rFonts w:ascii="Arial" w:hAnsi="Arial" w:cs="Arial"/>
          <w:sz w:val="22"/>
          <w:szCs w:val="22"/>
        </w:rPr>
        <w:t>Three relies on a limited number of major suppliers for network infrastructure, including Ericsson and Nokia. While supplier concentration can increase bargaining power, Vodafone</w:t>
      </w:r>
      <w:r w:rsidR="009D68EE" w:rsidRPr="00BA4BDF">
        <w:rPr>
          <w:rFonts w:ascii="Arial" w:hAnsi="Arial" w:cs="Arial"/>
          <w:sz w:val="22"/>
          <w:szCs w:val="22"/>
        </w:rPr>
        <w:t xml:space="preserve"> </w:t>
      </w:r>
      <w:r w:rsidRPr="00BA4BDF">
        <w:rPr>
          <w:rFonts w:ascii="Arial" w:hAnsi="Arial" w:cs="Arial"/>
          <w:sz w:val="22"/>
          <w:szCs w:val="22"/>
        </w:rPr>
        <w:t>Three's scale and purchasing capacity provide significant negotiating leverage.</w:t>
      </w:r>
    </w:p>
    <w:p w14:paraId="34A7B2CB" w14:textId="77777777" w:rsidR="00A5753B" w:rsidRPr="00BA4BDF" w:rsidRDefault="00A5753B" w:rsidP="00A5753B">
      <w:pPr>
        <w:rPr>
          <w:rFonts w:ascii="Arial" w:hAnsi="Arial" w:cs="Arial"/>
          <w:b/>
          <w:bCs/>
          <w:sz w:val="22"/>
          <w:szCs w:val="22"/>
        </w:rPr>
      </w:pPr>
      <w:r w:rsidRPr="00BA4BDF">
        <w:rPr>
          <w:rFonts w:ascii="Arial" w:hAnsi="Arial" w:cs="Arial"/>
          <w:b/>
          <w:bCs/>
          <w:sz w:val="22"/>
          <w:szCs w:val="22"/>
        </w:rPr>
        <w:t>Threat of Substitutes – Moderate</w:t>
      </w:r>
    </w:p>
    <w:p w14:paraId="2082E818" w14:textId="77777777" w:rsidR="00A5753B" w:rsidRPr="00BA4BDF" w:rsidRDefault="00A5753B" w:rsidP="00A5753B">
      <w:pPr>
        <w:rPr>
          <w:rFonts w:ascii="Arial" w:hAnsi="Arial" w:cs="Arial"/>
          <w:sz w:val="22"/>
          <w:szCs w:val="22"/>
        </w:rPr>
      </w:pPr>
      <w:r w:rsidRPr="00BA4BDF">
        <w:rPr>
          <w:rFonts w:ascii="Arial" w:hAnsi="Arial" w:cs="Arial"/>
          <w:sz w:val="22"/>
          <w:szCs w:val="22"/>
        </w:rPr>
        <w:t>Alternative communication platforms such as WhatsApp, Microsoft Teams and Zoom have reduced demand for traditional voice and messaging services. However, these substitutes still depend on telecommunications networks, limiting their overall competitive impact.</w:t>
      </w:r>
    </w:p>
    <w:p w14:paraId="216C5F34" w14:textId="553A84FE" w:rsidR="00A5753B" w:rsidRPr="00BA4BDF" w:rsidRDefault="00A5753B" w:rsidP="009834AD">
      <w:pPr>
        <w:rPr>
          <w:rFonts w:ascii="Arial" w:hAnsi="Arial" w:cs="Arial"/>
          <w:sz w:val="22"/>
          <w:szCs w:val="22"/>
        </w:rPr>
      </w:pPr>
      <w:r w:rsidRPr="00BA4BDF">
        <w:rPr>
          <w:rFonts w:ascii="Arial" w:hAnsi="Arial" w:cs="Arial"/>
          <w:sz w:val="22"/>
          <w:szCs w:val="22"/>
        </w:rPr>
        <w:t>Overall, Porter's analysis indicates that Vodafone</w:t>
      </w:r>
      <w:r w:rsidR="00564069" w:rsidRPr="00BA4BDF">
        <w:rPr>
          <w:rFonts w:ascii="Arial" w:hAnsi="Arial" w:cs="Arial"/>
          <w:sz w:val="22"/>
          <w:szCs w:val="22"/>
        </w:rPr>
        <w:t xml:space="preserve"> </w:t>
      </w:r>
      <w:r w:rsidRPr="00BA4BDF">
        <w:rPr>
          <w:rFonts w:ascii="Arial" w:hAnsi="Arial" w:cs="Arial"/>
          <w:sz w:val="22"/>
          <w:szCs w:val="22"/>
        </w:rPr>
        <w:t>Three operates within a highly competitive industry where differentiation and technological leadership are essential for maintaining pro</w:t>
      </w:r>
      <w:r w:rsidR="00564069" w:rsidRPr="00BA4BDF">
        <w:rPr>
          <w:rFonts w:ascii="Arial" w:hAnsi="Arial" w:cs="Arial"/>
          <w:sz w:val="22"/>
          <w:szCs w:val="22"/>
        </w:rPr>
        <w:t>fitability.</w:t>
      </w:r>
      <w:r w:rsidR="00BF7F59" w:rsidRPr="00BA4BDF">
        <w:rPr>
          <w:rFonts w:ascii="Arial" w:hAnsi="Arial" w:cs="Arial"/>
          <w:sz w:val="22"/>
          <w:szCs w:val="22"/>
        </w:rPr>
        <w:t xml:space="preserve"> </w:t>
      </w:r>
    </w:p>
    <w:p w14:paraId="6214E649" w14:textId="77777777" w:rsidR="00AD0A7F" w:rsidRPr="00BA4BDF" w:rsidRDefault="00AD0A7F" w:rsidP="009834AD">
      <w:pPr>
        <w:rPr>
          <w:rFonts w:ascii="Arial" w:hAnsi="Arial" w:cs="Arial"/>
          <w:sz w:val="22"/>
          <w:szCs w:val="22"/>
        </w:rPr>
      </w:pPr>
    </w:p>
    <w:p w14:paraId="340C37F7" w14:textId="05FAE8E6" w:rsidR="00AD0A7F" w:rsidRPr="00BA4BDF" w:rsidRDefault="00AD0A7F" w:rsidP="00AD0A7F">
      <w:pPr>
        <w:rPr>
          <w:rStyle w:val="BookTitle"/>
          <w:rFonts w:ascii="Arial" w:hAnsi="Arial" w:cs="Arial"/>
          <w:sz w:val="22"/>
          <w:szCs w:val="22"/>
        </w:rPr>
      </w:pPr>
      <w:r w:rsidRPr="00BA4BDF">
        <w:rPr>
          <w:rStyle w:val="BookTitle"/>
          <w:rFonts w:ascii="Arial" w:hAnsi="Arial" w:cs="Arial"/>
          <w:sz w:val="22"/>
          <w:szCs w:val="22"/>
        </w:rPr>
        <w:t>SWOT Analysis</w:t>
      </w:r>
    </w:p>
    <w:p w14:paraId="53CBC7DC" w14:textId="546BB4A4" w:rsidR="00AD0A7F" w:rsidRDefault="00AD0A7F" w:rsidP="00AD0A7F">
      <w:pPr>
        <w:rPr>
          <w:rFonts w:ascii="Arial" w:hAnsi="Arial" w:cs="Arial"/>
          <w:sz w:val="22"/>
          <w:szCs w:val="22"/>
        </w:rPr>
      </w:pPr>
      <w:r w:rsidRPr="00BA4BDF">
        <w:rPr>
          <w:rFonts w:ascii="Arial" w:hAnsi="Arial" w:cs="Arial"/>
          <w:sz w:val="22"/>
          <w:szCs w:val="22"/>
        </w:rPr>
        <w:t xml:space="preserve">A SWOT analysis provides a structured assessment of Vodafone </w:t>
      </w:r>
      <w:r w:rsidR="00CE57A4" w:rsidRPr="00BA4BDF">
        <w:rPr>
          <w:rFonts w:ascii="Arial" w:hAnsi="Arial" w:cs="Arial"/>
          <w:sz w:val="22"/>
          <w:szCs w:val="22"/>
        </w:rPr>
        <w:t>Three’s</w:t>
      </w:r>
      <w:r w:rsidR="00C042EE" w:rsidRPr="00BA4BDF">
        <w:rPr>
          <w:rFonts w:ascii="Arial" w:hAnsi="Arial" w:cs="Arial"/>
          <w:sz w:val="22"/>
          <w:szCs w:val="22"/>
        </w:rPr>
        <w:t xml:space="preserve"> internal</w:t>
      </w:r>
      <w:r w:rsidR="00DE08A0" w:rsidRPr="00BA4BDF">
        <w:rPr>
          <w:rFonts w:ascii="Arial" w:hAnsi="Arial" w:cs="Arial"/>
          <w:sz w:val="22"/>
          <w:szCs w:val="22"/>
        </w:rPr>
        <w:t xml:space="preserve"> </w:t>
      </w:r>
      <w:r w:rsidRPr="00BA4BDF">
        <w:rPr>
          <w:rFonts w:ascii="Arial" w:hAnsi="Arial" w:cs="Arial"/>
          <w:sz w:val="22"/>
          <w:szCs w:val="22"/>
        </w:rPr>
        <w:t>strengths and weaknesses alongside the external opportunities and threats identified within the wider business environment. According to Gürel and Tat (2017), SWOT analysis supports strategic decision-making by enabling organisations to align internal capabilities with external market conditions. For Vodafone</w:t>
      </w:r>
      <w:r w:rsidR="00B701FD" w:rsidRPr="00BA4BDF">
        <w:rPr>
          <w:rFonts w:ascii="Arial" w:hAnsi="Arial" w:cs="Arial"/>
          <w:sz w:val="22"/>
          <w:szCs w:val="22"/>
        </w:rPr>
        <w:t xml:space="preserve"> </w:t>
      </w:r>
      <w:r w:rsidRPr="00BA4BDF">
        <w:rPr>
          <w:rFonts w:ascii="Arial" w:hAnsi="Arial" w:cs="Arial"/>
          <w:sz w:val="22"/>
          <w:szCs w:val="22"/>
        </w:rPr>
        <w:t>Three, the framework highlights how the merger has strengthened competitive capabilities while also creating new operational challenges that must be managed effectively.</w:t>
      </w:r>
    </w:p>
    <w:p w14:paraId="367C94F7" w14:textId="77777777" w:rsidR="00393A62" w:rsidRDefault="00393A62" w:rsidP="00AD0A7F">
      <w:pPr>
        <w:rPr>
          <w:rFonts w:ascii="Arial" w:hAnsi="Arial" w:cs="Arial"/>
          <w:sz w:val="22"/>
          <w:szCs w:val="22"/>
        </w:rPr>
      </w:pPr>
    </w:p>
    <w:p w14:paraId="49DD5BA3" w14:textId="77777777" w:rsidR="00D4501B" w:rsidRPr="00BA4BDF" w:rsidRDefault="00D4501B" w:rsidP="00AD0A7F">
      <w:pPr>
        <w:rPr>
          <w:rFonts w:ascii="Arial" w:hAnsi="Arial" w:cs="Arial"/>
          <w:sz w:val="22"/>
          <w:szCs w:val="22"/>
        </w:rPr>
      </w:pPr>
    </w:p>
    <w:p w14:paraId="07A653EE" w14:textId="77777777" w:rsidR="00AD0A7F" w:rsidRPr="00BA4BDF" w:rsidRDefault="00AD0A7F" w:rsidP="009834AD">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FC6169" w:rsidRPr="00BA4BDF" w14:paraId="29BA0DCB" w14:textId="77777777" w:rsidTr="00FC6169">
        <w:tc>
          <w:tcPr>
            <w:tcW w:w="4508" w:type="dxa"/>
          </w:tcPr>
          <w:p w14:paraId="302248B3" w14:textId="5EDEBC9B" w:rsidR="00FC6169" w:rsidRPr="00BA4BDF" w:rsidRDefault="00FC6169" w:rsidP="00A5753B">
            <w:pPr>
              <w:rPr>
                <w:rFonts w:ascii="Arial" w:hAnsi="Arial" w:cs="Arial"/>
                <w:b/>
                <w:bCs/>
                <w:sz w:val="22"/>
                <w:szCs w:val="22"/>
              </w:rPr>
            </w:pPr>
            <w:r w:rsidRPr="00BA4BDF">
              <w:rPr>
                <w:rFonts w:ascii="Arial" w:hAnsi="Arial" w:cs="Arial"/>
                <w:b/>
                <w:bCs/>
                <w:sz w:val="22"/>
                <w:szCs w:val="22"/>
              </w:rPr>
              <w:t>Strengths</w:t>
            </w:r>
          </w:p>
        </w:tc>
        <w:tc>
          <w:tcPr>
            <w:tcW w:w="4508" w:type="dxa"/>
          </w:tcPr>
          <w:p w14:paraId="2E4BB70C" w14:textId="58513900" w:rsidR="00FC6169" w:rsidRPr="00BA4BDF" w:rsidRDefault="00FC6169" w:rsidP="00A5753B">
            <w:pPr>
              <w:rPr>
                <w:rFonts w:ascii="Arial" w:hAnsi="Arial" w:cs="Arial"/>
                <w:b/>
                <w:bCs/>
                <w:sz w:val="22"/>
                <w:szCs w:val="22"/>
              </w:rPr>
            </w:pPr>
            <w:r w:rsidRPr="00BA4BDF">
              <w:rPr>
                <w:rFonts w:ascii="Arial" w:hAnsi="Arial" w:cs="Arial"/>
                <w:b/>
                <w:bCs/>
                <w:sz w:val="22"/>
                <w:szCs w:val="22"/>
              </w:rPr>
              <w:t>Weaknesses</w:t>
            </w:r>
          </w:p>
        </w:tc>
      </w:tr>
      <w:tr w:rsidR="00FC6169" w:rsidRPr="00BA4BDF" w14:paraId="7B939514" w14:textId="77777777" w:rsidTr="00FC6169">
        <w:tc>
          <w:tcPr>
            <w:tcW w:w="4508" w:type="dxa"/>
          </w:tcPr>
          <w:p w14:paraId="61AFF4B1" w14:textId="74C81AC6" w:rsidR="00FC6169" w:rsidRPr="00BA4BDF" w:rsidRDefault="00981B64" w:rsidP="00A5753B">
            <w:pPr>
              <w:rPr>
                <w:rFonts w:ascii="Arial" w:hAnsi="Arial" w:cs="Arial"/>
                <w:sz w:val="22"/>
                <w:szCs w:val="22"/>
              </w:rPr>
            </w:pPr>
            <w:r w:rsidRPr="00BA4BDF">
              <w:rPr>
                <w:rFonts w:ascii="Arial" w:hAnsi="Arial" w:cs="Arial"/>
                <w:sz w:val="22"/>
                <w:szCs w:val="22"/>
              </w:rPr>
              <w:t>Largest mobile operator in the UK with approximately 27 million customers</w:t>
            </w:r>
          </w:p>
        </w:tc>
        <w:tc>
          <w:tcPr>
            <w:tcW w:w="4508" w:type="dxa"/>
          </w:tcPr>
          <w:p w14:paraId="364B233C" w14:textId="6E5C4B72" w:rsidR="00FC6169" w:rsidRPr="00BA4BDF" w:rsidRDefault="00981B64" w:rsidP="00A5753B">
            <w:pPr>
              <w:rPr>
                <w:rFonts w:ascii="Arial" w:hAnsi="Arial" w:cs="Arial"/>
                <w:sz w:val="22"/>
                <w:szCs w:val="22"/>
              </w:rPr>
            </w:pPr>
            <w:r w:rsidRPr="00BA4BDF">
              <w:rPr>
                <w:rFonts w:ascii="Arial" w:hAnsi="Arial" w:cs="Arial"/>
                <w:sz w:val="22"/>
                <w:szCs w:val="22"/>
              </w:rPr>
              <w:t>Significant integration complexity following the merger</w:t>
            </w:r>
          </w:p>
        </w:tc>
      </w:tr>
      <w:tr w:rsidR="00FC6169" w:rsidRPr="00BA4BDF" w14:paraId="577A4E38" w14:textId="77777777" w:rsidTr="00FC6169">
        <w:tc>
          <w:tcPr>
            <w:tcW w:w="4508" w:type="dxa"/>
          </w:tcPr>
          <w:p w14:paraId="67CB09C3" w14:textId="31E9BCFC" w:rsidR="00FC6169" w:rsidRPr="00BA4BDF" w:rsidRDefault="00981B64" w:rsidP="00981B64">
            <w:pPr>
              <w:tabs>
                <w:tab w:val="left" w:pos="1077"/>
              </w:tabs>
              <w:rPr>
                <w:rFonts w:ascii="Arial" w:hAnsi="Arial" w:cs="Arial"/>
                <w:sz w:val="22"/>
                <w:szCs w:val="22"/>
              </w:rPr>
            </w:pPr>
            <w:r w:rsidRPr="00BA4BDF">
              <w:rPr>
                <w:rFonts w:ascii="Arial" w:hAnsi="Arial" w:cs="Arial"/>
                <w:sz w:val="22"/>
                <w:szCs w:val="22"/>
              </w:rPr>
              <w:t>£11 billion planned investment in standalone 5G infrastructure</w:t>
            </w:r>
          </w:p>
        </w:tc>
        <w:tc>
          <w:tcPr>
            <w:tcW w:w="4508" w:type="dxa"/>
          </w:tcPr>
          <w:p w14:paraId="73427473" w14:textId="30207B02" w:rsidR="00FC6169" w:rsidRPr="00BA4BDF" w:rsidRDefault="0097616F" w:rsidP="00A5753B">
            <w:pPr>
              <w:rPr>
                <w:rFonts w:ascii="Arial" w:hAnsi="Arial" w:cs="Arial"/>
                <w:sz w:val="22"/>
                <w:szCs w:val="22"/>
              </w:rPr>
            </w:pPr>
            <w:r w:rsidRPr="00BA4BDF">
              <w:rPr>
                <w:rFonts w:ascii="Arial" w:hAnsi="Arial" w:cs="Arial"/>
                <w:sz w:val="22"/>
                <w:szCs w:val="22"/>
              </w:rPr>
              <w:t>High capital expenditure requirements</w:t>
            </w:r>
          </w:p>
        </w:tc>
      </w:tr>
      <w:tr w:rsidR="00FC6169" w:rsidRPr="00BA4BDF" w14:paraId="5554C73A" w14:textId="77777777" w:rsidTr="00FC6169">
        <w:tc>
          <w:tcPr>
            <w:tcW w:w="4508" w:type="dxa"/>
          </w:tcPr>
          <w:p w14:paraId="0A17B0A9" w14:textId="5F8AB5DB" w:rsidR="00FC6169" w:rsidRPr="00BA4BDF" w:rsidRDefault="0097616F" w:rsidP="00A5753B">
            <w:pPr>
              <w:rPr>
                <w:rFonts w:ascii="Arial" w:hAnsi="Arial" w:cs="Arial"/>
                <w:sz w:val="22"/>
                <w:szCs w:val="22"/>
              </w:rPr>
            </w:pPr>
            <w:r w:rsidRPr="00BA4BDF">
              <w:rPr>
                <w:rFonts w:ascii="Arial" w:hAnsi="Arial" w:cs="Arial"/>
                <w:sz w:val="22"/>
                <w:szCs w:val="22"/>
              </w:rPr>
              <w:t>Strong brand recognition and customer base</w:t>
            </w:r>
          </w:p>
        </w:tc>
        <w:tc>
          <w:tcPr>
            <w:tcW w:w="4508" w:type="dxa"/>
          </w:tcPr>
          <w:p w14:paraId="49E0EF9A" w14:textId="5E1D22DC" w:rsidR="00FC6169" w:rsidRPr="00BA4BDF" w:rsidRDefault="00C97C61" w:rsidP="00A5753B">
            <w:pPr>
              <w:rPr>
                <w:rFonts w:ascii="Arial" w:hAnsi="Arial" w:cs="Arial"/>
                <w:sz w:val="22"/>
                <w:szCs w:val="22"/>
              </w:rPr>
            </w:pPr>
            <w:r w:rsidRPr="00BA4BDF">
              <w:rPr>
                <w:rFonts w:ascii="Arial" w:hAnsi="Arial" w:cs="Arial"/>
                <w:sz w:val="22"/>
                <w:szCs w:val="22"/>
              </w:rPr>
              <w:t>Historical underperformance in the UK market compared to EE</w:t>
            </w:r>
          </w:p>
        </w:tc>
      </w:tr>
      <w:tr w:rsidR="00FC6169" w:rsidRPr="00BA4BDF" w14:paraId="24BFF8F7" w14:textId="77777777" w:rsidTr="00FC6169">
        <w:tc>
          <w:tcPr>
            <w:tcW w:w="4508" w:type="dxa"/>
          </w:tcPr>
          <w:p w14:paraId="306BE592" w14:textId="3CD7B305" w:rsidR="00FC6169" w:rsidRPr="00BA4BDF" w:rsidRDefault="00C97C61" w:rsidP="00A5753B">
            <w:pPr>
              <w:rPr>
                <w:rFonts w:ascii="Arial" w:hAnsi="Arial" w:cs="Arial"/>
                <w:sz w:val="22"/>
                <w:szCs w:val="22"/>
              </w:rPr>
            </w:pPr>
            <w:r w:rsidRPr="00BA4BDF">
              <w:rPr>
                <w:rFonts w:ascii="Arial" w:hAnsi="Arial" w:cs="Arial"/>
                <w:sz w:val="22"/>
                <w:szCs w:val="22"/>
              </w:rPr>
              <w:t>Extensive spectrum holdings and network assets</w:t>
            </w:r>
          </w:p>
        </w:tc>
        <w:tc>
          <w:tcPr>
            <w:tcW w:w="4508" w:type="dxa"/>
          </w:tcPr>
          <w:p w14:paraId="3652E24A" w14:textId="463139B1" w:rsidR="00FC6169" w:rsidRPr="00BA4BDF" w:rsidRDefault="00C97C61" w:rsidP="00C97C61">
            <w:pPr>
              <w:tabs>
                <w:tab w:val="left" w:pos="1202"/>
              </w:tabs>
              <w:rPr>
                <w:rFonts w:ascii="Arial" w:hAnsi="Arial" w:cs="Arial"/>
                <w:sz w:val="22"/>
                <w:szCs w:val="22"/>
              </w:rPr>
            </w:pPr>
            <w:r w:rsidRPr="00BA4BDF">
              <w:rPr>
                <w:rFonts w:ascii="Arial" w:hAnsi="Arial" w:cs="Arial"/>
                <w:sz w:val="22"/>
                <w:szCs w:val="22"/>
              </w:rPr>
              <w:t>Potential organisational culture clashes between Vodafone and Three</w:t>
            </w:r>
            <w:r w:rsidRPr="00BA4BDF">
              <w:rPr>
                <w:rFonts w:ascii="Arial" w:hAnsi="Arial" w:cs="Arial"/>
                <w:sz w:val="22"/>
                <w:szCs w:val="22"/>
              </w:rPr>
              <w:tab/>
            </w:r>
          </w:p>
        </w:tc>
      </w:tr>
      <w:tr w:rsidR="00FC6169" w:rsidRPr="00BA4BDF" w14:paraId="0B22B929" w14:textId="77777777" w:rsidTr="00FC6169">
        <w:tc>
          <w:tcPr>
            <w:tcW w:w="4508" w:type="dxa"/>
          </w:tcPr>
          <w:p w14:paraId="73BEEB87" w14:textId="73D79912" w:rsidR="00FC6169" w:rsidRPr="00BA4BDF" w:rsidRDefault="00C97C61" w:rsidP="00A5753B">
            <w:pPr>
              <w:rPr>
                <w:rFonts w:ascii="Arial" w:hAnsi="Arial" w:cs="Arial"/>
                <w:sz w:val="22"/>
                <w:szCs w:val="22"/>
              </w:rPr>
            </w:pPr>
            <w:r w:rsidRPr="00BA4BDF">
              <w:rPr>
                <w:rFonts w:ascii="Arial" w:hAnsi="Arial" w:cs="Arial"/>
                <w:sz w:val="22"/>
                <w:szCs w:val="22"/>
              </w:rPr>
              <w:t>Expected annual cost synergies of £700 million</w:t>
            </w:r>
          </w:p>
        </w:tc>
        <w:tc>
          <w:tcPr>
            <w:tcW w:w="4508" w:type="dxa"/>
          </w:tcPr>
          <w:p w14:paraId="7E5E8509" w14:textId="5C235290" w:rsidR="00FC6169" w:rsidRPr="00BA4BDF" w:rsidRDefault="00075FE6" w:rsidP="00A5753B">
            <w:pPr>
              <w:rPr>
                <w:rFonts w:ascii="Arial" w:hAnsi="Arial" w:cs="Arial"/>
                <w:sz w:val="22"/>
                <w:szCs w:val="22"/>
              </w:rPr>
            </w:pPr>
            <w:r w:rsidRPr="00BA4BDF">
              <w:rPr>
                <w:rFonts w:ascii="Arial" w:hAnsi="Arial" w:cs="Arial"/>
                <w:sz w:val="22"/>
                <w:szCs w:val="22"/>
              </w:rPr>
              <w:t>Customer uncertainty during transition period</w:t>
            </w:r>
          </w:p>
        </w:tc>
      </w:tr>
    </w:tbl>
    <w:p w14:paraId="2D3C8480" w14:textId="25E5C392" w:rsidR="00A5753B" w:rsidRPr="00BA4BDF" w:rsidRDefault="00A5753B" w:rsidP="00A5753B">
      <w:pPr>
        <w:rPr>
          <w:rFonts w:ascii="Arial" w:hAnsi="Arial" w:cs="Arial"/>
          <w:sz w:val="22"/>
          <w:szCs w:val="22"/>
        </w:rPr>
      </w:pPr>
    </w:p>
    <w:tbl>
      <w:tblPr>
        <w:tblStyle w:val="TableGrid"/>
        <w:tblW w:w="0" w:type="auto"/>
        <w:tblLook w:val="04A0" w:firstRow="1" w:lastRow="0" w:firstColumn="1" w:lastColumn="0" w:noHBand="0" w:noVBand="1"/>
      </w:tblPr>
      <w:tblGrid>
        <w:gridCol w:w="1803"/>
        <w:gridCol w:w="1803"/>
        <w:gridCol w:w="902"/>
        <w:gridCol w:w="901"/>
        <w:gridCol w:w="1803"/>
        <w:gridCol w:w="1804"/>
      </w:tblGrid>
      <w:tr w:rsidR="00075FE6" w:rsidRPr="00BA4BDF" w14:paraId="5375563E" w14:textId="77777777" w:rsidTr="00075FE6">
        <w:trPr>
          <w:hidden/>
        </w:trPr>
        <w:tc>
          <w:tcPr>
            <w:tcW w:w="4508" w:type="dxa"/>
            <w:gridSpan w:val="3"/>
          </w:tcPr>
          <w:p w14:paraId="5A2CA853" w14:textId="77777777" w:rsidR="00075FE6" w:rsidRPr="00BA4BDF" w:rsidRDefault="00075FE6" w:rsidP="00A5753B">
            <w:pPr>
              <w:rPr>
                <w:rFonts w:ascii="Arial" w:hAnsi="Arial" w:cs="Arial"/>
                <w:vanish/>
                <w:sz w:val="22"/>
                <w:szCs w:val="22"/>
              </w:rPr>
            </w:pPr>
          </w:p>
        </w:tc>
        <w:tc>
          <w:tcPr>
            <w:tcW w:w="4508" w:type="dxa"/>
            <w:gridSpan w:val="3"/>
          </w:tcPr>
          <w:p w14:paraId="7E42604D" w14:textId="77777777" w:rsidR="00075FE6" w:rsidRPr="00BA4BDF" w:rsidRDefault="00075FE6" w:rsidP="00A5753B">
            <w:pPr>
              <w:rPr>
                <w:rFonts w:ascii="Arial" w:hAnsi="Arial" w:cs="Arial"/>
                <w:vanish/>
                <w:sz w:val="22"/>
                <w:szCs w:val="22"/>
              </w:rPr>
            </w:pPr>
          </w:p>
        </w:tc>
      </w:tr>
      <w:tr w:rsidR="00075FE6" w:rsidRPr="00BA4BDF" w14:paraId="527D8A6F" w14:textId="77777777" w:rsidTr="00075FE6">
        <w:trPr>
          <w:hidden/>
        </w:trPr>
        <w:tc>
          <w:tcPr>
            <w:tcW w:w="4508" w:type="dxa"/>
            <w:gridSpan w:val="3"/>
          </w:tcPr>
          <w:p w14:paraId="577A747E" w14:textId="77777777" w:rsidR="00075FE6" w:rsidRPr="00BA4BDF" w:rsidRDefault="00075FE6" w:rsidP="00A5753B">
            <w:pPr>
              <w:rPr>
                <w:rFonts w:ascii="Arial" w:hAnsi="Arial" w:cs="Arial"/>
                <w:vanish/>
                <w:sz w:val="22"/>
                <w:szCs w:val="22"/>
              </w:rPr>
            </w:pPr>
          </w:p>
        </w:tc>
        <w:tc>
          <w:tcPr>
            <w:tcW w:w="4508" w:type="dxa"/>
            <w:gridSpan w:val="3"/>
          </w:tcPr>
          <w:p w14:paraId="0FD3FC2A" w14:textId="77777777" w:rsidR="00075FE6" w:rsidRPr="00BA4BDF" w:rsidRDefault="00075FE6" w:rsidP="00A5753B">
            <w:pPr>
              <w:rPr>
                <w:rFonts w:ascii="Arial" w:hAnsi="Arial" w:cs="Arial"/>
                <w:vanish/>
                <w:sz w:val="22"/>
                <w:szCs w:val="22"/>
              </w:rPr>
            </w:pPr>
          </w:p>
        </w:tc>
      </w:tr>
      <w:tr w:rsidR="00075FE6" w:rsidRPr="00BA4BDF" w14:paraId="22C69077" w14:textId="77777777" w:rsidTr="00075FE6">
        <w:trPr>
          <w:hidden/>
        </w:trPr>
        <w:tc>
          <w:tcPr>
            <w:tcW w:w="4508" w:type="dxa"/>
            <w:gridSpan w:val="3"/>
          </w:tcPr>
          <w:p w14:paraId="3534A07D" w14:textId="77777777" w:rsidR="00075FE6" w:rsidRPr="00BA4BDF" w:rsidRDefault="00075FE6" w:rsidP="00A5753B">
            <w:pPr>
              <w:rPr>
                <w:rFonts w:ascii="Arial" w:hAnsi="Arial" w:cs="Arial"/>
                <w:vanish/>
                <w:sz w:val="22"/>
                <w:szCs w:val="22"/>
              </w:rPr>
            </w:pPr>
          </w:p>
        </w:tc>
        <w:tc>
          <w:tcPr>
            <w:tcW w:w="4508" w:type="dxa"/>
            <w:gridSpan w:val="3"/>
          </w:tcPr>
          <w:p w14:paraId="3EFD9EEC" w14:textId="77777777" w:rsidR="00075FE6" w:rsidRPr="00BA4BDF" w:rsidRDefault="00075FE6" w:rsidP="00A5753B">
            <w:pPr>
              <w:rPr>
                <w:rFonts w:ascii="Arial" w:hAnsi="Arial" w:cs="Arial"/>
                <w:vanish/>
                <w:sz w:val="22"/>
                <w:szCs w:val="22"/>
              </w:rPr>
            </w:pPr>
          </w:p>
        </w:tc>
      </w:tr>
      <w:tr w:rsidR="00075FE6" w:rsidRPr="00BA4BDF" w14:paraId="322753FD" w14:textId="77777777" w:rsidTr="00075FE6">
        <w:trPr>
          <w:hidden/>
        </w:trPr>
        <w:tc>
          <w:tcPr>
            <w:tcW w:w="4508" w:type="dxa"/>
            <w:gridSpan w:val="3"/>
          </w:tcPr>
          <w:p w14:paraId="36A0D8B5" w14:textId="77777777" w:rsidR="00075FE6" w:rsidRPr="00BA4BDF" w:rsidRDefault="00075FE6" w:rsidP="00A5753B">
            <w:pPr>
              <w:rPr>
                <w:rFonts w:ascii="Arial" w:hAnsi="Arial" w:cs="Arial"/>
                <w:vanish/>
                <w:sz w:val="22"/>
                <w:szCs w:val="22"/>
              </w:rPr>
            </w:pPr>
          </w:p>
        </w:tc>
        <w:tc>
          <w:tcPr>
            <w:tcW w:w="4508" w:type="dxa"/>
            <w:gridSpan w:val="3"/>
          </w:tcPr>
          <w:p w14:paraId="53A6696D" w14:textId="77777777" w:rsidR="00075FE6" w:rsidRPr="00BA4BDF" w:rsidRDefault="00075FE6" w:rsidP="00A5753B">
            <w:pPr>
              <w:rPr>
                <w:rFonts w:ascii="Arial" w:hAnsi="Arial" w:cs="Arial"/>
                <w:vanish/>
                <w:sz w:val="22"/>
                <w:szCs w:val="22"/>
              </w:rPr>
            </w:pPr>
          </w:p>
        </w:tc>
      </w:tr>
      <w:tr w:rsidR="00075FE6" w:rsidRPr="00BA4BDF" w14:paraId="4F6F8092" w14:textId="77777777" w:rsidTr="00075FE6">
        <w:trPr>
          <w:hidden/>
        </w:trPr>
        <w:tc>
          <w:tcPr>
            <w:tcW w:w="4508" w:type="dxa"/>
            <w:gridSpan w:val="3"/>
          </w:tcPr>
          <w:p w14:paraId="29CDDF23" w14:textId="77777777" w:rsidR="00075FE6" w:rsidRPr="00BA4BDF" w:rsidRDefault="00075FE6" w:rsidP="00A5753B">
            <w:pPr>
              <w:rPr>
                <w:rFonts w:ascii="Arial" w:hAnsi="Arial" w:cs="Arial"/>
                <w:vanish/>
                <w:sz w:val="22"/>
                <w:szCs w:val="22"/>
              </w:rPr>
            </w:pPr>
          </w:p>
        </w:tc>
        <w:tc>
          <w:tcPr>
            <w:tcW w:w="4508" w:type="dxa"/>
            <w:gridSpan w:val="3"/>
          </w:tcPr>
          <w:p w14:paraId="59F60D77" w14:textId="77777777" w:rsidR="00075FE6" w:rsidRPr="00BA4BDF" w:rsidRDefault="00075FE6" w:rsidP="00A5753B">
            <w:pPr>
              <w:rPr>
                <w:rFonts w:ascii="Arial" w:hAnsi="Arial" w:cs="Arial"/>
                <w:vanish/>
                <w:sz w:val="22"/>
                <w:szCs w:val="22"/>
              </w:rPr>
            </w:pPr>
          </w:p>
        </w:tc>
      </w:tr>
      <w:tr w:rsidR="00075FE6" w:rsidRPr="00BA4BDF" w14:paraId="41F8C642" w14:textId="77777777" w:rsidTr="00075FE6">
        <w:trPr>
          <w:hidden/>
        </w:trPr>
        <w:tc>
          <w:tcPr>
            <w:tcW w:w="4508" w:type="dxa"/>
            <w:gridSpan w:val="3"/>
          </w:tcPr>
          <w:p w14:paraId="03A441ED" w14:textId="77777777" w:rsidR="00075FE6" w:rsidRPr="00BA4BDF" w:rsidRDefault="00075FE6" w:rsidP="00A5753B">
            <w:pPr>
              <w:rPr>
                <w:rFonts w:ascii="Arial" w:hAnsi="Arial" w:cs="Arial"/>
                <w:vanish/>
                <w:sz w:val="22"/>
                <w:szCs w:val="22"/>
              </w:rPr>
            </w:pPr>
          </w:p>
        </w:tc>
        <w:tc>
          <w:tcPr>
            <w:tcW w:w="4508" w:type="dxa"/>
            <w:gridSpan w:val="3"/>
          </w:tcPr>
          <w:p w14:paraId="4F81CF41" w14:textId="77777777" w:rsidR="00075FE6" w:rsidRPr="00BA4BDF" w:rsidRDefault="00075FE6" w:rsidP="00A5753B">
            <w:pPr>
              <w:rPr>
                <w:rFonts w:ascii="Arial" w:hAnsi="Arial" w:cs="Arial"/>
                <w:vanish/>
                <w:sz w:val="22"/>
                <w:szCs w:val="22"/>
              </w:rPr>
            </w:pPr>
          </w:p>
        </w:tc>
      </w:tr>
      <w:tr w:rsidR="00075FE6" w:rsidRPr="00BA4BDF" w14:paraId="4249EA45" w14:textId="77777777" w:rsidTr="00075FE6">
        <w:trPr>
          <w:hidden/>
        </w:trPr>
        <w:tc>
          <w:tcPr>
            <w:tcW w:w="1803" w:type="dxa"/>
          </w:tcPr>
          <w:p w14:paraId="042CF23F" w14:textId="77777777" w:rsidR="00075FE6" w:rsidRPr="00BA4BDF" w:rsidRDefault="00075FE6" w:rsidP="00A5753B">
            <w:pPr>
              <w:rPr>
                <w:rFonts w:ascii="Arial" w:hAnsi="Arial" w:cs="Arial"/>
                <w:vanish/>
                <w:sz w:val="22"/>
                <w:szCs w:val="22"/>
              </w:rPr>
            </w:pPr>
          </w:p>
        </w:tc>
        <w:tc>
          <w:tcPr>
            <w:tcW w:w="1803" w:type="dxa"/>
          </w:tcPr>
          <w:p w14:paraId="4B561DB9" w14:textId="77777777" w:rsidR="00075FE6" w:rsidRPr="00BA4BDF" w:rsidRDefault="00075FE6" w:rsidP="00A5753B">
            <w:pPr>
              <w:rPr>
                <w:rFonts w:ascii="Arial" w:hAnsi="Arial" w:cs="Arial"/>
                <w:vanish/>
                <w:sz w:val="22"/>
                <w:szCs w:val="22"/>
              </w:rPr>
            </w:pPr>
          </w:p>
        </w:tc>
        <w:tc>
          <w:tcPr>
            <w:tcW w:w="1803" w:type="dxa"/>
            <w:gridSpan w:val="2"/>
          </w:tcPr>
          <w:p w14:paraId="41BF1CF2" w14:textId="77777777" w:rsidR="00075FE6" w:rsidRPr="00BA4BDF" w:rsidRDefault="00075FE6" w:rsidP="00A5753B">
            <w:pPr>
              <w:rPr>
                <w:rFonts w:ascii="Arial" w:hAnsi="Arial" w:cs="Arial"/>
                <w:vanish/>
                <w:sz w:val="22"/>
                <w:szCs w:val="22"/>
              </w:rPr>
            </w:pPr>
          </w:p>
        </w:tc>
        <w:tc>
          <w:tcPr>
            <w:tcW w:w="1803" w:type="dxa"/>
          </w:tcPr>
          <w:p w14:paraId="5BC6487A" w14:textId="77777777" w:rsidR="00075FE6" w:rsidRPr="00BA4BDF" w:rsidRDefault="00075FE6" w:rsidP="00A5753B">
            <w:pPr>
              <w:rPr>
                <w:rFonts w:ascii="Arial" w:hAnsi="Arial" w:cs="Arial"/>
                <w:vanish/>
                <w:sz w:val="22"/>
                <w:szCs w:val="22"/>
              </w:rPr>
            </w:pPr>
          </w:p>
        </w:tc>
        <w:tc>
          <w:tcPr>
            <w:tcW w:w="1804" w:type="dxa"/>
          </w:tcPr>
          <w:p w14:paraId="60D764FB" w14:textId="77777777" w:rsidR="00075FE6" w:rsidRPr="00BA4BDF" w:rsidRDefault="00075FE6" w:rsidP="00A5753B">
            <w:pPr>
              <w:rPr>
                <w:rFonts w:ascii="Arial" w:hAnsi="Arial" w:cs="Arial"/>
                <w:vanish/>
                <w:sz w:val="22"/>
                <w:szCs w:val="22"/>
              </w:rPr>
            </w:pPr>
          </w:p>
        </w:tc>
      </w:tr>
      <w:tr w:rsidR="00075FE6" w:rsidRPr="00BA4BDF" w14:paraId="58E7BC3D" w14:textId="77777777" w:rsidTr="00075FE6">
        <w:trPr>
          <w:hidden/>
        </w:trPr>
        <w:tc>
          <w:tcPr>
            <w:tcW w:w="1803" w:type="dxa"/>
          </w:tcPr>
          <w:p w14:paraId="28AD20ED" w14:textId="77777777" w:rsidR="00075FE6" w:rsidRPr="00BA4BDF" w:rsidRDefault="00075FE6" w:rsidP="00A5753B">
            <w:pPr>
              <w:rPr>
                <w:rFonts w:ascii="Arial" w:hAnsi="Arial" w:cs="Arial"/>
                <w:vanish/>
                <w:sz w:val="22"/>
                <w:szCs w:val="22"/>
              </w:rPr>
            </w:pPr>
          </w:p>
        </w:tc>
        <w:tc>
          <w:tcPr>
            <w:tcW w:w="1803" w:type="dxa"/>
          </w:tcPr>
          <w:p w14:paraId="14D4DEFF" w14:textId="77777777" w:rsidR="00075FE6" w:rsidRPr="00BA4BDF" w:rsidRDefault="00075FE6" w:rsidP="00A5753B">
            <w:pPr>
              <w:rPr>
                <w:rFonts w:ascii="Arial" w:hAnsi="Arial" w:cs="Arial"/>
                <w:vanish/>
                <w:sz w:val="22"/>
                <w:szCs w:val="22"/>
              </w:rPr>
            </w:pPr>
          </w:p>
        </w:tc>
        <w:tc>
          <w:tcPr>
            <w:tcW w:w="1803" w:type="dxa"/>
            <w:gridSpan w:val="2"/>
          </w:tcPr>
          <w:p w14:paraId="457B8745" w14:textId="77777777" w:rsidR="00075FE6" w:rsidRPr="00BA4BDF" w:rsidRDefault="00075FE6" w:rsidP="00A5753B">
            <w:pPr>
              <w:rPr>
                <w:rFonts w:ascii="Arial" w:hAnsi="Arial" w:cs="Arial"/>
                <w:vanish/>
                <w:sz w:val="22"/>
                <w:szCs w:val="22"/>
              </w:rPr>
            </w:pPr>
          </w:p>
        </w:tc>
        <w:tc>
          <w:tcPr>
            <w:tcW w:w="1803" w:type="dxa"/>
          </w:tcPr>
          <w:p w14:paraId="2F014978" w14:textId="77777777" w:rsidR="00075FE6" w:rsidRPr="00BA4BDF" w:rsidRDefault="00075FE6" w:rsidP="00A5753B">
            <w:pPr>
              <w:rPr>
                <w:rFonts w:ascii="Arial" w:hAnsi="Arial" w:cs="Arial"/>
                <w:vanish/>
                <w:sz w:val="22"/>
                <w:szCs w:val="22"/>
              </w:rPr>
            </w:pPr>
          </w:p>
        </w:tc>
        <w:tc>
          <w:tcPr>
            <w:tcW w:w="1804" w:type="dxa"/>
          </w:tcPr>
          <w:p w14:paraId="5F6C4D8B" w14:textId="77777777" w:rsidR="00075FE6" w:rsidRPr="00BA4BDF" w:rsidRDefault="00075FE6" w:rsidP="00A5753B">
            <w:pPr>
              <w:rPr>
                <w:rFonts w:ascii="Arial" w:hAnsi="Arial" w:cs="Arial"/>
                <w:vanish/>
                <w:sz w:val="22"/>
                <w:szCs w:val="22"/>
              </w:rPr>
            </w:pPr>
          </w:p>
        </w:tc>
      </w:tr>
    </w:tbl>
    <w:p w14:paraId="59E94BD7" w14:textId="3EB2D54F" w:rsidR="00A5753B" w:rsidRPr="00BA4BDF" w:rsidRDefault="00A5753B" w:rsidP="00A5753B">
      <w:pPr>
        <w:rPr>
          <w:rFonts w:ascii="Arial" w:hAnsi="Arial" w:cs="Arial"/>
          <w:sz w:val="22"/>
          <w:szCs w:val="22"/>
        </w:rPr>
      </w:pPr>
      <w:r w:rsidRPr="00BA4BDF">
        <w:rPr>
          <w:rFonts w:ascii="Arial" w:hAnsi="Arial" w:cs="Arial"/>
          <w:vanish/>
          <w:sz w:val="22"/>
          <w:szCs w:val="22"/>
        </w:rPr>
        <w:lastRenderedPageBreak/>
        <w:t>Top of Form</w:t>
      </w:r>
    </w:p>
    <w:tbl>
      <w:tblPr>
        <w:tblStyle w:val="TableGrid"/>
        <w:tblpPr w:leftFromText="180" w:rightFromText="180" w:vertAnchor="text" w:horzAnchor="margin" w:tblpY="-157"/>
        <w:tblW w:w="0" w:type="auto"/>
        <w:tblLook w:val="04A0" w:firstRow="1" w:lastRow="0" w:firstColumn="1" w:lastColumn="0" w:noHBand="0" w:noVBand="1"/>
      </w:tblPr>
      <w:tblGrid>
        <w:gridCol w:w="4508"/>
        <w:gridCol w:w="4508"/>
      </w:tblGrid>
      <w:tr w:rsidR="00075FE6" w:rsidRPr="00BA4BDF" w14:paraId="39F103BA" w14:textId="77777777" w:rsidTr="00075FE6">
        <w:tc>
          <w:tcPr>
            <w:tcW w:w="4508" w:type="dxa"/>
          </w:tcPr>
          <w:p w14:paraId="660CD4B7" w14:textId="79B6CADE" w:rsidR="00075FE6" w:rsidRPr="00BA4BDF" w:rsidRDefault="00075FE6" w:rsidP="00075FE6">
            <w:pPr>
              <w:rPr>
                <w:rFonts w:ascii="Arial" w:hAnsi="Arial" w:cs="Arial"/>
                <w:b/>
                <w:bCs/>
                <w:sz w:val="22"/>
                <w:szCs w:val="22"/>
              </w:rPr>
            </w:pPr>
            <w:r w:rsidRPr="00BA4BDF">
              <w:rPr>
                <w:rFonts w:ascii="Arial" w:hAnsi="Arial" w:cs="Arial"/>
                <w:b/>
                <w:bCs/>
                <w:sz w:val="22"/>
                <w:szCs w:val="22"/>
              </w:rPr>
              <w:t>Opportunities</w:t>
            </w:r>
          </w:p>
        </w:tc>
        <w:tc>
          <w:tcPr>
            <w:tcW w:w="4508" w:type="dxa"/>
          </w:tcPr>
          <w:p w14:paraId="1549593C" w14:textId="43FDEF42" w:rsidR="00075FE6" w:rsidRPr="00BA4BDF" w:rsidRDefault="00075FE6" w:rsidP="00075FE6">
            <w:pPr>
              <w:rPr>
                <w:rFonts w:ascii="Arial" w:hAnsi="Arial" w:cs="Arial"/>
                <w:b/>
                <w:bCs/>
                <w:sz w:val="22"/>
                <w:szCs w:val="22"/>
              </w:rPr>
            </w:pPr>
            <w:r w:rsidRPr="00BA4BDF">
              <w:rPr>
                <w:rFonts w:ascii="Arial" w:hAnsi="Arial" w:cs="Arial"/>
                <w:b/>
                <w:bCs/>
                <w:sz w:val="22"/>
                <w:szCs w:val="22"/>
              </w:rPr>
              <w:t>Threats</w:t>
            </w:r>
          </w:p>
        </w:tc>
      </w:tr>
      <w:tr w:rsidR="00075FE6" w:rsidRPr="00BA4BDF" w14:paraId="48586426" w14:textId="77777777" w:rsidTr="00075FE6">
        <w:tc>
          <w:tcPr>
            <w:tcW w:w="4508" w:type="dxa"/>
          </w:tcPr>
          <w:p w14:paraId="6E28C17F" w14:textId="0C2AFF99" w:rsidR="00075FE6" w:rsidRPr="00BA4BDF" w:rsidRDefault="00F239E6" w:rsidP="00075FE6">
            <w:pPr>
              <w:rPr>
                <w:rFonts w:ascii="Arial" w:hAnsi="Arial" w:cs="Arial"/>
                <w:sz w:val="22"/>
                <w:szCs w:val="22"/>
              </w:rPr>
            </w:pPr>
            <w:r w:rsidRPr="00BA4BDF">
              <w:rPr>
                <w:rFonts w:ascii="Arial" w:hAnsi="Arial" w:cs="Arial"/>
                <w:sz w:val="22"/>
                <w:szCs w:val="22"/>
              </w:rPr>
              <w:t>Expansion of IoT and smart city services</w:t>
            </w:r>
          </w:p>
        </w:tc>
        <w:tc>
          <w:tcPr>
            <w:tcW w:w="4508" w:type="dxa"/>
          </w:tcPr>
          <w:p w14:paraId="2C94178E" w14:textId="220734AB" w:rsidR="00075FE6" w:rsidRPr="00BA4BDF" w:rsidRDefault="00F239E6" w:rsidP="00075FE6">
            <w:pPr>
              <w:rPr>
                <w:rFonts w:ascii="Arial" w:hAnsi="Arial" w:cs="Arial"/>
                <w:sz w:val="22"/>
                <w:szCs w:val="22"/>
              </w:rPr>
            </w:pPr>
            <w:r w:rsidRPr="00BA4BDF">
              <w:rPr>
                <w:rFonts w:ascii="Arial" w:hAnsi="Arial" w:cs="Arial"/>
                <w:sz w:val="22"/>
                <w:szCs w:val="22"/>
              </w:rPr>
              <w:t>Aggressive competition from BT/EE and Virgin Media O2</w:t>
            </w:r>
          </w:p>
        </w:tc>
      </w:tr>
      <w:tr w:rsidR="00075FE6" w:rsidRPr="00BA4BDF" w14:paraId="5E5E5009" w14:textId="77777777" w:rsidTr="00075FE6">
        <w:tc>
          <w:tcPr>
            <w:tcW w:w="4508" w:type="dxa"/>
          </w:tcPr>
          <w:p w14:paraId="0206DD2D" w14:textId="7208087C" w:rsidR="00075FE6" w:rsidRPr="00BA4BDF" w:rsidRDefault="00F239E6" w:rsidP="00075FE6">
            <w:pPr>
              <w:rPr>
                <w:rFonts w:ascii="Arial" w:hAnsi="Arial" w:cs="Arial"/>
                <w:sz w:val="22"/>
                <w:szCs w:val="22"/>
              </w:rPr>
            </w:pPr>
            <w:r w:rsidRPr="00BA4BDF">
              <w:rPr>
                <w:rFonts w:ascii="Arial" w:hAnsi="Arial" w:cs="Arial"/>
                <w:sz w:val="22"/>
                <w:szCs w:val="22"/>
              </w:rPr>
              <w:t>Growth of AI-enabled enterprise connectivity solutions</w:t>
            </w:r>
          </w:p>
        </w:tc>
        <w:tc>
          <w:tcPr>
            <w:tcW w:w="4508" w:type="dxa"/>
          </w:tcPr>
          <w:p w14:paraId="5C5FB2E1" w14:textId="62169287" w:rsidR="00075FE6" w:rsidRPr="00BA4BDF" w:rsidRDefault="00F239E6" w:rsidP="00075FE6">
            <w:pPr>
              <w:rPr>
                <w:rFonts w:ascii="Arial" w:hAnsi="Arial" w:cs="Arial"/>
                <w:sz w:val="22"/>
                <w:szCs w:val="22"/>
              </w:rPr>
            </w:pPr>
            <w:r w:rsidRPr="00BA4BDF">
              <w:rPr>
                <w:rFonts w:ascii="Arial" w:hAnsi="Arial" w:cs="Arial"/>
                <w:sz w:val="22"/>
                <w:szCs w:val="22"/>
              </w:rPr>
              <w:t>Regulatory intervention and compliance costs</w:t>
            </w:r>
          </w:p>
        </w:tc>
      </w:tr>
      <w:tr w:rsidR="00075FE6" w:rsidRPr="00BA4BDF" w14:paraId="1A5E8948" w14:textId="77777777" w:rsidTr="00075FE6">
        <w:tc>
          <w:tcPr>
            <w:tcW w:w="4508" w:type="dxa"/>
          </w:tcPr>
          <w:p w14:paraId="63314222" w14:textId="02FF7488" w:rsidR="00075FE6" w:rsidRPr="00BA4BDF" w:rsidRDefault="00F239E6" w:rsidP="00075FE6">
            <w:pPr>
              <w:rPr>
                <w:rFonts w:ascii="Arial" w:hAnsi="Arial" w:cs="Arial"/>
                <w:sz w:val="22"/>
                <w:szCs w:val="22"/>
              </w:rPr>
            </w:pPr>
            <w:r w:rsidRPr="00BA4BDF">
              <w:rPr>
                <w:rFonts w:ascii="Arial" w:hAnsi="Arial" w:cs="Arial"/>
                <w:sz w:val="22"/>
                <w:szCs w:val="22"/>
              </w:rPr>
              <w:t>Increasing demand for private 5G enterprise networks</w:t>
            </w:r>
          </w:p>
        </w:tc>
        <w:tc>
          <w:tcPr>
            <w:tcW w:w="4508" w:type="dxa"/>
          </w:tcPr>
          <w:p w14:paraId="73C2FC86" w14:textId="09CB249B" w:rsidR="00075FE6" w:rsidRPr="00BA4BDF" w:rsidRDefault="00E317F2" w:rsidP="00075FE6">
            <w:pPr>
              <w:rPr>
                <w:rFonts w:ascii="Arial" w:hAnsi="Arial" w:cs="Arial"/>
                <w:sz w:val="22"/>
                <w:szCs w:val="22"/>
              </w:rPr>
            </w:pPr>
            <w:r w:rsidRPr="00BA4BDF">
              <w:rPr>
                <w:rFonts w:ascii="Arial" w:hAnsi="Arial" w:cs="Arial"/>
                <w:sz w:val="22"/>
                <w:szCs w:val="22"/>
              </w:rPr>
              <w:t>Rapid technological change requiring continuous investment</w:t>
            </w:r>
          </w:p>
        </w:tc>
      </w:tr>
      <w:tr w:rsidR="00075FE6" w:rsidRPr="00BA4BDF" w14:paraId="6B164024" w14:textId="77777777" w:rsidTr="00075FE6">
        <w:tc>
          <w:tcPr>
            <w:tcW w:w="4508" w:type="dxa"/>
          </w:tcPr>
          <w:p w14:paraId="37C55883" w14:textId="4B7A0751" w:rsidR="00075FE6" w:rsidRPr="00BA4BDF" w:rsidRDefault="00E317F2" w:rsidP="00075FE6">
            <w:pPr>
              <w:rPr>
                <w:rFonts w:ascii="Arial" w:hAnsi="Arial" w:cs="Arial"/>
                <w:sz w:val="22"/>
                <w:szCs w:val="22"/>
              </w:rPr>
            </w:pPr>
            <w:r w:rsidRPr="00BA4BDF">
              <w:rPr>
                <w:rFonts w:ascii="Arial" w:hAnsi="Arial" w:cs="Arial"/>
                <w:sz w:val="22"/>
                <w:szCs w:val="22"/>
              </w:rPr>
              <w:t>Public sector digital transformation projects</w:t>
            </w:r>
          </w:p>
        </w:tc>
        <w:tc>
          <w:tcPr>
            <w:tcW w:w="4508" w:type="dxa"/>
          </w:tcPr>
          <w:p w14:paraId="28E16CC3" w14:textId="0B2250EA" w:rsidR="00075FE6" w:rsidRPr="00BA4BDF" w:rsidRDefault="00E317F2" w:rsidP="00075FE6">
            <w:pPr>
              <w:rPr>
                <w:rFonts w:ascii="Arial" w:hAnsi="Arial" w:cs="Arial"/>
                <w:sz w:val="22"/>
                <w:szCs w:val="22"/>
              </w:rPr>
            </w:pPr>
            <w:r w:rsidRPr="00BA4BDF">
              <w:rPr>
                <w:rFonts w:ascii="Arial" w:hAnsi="Arial" w:cs="Arial"/>
                <w:sz w:val="22"/>
                <w:szCs w:val="22"/>
              </w:rPr>
              <w:t>Cybersecurity threats and data privacy concerns</w:t>
            </w:r>
          </w:p>
        </w:tc>
      </w:tr>
      <w:tr w:rsidR="00075FE6" w:rsidRPr="00BA4BDF" w14:paraId="5CA9EDA9" w14:textId="77777777" w:rsidTr="00075FE6">
        <w:tc>
          <w:tcPr>
            <w:tcW w:w="4508" w:type="dxa"/>
          </w:tcPr>
          <w:p w14:paraId="4FA793F9" w14:textId="5C6B5988" w:rsidR="00075FE6" w:rsidRPr="00BA4BDF" w:rsidRDefault="00E317F2" w:rsidP="00075FE6">
            <w:pPr>
              <w:rPr>
                <w:rFonts w:ascii="Arial" w:hAnsi="Arial" w:cs="Arial"/>
                <w:sz w:val="22"/>
                <w:szCs w:val="22"/>
              </w:rPr>
            </w:pPr>
            <w:r w:rsidRPr="00BA4BDF">
              <w:rPr>
                <w:rFonts w:ascii="Arial" w:hAnsi="Arial" w:cs="Arial"/>
                <w:sz w:val="22"/>
                <w:szCs w:val="22"/>
              </w:rPr>
              <w:t>Growth in cloud, edge computing and managed services</w:t>
            </w:r>
          </w:p>
        </w:tc>
        <w:tc>
          <w:tcPr>
            <w:tcW w:w="4508" w:type="dxa"/>
          </w:tcPr>
          <w:p w14:paraId="6AE48AB3" w14:textId="64832CBA" w:rsidR="00075FE6" w:rsidRPr="00BA4BDF" w:rsidRDefault="00D67E38" w:rsidP="00075FE6">
            <w:pPr>
              <w:rPr>
                <w:rFonts w:ascii="Arial" w:hAnsi="Arial" w:cs="Arial"/>
                <w:sz w:val="22"/>
                <w:szCs w:val="22"/>
              </w:rPr>
            </w:pPr>
            <w:r w:rsidRPr="00BA4BDF">
              <w:rPr>
                <w:rFonts w:ascii="Arial" w:hAnsi="Arial" w:cs="Arial"/>
                <w:sz w:val="22"/>
                <w:szCs w:val="22"/>
              </w:rPr>
              <w:t>Economic uncertainty affecting consumer spending</w:t>
            </w:r>
          </w:p>
        </w:tc>
      </w:tr>
    </w:tbl>
    <w:p w14:paraId="660F5DFB" w14:textId="77777777" w:rsidR="00A5753B" w:rsidRPr="00BA4BDF" w:rsidRDefault="00A5753B" w:rsidP="00A5753B">
      <w:pPr>
        <w:rPr>
          <w:rFonts w:ascii="Arial" w:hAnsi="Arial" w:cs="Arial"/>
          <w:sz w:val="22"/>
          <w:szCs w:val="22"/>
        </w:rPr>
      </w:pPr>
    </w:p>
    <w:p w14:paraId="76954F15" w14:textId="77777777" w:rsidR="00A5753B" w:rsidRPr="00BA4BDF" w:rsidRDefault="00A5753B" w:rsidP="00A5753B">
      <w:pPr>
        <w:rPr>
          <w:rFonts w:ascii="Arial" w:hAnsi="Arial" w:cs="Arial"/>
          <w:vanish/>
          <w:sz w:val="22"/>
          <w:szCs w:val="22"/>
        </w:rPr>
      </w:pPr>
      <w:r w:rsidRPr="00BA4BDF">
        <w:rPr>
          <w:rFonts w:ascii="Arial" w:hAnsi="Arial" w:cs="Arial"/>
          <w:vanish/>
          <w:sz w:val="22"/>
          <w:szCs w:val="22"/>
        </w:rPr>
        <w:t>Bottom of Form</w:t>
      </w:r>
    </w:p>
    <w:p w14:paraId="6307029F" w14:textId="77777777" w:rsidR="00A5753B" w:rsidRPr="00BA4BDF" w:rsidRDefault="00A5753B" w:rsidP="004E0DD8">
      <w:pPr>
        <w:rPr>
          <w:rFonts w:ascii="Arial" w:hAnsi="Arial" w:cs="Arial"/>
          <w:sz w:val="22"/>
          <w:szCs w:val="22"/>
        </w:rPr>
      </w:pPr>
    </w:p>
    <w:p w14:paraId="1A5FF7AC" w14:textId="787E9523" w:rsidR="004E0DD8" w:rsidRPr="00BA4BDF" w:rsidRDefault="009B045F" w:rsidP="00C161C6">
      <w:pPr>
        <w:rPr>
          <w:rFonts w:ascii="Arial" w:hAnsi="Arial" w:cs="Arial"/>
          <w:sz w:val="22"/>
          <w:szCs w:val="22"/>
        </w:rPr>
      </w:pPr>
      <w:r w:rsidRPr="00BA4BDF">
        <w:rPr>
          <w:rFonts w:ascii="Arial" w:hAnsi="Arial" w:cs="Arial"/>
          <w:sz w:val="22"/>
          <w:szCs w:val="22"/>
        </w:rPr>
        <w:t>(Source</w:t>
      </w:r>
      <w:r w:rsidR="003C4A9A" w:rsidRPr="00BA4BDF">
        <w:rPr>
          <w:rFonts w:ascii="Arial" w:hAnsi="Arial" w:cs="Arial"/>
          <w:sz w:val="22"/>
          <w:szCs w:val="22"/>
        </w:rPr>
        <w:t>: Adapted from Vodafone</w:t>
      </w:r>
      <w:r w:rsidR="007427F8" w:rsidRPr="00BA4BDF">
        <w:rPr>
          <w:rFonts w:ascii="Arial" w:hAnsi="Arial" w:cs="Arial"/>
          <w:sz w:val="22"/>
          <w:szCs w:val="22"/>
        </w:rPr>
        <w:t xml:space="preserve"> Group, 2025; Ofcom ,2024</w:t>
      </w:r>
      <w:r w:rsidR="00E42BEA" w:rsidRPr="00BA4BDF">
        <w:rPr>
          <w:rFonts w:ascii="Arial" w:hAnsi="Arial" w:cs="Arial"/>
          <w:sz w:val="22"/>
          <w:szCs w:val="22"/>
        </w:rPr>
        <w:t>; GSMA, 2024</w:t>
      </w:r>
    </w:p>
    <w:p w14:paraId="1300325B" w14:textId="77777777" w:rsidR="00C161C6" w:rsidRPr="00BA4BDF" w:rsidRDefault="00C161C6" w:rsidP="006A0AE2">
      <w:pPr>
        <w:rPr>
          <w:rFonts w:ascii="Arial" w:hAnsi="Arial" w:cs="Arial"/>
          <w:sz w:val="22"/>
          <w:szCs w:val="22"/>
        </w:rPr>
      </w:pPr>
    </w:p>
    <w:p w14:paraId="6B31DC61" w14:textId="77777777" w:rsidR="006A0AE2" w:rsidRPr="00BA4BDF" w:rsidRDefault="006A0AE2" w:rsidP="00976C5A">
      <w:pPr>
        <w:rPr>
          <w:rFonts w:ascii="Arial" w:hAnsi="Arial" w:cs="Arial"/>
          <w:sz w:val="22"/>
          <w:szCs w:val="22"/>
        </w:rPr>
      </w:pPr>
    </w:p>
    <w:p w14:paraId="243CFB36" w14:textId="77777777" w:rsidR="0039565D" w:rsidRPr="00BA4BDF" w:rsidRDefault="0039565D" w:rsidP="0039565D">
      <w:pPr>
        <w:rPr>
          <w:rFonts w:ascii="Arial" w:hAnsi="Arial" w:cs="Arial"/>
          <w:b/>
          <w:bCs/>
          <w:sz w:val="22"/>
          <w:szCs w:val="22"/>
        </w:rPr>
      </w:pPr>
      <w:r w:rsidRPr="00BA4BDF">
        <w:rPr>
          <w:rFonts w:ascii="Arial" w:hAnsi="Arial" w:cs="Arial"/>
          <w:b/>
          <w:bCs/>
          <w:sz w:val="22"/>
          <w:szCs w:val="22"/>
        </w:rPr>
        <w:t>SWOT Summary</w:t>
      </w:r>
    </w:p>
    <w:p w14:paraId="527E18AA" w14:textId="3A5DD458" w:rsidR="0039565D" w:rsidRPr="00BA4BDF" w:rsidRDefault="0039565D" w:rsidP="0039565D">
      <w:pPr>
        <w:rPr>
          <w:rFonts w:ascii="Arial" w:hAnsi="Arial" w:cs="Arial"/>
          <w:sz w:val="22"/>
          <w:szCs w:val="22"/>
        </w:rPr>
      </w:pPr>
      <w:r w:rsidRPr="00BA4BDF">
        <w:rPr>
          <w:rFonts w:ascii="Arial" w:hAnsi="Arial" w:cs="Arial"/>
          <w:sz w:val="22"/>
          <w:szCs w:val="22"/>
        </w:rPr>
        <w:t>The SWOT analysis suggests that Vodafone</w:t>
      </w:r>
      <w:r w:rsidR="008C5C73" w:rsidRPr="00BA4BDF">
        <w:rPr>
          <w:rFonts w:ascii="Arial" w:hAnsi="Arial" w:cs="Arial"/>
          <w:sz w:val="22"/>
          <w:szCs w:val="22"/>
        </w:rPr>
        <w:t xml:space="preserve"> Three</w:t>
      </w:r>
      <w:r w:rsidRPr="00BA4BDF">
        <w:rPr>
          <w:rFonts w:ascii="Arial" w:hAnsi="Arial" w:cs="Arial"/>
          <w:sz w:val="22"/>
          <w:szCs w:val="22"/>
        </w:rPr>
        <w:t xml:space="preserve"> possesses substantial strategic advantages resulting from its scale, network capabilities and investment capacity. However, achieving long-term success will depend upon effectively managing integration risks while capitalising on opportunities created by 5G, IoT and digital transformation. The analysis indicates that future growth should focus on leveraging technological capabilities rather than competing</w:t>
      </w:r>
      <w:r w:rsidR="008C5C73" w:rsidRPr="00BA4BDF">
        <w:rPr>
          <w:rFonts w:ascii="Arial" w:hAnsi="Arial" w:cs="Arial"/>
          <w:sz w:val="22"/>
          <w:szCs w:val="22"/>
        </w:rPr>
        <w:t xml:space="preserve"> solely through</w:t>
      </w:r>
      <w:r w:rsidR="00B6072C" w:rsidRPr="00BA4BDF">
        <w:rPr>
          <w:rFonts w:ascii="Arial" w:hAnsi="Arial" w:cs="Arial"/>
          <w:sz w:val="22"/>
          <w:szCs w:val="22"/>
        </w:rPr>
        <w:t xml:space="preserve"> price-based strategies.</w:t>
      </w:r>
    </w:p>
    <w:p w14:paraId="37DC636B" w14:textId="77777777" w:rsidR="006D61E0" w:rsidRPr="00BA4BDF" w:rsidRDefault="006D61E0" w:rsidP="0039565D">
      <w:pPr>
        <w:rPr>
          <w:rFonts w:ascii="Arial" w:hAnsi="Arial" w:cs="Arial"/>
          <w:sz w:val="22"/>
          <w:szCs w:val="22"/>
        </w:rPr>
      </w:pPr>
    </w:p>
    <w:p w14:paraId="2B8B09FE" w14:textId="5F7CF7E1" w:rsidR="00224342" w:rsidRPr="00BA4BDF" w:rsidRDefault="00224342" w:rsidP="00F41FD0">
      <w:pPr>
        <w:pStyle w:val="Heading1"/>
        <w:rPr>
          <w:rStyle w:val="BookTitle"/>
          <w:rFonts w:ascii="Arial" w:hAnsi="Arial" w:cs="Arial"/>
          <w:b w:val="0"/>
          <w:bCs w:val="0"/>
          <w:i w:val="0"/>
          <w:iCs w:val="0"/>
          <w:spacing w:val="0"/>
          <w:sz w:val="22"/>
          <w:szCs w:val="22"/>
        </w:rPr>
      </w:pPr>
      <w:bookmarkStart w:id="3" w:name="_Toc234763973"/>
      <w:r w:rsidRPr="00BA4BDF">
        <w:rPr>
          <w:rStyle w:val="BookTitle"/>
          <w:rFonts w:ascii="Arial" w:hAnsi="Arial" w:cs="Arial"/>
          <w:b w:val="0"/>
          <w:bCs w:val="0"/>
          <w:i w:val="0"/>
          <w:iCs w:val="0"/>
          <w:spacing w:val="0"/>
          <w:sz w:val="22"/>
          <w:szCs w:val="22"/>
        </w:rPr>
        <w:t>Strategic Growth Options and Proposed Strategy</w:t>
      </w:r>
      <w:bookmarkEnd w:id="3"/>
    </w:p>
    <w:p w14:paraId="100B1C15" w14:textId="1CC022D0" w:rsidR="00224342" w:rsidRPr="00BA4BDF" w:rsidRDefault="00224342" w:rsidP="00224342">
      <w:pPr>
        <w:rPr>
          <w:rFonts w:ascii="Arial" w:hAnsi="Arial" w:cs="Arial"/>
          <w:sz w:val="22"/>
          <w:szCs w:val="22"/>
        </w:rPr>
      </w:pPr>
      <w:r w:rsidRPr="00BA4BDF">
        <w:rPr>
          <w:rFonts w:ascii="Arial" w:hAnsi="Arial" w:cs="Arial"/>
          <w:sz w:val="22"/>
          <w:szCs w:val="22"/>
        </w:rPr>
        <w:t>Having evaluated Vodafone</w:t>
      </w:r>
      <w:r w:rsidR="00FB062D" w:rsidRPr="00BA4BDF">
        <w:rPr>
          <w:rFonts w:ascii="Arial" w:hAnsi="Arial" w:cs="Arial"/>
          <w:sz w:val="22"/>
          <w:szCs w:val="22"/>
        </w:rPr>
        <w:t xml:space="preserve"> Three</w:t>
      </w:r>
      <w:r w:rsidR="00842E94" w:rsidRPr="00BA4BDF">
        <w:rPr>
          <w:rFonts w:ascii="Arial" w:hAnsi="Arial" w:cs="Arial"/>
          <w:sz w:val="22"/>
          <w:szCs w:val="22"/>
        </w:rPr>
        <w:t>’s</w:t>
      </w:r>
      <w:r w:rsidRPr="00BA4BDF">
        <w:rPr>
          <w:rFonts w:ascii="Arial" w:hAnsi="Arial" w:cs="Arial"/>
          <w:sz w:val="22"/>
          <w:szCs w:val="22"/>
        </w:rPr>
        <w:t xml:space="preserve"> current strategic position, the next stage is to identify potential growth strategies capable of strengthening competitive advantage and delivering sustainable long-term value. Strategic management literature suggests that organisations should pursue growth opportunities that align with their resources, capabilities and external market conditions (Ansoff, 1957; Johnson et al., 2023). To evaluate potential options, Ansoff's Matrix and Porter's Generic Strategies are applied.</w:t>
      </w:r>
    </w:p>
    <w:p w14:paraId="5423E5B2" w14:textId="77777777" w:rsidR="00C7510F" w:rsidRPr="00BA4BDF" w:rsidRDefault="00C7510F" w:rsidP="00224342">
      <w:pPr>
        <w:rPr>
          <w:rFonts w:ascii="Arial" w:hAnsi="Arial" w:cs="Arial"/>
          <w:b/>
          <w:bCs/>
          <w:sz w:val="22"/>
          <w:szCs w:val="22"/>
        </w:rPr>
      </w:pPr>
    </w:p>
    <w:p w14:paraId="15411E0F" w14:textId="4608A161" w:rsidR="00224342" w:rsidRPr="00BA4BDF" w:rsidRDefault="00224342" w:rsidP="00224342">
      <w:pPr>
        <w:rPr>
          <w:rFonts w:ascii="Arial" w:hAnsi="Arial" w:cs="Arial"/>
          <w:b/>
          <w:bCs/>
          <w:sz w:val="22"/>
          <w:szCs w:val="22"/>
        </w:rPr>
      </w:pPr>
      <w:r w:rsidRPr="00BA4BDF">
        <w:rPr>
          <w:rFonts w:ascii="Arial" w:hAnsi="Arial" w:cs="Arial"/>
          <w:b/>
          <w:bCs/>
          <w:sz w:val="22"/>
          <w:szCs w:val="22"/>
        </w:rPr>
        <w:t>Growth Options Using Ansoff's Matrix</w:t>
      </w:r>
    </w:p>
    <w:p w14:paraId="7E2AE369" w14:textId="01712263" w:rsidR="00224342" w:rsidRPr="00BA4BDF" w:rsidRDefault="00224342" w:rsidP="00224342">
      <w:pPr>
        <w:rPr>
          <w:rFonts w:ascii="Arial" w:hAnsi="Arial" w:cs="Arial"/>
          <w:sz w:val="22"/>
          <w:szCs w:val="22"/>
        </w:rPr>
      </w:pPr>
      <w:r w:rsidRPr="00BA4BDF">
        <w:rPr>
          <w:rFonts w:ascii="Arial" w:hAnsi="Arial" w:cs="Arial"/>
          <w:sz w:val="22"/>
          <w:szCs w:val="22"/>
        </w:rPr>
        <w:t>Ansoff (1957) proposed four strategic growth options based on existing and new products operating within existing and new markets. Each option presents different levels of risk and potential reward for Vodafone Three.</w:t>
      </w:r>
    </w:p>
    <w:p w14:paraId="674A96BC" w14:textId="77777777" w:rsidR="00B97155" w:rsidRDefault="00B97155" w:rsidP="00224342">
      <w:pPr>
        <w:rPr>
          <w:rFonts w:ascii="Arial" w:hAnsi="Arial" w:cs="Arial"/>
          <w:sz w:val="22"/>
          <w:szCs w:val="22"/>
        </w:rPr>
      </w:pPr>
    </w:p>
    <w:p w14:paraId="51B47686" w14:textId="77777777" w:rsidR="00D4501B" w:rsidRDefault="00D4501B" w:rsidP="00224342">
      <w:pPr>
        <w:rPr>
          <w:rFonts w:ascii="Arial" w:hAnsi="Arial" w:cs="Arial"/>
          <w:sz w:val="22"/>
          <w:szCs w:val="22"/>
        </w:rPr>
      </w:pPr>
    </w:p>
    <w:p w14:paraId="44510677" w14:textId="77777777" w:rsidR="00D4501B" w:rsidRPr="00BA4BDF" w:rsidRDefault="00D4501B" w:rsidP="00224342">
      <w:pPr>
        <w:rPr>
          <w:rFonts w:ascii="Arial" w:hAnsi="Arial" w:cs="Arial"/>
          <w:sz w:val="22"/>
          <w:szCs w:val="22"/>
        </w:rPr>
      </w:pPr>
    </w:p>
    <w:p w14:paraId="39D81924" w14:textId="77777777" w:rsidR="00B97155" w:rsidRPr="00BA4BDF" w:rsidRDefault="00B97155" w:rsidP="00B97155">
      <w:pPr>
        <w:rPr>
          <w:rFonts w:ascii="Arial" w:hAnsi="Arial" w:cs="Arial"/>
          <w:b/>
          <w:bCs/>
          <w:sz w:val="22"/>
          <w:szCs w:val="22"/>
        </w:rPr>
      </w:pPr>
      <w:r w:rsidRPr="00BA4BDF">
        <w:rPr>
          <w:rFonts w:ascii="Arial" w:hAnsi="Arial" w:cs="Arial"/>
          <w:b/>
          <w:bCs/>
          <w:sz w:val="22"/>
          <w:szCs w:val="22"/>
        </w:rPr>
        <w:lastRenderedPageBreak/>
        <w:t>Market Penetration</w:t>
      </w:r>
    </w:p>
    <w:p w14:paraId="32495BF0" w14:textId="2AB01597" w:rsidR="00B97155" w:rsidRPr="00BA4BDF" w:rsidRDefault="00B97155" w:rsidP="00B97155">
      <w:pPr>
        <w:rPr>
          <w:rFonts w:ascii="Arial" w:hAnsi="Arial" w:cs="Arial"/>
          <w:sz w:val="22"/>
          <w:szCs w:val="22"/>
        </w:rPr>
      </w:pPr>
      <w:r w:rsidRPr="00BA4BDF">
        <w:rPr>
          <w:rFonts w:ascii="Arial" w:hAnsi="Arial" w:cs="Arial"/>
          <w:sz w:val="22"/>
          <w:szCs w:val="22"/>
        </w:rPr>
        <w:t>Market penetration focuses on increasing market share within existing markets using existing products and services. Vodafone</w:t>
      </w:r>
      <w:r w:rsidR="002D7CA3" w:rsidRPr="00BA4BDF">
        <w:rPr>
          <w:rFonts w:ascii="Arial" w:hAnsi="Arial" w:cs="Arial"/>
          <w:sz w:val="22"/>
          <w:szCs w:val="22"/>
        </w:rPr>
        <w:t xml:space="preserve"> Three</w:t>
      </w:r>
      <w:r w:rsidRPr="00BA4BDF">
        <w:rPr>
          <w:rFonts w:ascii="Arial" w:hAnsi="Arial" w:cs="Arial"/>
          <w:sz w:val="22"/>
          <w:szCs w:val="22"/>
        </w:rPr>
        <w:t xml:space="preserve"> could pursue this strategy through customer retention initiatives, competitive pricing, bundled service packages and enhanced customer experience programmes.</w:t>
      </w:r>
    </w:p>
    <w:p w14:paraId="4358C235" w14:textId="2657C84D" w:rsidR="00B97155" w:rsidRPr="00BA4BDF" w:rsidRDefault="00B97155" w:rsidP="00B97155">
      <w:pPr>
        <w:rPr>
          <w:rFonts w:ascii="Arial" w:hAnsi="Arial" w:cs="Arial"/>
          <w:sz w:val="22"/>
          <w:szCs w:val="22"/>
        </w:rPr>
      </w:pPr>
      <w:r w:rsidRPr="00BA4BDF">
        <w:rPr>
          <w:rFonts w:ascii="Arial" w:hAnsi="Arial" w:cs="Arial"/>
          <w:sz w:val="22"/>
          <w:szCs w:val="22"/>
        </w:rPr>
        <w:t>The merger provides opportunities to cross-sell services across a larger customer base and improve customer retention through enhanced network performance. However, the UK telecommunications market is relatively mature and saturated, limiting opportunities for substantial growth through market penetration alone. Furthermore, increased reliance on price</w:t>
      </w:r>
      <w:r w:rsidR="002D7CA3" w:rsidRPr="00BA4BDF">
        <w:rPr>
          <w:rFonts w:ascii="Arial" w:hAnsi="Arial" w:cs="Arial"/>
          <w:sz w:val="22"/>
          <w:szCs w:val="22"/>
        </w:rPr>
        <w:t xml:space="preserve"> competition could reduce profitability and weaken long-term</w:t>
      </w:r>
      <w:r w:rsidR="00F9538F" w:rsidRPr="00BA4BDF">
        <w:rPr>
          <w:rFonts w:ascii="Arial" w:hAnsi="Arial" w:cs="Arial"/>
          <w:sz w:val="22"/>
          <w:szCs w:val="22"/>
        </w:rPr>
        <w:t xml:space="preserve"> value creation</w:t>
      </w:r>
      <w:r w:rsidR="008822A4" w:rsidRPr="00BA4BDF">
        <w:rPr>
          <w:rFonts w:ascii="Arial" w:hAnsi="Arial" w:cs="Arial"/>
          <w:sz w:val="22"/>
          <w:szCs w:val="22"/>
        </w:rPr>
        <w:t xml:space="preserve"> (Porter, 1985).</w:t>
      </w:r>
    </w:p>
    <w:p w14:paraId="6B1829A8" w14:textId="77777777" w:rsidR="001D20BC" w:rsidRPr="00BA4BDF" w:rsidRDefault="001D20BC" w:rsidP="00B97155">
      <w:pPr>
        <w:rPr>
          <w:rFonts w:ascii="Arial" w:hAnsi="Arial" w:cs="Arial"/>
          <w:sz w:val="22"/>
          <w:szCs w:val="22"/>
        </w:rPr>
      </w:pPr>
    </w:p>
    <w:p w14:paraId="4893C54D" w14:textId="77777777" w:rsidR="001D20BC" w:rsidRPr="00BA4BDF" w:rsidRDefault="001D20BC" w:rsidP="001D20BC">
      <w:pPr>
        <w:rPr>
          <w:rFonts w:ascii="Arial" w:hAnsi="Arial" w:cs="Arial"/>
          <w:b/>
          <w:bCs/>
          <w:sz w:val="22"/>
          <w:szCs w:val="22"/>
        </w:rPr>
      </w:pPr>
      <w:r w:rsidRPr="00BA4BDF">
        <w:rPr>
          <w:rFonts w:ascii="Arial" w:hAnsi="Arial" w:cs="Arial"/>
          <w:b/>
          <w:bCs/>
          <w:sz w:val="22"/>
          <w:szCs w:val="22"/>
        </w:rPr>
        <w:t>Market Development</w:t>
      </w:r>
    </w:p>
    <w:p w14:paraId="6804F70F" w14:textId="700B8E4E" w:rsidR="001D20BC" w:rsidRPr="00BA4BDF" w:rsidRDefault="001D20BC" w:rsidP="001D20BC">
      <w:pPr>
        <w:rPr>
          <w:rFonts w:ascii="Arial" w:hAnsi="Arial" w:cs="Arial"/>
          <w:sz w:val="22"/>
          <w:szCs w:val="22"/>
        </w:rPr>
      </w:pPr>
      <w:r w:rsidRPr="00BA4BDF">
        <w:rPr>
          <w:rFonts w:ascii="Arial" w:hAnsi="Arial" w:cs="Arial"/>
          <w:sz w:val="22"/>
          <w:szCs w:val="22"/>
        </w:rPr>
        <w:t>Market development involves introducing existing products into new markets or customer segments. Vodafone</w:t>
      </w:r>
      <w:r w:rsidR="00020C4B" w:rsidRPr="00BA4BDF">
        <w:rPr>
          <w:rFonts w:ascii="Arial" w:hAnsi="Arial" w:cs="Arial"/>
          <w:sz w:val="22"/>
          <w:szCs w:val="22"/>
        </w:rPr>
        <w:t xml:space="preserve"> Three</w:t>
      </w:r>
      <w:r w:rsidRPr="00BA4BDF">
        <w:rPr>
          <w:rFonts w:ascii="Arial" w:hAnsi="Arial" w:cs="Arial"/>
          <w:sz w:val="22"/>
          <w:szCs w:val="22"/>
        </w:rPr>
        <w:t xml:space="preserve"> could expand further into enterprise, government and public sector markets, where demand for advanced connectivity and digital infrastructure services is growing rapidly.</w:t>
      </w:r>
    </w:p>
    <w:p w14:paraId="2186DD5B" w14:textId="7CC2D357" w:rsidR="001D20BC" w:rsidRPr="00BA4BDF" w:rsidRDefault="001D20BC" w:rsidP="001D20BC">
      <w:pPr>
        <w:rPr>
          <w:rFonts w:ascii="Arial" w:hAnsi="Arial" w:cs="Arial"/>
          <w:sz w:val="22"/>
          <w:szCs w:val="22"/>
        </w:rPr>
      </w:pPr>
      <w:r w:rsidRPr="00BA4BDF">
        <w:rPr>
          <w:rFonts w:ascii="Arial" w:hAnsi="Arial" w:cs="Arial"/>
          <w:sz w:val="22"/>
          <w:szCs w:val="22"/>
        </w:rPr>
        <w:t>The emerg</w:t>
      </w:r>
      <w:r w:rsidR="005E1514" w:rsidRPr="00BA4BDF">
        <w:rPr>
          <w:rFonts w:ascii="Arial" w:hAnsi="Arial" w:cs="Arial"/>
          <w:sz w:val="22"/>
          <w:szCs w:val="22"/>
        </w:rPr>
        <w:t>ence</w:t>
      </w:r>
      <w:r w:rsidR="00F53801" w:rsidRPr="00BA4BDF">
        <w:rPr>
          <w:rFonts w:ascii="Arial" w:hAnsi="Arial" w:cs="Arial"/>
          <w:sz w:val="22"/>
          <w:szCs w:val="22"/>
        </w:rPr>
        <w:t xml:space="preserve"> of smart cities </w:t>
      </w:r>
      <w:r w:rsidR="00E10FE2" w:rsidRPr="00BA4BDF">
        <w:rPr>
          <w:rFonts w:ascii="Arial" w:hAnsi="Arial" w:cs="Arial"/>
          <w:sz w:val="22"/>
          <w:szCs w:val="22"/>
        </w:rPr>
        <w:t xml:space="preserve"> </w:t>
      </w:r>
      <w:r w:rsidRPr="00BA4BDF">
        <w:rPr>
          <w:rFonts w:ascii="Arial" w:hAnsi="Arial" w:cs="Arial"/>
          <w:sz w:val="22"/>
          <w:szCs w:val="22"/>
        </w:rPr>
        <w:t xml:space="preserve"> connected transportation systems and digitally enabled public services creates significant opportunities for telecommunications providers capable of delivering reliable, high-capacity connectivity solutions. Market development would allow Vodafone Three</w:t>
      </w:r>
      <w:r w:rsidR="006E44B9" w:rsidRPr="00BA4BDF">
        <w:rPr>
          <w:rFonts w:ascii="Arial" w:hAnsi="Arial" w:cs="Arial"/>
          <w:sz w:val="22"/>
          <w:szCs w:val="22"/>
        </w:rPr>
        <w:t xml:space="preserve"> to leverage its existing network assets while accessing new </w:t>
      </w:r>
      <w:r w:rsidR="00020C4B" w:rsidRPr="00BA4BDF">
        <w:rPr>
          <w:rFonts w:ascii="Arial" w:hAnsi="Arial" w:cs="Arial"/>
          <w:sz w:val="22"/>
          <w:szCs w:val="22"/>
        </w:rPr>
        <w:t>revenue opportunities.</w:t>
      </w:r>
    </w:p>
    <w:p w14:paraId="4BDF1E35" w14:textId="77777777" w:rsidR="00B13760" w:rsidRPr="00BA4BDF" w:rsidRDefault="00B13760" w:rsidP="001D20BC">
      <w:pPr>
        <w:rPr>
          <w:rFonts w:ascii="Arial" w:hAnsi="Arial" w:cs="Arial"/>
          <w:sz w:val="22"/>
          <w:szCs w:val="22"/>
        </w:rPr>
      </w:pPr>
    </w:p>
    <w:p w14:paraId="0B8F8397" w14:textId="77777777" w:rsidR="00B13760" w:rsidRPr="00BA4BDF" w:rsidRDefault="00B13760" w:rsidP="00B13760">
      <w:pPr>
        <w:rPr>
          <w:rFonts w:ascii="Arial" w:hAnsi="Arial" w:cs="Arial"/>
          <w:b/>
          <w:bCs/>
          <w:sz w:val="22"/>
          <w:szCs w:val="22"/>
        </w:rPr>
      </w:pPr>
      <w:r w:rsidRPr="00BA4BDF">
        <w:rPr>
          <w:rFonts w:ascii="Arial" w:hAnsi="Arial" w:cs="Arial"/>
          <w:b/>
          <w:bCs/>
          <w:sz w:val="22"/>
          <w:szCs w:val="22"/>
        </w:rPr>
        <w:t>Product Development</w:t>
      </w:r>
    </w:p>
    <w:p w14:paraId="1BB8009D" w14:textId="584A5C9F" w:rsidR="00B13760" w:rsidRPr="00BA4BDF" w:rsidRDefault="00B13760" w:rsidP="00B13760">
      <w:pPr>
        <w:rPr>
          <w:rFonts w:ascii="Arial" w:hAnsi="Arial" w:cs="Arial"/>
          <w:sz w:val="22"/>
          <w:szCs w:val="22"/>
        </w:rPr>
      </w:pPr>
      <w:r w:rsidRPr="00BA4BDF">
        <w:rPr>
          <w:rFonts w:ascii="Arial" w:hAnsi="Arial" w:cs="Arial"/>
          <w:sz w:val="22"/>
          <w:szCs w:val="22"/>
        </w:rPr>
        <w:t>Product development involves creating new products and services for existing markets. For Vodafone</w:t>
      </w:r>
      <w:r w:rsidR="00DB12FF" w:rsidRPr="00BA4BDF">
        <w:rPr>
          <w:rFonts w:ascii="Arial" w:hAnsi="Arial" w:cs="Arial"/>
          <w:sz w:val="22"/>
          <w:szCs w:val="22"/>
        </w:rPr>
        <w:t xml:space="preserve"> Three</w:t>
      </w:r>
      <w:r w:rsidRPr="00BA4BDF">
        <w:rPr>
          <w:rFonts w:ascii="Arial" w:hAnsi="Arial" w:cs="Arial"/>
          <w:sz w:val="22"/>
          <w:szCs w:val="22"/>
        </w:rPr>
        <w:t>, this could include:</w:t>
      </w:r>
    </w:p>
    <w:p w14:paraId="7CFC48D2" w14:textId="77777777" w:rsidR="00B13760" w:rsidRPr="00BA4BDF" w:rsidRDefault="00B13760" w:rsidP="00B13760">
      <w:pPr>
        <w:numPr>
          <w:ilvl w:val="0"/>
          <w:numId w:val="8"/>
        </w:numPr>
        <w:rPr>
          <w:rFonts w:ascii="Arial" w:hAnsi="Arial" w:cs="Arial"/>
          <w:sz w:val="22"/>
          <w:szCs w:val="22"/>
        </w:rPr>
      </w:pPr>
      <w:r w:rsidRPr="00BA4BDF">
        <w:rPr>
          <w:rFonts w:ascii="Arial" w:hAnsi="Arial" w:cs="Arial"/>
          <w:sz w:val="22"/>
          <w:szCs w:val="22"/>
        </w:rPr>
        <w:t xml:space="preserve">AI-enabled connectivity solutions </w:t>
      </w:r>
    </w:p>
    <w:p w14:paraId="75828C8F" w14:textId="77777777" w:rsidR="00B13760" w:rsidRPr="00BA4BDF" w:rsidRDefault="00B13760" w:rsidP="00B13760">
      <w:pPr>
        <w:numPr>
          <w:ilvl w:val="0"/>
          <w:numId w:val="8"/>
        </w:numPr>
        <w:rPr>
          <w:rFonts w:ascii="Arial" w:hAnsi="Arial" w:cs="Arial"/>
          <w:sz w:val="22"/>
          <w:szCs w:val="22"/>
        </w:rPr>
      </w:pPr>
      <w:r w:rsidRPr="00BA4BDF">
        <w:rPr>
          <w:rFonts w:ascii="Arial" w:hAnsi="Arial" w:cs="Arial"/>
          <w:sz w:val="22"/>
          <w:szCs w:val="22"/>
        </w:rPr>
        <w:t xml:space="preserve">Managed cybersecurity services </w:t>
      </w:r>
    </w:p>
    <w:p w14:paraId="2C5735EC" w14:textId="77777777" w:rsidR="00B13760" w:rsidRPr="00BA4BDF" w:rsidRDefault="00B13760" w:rsidP="00B13760">
      <w:pPr>
        <w:numPr>
          <w:ilvl w:val="0"/>
          <w:numId w:val="8"/>
        </w:numPr>
        <w:rPr>
          <w:rFonts w:ascii="Arial" w:hAnsi="Arial" w:cs="Arial"/>
          <w:sz w:val="22"/>
          <w:szCs w:val="22"/>
        </w:rPr>
      </w:pPr>
      <w:r w:rsidRPr="00BA4BDF">
        <w:rPr>
          <w:rFonts w:ascii="Arial" w:hAnsi="Arial" w:cs="Arial"/>
          <w:sz w:val="22"/>
          <w:szCs w:val="22"/>
        </w:rPr>
        <w:t xml:space="preserve">IoT platforms </w:t>
      </w:r>
    </w:p>
    <w:p w14:paraId="28BC6ED6" w14:textId="77777777" w:rsidR="00B13760" w:rsidRPr="00BA4BDF" w:rsidRDefault="00B13760" w:rsidP="00B13760">
      <w:pPr>
        <w:numPr>
          <w:ilvl w:val="0"/>
          <w:numId w:val="8"/>
        </w:numPr>
        <w:rPr>
          <w:rFonts w:ascii="Arial" w:hAnsi="Arial" w:cs="Arial"/>
          <w:sz w:val="22"/>
          <w:szCs w:val="22"/>
        </w:rPr>
      </w:pPr>
      <w:r w:rsidRPr="00BA4BDF">
        <w:rPr>
          <w:rFonts w:ascii="Arial" w:hAnsi="Arial" w:cs="Arial"/>
          <w:sz w:val="22"/>
          <w:szCs w:val="22"/>
        </w:rPr>
        <w:t xml:space="preserve">Private enterprise 5G networks </w:t>
      </w:r>
    </w:p>
    <w:p w14:paraId="5FF4C1E3" w14:textId="77777777" w:rsidR="00B13760" w:rsidRPr="00BA4BDF" w:rsidRDefault="00B13760" w:rsidP="00B13760">
      <w:pPr>
        <w:numPr>
          <w:ilvl w:val="0"/>
          <w:numId w:val="8"/>
        </w:numPr>
        <w:rPr>
          <w:rFonts w:ascii="Arial" w:hAnsi="Arial" w:cs="Arial"/>
          <w:sz w:val="22"/>
          <w:szCs w:val="22"/>
        </w:rPr>
      </w:pPr>
      <w:r w:rsidRPr="00BA4BDF">
        <w:rPr>
          <w:rFonts w:ascii="Arial" w:hAnsi="Arial" w:cs="Arial"/>
          <w:sz w:val="22"/>
          <w:szCs w:val="22"/>
        </w:rPr>
        <w:t xml:space="preserve">Edge computing services </w:t>
      </w:r>
    </w:p>
    <w:p w14:paraId="4BBEF981" w14:textId="77777777" w:rsidR="00B13760" w:rsidRPr="00BA4BDF" w:rsidRDefault="00B13760" w:rsidP="00B13760">
      <w:pPr>
        <w:numPr>
          <w:ilvl w:val="0"/>
          <w:numId w:val="8"/>
        </w:numPr>
        <w:rPr>
          <w:rFonts w:ascii="Arial" w:hAnsi="Arial" w:cs="Arial"/>
          <w:sz w:val="22"/>
          <w:szCs w:val="22"/>
        </w:rPr>
      </w:pPr>
      <w:r w:rsidRPr="00BA4BDF">
        <w:rPr>
          <w:rFonts w:ascii="Arial" w:hAnsi="Arial" w:cs="Arial"/>
          <w:sz w:val="22"/>
          <w:szCs w:val="22"/>
        </w:rPr>
        <w:t xml:space="preserve">Smart infrastructure solutions </w:t>
      </w:r>
    </w:p>
    <w:p w14:paraId="7876B41C" w14:textId="2BC5F7CC" w:rsidR="00B13760" w:rsidRPr="00BA4BDF" w:rsidRDefault="00B13760" w:rsidP="00B13760">
      <w:pPr>
        <w:rPr>
          <w:rFonts w:ascii="Arial" w:hAnsi="Arial" w:cs="Arial"/>
          <w:sz w:val="22"/>
          <w:szCs w:val="22"/>
        </w:rPr>
      </w:pPr>
      <w:r w:rsidRPr="00BA4BDF">
        <w:rPr>
          <w:rFonts w:ascii="Arial" w:hAnsi="Arial" w:cs="Arial"/>
          <w:sz w:val="22"/>
          <w:szCs w:val="22"/>
        </w:rPr>
        <w:t>This strategy aligns strongly with the organisation's £11 billion investment in advanced network infrastructure. Rather than competing solely as a telecommunications provider, Vodafone</w:t>
      </w:r>
      <w:r w:rsidR="00BE6FEC" w:rsidRPr="00BA4BDF">
        <w:rPr>
          <w:rFonts w:ascii="Arial" w:hAnsi="Arial" w:cs="Arial"/>
          <w:sz w:val="22"/>
          <w:szCs w:val="22"/>
        </w:rPr>
        <w:t xml:space="preserve"> Three</w:t>
      </w:r>
      <w:r w:rsidRPr="00BA4BDF">
        <w:rPr>
          <w:rFonts w:ascii="Arial" w:hAnsi="Arial" w:cs="Arial"/>
          <w:sz w:val="22"/>
          <w:szCs w:val="22"/>
        </w:rPr>
        <w:t xml:space="preserve"> could evolve into a broader digital services organisation, generating</w:t>
      </w:r>
      <w:r w:rsidR="00DB12FF" w:rsidRPr="00BA4BDF">
        <w:rPr>
          <w:rFonts w:ascii="Arial" w:hAnsi="Arial" w:cs="Arial"/>
          <w:sz w:val="22"/>
          <w:szCs w:val="22"/>
        </w:rPr>
        <w:t xml:space="preserve"> higher-margin revenues</w:t>
      </w:r>
      <w:r w:rsidR="001F677A" w:rsidRPr="00BA4BDF">
        <w:rPr>
          <w:rFonts w:ascii="Arial" w:hAnsi="Arial" w:cs="Arial"/>
          <w:sz w:val="22"/>
          <w:szCs w:val="22"/>
        </w:rPr>
        <w:t xml:space="preserve"> and streng</w:t>
      </w:r>
      <w:r w:rsidR="00505780" w:rsidRPr="00BA4BDF">
        <w:rPr>
          <w:rFonts w:ascii="Arial" w:hAnsi="Arial" w:cs="Arial"/>
          <w:sz w:val="22"/>
          <w:szCs w:val="22"/>
        </w:rPr>
        <w:t>thening customer relationships.</w:t>
      </w:r>
    </w:p>
    <w:p w14:paraId="3102AC03" w14:textId="77777777" w:rsidR="00A92CAB" w:rsidRPr="00BA4BDF" w:rsidRDefault="00A92CAB" w:rsidP="00B13760">
      <w:pPr>
        <w:rPr>
          <w:rFonts w:ascii="Arial" w:hAnsi="Arial" w:cs="Arial"/>
          <w:sz w:val="22"/>
          <w:szCs w:val="22"/>
        </w:rPr>
      </w:pPr>
    </w:p>
    <w:p w14:paraId="41D5A980" w14:textId="77777777" w:rsidR="00A92CAB" w:rsidRPr="00BA4BDF" w:rsidRDefault="00A92CAB" w:rsidP="00A92CAB">
      <w:pPr>
        <w:rPr>
          <w:rFonts w:ascii="Arial" w:hAnsi="Arial" w:cs="Arial"/>
          <w:b/>
          <w:bCs/>
          <w:sz w:val="22"/>
          <w:szCs w:val="22"/>
        </w:rPr>
      </w:pPr>
      <w:r w:rsidRPr="00BA4BDF">
        <w:rPr>
          <w:rFonts w:ascii="Arial" w:hAnsi="Arial" w:cs="Arial"/>
          <w:b/>
          <w:bCs/>
          <w:sz w:val="22"/>
          <w:szCs w:val="22"/>
        </w:rPr>
        <w:lastRenderedPageBreak/>
        <w:t>Diversification</w:t>
      </w:r>
    </w:p>
    <w:p w14:paraId="3CD47522" w14:textId="77777777" w:rsidR="00A92CAB" w:rsidRPr="00BA4BDF" w:rsidRDefault="00A92CAB" w:rsidP="00A92CAB">
      <w:pPr>
        <w:rPr>
          <w:rFonts w:ascii="Arial" w:hAnsi="Arial" w:cs="Arial"/>
          <w:sz w:val="22"/>
          <w:szCs w:val="22"/>
        </w:rPr>
      </w:pPr>
      <w:r w:rsidRPr="00BA4BDF">
        <w:rPr>
          <w:rFonts w:ascii="Arial" w:hAnsi="Arial" w:cs="Arial"/>
          <w:sz w:val="22"/>
          <w:szCs w:val="22"/>
        </w:rPr>
        <w:t>Diversification represents the highest-risk growth strategy because it involves introducing new products into new markets. Potential diversification opportunities include fintech services, digital healthcare platforms or software development activities.</w:t>
      </w:r>
    </w:p>
    <w:p w14:paraId="3D9E66D4" w14:textId="20CDDDD0" w:rsidR="00A92CAB" w:rsidRPr="00BA4BDF" w:rsidRDefault="00A92CAB" w:rsidP="00A92CAB">
      <w:pPr>
        <w:rPr>
          <w:rFonts w:ascii="Arial" w:hAnsi="Arial" w:cs="Arial"/>
          <w:sz w:val="22"/>
          <w:szCs w:val="22"/>
        </w:rPr>
      </w:pPr>
      <w:r w:rsidRPr="00BA4BDF">
        <w:rPr>
          <w:rFonts w:ascii="Arial" w:hAnsi="Arial" w:cs="Arial"/>
          <w:sz w:val="22"/>
          <w:szCs w:val="22"/>
        </w:rPr>
        <w:t>Although diversification could generate substantial long-term growth, it would require Vodafone Three to develop capabilities beyond its existing expertise. Consequently, diversification presents greater uncertainty and execution risk than alternative growth strategies</w:t>
      </w:r>
      <w:r w:rsidR="000A4A57" w:rsidRPr="00BA4BDF">
        <w:rPr>
          <w:rFonts w:ascii="Arial" w:hAnsi="Arial" w:cs="Arial"/>
          <w:sz w:val="22"/>
          <w:szCs w:val="22"/>
        </w:rPr>
        <w:t xml:space="preserve"> (Johnson et al., 2023)</w:t>
      </w:r>
    </w:p>
    <w:p w14:paraId="7F69CE4F" w14:textId="77777777" w:rsidR="001E21CC" w:rsidRPr="00BA4BDF" w:rsidRDefault="001E21CC" w:rsidP="00A92CAB">
      <w:pPr>
        <w:rPr>
          <w:rFonts w:ascii="Arial" w:hAnsi="Arial" w:cs="Arial"/>
          <w:sz w:val="22"/>
          <w:szCs w:val="22"/>
        </w:rPr>
      </w:pPr>
    </w:p>
    <w:p w14:paraId="357282E4" w14:textId="685B5DA7" w:rsidR="00186495" w:rsidRPr="00BA4BDF" w:rsidRDefault="00186495" w:rsidP="00C7510F">
      <w:pPr>
        <w:pStyle w:val="Heading1"/>
        <w:rPr>
          <w:rFonts w:ascii="Arial" w:hAnsi="Arial" w:cs="Arial"/>
          <w:sz w:val="22"/>
          <w:szCs w:val="22"/>
        </w:rPr>
      </w:pPr>
      <w:bookmarkStart w:id="4" w:name="_Toc234763974"/>
      <w:r w:rsidRPr="00BA4BDF">
        <w:rPr>
          <w:rFonts w:ascii="Arial" w:hAnsi="Arial" w:cs="Arial"/>
          <w:sz w:val="22"/>
          <w:szCs w:val="22"/>
        </w:rPr>
        <w:t>Strategy Evaluation</w:t>
      </w:r>
      <w:bookmarkEnd w:id="4"/>
      <w:r w:rsidRPr="00BA4BDF">
        <w:rPr>
          <w:rFonts w:ascii="Arial" w:hAnsi="Arial" w:cs="Arial"/>
          <w:sz w:val="22"/>
          <w:szCs w:val="22"/>
        </w:rPr>
        <w:t xml:space="preserve"> </w:t>
      </w:r>
    </w:p>
    <w:p w14:paraId="0514378E" w14:textId="77777777" w:rsidR="00186495" w:rsidRPr="00BA4BDF" w:rsidRDefault="00186495" w:rsidP="00186495">
      <w:pPr>
        <w:rPr>
          <w:rFonts w:ascii="Arial" w:hAnsi="Arial" w:cs="Arial"/>
          <w:sz w:val="22"/>
          <w:szCs w:val="22"/>
        </w:rPr>
      </w:pPr>
      <w:r w:rsidRPr="00BA4BDF">
        <w:rPr>
          <w:rFonts w:ascii="Arial" w:hAnsi="Arial" w:cs="Arial"/>
          <w:sz w:val="22"/>
          <w:szCs w:val="22"/>
        </w:rPr>
        <w:t>The proposed Product Development and Market Development strategy is evaluated using the Suitability, Feasibility and Acceptability (SFA) framework (Johnson et al., 2023).</w:t>
      </w:r>
    </w:p>
    <w:p w14:paraId="73A3E413" w14:textId="188D5957" w:rsidR="00186495" w:rsidRPr="00BA4BDF" w:rsidRDefault="00186495" w:rsidP="00186495">
      <w:pPr>
        <w:rPr>
          <w:rFonts w:ascii="Arial" w:hAnsi="Arial" w:cs="Arial"/>
          <w:b/>
          <w:bCs/>
          <w:sz w:val="22"/>
          <w:szCs w:val="22"/>
        </w:rPr>
      </w:pPr>
      <w:r w:rsidRPr="00BA4BDF">
        <w:rPr>
          <w:rFonts w:ascii="Arial" w:hAnsi="Arial" w:cs="Arial"/>
          <w:b/>
          <w:bCs/>
          <w:sz w:val="22"/>
          <w:szCs w:val="22"/>
        </w:rPr>
        <w:t>Suitability</w:t>
      </w:r>
    </w:p>
    <w:p w14:paraId="7171B485" w14:textId="71462B67" w:rsidR="00186495" w:rsidRPr="00BA4BDF" w:rsidRDefault="00186495" w:rsidP="00186495">
      <w:pPr>
        <w:rPr>
          <w:rFonts w:ascii="Arial" w:hAnsi="Arial" w:cs="Arial"/>
          <w:sz w:val="22"/>
          <w:szCs w:val="22"/>
        </w:rPr>
      </w:pPr>
      <w:r w:rsidRPr="00BA4BDF">
        <w:rPr>
          <w:rFonts w:ascii="Arial" w:hAnsi="Arial" w:cs="Arial"/>
          <w:sz w:val="22"/>
          <w:szCs w:val="22"/>
        </w:rPr>
        <w:t>The strategy is highly suitable because it addresses the opportunities identified in the environmental analysis, including the growth of 5G, IoT, AI and digital transformation. It also responds to intense competition by focusing on differentiated services rather than price competition (Porter, 1985). Furthermore, it supports Vodafone</w:t>
      </w:r>
      <w:r w:rsidR="00F50134" w:rsidRPr="00BA4BDF">
        <w:rPr>
          <w:rFonts w:ascii="Arial" w:hAnsi="Arial" w:cs="Arial"/>
          <w:sz w:val="22"/>
          <w:szCs w:val="22"/>
        </w:rPr>
        <w:t xml:space="preserve"> Three’s </w:t>
      </w:r>
      <w:r w:rsidRPr="00BA4BDF">
        <w:rPr>
          <w:rFonts w:ascii="Arial" w:hAnsi="Arial" w:cs="Arial"/>
          <w:sz w:val="22"/>
          <w:szCs w:val="22"/>
        </w:rPr>
        <w:t xml:space="preserve">purpose of "connecting for a better future" and </w:t>
      </w:r>
      <w:r w:rsidR="00981CA3" w:rsidRPr="00BA4BDF">
        <w:rPr>
          <w:rFonts w:ascii="Arial" w:hAnsi="Arial" w:cs="Arial"/>
          <w:sz w:val="22"/>
          <w:szCs w:val="22"/>
        </w:rPr>
        <w:t>strengthens its position within enterprise and public</w:t>
      </w:r>
      <w:r w:rsidR="00895411" w:rsidRPr="00BA4BDF">
        <w:rPr>
          <w:rFonts w:ascii="Arial" w:hAnsi="Arial" w:cs="Arial"/>
          <w:sz w:val="22"/>
          <w:szCs w:val="22"/>
        </w:rPr>
        <w:t>-sector markets (Vodafone Group, 2025).</w:t>
      </w:r>
    </w:p>
    <w:p w14:paraId="562B4B36" w14:textId="77777777" w:rsidR="00345CCE" w:rsidRPr="00BA4BDF" w:rsidRDefault="00345CCE" w:rsidP="00186495">
      <w:pPr>
        <w:rPr>
          <w:rFonts w:ascii="Arial" w:hAnsi="Arial" w:cs="Arial"/>
          <w:sz w:val="22"/>
          <w:szCs w:val="22"/>
        </w:rPr>
      </w:pPr>
    </w:p>
    <w:p w14:paraId="412D9E5F" w14:textId="77777777" w:rsidR="00F442BB" w:rsidRPr="00BA4BDF" w:rsidRDefault="00F442BB" w:rsidP="00186495">
      <w:pPr>
        <w:rPr>
          <w:rFonts w:ascii="Arial" w:hAnsi="Arial" w:cs="Arial"/>
          <w:sz w:val="22"/>
          <w:szCs w:val="22"/>
        </w:rPr>
      </w:pPr>
    </w:p>
    <w:p w14:paraId="3A609AB6" w14:textId="2EAB5AC0" w:rsidR="00F442BB" w:rsidRPr="00BA4BDF" w:rsidRDefault="00F442BB" w:rsidP="00F442BB">
      <w:pPr>
        <w:rPr>
          <w:rFonts w:ascii="Arial" w:hAnsi="Arial" w:cs="Arial"/>
          <w:b/>
          <w:bCs/>
          <w:sz w:val="22"/>
          <w:szCs w:val="22"/>
        </w:rPr>
      </w:pPr>
      <w:r w:rsidRPr="00BA4BDF">
        <w:rPr>
          <w:rFonts w:ascii="Arial" w:hAnsi="Arial" w:cs="Arial"/>
          <w:b/>
          <w:bCs/>
          <w:sz w:val="22"/>
          <w:szCs w:val="22"/>
        </w:rPr>
        <w:t>Feasibility</w:t>
      </w:r>
    </w:p>
    <w:p w14:paraId="271C0419" w14:textId="239546D8" w:rsidR="00F442BB" w:rsidRPr="00BA4BDF" w:rsidRDefault="00F442BB" w:rsidP="00F442BB">
      <w:pPr>
        <w:rPr>
          <w:rFonts w:ascii="Arial" w:hAnsi="Arial" w:cs="Arial"/>
          <w:sz w:val="22"/>
          <w:szCs w:val="22"/>
        </w:rPr>
      </w:pPr>
      <w:r w:rsidRPr="00BA4BDF">
        <w:rPr>
          <w:rFonts w:ascii="Arial" w:hAnsi="Arial" w:cs="Arial"/>
          <w:sz w:val="22"/>
          <w:szCs w:val="22"/>
        </w:rPr>
        <w:t>The strategy is feasible because Vodafone</w:t>
      </w:r>
      <w:r w:rsidR="001F2A82" w:rsidRPr="00BA4BDF">
        <w:rPr>
          <w:rFonts w:ascii="Arial" w:hAnsi="Arial" w:cs="Arial"/>
          <w:sz w:val="22"/>
          <w:szCs w:val="22"/>
        </w:rPr>
        <w:t xml:space="preserve"> Three</w:t>
      </w:r>
      <w:r w:rsidRPr="00BA4BDF">
        <w:rPr>
          <w:rFonts w:ascii="Arial" w:hAnsi="Arial" w:cs="Arial"/>
          <w:sz w:val="22"/>
          <w:szCs w:val="22"/>
        </w:rPr>
        <w:t xml:space="preserve"> possesses the financial resources, technological infrastructure and operational scale required for implementation. The planned £11 billion investment in 5G infrastructure and expected annual synergies of approximately £700 million provide a strong foundation for future growth (Vodafone Group, 2025). However, successful implementation depends on effective merger integration and continued investment in employee skills.</w:t>
      </w:r>
    </w:p>
    <w:p w14:paraId="78D5ED99" w14:textId="4C407FB9" w:rsidR="00F442BB" w:rsidRDefault="00F442BB" w:rsidP="00F442BB">
      <w:pPr>
        <w:rPr>
          <w:rFonts w:ascii="Arial" w:hAnsi="Arial" w:cs="Arial"/>
          <w:sz w:val="22"/>
          <w:szCs w:val="22"/>
        </w:rPr>
      </w:pPr>
      <w:r w:rsidRPr="00BA4BDF">
        <w:rPr>
          <w:rFonts w:ascii="Arial" w:hAnsi="Arial" w:cs="Arial"/>
          <w:sz w:val="22"/>
          <w:szCs w:val="22"/>
        </w:rPr>
        <w:t>This report assumes that the merger progresses as planned, funding remains available and demand for advanced digital services continues to grow.</w:t>
      </w:r>
    </w:p>
    <w:p w14:paraId="2569C5AF" w14:textId="77777777" w:rsidR="00EC6808" w:rsidRDefault="00EC6808" w:rsidP="00F442BB">
      <w:pPr>
        <w:rPr>
          <w:rFonts w:ascii="Arial" w:hAnsi="Arial" w:cs="Arial"/>
          <w:sz w:val="22"/>
          <w:szCs w:val="22"/>
        </w:rPr>
      </w:pPr>
    </w:p>
    <w:p w14:paraId="34C2FD85" w14:textId="77777777" w:rsidR="00EC6808" w:rsidRPr="00BA4BDF" w:rsidRDefault="00EC6808" w:rsidP="00F442BB">
      <w:pPr>
        <w:rPr>
          <w:rFonts w:ascii="Arial" w:hAnsi="Arial" w:cs="Arial"/>
          <w:sz w:val="22"/>
          <w:szCs w:val="22"/>
        </w:rPr>
      </w:pPr>
    </w:p>
    <w:p w14:paraId="2680C084" w14:textId="77777777" w:rsidR="00975E43" w:rsidRPr="00BA4BDF" w:rsidRDefault="00975E43" w:rsidP="00F442BB">
      <w:pPr>
        <w:rPr>
          <w:rFonts w:ascii="Arial" w:hAnsi="Arial" w:cs="Arial"/>
          <w:sz w:val="22"/>
          <w:szCs w:val="22"/>
        </w:rPr>
      </w:pPr>
    </w:p>
    <w:p w14:paraId="3BD8D0CC" w14:textId="430DB5D5" w:rsidR="00975E43" w:rsidRPr="00BA4BDF" w:rsidRDefault="00975E43" w:rsidP="00975E43">
      <w:pPr>
        <w:rPr>
          <w:rFonts w:ascii="Arial" w:hAnsi="Arial" w:cs="Arial"/>
          <w:b/>
          <w:bCs/>
          <w:sz w:val="22"/>
          <w:szCs w:val="22"/>
        </w:rPr>
      </w:pPr>
      <w:r w:rsidRPr="00BA4BDF">
        <w:rPr>
          <w:rFonts w:ascii="Arial" w:hAnsi="Arial" w:cs="Arial"/>
          <w:b/>
          <w:bCs/>
          <w:sz w:val="22"/>
          <w:szCs w:val="22"/>
        </w:rPr>
        <w:t>Acceptability</w:t>
      </w:r>
    </w:p>
    <w:p w14:paraId="07CEFF79" w14:textId="77777777" w:rsidR="00975E43" w:rsidRPr="00BA4BDF" w:rsidRDefault="00975E43" w:rsidP="00975E43">
      <w:pPr>
        <w:rPr>
          <w:rFonts w:ascii="Arial" w:hAnsi="Arial" w:cs="Arial"/>
          <w:sz w:val="22"/>
          <w:szCs w:val="22"/>
        </w:rPr>
      </w:pPr>
      <w:r w:rsidRPr="00BA4BDF">
        <w:rPr>
          <w:rFonts w:ascii="Arial" w:hAnsi="Arial" w:cs="Arial"/>
          <w:sz w:val="22"/>
          <w:szCs w:val="22"/>
        </w:rPr>
        <w:t xml:space="preserve">The strategy is expected to deliver positive outcomes for key stakeholders. Shareholders should benefit from higher long-term profitability, customers from improved services and network quality, and regulators from increased investment in national digital infrastructure. </w:t>
      </w:r>
      <w:r w:rsidRPr="00BA4BDF">
        <w:rPr>
          <w:rFonts w:ascii="Arial" w:hAnsi="Arial" w:cs="Arial"/>
          <w:sz w:val="22"/>
          <w:szCs w:val="22"/>
        </w:rPr>
        <w:lastRenderedPageBreak/>
        <w:t>Employees may require reskilling to support new technologies, but this also creates opportunities for professional development.</w:t>
      </w:r>
    </w:p>
    <w:p w14:paraId="2B2B84DF" w14:textId="4CE0D936" w:rsidR="00975E43" w:rsidRPr="00BA4BDF" w:rsidRDefault="00975E43" w:rsidP="00975E43">
      <w:pPr>
        <w:rPr>
          <w:rFonts w:ascii="Arial" w:hAnsi="Arial" w:cs="Arial"/>
          <w:sz w:val="22"/>
          <w:szCs w:val="22"/>
        </w:rPr>
      </w:pPr>
      <w:r w:rsidRPr="00BA4BDF">
        <w:rPr>
          <w:rFonts w:ascii="Arial" w:hAnsi="Arial" w:cs="Arial"/>
          <w:sz w:val="22"/>
          <w:szCs w:val="22"/>
        </w:rPr>
        <w:t>Overall, the SFA analysis indicates that the proposed strategy is suitable, feasible and acceptable</w:t>
      </w:r>
      <w:r w:rsidR="00E670C9" w:rsidRPr="00BA4BDF">
        <w:rPr>
          <w:rFonts w:ascii="Arial" w:hAnsi="Arial" w:cs="Arial"/>
          <w:sz w:val="22"/>
          <w:szCs w:val="22"/>
        </w:rPr>
        <w:t xml:space="preserve">, making it an appropriate strategic direction for </w:t>
      </w:r>
      <w:r w:rsidR="00CD28F1" w:rsidRPr="00BA4BDF">
        <w:rPr>
          <w:rFonts w:ascii="Arial" w:hAnsi="Arial" w:cs="Arial"/>
          <w:sz w:val="22"/>
          <w:szCs w:val="22"/>
        </w:rPr>
        <w:t>Vodafone Three’s long-term growth.</w:t>
      </w:r>
    </w:p>
    <w:p w14:paraId="47D7FF74" w14:textId="4EC9711F" w:rsidR="00166391" w:rsidRPr="00BA4BDF" w:rsidRDefault="00166391" w:rsidP="00B118A9">
      <w:pPr>
        <w:pStyle w:val="Heading1"/>
        <w:rPr>
          <w:rFonts w:ascii="Arial" w:hAnsi="Arial" w:cs="Arial"/>
          <w:sz w:val="22"/>
          <w:szCs w:val="22"/>
        </w:rPr>
      </w:pPr>
      <w:bookmarkStart w:id="5" w:name="_Toc234763975"/>
      <w:r w:rsidRPr="00BA4BDF">
        <w:rPr>
          <w:rFonts w:ascii="Arial" w:hAnsi="Arial" w:cs="Arial"/>
          <w:sz w:val="22"/>
          <w:szCs w:val="22"/>
        </w:rPr>
        <w:t>Stakeholder Analysis</w:t>
      </w:r>
      <w:bookmarkEnd w:id="5"/>
      <w:r w:rsidRPr="00BA4BDF">
        <w:rPr>
          <w:rFonts w:ascii="Arial" w:hAnsi="Arial" w:cs="Arial"/>
          <w:sz w:val="22"/>
          <w:szCs w:val="22"/>
        </w:rPr>
        <w:t xml:space="preserve"> </w:t>
      </w:r>
    </w:p>
    <w:p w14:paraId="446FEEDD" w14:textId="07521936" w:rsidR="00166391" w:rsidRPr="00BA4BDF" w:rsidRDefault="00166391" w:rsidP="00166391">
      <w:pPr>
        <w:rPr>
          <w:rFonts w:ascii="Arial" w:hAnsi="Arial" w:cs="Arial"/>
          <w:sz w:val="22"/>
          <w:szCs w:val="22"/>
        </w:rPr>
      </w:pPr>
      <w:r w:rsidRPr="00BA4BDF">
        <w:rPr>
          <w:rFonts w:ascii="Arial" w:hAnsi="Arial" w:cs="Arial"/>
          <w:sz w:val="22"/>
          <w:szCs w:val="22"/>
        </w:rPr>
        <w:t>According to Freeman (1984), organisations should consider the interests of all stakeholders when implementing strategic decisions. Vodafone</w:t>
      </w:r>
      <w:r w:rsidR="00E96B4B" w:rsidRPr="00BA4BDF">
        <w:rPr>
          <w:rFonts w:ascii="Arial" w:hAnsi="Arial" w:cs="Arial"/>
          <w:sz w:val="22"/>
          <w:szCs w:val="22"/>
        </w:rPr>
        <w:t xml:space="preserve"> </w:t>
      </w:r>
      <w:proofErr w:type="gramStart"/>
      <w:r w:rsidR="00E96B4B" w:rsidRPr="00BA4BDF">
        <w:rPr>
          <w:rFonts w:ascii="Arial" w:hAnsi="Arial" w:cs="Arial"/>
          <w:sz w:val="22"/>
          <w:szCs w:val="22"/>
        </w:rPr>
        <w:t>Three</w:t>
      </w:r>
      <w:r w:rsidR="00163F05" w:rsidRPr="00BA4BDF">
        <w:rPr>
          <w:rFonts w:ascii="Arial" w:hAnsi="Arial" w:cs="Arial"/>
          <w:sz w:val="22"/>
          <w:szCs w:val="22"/>
        </w:rPr>
        <w:t xml:space="preserve"> </w:t>
      </w:r>
      <w:r w:rsidRPr="00BA4BDF">
        <w:rPr>
          <w:rFonts w:ascii="Arial" w:hAnsi="Arial" w:cs="Arial"/>
          <w:sz w:val="22"/>
          <w:szCs w:val="22"/>
        </w:rPr>
        <w:t xml:space="preserve"> propose</w:t>
      </w:r>
      <w:r w:rsidR="0069162A" w:rsidRPr="00BA4BDF">
        <w:rPr>
          <w:rFonts w:ascii="Arial" w:hAnsi="Arial" w:cs="Arial"/>
          <w:sz w:val="22"/>
          <w:szCs w:val="22"/>
        </w:rPr>
        <w:t>d</w:t>
      </w:r>
      <w:proofErr w:type="gramEnd"/>
      <w:r w:rsidR="003A6E55" w:rsidRPr="00BA4BDF">
        <w:rPr>
          <w:rFonts w:ascii="Arial" w:hAnsi="Arial" w:cs="Arial"/>
          <w:sz w:val="22"/>
          <w:szCs w:val="22"/>
        </w:rPr>
        <w:t xml:space="preserve"> </w:t>
      </w:r>
      <w:r w:rsidRPr="00BA4BDF">
        <w:rPr>
          <w:rFonts w:ascii="Arial" w:hAnsi="Arial" w:cs="Arial"/>
          <w:sz w:val="22"/>
          <w:szCs w:val="22"/>
        </w:rPr>
        <w:t>strategy affects several important stakeholder groups, including shareholders, customers, employees, regulators and technology suppliers.</w:t>
      </w:r>
    </w:p>
    <w:p w14:paraId="152B7971" w14:textId="2C19A543" w:rsidR="00166391" w:rsidRPr="00BA4BDF" w:rsidRDefault="00166391" w:rsidP="00166391">
      <w:pPr>
        <w:rPr>
          <w:rFonts w:ascii="Arial" w:hAnsi="Arial" w:cs="Arial"/>
          <w:sz w:val="22"/>
          <w:szCs w:val="22"/>
        </w:rPr>
      </w:pPr>
      <w:r w:rsidRPr="00BA4BDF">
        <w:rPr>
          <w:rFonts w:ascii="Arial" w:hAnsi="Arial" w:cs="Arial"/>
          <w:sz w:val="22"/>
          <w:szCs w:val="22"/>
        </w:rPr>
        <w:t>Shareholders are expected to benefit from improved profitability and long-term value creation. Customers should experience enhanced network performance and access to innovative digital services. Employees will require training to support emerging technologies, while regulators such as Ofcom</w:t>
      </w:r>
      <w:r w:rsidR="00B7590C" w:rsidRPr="00BA4BDF">
        <w:rPr>
          <w:rFonts w:ascii="Arial" w:hAnsi="Arial" w:cs="Arial"/>
          <w:sz w:val="22"/>
          <w:szCs w:val="22"/>
        </w:rPr>
        <w:t xml:space="preserve"> and the CMA will expect Vodafone Three to meet its investment</w:t>
      </w:r>
      <w:r w:rsidR="00E96B4B" w:rsidRPr="00BA4BDF">
        <w:rPr>
          <w:rFonts w:ascii="Arial" w:hAnsi="Arial" w:cs="Arial"/>
          <w:sz w:val="22"/>
          <w:szCs w:val="22"/>
        </w:rPr>
        <w:t xml:space="preserve"> and competition commitments.</w:t>
      </w:r>
    </w:p>
    <w:p w14:paraId="546C9551" w14:textId="60056589" w:rsidR="00975E43" w:rsidRPr="00BA4BDF" w:rsidRDefault="00163F05" w:rsidP="00F442BB">
      <w:pPr>
        <w:rPr>
          <w:rFonts w:ascii="Arial" w:hAnsi="Arial" w:cs="Arial"/>
          <w:sz w:val="22"/>
          <w:szCs w:val="22"/>
        </w:rPr>
      </w:pPr>
      <w:r w:rsidRPr="00BA4BDF">
        <w:rPr>
          <w:rFonts w:ascii="Arial" w:hAnsi="Arial" w:cs="Arial"/>
          <w:sz w:val="22"/>
          <w:szCs w:val="22"/>
        </w:rPr>
        <w:t>Using Mendelow's Matrix, shareholders, regulators and senior management should be managed closely because they have high power and high interest. Customers and employees should be kept informed through regular communication and engagement, while suppliers should be kept satisfied</w:t>
      </w:r>
      <w:r w:rsidR="009D7252" w:rsidRPr="00BA4BDF">
        <w:rPr>
          <w:rFonts w:ascii="Arial" w:hAnsi="Arial" w:cs="Arial"/>
          <w:sz w:val="22"/>
          <w:szCs w:val="22"/>
        </w:rPr>
        <w:t xml:space="preserve"> through strong strategic partnerships.</w:t>
      </w:r>
    </w:p>
    <w:p w14:paraId="09089DE6" w14:textId="77777777" w:rsidR="00FD64A2" w:rsidRPr="00BA4BDF" w:rsidRDefault="00FD64A2" w:rsidP="00F442BB">
      <w:pPr>
        <w:rPr>
          <w:rFonts w:ascii="Arial" w:hAnsi="Arial" w:cs="Arial"/>
          <w:sz w:val="22"/>
          <w:szCs w:val="22"/>
        </w:rPr>
      </w:pPr>
    </w:p>
    <w:p w14:paraId="36C04DF4" w14:textId="77777777" w:rsidR="00F442BB" w:rsidRPr="00BA4BDF" w:rsidRDefault="00F442BB" w:rsidP="00186495">
      <w:pPr>
        <w:rPr>
          <w:rFonts w:ascii="Arial" w:hAnsi="Arial" w:cs="Arial"/>
          <w:b/>
          <w:bCs/>
          <w:sz w:val="22"/>
          <w:szCs w:val="22"/>
        </w:rPr>
      </w:pPr>
    </w:p>
    <w:tbl>
      <w:tblPr>
        <w:tblStyle w:val="TableGrid"/>
        <w:tblW w:w="0" w:type="auto"/>
        <w:tblLook w:val="04A0" w:firstRow="1" w:lastRow="0" w:firstColumn="1" w:lastColumn="0" w:noHBand="0" w:noVBand="1"/>
      </w:tblPr>
      <w:tblGrid>
        <w:gridCol w:w="4508"/>
        <w:gridCol w:w="4508"/>
      </w:tblGrid>
      <w:tr w:rsidR="00AB3A4E" w:rsidRPr="00BA4BDF" w14:paraId="5BB5C8D4" w14:textId="77777777" w:rsidTr="00AB3A4E">
        <w:tc>
          <w:tcPr>
            <w:tcW w:w="4508" w:type="dxa"/>
          </w:tcPr>
          <w:p w14:paraId="233A72A3" w14:textId="5A5E2816" w:rsidR="00AB3A4E" w:rsidRPr="00BA4BDF" w:rsidRDefault="009D0974" w:rsidP="00A92CAB">
            <w:pPr>
              <w:rPr>
                <w:rFonts w:ascii="Arial" w:hAnsi="Arial" w:cs="Arial"/>
                <w:b/>
                <w:bCs/>
                <w:sz w:val="22"/>
                <w:szCs w:val="22"/>
              </w:rPr>
            </w:pPr>
            <w:r w:rsidRPr="00BA4BDF">
              <w:rPr>
                <w:rFonts w:ascii="Arial" w:hAnsi="Arial" w:cs="Arial"/>
                <w:b/>
                <w:bCs/>
                <w:sz w:val="22"/>
                <w:szCs w:val="22"/>
              </w:rPr>
              <w:t>Stakeholder</w:t>
            </w:r>
          </w:p>
        </w:tc>
        <w:tc>
          <w:tcPr>
            <w:tcW w:w="4508" w:type="dxa"/>
          </w:tcPr>
          <w:p w14:paraId="144CA72B" w14:textId="0CEE73F4" w:rsidR="00AB3A4E" w:rsidRPr="00BA4BDF" w:rsidRDefault="009D0974" w:rsidP="00A92CAB">
            <w:pPr>
              <w:rPr>
                <w:rFonts w:ascii="Arial" w:hAnsi="Arial" w:cs="Arial"/>
                <w:b/>
                <w:bCs/>
                <w:sz w:val="22"/>
                <w:szCs w:val="22"/>
              </w:rPr>
            </w:pPr>
            <w:r w:rsidRPr="00BA4BDF">
              <w:rPr>
                <w:rFonts w:ascii="Arial" w:hAnsi="Arial" w:cs="Arial"/>
                <w:b/>
                <w:bCs/>
                <w:sz w:val="22"/>
                <w:szCs w:val="22"/>
              </w:rPr>
              <w:t>Engagement Strategy</w:t>
            </w:r>
          </w:p>
        </w:tc>
      </w:tr>
      <w:tr w:rsidR="00AB3A4E" w:rsidRPr="00BA4BDF" w14:paraId="1BFE706C" w14:textId="77777777" w:rsidTr="00AB3A4E">
        <w:tc>
          <w:tcPr>
            <w:tcW w:w="4508" w:type="dxa"/>
          </w:tcPr>
          <w:p w14:paraId="67E64D4C" w14:textId="39BEAA6D" w:rsidR="00AB3A4E" w:rsidRPr="00BA4BDF" w:rsidRDefault="00625C23" w:rsidP="00A92CAB">
            <w:pPr>
              <w:rPr>
                <w:rFonts w:ascii="Arial" w:hAnsi="Arial" w:cs="Arial"/>
                <w:sz w:val="22"/>
                <w:szCs w:val="22"/>
              </w:rPr>
            </w:pPr>
            <w:r w:rsidRPr="00BA4BDF">
              <w:rPr>
                <w:rFonts w:ascii="Arial" w:hAnsi="Arial" w:cs="Arial"/>
                <w:sz w:val="22"/>
                <w:szCs w:val="22"/>
              </w:rPr>
              <w:t>Stakeholder</w:t>
            </w:r>
          </w:p>
        </w:tc>
        <w:tc>
          <w:tcPr>
            <w:tcW w:w="4508" w:type="dxa"/>
          </w:tcPr>
          <w:p w14:paraId="0930461D" w14:textId="41DB3631" w:rsidR="00AB3A4E" w:rsidRPr="00BA4BDF" w:rsidRDefault="00625C23" w:rsidP="00A92CAB">
            <w:pPr>
              <w:rPr>
                <w:rFonts w:ascii="Arial" w:hAnsi="Arial" w:cs="Arial"/>
                <w:sz w:val="22"/>
                <w:szCs w:val="22"/>
              </w:rPr>
            </w:pPr>
            <w:r w:rsidRPr="00BA4BDF">
              <w:rPr>
                <w:rFonts w:ascii="Arial" w:hAnsi="Arial" w:cs="Arial"/>
                <w:sz w:val="22"/>
                <w:szCs w:val="22"/>
              </w:rPr>
              <w:t xml:space="preserve">Investor briefings and </w:t>
            </w:r>
            <w:r w:rsidR="006B2471" w:rsidRPr="00BA4BDF">
              <w:rPr>
                <w:rFonts w:ascii="Arial" w:hAnsi="Arial" w:cs="Arial"/>
                <w:sz w:val="22"/>
                <w:szCs w:val="22"/>
              </w:rPr>
              <w:t>performance updates</w:t>
            </w:r>
          </w:p>
        </w:tc>
      </w:tr>
      <w:tr w:rsidR="00AB3A4E" w:rsidRPr="00BA4BDF" w14:paraId="3FC8DBB4" w14:textId="77777777" w:rsidTr="00AB3A4E">
        <w:tc>
          <w:tcPr>
            <w:tcW w:w="4508" w:type="dxa"/>
          </w:tcPr>
          <w:p w14:paraId="0B2BA752" w14:textId="3D755205" w:rsidR="00AB3A4E" w:rsidRPr="00BA4BDF" w:rsidRDefault="006B2471" w:rsidP="00A92CAB">
            <w:pPr>
              <w:rPr>
                <w:rFonts w:ascii="Arial" w:hAnsi="Arial" w:cs="Arial"/>
                <w:sz w:val="22"/>
                <w:szCs w:val="22"/>
              </w:rPr>
            </w:pPr>
            <w:r w:rsidRPr="00BA4BDF">
              <w:rPr>
                <w:rFonts w:ascii="Arial" w:hAnsi="Arial" w:cs="Arial"/>
                <w:sz w:val="22"/>
                <w:szCs w:val="22"/>
              </w:rPr>
              <w:t>Regulators</w:t>
            </w:r>
          </w:p>
        </w:tc>
        <w:tc>
          <w:tcPr>
            <w:tcW w:w="4508" w:type="dxa"/>
          </w:tcPr>
          <w:p w14:paraId="24BE9E3A" w14:textId="56A6EC6E" w:rsidR="00AB3A4E" w:rsidRPr="00BA4BDF" w:rsidRDefault="006B2471" w:rsidP="00A92CAB">
            <w:pPr>
              <w:rPr>
                <w:rFonts w:ascii="Arial" w:hAnsi="Arial" w:cs="Arial"/>
                <w:sz w:val="22"/>
                <w:szCs w:val="22"/>
              </w:rPr>
            </w:pPr>
            <w:r w:rsidRPr="00BA4BDF">
              <w:rPr>
                <w:rFonts w:ascii="Arial" w:hAnsi="Arial" w:cs="Arial"/>
                <w:sz w:val="22"/>
                <w:szCs w:val="22"/>
              </w:rPr>
              <w:t>Compliance reporting and consultation</w:t>
            </w:r>
          </w:p>
        </w:tc>
      </w:tr>
      <w:tr w:rsidR="00AB3A4E" w:rsidRPr="00BA4BDF" w14:paraId="67FE4EC4" w14:textId="77777777" w:rsidTr="00AB3A4E">
        <w:tc>
          <w:tcPr>
            <w:tcW w:w="4508" w:type="dxa"/>
          </w:tcPr>
          <w:p w14:paraId="17A170EB" w14:textId="2382B9F3" w:rsidR="00AB3A4E" w:rsidRPr="00BA4BDF" w:rsidRDefault="006B2471" w:rsidP="00A92CAB">
            <w:pPr>
              <w:rPr>
                <w:rFonts w:ascii="Arial" w:hAnsi="Arial" w:cs="Arial"/>
                <w:sz w:val="22"/>
                <w:szCs w:val="22"/>
              </w:rPr>
            </w:pPr>
            <w:r w:rsidRPr="00BA4BDF">
              <w:rPr>
                <w:rFonts w:ascii="Arial" w:hAnsi="Arial" w:cs="Arial"/>
                <w:sz w:val="22"/>
                <w:szCs w:val="22"/>
              </w:rPr>
              <w:t>Customers</w:t>
            </w:r>
          </w:p>
        </w:tc>
        <w:tc>
          <w:tcPr>
            <w:tcW w:w="4508" w:type="dxa"/>
          </w:tcPr>
          <w:p w14:paraId="2775A9C2" w14:textId="1F1A5611" w:rsidR="00AB3A4E" w:rsidRPr="00BA4BDF" w:rsidRDefault="007B2928" w:rsidP="00A92CAB">
            <w:pPr>
              <w:rPr>
                <w:rFonts w:ascii="Arial" w:hAnsi="Arial" w:cs="Arial"/>
                <w:sz w:val="22"/>
                <w:szCs w:val="22"/>
              </w:rPr>
            </w:pPr>
            <w:r w:rsidRPr="00BA4BDF">
              <w:rPr>
                <w:rFonts w:ascii="Arial" w:hAnsi="Arial" w:cs="Arial"/>
                <w:sz w:val="22"/>
                <w:szCs w:val="22"/>
              </w:rPr>
              <w:t>Digital communication and feedback surveys</w:t>
            </w:r>
          </w:p>
        </w:tc>
      </w:tr>
      <w:tr w:rsidR="00AB3A4E" w:rsidRPr="00BA4BDF" w14:paraId="6F4C7349" w14:textId="77777777" w:rsidTr="00AB3A4E">
        <w:tc>
          <w:tcPr>
            <w:tcW w:w="4508" w:type="dxa"/>
          </w:tcPr>
          <w:p w14:paraId="2220A67F" w14:textId="28075242" w:rsidR="00AB3A4E" w:rsidRPr="00BA4BDF" w:rsidRDefault="00D102D7" w:rsidP="00A92CAB">
            <w:pPr>
              <w:rPr>
                <w:rFonts w:ascii="Arial" w:hAnsi="Arial" w:cs="Arial"/>
                <w:sz w:val="22"/>
                <w:szCs w:val="22"/>
              </w:rPr>
            </w:pPr>
            <w:r w:rsidRPr="00BA4BDF">
              <w:rPr>
                <w:rFonts w:ascii="Arial" w:hAnsi="Arial" w:cs="Arial"/>
                <w:sz w:val="22"/>
                <w:szCs w:val="22"/>
              </w:rPr>
              <w:t>Employees</w:t>
            </w:r>
          </w:p>
        </w:tc>
        <w:tc>
          <w:tcPr>
            <w:tcW w:w="4508" w:type="dxa"/>
          </w:tcPr>
          <w:p w14:paraId="59A02230" w14:textId="6F5BCE91" w:rsidR="00AB3A4E" w:rsidRPr="00BA4BDF" w:rsidRDefault="00D102D7" w:rsidP="00A92CAB">
            <w:pPr>
              <w:rPr>
                <w:rFonts w:ascii="Arial" w:hAnsi="Arial" w:cs="Arial"/>
                <w:sz w:val="22"/>
                <w:szCs w:val="22"/>
              </w:rPr>
            </w:pPr>
            <w:r w:rsidRPr="00BA4BDF">
              <w:rPr>
                <w:rFonts w:ascii="Arial" w:hAnsi="Arial" w:cs="Arial"/>
                <w:sz w:val="22"/>
                <w:szCs w:val="22"/>
              </w:rPr>
              <w:t>Training and change management programmes</w:t>
            </w:r>
          </w:p>
        </w:tc>
      </w:tr>
      <w:tr w:rsidR="00AB3A4E" w:rsidRPr="00BA4BDF" w14:paraId="681123C6" w14:textId="77777777" w:rsidTr="00AB3A4E">
        <w:tc>
          <w:tcPr>
            <w:tcW w:w="4508" w:type="dxa"/>
          </w:tcPr>
          <w:p w14:paraId="62EFAE47" w14:textId="43DEBE4D" w:rsidR="00AB3A4E" w:rsidRPr="00BA4BDF" w:rsidRDefault="00321505" w:rsidP="00A92CAB">
            <w:pPr>
              <w:rPr>
                <w:rFonts w:ascii="Arial" w:hAnsi="Arial" w:cs="Arial"/>
                <w:sz w:val="22"/>
                <w:szCs w:val="22"/>
              </w:rPr>
            </w:pPr>
            <w:r w:rsidRPr="00BA4BDF">
              <w:rPr>
                <w:rFonts w:ascii="Arial" w:hAnsi="Arial" w:cs="Arial"/>
                <w:sz w:val="22"/>
                <w:szCs w:val="22"/>
              </w:rPr>
              <w:t>Suppliers</w:t>
            </w:r>
          </w:p>
        </w:tc>
        <w:tc>
          <w:tcPr>
            <w:tcW w:w="4508" w:type="dxa"/>
          </w:tcPr>
          <w:p w14:paraId="1FFDD640" w14:textId="497052C6" w:rsidR="00AB3A4E" w:rsidRPr="00BA4BDF" w:rsidRDefault="00321505" w:rsidP="00A92CAB">
            <w:pPr>
              <w:rPr>
                <w:rFonts w:ascii="Arial" w:hAnsi="Arial" w:cs="Arial"/>
                <w:sz w:val="22"/>
                <w:szCs w:val="22"/>
              </w:rPr>
            </w:pPr>
            <w:r w:rsidRPr="00BA4BDF">
              <w:rPr>
                <w:rFonts w:ascii="Arial" w:hAnsi="Arial" w:cs="Arial"/>
                <w:sz w:val="22"/>
                <w:szCs w:val="22"/>
              </w:rPr>
              <w:t>Regular partnership meetings</w:t>
            </w:r>
          </w:p>
        </w:tc>
      </w:tr>
    </w:tbl>
    <w:p w14:paraId="7D108101" w14:textId="77777777" w:rsidR="001E21CC" w:rsidRPr="00BA4BDF" w:rsidRDefault="001E21CC" w:rsidP="00A92CAB">
      <w:pPr>
        <w:rPr>
          <w:rFonts w:ascii="Arial" w:hAnsi="Arial" w:cs="Arial"/>
          <w:sz w:val="22"/>
          <w:szCs w:val="22"/>
        </w:rPr>
      </w:pPr>
    </w:p>
    <w:p w14:paraId="2E6DFAA3" w14:textId="14DC5D65" w:rsidR="00A92CAB" w:rsidRPr="00BA4BDF" w:rsidRDefault="006F0FB6" w:rsidP="00B13760">
      <w:pPr>
        <w:rPr>
          <w:rFonts w:ascii="Arial" w:hAnsi="Arial" w:cs="Arial"/>
          <w:sz w:val="22"/>
          <w:szCs w:val="22"/>
        </w:rPr>
      </w:pPr>
      <w:r w:rsidRPr="00BA4BDF">
        <w:rPr>
          <w:rFonts w:ascii="Arial" w:hAnsi="Arial" w:cs="Arial"/>
          <w:sz w:val="22"/>
          <w:szCs w:val="22"/>
        </w:rPr>
        <w:t>Effective stakeholder engagement will reduce resistance to change and improve the likelihood of successful strategy implementation</w:t>
      </w:r>
      <w:r w:rsidR="008124D2" w:rsidRPr="00BA4BDF">
        <w:rPr>
          <w:rFonts w:ascii="Arial" w:hAnsi="Arial" w:cs="Arial"/>
          <w:sz w:val="22"/>
          <w:szCs w:val="22"/>
        </w:rPr>
        <w:t>.</w:t>
      </w:r>
    </w:p>
    <w:p w14:paraId="0A6888E2" w14:textId="77777777" w:rsidR="008124D2" w:rsidRDefault="008124D2" w:rsidP="00B13760">
      <w:pPr>
        <w:rPr>
          <w:rFonts w:ascii="Arial" w:hAnsi="Arial" w:cs="Arial"/>
          <w:sz w:val="22"/>
          <w:szCs w:val="22"/>
        </w:rPr>
      </w:pPr>
    </w:p>
    <w:p w14:paraId="7071C1C5" w14:textId="77777777" w:rsidR="00D4501B" w:rsidRDefault="00D4501B" w:rsidP="00B13760">
      <w:pPr>
        <w:rPr>
          <w:rFonts w:ascii="Arial" w:hAnsi="Arial" w:cs="Arial"/>
          <w:sz w:val="22"/>
          <w:szCs w:val="22"/>
        </w:rPr>
      </w:pPr>
    </w:p>
    <w:p w14:paraId="0D8FACA9" w14:textId="77777777" w:rsidR="00D4501B" w:rsidRDefault="00D4501B" w:rsidP="00B13760">
      <w:pPr>
        <w:rPr>
          <w:rFonts w:ascii="Arial" w:hAnsi="Arial" w:cs="Arial"/>
          <w:sz w:val="22"/>
          <w:szCs w:val="22"/>
        </w:rPr>
      </w:pPr>
    </w:p>
    <w:p w14:paraId="63E25132" w14:textId="77777777" w:rsidR="00D4501B" w:rsidRDefault="00D4501B" w:rsidP="00B13760">
      <w:pPr>
        <w:rPr>
          <w:rFonts w:ascii="Arial" w:hAnsi="Arial" w:cs="Arial"/>
          <w:sz w:val="22"/>
          <w:szCs w:val="22"/>
        </w:rPr>
      </w:pPr>
    </w:p>
    <w:p w14:paraId="630DFF5B" w14:textId="77777777" w:rsidR="00D4501B" w:rsidRPr="00BA4BDF" w:rsidRDefault="00D4501B" w:rsidP="00B13760">
      <w:pPr>
        <w:rPr>
          <w:rFonts w:ascii="Arial" w:hAnsi="Arial" w:cs="Arial"/>
          <w:sz w:val="22"/>
          <w:szCs w:val="22"/>
        </w:rPr>
      </w:pPr>
    </w:p>
    <w:p w14:paraId="1850D247" w14:textId="3378B4FC" w:rsidR="008124D2" w:rsidRPr="00BA4BDF" w:rsidRDefault="008124D2" w:rsidP="00B118A9">
      <w:pPr>
        <w:pStyle w:val="Heading1"/>
        <w:rPr>
          <w:rFonts w:ascii="Arial" w:hAnsi="Arial" w:cs="Arial"/>
          <w:sz w:val="22"/>
          <w:szCs w:val="22"/>
        </w:rPr>
      </w:pPr>
      <w:bookmarkStart w:id="6" w:name="_Toc234763976"/>
      <w:r w:rsidRPr="00BA4BDF">
        <w:rPr>
          <w:rFonts w:ascii="Arial" w:hAnsi="Arial" w:cs="Arial"/>
          <w:sz w:val="22"/>
          <w:szCs w:val="22"/>
        </w:rPr>
        <w:lastRenderedPageBreak/>
        <w:t>Implementation and Monitoring</w:t>
      </w:r>
      <w:bookmarkEnd w:id="6"/>
      <w:r w:rsidRPr="00BA4BDF">
        <w:rPr>
          <w:rFonts w:ascii="Arial" w:hAnsi="Arial" w:cs="Arial"/>
          <w:sz w:val="22"/>
          <w:szCs w:val="22"/>
        </w:rPr>
        <w:t xml:space="preserve"> </w:t>
      </w:r>
    </w:p>
    <w:p w14:paraId="6F9FA097" w14:textId="77777777" w:rsidR="008124D2" w:rsidRPr="00BA4BDF" w:rsidRDefault="008124D2" w:rsidP="008124D2">
      <w:pPr>
        <w:rPr>
          <w:rFonts w:ascii="Arial" w:hAnsi="Arial" w:cs="Arial"/>
          <w:sz w:val="22"/>
          <w:szCs w:val="22"/>
        </w:rPr>
      </w:pPr>
      <w:r w:rsidRPr="00BA4BDF">
        <w:rPr>
          <w:rFonts w:ascii="Arial" w:hAnsi="Arial" w:cs="Arial"/>
          <w:sz w:val="22"/>
          <w:szCs w:val="22"/>
        </w:rPr>
        <w:t>Successful implementation requires clear objectives, measurable KPIs and regular performance monitoring (Johnson et al., 2023).</w:t>
      </w:r>
    </w:p>
    <w:p w14:paraId="3AA93964" w14:textId="33A60685" w:rsidR="00B63D39" w:rsidRPr="00BA4BDF" w:rsidRDefault="008124D2" w:rsidP="008124D2">
      <w:pPr>
        <w:rPr>
          <w:rFonts w:ascii="Arial" w:hAnsi="Arial" w:cs="Arial"/>
          <w:sz w:val="22"/>
          <w:szCs w:val="22"/>
        </w:rPr>
      </w:pPr>
      <w:r w:rsidRPr="00BA4BDF">
        <w:rPr>
          <w:rFonts w:ascii="Arial" w:hAnsi="Arial" w:cs="Arial"/>
          <w:sz w:val="22"/>
          <w:szCs w:val="22"/>
        </w:rPr>
        <w:t>Vodafone</w:t>
      </w:r>
      <w:r w:rsidR="007E3932" w:rsidRPr="00BA4BDF">
        <w:rPr>
          <w:rFonts w:ascii="Arial" w:hAnsi="Arial" w:cs="Arial"/>
          <w:sz w:val="22"/>
          <w:szCs w:val="22"/>
        </w:rPr>
        <w:t xml:space="preserve"> Three’</w:t>
      </w:r>
      <w:r w:rsidRPr="00BA4BDF">
        <w:rPr>
          <w:rFonts w:ascii="Arial" w:hAnsi="Arial" w:cs="Arial"/>
          <w:sz w:val="22"/>
          <w:szCs w:val="22"/>
        </w:rPr>
        <w:t>s</w:t>
      </w:r>
      <w:r w:rsidR="00826BA6" w:rsidRPr="00BA4BDF">
        <w:rPr>
          <w:rFonts w:ascii="Arial" w:hAnsi="Arial" w:cs="Arial"/>
          <w:sz w:val="22"/>
          <w:szCs w:val="22"/>
        </w:rPr>
        <w:t xml:space="preserve"> should</w:t>
      </w:r>
      <w:r w:rsidR="00C13A1A" w:rsidRPr="00BA4BDF">
        <w:rPr>
          <w:rFonts w:ascii="Arial" w:hAnsi="Arial" w:cs="Arial"/>
          <w:sz w:val="22"/>
          <w:szCs w:val="22"/>
        </w:rPr>
        <w:t xml:space="preserve"> </w:t>
      </w:r>
      <w:r w:rsidR="00537174" w:rsidRPr="00BA4BDF">
        <w:rPr>
          <w:rFonts w:ascii="Arial" w:hAnsi="Arial" w:cs="Arial"/>
          <w:sz w:val="22"/>
          <w:szCs w:val="22"/>
        </w:rPr>
        <w:t>focus on four strategic priorities:</w:t>
      </w:r>
    </w:p>
    <w:p w14:paraId="41FACBFB" w14:textId="77777777" w:rsidR="00AF641A" w:rsidRPr="00BA4BDF" w:rsidRDefault="00AF641A" w:rsidP="008124D2">
      <w:pPr>
        <w:rPr>
          <w:rFonts w:ascii="Arial" w:hAnsi="Arial" w:cs="Arial"/>
          <w:sz w:val="22"/>
          <w:szCs w:val="22"/>
        </w:rPr>
      </w:pPr>
    </w:p>
    <w:tbl>
      <w:tblPr>
        <w:tblStyle w:val="TableGrid"/>
        <w:tblW w:w="0" w:type="auto"/>
        <w:tblLook w:val="04A0" w:firstRow="1" w:lastRow="0" w:firstColumn="1" w:lastColumn="0" w:noHBand="0" w:noVBand="1"/>
      </w:tblPr>
      <w:tblGrid>
        <w:gridCol w:w="3005"/>
        <w:gridCol w:w="3005"/>
        <w:gridCol w:w="3006"/>
      </w:tblGrid>
      <w:tr w:rsidR="00B63D39" w:rsidRPr="00BA4BDF" w14:paraId="26A4660D" w14:textId="77777777" w:rsidTr="00B63D39">
        <w:tc>
          <w:tcPr>
            <w:tcW w:w="3005" w:type="dxa"/>
          </w:tcPr>
          <w:p w14:paraId="4CAD9519" w14:textId="2378FB86" w:rsidR="00B63D39" w:rsidRPr="00BA4BDF" w:rsidRDefault="00834C7E" w:rsidP="008124D2">
            <w:pPr>
              <w:rPr>
                <w:rFonts w:ascii="Arial" w:hAnsi="Arial" w:cs="Arial"/>
                <w:b/>
                <w:bCs/>
                <w:sz w:val="22"/>
                <w:szCs w:val="22"/>
              </w:rPr>
            </w:pPr>
            <w:r w:rsidRPr="00BA4BDF">
              <w:rPr>
                <w:rFonts w:ascii="Arial" w:hAnsi="Arial" w:cs="Arial"/>
                <w:b/>
                <w:bCs/>
                <w:sz w:val="22"/>
                <w:szCs w:val="22"/>
              </w:rPr>
              <w:t>Objective</w:t>
            </w:r>
          </w:p>
        </w:tc>
        <w:tc>
          <w:tcPr>
            <w:tcW w:w="3005" w:type="dxa"/>
          </w:tcPr>
          <w:p w14:paraId="3A3DC2EA" w14:textId="2FA23009" w:rsidR="00B63D39" w:rsidRPr="00BA4BDF" w:rsidRDefault="00446E2D" w:rsidP="008124D2">
            <w:pPr>
              <w:rPr>
                <w:rFonts w:ascii="Arial" w:hAnsi="Arial" w:cs="Arial"/>
                <w:b/>
                <w:bCs/>
                <w:sz w:val="22"/>
                <w:szCs w:val="22"/>
              </w:rPr>
            </w:pPr>
            <w:r w:rsidRPr="00BA4BDF">
              <w:rPr>
                <w:rFonts w:ascii="Arial" w:hAnsi="Arial" w:cs="Arial"/>
                <w:b/>
                <w:bCs/>
                <w:sz w:val="22"/>
                <w:szCs w:val="22"/>
              </w:rPr>
              <w:t>Key Action</w:t>
            </w:r>
          </w:p>
        </w:tc>
        <w:tc>
          <w:tcPr>
            <w:tcW w:w="3006" w:type="dxa"/>
          </w:tcPr>
          <w:p w14:paraId="6E6B54E2" w14:textId="310C869E" w:rsidR="00B63D39" w:rsidRPr="00BA4BDF" w:rsidRDefault="00446E2D" w:rsidP="008124D2">
            <w:pPr>
              <w:rPr>
                <w:rFonts w:ascii="Arial" w:hAnsi="Arial" w:cs="Arial"/>
                <w:b/>
                <w:bCs/>
                <w:sz w:val="22"/>
                <w:szCs w:val="22"/>
              </w:rPr>
            </w:pPr>
            <w:r w:rsidRPr="00BA4BDF">
              <w:rPr>
                <w:rFonts w:ascii="Arial" w:hAnsi="Arial" w:cs="Arial"/>
                <w:b/>
                <w:bCs/>
                <w:sz w:val="22"/>
                <w:szCs w:val="22"/>
              </w:rPr>
              <w:t>KPI</w:t>
            </w:r>
          </w:p>
        </w:tc>
      </w:tr>
      <w:tr w:rsidR="00B63D39" w:rsidRPr="00BA4BDF" w14:paraId="5F8C531A" w14:textId="77777777" w:rsidTr="00B63D39">
        <w:tc>
          <w:tcPr>
            <w:tcW w:w="3005" w:type="dxa"/>
          </w:tcPr>
          <w:p w14:paraId="0BEBD59F" w14:textId="51D5A306" w:rsidR="00B63D39" w:rsidRPr="00BA4BDF" w:rsidRDefault="00A8716E" w:rsidP="008124D2">
            <w:pPr>
              <w:rPr>
                <w:rFonts w:ascii="Arial" w:hAnsi="Arial" w:cs="Arial"/>
                <w:sz w:val="22"/>
                <w:szCs w:val="22"/>
              </w:rPr>
            </w:pPr>
            <w:r w:rsidRPr="00BA4BDF">
              <w:rPr>
                <w:rFonts w:ascii="Arial" w:hAnsi="Arial" w:cs="Arial"/>
                <w:sz w:val="22"/>
                <w:szCs w:val="22"/>
              </w:rPr>
              <w:t>Expand standalone 5G coverage</w:t>
            </w:r>
          </w:p>
        </w:tc>
        <w:tc>
          <w:tcPr>
            <w:tcW w:w="3005" w:type="dxa"/>
          </w:tcPr>
          <w:p w14:paraId="716EE084" w14:textId="260E810F" w:rsidR="00B63D39" w:rsidRPr="00BA4BDF" w:rsidRDefault="000D72F6" w:rsidP="008124D2">
            <w:pPr>
              <w:rPr>
                <w:rFonts w:ascii="Arial" w:hAnsi="Arial" w:cs="Arial"/>
                <w:sz w:val="22"/>
                <w:szCs w:val="22"/>
              </w:rPr>
            </w:pPr>
            <w:r w:rsidRPr="00BA4BDF">
              <w:rPr>
                <w:rFonts w:ascii="Arial" w:hAnsi="Arial" w:cs="Arial"/>
                <w:sz w:val="22"/>
                <w:szCs w:val="22"/>
              </w:rPr>
              <w:t>Continue network investment</w:t>
            </w:r>
          </w:p>
        </w:tc>
        <w:tc>
          <w:tcPr>
            <w:tcW w:w="3006" w:type="dxa"/>
          </w:tcPr>
          <w:p w14:paraId="45A82B27" w14:textId="6FBEE0CF" w:rsidR="00B63D39" w:rsidRPr="00BA4BDF" w:rsidRDefault="00A94DB6" w:rsidP="008124D2">
            <w:pPr>
              <w:rPr>
                <w:rFonts w:ascii="Arial" w:hAnsi="Arial" w:cs="Arial"/>
                <w:sz w:val="22"/>
                <w:szCs w:val="22"/>
              </w:rPr>
            </w:pPr>
            <w:r w:rsidRPr="00BA4BDF">
              <w:rPr>
                <w:rFonts w:ascii="Arial" w:hAnsi="Arial" w:cs="Arial"/>
                <w:sz w:val="22"/>
                <w:szCs w:val="22"/>
              </w:rPr>
              <w:t>95% UK population</w:t>
            </w:r>
            <w:r w:rsidR="00DE689C" w:rsidRPr="00BA4BDF">
              <w:rPr>
                <w:rFonts w:ascii="Arial" w:hAnsi="Arial" w:cs="Arial"/>
                <w:sz w:val="22"/>
                <w:szCs w:val="22"/>
              </w:rPr>
              <w:t xml:space="preserve"> coverage by 2030</w:t>
            </w:r>
          </w:p>
        </w:tc>
      </w:tr>
      <w:tr w:rsidR="00B63D39" w:rsidRPr="00BA4BDF" w14:paraId="2151CDAA" w14:textId="77777777" w:rsidTr="00B63D39">
        <w:tc>
          <w:tcPr>
            <w:tcW w:w="3005" w:type="dxa"/>
          </w:tcPr>
          <w:p w14:paraId="255D07C7" w14:textId="29BAA847" w:rsidR="00B63D39" w:rsidRPr="00BA4BDF" w:rsidRDefault="00270364" w:rsidP="008124D2">
            <w:pPr>
              <w:rPr>
                <w:rFonts w:ascii="Arial" w:hAnsi="Arial" w:cs="Arial"/>
                <w:sz w:val="22"/>
                <w:szCs w:val="22"/>
              </w:rPr>
            </w:pPr>
            <w:r w:rsidRPr="00BA4BDF">
              <w:rPr>
                <w:rFonts w:ascii="Arial" w:hAnsi="Arial" w:cs="Arial"/>
                <w:sz w:val="22"/>
                <w:szCs w:val="22"/>
              </w:rPr>
              <w:t>Increase enterprise digital services</w:t>
            </w:r>
          </w:p>
        </w:tc>
        <w:tc>
          <w:tcPr>
            <w:tcW w:w="3005" w:type="dxa"/>
          </w:tcPr>
          <w:p w14:paraId="7D003661" w14:textId="5FE1D4D3" w:rsidR="00B63D39" w:rsidRPr="00BA4BDF" w:rsidRDefault="00764268" w:rsidP="008124D2">
            <w:pPr>
              <w:rPr>
                <w:rFonts w:ascii="Arial" w:hAnsi="Arial" w:cs="Arial"/>
                <w:sz w:val="22"/>
                <w:szCs w:val="22"/>
              </w:rPr>
            </w:pPr>
            <w:r w:rsidRPr="00BA4BDF">
              <w:rPr>
                <w:rFonts w:ascii="Arial" w:hAnsi="Arial" w:cs="Arial"/>
                <w:sz w:val="22"/>
                <w:szCs w:val="22"/>
              </w:rPr>
              <w:t>Launch IoT and private 5G solutions</w:t>
            </w:r>
          </w:p>
        </w:tc>
        <w:tc>
          <w:tcPr>
            <w:tcW w:w="3006" w:type="dxa"/>
          </w:tcPr>
          <w:p w14:paraId="0C332652" w14:textId="3A9E64F9" w:rsidR="00B63D39" w:rsidRPr="00BA4BDF" w:rsidRDefault="00764268" w:rsidP="008124D2">
            <w:pPr>
              <w:rPr>
                <w:rFonts w:ascii="Arial" w:hAnsi="Arial" w:cs="Arial"/>
                <w:sz w:val="22"/>
                <w:szCs w:val="22"/>
              </w:rPr>
            </w:pPr>
            <w:r w:rsidRPr="00BA4BDF">
              <w:rPr>
                <w:rFonts w:ascii="Arial" w:hAnsi="Arial" w:cs="Arial"/>
                <w:sz w:val="22"/>
                <w:szCs w:val="22"/>
              </w:rPr>
              <w:t>25%</w:t>
            </w:r>
            <w:r w:rsidR="005C79B8" w:rsidRPr="00BA4BDF">
              <w:rPr>
                <w:rFonts w:ascii="Arial" w:hAnsi="Arial" w:cs="Arial"/>
                <w:sz w:val="22"/>
                <w:szCs w:val="22"/>
              </w:rPr>
              <w:t xml:space="preserve"> enterprise revenue growth by </w:t>
            </w:r>
            <w:r w:rsidR="00713D4E" w:rsidRPr="00BA4BDF">
              <w:rPr>
                <w:rFonts w:ascii="Arial" w:hAnsi="Arial" w:cs="Arial"/>
                <w:sz w:val="22"/>
                <w:szCs w:val="22"/>
              </w:rPr>
              <w:t>FY 2029</w:t>
            </w:r>
          </w:p>
        </w:tc>
      </w:tr>
      <w:tr w:rsidR="00B63D39" w:rsidRPr="00BA4BDF" w14:paraId="7B7E8905" w14:textId="77777777" w:rsidTr="00B63D39">
        <w:tc>
          <w:tcPr>
            <w:tcW w:w="3005" w:type="dxa"/>
          </w:tcPr>
          <w:p w14:paraId="5A4BBD3C" w14:textId="55462D2C" w:rsidR="00B63D39" w:rsidRPr="00BA4BDF" w:rsidRDefault="00713D4E" w:rsidP="008124D2">
            <w:pPr>
              <w:rPr>
                <w:rFonts w:ascii="Arial" w:hAnsi="Arial" w:cs="Arial"/>
                <w:sz w:val="22"/>
                <w:szCs w:val="22"/>
              </w:rPr>
            </w:pPr>
            <w:r w:rsidRPr="00BA4BDF">
              <w:rPr>
                <w:rFonts w:ascii="Arial" w:hAnsi="Arial" w:cs="Arial"/>
                <w:sz w:val="22"/>
                <w:szCs w:val="22"/>
              </w:rPr>
              <w:t>Develop workforce capabilities</w:t>
            </w:r>
          </w:p>
        </w:tc>
        <w:tc>
          <w:tcPr>
            <w:tcW w:w="3005" w:type="dxa"/>
          </w:tcPr>
          <w:p w14:paraId="26A795C4" w14:textId="1860B6E9" w:rsidR="00B63D39" w:rsidRPr="00BA4BDF" w:rsidRDefault="00C5441B" w:rsidP="008124D2">
            <w:pPr>
              <w:rPr>
                <w:rFonts w:ascii="Arial" w:hAnsi="Arial" w:cs="Arial"/>
                <w:sz w:val="22"/>
                <w:szCs w:val="22"/>
              </w:rPr>
            </w:pPr>
            <w:r w:rsidRPr="00BA4BDF">
              <w:rPr>
                <w:rFonts w:ascii="Arial" w:hAnsi="Arial" w:cs="Arial"/>
                <w:sz w:val="22"/>
                <w:szCs w:val="22"/>
              </w:rPr>
              <w:t>Deliver digital skills training</w:t>
            </w:r>
          </w:p>
        </w:tc>
        <w:tc>
          <w:tcPr>
            <w:tcW w:w="3006" w:type="dxa"/>
          </w:tcPr>
          <w:p w14:paraId="06295A6C" w14:textId="04ACDA9C" w:rsidR="00B63D39" w:rsidRPr="00BA4BDF" w:rsidRDefault="00C5441B" w:rsidP="008124D2">
            <w:pPr>
              <w:rPr>
                <w:rFonts w:ascii="Arial" w:hAnsi="Arial" w:cs="Arial"/>
                <w:sz w:val="22"/>
                <w:szCs w:val="22"/>
              </w:rPr>
            </w:pPr>
            <w:r w:rsidRPr="00BA4BDF">
              <w:rPr>
                <w:rFonts w:ascii="Arial" w:hAnsi="Arial" w:cs="Arial"/>
                <w:sz w:val="22"/>
                <w:szCs w:val="22"/>
              </w:rPr>
              <w:t xml:space="preserve">90% </w:t>
            </w:r>
            <w:r w:rsidR="00E14013" w:rsidRPr="00BA4BDF">
              <w:rPr>
                <w:rFonts w:ascii="Arial" w:hAnsi="Arial" w:cs="Arial"/>
                <w:sz w:val="22"/>
                <w:szCs w:val="22"/>
              </w:rPr>
              <w:t>employee training completion</w:t>
            </w:r>
          </w:p>
        </w:tc>
      </w:tr>
      <w:tr w:rsidR="00B63D39" w:rsidRPr="00BA4BDF" w14:paraId="34CA8781" w14:textId="77777777" w:rsidTr="00B63D39">
        <w:tc>
          <w:tcPr>
            <w:tcW w:w="3005" w:type="dxa"/>
          </w:tcPr>
          <w:p w14:paraId="405B6FF7" w14:textId="60B84241" w:rsidR="00B63D39" w:rsidRPr="00BA4BDF" w:rsidRDefault="00E14013" w:rsidP="008124D2">
            <w:pPr>
              <w:rPr>
                <w:rFonts w:ascii="Arial" w:hAnsi="Arial" w:cs="Arial"/>
                <w:sz w:val="22"/>
                <w:szCs w:val="22"/>
              </w:rPr>
            </w:pPr>
            <w:r w:rsidRPr="00BA4BDF">
              <w:rPr>
                <w:rFonts w:ascii="Arial" w:hAnsi="Arial" w:cs="Arial"/>
                <w:sz w:val="22"/>
                <w:szCs w:val="22"/>
              </w:rPr>
              <w:t>Improve customer experience</w:t>
            </w:r>
          </w:p>
        </w:tc>
        <w:tc>
          <w:tcPr>
            <w:tcW w:w="3005" w:type="dxa"/>
          </w:tcPr>
          <w:p w14:paraId="0EE326FB" w14:textId="7D1CCA0A" w:rsidR="00B63D39" w:rsidRPr="00BA4BDF" w:rsidRDefault="00E14013" w:rsidP="008124D2">
            <w:pPr>
              <w:rPr>
                <w:rFonts w:ascii="Arial" w:hAnsi="Arial" w:cs="Arial"/>
                <w:sz w:val="22"/>
                <w:szCs w:val="22"/>
              </w:rPr>
            </w:pPr>
            <w:r w:rsidRPr="00BA4BDF">
              <w:rPr>
                <w:rFonts w:ascii="Arial" w:hAnsi="Arial" w:cs="Arial"/>
                <w:sz w:val="22"/>
                <w:szCs w:val="22"/>
              </w:rPr>
              <w:t>Enhance digital services and customer</w:t>
            </w:r>
            <w:r w:rsidR="00901292" w:rsidRPr="00BA4BDF">
              <w:rPr>
                <w:rFonts w:ascii="Arial" w:hAnsi="Arial" w:cs="Arial"/>
                <w:sz w:val="22"/>
                <w:szCs w:val="22"/>
              </w:rPr>
              <w:t xml:space="preserve"> support</w:t>
            </w:r>
          </w:p>
        </w:tc>
        <w:tc>
          <w:tcPr>
            <w:tcW w:w="3006" w:type="dxa"/>
          </w:tcPr>
          <w:p w14:paraId="3B5B3344" w14:textId="7500A96B" w:rsidR="00B63D39" w:rsidRPr="00BA4BDF" w:rsidRDefault="00901292" w:rsidP="008124D2">
            <w:pPr>
              <w:rPr>
                <w:rFonts w:ascii="Arial" w:hAnsi="Arial" w:cs="Arial"/>
                <w:sz w:val="22"/>
                <w:szCs w:val="22"/>
              </w:rPr>
            </w:pPr>
            <w:r w:rsidRPr="00BA4BDF">
              <w:rPr>
                <w:rFonts w:ascii="Arial" w:hAnsi="Arial" w:cs="Arial"/>
                <w:sz w:val="22"/>
                <w:szCs w:val="22"/>
              </w:rPr>
              <w:t xml:space="preserve">15% increase in NPS and 10% reduction in </w:t>
            </w:r>
            <w:r w:rsidR="00214502" w:rsidRPr="00BA4BDF">
              <w:rPr>
                <w:rFonts w:ascii="Arial" w:hAnsi="Arial" w:cs="Arial"/>
                <w:sz w:val="22"/>
                <w:szCs w:val="22"/>
              </w:rPr>
              <w:t>churn</w:t>
            </w:r>
          </w:p>
        </w:tc>
      </w:tr>
    </w:tbl>
    <w:p w14:paraId="59E0C6E7" w14:textId="426FA5E1" w:rsidR="008124D2" w:rsidRPr="00BA4BDF" w:rsidRDefault="008124D2" w:rsidP="008124D2">
      <w:pPr>
        <w:rPr>
          <w:rFonts w:ascii="Arial" w:hAnsi="Arial" w:cs="Arial"/>
          <w:sz w:val="22"/>
          <w:szCs w:val="22"/>
        </w:rPr>
      </w:pPr>
      <w:r w:rsidRPr="00BA4BDF">
        <w:rPr>
          <w:rFonts w:ascii="Arial" w:hAnsi="Arial" w:cs="Arial"/>
          <w:sz w:val="22"/>
          <w:szCs w:val="22"/>
        </w:rPr>
        <w:t xml:space="preserve"> </w:t>
      </w:r>
    </w:p>
    <w:p w14:paraId="452F6BD0" w14:textId="77777777" w:rsidR="00214502" w:rsidRPr="00BA4BDF" w:rsidRDefault="00214502" w:rsidP="00214502">
      <w:pPr>
        <w:rPr>
          <w:rFonts w:ascii="Arial" w:hAnsi="Arial" w:cs="Arial"/>
          <w:sz w:val="22"/>
          <w:szCs w:val="22"/>
        </w:rPr>
      </w:pPr>
      <w:r w:rsidRPr="00BA4BDF">
        <w:rPr>
          <w:rFonts w:ascii="Arial" w:hAnsi="Arial" w:cs="Arial"/>
          <w:sz w:val="22"/>
          <w:szCs w:val="22"/>
        </w:rPr>
        <w:t>Performance should be reviewed quarterly using financial and non-financial indicators, including revenue growth, customer satisfaction, network performance and employee development. Annual strategic reviews should also assess whether changing market conditions require adjustments to the strategy.</w:t>
      </w:r>
    </w:p>
    <w:p w14:paraId="4747D9B0" w14:textId="47BE077C" w:rsidR="00214502" w:rsidRPr="00BA4BDF" w:rsidRDefault="00214502" w:rsidP="00214502">
      <w:pPr>
        <w:rPr>
          <w:rFonts w:ascii="Arial" w:hAnsi="Arial" w:cs="Arial"/>
          <w:sz w:val="22"/>
          <w:szCs w:val="22"/>
        </w:rPr>
      </w:pPr>
      <w:r w:rsidRPr="00BA4BDF">
        <w:rPr>
          <w:rFonts w:ascii="Arial" w:hAnsi="Arial" w:cs="Arial"/>
          <w:sz w:val="22"/>
          <w:szCs w:val="22"/>
        </w:rPr>
        <w:t>By combining clear objectives with continuous monitoring, Vodafone Three can improve implementation effectiveness and support</w:t>
      </w:r>
      <w:r w:rsidR="004D58D6" w:rsidRPr="00BA4BDF">
        <w:rPr>
          <w:rFonts w:ascii="Arial" w:hAnsi="Arial" w:cs="Arial"/>
          <w:sz w:val="22"/>
          <w:szCs w:val="22"/>
        </w:rPr>
        <w:t xml:space="preserve"> sustainable long-term growth.</w:t>
      </w:r>
    </w:p>
    <w:p w14:paraId="504D12EF" w14:textId="77777777" w:rsidR="00AC21D3" w:rsidRPr="00BA4BDF" w:rsidRDefault="00AC21D3" w:rsidP="00214502">
      <w:pPr>
        <w:rPr>
          <w:rFonts w:ascii="Arial" w:hAnsi="Arial" w:cs="Arial"/>
          <w:sz w:val="22"/>
          <w:szCs w:val="22"/>
        </w:rPr>
      </w:pPr>
    </w:p>
    <w:p w14:paraId="11BCB980" w14:textId="32684EAC" w:rsidR="00101ADD" w:rsidRPr="00BA4BDF" w:rsidRDefault="00101ADD" w:rsidP="00FB7A26">
      <w:pPr>
        <w:pStyle w:val="Heading1"/>
        <w:rPr>
          <w:rFonts w:ascii="Arial" w:hAnsi="Arial" w:cs="Arial"/>
          <w:sz w:val="22"/>
          <w:szCs w:val="22"/>
        </w:rPr>
      </w:pPr>
      <w:bookmarkStart w:id="7" w:name="_Toc234763977"/>
      <w:r w:rsidRPr="00BA4BDF">
        <w:rPr>
          <w:rFonts w:ascii="Arial" w:hAnsi="Arial" w:cs="Arial"/>
          <w:sz w:val="22"/>
          <w:szCs w:val="22"/>
        </w:rPr>
        <w:t>Conclusion</w:t>
      </w:r>
      <w:bookmarkEnd w:id="7"/>
      <w:r w:rsidRPr="00BA4BDF">
        <w:rPr>
          <w:rFonts w:ascii="Arial" w:hAnsi="Arial" w:cs="Arial"/>
          <w:sz w:val="22"/>
          <w:szCs w:val="22"/>
        </w:rPr>
        <w:t xml:space="preserve"> </w:t>
      </w:r>
    </w:p>
    <w:p w14:paraId="10252DFB" w14:textId="6D2C30F7" w:rsidR="00101ADD" w:rsidRPr="00BA4BDF" w:rsidRDefault="00101ADD" w:rsidP="00101ADD">
      <w:pPr>
        <w:rPr>
          <w:rFonts w:ascii="Arial" w:hAnsi="Arial" w:cs="Arial"/>
          <w:sz w:val="22"/>
          <w:szCs w:val="22"/>
        </w:rPr>
      </w:pPr>
      <w:r w:rsidRPr="00BA4BDF">
        <w:rPr>
          <w:rFonts w:ascii="Arial" w:hAnsi="Arial" w:cs="Arial"/>
          <w:sz w:val="22"/>
          <w:szCs w:val="22"/>
        </w:rPr>
        <w:t>The merger between Vodafone UK and Three UK has created significant opportunities for Vodafone Three to strengthen its competitive position within the UK telecommunications market. The environmental analysis demonstrated that while competition and regulatory pressures remain high, growth opportunities exist through 5G, AI, IoT and digital infrastructure.</w:t>
      </w:r>
    </w:p>
    <w:p w14:paraId="6E8DB77F" w14:textId="77777777" w:rsidR="00FE1AFE" w:rsidRPr="00BA4BDF" w:rsidRDefault="00FE1AFE" w:rsidP="00101ADD">
      <w:pPr>
        <w:rPr>
          <w:rFonts w:ascii="Arial" w:hAnsi="Arial" w:cs="Arial"/>
          <w:sz w:val="22"/>
          <w:szCs w:val="22"/>
        </w:rPr>
      </w:pPr>
    </w:p>
    <w:p w14:paraId="7AE6C520" w14:textId="77777777" w:rsidR="00FB7A26" w:rsidRPr="00BA4BDF" w:rsidRDefault="00FB7A26" w:rsidP="00101ADD">
      <w:pPr>
        <w:rPr>
          <w:rFonts w:ascii="Arial" w:hAnsi="Arial" w:cs="Arial"/>
          <w:sz w:val="22"/>
          <w:szCs w:val="22"/>
        </w:rPr>
      </w:pPr>
    </w:p>
    <w:p w14:paraId="6AE90AE8" w14:textId="77777777" w:rsidR="00FB7A26" w:rsidRPr="00BA4BDF" w:rsidRDefault="00FB7A26" w:rsidP="00101ADD">
      <w:pPr>
        <w:rPr>
          <w:rFonts w:ascii="Arial" w:hAnsi="Arial" w:cs="Arial"/>
          <w:sz w:val="22"/>
          <w:szCs w:val="22"/>
        </w:rPr>
      </w:pPr>
    </w:p>
    <w:p w14:paraId="027453C3" w14:textId="77777777" w:rsidR="00FB7A26" w:rsidRPr="00BA4BDF" w:rsidRDefault="00FB7A26" w:rsidP="00101ADD">
      <w:pPr>
        <w:rPr>
          <w:rFonts w:ascii="Arial" w:hAnsi="Arial" w:cs="Arial"/>
          <w:sz w:val="22"/>
          <w:szCs w:val="22"/>
        </w:rPr>
      </w:pPr>
    </w:p>
    <w:p w14:paraId="6EB2B3B1" w14:textId="77777777" w:rsidR="00FB7A26" w:rsidRPr="00BA4BDF" w:rsidRDefault="00FB7A26" w:rsidP="00101ADD">
      <w:pPr>
        <w:rPr>
          <w:rFonts w:ascii="Arial" w:hAnsi="Arial" w:cs="Arial"/>
          <w:sz w:val="22"/>
          <w:szCs w:val="22"/>
        </w:rPr>
      </w:pPr>
    </w:p>
    <w:p w14:paraId="3990B9BC" w14:textId="77777777" w:rsidR="00FB7A26" w:rsidRDefault="00FB7A26" w:rsidP="00101ADD">
      <w:pPr>
        <w:rPr>
          <w:rFonts w:ascii="Arial" w:hAnsi="Arial" w:cs="Arial"/>
          <w:sz w:val="22"/>
          <w:szCs w:val="22"/>
        </w:rPr>
      </w:pPr>
    </w:p>
    <w:p w14:paraId="7B7BBFB1" w14:textId="77777777" w:rsidR="00D4501B" w:rsidRDefault="00D4501B" w:rsidP="00101ADD">
      <w:pPr>
        <w:rPr>
          <w:rFonts w:ascii="Arial" w:hAnsi="Arial" w:cs="Arial"/>
          <w:sz w:val="22"/>
          <w:szCs w:val="22"/>
        </w:rPr>
      </w:pPr>
    </w:p>
    <w:p w14:paraId="260A9CF1" w14:textId="77777777" w:rsidR="00D4501B" w:rsidRPr="00BA4BDF" w:rsidRDefault="00D4501B" w:rsidP="00101ADD">
      <w:pPr>
        <w:rPr>
          <w:rFonts w:ascii="Arial" w:hAnsi="Arial" w:cs="Arial"/>
          <w:sz w:val="22"/>
          <w:szCs w:val="22"/>
        </w:rPr>
      </w:pPr>
    </w:p>
    <w:p w14:paraId="2DBC8D63" w14:textId="1743CD22" w:rsidR="00FE1AFE" w:rsidRPr="00BA4BDF" w:rsidRDefault="00D84E59" w:rsidP="00FB7A26">
      <w:pPr>
        <w:pStyle w:val="Heading1"/>
        <w:rPr>
          <w:rFonts w:ascii="Arial" w:hAnsi="Arial" w:cs="Arial"/>
          <w:sz w:val="22"/>
          <w:szCs w:val="22"/>
        </w:rPr>
      </w:pPr>
      <w:bookmarkStart w:id="8" w:name="_Toc234763978"/>
      <w:r w:rsidRPr="00BA4BDF">
        <w:rPr>
          <w:rFonts w:ascii="Arial" w:hAnsi="Arial" w:cs="Arial"/>
          <w:sz w:val="22"/>
          <w:szCs w:val="22"/>
        </w:rPr>
        <w:lastRenderedPageBreak/>
        <w:t>References</w:t>
      </w:r>
      <w:bookmarkEnd w:id="8"/>
    </w:p>
    <w:p w14:paraId="47E2E526" w14:textId="77777777" w:rsidR="000A0F3F" w:rsidRPr="00BA4BDF" w:rsidRDefault="000A0F3F" w:rsidP="00101ADD">
      <w:pPr>
        <w:rPr>
          <w:rFonts w:ascii="Arial" w:hAnsi="Arial" w:cs="Arial"/>
          <w:b/>
          <w:bCs/>
          <w:sz w:val="22"/>
          <w:szCs w:val="22"/>
        </w:rPr>
      </w:pPr>
    </w:p>
    <w:p w14:paraId="31549BC0" w14:textId="77777777" w:rsidR="00F12DEE" w:rsidRPr="00BA4BDF" w:rsidRDefault="00F12DEE" w:rsidP="00F12DEE">
      <w:pPr>
        <w:rPr>
          <w:rFonts w:ascii="Arial" w:hAnsi="Arial" w:cs="Arial"/>
          <w:sz w:val="22"/>
          <w:szCs w:val="22"/>
        </w:rPr>
      </w:pPr>
      <w:r w:rsidRPr="00BA4BDF">
        <w:rPr>
          <w:rFonts w:ascii="Arial" w:hAnsi="Arial" w:cs="Arial"/>
          <w:sz w:val="22"/>
          <w:szCs w:val="22"/>
        </w:rPr>
        <w:t xml:space="preserve">Ansoff, H.I. (1957) ‘Strategies for diversification’, </w:t>
      </w:r>
      <w:r w:rsidRPr="00BA4BDF">
        <w:rPr>
          <w:rFonts w:ascii="Arial" w:hAnsi="Arial" w:cs="Arial"/>
          <w:i/>
          <w:iCs/>
          <w:sz w:val="22"/>
          <w:szCs w:val="22"/>
        </w:rPr>
        <w:t>Harvard Business Review</w:t>
      </w:r>
      <w:r w:rsidRPr="00BA4BDF">
        <w:rPr>
          <w:rFonts w:ascii="Arial" w:hAnsi="Arial" w:cs="Arial"/>
          <w:sz w:val="22"/>
          <w:szCs w:val="22"/>
        </w:rPr>
        <w:t>, 35(5), pp. 113–124.</w:t>
      </w:r>
    </w:p>
    <w:p w14:paraId="15E7E84C" w14:textId="77777777" w:rsidR="00F12DEE" w:rsidRPr="00BA4BDF" w:rsidRDefault="00F12DEE" w:rsidP="00F12DEE">
      <w:pPr>
        <w:rPr>
          <w:rFonts w:ascii="Arial" w:hAnsi="Arial" w:cs="Arial"/>
          <w:sz w:val="22"/>
          <w:szCs w:val="22"/>
        </w:rPr>
      </w:pPr>
      <w:r w:rsidRPr="00BA4BDF">
        <w:rPr>
          <w:rFonts w:ascii="Arial" w:hAnsi="Arial" w:cs="Arial"/>
          <w:sz w:val="22"/>
          <w:szCs w:val="22"/>
        </w:rPr>
        <w:t xml:space="preserve">Barney, J.B. (1991) ‘Firm resources and sustained competitive advantage’, </w:t>
      </w:r>
      <w:r w:rsidRPr="00BA4BDF">
        <w:rPr>
          <w:rFonts w:ascii="Arial" w:hAnsi="Arial" w:cs="Arial"/>
          <w:i/>
          <w:iCs/>
          <w:sz w:val="22"/>
          <w:szCs w:val="22"/>
        </w:rPr>
        <w:t>Journal of Management</w:t>
      </w:r>
      <w:r w:rsidRPr="00BA4BDF">
        <w:rPr>
          <w:rFonts w:ascii="Arial" w:hAnsi="Arial" w:cs="Arial"/>
          <w:sz w:val="22"/>
          <w:szCs w:val="22"/>
        </w:rPr>
        <w:t>, 17(1), pp. 99–120.</w:t>
      </w:r>
    </w:p>
    <w:p w14:paraId="7CC77363" w14:textId="77777777" w:rsidR="00F12DEE" w:rsidRPr="00BA4BDF" w:rsidRDefault="00F12DEE" w:rsidP="00F12DEE">
      <w:pPr>
        <w:rPr>
          <w:rFonts w:ascii="Arial" w:hAnsi="Arial" w:cs="Arial"/>
          <w:sz w:val="22"/>
          <w:szCs w:val="22"/>
        </w:rPr>
      </w:pPr>
      <w:r w:rsidRPr="00BA4BDF">
        <w:rPr>
          <w:rFonts w:ascii="Arial" w:hAnsi="Arial" w:cs="Arial"/>
          <w:sz w:val="22"/>
          <w:szCs w:val="22"/>
        </w:rPr>
        <w:t xml:space="preserve">Cartwright, S. and Schoenberg, R. (2006) ‘Thirty years of mergers and acquisitions research: Recent advances and future opportunities’, </w:t>
      </w:r>
      <w:r w:rsidRPr="00BA4BDF">
        <w:rPr>
          <w:rFonts w:ascii="Arial" w:hAnsi="Arial" w:cs="Arial"/>
          <w:i/>
          <w:iCs/>
          <w:sz w:val="22"/>
          <w:szCs w:val="22"/>
        </w:rPr>
        <w:t>British Journal of Management</w:t>
      </w:r>
      <w:r w:rsidRPr="00BA4BDF">
        <w:rPr>
          <w:rFonts w:ascii="Arial" w:hAnsi="Arial" w:cs="Arial"/>
          <w:sz w:val="22"/>
          <w:szCs w:val="22"/>
        </w:rPr>
        <w:t>, 17(S1), pp. S1–S5.</w:t>
      </w:r>
    </w:p>
    <w:p w14:paraId="0AA29D9F" w14:textId="77777777" w:rsidR="00F12DEE" w:rsidRPr="00BA4BDF" w:rsidRDefault="00F12DEE" w:rsidP="00F12DEE">
      <w:pPr>
        <w:rPr>
          <w:rFonts w:ascii="Arial" w:hAnsi="Arial" w:cs="Arial"/>
          <w:sz w:val="22"/>
          <w:szCs w:val="22"/>
        </w:rPr>
      </w:pPr>
      <w:r w:rsidRPr="00BA4BDF">
        <w:rPr>
          <w:rFonts w:ascii="Arial" w:hAnsi="Arial" w:cs="Arial"/>
          <w:sz w:val="22"/>
          <w:szCs w:val="22"/>
        </w:rPr>
        <w:t xml:space="preserve">Competition and Markets Authority (2025) </w:t>
      </w:r>
      <w:r w:rsidRPr="00BA4BDF">
        <w:rPr>
          <w:rFonts w:ascii="Arial" w:hAnsi="Arial" w:cs="Arial"/>
          <w:i/>
          <w:iCs/>
          <w:sz w:val="22"/>
          <w:szCs w:val="22"/>
        </w:rPr>
        <w:t>How we investigated the Vodafone/Three merger</w:t>
      </w:r>
      <w:r w:rsidRPr="00BA4BDF">
        <w:rPr>
          <w:rFonts w:ascii="Arial" w:hAnsi="Arial" w:cs="Arial"/>
          <w:sz w:val="22"/>
          <w:szCs w:val="22"/>
        </w:rPr>
        <w:t>. Available at:</w:t>
      </w:r>
      <w:r w:rsidRPr="00BA4BDF">
        <w:rPr>
          <w:rFonts w:ascii="Arial" w:hAnsi="Arial" w:cs="Arial"/>
          <w:sz w:val="22"/>
          <w:szCs w:val="22"/>
        </w:rPr>
        <w:br/>
      </w:r>
      <w:hyperlink r:id="rId6" w:tgtFrame="_blank" w:history="1">
        <w:r w:rsidRPr="00BA4BDF">
          <w:rPr>
            <w:rStyle w:val="Hyperlink"/>
            <w:rFonts w:ascii="Arial" w:hAnsi="Arial" w:cs="Arial"/>
            <w:sz w:val="22"/>
            <w:szCs w:val="22"/>
          </w:rPr>
          <w:t>https://www.gov.uk/guidance/how-we-are-investigating-the-vodafonethree-potential-merger</w:t>
        </w:r>
      </w:hyperlink>
      <w:r w:rsidRPr="00BA4BDF">
        <w:rPr>
          <w:rFonts w:ascii="Arial" w:hAnsi="Arial" w:cs="Arial"/>
          <w:sz w:val="22"/>
          <w:szCs w:val="22"/>
        </w:rPr>
        <w:t xml:space="preserve"> (Accessed: 30 June 2026).</w:t>
      </w:r>
    </w:p>
    <w:p w14:paraId="1AA184FD" w14:textId="77777777" w:rsidR="00F12DEE" w:rsidRPr="00BA4BDF" w:rsidRDefault="00F12DEE" w:rsidP="00F12DEE">
      <w:pPr>
        <w:rPr>
          <w:rFonts w:ascii="Arial" w:hAnsi="Arial" w:cs="Arial"/>
          <w:sz w:val="22"/>
          <w:szCs w:val="22"/>
        </w:rPr>
      </w:pPr>
      <w:r w:rsidRPr="00BA4BDF">
        <w:rPr>
          <w:rFonts w:ascii="Arial" w:hAnsi="Arial" w:cs="Arial"/>
          <w:sz w:val="22"/>
          <w:szCs w:val="22"/>
        </w:rPr>
        <w:t xml:space="preserve">Deloitte (2025) </w:t>
      </w:r>
      <w:r w:rsidRPr="00BA4BDF">
        <w:rPr>
          <w:rFonts w:ascii="Arial" w:hAnsi="Arial" w:cs="Arial"/>
          <w:i/>
          <w:iCs/>
          <w:sz w:val="22"/>
          <w:szCs w:val="22"/>
        </w:rPr>
        <w:t>2025 Telecommunications Industry Outlook</w:t>
      </w:r>
      <w:r w:rsidRPr="00BA4BDF">
        <w:rPr>
          <w:rFonts w:ascii="Arial" w:hAnsi="Arial" w:cs="Arial"/>
          <w:sz w:val="22"/>
          <w:szCs w:val="22"/>
        </w:rPr>
        <w:t>. London: Deloitte.</w:t>
      </w:r>
    </w:p>
    <w:p w14:paraId="4177AB3D" w14:textId="77777777" w:rsidR="00F12DEE" w:rsidRPr="00BA4BDF" w:rsidRDefault="00F12DEE" w:rsidP="00F12DEE">
      <w:pPr>
        <w:rPr>
          <w:rFonts w:ascii="Arial" w:hAnsi="Arial" w:cs="Arial"/>
          <w:sz w:val="22"/>
          <w:szCs w:val="22"/>
        </w:rPr>
      </w:pPr>
      <w:r w:rsidRPr="00BA4BDF">
        <w:rPr>
          <w:rFonts w:ascii="Arial" w:hAnsi="Arial" w:cs="Arial"/>
          <w:sz w:val="22"/>
          <w:szCs w:val="22"/>
        </w:rPr>
        <w:t xml:space="preserve">Department for Science, Innovation and Technology (2024) </w:t>
      </w:r>
      <w:r w:rsidRPr="00BA4BDF">
        <w:rPr>
          <w:rFonts w:ascii="Arial" w:hAnsi="Arial" w:cs="Arial"/>
          <w:i/>
          <w:iCs/>
          <w:sz w:val="22"/>
          <w:szCs w:val="22"/>
        </w:rPr>
        <w:t>UK Digital Strategy</w:t>
      </w:r>
      <w:r w:rsidRPr="00BA4BDF">
        <w:rPr>
          <w:rFonts w:ascii="Arial" w:hAnsi="Arial" w:cs="Arial"/>
          <w:sz w:val="22"/>
          <w:szCs w:val="22"/>
        </w:rPr>
        <w:t>. London: HM Government.</w:t>
      </w:r>
    </w:p>
    <w:p w14:paraId="26F10805" w14:textId="77777777" w:rsidR="00F12DEE" w:rsidRPr="00BA4BDF" w:rsidRDefault="00F12DEE" w:rsidP="00F12DEE">
      <w:pPr>
        <w:rPr>
          <w:rFonts w:ascii="Arial" w:hAnsi="Arial" w:cs="Arial"/>
          <w:sz w:val="22"/>
          <w:szCs w:val="22"/>
        </w:rPr>
      </w:pPr>
      <w:r w:rsidRPr="00BA4BDF">
        <w:rPr>
          <w:rFonts w:ascii="Arial" w:hAnsi="Arial" w:cs="Arial"/>
          <w:sz w:val="22"/>
          <w:szCs w:val="22"/>
        </w:rPr>
        <w:t xml:space="preserve">Freeman, R.E. (1984) </w:t>
      </w:r>
      <w:r w:rsidRPr="00BA4BDF">
        <w:rPr>
          <w:rFonts w:ascii="Arial" w:hAnsi="Arial" w:cs="Arial"/>
          <w:i/>
          <w:iCs/>
          <w:sz w:val="22"/>
          <w:szCs w:val="22"/>
        </w:rPr>
        <w:t>Strategic Management: A Stakeholder Approach</w:t>
      </w:r>
      <w:r w:rsidRPr="00BA4BDF">
        <w:rPr>
          <w:rFonts w:ascii="Arial" w:hAnsi="Arial" w:cs="Arial"/>
          <w:sz w:val="22"/>
          <w:szCs w:val="22"/>
        </w:rPr>
        <w:t>. Boston: Pitman.</w:t>
      </w:r>
    </w:p>
    <w:p w14:paraId="07CD7EE3" w14:textId="77777777" w:rsidR="00F12DEE" w:rsidRPr="00BA4BDF" w:rsidRDefault="00F12DEE" w:rsidP="00F12DEE">
      <w:pPr>
        <w:rPr>
          <w:rFonts w:ascii="Arial" w:hAnsi="Arial" w:cs="Arial"/>
          <w:sz w:val="22"/>
          <w:szCs w:val="22"/>
        </w:rPr>
      </w:pPr>
      <w:r w:rsidRPr="00BA4BDF">
        <w:rPr>
          <w:rFonts w:ascii="Arial" w:hAnsi="Arial" w:cs="Arial"/>
          <w:sz w:val="22"/>
          <w:szCs w:val="22"/>
        </w:rPr>
        <w:t xml:space="preserve">Grant, R.M. (2022) </w:t>
      </w:r>
      <w:r w:rsidRPr="00BA4BDF">
        <w:rPr>
          <w:rFonts w:ascii="Arial" w:hAnsi="Arial" w:cs="Arial"/>
          <w:i/>
          <w:iCs/>
          <w:sz w:val="22"/>
          <w:szCs w:val="22"/>
        </w:rPr>
        <w:t>Contemporary Strategy Analysis</w:t>
      </w:r>
      <w:r w:rsidRPr="00BA4BDF">
        <w:rPr>
          <w:rFonts w:ascii="Arial" w:hAnsi="Arial" w:cs="Arial"/>
          <w:sz w:val="22"/>
          <w:szCs w:val="22"/>
        </w:rPr>
        <w:t xml:space="preserve">. 11th </w:t>
      </w:r>
      <w:proofErr w:type="spellStart"/>
      <w:r w:rsidRPr="00BA4BDF">
        <w:rPr>
          <w:rFonts w:ascii="Arial" w:hAnsi="Arial" w:cs="Arial"/>
          <w:sz w:val="22"/>
          <w:szCs w:val="22"/>
        </w:rPr>
        <w:t>edn</w:t>
      </w:r>
      <w:proofErr w:type="spellEnd"/>
      <w:r w:rsidRPr="00BA4BDF">
        <w:rPr>
          <w:rFonts w:ascii="Arial" w:hAnsi="Arial" w:cs="Arial"/>
          <w:sz w:val="22"/>
          <w:szCs w:val="22"/>
        </w:rPr>
        <w:t>. Hoboken, NJ: Wiley.</w:t>
      </w:r>
    </w:p>
    <w:p w14:paraId="7189807C" w14:textId="77777777" w:rsidR="00F12DEE" w:rsidRPr="00BA4BDF" w:rsidRDefault="00F12DEE" w:rsidP="00F12DEE">
      <w:pPr>
        <w:rPr>
          <w:rFonts w:ascii="Arial" w:hAnsi="Arial" w:cs="Arial"/>
          <w:sz w:val="22"/>
          <w:szCs w:val="22"/>
        </w:rPr>
      </w:pPr>
      <w:r w:rsidRPr="00BA4BDF">
        <w:rPr>
          <w:rFonts w:ascii="Arial" w:hAnsi="Arial" w:cs="Arial"/>
          <w:sz w:val="22"/>
          <w:szCs w:val="22"/>
        </w:rPr>
        <w:t xml:space="preserve">GSMA (2024) </w:t>
      </w:r>
      <w:r w:rsidRPr="00BA4BDF">
        <w:rPr>
          <w:rFonts w:ascii="Arial" w:hAnsi="Arial" w:cs="Arial"/>
          <w:i/>
          <w:iCs/>
          <w:sz w:val="22"/>
          <w:szCs w:val="22"/>
        </w:rPr>
        <w:t>The Mobile Economy Europe 2024</w:t>
      </w:r>
      <w:r w:rsidRPr="00BA4BDF">
        <w:rPr>
          <w:rFonts w:ascii="Arial" w:hAnsi="Arial" w:cs="Arial"/>
          <w:sz w:val="22"/>
          <w:szCs w:val="22"/>
        </w:rPr>
        <w:t>. London: GSMA.</w:t>
      </w:r>
    </w:p>
    <w:p w14:paraId="431313D3" w14:textId="77777777" w:rsidR="00F12DEE" w:rsidRPr="00BA4BDF" w:rsidRDefault="00F12DEE" w:rsidP="00F12DEE">
      <w:pPr>
        <w:rPr>
          <w:rFonts w:ascii="Arial" w:hAnsi="Arial" w:cs="Arial"/>
          <w:sz w:val="22"/>
          <w:szCs w:val="22"/>
        </w:rPr>
      </w:pPr>
      <w:r w:rsidRPr="00BA4BDF">
        <w:rPr>
          <w:rFonts w:ascii="Arial" w:hAnsi="Arial" w:cs="Arial"/>
          <w:sz w:val="22"/>
          <w:szCs w:val="22"/>
        </w:rPr>
        <w:t xml:space="preserve">Gürel, E. and Tat, M. (2017) ‘SWOT analysis: A theoretical review’, </w:t>
      </w:r>
      <w:r w:rsidRPr="00BA4BDF">
        <w:rPr>
          <w:rFonts w:ascii="Arial" w:hAnsi="Arial" w:cs="Arial"/>
          <w:i/>
          <w:iCs/>
          <w:sz w:val="22"/>
          <w:szCs w:val="22"/>
        </w:rPr>
        <w:t>The Journal of International Social Research</w:t>
      </w:r>
      <w:r w:rsidRPr="00BA4BDF">
        <w:rPr>
          <w:rFonts w:ascii="Arial" w:hAnsi="Arial" w:cs="Arial"/>
          <w:sz w:val="22"/>
          <w:szCs w:val="22"/>
        </w:rPr>
        <w:t>, 10(51), pp. 994–1006.</w:t>
      </w:r>
    </w:p>
    <w:p w14:paraId="4DEC6C61" w14:textId="0737E217" w:rsidR="00F12DEE" w:rsidRPr="00BA4BDF" w:rsidRDefault="00F12DEE" w:rsidP="00F12DEE">
      <w:pPr>
        <w:rPr>
          <w:rFonts w:ascii="Arial" w:hAnsi="Arial" w:cs="Arial"/>
          <w:sz w:val="22"/>
          <w:szCs w:val="22"/>
        </w:rPr>
      </w:pPr>
      <w:r w:rsidRPr="00BA4BDF">
        <w:rPr>
          <w:rFonts w:ascii="Arial" w:hAnsi="Arial" w:cs="Arial"/>
          <w:sz w:val="22"/>
          <w:szCs w:val="22"/>
        </w:rPr>
        <w:t xml:space="preserve">Johnson, G., Whittington, R., Scholes, K., Angwin, D. and </w:t>
      </w:r>
      <w:proofErr w:type="spellStart"/>
      <w:r w:rsidRPr="00BA4BDF">
        <w:rPr>
          <w:rFonts w:ascii="Arial" w:hAnsi="Arial" w:cs="Arial"/>
          <w:sz w:val="22"/>
          <w:szCs w:val="22"/>
        </w:rPr>
        <w:t>Regnér</w:t>
      </w:r>
      <w:proofErr w:type="spellEnd"/>
      <w:r w:rsidRPr="00BA4BDF">
        <w:rPr>
          <w:rFonts w:ascii="Arial" w:hAnsi="Arial" w:cs="Arial"/>
          <w:sz w:val="22"/>
          <w:szCs w:val="22"/>
        </w:rPr>
        <w:t xml:space="preserve">, P. (2023) </w:t>
      </w:r>
      <w:r w:rsidRPr="00BA4BDF">
        <w:rPr>
          <w:rFonts w:ascii="Arial" w:hAnsi="Arial" w:cs="Arial"/>
          <w:i/>
          <w:iCs/>
          <w:sz w:val="22"/>
          <w:szCs w:val="22"/>
        </w:rPr>
        <w:t>Exploring Strategy</w:t>
      </w:r>
      <w:r w:rsidRPr="00BA4BDF">
        <w:rPr>
          <w:rFonts w:ascii="Arial" w:hAnsi="Arial" w:cs="Arial"/>
          <w:sz w:val="22"/>
          <w:szCs w:val="22"/>
        </w:rPr>
        <w:t xml:space="preserve">. 13th </w:t>
      </w:r>
      <w:proofErr w:type="spellStart"/>
      <w:r w:rsidRPr="00BA4BDF">
        <w:rPr>
          <w:rFonts w:ascii="Arial" w:hAnsi="Arial" w:cs="Arial"/>
          <w:sz w:val="22"/>
          <w:szCs w:val="22"/>
        </w:rPr>
        <w:t>edn</w:t>
      </w:r>
      <w:proofErr w:type="spellEnd"/>
      <w:r w:rsidRPr="00BA4BDF">
        <w:rPr>
          <w:rFonts w:ascii="Arial" w:hAnsi="Arial" w:cs="Arial"/>
          <w:sz w:val="22"/>
          <w:szCs w:val="22"/>
        </w:rPr>
        <w:t>. Harlow: Pearson</w:t>
      </w:r>
    </w:p>
    <w:p w14:paraId="6F97C2ED" w14:textId="77777777" w:rsidR="00C4692B" w:rsidRPr="00BA4BDF" w:rsidRDefault="00C4692B" w:rsidP="00C4692B">
      <w:pPr>
        <w:rPr>
          <w:rFonts w:ascii="Arial" w:hAnsi="Arial" w:cs="Arial"/>
          <w:sz w:val="22"/>
          <w:szCs w:val="22"/>
        </w:rPr>
      </w:pPr>
      <w:r w:rsidRPr="00BA4BDF">
        <w:rPr>
          <w:rFonts w:ascii="Arial" w:hAnsi="Arial" w:cs="Arial"/>
          <w:sz w:val="22"/>
          <w:szCs w:val="22"/>
        </w:rPr>
        <w:t xml:space="preserve">Kaplan, R.S. and Norton, D.P. (1996) </w:t>
      </w:r>
      <w:r w:rsidRPr="00BA4BDF">
        <w:rPr>
          <w:rFonts w:ascii="Arial" w:hAnsi="Arial" w:cs="Arial"/>
          <w:i/>
          <w:iCs/>
          <w:sz w:val="22"/>
          <w:szCs w:val="22"/>
        </w:rPr>
        <w:t>The Balanced Scorecard: Translating Strategy into Action</w:t>
      </w:r>
      <w:r w:rsidRPr="00BA4BDF">
        <w:rPr>
          <w:rFonts w:ascii="Arial" w:hAnsi="Arial" w:cs="Arial"/>
          <w:sz w:val="22"/>
          <w:szCs w:val="22"/>
        </w:rPr>
        <w:t>. Boston: Harvard Business School Press.</w:t>
      </w:r>
    </w:p>
    <w:p w14:paraId="2C1DDFBB" w14:textId="77777777" w:rsidR="00C4692B" w:rsidRPr="00BA4BDF" w:rsidRDefault="00C4692B" w:rsidP="00C4692B">
      <w:pPr>
        <w:rPr>
          <w:rFonts w:ascii="Arial" w:hAnsi="Arial" w:cs="Arial"/>
          <w:sz w:val="22"/>
          <w:szCs w:val="22"/>
        </w:rPr>
      </w:pPr>
      <w:r w:rsidRPr="00BA4BDF">
        <w:rPr>
          <w:rFonts w:ascii="Arial" w:hAnsi="Arial" w:cs="Arial"/>
          <w:sz w:val="22"/>
          <w:szCs w:val="22"/>
        </w:rPr>
        <w:t xml:space="preserve">Mendelow, A.L. (1991) ‘Stakeholder Mapping’, </w:t>
      </w:r>
      <w:r w:rsidRPr="00BA4BDF">
        <w:rPr>
          <w:rFonts w:ascii="Arial" w:hAnsi="Arial" w:cs="Arial"/>
          <w:i/>
          <w:iCs/>
          <w:sz w:val="22"/>
          <w:szCs w:val="22"/>
        </w:rPr>
        <w:t>Proceedings of the 2nd International Conference on Information Systems</w:t>
      </w:r>
      <w:r w:rsidRPr="00BA4BDF">
        <w:rPr>
          <w:rFonts w:ascii="Arial" w:hAnsi="Arial" w:cs="Arial"/>
          <w:sz w:val="22"/>
          <w:szCs w:val="22"/>
        </w:rPr>
        <w:t>, Cambridge, MA.</w:t>
      </w:r>
    </w:p>
    <w:p w14:paraId="111CD67D" w14:textId="77777777" w:rsidR="00C4692B" w:rsidRPr="00BA4BDF" w:rsidRDefault="00C4692B" w:rsidP="00C4692B">
      <w:pPr>
        <w:rPr>
          <w:rFonts w:ascii="Arial" w:hAnsi="Arial" w:cs="Arial"/>
          <w:sz w:val="22"/>
          <w:szCs w:val="22"/>
        </w:rPr>
      </w:pPr>
      <w:r w:rsidRPr="00BA4BDF">
        <w:rPr>
          <w:rFonts w:ascii="Arial" w:hAnsi="Arial" w:cs="Arial"/>
          <w:sz w:val="22"/>
          <w:szCs w:val="22"/>
        </w:rPr>
        <w:t xml:space="preserve">National Cyber Security Centre (2024) </w:t>
      </w:r>
      <w:r w:rsidRPr="00BA4BDF">
        <w:rPr>
          <w:rFonts w:ascii="Arial" w:hAnsi="Arial" w:cs="Arial"/>
          <w:i/>
          <w:iCs/>
          <w:sz w:val="22"/>
          <w:szCs w:val="22"/>
        </w:rPr>
        <w:t>Annual Review 2024</w:t>
      </w:r>
      <w:r w:rsidRPr="00BA4BDF">
        <w:rPr>
          <w:rFonts w:ascii="Arial" w:hAnsi="Arial" w:cs="Arial"/>
          <w:sz w:val="22"/>
          <w:szCs w:val="22"/>
        </w:rPr>
        <w:t>. London: NCSC.</w:t>
      </w:r>
    </w:p>
    <w:p w14:paraId="1A5D2CD0" w14:textId="77777777" w:rsidR="00C4692B" w:rsidRPr="00BA4BDF" w:rsidRDefault="00C4692B" w:rsidP="00C4692B">
      <w:pPr>
        <w:rPr>
          <w:rFonts w:ascii="Arial" w:hAnsi="Arial" w:cs="Arial"/>
          <w:sz w:val="22"/>
          <w:szCs w:val="22"/>
        </w:rPr>
      </w:pPr>
      <w:r w:rsidRPr="00BA4BDF">
        <w:rPr>
          <w:rFonts w:ascii="Arial" w:hAnsi="Arial" w:cs="Arial"/>
          <w:sz w:val="22"/>
          <w:szCs w:val="22"/>
        </w:rPr>
        <w:t xml:space="preserve">Office for National Statistics (2025) </w:t>
      </w:r>
      <w:r w:rsidRPr="00BA4BDF">
        <w:rPr>
          <w:rFonts w:ascii="Arial" w:hAnsi="Arial" w:cs="Arial"/>
          <w:i/>
          <w:iCs/>
          <w:sz w:val="22"/>
          <w:szCs w:val="22"/>
        </w:rPr>
        <w:t>Economic Overview, UK: 2025</w:t>
      </w:r>
      <w:r w:rsidRPr="00BA4BDF">
        <w:rPr>
          <w:rFonts w:ascii="Arial" w:hAnsi="Arial" w:cs="Arial"/>
          <w:sz w:val="22"/>
          <w:szCs w:val="22"/>
        </w:rPr>
        <w:t>. Newport: Office for National Statistics.</w:t>
      </w:r>
    </w:p>
    <w:p w14:paraId="038CF245" w14:textId="77777777" w:rsidR="00C4692B" w:rsidRPr="00BA4BDF" w:rsidRDefault="00C4692B" w:rsidP="00C4692B">
      <w:pPr>
        <w:rPr>
          <w:rFonts w:ascii="Arial" w:hAnsi="Arial" w:cs="Arial"/>
          <w:sz w:val="22"/>
          <w:szCs w:val="22"/>
        </w:rPr>
      </w:pPr>
      <w:r w:rsidRPr="00BA4BDF">
        <w:rPr>
          <w:rFonts w:ascii="Arial" w:hAnsi="Arial" w:cs="Arial"/>
          <w:sz w:val="22"/>
          <w:szCs w:val="22"/>
        </w:rPr>
        <w:t xml:space="preserve">Ofcom (2024) </w:t>
      </w:r>
      <w:r w:rsidRPr="00BA4BDF">
        <w:rPr>
          <w:rFonts w:ascii="Arial" w:hAnsi="Arial" w:cs="Arial"/>
          <w:i/>
          <w:iCs/>
          <w:sz w:val="22"/>
          <w:szCs w:val="22"/>
        </w:rPr>
        <w:t>Communications Market Report 2024</w:t>
      </w:r>
      <w:r w:rsidRPr="00BA4BDF">
        <w:rPr>
          <w:rFonts w:ascii="Arial" w:hAnsi="Arial" w:cs="Arial"/>
          <w:sz w:val="22"/>
          <w:szCs w:val="22"/>
        </w:rPr>
        <w:t>. London: Ofcom.</w:t>
      </w:r>
    </w:p>
    <w:p w14:paraId="5136F837" w14:textId="77777777" w:rsidR="00C4692B" w:rsidRPr="00BA4BDF" w:rsidRDefault="00C4692B" w:rsidP="00C4692B">
      <w:pPr>
        <w:rPr>
          <w:rFonts w:ascii="Arial" w:hAnsi="Arial" w:cs="Arial"/>
          <w:sz w:val="22"/>
          <w:szCs w:val="22"/>
        </w:rPr>
      </w:pPr>
      <w:r w:rsidRPr="00BA4BDF">
        <w:rPr>
          <w:rFonts w:ascii="Arial" w:hAnsi="Arial" w:cs="Arial"/>
          <w:sz w:val="22"/>
          <w:szCs w:val="22"/>
        </w:rPr>
        <w:t xml:space="preserve">Porter, M.E. (1985) </w:t>
      </w:r>
      <w:r w:rsidRPr="00BA4BDF">
        <w:rPr>
          <w:rFonts w:ascii="Arial" w:hAnsi="Arial" w:cs="Arial"/>
          <w:i/>
          <w:iCs/>
          <w:sz w:val="22"/>
          <w:szCs w:val="22"/>
        </w:rPr>
        <w:t>Competitive Advantage: Creating and Sustaining Superior Performance</w:t>
      </w:r>
      <w:r w:rsidRPr="00BA4BDF">
        <w:rPr>
          <w:rFonts w:ascii="Arial" w:hAnsi="Arial" w:cs="Arial"/>
          <w:sz w:val="22"/>
          <w:szCs w:val="22"/>
        </w:rPr>
        <w:t>. New York: Free Press.</w:t>
      </w:r>
    </w:p>
    <w:p w14:paraId="0C735291" w14:textId="77777777" w:rsidR="009E6663" w:rsidRPr="00BA4BDF" w:rsidRDefault="009E6663" w:rsidP="009E6663">
      <w:pPr>
        <w:rPr>
          <w:rFonts w:ascii="Arial" w:hAnsi="Arial" w:cs="Arial"/>
          <w:sz w:val="22"/>
          <w:szCs w:val="22"/>
        </w:rPr>
      </w:pPr>
      <w:r w:rsidRPr="00BA4BDF">
        <w:rPr>
          <w:rFonts w:ascii="Arial" w:hAnsi="Arial" w:cs="Arial"/>
          <w:sz w:val="22"/>
          <w:szCs w:val="22"/>
        </w:rPr>
        <w:t xml:space="preserve">Porter, M.E. (2008) ‘The five competitive forces that shape strategy’, </w:t>
      </w:r>
      <w:r w:rsidRPr="00BA4BDF">
        <w:rPr>
          <w:rFonts w:ascii="Arial" w:hAnsi="Arial" w:cs="Arial"/>
          <w:i/>
          <w:iCs/>
          <w:sz w:val="22"/>
          <w:szCs w:val="22"/>
        </w:rPr>
        <w:t>Harvard Business Review</w:t>
      </w:r>
      <w:r w:rsidRPr="00BA4BDF">
        <w:rPr>
          <w:rFonts w:ascii="Arial" w:hAnsi="Arial" w:cs="Arial"/>
          <w:sz w:val="22"/>
          <w:szCs w:val="22"/>
        </w:rPr>
        <w:t>, 86(1), pp. 78–93.</w:t>
      </w:r>
    </w:p>
    <w:p w14:paraId="3F333441" w14:textId="77777777" w:rsidR="009E6663" w:rsidRPr="00BA4BDF" w:rsidRDefault="009E6663" w:rsidP="009E6663">
      <w:pPr>
        <w:rPr>
          <w:rFonts w:ascii="Arial" w:hAnsi="Arial" w:cs="Arial"/>
          <w:sz w:val="22"/>
          <w:szCs w:val="22"/>
        </w:rPr>
      </w:pPr>
      <w:r w:rsidRPr="00BA4BDF">
        <w:rPr>
          <w:rFonts w:ascii="Arial" w:hAnsi="Arial" w:cs="Arial"/>
          <w:sz w:val="22"/>
          <w:szCs w:val="22"/>
        </w:rPr>
        <w:t xml:space="preserve">PwC (2024) </w:t>
      </w:r>
      <w:r w:rsidRPr="00BA4BDF">
        <w:rPr>
          <w:rFonts w:ascii="Arial" w:hAnsi="Arial" w:cs="Arial"/>
          <w:i/>
          <w:iCs/>
          <w:sz w:val="22"/>
          <w:szCs w:val="22"/>
        </w:rPr>
        <w:t>Global Consumer Insights Survey 2024</w:t>
      </w:r>
      <w:r w:rsidRPr="00BA4BDF">
        <w:rPr>
          <w:rFonts w:ascii="Arial" w:hAnsi="Arial" w:cs="Arial"/>
          <w:sz w:val="22"/>
          <w:szCs w:val="22"/>
        </w:rPr>
        <w:t>. London: PwC.</w:t>
      </w:r>
    </w:p>
    <w:p w14:paraId="2A688891" w14:textId="77777777" w:rsidR="009E6663" w:rsidRPr="00BA4BDF" w:rsidRDefault="009E6663" w:rsidP="009E6663">
      <w:pPr>
        <w:rPr>
          <w:rFonts w:ascii="Arial" w:hAnsi="Arial" w:cs="Arial"/>
          <w:sz w:val="22"/>
          <w:szCs w:val="22"/>
        </w:rPr>
      </w:pPr>
      <w:r w:rsidRPr="00BA4BDF">
        <w:rPr>
          <w:rFonts w:ascii="Arial" w:hAnsi="Arial" w:cs="Arial"/>
          <w:sz w:val="22"/>
          <w:szCs w:val="22"/>
        </w:rPr>
        <w:lastRenderedPageBreak/>
        <w:t xml:space="preserve">Vodafone Group Plc (2025) </w:t>
      </w:r>
      <w:r w:rsidRPr="00BA4BDF">
        <w:rPr>
          <w:rFonts w:ascii="Arial" w:hAnsi="Arial" w:cs="Arial"/>
          <w:i/>
          <w:iCs/>
          <w:sz w:val="22"/>
          <w:szCs w:val="22"/>
        </w:rPr>
        <w:t>Annual Report 2025</w:t>
      </w:r>
      <w:r w:rsidRPr="00BA4BDF">
        <w:rPr>
          <w:rFonts w:ascii="Arial" w:hAnsi="Arial" w:cs="Arial"/>
          <w:sz w:val="22"/>
          <w:szCs w:val="22"/>
        </w:rPr>
        <w:t>. Available at:</w:t>
      </w:r>
      <w:r w:rsidRPr="00BA4BDF">
        <w:rPr>
          <w:rFonts w:ascii="Arial" w:hAnsi="Arial" w:cs="Arial"/>
          <w:sz w:val="22"/>
          <w:szCs w:val="22"/>
        </w:rPr>
        <w:br/>
      </w:r>
      <w:hyperlink r:id="rId7" w:tgtFrame="_blank" w:history="1">
        <w:r w:rsidRPr="00BA4BDF">
          <w:rPr>
            <w:rStyle w:val="Hyperlink"/>
            <w:rFonts w:ascii="Arial" w:hAnsi="Arial" w:cs="Arial"/>
            <w:sz w:val="22"/>
            <w:szCs w:val="22"/>
          </w:rPr>
          <w:t>https://reports.investors.vodafone.com/view/897876789</w:t>
        </w:r>
      </w:hyperlink>
      <w:r w:rsidRPr="00BA4BDF">
        <w:rPr>
          <w:rFonts w:ascii="Arial" w:hAnsi="Arial" w:cs="Arial"/>
          <w:sz w:val="22"/>
          <w:szCs w:val="22"/>
        </w:rPr>
        <w:t xml:space="preserve"> (Accessed: 30 June 2026). </w:t>
      </w:r>
    </w:p>
    <w:p w14:paraId="074BEC2F" w14:textId="77777777" w:rsidR="009E6663" w:rsidRPr="00BA4BDF" w:rsidRDefault="009E6663" w:rsidP="009E6663">
      <w:pPr>
        <w:rPr>
          <w:rFonts w:ascii="Arial" w:hAnsi="Arial" w:cs="Arial"/>
          <w:sz w:val="22"/>
          <w:szCs w:val="22"/>
        </w:rPr>
      </w:pPr>
      <w:r w:rsidRPr="00BA4BDF">
        <w:rPr>
          <w:rFonts w:ascii="Arial" w:hAnsi="Arial" w:cs="Arial"/>
          <w:sz w:val="22"/>
          <w:szCs w:val="22"/>
        </w:rPr>
        <w:t xml:space="preserve">Vodafone Group Plc (2025) </w:t>
      </w:r>
      <w:r w:rsidRPr="00BA4BDF">
        <w:rPr>
          <w:rFonts w:ascii="Arial" w:hAnsi="Arial" w:cs="Arial"/>
          <w:i/>
          <w:iCs/>
          <w:sz w:val="22"/>
          <w:szCs w:val="22"/>
        </w:rPr>
        <w:t>Annual Reporting</w:t>
      </w:r>
      <w:r w:rsidRPr="00BA4BDF">
        <w:rPr>
          <w:rFonts w:ascii="Arial" w:hAnsi="Arial" w:cs="Arial"/>
          <w:sz w:val="22"/>
          <w:szCs w:val="22"/>
        </w:rPr>
        <w:t>. Available at:</w:t>
      </w:r>
      <w:r w:rsidRPr="00BA4BDF">
        <w:rPr>
          <w:rFonts w:ascii="Arial" w:hAnsi="Arial" w:cs="Arial"/>
          <w:sz w:val="22"/>
          <w:szCs w:val="22"/>
        </w:rPr>
        <w:br/>
      </w:r>
      <w:hyperlink r:id="rId8" w:tgtFrame="_blank" w:history="1">
        <w:r w:rsidRPr="00BA4BDF">
          <w:rPr>
            <w:rStyle w:val="Hyperlink"/>
            <w:rFonts w:ascii="Arial" w:hAnsi="Arial" w:cs="Arial"/>
            <w:sz w:val="22"/>
            <w:szCs w:val="22"/>
          </w:rPr>
          <w:t>https://www.vodafone.com/investors/performance-and-reports/annual-reporting</w:t>
        </w:r>
      </w:hyperlink>
      <w:r w:rsidRPr="00BA4BDF">
        <w:rPr>
          <w:rFonts w:ascii="Arial" w:hAnsi="Arial" w:cs="Arial"/>
          <w:sz w:val="22"/>
          <w:szCs w:val="22"/>
        </w:rPr>
        <w:t xml:space="preserve"> (Accessed: 30 June 2026). </w:t>
      </w:r>
    </w:p>
    <w:p w14:paraId="06B081D2" w14:textId="79E0D289" w:rsidR="009E6663" w:rsidRPr="00BA4BDF" w:rsidRDefault="009E6663" w:rsidP="009E6663">
      <w:pPr>
        <w:rPr>
          <w:rFonts w:ascii="Arial" w:hAnsi="Arial" w:cs="Arial"/>
          <w:sz w:val="22"/>
          <w:szCs w:val="22"/>
        </w:rPr>
      </w:pPr>
      <w:r w:rsidRPr="00BA4BDF">
        <w:rPr>
          <w:rFonts w:ascii="Arial" w:hAnsi="Arial" w:cs="Arial"/>
          <w:sz w:val="22"/>
          <w:szCs w:val="22"/>
        </w:rPr>
        <w:t>Vodafone</w:t>
      </w:r>
      <w:r w:rsidR="00814504" w:rsidRPr="00BA4BDF">
        <w:rPr>
          <w:rFonts w:ascii="Arial" w:hAnsi="Arial" w:cs="Arial"/>
          <w:sz w:val="22"/>
          <w:szCs w:val="22"/>
        </w:rPr>
        <w:t xml:space="preserve"> </w:t>
      </w:r>
      <w:r w:rsidRPr="00BA4BDF">
        <w:rPr>
          <w:rFonts w:ascii="Arial" w:hAnsi="Arial" w:cs="Arial"/>
          <w:sz w:val="22"/>
          <w:szCs w:val="22"/>
        </w:rPr>
        <w:t xml:space="preserve">Three (2025) </w:t>
      </w:r>
      <w:r w:rsidRPr="00BA4BDF">
        <w:rPr>
          <w:rFonts w:ascii="Arial" w:hAnsi="Arial" w:cs="Arial"/>
          <w:i/>
          <w:iCs/>
          <w:sz w:val="22"/>
          <w:szCs w:val="22"/>
        </w:rPr>
        <w:t>Completion of Vodafone and Three merger in the UK</w:t>
      </w:r>
      <w:r w:rsidRPr="00BA4BDF">
        <w:rPr>
          <w:rFonts w:ascii="Arial" w:hAnsi="Arial" w:cs="Arial"/>
          <w:sz w:val="22"/>
          <w:szCs w:val="22"/>
        </w:rPr>
        <w:t>. Available at:</w:t>
      </w:r>
      <w:r w:rsidRPr="00BA4BDF">
        <w:rPr>
          <w:rFonts w:ascii="Arial" w:hAnsi="Arial" w:cs="Arial"/>
          <w:sz w:val="22"/>
          <w:szCs w:val="22"/>
        </w:rPr>
        <w:br/>
      </w:r>
      <w:hyperlink r:id="rId9" w:tgtFrame="_blank" w:history="1">
        <w:r w:rsidRPr="00BA4BDF">
          <w:rPr>
            <w:rStyle w:val="Hyperlink"/>
            <w:rFonts w:ascii="Arial" w:hAnsi="Arial" w:cs="Arial"/>
            <w:sz w:val="22"/>
            <w:szCs w:val="22"/>
          </w:rPr>
          <w:t>https://www.vodafonethree.com/news/completion-of-vodafone-and-three-merger-in-the-uk</w:t>
        </w:r>
      </w:hyperlink>
      <w:r w:rsidRPr="00BA4BDF">
        <w:rPr>
          <w:rFonts w:ascii="Arial" w:hAnsi="Arial" w:cs="Arial"/>
          <w:sz w:val="22"/>
          <w:szCs w:val="22"/>
        </w:rPr>
        <w:t xml:space="preserve"> (Accessed: 30 June 2026</w:t>
      </w:r>
    </w:p>
    <w:p w14:paraId="4E01D436" w14:textId="77777777" w:rsidR="00C4692B" w:rsidRPr="00BA4BDF" w:rsidRDefault="00C4692B" w:rsidP="00F12DEE">
      <w:pPr>
        <w:rPr>
          <w:rFonts w:ascii="Arial" w:hAnsi="Arial" w:cs="Arial"/>
          <w:sz w:val="22"/>
          <w:szCs w:val="22"/>
        </w:rPr>
      </w:pPr>
    </w:p>
    <w:p w14:paraId="572177B3" w14:textId="77777777" w:rsidR="00F12DEE" w:rsidRPr="00BA4BDF" w:rsidRDefault="00F12DEE" w:rsidP="00F12DEE">
      <w:pPr>
        <w:rPr>
          <w:rFonts w:ascii="Arial" w:hAnsi="Arial" w:cs="Arial"/>
          <w:sz w:val="22"/>
          <w:szCs w:val="22"/>
        </w:rPr>
      </w:pPr>
    </w:p>
    <w:p w14:paraId="426847E0" w14:textId="77777777" w:rsidR="00F12DEE" w:rsidRPr="00BA4BDF" w:rsidRDefault="00F12DEE" w:rsidP="00101ADD">
      <w:pPr>
        <w:rPr>
          <w:rFonts w:ascii="Arial" w:hAnsi="Arial" w:cs="Arial"/>
          <w:b/>
          <w:bCs/>
          <w:sz w:val="22"/>
          <w:szCs w:val="22"/>
        </w:rPr>
      </w:pPr>
    </w:p>
    <w:p w14:paraId="7D61BEC9" w14:textId="16BD6F1A" w:rsidR="00101ADD" w:rsidRPr="00BA4BDF" w:rsidRDefault="00101ADD" w:rsidP="00101ADD">
      <w:pPr>
        <w:rPr>
          <w:rFonts w:ascii="Arial" w:hAnsi="Arial" w:cs="Arial"/>
          <w:b/>
          <w:bCs/>
          <w:sz w:val="22"/>
          <w:szCs w:val="22"/>
        </w:rPr>
      </w:pPr>
    </w:p>
    <w:p w14:paraId="0C0BFC1C" w14:textId="77777777" w:rsidR="00101ADD" w:rsidRPr="00BA4BDF" w:rsidRDefault="00101ADD" w:rsidP="00214502">
      <w:pPr>
        <w:rPr>
          <w:rFonts w:ascii="Arial" w:hAnsi="Arial" w:cs="Arial"/>
          <w:sz w:val="22"/>
          <w:szCs w:val="22"/>
        </w:rPr>
      </w:pPr>
    </w:p>
    <w:p w14:paraId="35D7AB63" w14:textId="77777777" w:rsidR="008124D2" w:rsidRPr="00BA4BDF" w:rsidRDefault="008124D2" w:rsidP="00B13760">
      <w:pPr>
        <w:rPr>
          <w:rFonts w:ascii="Arial" w:hAnsi="Arial" w:cs="Arial"/>
          <w:sz w:val="22"/>
          <w:szCs w:val="22"/>
        </w:rPr>
      </w:pPr>
    </w:p>
    <w:p w14:paraId="3836B34F" w14:textId="77777777" w:rsidR="00B13760" w:rsidRPr="00BA4BDF" w:rsidRDefault="00B13760" w:rsidP="001D20BC">
      <w:pPr>
        <w:rPr>
          <w:rFonts w:ascii="Arial" w:hAnsi="Arial" w:cs="Arial"/>
          <w:sz w:val="22"/>
          <w:szCs w:val="22"/>
        </w:rPr>
      </w:pPr>
    </w:p>
    <w:p w14:paraId="2652545F" w14:textId="77777777" w:rsidR="001D20BC" w:rsidRPr="00BA4BDF" w:rsidRDefault="001D20BC" w:rsidP="00B97155">
      <w:pPr>
        <w:rPr>
          <w:rFonts w:ascii="Arial" w:hAnsi="Arial" w:cs="Arial"/>
          <w:sz w:val="22"/>
          <w:szCs w:val="22"/>
        </w:rPr>
      </w:pPr>
    </w:p>
    <w:p w14:paraId="26A08811" w14:textId="77777777" w:rsidR="00B97155" w:rsidRPr="00BA4BDF" w:rsidRDefault="00B97155" w:rsidP="00224342">
      <w:pPr>
        <w:rPr>
          <w:rFonts w:ascii="Arial" w:hAnsi="Arial" w:cs="Arial"/>
          <w:sz w:val="22"/>
          <w:szCs w:val="22"/>
        </w:rPr>
      </w:pPr>
    </w:p>
    <w:p w14:paraId="2C86AA76" w14:textId="77777777" w:rsidR="006D61E0" w:rsidRPr="00BA4BDF" w:rsidRDefault="006D61E0" w:rsidP="0039565D">
      <w:pPr>
        <w:rPr>
          <w:rFonts w:ascii="Arial" w:hAnsi="Arial" w:cs="Arial"/>
          <w:sz w:val="22"/>
          <w:szCs w:val="22"/>
        </w:rPr>
      </w:pPr>
    </w:p>
    <w:p w14:paraId="730FB7DD" w14:textId="0DEF3CDB" w:rsidR="00976C5A" w:rsidRPr="00BA4BDF" w:rsidRDefault="008C5C73" w:rsidP="00C71074">
      <w:pPr>
        <w:rPr>
          <w:rFonts w:ascii="Arial" w:hAnsi="Arial" w:cs="Arial"/>
          <w:sz w:val="22"/>
          <w:szCs w:val="22"/>
        </w:rPr>
      </w:pPr>
      <w:r w:rsidRPr="00BA4BDF">
        <w:rPr>
          <w:rFonts w:ascii="Arial" w:hAnsi="Arial" w:cs="Arial"/>
          <w:sz w:val="22"/>
          <w:szCs w:val="22"/>
        </w:rPr>
        <w:t xml:space="preserve">  </w:t>
      </w:r>
    </w:p>
    <w:p w14:paraId="26D98693" w14:textId="77777777" w:rsidR="00C71074" w:rsidRPr="00BA4BDF" w:rsidRDefault="00C71074" w:rsidP="005C0A76">
      <w:pPr>
        <w:rPr>
          <w:rFonts w:ascii="Arial" w:hAnsi="Arial" w:cs="Arial"/>
          <w:sz w:val="22"/>
          <w:szCs w:val="22"/>
        </w:rPr>
      </w:pPr>
    </w:p>
    <w:p w14:paraId="7961A048" w14:textId="77777777" w:rsidR="005C0A76" w:rsidRPr="00BA4BDF" w:rsidRDefault="005C0A76" w:rsidP="003F1FDC">
      <w:pPr>
        <w:rPr>
          <w:rFonts w:ascii="Arial" w:hAnsi="Arial" w:cs="Arial"/>
          <w:sz w:val="22"/>
          <w:szCs w:val="22"/>
        </w:rPr>
      </w:pPr>
    </w:p>
    <w:p w14:paraId="09591F26" w14:textId="77777777" w:rsidR="003F1FDC" w:rsidRPr="00BA4BDF" w:rsidRDefault="003F1FDC" w:rsidP="00CD3027">
      <w:pPr>
        <w:rPr>
          <w:rFonts w:ascii="Arial" w:hAnsi="Arial" w:cs="Arial"/>
          <w:sz w:val="22"/>
          <w:szCs w:val="22"/>
        </w:rPr>
      </w:pPr>
    </w:p>
    <w:p w14:paraId="2B4EAB72" w14:textId="77777777" w:rsidR="00075FE6" w:rsidRPr="00BA4BDF" w:rsidRDefault="00D36346" w:rsidP="00CC4C28">
      <w:pPr>
        <w:rPr>
          <w:rFonts w:ascii="Arial" w:hAnsi="Arial" w:cs="Arial"/>
          <w:sz w:val="22"/>
          <w:szCs w:val="22"/>
        </w:rPr>
      </w:pPr>
      <w:r w:rsidRPr="00BA4BDF">
        <w:rPr>
          <w:rFonts w:ascii="Arial" w:hAnsi="Arial" w:cs="Arial"/>
          <w:sz w:val="22"/>
          <w:szCs w:val="22"/>
        </w:rPr>
        <w:t xml:space="preserve"> </w:t>
      </w:r>
    </w:p>
    <w:p w14:paraId="7D750343" w14:textId="38302D82" w:rsidR="00CD3027" w:rsidRPr="00BA4BDF" w:rsidRDefault="00CD3027" w:rsidP="00CC4C28">
      <w:pPr>
        <w:rPr>
          <w:rFonts w:ascii="Arial" w:hAnsi="Arial" w:cs="Arial"/>
          <w:sz w:val="22"/>
          <w:szCs w:val="22"/>
        </w:rPr>
      </w:pPr>
    </w:p>
    <w:p w14:paraId="4916F8D3" w14:textId="77777777" w:rsidR="00CC4C28" w:rsidRPr="00BA4BDF" w:rsidRDefault="00CC4C28" w:rsidP="00922A7B">
      <w:pPr>
        <w:rPr>
          <w:rFonts w:ascii="Arial" w:hAnsi="Arial" w:cs="Arial"/>
          <w:sz w:val="22"/>
          <w:szCs w:val="22"/>
        </w:rPr>
      </w:pPr>
    </w:p>
    <w:p w14:paraId="46F92A6C" w14:textId="77777777" w:rsidR="00922A7B" w:rsidRPr="00BA4BDF" w:rsidRDefault="00922A7B">
      <w:pPr>
        <w:rPr>
          <w:rFonts w:ascii="Arial" w:hAnsi="Arial" w:cs="Arial"/>
          <w:sz w:val="22"/>
          <w:szCs w:val="22"/>
        </w:rPr>
      </w:pPr>
    </w:p>
    <w:p w14:paraId="5C35B627" w14:textId="77777777" w:rsidR="009F7F6D" w:rsidRPr="00BA4BDF" w:rsidRDefault="009F7F6D">
      <w:pPr>
        <w:rPr>
          <w:rFonts w:ascii="Arial" w:hAnsi="Arial" w:cs="Arial"/>
          <w:sz w:val="22"/>
          <w:szCs w:val="22"/>
        </w:rPr>
      </w:pPr>
    </w:p>
    <w:sectPr w:rsidR="009F7F6D" w:rsidRPr="00BA4B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27F6F"/>
    <w:multiLevelType w:val="multilevel"/>
    <w:tmpl w:val="3EF6F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F906A8"/>
    <w:multiLevelType w:val="multilevel"/>
    <w:tmpl w:val="F42CF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271F6E"/>
    <w:multiLevelType w:val="multilevel"/>
    <w:tmpl w:val="F1249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6C699C"/>
    <w:multiLevelType w:val="multilevel"/>
    <w:tmpl w:val="B0100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CC6340"/>
    <w:multiLevelType w:val="multilevel"/>
    <w:tmpl w:val="BFE68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001DF7"/>
    <w:multiLevelType w:val="multilevel"/>
    <w:tmpl w:val="7B4C9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C37E4B"/>
    <w:multiLevelType w:val="multilevel"/>
    <w:tmpl w:val="956CF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437FE4"/>
    <w:multiLevelType w:val="multilevel"/>
    <w:tmpl w:val="2070A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4533039">
    <w:abstractNumId w:val="6"/>
  </w:num>
  <w:num w:numId="2" w16cid:durableId="1670788482">
    <w:abstractNumId w:val="2"/>
  </w:num>
  <w:num w:numId="3" w16cid:durableId="702679480">
    <w:abstractNumId w:val="7"/>
  </w:num>
  <w:num w:numId="4" w16cid:durableId="1171484767">
    <w:abstractNumId w:val="0"/>
  </w:num>
  <w:num w:numId="5" w16cid:durableId="1485707259">
    <w:abstractNumId w:val="5"/>
  </w:num>
  <w:num w:numId="6" w16cid:durableId="1007294309">
    <w:abstractNumId w:val="3"/>
  </w:num>
  <w:num w:numId="7" w16cid:durableId="1349329518">
    <w:abstractNumId w:val="1"/>
  </w:num>
  <w:num w:numId="8" w16cid:durableId="20178816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06B"/>
    <w:rsid w:val="00020C4B"/>
    <w:rsid w:val="000249DA"/>
    <w:rsid w:val="00063290"/>
    <w:rsid w:val="00075FE6"/>
    <w:rsid w:val="000933AC"/>
    <w:rsid w:val="000A0F3F"/>
    <w:rsid w:val="000A41BC"/>
    <w:rsid w:val="000A4A57"/>
    <w:rsid w:val="000B7BDC"/>
    <w:rsid w:val="000D72F6"/>
    <w:rsid w:val="000F1C12"/>
    <w:rsid w:val="000F49EB"/>
    <w:rsid w:val="00101ADD"/>
    <w:rsid w:val="001324FC"/>
    <w:rsid w:val="00147B63"/>
    <w:rsid w:val="00163F05"/>
    <w:rsid w:val="001658B0"/>
    <w:rsid w:val="00166391"/>
    <w:rsid w:val="00173CB8"/>
    <w:rsid w:val="00186495"/>
    <w:rsid w:val="001B3D98"/>
    <w:rsid w:val="001C72DF"/>
    <w:rsid w:val="001D20BC"/>
    <w:rsid w:val="001E21CC"/>
    <w:rsid w:val="001E4615"/>
    <w:rsid w:val="001E628B"/>
    <w:rsid w:val="001F2A82"/>
    <w:rsid w:val="001F677A"/>
    <w:rsid w:val="00214502"/>
    <w:rsid w:val="00224342"/>
    <w:rsid w:val="00224E70"/>
    <w:rsid w:val="00235E5A"/>
    <w:rsid w:val="00252FB9"/>
    <w:rsid w:val="00270364"/>
    <w:rsid w:val="00271626"/>
    <w:rsid w:val="002B4310"/>
    <w:rsid w:val="002C399D"/>
    <w:rsid w:val="002D7CA3"/>
    <w:rsid w:val="002E08A8"/>
    <w:rsid w:val="002E21CE"/>
    <w:rsid w:val="00302F7C"/>
    <w:rsid w:val="00321505"/>
    <w:rsid w:val="00345CCE"/>
    <w:rsid w:val="003778A4"/>
    <w:rsid w:val="0038351F"/>
    <w:rsid w:val="0038473E"/>
    <w:rsid w:val="00393A62"/>
    <w:rsid w:val="0039565D"/>
    <w:rsid w:val="003A583D"/>
    <w:rsid w:val="003A6E55"/>
    <w:rsid w:val="003C4A9A"/>
    <w:rsid w:val="003E65DE"/>
    <w:rsid w:val="003F1FDC"/>
    <w:rsid w:val="004224BE"/>
    <w:rsid w:val="00422B5F"/>
    <w:rsid w:val="00435375"/>
    <w:rsid w:val="00446E2D"/>
    <w:rsid w:val="0044701A"/>
    <w:rsid w:val="00447E63"/>
    <w:rsid w:val="00447F66"/>
    <w:rsid w:val="00476682"/>
    <w:rsid w:val="00491D6B"/>
    <w:rsid w:val="004D58D6"/>
    <w:rsid w:val="004E0DD8"/>
    <w:rsid w:val="00505780"/>
    <w:rsid w:val="0050710B"/>
    <w:rsid w:val="0051302C"/>
    <w:rsid w:val="00537174"/>
    <w:rsid w:val="00545ADA"/>
    <w:rsid w:val="00561209"/>
    <w:rsid w:val="00564069"/>
    <w:rsid w:val="0058068F"/>
    <w:rsid w:val="00591451"/>
    <w:rsid w:val="005C0A76"/>
    <w:rsid w:val="005C79B8"/>
    <w:rsid w:val="005E1514"/>
    <w:rsid w:val="005E7D57"/>
    <w:rsid w:val="005F5D7B"/>
    <w:rsid w:val="00611C72"/>
    <w:rsid w:val="006144F7"/>
    <w:rsid w:val="00617E89"/>
    <w:rsid w:val="00625C23"/>
    <w:rsid w:val="00666083"/>
    <w:rsid w:val="006809FC"/>
    <w:rsid w:val="00686FE2"/>
    <w:rsid w:val="0069162A"/>
    <w:rsid w:val="00691F89"/>
    <w:rsid w:val="0069646B"/>
    <w:rsid w:val="006A0AE2"/>
    <w:rsid w:val="006A2E11"/>
    <w:rsid w:val="006B2471"/>
    <w:rsid w:val="006C2EEF"/>
    <w:rsid w:val="006C3006"/>
    <w:rsid w:val="006D07EC"/>
    <w:rsid w:val="006D61E0"/>
    <w:rsid w:val="006E44B9"/>
    <w:rsid w:val="006F0FB6"/>
    <w:rsid w:val="006F363E"/>
    <w:rsid w:val="00713D4E"/>
    <w:rsid w:val="007427F8"/>
    <w:rsid w:val="00742ABA"/>
    <w:rsid w:val="007603FD"/>
    <w:rsid w:val="00763AA8"/>
    <w:rsid w:val="00764268"/>
    <w:rsid w:val="0076519E"/>
    <w:rsid w:val="00785AF2"/>
    <w:rsid w:val="007B2928"/>
    <w:rsid w:val="007B47A3"/>
    <w:rsid w:val="007D69CE"/>
    <w:rsid w:val="007E3932"/>
    <w:rsid w:val="007E468E"/>
    <w:rsid w:val="008124D2"/>
    <w:rsid w:val="00814504"/>
    <w:rsid w:val="00823C1F"/>
    <w:rsid w:val="00826BA6"/>
    <w:rsid w:val="00834C7E"/>
    <w:rsid w:val="00842E94"/>
    <w:rsid w:val="00854FF2"/>
    <w:rsid w:val="008822A4"/>
    <w:rsid w:val="00892519"/>
    <w:rsid w:val="00895411"/>
    <w:rsid w:val="008A1E01"/>
    <w:rsid w:val="008A4C94"/>
    <w:rsid w:val="008C5C73"/>
    <w:rsid w:val="00901292"/>
    <w:rsid w:val="009018A9"/>
    <w:rsid w:val="009143B7"/>
    <w:rsid w:val="00921D5E"/>
    <w:rsid w:val="00922A7B"/>
    <w:rsid w:val="009366AC"/>
    <w:rsid w:val="0094328F"/>
    <w:rsid w:val="00975E43"/>
    <w:rsid w:val="0097616F"/>
    <w:rsid w:val="00976C5A"/>
    <w:rsid w:val="00981B64"/>
    <w:rsid w:val="00981CA3"/>
    <w:rsid w:val="009834AD"/>
    <w:rsid w:val="009B045F"/>
    <w:rsid w:val="009D0974"/>
    <w:rsid w:val="009D2C51"/>
    <w:rsid w:val="009D4B62"/>
    <w:rsid w:val="009D68EE"/>
    <w:rsid w:val="009D7252"/>
    <w:rsid w:val="009E6663"/>
    <w:rsid w:val="009F7F6D"/>
    <w:rsid w:val="00A31F60"/>
    <w:rsid w:val="00A5753B"/>
    <w:rsid w:val="00A808AB"/>
    <w:rsid w:val="00A8716E"/>
    <w:rsid w:val="00A92CAB"/>
    <w:rsid w:val="00A93528"/>
    <w:rsid w:val="00A94DB6"/>
    <w:rsid w:val="00AA29D9"/>
    <w:rsid w:val="00AB3A4E"/>
    <w:rsid w:val="00AC21D3"/>
    <w:rsid w:val="00AC2C09"/>
    <w:rsid w:val="00AC7F95"/>
    <w:rsid w:val="00AD0A7F"/>
    <w:rsid w:val="00AF2A16"/>
    <w:rsid w:val="00AF641A"/>
    <w:rsid w:val="00B04689"/>
    <w:rsid w:val="00B07454"/>
    <w:rsid w:val="00B118A9"/>
    <w:rsid w:val="00B13760"/>
    <w:rsid w:val="00B40DEC"/>
    <w:rsid w:val="00B6072C"/>
    <w:rsid w:val="00B63D39"/>
    <w:rsid w:val="00B701FD"/>
    <w:rsid w:val="00B72F32"/>
    <w:rsid w:val="00B73D40"/>
    <w:rsid w:val="00B7590C"/>
    <w:rsid w:val="00B76064"/>
    <w:rsid w:val="00B92943"/>
    <w:rsid w:val="00B96B3D"/>
    <w:rsid w:val="00B97155"/>
    <w:rsid w:val="00BA4BDF"/>
    <w:rsid w:val="00BB4578"/>
    <w:rsid w:val="00BC32AC"/>
    <w:rsid w:val="00BE6FEC"/>
    <w:rsid w:val="00BF7F59"/>
    <w:rsid w:val="00C042EE"/>
    <w:rsid w:val="00C10A1C"/>
    <w:rsid w:val="00C12E78"/>
    <w:rsid w:val="00C13A1A"/>
    <w:rsid w:val="00C161C6"/>
    <w:rsid w:val="00C16D41"/>
    <w:rsid w:val="00C25EF9"/>
    <w:rsid w:val="00C422F1"/>
    <w:rsid w:val="00C4692B"/>
    <w:rsid w:val="00C5441B"/>
    <w:rsid w:val="00C71074"/>
    <w:rsid w:val="00C7510F"/>
    <w:rsid w:val="00C77FBC"/>
    <w:rsid w:val="00C819C5"/>
    <w:rsid w:val="00C97C61"/>
    <w:rsid w:val="00CA54C0"/>
    <w:rsid w:val="00CC4C28"/>
    <w:rsid w:val="00CD28F1"/>
    <w:rsid w:val="00CD3027"/>
    <w:rsid w:val="00CD3BAD"/>
    <w:rsid w:val="00CE57A4"/>
    <w:rsid w:val="00D102D7"/>
    <w:rsid w:val="00D36346"/>
    <w:rsid w:val="00D4501B"/>
    <w:rsid w:val="00D618FF"/>
    <w:rsid w:val="00D67E38"/>
    <w:rsid w:val="00D84E59"/>
    <w:rsid w:val="00DB12FF"/>
    <w:rsid w:val="00DB61CA"/>
    <w:rsid w:val="00DC2467"/>
    <w:rsid w:val="00DE08A0"/>
    <w:rsid w:val="00DE180D"/>
    <w:rsid w:val="00DE197B"/>
    <w:rsid w:val="00DE1AAF"/>
    <w:rsid w:val="00DE689C"/>
    <w:rsid w:val="00DE6CA4"/>
    <w:rsid w:val="00E10FE2"/>
    <w:rsid w:val="00E14013"/>
    <w:rsid w:val="00E253F3"/>
    <w:rsid w:val="00E317F2"/>
    <w:rsid w:val="00E34BD2"/>
    <w:rsid w:val="00E42BEA"/>
    <w:rsid w:val="00E50ABE"/>
    <w:rsid w:val="00E670C9"/>
    <w:rsid w:val="00E71750"/>
    <w:rsid w:val="00E82EF8"/>
    <w:rsid w:val="00E8306B"/>
    <w:rsid w:val="00E96B4B"/>
    <w:rsid w:val="00EC6808"/>
    <w:rsid w:val="00EE7350"/>
    <w:rsid w:val="00F03E90"/>
    <w:rsid w:val="00F12DEE"/>
    <w:rsid w:val="00F14140"/>
    <w:rsid w:val="00F239E6"/>
    <w:rsid w:val="00F41FD0"/>
    <w:rsid w:val="00F4226F"/>
    <w:rsid w:val="00F442BB"/>
    <w:rsid w:val="00F50134"/>
    <w:rsid w:val="00F53801"/>
    <w:rsid w:val="00F74421"/>
    <w:rsid w:val="00F9538F"/>
    <w:rsid w:val="00FB062D"/>
    <w:rsid w:val="00FB7A26"/>
    <w:rsid w:val="00FC1FC0"/>
    <w:rsid w:val="00FC6169"/>
    <w:rsid w:val="00FD31B9"/>
    <w:rsid w:val="00FD64A2"/>
    <w:rsid w:val="00FE1AFE"/>
    <w:rsid w:val="00FE2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8BEBF"/>
  <w15:chartTrackingRefBased/>
  <w15:docId w15:val="{CBB7A73A-8465-42D9-A141-FDA51B048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0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30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30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30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30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0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0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0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0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0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30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30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30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30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0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0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0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06B"/>
    <w:rPr>
      <w:rFonts w:eastAsiaTheme="majorEastAsia" w:cstheme="majorBidi"/>
      <w:color w:val="272727" w:themeColor="text1" w:themeTint="D8"/>
    </w:rPr>
  </w:style>
  <w:style w:type="paragraph" w:styleId="Title">
    <w:name w:val="Title"/>
    <w:basedOn w:val="Normal"/>
    <w:next w:val="Normal"/>
    <w:link w:val="TitleChar"/>
    <w:uiPriority w:val="10"/>
    <w:qFormat/>
    <w:rsid w:val="00E830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0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0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0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06B"/>
    <w:pPr>
      <w:spacing w:before="160"/>
      <w:jc w:val="center"/>
    </w:pPr>
    <w:rPr>
      <w:i/>
      <w:iCs/>
      <w:color w:val="404040" w:themeColor="text1" w:themeTint="BF"/>
    </w:rPr>
  </w:style>
  <w:style w:type="character" w:customStyle="1" w:styleId="QuoteChar">
    <w:name w:val="Quote Char"/>
    <w:basedOn w:val="DefaultParagraphFont"/>
    <w:link w:val="Quote"/>
    <w:uiPriority w:val="29"/>
    <w:rsid w:val="00E8306B"/>
    <w:rPr>
      <w:i/>
      <w:iCs/>
      <w:color w:val="404040" w:themeColor="text1" w:themeTint="BF"/>
    </w:rPr>
  </w:style>
  <w:style w:type="paragraph" w:styleId="ListParagraph">
    <w:name w:val="List Paragraph"/>
    <w:basedOn w:val="Normal"/>
    <w:uiPriority w:val="34"/>
    <w:qFormat/>
    <w:rsid w:val="00E8306B"/>
    <w:pPr>
      <w:ind w:left="720"/>
      <w:contextualSpacing/>
    </w:pPr>
  </w:style>
  <w:style w:type="character" w:styleId="IntenseEmphasis">
    <w:name w:val="Intense Emphasis"/>
    <w:basedOn w:val="DefaultParagraphFont"/>
    <w:uiPriority w:val="21"/>
    <w:qFormat/>
    <w:rsid w:val="00E8306B"/>
    <w:rPr>
      <w:i/>
      <w:iCs/>
      <w:color w:val="0F4761" w:themeColor="accent1" w:themeShade="BF"/>
    </w:rPr>
  </w:style>
  <w:style w:type="paragraph" w:styleId="IntenseQuote">
    <w:name w:val="Intense Quote"/>
    <w:basedOn w:val="Normal"/>
    <w:next w:val="Normal"/>
    <w:link w:val="IntenseQuoteChar"/>
    <w:uiPriority w:val="30"/>
    <w:qFormat/>
    <w:rsid w:val="00E830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06B"/>
    <w:rPr>
      <w:i/>
      <w:iCs/>
      <w:color w:val="0F4761" w:themeColor="accent1" w:themeShade="BF"/>
    </w:rPr>
  </w:style>
  <w:style w:type="character" w:styleId="IntenseReference">
    <w:name w:val="Intense Reference"/>
    <w:basedOn w:val="DefaultParagraphFont"/>
    <w:uiPriority w:val="32"/>
    <w:qFormat/>
    <w:rsid w:val="00E8306B"/>
    <w:rPr>
      <w:b/>
      <w:bCs/>
      <w:smallCaps/>
      <w:color w:val="0F4761" w:themeColor="accent1" w:themeShade="BF"/>
      <w:spacing w:val="5"/>
    </w:rPr>
  </w:style>
  <w:style w:type="paragraph" w:styleId="TOCHeading">
    <w:name w:val="TOC Heading"/>
    <w:basedOn w:val="Heading1"/>
    <w:next w:val="Normal"/>
    <w:uiPriority w:val="39"/>
    <w:unhideWhenUsed/>
    <w:qFormat/>
    <w:rsid w:val="002C399D"/>
    <w:pPr>
      <w:spacing w:before="240" w:after="0" w:line="259" w:lineRule="auto"/>
      <w:outlineLvl w:val="9"/>
    </w:pPr>
    <w:rPr>
      <w:kern w:val="0"/>
      <w:sz w:val="32"/>
      <w:szCs w:val="32"/>
      <w:lang w:val="en-US"/>
      <w14:ligatures w14:val="none"/>
    </w:rPr>
  </w:style>
  <w:style w:type="character" w:styleId="Strong">
    <w:name w:val="Strong"/>
    <w:basedOn w:val="DefaultParagraphFont"/>
    <w:uiPriority w:val="22"/>
    <w:qFormat/>
    <w:rsid w:val="002C399D"/>
    <w:rPr>
      <w:b/>
      <w:bCs/>
    </w:rPr>
  </w:style>
  <w:style w:type="paragraph" w:styleId="TOC1">
    <w:name w:val="toc 1"/>
    <w:basedOn w:val="Normal"/>
    <w:next w:val="Normal"/>
    <w:autoRedefine/>
    <w:uiPriority w:val="39"/>
    <w:unhideWhenUsed/>
    <w:rsid w:val="00611C72"/>
    <w:pPr>
      <w:spacing w:after="100"/>
    </w:pPr>
  </w:style>
  <w:style w:type="character" w:styleId="Hyperlink">
    <w:name w:val="Hyperlink"/>
    <w:basedOn w:val="DefaultParagraphFont"/>
    <w:uiPriority w:val="99"/>
    <w:unhideWhenUsed/>
    <w:rsid w:val="00611C72"/>
    <w:rPr>
      <w:color w:val="467886" w:themeColor="hyperlink"/>
      <w:u w:val="single"/>
    </w:rPr>
  </w:style>
  <w:style w:type="table" w:styleId="TableGrid">
    <w:name w:val="Table Grid"/>
    <w:basedOn w:val="TableNormal"/>
    <w:uiPriority w:val="39"/>
    <w:rsid w:val="00FC61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12DEE"/>
    <w:rPr>
      <w:color w:val="605E5C"/>
      <w:shd w:val="clear" w:color="auto" w:fill="E1DFDD"/>
    </w:rPr>
  </w:style>
  <w:style w:type="character" w:styleId="BookTitle">
    <w:name w:val="Book Title"/>
    <w:basedOn w:val="DefaultParagraphFont"/>
    <w:uiPriority w:val="33"/>
    <w:qFormat/>
    <w:rsid w:val="00F41FD0"/>
    <w:rPr>
      <w:b/>
      <w:bCs/>
      <w:i/>
      <w:iCs/>
      <w:spacing w:val="5"/>
    </w:rPr>
  </w:style>
  <w:style w:type="character" w:styleId="Emphasis">
    <w:name w:val="Emphasis"/>
    <w:basedOn w:val="DefaultParagraphFont"/>
    <w:uiPriority w:val="20"/>
    <w:qFormat/>
    <w:rsid w:val="00F41FD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dafone.com/investors/performance-and-reports/annual-reporting?utm_source=chatgpt.com" TargetMode="External"/><Relationship Id="rId3" Type="http://schemas.openxmlformats.org/officeDocument/2006/relationships/styles" Target="styles.xml"/><Relationship Id="rId7" Type="http://schemas.openxmlformats.org/officeDocument/2006/relationships/hyperlink" Target="https://reports.investors.vodafone.com/view/897876789?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uidance/how-we-are-investigating-the-vodafonethree-potential-merger?utm_source=chatgpt.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vodafonethree.com/news/completion-of-vodafone-and-three-merger-in-the-u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035A4-25F1-4B5D-AD8D-EA945A984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4438</Words>
  <Characters>25297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Rozalia Dragan</dc:creator>
  <cp:keywords/>
  <dc:description/>
  <cp:lastModifiedBy>Rozalia Dragan</cp:lastModifiedBy>
  <cp:revision>2</cp:revision>
  <dcterms:created xsi:type="dcterms:W3CDTF">2026-07-12T14:54:00Z</dcterms:created>
  <dcterms:modified xsi:type="dcterms:W3CDTF">2026-07-12T14:54:00Z</dcterms:modified>
</cp:coreProperties>
</file>