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D1682" w:rsidRDefault="008D1682" w:rsidP="008D1682">
      <w:pPr>
        <w:spacing w:line="259" w:lineRule="auto"/>
        <w:jc w:val="center"/>
        <w:rPr>
          <w:b/>
          <w:sz w:val="48"/>
          <w:szCs w:val="48"/>
        </w:rPr>
      </w:pPr>
    </w:p>
    <w:p w:rsidR="008D1682" w:rsidRDefault="008D1682" w:rsidP="008D1682">
      <w:pPr>
        <w:spacing w:line="259" w:lineRule="auto"/>
        <w:jc w:val="center"/>
        <w:rPr>
          <w:b/>
          <w:sz w:val="48"/>
          <w:szCs w:val="48"/>
        </w:rPr>
      </w:pPr>
      <w:r>
        <w:rPr>
          <w:noProof/>
          <w:lang w:val="en-US"/>
        </w:rPr>
        <w:drawing>
          <wp:inline distT="0" distB="0" distL="0" distR="0" wp14:anchorId="59D10EE2" wp14:editId="5827FD7B">
            <wp:extent cx="2028825" cy="923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28825" cy="923925"/>
                    </a:xfrm>
                    <a:prstGeom prst="rect">
                      <a:avLst/>
                    </a:prstGeom>
                  </pic:spPr>
                </pic:pic>
              </a:graphicData>
            </a:graphic>
          </wp:inline>
        </w:drawing>
      </w:r>
    </w:p>
    <w:p w:rsidR="008D1682" w:rsidRDefault="008D1682" w:rsidP="008D1682">
      <w:pPr>
        <w:spacing w:line="259" w:lineRule="auto"/>
        <w:jc w:val="center"/>
        <w:rPr>
          <w:b/>
          <w:sz w:val="48"/>
          <w:szCs w:val="48"/>
        </w:rPr>
      </w:pPr>
    </w:p>
    <w:p w:rsidR="008D1682" w:rsidRPr="008D1682" w:rsidRDefault="008D1682" w:rsidP="008D1682">
      <w:pPr>
        <w:spacing w:line="259" w:lineRule="auto"/>
        <w:jc w:val="center"/>
        <w:rPr>
          <w:b/>
          <w:sz w:val="48"/>
          <w:szCs w:val="48"/>
        </w:rPr>
      </w:pPr>
      <w:r w:rsidRPr="008D1682">
        <w:rPr>
          <w:b/>
          <w:sz w:val="48"/>
          <w:szCs w:val="48"/>
        </w:rPr>
        <w:t>BMMB7000</w:t>
      </w:r>
    </w:p>
    <w:p w:rsidR="008D1682" w:rsidRDefault="008D1682" w:rsidP="008D1682">
      <w:pPr>
        <w:spacing w:line="259" w:lineRule="auto"/>
        <w:jc w:val="center"/>
        <w:rPr>
          <w:b/>
          <w:sz w:val="48"/>
          <w:szCs w:val="48"/>
        </w:rPr>
      </w:pPr>
      <w:r w:rsidRPr="008D1682">
        <w:rPr>
          <w:b/>
          <w:sz w:val="48"/>
          <w:szCs w:val="48"/>
        </w:rPr>
        <w:t>Change &amp; Stability Management</w:t>
      </w:r>
    </w:p>
    <w:p w:rsidR="008D1682" w:rsidRDefault="008D1682" w:rsidP="008D1682">
      <w:pPr>
        <w:spacing w:line="259" w:lineRule="auto"/>
        <w:jc w:val="center"/>
        <w:rPr>
          <w:b/>
          <w:sz w:val="48"/>
          <w:szCs w:val="48"/>
        </w:rPr>
      </w:pPr>
    </w:p>
    <w:p w:rsidR="008D1682" w:rsidRDefault="008D1682" w:rsidP="008D1682">
      <w:pPr>
        <w:spacing w:line="259" w:lineRule="auto"/>
        <w:jc w:val="center"/>
        <w:rPr>
          <w:b/>
          <w:sz w:val="48"/>
          <w:szCs w:val="48"/>
        </w:rPr>
      </w:pPr>
    </w:p>
    <w:p w:rsidR="008D1682" w:rsidRDefault="008D1682" w:rsidP="008D1682">
      <w:pPr>
        <w:spacing w:line="259" w:lineRule="auto"/>
        <w:jc w:val="center"/>
        <w:rPr>
          <w:b/>
          <w:sz w:val="48"/>
          <w:szCs w:val="48"/>
        </w:rPr>
      </w:pPr>
    </w:p>
    <w:p w:rsidR="008D1682" w:rsidRDefault="008D1682" w:rsidP="008D1682">
      <w:pPr>
        <w:spacing w:line="259" w:lineRule="auto"/>
        <w:jc w:val="center"/>
        <w:rPr>
          <w:b/>
          <w:sz w:val="48"/>
          <w:szCs w:val="48"/>
        </w:rPr>
      </w:pPr>
    </w:p>
    <w:p w:rsidR="008D1682" w:rsidRPr="008D1682" w:rsidRDefault="008D1682" w:rsidP="008D1682">
      <w:pPr>
        <w:spacing w:line="259" w:lineRule="auto"/>
        <w:jc w:val="center"/>
        <w:rPr>
          <w:i/>
          <w:sz w:val="32"/>
          <w:szCs w:val="48"/>
        </w:rPr>
      </w:pPr>
      <w:r w:rsidRPr="008D1682">
        <w:rPr>
          <w:i/>
          <w:sz w:val="32"/>
          <w:szCs w:val="48"/>
        </w:rPr>
        <w:t xml:space="preserve">Submitted by: </w:t>
      </w:r>
      <w:r w:rsidR="004F7677">
        <w:rPr>
          <w:i/>
          <w:sz w:val="32"/>
          <w:szCs w:val="48"/>
        </w:rPr>
        <w:t>Sharika sharma</w:t>
      </w:r>
    </w:p>
    <w:p w:rsidR="008D1682" w:rsidRPr="008D1682" w:rsidRDefault="008D1682" w:rsidP="008D1682">
      <w:pPr>
        <w:spacing w:line="259" w:lineRule="auto"/>
        <w:jc w:val="center"/>
        <w:rPr>
          <w:i/>
          <w:sz w:val="32"/>
          <w:szCs w:val="48"/>
        </w:rPr>
      </w:pPr>
      <w:r w:rsidRPr="008D1682">
        <w:rPr>
          <w:i/>
          <w:sz w:val="32"/>
          <w:szCs w:val="48"/>
        </w:rPr>
        <w:t xml:space="preserve">Student ID: </w:t>
      </w:r>
      <w:r w:rsidR="004F7677">
        <w:rPr>
          <w:i/>
          <w:sz w:val="32"/>
          <w:szCs w:val="48"/>
        </w:rPr>
        <w:t>2225856</w:t>
      </w:r>
    </w:p>
    <w:p w:rsidR="008D1682" w:rsidRPr="008D1682" w:rsidRDefault="008D1682" w:rsidP="008D1682">
      <w:pPr>
        <w:spacing w:line="259" w:lineRule="auto"/>
        <w:jc w:val="center"/>
        <w:rPr>
          <w:rFonts w:eastAsiaTheme="majorEastAsia" w:cstheme="majorBidi"/>
          <w:b/>
          <w:color w:val="000000" w:themeColor="text1"/>
          <w:sz w:val="48"/>
          <w:szCs w:val="48"/>
        </w:rPr>
      </w:pPr>
      <w:r w:rsidRPr="008D1682">
        <w:rPr>
          <w:i/>
          <w:sz w:val="32"/>
          <w:szCs w:val="48"/>
        </w:rPr>
        <w:t>Date of Submission:</w:t>
      </w:r>
      <w:r w:rsidR="002F7289">
        <w:rPr>
          <w:i/>
          <w:sz w:val="32"/>
          <w:szCs w:val="48"/>
        </w:rPr>
        <w:t>28-04-2023</w:t>
      </w:r>
      <w:r w:rsidRPr="008D1682">
        <w:rPr>
          <w:b/>
          <w:sz w:val="48"/>
          <w:szCs w:val="48"/>
        </w:rPr>
        <w:br w:type="page"/>
      </w:r>
    </w:p>
    <w:sdt>
      <w:sdtPr>
        <w:rPr>
          <w:rFonts w:ascii="Times New Roman" w:eastAsiaTheme="minorHAnsi" w:hAnsi="Times New Roman" w:cstheme="minorBidi"/>
          <w:color w:val="auto"/>
          <w:sz w:val="24"/>
          <w:szCs w:val="22"/>
          <w:lang w:val="en-GB"/>
        </w:rPr>
        <w:id w:val="250316913"/>
        <w:docPartObj>
          <w:docPartGallery w:val="Table of Contents"/>
          <w:docPartUnique/>
        </w:docPartObj>
      </w:sdtPr>
      <w:sdtEndPr>
        <w:rPr>
          <w:b/>
          <w:bCs/>
          <w:noProof/>
        </w:rPr>
      </w:sdtEndPr>
      <w:sdtContent>
        <w:p w:rsidR="008D1682" w:rsidRPr="008D1682" w:rsidRDefault="008D1682" w:rsidP="008D1682">
          <w:pPr>
            <w:pStyle w:val="TOCHeading"/>
            <w:jc w:val="center"/>
            <w:rPr>
              <w:rStyle w:val="Heading1Char"/>
            </w:rPr>
          </w:pPr>
          <w:r w:rsidRPr="008D1682">
            <w:rPr>
              <w:rStyle w:val="Heading1Char"/>
            </w:rPr>
            <w:t>Table of Contents</w:t>
          </w:r>
        </w:p>
        <w:p w:rsidR="008D1682" w:rsidRDefault="008D1682">
          <w:pPr>
            <w:pStyle w:val="TOC1"/>
            <w:tabs>
              <w:tab w:val="right" w:leader="dot" w:pos="9350"/>
            </w:tabs>
            <w:rPr>
              <w:noProof/>
            </w:rPr>
          </w:pPr>
          <w:r>
            <w:fldChar w:fldCharType="begin"/>
          </w:r>
          <w:r>
            <w:instrText xml:space="preserve"> TOC \o "1-3" \h \z \u </w:instrText>
          </w:r>
          <w:r>
            <w:fldChar w:fldCharType="separate"/>
          </w:r>
          <w:hyperlink w:anchor="_Toc133379383" w:history="1">
            <w:r w:rsidRPr="00334F7C">
              <w:rPr>
                <w:rStyle w:val="Hyperlink"/>
                <w:noProof/>
              </w:rPr>
              <w:t>Introduction</w:t>
            </w:r>
            <w:r>
              <w:rPr>
                <w:noProof/>
                <w:webHidden/>
              </w:rPr>
              <w:tab/>
            </w:r>
            <w:r>
              <w:rPr>
                <w:noProof/>
                <w:webHidden/>
              </w:rPr>
              <w:fldChar w:fldCharType="begin"/>
            </w:r>
            <w:r>
              <w:rPr>
                <w:noProof/>
                <w:webHidden/>
              </w:rPr>
              <w:instrText xml:space="preserve"> PAGEREF _Toc133379383 \h </w:instrText>
            </w:r>
            <w:r>
              <w:rPr>
                <w:noProof/>
                <w:webHidden/>
              </w:rPr>
            </w:r>
            <w:r>
              <w:rPr>
                <w:noProof/>
                <w:webHidden/>
              </w:rPr>
              <w:fldChar w:fldCharType="separate"/>
            </w:r>
            <w:r>
              <w:rPr>
                <w:noProof/>
                <w:webHidden/>
              </w:rPr>
              <w:t>3</w:t>
            </w:r>
            <w:r>
              <w:rPr>
                <w:noProof/>
                <w:webHidden/>
              </w:rPr>
              <w:fldChar w:fldCharType="end"/>
            </w:r>
          </w:hyperlink>
        </w:p>
        <w:p w:rsidR="008D1682" w:rsidRDefault="00301702">
          <w:pPr>
            <w:pStyle w:val="TOC1"/>
            <w:tabs>
              <w:tab w:val="right" w:leader="dot" w:pos="9350"/>
            </w:tabs>
            <w:rPr>
              <w:noProof/>
            </w:rPr>
          </w:pPr>
          <w:hyperlink w:anchor="_Toc133379384" w:history="1">
            <w:r w:rsidR="008D1682" w:rsidRPr="00334F7C">
              <w:rPr>
                <w:rStyle w:val="Hyperlink"/>
                <w:noProof/>
              </w:rPr>
              <w:t>Organisations and their changing environments – a systems perspective. Behavioural, cognitive, psychodynamic approaches to change.</w:t>
            </w:r>
            <w:r w:rsidR="008D1682">
              <w:rPr>
                <w:noProof/>
                <w:webHidden/>
              </w:rPr>
              <w:tab/>
            </w:r>
            <w:r w:rsidR="008D1682">
              <w:rPr>
                <w:noProof/>
                <w:webHidden/>
              </w:rPr>
              <w:fldChar w:fldCharType="begin"/>
            </w:r>
            <w:r w:rsidR="008D1682">
              <w:rPr>
                <w:noProof/>
                <w:webHidden/>
              </w:rPr>
              <w:instrText xml:space="preserve"> PAGEREF _Toc133379384 \h </w:instrText>
            </w:r>
            <w:r w:rsidR="008D1682">
              <w:rPr>
                <w:noProof/>
                <w:webHidden/>
              </w:rPr>
            </w:r>
            <w:r w:rsidR="008D1682">
              <w:rPr>
                <w:noProof/>
                <w:webHidden/>
              </w:rPr>
              <w:fldChar w:fldCharType="separate"/>
            </w:r>
            <w:r w:rsidR="008D1682">
              <w:rPr>
                <w:noProof/>
                <w:webHidden/>
              </w:rPr>
              <w:t>3</w:t>
            </w:r>
            <w:r w:rsidR="008D1682">
              <w:rPr>
                <w:noProof/>
                <w:webHidden/>
              </w:rPr>
              <w:fldChar w:fldCharType="end"/>
            </w:r>
          </w:hyperlink>
        </w:p>
        <w:p w:rsidR="008D1682" w:rsidRDefault="00301702">
          <w:pPr>
            <w:pStyle w:val="TOC1"/>
            <w:tabs>
              <w:tab w:val="right" w:leader="dot" w:pos="9350"/>
            </w:tabs>
            <w:rPr>
              <w:noProof/>
            </w:rPr>
          </w:pPr>
          <w:hyperlink w:anchor="_Toc133379385" w:history="1">
            <w:r w:rsidR="008D1682" w:rsidRPr="00334F7C">
              <w:rPr>
                <w:rStyle w:val="Hyperlink"/>
                <w:noProof/>
              </w:rPr>
              <w:t>Evaluation of key change typologies; the OD process; the planned and emergent approaches to change.</w:t>
            </w:r>
            <w:r w:rsidR="008D1682">
              <w:rPr>
                <w:noProof/>
                <w:webHidden/>
              </w:rPr>
              <w:tab/>
            </w:r>
            <w:r w:rsidR="008D1682">
              <w:rPr>
                <w:noProof/>
                <w:webHidden/>
              </w:rPr>
              <w:fldChar w:fldCharType="begin"/>
            </w:r>
            <w:r w:rsidR="008D1682">
              <w:rPr>
                <w:noProof/>
                <w:webHidden/>
              </w:rPr>
              <w:instrText xml:space="preserve"> PAGEREF _Toc133379385 \h </w:instrText>
            </w:r>
            <w:r w:rsidR="008D1682">
              <w:rPr>
                <w:noProof/>
                <w:webHidden/>
              </w:rPr>
            </w:r>
            <w:r w:rsidR="008D1682">
              <w:rPr>
                <w:noProof/>
                <w:webHidden/>
              </w:rPr>
              <w:fldChar w:fldCharType="separate"/>
            </w:r>
            <w:r w:rsidR="008D1682">
              <w:rPr>
                <w:noProof/>
                <w:webHidden/>
              </w:rPr>
              <w:t>4</w:t>
            </w:r>
            <w:r w:rsidR="008D1682">
              <w:rPr>
                <w:noProof/>
                <w:webHidden/>
              </w:rPr>
              <w:fldChar w:fldCharType="end"/>
            </w:r>
          </w:hyperlink>
        </w:p>
        <w:p w:rsidR="008D1682" w:rsidRDefault="00301702">
          <w:pPr>
            <w:pStyle w:val="TOC1"/>
            <w:tabs>
              <w:tab w:val="right" w:leader="dot" w:pos="9350"/>
            </w:tabs>
            <w:rPr>
              <w:noProof/>
            </w:rPr>
          </w:pPr>
          <w:hyperlink w:anchor="_Toc133379386" w:history="1">
            <w:r w:rsidR="008D1682" w:rsidRPr="00334F7C">
              <w:rPr>
                <w:rStyle w:val="Hyperlink"/>
                <w:noProof/>
              </w:rPr>
              <w:t>The human and social impact of change - the ‘coping cycle’; ownership, personality factors and the impact on the psychological contract between the employee and employer.</w:t>
            </w:r>
            <w:r w:rsidR="008D1682">
              <w:rPr>
                <w:noProof/>
                <w:webHidden/>
              </w:rPr>
              <w:tab/>
            </w:r>
            <w:r w:rsidR="008D1682">
              <w:rPr>
                <w:noProof/>
                <w:webHidden/>
              </w:rPr>
              <w:fldChar w:fldCharType="begin"/>
            </w:r>
            <w:r w:rsidR="008D1682">
              <w:rPr>
                <w:noProof/>
                <w:webHidden/>
              </w:rPr>
              <w:instrText xml:space="preserve"> PAGEREF _Toc133379386 \h </w:instrText>
            </w:r>
            <w:r w:rsidR="008D1682">
              <w:rPr>
                <w:noProof/>
                <w:webHidden/>
              </w:rPr>
            </w:r>
            <w:r w:rsidR="008D1682">
              <w:rPr>
                <w:noProof/>
                <w:webHidden/>
              </w:rPr>
              <w:fldChar w:fldCharType="separate"/>
            </w:r>
            <w:r w:rsidR="008D1682">
              <w:rPr>
                <w:noProof/>
                <w:webHidden/>
              </w:rPr>
              <w:t>5</w:t>
            </w:r>
            <w:r w:rsidR="008D1682">
              <w:rPr>
                <w:noProof/>
                <w:webHidden/>
              </w:rPr>
              <w:fldChar w:fldCharType="end"/>
            </w:r>
          </w:hyperlink>
        </w:p>
        <w:p w:rsidR="008D1682" w:rsidRDefault="00301702">
          <w:pPr>
            <w:pStyle w:val="TOC1"/>
            <w:tabs>
              <w:tab w:val="right" w:leader="dot" w:pos="9350"/>
            </w:tabs>
            <w:rPr>
              <w:noProof/>
            </w:rPr>
          </w:pPr>
          <w:hyperlink w:anchor="_Toc133379387" w:history="1">
            <w:r w:rsidR="008D1682" w:rsidRPr="00334F7C">
              <w:rPr>
                <w:rStyle w:val="Hyperlink"/>
                <w:noProof/>
              </w:rPr>
              <w:t>The paradox of managerial and leadership roles and responsibilities in devising and implementing change – devising strategies for dealing productively with resistance to change and the need for effective stakeholder engagement</w:t>
            </w:r>
            <w:r w:rsidR="008D1682">
              <w:rPr>
                <w:noProof/>
                <w:webHidden/>
              </w:rPr>
              <w:tab/>
            </w:r>
            <w:r w:rsidR="008D1682">
              <w:rPr>
                <w:noProof/>
                <w:webHidden/>
              </w:rPr>
              <w:fldChar w:fldCharType="begin"/>
            </w:r>
            <w:r w:rsidR="008D1682">
              <w:rPr>
                <w:noProof/>
                <w:webHidden/>
              </w:rPr>
              <w:instrText xml:space="preserve"> PAGEREF _Toc133379387 \h </w:instrText>
            </w:r>
            <w:r w:rsidR="008D1682">
              <w:rPr>
                <w:noProof/>
                <w:webHidden/>
              </w:rPr>
            </w:r>
            <w:r w:rsidR="008D1682">
              <w:rPr>
                <w:noProof/>
                <w:webHidden/>
              </w:rPr>
              <w:fldChar w:fldCharType="separate"/>
            </w:r>
            <w:r w:rsidR="008D1682">
              <w:rPr>
                <w:noProof/>
                <w:webHidden/>
              </w:rPr>
              <w:t>6</w:t>
            </w:r>
            <w:r w:rsidR="008D1682">
              <w:rPr>
                <w:noProof/>
                <w:webHidden/>
              </w:rPr>
              <w:fldChar w:fldCharType="end"/>
            </w:r>
          </w:hyperlink>
        </w:p>
        <w:p w:rsidR="008D1682" w:rsidRDefault="00301702">
          <w:pPr>
            <w:pStyle w:val="TOC1"/>
            <w:tabs>
              <w:tab w:val="right" w:leader="dot" w:pos="9350"/>
            </w:tabs>
            <w:rPr>
              <w:noProof/>
            </w:rPr>
          </w:pPr>
          <w:hyperlink w:anchor="_Toc133379388" w:history="1">
            <w:r w:rsidR="008D1682" w:rsidRPr="00334F7C">
              <w:rPr>
                <w:rStyle w:val="Hyperlink"/>
                <w:noProof/>
              </w:rPr>
              <w:t>Team and organisational change. Leading change, different styles and skills for different phases of change.</w:t>
            </w:r>
            <w:r w:rsidR="008D1682">
              <w:rPr>
                <w:noProof/>
                <w:webHidden/>
              </w:rPr>
              <w:tab/>
            </w:r>
            <w:r w:rsidR="008D1682">
              <w:rPr>
                <w:noProof/>
                <w:webHidden/>
              </w:rPr>
              <w:fldChar w:fldCharType="begin"/>
            </w:r>
            <w:r w:rsidR="008D1682">
              <w:rPr>
                <w:noProof/>
                <w:webHidden/>
              </w:rPr>
              <w:instrText xml:space="preserve"> PAGEREF _Toc133379388 \h </w:instrText>
            </w:r>
            <w:r w:rsidR="008D1682">
              <w:rPr>
                <w:noProof/>
                <w:webHidden/>
              </w:rPr>
            </w:r>
            <w:r w:rsidR="008D1682">
              <w:rPr>
                <w:noProof/>
                <w:webHidden/>
              </w:rPr>
              <w:fldChar w:fldCharType="separate"/>
            </w:r>
            <w:r w:rsidR="008D1682">
              <w:rPr>
                <w:noProof/>
                <w:webHidden/>
              </w:rPr>
              <w:t>7</w:t>
            </w:r>
            <w:r w:rsidR="008D1682">
              <w:rPr>
                <w:noProof/>
                <w:webHidden/>
              </w:rPr>
              <w:fldChar w:fldCharType="end"/>
            </w:r>
          </w:hyperlink>
        </w:p>
        <w:p w:rsidR="008D1682" w:rsidRDefault="00301702">
          <w:pPr>
            <w:pStyle w:val="TOC1"/>
            <w:tabs>
              <w:tab w:val="right" w:leader="dot" w:pos="9350"/>
            </w:tabs>
            <w:rPr>
              <w:noProof/>
            </w:rPr>
          </w:pPr>
          <w:hyperlink w:anchor="_Toc133379389" w:history="1">
            <w:r w:rsidR="008D1682" w:rsidRPr="00334F7C">
              <w:rPr>
                <w:rStyle w:val="Hyperlink"/>
                <w:noProof/>
              </w:rPr>
              <w:t>Change in practice through restructuring, mergers and acquisitions, cultural and technologically driven change; reputational damage, repair and recovery.</w:t>
            </w:r>
            <w:r w:rsidR="008D1682">
              <w:rPr>
                <w:noProof/>
                <w:webHidden/>
              </w:rPr>
              <w:tab/>
            </w:r>
            <w:r w:rsidR="008D1682">
              <w:rPr>
                <w:noProof/>
                <w:webHidden/>
              </w:rPr>
              <w:fldChar w:fldCharType="begin"/>
            </w:r>
            <w:r w:rsidR="008D1682">
              <w:rPr>
                <w:noProof/>
                <w:webHidden/>
              </w:rPr>
              <w:instrText xml:space="preserve"> PAGEREF _Toc133379389 \h </w:instrText>
            </w:r>
            <w:r w:rsidR="008D1682">
              <w:rPr>
                <w:noProof/>
                <w:webHidden/>
              </w:rPr>
            </w:r>
            <w:r w:rsidR="008D1682">
              <w:rPr>
                <w:noProof/>
                <w:webHidden/>
              </w:rPr>
              <w:fldChar w:fldCharType="separate"/>
            </w:r>
            <w:r w:rsidR="008D1682">
              <w:rPr>
                <w:noProof/>
                <w:webHidden/>
              </w:rPr>
              <w:t>9</w:t>
            </w:r>
            <w:r w:rsidR="008D1682">
              <w:rPr>
                <w:noProof/>
                <w:webHidden/>
              </w:rPr>
              <w:fldChar w:fldCharType="end"/>
            </w:r>
          </w:hyperlink>
        </w:p>
        <w:p w:rsidR="008D1682" w:rsidRDefault="00301702">
          <w:pPr>
            <w:pStyle w:val="TOC1"/>
            <w:tabs>
              <w:tab w:val="right" w:leader="dot" w:pos="9350"/>
            </w:tabs>
            <w:rPr>
              <w:noProof/>
            </w:rPr>
          </w:pPr>
          <w:hyperlink w:anchor="_Toc133379390" w:history="1">
            <w:r w:rsidR="008D1682" w:rsidRPr="00334F7C">
              <w:rPr>
                <w:rStyle w:val="Hyperlink"/>
                <w:noProof/>
              </w:rPr>
              <w:t>The development of the innovative organisation, with particular reference to the impact of the sharing economy on the delivery of established business models</w:t>
            </w:r>
            <w:r w:rsidR="008D1682">
              <w:rPr>
                <w:noProof/>
                <w:webHidden/>
              </w:rPr>
              <w:tab/>
            </w:r>
            <w:r w:rsidR="008D1682">
              <w:rPr>
                <w:noProof/>
                <w:webHidden/>
              </w:rPr>
              <w:fldChar w:fldCharType="begin"/>
            </w:r>
            <w:r w:rsidR="008D1682">
              <w:rPr>
                <w:noProof/>
                <w:webHidden/>
              </w:rPr>
              <w:instrText xml:space="preserve"> PAGEREF _Toc133379390 \h </w:instrText>
            </w:r>
            <w:r w:rsidR="008D1682">
              <w:rPr>
                <w:noProof/>
                <w:webHidden/>
              </w:rPr>
            </w:r>
            <w:r w:rsidR="008D1682">
              <w:rPr>
                <w:noProof/>
                <w:webHidden/>
              </w:rPr>
              <w:fldChar w:fldCharType="separate"/>
            </w:r>
            <w:r w:rsidR="008D1682">
              <w:rPr>
                <w:noProof/>
                <w:webHidden/>
              </w:rPr>
              <w:t>10</w:t>
            </w:r>
            <w:r w:rsidR="008D1682">
              <w:rPr>
                <w:noProof/>
                <w:webHidden/>
              </w:rPr>
              <w:fldChar w:fldCharType="end"/>
            </w:r>
          </w:hyperlink>
        </w:p>
        <w:p w:rsidR="008D1682" w:rsidRDefault="00301702">
          <w:pPr>
            <w:pStyle w:val="TOC1"/>
            <w:tabs>
              <w:tab w:val="right" w:leader="dot" w:pos="9350"/>
            </w:tabs>
            <w:rPr>
              <w:noProof/>
            </w:rPr>
          </w:pPr>
          <w:hyperlink w:anchor="_Toc133379391" w:history="1">
            <w:r w:rsidR="008D1682" w:rsidRPr="00334F7C">
              <w:rPr>
                <w:rStyle w:val="Hyperlink"/>
                <w:noProof/>
              </w:rPr>
              <w:t>Conclusion</w:t>
            </w:r>
            <w:r w:rsidR="008D1682">
              <w:rPr>
                <w:noProof/>
                <w:webHidden/>
              </w:rPr>
              <w:tab/>
            </w:r>
            <w:r w:rsidR="008D1682">
              <w:rPr>
                <w:noProof/>
                <w:webHidden/>
              </w:rPr>
              <w:fldChar w:fldCharType="begin"/>
            </w:r>
            <w:r w:rsidR="008D1682">
              <w:rPr>
                <w:noProof/>
                <w:webHidden/>
              </w:rPr>
              <w:instrText xml:space="preserve"> PAGEREF _Toc133379391 \h </w:instrText>
            </w:r>
            <w:r w:rsidR="008D1682">
              <w:rPr>
                <w:noProof/>
                <w:webHidden/>
              </w:rPr>
            </w:r>
            <w:r w:rsidR="008D1682">
              <w:rPr>
                <w:noProof/>
                <w:webHidden/>
              </w:rPr>
              <w:fldChar w:fldCharType="separate"/>
            </w:r>
            <w:r w:rsidR="008D1682">
              <w:rPr>
                <w:noProof/>
                <w:webHidden/>
              </w:rPr>
              <w:t>10</w:t>
            </w:r>
            <w:r w:rsidR="008D1682">
              <w:rPr>
                <w:noProof/>
                <w:webHidden/>
              </w:rPr>
              <w:fldChar w:fldCharType="end"/>
            </w:r>
          </w:hyperlink>
        </w:p>
        <w:p w:rsidR="008D1682" w:rsidRDefault="00301702">
          <w:pPr>
            <w:pStyle w:val="TOC1"/>
            <w:tabs>
              <w:tab w:val="right" w:leader="dot" w:pos="9350"/>
            </w:tabs>
            <w:rPr>
              <w:noProof/>
            </w:rPr>
          </w:pPr>
          <w:hyperlink w:anchor="_Toc133379392" w:history="1">
            <w:r w:rsidR="008D1682" w:rsidRPr="00334F7C">
              <w:rPr>
                <w:rStyle w:val="Hyperlink"/>
                <w:noProof/>
              </w:rPr>
              <w:t>References</w:t>
            </w:r>
            <w:r w:rsidR="008D1682">
              <w:rPr>
                <w:noProof/>
                <w:webHidden/>
              </w:rPr>
              <w:tab/>
            </w:r>
            <w:r w:rsidR="008D1682">
              <w:rPr>
                <w:noProof/>
                <w:webHidden/>
              </w:rPr>
              <w:fldChar w:fldCharType="begin"/>
            </w:r>
            <w:r w:rsidR="008D1682">
              <w:rPr>
                <w:noProof/>
                <w:webHidden/>
              </w:rPr>
              <w:instrText xml:space="preserve"> PAGEREF _Toc133379392 \h </w:instrText>
            </w:r>
            <w:r w:rsidR="008D1682">
              <w:rPr>
                <w:noProof/>
                <w:webHidden/>
              </w:rPr>
            </w:r>
            <w:r w:rsidR="008D1682">
              <w:rPr>
                <w:noProof/>
                <w:webHidden/>
              </w:rPr>
              <w:fldChar w:fldCharType="separate"/>
            </w:r>
            <w:r w:rsidR="008D1682">
              <w:rPr>
                <w:noProof/>
                <w:webHidden/>
              </w:rPr>
              <w:t>11</w:t>
            </w:r>
            <w:r w:rsidR="008D1682">
              <w:rPr>
                <w:noProof/>
                <w:webHidden/>
              </w:rPr>
              <w:fldChar w:fldCharType="end"/>
            </w:r>
          </w:hyperlink>
        </w:p>
        <w:p w:rsidR="008D1682" w:rsidRDefault="008D1682">
          <w:r>
            <w:rPr>
              <w:b/>
              <w:bCs/>
              <w:noProof/>
            </w:rPr>
            <w:fldChar w:fldCharType="end"/>
          </w:r>
        </w:p>
      </w:sdtContent>
    </w:sdt>
    <w:p w:rsidR="008D1682" w:rsidRDefault="008D1682">
      <w:pPr>
        <w:spacing w:line="259" w:lineRule="auto"/>
        <w:jc w:val="left"/>
        <w:rPr>
          <w:rFonts w:eastAsiaTheme="majorEastAsia" w:cstheme="majorBidi"/>
          <w:b/>
          <w:color w:val="000000" w:themeColor="text1"/>
          <w:szCs w:val="32"/>
        </w:rPr>
      </w:pPr>
      <w:r>
        <w:br w:type="page"/>
      </w:r>
    </w:p>
    <w:p w:rsidR="00341887" w:rsidRDefault="004F3EBF" w:rsidP="004F3EBF">
      <w:pPr>
        <w:pStyle w:val="Heading1"/>
      </w:pPr>
      <w:bookmarkStart w:id="0" w:name="_Toc133379383"/>
      <w:r>
        <w:t>Introduction</w:t>
      </w:r>
      <w:bookmarkEnd w:id="0"/>
    </w:p>
    <w:p w:rsidR="00F257D3" w:rsidRDefault="00F257D3" w:rsidP="00F257D3">
      <w:r>
        <w:t>In today's rapidly evolving business environment, organisations need to be adept at negotiating complicated and ever-changing challenges to maintain their competitive edge. New developments in technology and rising consumer expectations are only a few of these obstacles. Businesses need to welcome change and foster an inventive culture if they are to remain competitive and resilient in the face of upheaval. This necessitates the deployment of effective strategies for managing change. Strategies in this area should focus on getting input from relevant parties, overcoming resistance, and inspiring the development of novel business models that reflect the state of the market.</w:t>
      </w:r>
    </w:p>
    <w:p w:rsidR="004F3EBF" w:rsidRDefault="004F3EBF" w:rsidP="004F3EBF">
      <w:pPr>
        <w:pStyle w:val="Heading1"/>
      </w:pPr>
      <w:bookmarkStart w:id="1" w:name="_Toc133379384"/>
      <w:r>
        <w:t>Organisations and their changing environments – a systems perspective. Behavioural, cognitive, psychodynamic approaches to change.</w:t>
      </w:r>
      <w:bookmarkEnd w:id="1"/>
    </w:p>
    <w:p w:rsidR="004F3EBF" w:rsidRDefault="004F3EBF" w:rsidP="004F3EBF">
      <w:r>
        <w:t>It is no secret that CEOs are struggling with management issues on the cricket pitch.</w:t>
      </w:r>
      <w:r w:rsidR="00F01B36">
        <w:t xml:space="preserve"> </w:t>
      </w:r>
      <w:r>
        <w:t xml:space="preserve">Complex in nature, organisations must adapt to a world that is always shifting. Organisations need to change as they engage with their internal and external environments. </w:t>
      </w:r>
      <w:r w:rsidR="00436E68">
        <w:t xml:space="preserve">As discussed by </w:t>
      </w:r>
      <w:r w:rsidR="00436E68">
        <w:rPr>
          <w:lang w:val="en-US"/>
        </w:rPr>
        <w:t>Svibovich (</w:t>
      </w:r>
      <w:r w:rsidR="00436E68" w:rsidRPr="00436E68">
        <w:rPr>
          <w:lang w:val="en-US"/>
        </w:rPr>
        <w:t>2020</w:t>
      </w:r>
      <w:r w:rsidR="00436E68">
        <w:rPr>
          <w:lang w:val="en-US"/>
        </w:rPr>
        <w:t xml:space="preserve">), </w:t>
      </w:r>
      <w:r w:rsidR="00436E68">
        <w:t>u</w:t>
      </w:r>
      <w:r>
        <w:t xml:space="preserve">nderstanding the nature of change and how to successfully manage it may be gained via adopting a systems approach, which takes into account the organisation as a whole and the interdependencies between its many components. Organisational change may be understood and facilitated from several perspectives, including </w:t>
      </w:r>
      <w:r w:rsidR="00F01B36">
        <w:t xml:space="preserve">cognitive, </w:t>
      </w:r>
      <w:r>
        <w:t>behavioural, and psychodynamic methods.</w:t>
      </w:r>
    </w:p>
    <w:p w:rsidR="004F3EBF" w:rsidRDefault="004F3EBF" w:rsidP="004F3EBF">
      <w:r>
        <w:t>The people and their responses and interactions inside an organisation are the focal point of the behavioural approach to change. Understanding the environment in which conduct happens and the variables that inspire and push individuals to act in particular ways is emphasised by this viewpoint.</w:t>
      </w:r>
      <w:r w:rsidR="00F15EF5">
        <w:t xml:space="preserve"> As underpinned by </w:t>
      </w:r>
      <w:r w:rsidR="00F15EF5" w:rsidRPr="00436E68">
        <w:rPr>
          <w:lang w:val="en-US"/>
        </w:rPr>
        <w:t>Petrigl</w:t>
      </w:r>
      <w:r w:rsidR="00F15EF5">
        <w:rPr>
          <w:lang w:val="en-US"/>
        </w:rPr>
        <w:t>ieri and Petriglieri, (</w:t>
      </w:r>
      <w:r w:rsidR="00F15EF5" w:rsidRPr="00436E68">
        <w:rPr>
          <w:lang w:val="en-US"/>
        </w:rPr>
        <w:t>2020</w:t>
      </w:r>
      <w:r w:rsidR="00F15EF5">
        <w:rPr>
          <w:lang w:val="en-US"/>
        </w:rPr>
        <w:t>),</w:t>
      </w:r>
      <w:r w:rsidR="00F15EF5">
        <w:t xml:space="preserve"> l</w:t>
      </w:r>
      <w:r>
        <w:t>eaders may learn more about the factors that contribute to resistance or support for change by analysing the connections between people, their surroundings, and their actions. Interventions based on this theory can include coaching and mentoring programmes, reorganizational adjustments, or the use of incentives and rewards to foster the desired behaviour. The behavioural approach acknowledges that people are influenced by their surroundings and that making changes to the environment may result in substantial improvements for the business.</w:t>
      </w:r>
    </w:p>
    <w:p w:rsidR="004F3EBF" w:rsidRDefault="004F3EBF" w:rsidP="004F3EBF">
      <w:r>
        <w:t xml:space="preserve">On the other side, people's perceptions, interpretations, and overall understanding of their surroundings are at the centre of the cognitive approach to transformation. According to this view, the effectiveness of efforts to bring about change depends critically on the way in which individuals' minds work. </w:t>
      </w:r>
      <w:r w:rsidR="00F15EF5">
        <w:t xml:space="preserve">However, </w:t>
      </w:r>
      <w:r w:rsidR="00F15EF5" w:rsidRPr="00F15EF5">
        <w:rPr>
          <w:lang w:val="en-US"/>
        </w:rPr>
        <w:t>Hornung</w:t>
      </w:r>
      <w:r w:rsidR="00F15EF5">
        <w:rPr>
          <w:lang w:val="en-US"/>
        </w:rPr>
        <w:t xml:space="preserve"> </w:t>
      </w:r>
      <w:r w:rsidR="00F15EF5" w:rsidRPr="00F15EF5">
        <w:rPr>
          <w:lang w:val="en-US"/>
        </w:rPr>
        <w:t xml:space="preserve">and Höge, </w:t>
      </w:r>
      <w:r w:rsidR="00F15EF5">
        <w:rPr>
          <w:lang w:val="en-US"/>
        </w:rPr>
        <w:t>(</w:t>
      </w:r>
      <w:r w:rsidR="00F15EF5" w:rsidRPr="00F15EF5">
        <w:rPr>
          <w:lang w:val="en-US"/>
        </w:rPr>
        <w:t>2021</w:t>
      </w:r>
      <w:r w:rsidR="00F15EF5">
        <w:rPr>
          <w:lang w:val="en-US"/>
        </w:rPr>
        <w:t>) contradicted that c</w:t>
      </w:r>
      <w:r>
        <w:t>hange can be aided or hampered by cognitive elements, such as beliefs, attitudes, and mental models, depending on how well they correspond with the intended results. Leaders may take advantage of the cognitive method by promoting a climate of lifelong learning, building an environment where all workers feel safe sharing their thoughts and ideas, and offering regular opportunity for employees to question and reconsider their own worldviews. Organisations may foster a culture where employees are more open to and supportive of new ways of thinking and functioning if they remove the mental obstacles that stand in the way of this transition.</w:t>
      </w:r>
    </w:p>
    <w:p w:rsidR="00F01B36" w:rsidRPr="00F01B36" w:rsidRDefault="00F01B36" w:rsidP="00F01B36">
      <w:r w:rsidRPr="00F01B36">
        <w:t xml:space="preserve">The psychodynamic method, on the other hand, looks under the surface to factors like emotions and impulses when analysing employee behaviour. This is in contrast to the approach taken by behavioural economics, which places greater emphasis on outward manifestations of conduct. According to this theory, businesses and their efforts to execute change may suffer if employees' actions are influenced by unresolved trauma, interpersonal conflicts, or other issues. The organisation' chances of effectively implementing change may be diminished as a result. </w:t>
      </w:r>
    </w:p>
    <w:p w:rsidR="00F01B36" w:rsidRDefault="00F01B36" w:rsidP="00F01B36">
      <w:pPr>
        <w:rPr>
          <w:b/>
        </w:rPr>
      </w:pPr>
      <w:r w:rsidRPr="00F01B36">
        <w:t xml:space="preserve">Identifying and addressing the underlying emotional currents inside an organisation may help it become more flexible in the face of change and provide a more psychologically secure setting for its employees. </w:t>
      </w:r>
      <w:r w:rsidR="00F15EF5">
        <w:t xml:space="preserve">As opined by </w:t>
      </w:r>
      <w:r w:rsidR="00F15EF5">
        <w:rPr>
          <w:lang w:val="en-US"/>
        </w:rPr>
        <w:t>Hornung and Höge, (</w:t>
      </w:r>
      <w:r w:rsidR="00F15EF5" w:rsidRPr="00F15EF5">
        <w:rPr>
          <w:lang w:val="en-US"/>
        </w:rPr>
        <w:t>2021</w:t>
      </w:r>
      <w:r w:rsidR="00F15EF5">
        <w:rPr>
          <w:lang w:val="en-US"/>
        </w:rPr>
        <w:t xml:space="preserve">), </w:t>
      </w:r>
      <w:r w:rsidRPr="00F01B36">
        <w:t xml:space="preserve">management at the highest levels of an organisation. This new information will be invaluable to the researcher as they attempt to predict how leadership might fare in the face of legal and social challenges like climate change, artificial intelligence, inclusion, and diversity. Executives in charge of human resources in any given organisation need to be well-versed in a wide range of disciplines to do their jobs effectively. </w:t>
      </w:r>
    </w:p>
    <w:p w:rsidR="004F3EBF" w:rsidRDefault="004F3EBF" w:rsidP="00F01B36">
      <w:pPr>
        <w:pStyle w:val="Heading1"/>
      </w:pPr>
      <w:bookmarkStart w:id="2" w:name="_Toc133379385"/>
      <w:r>
        <w:t>Evaluation of key change typologies; the OD process; the planned and emergent approaches to change.</w:t>
      </w:r>
      <w:bookmarkEnd w:id="2"/>
    </w:p>
    <w:p w:rsidR="00F01B36" w:rsidRDefault="00F01B36" w:rsidP="00F01B36">
      <w:r>
        <w:t>Since organisational change is a necessary part of every organisation's development and progress, understanding the different change typologies is essential for effective management. Insights into the effective management of change may be gleaned from analysing important change typologies and comparing planned and emergent approaches to change. To achieve this goal, familiarity with the Organisational Development (OD) approach is necessary.</w:t>
      </w:r>
    </w:p>
    <w:p w:rsidR="00F01B36" w:rsidRDefault="00F01B36" w:rsidP="00F01B36">
      <w:r>
        <w:t>Organisations go through a wide variety of changes, and it can be difficult to keep track of them all without a system for categorising and comprehending them. There are many different kinds of change, but three of the most essential are developmental, transitional, and transformative</w:t>
      </w:r>
      <w:r w:rsidR="00F15EF5">
        <w:t xml:space="preserve"> (</w:t>
      </w:r>
      <w:r w:rsidR="00F15EF5" w:rsidRPr="00F15EF5">
        <w:rPr>
          <w:lang w:val="en-US"/>
        </w:rPr>
        <w:t>Santa-Maria</w:t>
      </w:r>
      <w:r w:rsidR="00F15EF5">
        <w:rPr>
          <w:lang w:val="en-US"/>
        </w:rPr>
        <w:t xml:space="preserve"> </w:t>
      </w:r>
      <w:r w:rsidR="00F15EF5">
        <w:rPr>
          <w:i/>
          <w:lang w:val="en-US"/>
        </w:rPr>
        <w:t xml:space="preserve">et al., </w:t>
      </w:r>
      <w:r w:rsidR="00F15EF5">
        <w:rPr>
          <w:lang w:val="en-US"/>
        </w:rPr>
        <w:t>2021</w:t>
      </w:r>
      <w:r w:rsidR="00F15EF5">
        <w:t>)</w:t>
      </w:r>
      <w:r>
        <w:t>. Small, gradual alterations to established procedures, structures, or systems are the hallmark of progressive change, the ultimate aim of which is to improve the organization's efficiency or effectiveness. A transformation in transition is the process of changing from one state to another. This may involve adopting cutting-edge tech, restructuring internal processes, or even merging with another company. "Transformational change" describes a dramatic shift in an organi</w:t>
      </w:r>
      <w:r w:rsidR="008D1682">
        <w:t>s</w:t>
      </w:r>
      <w:r>
        <w:t>ation's strategy, culture, or identity in response to significant external pressures or opportunities. Organisational leaders may improve the odds of their tactics and measures succeeding by first identifying the type of change their company is experiencing and then adapting their plans appropriately.</w:t>
      </w:r>
    </w:p>
    <w:p w:rsidR="00F01B36" w:rsidRDefault="00F01B36" w:rsidP="00F01B36">
      <w:r>
        <w:t xml:space="preserve">The Organisational Development process is a structured and rigorous approach to facilitating organisational transformation. The goal of this shift is usually to boost productivity and morale in the workplace as a whole. </w:t>
      </w:r>
      <w:r w:rsidR="00F15EF5">
        <w:t xml:space="preserve">As opined by </w:t>
      </w:r>
      <w:r w:rsidR="00F15EF5" w:rsidRPr="00F15EF5">
        <w:rPr>
          <w:lang w:val="en-US"/>
        </w:rPr>
        <w:t>Reed</w:t>
      </w:r>
      <w:r w:rsidR="00F15EF5">
        <w:t xml:space="preserve"> </w:t>
      </w:r>
      <w:r w:rsidR="00F15EF5">
        <w:rPr>
          <w:i/>
        </w:rPr>
        <w:t xml:space="preserve">et al., </w:t>
      </w:r>
      <w:r w:rsidR="00F15EF5">
        <w:t>(2021), d</w:t>
      </w:r>
      <w:r>
        <w:t>iagnosis, data collection, feedback, action, assessment, and institutionalisation are all possible phases in the process. Different from the process of acquiring relevant information to support decision-making, which is known as diagnosis, is the process of diagnosing the underlying challenges or opportunities that are driving the need for change. Feedback is sharing the findings with relevant parties, and intervention is taking action in response to the findings, whether they be problems or promising new avenues. Evaluating interventions requires keeping tabs on and studying their effects, while institutionalising them means incorporating them into an organization's every</w:t>
      </w:r>
      <w:r w:rsidR="00220CCA">
        <w:t>-</w:t>
      </w:r>
      <w:r>
        <w:t>day practises, values, and structures.</w:t>
      </w:r>
    </w:p>
    <w:p w:rsidR="00F01B36" w:rsidRDefault="00F01B36" w:rsidP="00F01B36">
      <w:r>
        <w:t>In contrast, planned change approaches make a determined, top-down effort to implement certain changes inside an organisation, often in line with a process or road map that has been clearly and concisely described</w:t>
      </w:r>
      <w:r w:rsidR="00F15EF5">
        <w:t xml:space="preserve"> (</w:t>
      </w:r>
      <w:r w:rsidR="00F15EF5" w:rsidRPr="00F15EF5">
        <w:rPr>
          <w:lang w:val="en-US"/>
        </w:rPr>
        <w:t>Doern</w:t>
      </w:r>
      <w:r w:rsidR="00F15EF5">
        <w:rPr>
          <w:lang w:val="en-US"/>
        </w:rPr>
        <w:t xml:space="preserve"> </w:t>
      </w:r>
      <w:r w:rsidR="00F15EF5">
        <w:rPr>
          <w:i/>
          <w:lang w:val="en-US"/>
        </w:rPr>
        <w:t xml:space="preserve">et al. </w:t>
      </w:r>
      <w:r w:rsidR="00F15EF5">
        <w:rPr>
          <w:lang w:val="en-US"/>
        </w:rPr>
        <w:t>2019</w:t>
      </w:r>
      <w:r w:rsidR="00F15EF5">
        <w:t>)</w:t>
      </w:r>
      <w:r>
        <w:t>. This approach assumes that with sufficient forethought, planning, and oversight, organisational change can be directed and managed. It is common practise for planned change to need the development of clear goals, the identification and allocation of adequate resources, and the setting of a realistic schedule for the transition. Although planned change can be useful in some situations, it may not be appropriate when the environment is dynamic or when the outcomes of the change process are unclear.</w:t>
      </w:r>
    </w:p>
    <w:p w:rsidR="00F01B36" w:rsidRPr="00F01B36" w:rsidRDefault="00F01B36" w:rsidP="00F01B36">
      <w:r>
        <w:t>Emergent methods, on the other hand, acknowledge that transformation is frequently unexpected, convoluted, and impacted by a wide range of factors. Taking this tack suggests that transformation is not something that can be managed like any other mechanical system would be. When dealing with emergent change, it is more important to prioritise the need for adaptability, flexibility, and ongoing learning than it is to prioritise the completion of specific objectives and the use of predetermined methods. Leaders who take an emergent approach to change must be flexible in the face of new knowledge, difficulties, and possibilities in order to successfully aid their teams as they negotiate the uncertainty and ambiguity that so often accompany change.</w:t>
      </w:r>
    </w:p>
    <w:p w:rsidR="004F3EBF" w:rsidRDefault="004F3EBF" w:rsidP="004F3EBF">
      <w:pPr>
        <w:pStyle w:val="Heading1"/>
      </w:pPr>
      <w:bookmarkStart w:id="3" w:name="_Toc133379386"/>
      <w:r>
        <w:t>The human and social impact of change - the ‘coping cycle’; ownership, personality factors and the impact on the psychological contract between the employee and employer.</w:t>
      </w:r>
      <w:bookmarkEnd w:id="3"/>
    </w:p>
    <w:p w:rsidR="00220CCA" w:rsidRDefault="00220CCA" w:rsidP="00220CCA">
      <w:r>
        <w:t>Because of its direct and immediate effect on the happiness and productivity of workers, the human and social impact of change inside an organisation cannot be overstated. A thorough familiarity with the 'coping cycle,' ownership, personality characteristics, and the impact on the psychological contract between the employee and the employer is crucial for effective change management and the mitigation of undesirable consequences</w:t>
      </w:r>
      <w:r w:rsidR="00F15EF5">
        <w:t xml:space="preserve"> (</w:t>
      </w:r>
      <w:r w:rsidR="00F15EF5" w:rsidRPr="00F15EF5">
        <w:rPr>
          <w:lang w:val="en-US"/>
        </w:rPr>
        <w:t>Coyle-Shapiro</w:t>
      </w:r>
      <w:r w:rsidR="00F15EF5">
        <w:rPr>
          <w:lang w:val="en-US"/>
        </w:rPr>
        <w:t xml:space="preserve"> </w:t>
      </w:r>
      <w:r w:rsidR="00F15EF5">
        <w:rPr>
          <w:i/>
          <w:lang w:val="en-US"/>
        </w:rPr>
        <w:t xml:space="preserve">et al., </w:t>
      </w:r>
      <w:r w:rsidR="00F15EF5">
        <w:rPr>
          <w:lang w:val="en-US"/>
        </w:rPr>
        <w:t>2019</w:t>
      </w:r>
      <w:r w:rsidR="00F15EF5">
        <w:t>)</w:t>
      </w:r>
      <w:r>
        <w:t>.</w:t>
      </w:r>
    </w:p>
    <w:p w:rsidR="00220CCA" w:rsidRDefault="00220CCA" w:rsidP="00220CCA">
      <w:r>
        <w:t>The 'coping cycle' is a notion that illustrates the several steps that people often take while adapting to new circumstances. Shock, rage, bargaining, depression, testing, and final acceptance are all part of this process. This pattern, developed from the Kubler-Ross grief model, illustrates the range of human reactions when major changes are introduced into the workplace. Recognising and acknowledging the emotional components of change is vital for organisational leaders because it allows them to provide appropriate assistance and resources to help staff successfully traverse the process. Organisations may help their employees through the coping cycle by fostering an environment of open communication, compassionate leadership, and opportunities for employees to voice concerns and ask questions. As a result, the shift towards change will be less jarring and more widespread.</w:t>
      </w:r>
    </w:p>
    <w:p w:rsidR="00220CCA" w:rsidRDefault="00220CCA" w:rsidP="00220CCA">
      <w:r>
        <w:t xml:space="preserve">Individuals' levels of "ownership," or responsibility and investment in the change process, are another crucial factor in influencing the transformation's personal and social impacts. Employees are more likely to be invested, loyal, and supportive of the change process when they believe they have some control over it. Leaders who want to foster a sense of ownership among their staff must provide workers enough opportunities to voice their thoughts and opinions and give them responsibility for driving change. Additionally, </w:t>
      </w:r>
      <w:r w:rsidR="008D1682" w:rsidRPr="008D1682">
        <w:rPr>
          <w:lang w:val="en-US"/>
        </w:rPr>
        <w:t>Buhusayen</w:t>
      </w:r>
      <w:r w:rsidR="008D1682">
        <w:t xml:space="preserve"> </w:t>
      </w:r>
      <w:r w:rsidR="008D1682">
        <w:rPr>
          <w:i/>
        </w:rPr>
        <w:t xml:space="preserve">et al., </w:t>
      </w:r>
      <w:r w:rsidR="008D1682">
        <w:t xml:space="preserve">(2021), </w:t>
      </w:r>
      <w:r>
        <w:t>workers should have a voice in the decisions that are made. Organisations that adopt these measures not only improve the odds that the change will stick, but they also reduce feelings of helplessness and resentment among their staff.</w:t>
      </w:r>
    </w:p>
    <w:p w:rsidR="00220CCA" w:rsidRDefault="00220CCA" w:rsidP="00220CCA">
      <w:r>
        <w:t>Personality traits may also have a significant impact on how people react to change since they are linked to factors like adaptability, resilience, and openness to new experiences. This is due to the fact that receptivity to novelty varies greatly depending on one's particular set of personality features</w:t>
      </w:r>
      <w:r w:rsidR="00C93BD1">
        <w:t xml:space="preserve"> (</w:t>
      </w:r>
      <w:r w:rsidR="00C93BD1" w:rsidRPr="00F15EF5">
        <w:rPr>
          <w:lang w:val="en-US"/>
        </w:rPr>
        <w:t>Abarantyne</w:t>
      </w:r>
      <w:r w:rsidR="00C93BD1">
        <w:rPr>
          <w:lang w:val="en-US"/>
        </w:rPr>
        <w:t xml:space="preserve"> </w:t>
      </w:r>
      <w:r w:rsidR="00C93BD1">
        <w:rPr>
          <w:i/>
          <w:lang w:val="en-US"/>
        </w:rPr>
        <w:t xml:space="preserve">et al., </w:t>
      </w:r>
      <w:r w:rsidR="00C93BD1">
        <w:rPr>
          <w:lang w:val="en-US"/>
        </w:rPr>
        <w:t>2019</w:t>
      </w:r>
      <w:r w:rsidR="00C93BD1">
        <w:t>)</w:t>
      </w:r>
      <w:r>
        <w:t>. For example, those with a high degree of openness to experience are more inclined to embrace change, whereas those with a high level of neuroticism are more likely to oppose it and endure stress throughout the transition. To better guide the development of personalised support and resources that respond to the distinctive wants and preferences of their staff, business leaders should make it a point to have a knowledge of these individual differences. Leaders may encourage a more open and adaptable culture that values differences by acknowledging the many different types of employees they have.</w:t>
      </w:r>
    </w:p>
    <w:p w:rsidR="00220CCA" w:rsidRPr="00220CCA" w:rsidRDefault="00220CCA" w:rsidP="00220CCA">
      <w:r>
        <w:t>The term "psychological contract" is commonly used to describe the unspoken understanding of roles and obligations between an employer and employee. Worker roles, duties, and working conditions may all be affected by change initiatives, which in turn may have far-reaching implications for this agreement. If employees feel these alterations violate their "psychological contract," they may react with feelings of betrayal, distrust, and unhappiness</w:t>
      </w:r>
      <w:r w:rsidR="00F15EF5">
        <w:t xml:space="preserve"> (</w:t>
      </w:r>
      <w:r w:rsidR="00F15EF5" w:rsidRPr="00F15EF5">
        <w:rPr>
          <w:lang w:val="en-US"/>
        </w:rPr>
        <w:t>Herrera</w:t>
      </w:r>
      <w:r w:rsidR="00F15EF5">
        <w:rPr>
          <w:lang w:val="en-US"/>
        </w:rPr>
        <w:t xml:space="preserve"> </w:t>
      </w:r>
      <w:r w:rsidR="00F15EF5">
        <w:rPr>
          <w:i/>
          <w:lang w:val="en-US"/>
        </w:rPr>
        <w:t xml:space="preserve">et al., </w:t>
      </w:r>
      <w:r w:rsidR="00F15EF5">
        <w:rPr>
          <w:lang w:val="en-US"/>
        </w:rPr>
        <w:t>2021</w:t>
      </w:r>
      <w:r w:rsidR="00F15EF5">
        <w:t>)</w:t>
      </w:r>
      <w:r>
        <w:t>. As a result, interest, dedication, and output will all suffer. To maintain a healthy psychological contract with their workforce during the transition, employers should be forthright about the reasons for the change, the anticipated outcomes, and the repercussions for employees. As a corollary, businesses should ensure their employees have access to adequate support, resources, and training to help them adjust to the new conditions and maintain a sense of trust and satisfaction in their work relationship.</w:t>
      </w:r>
    </w:p>
    <w:p w:rsidR="004F3EBF" w:rsidRDefault="004F3EBF" w:rsidP="004F3EBF">
      <w:pPr>
        <w:pStyle w:val="Heading1"/>
      </w:pPr>
      <w:bookmarkStart w:id="4" w:name="_Toc133379387"/>
      <w:r>
        <w:t>The paradox of managerial and leadership roles and responsibilities in devising and implementing change – devising strategies for dealing productively with resistance to change and the need for e</w:t>
      </w:r>
      <w:r w:rsidR="005C1B12">
        <w:t>ffective stakeholder engagement</w:t>
      </w:r>
      <w:bookmarkEnd w:id="4"/>
    </w:p>
    <w:p w:rsidR="005C1B12" w:rsidRPr="005C1B12" w:rsidRDefault="005C1B12" w:rsidP="005C1B12">
      <w:r w:rsidRPr="005C1B12">
        <w:t>The paradox of management and leadership in conceptualising and implementing change lies in the reality that both positions are crucial, yet often require for different skill sets and techniques. Because of this, the process of creating and implementing change becomes paradoxical. Managers are accoun</w:t>
      </w:r>
      <w:r w:rsidR="00F15EF5">
        <w:t>table for overseeing the organis</w:t>
      </w:r>
      <w:r w:rsidRPr="005C1B12">
        <w:t>ation's day-to-day activities and making sure that everything gets done as efficiently and effectively as possible</w:t>
      </w:r>
      <w:r w:rsidR="008D1682">
        <w:t xml:space="preserve"> (</w:t>
      </w:r>
      <w:r w:rsidR="008D1682" w:rsidRPr="00C93BD1">
        <w:rPr>
          <w:lang w:val="en-US"/>
        </w:rPr>
        <w:t>Dieste</w:t>
      </w:r>
      <w:r w:rsidR="008D1682">
        <w:rPr>
          <w:lang w:val="en-US"/>
        </w:rPr>
        <w:t xml:space="preserve"> </w:t>
      </w:r>
      <w:r w:rsidR="008D1682">
        <w:rPr>
          <w:i/>
          <w:lang w:val="en-US"/>
        </w:rPr>
        <w:t xml:space="preserve">et al., </w:t>
      </w:r>
      <w:r w:rsidR="008D1682">
        <w:rPr>
          <w:lang w:val="en-US"/>
        </w:rPr>
        <w:t>2022</w:t>
      </w:r>
      <w:r w:rsidR="008D1682">
        <w:t>)</w:t>
      </w:r>
      <w:r w:rsidRPr="005C1B12">
        <w:t xml:space="preserve">. Leaders, on the other hand, are concerned with </w:t>
      </w:r>
      <w:r w:rsidR="00F15EF5">
        <w:t>things like setting the organis</w:t>
      </w:r>
      <w:r w:rsidRPr="005C1B12">
        <w:t>ation's course, inspiring and motivating employees to adapt to new circumstances, and fostering an environment that fosters originality and adaptability. Particularly during times of transition, when the opposing needs for stability and flexibility can appear overwhelming, it may be challenging to maintain this precise balance. Techniques for dealing constructively with resistance to change and the need for effective stakeholder involvement are crucial for successfully navigating this contradiction.</w:t>
      </w:r>
    </w:p>
    <w:p w:rsidR="005C1B12" w:rsidRPr="005C1B12" w:rsidRDefault="005C1B12" w:rsidP="005C1B12">
      <w:r>
        <w:t xml:space="preserve">In order to </w:t>
      </w:r>
      <w:r w:rsidRPr="005C1B12">
        <w:t xml:space="preserve">overcome opposition to change from both employees and stakeholders, it may be useful to engage in open and honest dialogue with both groups. Organisations may earn their constituents' confidence and credibility by being up-front about the reasons for change, the benefits that are expected, and the challenges that may develop. </w:t>
      </w:r>
      <w:r w:rsidR="00F15EF5">
        <w:t xml:space="preserve">As underpinned </w:t>
      </w:r>
      <w:r w:rsidR="00F15EF5" w:rsidRPr="00F15EF5">
        <w:rPr>
          <w:lang w:val="en-US"/>
        </w:rPr>
        <w:t>Neubaum</w:t>
      </w:r>
      <w:r w:rsidR="00F15EF5" w:rsidRPr="005C1B12">
        <w:t xml:space="preserve"> </w:t>
      </w:r>
      <w:r w:rsidR="00F15EF5">
        <w:rPr>
          <w:i/>
        </w:rPr>
        <w:t xml:space="preserve">et al., </w:t>
      </w:r>
      <w:r w:rsidR="00F15EF5">
        <w:t>(2019), i</w:t>
      </w:r>
      <w:r w:rsidRPr="005C1B12">
        <w:t>f workers and stakeholders are made aware of the reasoning for the change, they are more likely to be on board with it and provide helpful input as it is carried out. People may feel more invested in the change if they are given the chance to ask questions, voice concerns, and provide suggestions throughout the process. This can help allay any concerns people may have about the transition by putting their minds at ease.</w:t>
      </w:r>
    </w:p>
    <w:p w:rsidR="005C1B12" w:rsidRPr="005C1B12" w:rsidRDefault="005C1B12" w:rsidP="005C1B12">
      <w:r w:rsidRPr="005C1B12">
        <w:t>Individuals' resistance to change can be managed in part by including them and other interested parties into the decision-making process. Organisations may foster a sense of commitment and buy-in from those who will be affected by change if they ask for and consider their feedback throughout the change process. Aside from helping to produce new ideas and insights, including employees and other stakeholders may help build a sense of empowerment and agency, which in turn helps to lessen feelings of impotence and anger, both of whic</w:t>
      </w:r>
      <w:r>
        <w:t>h can contribute to resistance</w:t>
      </w:r>
      <w:r w:rsidR="008D1682">
        <w:t xml:space="preserve"> (</w:t>
      </w:r>
      <w:r w:rsidR="008D1682" w:rsidRPr="008D1682">
        <w:rPr>
          <w:lang w:val="en-US"/>
        </w:rPr>
        <w:t>Kho</w:t>
      </w:r>
      <w:r w:rsidR="008D1682">
        <w:rPr>
          <w:lang w:val="en-US"/>
        </w:rPr>
        <w:t xml:space="preserve"> </w:t>
      </w:r>
      <w:r w:rsidR="008D1682">
        <w:rPr>
          <w:i/>
          <w:lang w:val="en-US"/>
        </w:rPr>
        <w:t xml:space="preserve">et al., </w:t>
      </w:r>
      <w:r w:rsidR="008D1682">
        <w:rPr>
          <w:lang w:val="en-US"/>
        </w:rPr>
        <w:t>2020</w:t>
      </w:r>
      <w:r w:rsidR="008D1682">
        <w:t>)</w:t>
      </w:r>
      <w:r>
        <w:t xml:space="preserve">. </w:t>
      </w:r>
      <w:r w:rsidRPr="005C1B12">
        <w:t xml:space="preserve">By stressing the value of management and leadership skills throughout the change process, </w:t>
      </w:r>
      <w:r w:rsidR="008D1682">
        <w:t>one</w:t>
      </w:r>
      <w:r w:rsidRPr="005C1B12">
        <w:t xml:space="preserve"> may help them look past the apparent tension between their roles. Managers may help change initiatives succeed by providing their employees with the resources (such as information, training, and emotional support) they need to adapt to new ways of working. Leaders may motivate their teams by selling them on the company's future and showing they have skin in the game as far as the transition is concerned. Recognising and appreciating the unique contributions of each manager and executive may help a company establish a more comprehensive and effective plan for managing change.</w:t>
      </w:r>
    </w:p>
    <w:p w:rsidR="005C1B12" w:rsidRDefault="008D1682" w:rsidP="005C1B12">
      <w:r>
        <w:t>I</w:t>
      </w:r>
      <w:r w:rsidR="005C1B12" w:rsidRPr="005C1B12">
        <w:t xml:space="preserve">t </w:t>
      </w:r>
      <w:r w:rsidR="005C1B12">
        <w:t>can be evaluated</w:t>
      </w:r>
      <w:r w:rsidR="005C1B12" w:rsidRPr="005C1B12">
        <w:t xml:space="preserve"> that businesses must develop comprehensive strategies for including their stakeholders in the change process in order to ensure that all relevant parties are kept abreast of developments, consulted, and afforded opportunities to weigh in</w:t>
      </w:r>
      <w:r>
        <w:t xml:space="preserve"> (</w:t>
      </w:r>
      <w:r w:rsidRPr="008D1682">
        <w:rPr>
          <w:lang w:val="en-US"/>
        </w:rPr>
        <w:t>Kho</w:t>
      </w:r>
      <w:r>
        <w:rPr>
          <w:lang w:val="en-US"/>
        </w:rPr>
        <w:t xml:space="preserve"> </w:t>
      </w:r>
      <w:r>
        <w:rPr>
          <w:i/>
          <w:lang w:val="en-US"/>
        </w:rPr>
        <w:t xml:space="preserve">et al., </w:t>
      </w:r>
      <w:r>
        <w:rPr>
          <w:lang w:val="en-US"/>
        </w:rPr>
        <w:t>2020</w:t>
      </w:r>
      <w:r>
        <w:t>)</w:t>
      </w:r>
      <w:r w:rsidR="005C1B12" w:rsidRPr="005C1B12">
        <w:t>. In this sense, "this may include conducting regular meetings or workshops, establishing stakeholder advisory groups, or using digital communication platforms to facilitate ongoing dialogue and collaboration." By listening to and responding to stakeholder feedback, organisations may build trust with those affected by the change and foster a feeling of collective ownership over the project's outcome.</w:t>
      </w:r>
    </w:p>
    <w:p w:rsidR="004F3EBF" w:rsidRDefault="004F3EBF" w:rsidP="005C1B12">
      <w:pPr>
        <w:pStyle w:val="Heading1"/>
      </w:pPr>
      <w:bookmarkStart w:id="5" w:name="_Toc133379388"/>
      <w:r>
        <w:t>Team and organisational change. Leading change, different styles and skills for different phases of change.</w:t>
      </w:r>
      <w:bookmarkEnd w:id="5"/>
    </w:p>
    <w:p w:rsidR="005C1B12" w:rsidRDefault="005C1B12" w:rsidP="005C1B12">
      <w:r>
        <w:t>The capacity to lead a team or organisation effectively through change is crucial for ensuring a smooth transition and maintaining productivity. Complex change management requires a wide range of leadership skills and perspectives. This is because there may be a need to adjust strategies during times of rapid transition</w:t>
      </w:r>
      <w:r w:rsidR="00C93BD1">
        <w:t xml:space="preserve"> (</w:t>
      </w:r>
      <w:r w:rsidR="00C93BD1" w:rsidRPr="00C93BD1">
        <w:rPr>
          <w:lang w:val="en-US"/>
        </w:rPr>
        <w:t>Niemimaa</w:t>
      </w:r>
      <w:r w:rsidR="00C93BD1">
        <w:rPr>
          <w:lang w:val="en-US"/>
        </w:rPr>
        <w:t xml:space="preserve"> </w:t>
      </w:r>
      <w:r w:rsidR="00C93BD1">
        <w:rPr>
          <w:i/>
          <w:lang w:val="en-US"/>
        </w:rPr>
        <w:t xml:space="preserve">et al., </w:t>
      </w:r>
      <w:r w:rsidR="00C93BD1">
        <w:rPr>
          <w:lang w:val="en-US"/>
        </w:rPr>
        <w:t>2019</w:t>
      </w:r>
      <w:r w:rsidR="00C93BD1">
        <w:t>)</w:t>
      </w:r>
      <w:r>
        <w:t>. By learning about the many phases of change and adapting their leadership style accordingly, leaders can foster a more effective and long-lasting change process.</w:t>
      </w:r>
    </w:p>
    <w:p w:rsidR="005C1B12" w:rsidRDefault="005C1B12" w:rsidP="005C1B12">
      <w:r>
        <w:rPr>
          <w:noProof/>
          <w:lang w:val="en-US"/>
        </w:rPr>
        <w:drawing>
          <wp:inline distT="0" distB="0" distL="0" distR="0" wp14:anchorId="5C830A99" wp14:editId="3C655A82">
            <wp:extent cx="5943600" cy="2914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992"/>
                    <a:stretch/>
                  </pic:blipFill>
                  <pic:spPr bwMode="auto">
                    <a:xfrm>
                      <a:off x="0" y="0"/>
                      <a:ext cx="5943600" cy="2914650"/>
                    </a:xfrm>
                    <a:prstGeom prst="rect">
                      <a:avLst/>
                    </a:prstGeom>
                    <a:ln>
                      <a:noFill/>
                    </a:ln>
                    <a:extLst>
                      <a:ext uri="{53640926-AAD7-44D8-BBD7-CCE9431645EC}">
                        <a14:shadowObscured xmlns:a14="http://schemas.microsoft.com/office/drawing/2010/main"/>
                      </a:ext>
                    </a:extLst>
                  </pic:spPr>
                </pic:pic>
              </a:graphicData>
            </a:graphic>
          </wp:inline>
        </w:drawing>
      </w:r>
    </w:p>
    <w:p w:rsidR="00C93BD1" w:rsidRPr="00C93BD1" w:rsidRDefault="00C93BD1" w:rsidP="00C93BD1">
      <w:pPr>
        <w:jc w:val="center"/>
        <w:rPr>
          <w:b/>
        </w:rPr>
      </w:pPr>
      <w:r w:rsidRPr="00C93BD1">
        <w:rPr>
          <w:b/>
        </w:rPr>
        <w:t>Figure 1: Lewin’s Change Management Model</w:t>
      </w:r>
    </w:p>
    <w:p w:rsidR="00C93BD1" w:rsidRDefault="00C93BD1" w:rsidP="00C93BD1">
      <w:pPr>
        <w:jc w:val="center"/>
      </w:pPr>
      <w:r>
        <w:t xml:space="preserve">(Source: As inspired by </w:t>
      </w:r>
      <w:r>
        <w:rPr>
          <w:lang w:val="en-US"/>
        </w:rPr>
        <w:t xml:space="preserve">Tran and Gandolfi, </w:t>
      </w:r>
      <w:r w:rsidRPr="00C93BD1">
        <w:rPr>
          <w:lang w:val="en-US"/>
        </w:rPr>
        <w:t>2020</w:t>
      </w:r>
      <w:r>
        <w:t>)</w:t>
      </w:r>
    </w:p>
    <w:p w:rsidR="005C1B12" w:rsidRDefault="005C1B12" w:rsidP="005C1B12">
      <w:r>
        <w:t>The "unfreezing" phase of a change process involves establishing the need for transformation and getting an organisation ready to embrace novel approaches. At this point, leaders need to show that they can effectively convey information and instil a sense of urgency about the change. They need to create a compelling vision for the future that highlights the benefits of the proposed changes while also highlighting the risks of doing nothing different</w:t>
      </w:r>
      <w:r w:rsidR="00C93BD1">
        <w:t xml:space="preserve"> (</w:t>
      </w:r>
      <w:r w:rsidR="00C93BD1">
        <w:rPr>
          <w:lang w:val="en-US"/>
        </w:rPr>
        <w:t xml:space="preserve">Tran and Gandolfi, </w:t>
      </w:r>
      <w:r w:rsidR="00C93BD1" w:rsidRPr="00C93BD1">
        <w:rPr>
          <w:lang w:val="en-US"/>
        </w:rPr>
        <w:t>2020</w:t>
      </w:r>
      <w:r w:rsidR="00C93BD1">
        <w:t>)</w:t>
      </w:r>
      <w:r>
        <w:t xml:space="preserve">. Leaders should be empathetic and emotionally intelligent since their employees may be experiencing challenging feelings like fear, uncertainty, and loss. By recognising and responding to the wide variety of feelings that their followers are experiencing, leaders may foster a psychologically safe environment in which people feel supported and valued throughout the transition. Further, leaders should foster a sense of ownership and commitment to the change endeavour by listening to employee feedback and including them in the process. </w:t>
      </w:r>
    </w:p>
    <w:p w:rsidR="005C1B12" w:rsidRDefault="005C1B12" w:rsidP="005C1B12">
      <w:r>
        <w:t>Executives need to adopt a more hands-on and directive approach throughout the actual implementation of the change, sometimes known as the "transition" phase. Focusing on setting clear objectives, outlining responsibilities, and securing the necessary resources and support is crucial at this stage in the process of change. Excellent project management and problem-solving skills are crucial for leaders at this stage. Leaders need to be able to recognise potential problems ahead of time and devise solutions</w:t>
      </w:r>
      <w:r w:rsidR="008D1682">
        <w:t xml:space="preserve"> (</w:t>
      </w:r>
      <w:r w:rsidR="008D1682">
        <w:rPr>
          <w:lang w:val="en-US"/>
        </w:rPr>
        <w:t xml:space="preserve">Lattuch, </w:t>
      </w:r>
      <w:r w:rsidR="008D1682" w:rsidRPr="008D1682">
        <w:rPr>
          <w:lang w:val="en-US"/>
        </w:rPr>
        <w:t>2019</w:t>
      </w:r>
      <w:r w:rsidR="008D1682">
        <w:t>)</w:t>
      </w:r>
      <w:r>
        <w:t>. Leaders should also display adaptability and flexibility, since they may need to adjust their strategies and tactics in reaction to unforeseen developments or new information. Sometimes this occurs when the status quo shifts</w:t>
      </w:r>
      <w:r w:rsidR="00C93BD1">
        <w:t xml:space="preserve"> (</w:t>
      </w:r>
      <w:r w:rsidR="00C93BD1">
        <w:rPr>
          <w:lang w:val="en-US"/>
        </w:rPr>
        <w:t xml:space="preserve">Roşca, </w:t>
      </w:r>
      <w:r w:rsidR="00C93BD1" w:rsidRPr="00C93BD1">
        <w:rPr>
          <w:lang w:val="en-US"/>
        </w:rPr>
        <w:t>2020</w:t>
      </w:r>
      <w:r w:rsidR="00C93BD1">
        <w:t>)</w:t>
      </w:r>
      <w:r>
        <w:t>. Keeping in regular communication with workers and updating them on the progress of the change programme will help maintain engagement and motivation, as well as facilitate the early detection and resolution of any issues that may arise. Leaders should acknowledge their teams' efforts and successes and celebrate even the slightest victories to keep morale and enthusiasm strong throughout this time.</w:t>
      </w:r>
    </w:p>
    <w:p w:rsidR="005C1B12" w:rsidRPr="005C1B12" w:rsidRDefault="005C1B12" w:rsidP="005C1B12">
      <w:r>
        <w:t>Leaders are responsible for cementing the new ways of working and making sure they are ingrained into the culture, processes, and systems of the business during the "refreezing" phase of the change process. Transitioning from leading and controlling the change process to empowering and supporting staff members as they embrace and sustain the new practises is a key responsibility for leaders at this point. Since the following phase calls for established leaders to institutionalise these reforms, this transition is essential</w:t>
      </w:r>
      <w:r w:rsidR="00C93BD1">
        <w:t xml:space="preserve"> (</w:t>
      </w:r>
      <w:r w:rsidR="00C93BD1" w:rsidRPr="00C93BD1">
        <w:rPr>
          <w:lang w:val="en-US"/>
        </w:rPr>
        <w:t>Latifi</w:t>
      </w:r>
      <w:r w:rsidR="00C93BD1">
        <w:rPr>
          <w:lang w:val="en-US"/>
        </w:rPr>
        <w:t xml:space="preserve"> </w:t>
      </w:r>
      <w:r w:rsidR="00C93BD1">
        <w:rPr>
          <w:i/>
          <w:lang w:val="en-US"/>
        </w:rPr>
        <w:t xml:space="preserve">et al., </w:t>
      </w:r>
      <w:r w:rsidR="00C93BD1">
        <w:rPr>
          <w:lang w:val="en-US"/>
        </w:rPr>
        <w:t>2021</w:t>
      </w:r>
      <w:r w:rsidR="00C93BD1">
        <w:t>)</w:t>
      </w:r>
      <w:r>
        <w:t>. At this point, it is essential to instil a mind-set of constant growth and development. Employees should be encouraged to think critically about their work, pinpoint development areas, and try out novel approaches. Leaders should also take stock of the change initiative's success and draw attention to any lessons that might be applied to future initiatives. By demonstrating a dedication to development and advancement, leaders may inspire their teams to adopt an attitude of adaptability and resilience, which in turn increases the group's preparedness to deal with future changes and challenges.</w:t>
      </w:r>
    </w:p>
    <w:p w:rsidR="004F3EBF" w:rsidRDefault="004F3EBF" w:rsidP="004F3EBF">
      <w:pPr>
        <w:pStyle w:val="Heading1"/>
      </w:pPr>
      <w:bookmarkStart w:id="6" w:name="_Toc133379389"/>
      <w:r>
        <w:t>Change in practice through restructuring, mergers and acquisitions, cultural and technologically driven change; reputational damage, repair and recovery.</w:t>
      </w:r>
      <w:bookmarkEnd w:id="6"/>
    </w:p>
    <w:p w:rsidR="004D25DF" w:rsidRDefault="004D25DF" w:rsidP="004D25DF">
      <w:r>
        <w:t>Organisational variables like as restructuring, mergers and acquisitions, cultural changes, and technological developments can all lead to modifications in business practises. Although these techniques usually aim to boost a company's productivity, competitiveness, and agility, they may also pose significant dangers and challenges, most notably to the company's reputation.</w:t>
      </w:r>
    </w:p>
    <w:p w:rsidR="004D25DF" w:rsidRDefault="004D25DF" w:rsidP="004D25DF">
      <w:r>
        <w:t xml:space="preserve">When companies combine or are acquired, their structure, strategy, and operations may undergo significant transformations. Loss of employment, altered social hierarchies, and upheaval of established habits and relationships are all possible outcomes of such transformations. </w:t>
      </w:r>
      <w:r w:rsidR="00C93BD1">
        <w:t xml:space="preserve">According to </w:t>
      </w:r>
      <w:r w:rsidR="00C93BD1" w:rsidRPr="00C93BD1">
        <w:rPr>
          <w:rFonts w:eastAsia="Times New Roman" w:cs="Times New Roman"/>
          <w:szCs w:val="24"/>
          <w:lang w:val="en-US"/>
        </w:rPr>
        <w:t>Henry</w:t>
      </w:r>
      <w:r w:rsidR="00C93BD1">
        <w:t xml:space="preserve"> </w:t>
      </w:r>
      <w:r w:rsidR="00C93BD1">
        <w:rPr>
          <w:i/>
        </w:rPr>
        <w:t xml:space="preserve">et al., </w:t>
      </w:r>
      <w:r w:rsidR="00C93BD1">
        <w:t>(2021), e</w:t>
      </w:r>
      <w:r>
        <w:t xml:space="preserve">mployees may experience anxiety or stress as a result of the need to adapt to cultural and technological developments by learning new skills, adopting new methods of working, and navigating foreign organisational cultures. When an organisation is undergoing change, its reputation is especially vulnerable because its stakeholders may perceive it to be unsteady, untrustworthy, or indifferent to their needs and concerns. Unfavourable media coverage, public outcry, or internal arguments can all contribute to the perpetuation of these false impressions and further </w:t>
      </w:r>
      <w:r w:rsidR="00C93BD1">
        <w:t>undermine the organis</w:t>
      </w:r>
      <w:r>
        <w:t>ation's reputation.</w:t>
      </w:r>
    </w:p>
    <w:p w:rsidR="004D25DF" w:rsidRPr="004D25DF" w:rsidRDefault="004D25DF" w:rsidP="004D25DF">
      <w:r>
        <w:t>If businesses want to lessen the chance of reputational injury and raise the likelihood of effective repair and recovery, change management must be done from a proactive and strategic viewpoint. This necessitates maintaining constant and clear lines of communication with all relevant parties, providing precise explanations for the change, and providing regular updates on the transformation's overall status.</w:t>
      </w:r>
      <w:r w:rsidR="00C93BD1">
        <w:t xml:space="preserve"> As underpinned by </w:t>
      </w:r>
      <w:r w:rsidR="00C93BD1" w:rsidRPr="00C93BD1">
        <w:rPr>
          <w:lang w:val="en-US"/>
        </w:rPr>
        <w:t>Hanelt</w:t>
      </w:r>
      <w:r w:rsidR="00C93BD1">
        <w:rPr>
          <w:lang w:val="en-US"/>
        </w:rPr>
        <w:t xml:space="preserve"> </w:t>
      </w:r>
      <w:r w:rsidR="00C93BD1">
        <w:rPr>
          <w:i/>
          <w:lang w:val="en-US"/>
        </w:rPr>
        <w:t xml:space="preserve">et al., </w:t>
      </w:r>
      <w:r w:rsidR="00C93BD1">
        <w:rPr>
          <w:lang w:val="en-US"/>
        </w:rPr>
        <w:t>(2021),</w:t>
      </w:r>
      <w:r w:rsidR="00C93BD1">
        <w:t xml:space="preserve"> o</w:t>
      </w:r>
      <w:r>
        <w:t>rganisations that actively interact with stakeholders in order to resolve their issues can earn the trust of those stakeholders and show their dedication to responsible and ethical change management practises. In addition, organisations need to prioritise their employees' well-being and development during periods of change by providing them with adequate support, training, and resources to help them adapt to their new roles and responsibilities. If a company shows empathy, honesty, and real care for the well-being of its workers and stakeholders, it may help sustain its positive image and ease the transition through the transformation process</w:t>
      </w:r>
      <w:r w:rsidR="00C93BD1">
        <w:t xml:space="preserve"> (</w:t>
      </w:r>
      <w:r w:rsidR="00C93BD1" w:rsidRPr="00C93BD1">
        <w:rPr>
          <w:lang w:val="en-US"/>
        </w:rPr>
        <w:t>Smith</w:t>
      </w:r>
      <w:r w:rsidR="00C93BD1">
        <w:rPr>
          <w:lang w:val="en-US"/>
        </w:rPr>
        <w:t xml:space="preserve"> </w:t>
      </w:r>
      <w:r w:rsidR="00C93BD1">
        <w:rPr>
          <w:i/>
          <w:lang w:val="en-US"/>
        </w:rPr>
        <w:t xml:space="preserve">et al., </w:t>
      </w:r>
      <w:r w:rsidR="00C93BD1">
        <w:rPr>
          <w:lang w:val="en-US"/>
        </w:rPr>
        <w:t>2020</w:t>
      </w:r>
      <w:r w:rsidR="00C93BD1">
        <w:t>)</w:t>
      </w:r>
      <w:r>
        <w:t>. In the end, businesses can mitigate the risks to their reputation and foster long-term recovery and growth by taking a human-</w:t>
      </w:r>
      <w:r w:rsidR="00F257D3">
        <w:t>centred</w:t>
      </w:r>
      <w:r>
        <w:t>, responsible approach to change management as they face the challenges of restructuring, mergers and acquisitions, and cultural and technological change. This is due to the fact that such a method concentrates its attention on those involved.</w:t>
      </w:r>
    </w:p>
    <w:p w:rsidR="004F3EBF" w:rsidRDefault="004F3EBF" w:rsidP="004F3EBF">
      <w:pPr>
        <w:pStyle w:val="Heading1"/>
      </w:pPr>
      <w:bookmarkStart w:id="7" w:name="_Toc133379390"/>
      <w:r>
        <w:t>The development of the innovative organisation, with particular reference to the impact of the sharing economy on the delivery of established business models</w:t>
      </w:r>
      <w:bookmarkEnd w:id="7"/>
    </w:p>
    <w:p w:rsidR="00F257D3" w:rsidRDefault="00F257D3" w:rsidP="00F257D3">
      <w:r>
        <w:t xml:space="preserve">Building an innovative company calls for a mind-set that welcomes change in response to shifting demographics, emerging technologies, and consumer tastes. </w:t>
      </w:r>
      <w:r w:rsidR="00C93BD1">
        <w:t xml:space="preserve">As discussed by </w:t>
      </w:r>
      <w:r w:rsidR="00C93BD1">
        <w:rPr>
          <w:lang w:val="en-US"/>
        </w:rPr>
        <w:t>Laukkanen and Tura, (</w:t>
      </w:r>
      <w:r w:rsidR="00C93BD1" w:rsidRPr="00C93BD1">
        <w:rPr>
          <w:lang w:val="en-US"/>
        </w:rPr>
        <w:t>2020</w:t>
      </w:r>
      <w:r w:rsidR="00C93BD1">
        <w:rPr>
          <w:lang w:val="en-US"/>
        </w:rPr>
        <w:t xml:space="preserve">) </w:t>
      </w:r>
      <w:r>
        <w:t>The growth of the sharing economy is a noteworthy phenomenon that has had far-reaching effects on conventional forms of doing business. This economic model, characterised by the sharing of products and services between individuals, has shaken up established markets and forced companies to re-evaluate their methods of value production and distribution.</w:t>
      </w:r>
    </w:p>
    <w:p w:rsidR="00F257D3" w:rsidRPr="00F257D3" w:rsidRDefault="00F257D3" w:rsidP="00F257D3">
      <w:r>
        <w:t>Access-based consumption has replaced ownership as the primary model of consumption thanks to sharing economy companies like Uber, Airbnb, and TaskRabbit. Because of this shift, long-standing business models have been called into question, as conventional enterprises must now contend with nimbler, customer-focused rivals. To survive in today's market, businesses must adopt a culture of innovation and continuously improve their products and services to meet the needs of today's consumers</w:t>
      </w:r>
      <w:r w:rsidR="00C93BD1">
        <w:t xml:space="preserve"> (</w:t>
      </w:r>
      <w:r w:rsidR="00C93BD1">
        <w:rPr>
          <w:lang w:val="en-US"/>
        </w:rPr>
        <w:t xml:space="preserve">Ritter and Schanz, </w:t>
      </w:r>
      <w:r w:rsidR="00C93BD1" w:rsidRPr="00C93BD1">
        <w:rPr>
          <w:lang w:val="en-US"/>
        </w:rPr>
        <w:t>2019</w:t>
      </w:r>
      <w:r w:rsidR="00C93BD1">
        <w:t>)</w:t>
      </w:r>
      <w:r>
        <w:t>. To achieve this goal, businesses should adopt operational models that are more adaptable to changing conditions, use digital tools to improve interactions with customers, and encourage an atmosphere of teamwork and shared vision. By adopting the tenets of the sharing economy, businesses may increase their profitability, expand their client base, and ensure the longevity of their company.</w:t>
      </w:r>
    </w:p>
    <w:p w:rsidR="004F3EBF" w:rsidRDefault="004F3EBF" w:rsidP="004F3EBF">
      <w:pPr>
        <w:pStyle w:val="Heading1"/>
      </w:pPr>
      <w:bookmarkStart w:id="8" w:name="_Toc133379391"/>
      <w:r>
        <w:t>Conclusion</w:t>
      </w:r>
      <w:bookmarkEnd w:id="8"/>
    </w:p>
    <w:p w:rsidR="00F257D3" w:rsidRPr="00F257D3" w:rsidRDefault="00F257D3" w:rsidP="00F257D3">
      <w:r>
        <w:t>From the study, it can be concluded that organisations need a proactive and adaptable change management strategy to overcome the challenges and seize the opportunities presented by today's interconnected and rapidly evolving business landscape. Understanding the impact of factors like the sharing economy, technological advancements, and shifting consumer preferences allows leaders to devise novel company models and tactics. Leaders can ensure their organisations will continue to thrive and expand in this way. In order to thrive in the face of disruption and capitalise on the potentially transformative consequences of change, businesses must foster a culture of innovation and adaptability.</w:t>
      </w:r>
    </w:p>
    <w:p w:rsidR="00436E68" w:rsidRDefault="00436E68">
      <w:pPr>
        <w:spacing w:line="259" w:lineRule="auto"/>
        <w:jc w:val="left"/>
      </w:pPr>
      <w:r>
        <w:br w:type="page"/>
      </w:r>
    </w:p>
    <w:p w:rsidR="00F257D3" w:rsidRDefault="00436E68" w:rsidP="00436E68">
      <w:pPr>
        <w:pStyle w:val="Heading1"/>
      </w:pPr>
      <w:bookmarkStart w:id="9" w:name="_Toc133379392"/>
      <w:r>
        <w:t>References</w:t>
      </w:r>
      <w:bookmarkEnd w:id="9"/>
    </w:p>
    <w:p w:rsidR="008D1682" w:rsidRPr="00F15EF5" w:rsidRDefault="008D1682" w:rsidP="00F15EF5">
      <w:pPr>
        <w:rPr>
          <w:lang w:val="en-US"/>
        </w:rPr>
      </w:pPr>
      <w:r w:rsidRPr="00F15EF5">
        <w:rPr>
          <w:lang w:val="en-US"/>
        </w:rPr>
        <w:t xml:space="preserve">Abarantyne, I., Naidoo, V. and Rugimbana, R., 2019. The impact of psychological contracts on employee engagement at a university of technology. </w:t>
      </w:r>
      <w:r w:rsidRPr="00F15EF5">
        <w:rPr>
          <w:i/>
          <w:iCs/>
          <w:lang w:val="en-US"/>
        </w:rPr>
        <w:t>SA Journal of Human Resource Management</w:t>
      </w:r>
      <w:r w:rsidRPr="00F15EF5">
        <w:rPr>
          <w:lang w:val="en-US"/>
        </w:rPr>
        <w:t xml:space="preserve">, </w:t>
      </w:r>
      <w:r w:rsidRPr="00F15EF5">
        <w:rPr>
          <w:i/>
          <w:iCs/>
          <w:lang w:val="en-US"/>
        </w:rPr>
        <w:t>17</w:t>
      </w:r>
      <w:r w:rsidRPr="00F15EF5">
        <w:rPr>
          <w:lang w:val="en-US"/>
        </w:rPr>
        <w:t>(1), pp.1-11.</w:t>
      </w:r>
    </w:p>
    <w:p w:rsidR="008D1682" w:rsidRPr="008D1682" w:rsidRDefault="008D1682" w:rsidP="008D1682">
      <w:pPr>
        <w:rPr>
          <w:lang w:val="en-US"/>
        </w:rPr>
      </w:pPr>
      <w:r w:rsidRPr="008D1682">
        <w:rPr>
          <w:lang w:val="en-US"/>
        </w:rPr>
        <w:t xml:space="preserve">Buhusayen, B., Seet, P.S. and Coetzer, A., 2021. Front-line management during radical organisational change: Social exchange and paradox interpretations. </w:t>
      </w:r>
      <w:r w:rsidRPr="008D1682">
        <w:rPr>
          <w:i/>
          <w:iCs/>
          <w:lang w:val="en-US"/>
        </w:rPr>
        <w:t>Sustainability</w:t>
      </w:r>
      <w:r w:rsidRPr="008D1682">
        <w:rPr>
          <w:lang w:val="en-US"/>
        </w:rPr>
        <w:t xml:space="preserve">, </w:t>
      </w:r>
      <w:r w:rsidRPr="008D1682">
        <w:rPr>
          <w:i/>
          <w:iCs/>
          <w:lang w:val="en-US"/>
        </w:rPr>
        <w:t>13</w:t>
      </w:r>
      <w:r w:rsidRPr="008D1682">
        <w:rPr>
          <w:lang w:val="en-US"/>
        </w:rPr>
        <w:t>(2), p.893.</w:t>
      </w:r>
    </w:p>
    <w:p w:rsidR="008D1682" w:rsidRPr="00F15EF5" w:rsidRDefault="008D1682" w:rsidP="00F15EF5">
      <w:pPr>
        <w:rPr>
          <w:lang w:val="en-US"/>
        </w:rPr>
      </w:pPr>
      <w:r w:rsidRPr="00F15EF5">
        <w:rPr>
          <w:lang w:val="en-US"/>
        </w:rPr>
        <w:t xml:space="preserve">Coyle-Shapiro, J.A.M., Pereira Costa, S., Doden, W. and Chang, C., 2019. Psychological contracts: Past, present, and future. </w:t>
      </w:r>
      <w:r w:rsidRPr="00F15EF5">
        <w:rPr>
          <w:i/>
          <w:iCs/>
          <w:lang w:val="en-US"/>
        </w:rPr>
        <w:t>Annual Review of Organizational Psychology and Organizational Behavior</w:t>
      </w:r>
      <w:r w:rsidRPr="00F15EF5">
        <w:rPr>
          <w:lang w:val="en-US"/>
        </w:rPr>
        <w:t xml:space="preserve">, </w:t>
      </w:r>
      <w:r w:rsidRPr="00F15EF5">
        <w:rPr>
          <w:i/>
          <w:iCs/>
          <w:lang w:val="en-US"/>
        </w:rPr>
        <w:t>6</w:t>
      </w:r>
      <w:r w:rsidRPr="00F15EF5">
        <w:rPr>
          <w:lang w:val="en-US"/>
        </w:rPr>
        <w:t>, pp.145-169.</w:t>
      </w:r>
    </w:p>
    <w:p w:rsidR="008D1682" w:rsidRPr="00C93BD1" w:rsidRDefault="008D1682" w:rsidP="00C93BD1">
      <w:pPr>
        <w:rPr>
          <w:lang w:val="en-US"/>
        </w:rPr>
      </w:pPr>
      <w:r w:rsidRPr="00C93BD1">
        <w:rPr>
          <w:lang w:val="en-US"/>
        </w:rPr>
        <w:t xml:space="preserve">Dieste, M., Sauer, P.C. and Orzes, G., 2022. Organizational tensions in industry 4.0 implementation: A paradox theory approach. </w:t>
      </w:r>
      <w:r w:rsidRPr="00C93BD1">
        <w:rPr>
          <w:i/>
          <w:iCs/>
          <w:lang w:val="en-US"/>
        </w:rPr>
        <w:t>International Journal of Production Economics</w:t>
      </w:r>
      <w:r w:rsidRPr="00C93BD1">
        <w:rPr>
          <w:lang w:val="en-US"/>
        </w:rPr>
        <w:t>, p.108532.</w:t>
      </w:r>
    </w:p>
    <w:p w:rsidR="008D1682" w:rsidRPr="00F15EF5" w:rsidRDefault="008D1682" w:rsidP="00F15EF5">
      <w:pPr>
        <w:rPr>
          <w:lang w:val="en-US"/>
        </w:rPr>
      </w:pPr>
      <w:r w:rsidRPr="00F15EF5">
        <w:rPr>
          <w:lang w:val="en-US"/>
        </w:rPr>
        <w:t xml:space="preserve">Doern, R., Williams, N. and Vorley, T., 2019. Special issue on entrepreneurship and crises: business as usual? An introduction and review of the literature. </w:t>
      </w:r>
      <w:r w:rsidRPr="00F15EF5">
        <w:rPr>
          <w:i/>
          <w:iCs/>
          <w:lang w:val="en-US"/>
        </w:rPr>
        <w:t>Entrepreneurship &amp; Regional Development</w:t>
      </w:r>
      <w:r w:rsidRPr="00F15EF5">
        <w:rPr>
          <w:lang w:val="en-US"/>
        </w:rPr>
        <w:t xml:space="preserve">, </w:t>
      </w:r>
      <w:r w:rsidRPr="00F15EF5">
        <w:rPr>
          <w:i/>
          <w:iCs/>
          <w:lang w:val="en-US"/>
        </w:rPr>
        <w:t>31</w:t>
      </w:r>
      <w:r w:rsidRPr="00F15EF5">
        <w:rPr>
          <w:lang w:val="en-US"/>
        </w:rPr>
        <w:t>(5-6), pp.400-412.</w:t>
      </w:r>
    </w:p>
    <w:p w:rsidR="008D1682" w:rsidRPr="00C93BD1" w:rsidRDefault="008D1682" w:rsidP="00C93BD1">
      <w:pPr>
        <w:rPr>
          <w:lang w:val="en-US"/>
        </w:rPr>
      </w:pPr>
      <w:r w:rsidRPr="00C93BD1">
        <w:rPr>
          <w:lang w:val="en-US"/>
        </w:rPr>
        <w:t xml:space="preserve">Hanelt, A., Bohnsack, R., Marz, D. and Antunes Marante, C., 2021. A systematic review of the literature on digital transformation: Insights and implications for strategy and organizational change. </w:t>
      </w:r>
      <w:r w:rsidRPr="00C93BD1">
        <w:rPr>
          <w:i/>
          <w:iCs/>
          <w:lang w:val="en-US"/>
        </w:rPr>
        <w:t>Journal of Management Studies</w:t>
      </w:r>
      <w:r w:rsidRPr="00C93BD1">
        <w:rPr>
          <w:lang w:val="en-US"/>
        </w:rPr>
        <w:t xml:space="preserve">, </w:t>
      </w:r>
      <w:r w:rsidRPr="00C93BD1">
        <w:rPr>
          <w:i/>
          <w:iCs/>
          <w:lang w:val="en-US"/>
        </w:rPr>
        <w:t>58</w:t>
      </w:r>
      <w:r w:rsidRPr="00C93BD1">
        <w:rPr>
          <w:lang w:val="en-US"/>
        </w:rPr>
        <w:t>(5), pp.1159-1197.</w:t>
      </w:r>
    </w:p>
    <w:p w:rsidR="008D1682" w:rsidRPr="00C93BD1" w:rsidRDefault="008D1682" w:rsidP="00C93BD1">
      <w:pPr>
        <w:rPr>
          <w:lang w:val="en-US"/>
        </w:rPr>
      </w:pPr>
      <w:r w:rsidRPr="00C93BD1">
        <w:rPr>
          <w:lang w:val="en-US"/>
        </w:rPr>
        <w:t xml:space="preserve">Henry, M., Schraven, D., Bocken, N., Frenken, K., Hekkert, M. and Kirchherr, J., 2021. The battle of the buzzwords: A comparative review of the circular economy and the sharing economy concepts. </w:t>
      </w:r>
      <w:r w:rsidRPr="00C93BD1">
        <w:rPr>
          <w:i/>
          <w:iCs/>
          <w:lang w:val="en-US"/>
        </w:rPr>
        <w:t>Environmental innovation and societal transitions</w:t>
      </w:r>
      <w:r w:rsidRPr="00C93BD1">
        <w:rPr>
          <w:lang w:val="en-US"/>
        </w:rPr>
        <w:t xml:space="preserve">, </w:t>
      </w:r>
      <w:r w:rsidRPr="00C93BD1">
        <w:rPr>
          <w:i/>
          <w:iCs/>
          <w:lang w:val="en-US"/>
        </w:rPr>
        <w:t>38</w:t>
      </w:r>
      <w:r w:rsidRPr="00C93BD1">
        <w:rPr>
          <w:lang w:val="en-US"/>
        </w:rPr>
        <w:t>, pp.1-21.</w:t>
      </w:r>
    </w:p>
    <w:p w:rsidR="008D1682" w:rsidRPr="00F15EF5" w:rsidRDefault="008D1682" w:rsidP="00F15EF5">
      <w:pPr>
        <w:rPr>
          <w:lang w:val="en-US"/>
        </w:rPr>
      </w:pPr>
      <w:r w:rsidRPr="00F15EF5">
        <w:rPr>
          <w:lang w:val="en-US"/>
        </w:rPr>
        <w:t xml:space="preserve">Herrera, J. and De Las Heras-Rosas, C., 2021. The organizational commitment in the company and its relationship with the psychological contract. </w:t>
      </w:r>
      <w:r w:rsidRPr="00F15EF5">
        <w:rPr>
          <w:i/>
          <w:iCs/>
          <w:lang w:val="en-US"/>
        </w:rPr>
        <w:t>Frontiers in Psychology</w:t>
      </w:r>
      <w:r w:rsidRPr="00F15EF5">
        <w:rPr>
          <w:lang w:val="en-US"/>
        </w:rPr>
        <w:t xml:space="preserve">, </w:t>
      </w:r>
      <w:r w:rsidRPr="00F15EF5">
        <w:rPr>
          <w:i/>
          <w:iCs/>
          <w:lang w:val="en-US"/>
        </w:rPr>
        <w:t>11</w:t>
      </w:r>
      <w:r w:rsidRPr="00F15EF5">
        <w:rPr>
          <w:lang w:val="en-US"/>
        </w:rPr>
        <w:t>, p.609211.</w:t>
      </w:r>
    </w:p>
    <w:p w:rsidR="008D1682" w:rsidRPr="00F15EF5" w:rsidRDefault="008D1682" w:rsidP="00F15EF5">
      <w:pPr>
        <w:rPr>
          <w:lang w:val="en-US"/>
        </w:rPr>
      </w:pPr>
      <w:r w:rsidRPr="00F15EF5">
        <w:rPr>
          <w:lang w:val="en-US"/>
        </w:rPr>
        <w:t xml:space="preserve">Hornung, S. and Höge, T., 2021. Analysing power and control in work organizations: Assimilating a critical socio-psychodynamic perspective. </w:t>
      </w:r>
      <w:r w:rsidRPr="00F15EF5">
        <w:rPr>
          <w:i/>
          <w:iCs/>
          <w:lang w:val="en-US"/>
        </w:rPr>
        <w:t>Business &amp; Management Studies: An International Journal</w:t>
      </w:r>
      <w:r w:rsidRPr="00F15EF5">
        <w:rPr>
          <w:lang w:val="en-US"/>
        </w:rPr>
        <w:t xml:space="preserve">, </w:t>
      </w:r>
      <w:r w:rsidRPr="00F15EF5">
        <w:rPr>
          <w:i/>
          <w:iCs/>
          <w:lang w:val="en-US"/>
        </w:rPr>
        <w:t>9</w:t>
      </w:r>
      <w:r w:rsidRPr="00F15EF5">
        <w:rPr>
          <w:lang w:val="en-US"/>
        </w:rPr>
        <w:t>(1), pp.355-371.</w:t>
      </w:r>
    </w:p>
    <w:p w:rsidR="008D1682" w:rsidRPr="00F15EF5" w:rsidRDefault="008D1682" w:rsidP="00F15EF5">
      <w:pPr>
        <w:rPr>
          <w:lang w:val="en-US"/>
        </w:rPr>
      </w:pPr>
      <w:r w:rsidRPr="00F15EF5">
        <w:rPr>
          <w:lang w:val="en-US"/>
        </w:rPr>
        <w:t xml:space="preserve">Hornung, S. and Höge, T., 2021. Analysing power and control in work organizations: Assimilating a critical socio-psychodynamic perspective. </w:t>
      </w:r>
      <w:r w:rsidRPr="00F15EF5">
        <w:rPr>
          <w:i/>
          <w:iCs/>
          <w:lang w:val="en-US"/>
        </w:rPr>
        <w:t>Business &amp; Management Studies: An International Journal</w:t>
      </w:r>
      <w:r w:rsidRPr="00F15EF5">
        <w:rPr>
          <w:lang w:val="en-US"/>
        </w:rPr>
        <w:t xml:space="preserve">, </w:t>
      </w:r>
      <w:r w:rsidRPr="00F15EF5">
        <w:rPr>
          <w:i/>
          <w:iCs/>
          <w:lang w:val="en-US"/>
        </w:rPr>
        <w:t>9</w:t>
      </w:r>
      <w:r w:rsidRPr="00F15EF5">
        <w:rPr>
          <w:lang w:val="en-US"/>
        </w:rPr>
        <w:t>(1), pp.355-371.</w:t>
      </w:r>
    </w:p>
    <w:p w:rsidR="008D1682" w:rsidRPr="008D1682" w:rsidRDefault="008D1682" w:rsidP="008D1682">
      <w:pPr>
        <w:rPr>
          <w:lang w:val="en-US"/>
        </w:rPr>
      </w:pPr>
      <w:r w:rsidRPr="008D1682">
        <w:rPr>
          <w:lang w:val="en-US"/>
        </w:rPr>
        <w:t xml:space="preserve">Kho, J., Gillespie, N. and Martin-Khan, M., 2020. A systematic scoping review of change management practices used for telemedicine service implementations. </w:t>
      </w:r>
      <w:r w:rsidRPr="008D1682">
        <w:rPr>
          <w:i/>
          <w:iCs/>
          <w:lang w:val="en-US"/>
        </w:rPr>
        <w:t>BMC health services research</w:t>
      </w:r>
      <w:r w:rsidRPr="008D1682">
        <w:rPr>
          <w:lang w:val="en-US"/>
        </w:rPr>
        <w:t xml:space="preserve">, </w:t>
      </w:r>
      <w:r w:rsidRPr="008D1682">
        <w:rPr>
          <w:i/>
          <w:iCs/>
          <w:lang w:val="en-US"/>
        </w:rPr>
        <w:t>20</w:t>
      </w:r>
      <w:r w:rsidRPr="008D1682">
        <w:rPr>
          <w:lang w:val="en-US"/>
        </w:rPr>
        <w:t>, pp.1-16.</w:t>
      </w:r>
    </w:p>
    <w:p w:rsidR="008D1682" w:rsidRPr="00C93BD1" w:rsidRDefault="008D1682" w:rsidP="00C93BD1">
      <w:pPr>
        <w:rPr>
          <w:lang w:val="en-US"/>
        </w:rPr>
      </w:pPr>
      <w:r w:rsidRPr="00C93BD1">
        <w:rPr>
          <w:lang w:val="en-US"/>
        </w:rPr>
        <w:t xml:space="preserve">Latifi, M.A., Nikou, S. and Bouwman, H., 2021. Business model innovation and firm performance: Exploring causal mechanisms in SMEs. </w:t>
      </w:r>
      <w:r w:rsidRPr="00C93BD1">
        <w:rPr>
          <w:i/>
          <w:iCs/>
          <w:lang w:val="en-US"/>
        </w:rPr>
        <w:t>Technovation</w:t>
      </w:r>
      <w:r w:rsidRPr="00C93BD1">
        <w:rPr>
          <w:lang w:val="en-US"/>
        </w:rPr>
        <w:t xml:space="preserve">, </w:t>
      </w:r>
      <w:r w:rsidRPr="00C93BD1">
        <w:rPr>
          <w:i/>
          <w:iCs/>
          <w:lang w:val="en-US"/>
        </w:rPr>
        <w:t>107</w:t>
      </w:r>
      <w:r w:rsidRPr="00C93BD1">
        <w:rPr>
          <w:lang w:val="en-US"/>
        </w:rPr>
        <w:t>, p.102274.</w:t>
      </w:r>
    </w:p>
    <w:p w:rsidR="008D1682" w:rsidRPr="008D1682" w:rsidRDefault="008D1682" w:rsidP="008D1682">
      <w:pPr>
        <w:rPr>
          <w:lang w:val="en-US"/>
        </w:rPr>
      </w:pPr>
      <w:r w:rsidRPr="008D1682">
        <w:rPr>
          <w:lang w:val="en-US"/>
        </w:rPr>
        <w:t xml:space="preserve">Lattuch, F., 2019. Family firm innovation strategy: contradictions and tradition. </w:t>
      </w:r>
      <w:r w:rsidRPr="008D1682">
        <w:rPr>
          <w:i/>
          <w:iCs/>
          <w:lang w:val="en-US"/>
        </w:rPr>
        <w:t>Journal of Business Strategy</w:t>
      </w:r>
      <w:r w:rsidRPr="008D1682">
        <w:rPr>
          <w:lang w:val="en-US"/>
        </w:rPr>
        <w:t xml:space="preserve">, </w:t>
      </w:r>
      <w:r w:rsidRPr="008D1682">
        <w:rPr>
          <w:i/>
          <w:iCs/>
          <w:lang w:val="en-US"/>
        </w:rPr>
        <w:t>40</w:t>
      </w:r>
      <w:r w:rsidRPr="008D1682">
        <w:rPr>
          <w:lang w:val="en-US"/>
        </w:rPr>
        <w:t>(3), pp.36-42.</w:t>
      </w:r>
    </w:p>
    <w:p w:rsidR="008D1682" w:rsidRPr="00C93BD1" w:rsidRDefault="008D1682" w:rsidP="00C93BD1">
      <w:pPr>
        <w:rPr>
          <w:lang w:val="en-US"/>
        </w:rPr>
      </w:pPr>
      <w:r w:rsidRPr="00C93BD1">
        <w:rPr>
          <w:lang w:val="en-US"/>
        </w:rPr>
        <w:t xml:space="preserve">Laukkanen, M. and Tura, N., 2020. The potential of sharing economy business models for sustainable value creation. </w:t>
      </w:r>
      <w:r w:rsidRPr="00C93BD1">
        <w:rPr>
          <w:i/>
          <w:iCs/>
          <w:lang w:val="en-US"/>
        </w:rPr>
        <w:t>Journal of Cleaner production</w:t>
      </w:r>
      <w:r w:rsidRPr="00C93BD1">
        <w:rPr>
          <w:lang w:val="en-US"/>
        </w:rPr>
        <w:t xml:space="preserve">, </w:t>
      </w:r>
      <w:r w:rsidRPr="00C93BD1">
        <w:rPr>
          <w:i/>
          <w:iCs/>
          <w:lang w:val="en-US"/>
        </w:rPr>
        <w:t>253</w:t>
      </w:r>
      <w:r w:rsidRPr="00C93BD1">
        <w:rPr>
          <w:lang w:val="en-US"/>
        </w:rPr>
        <w:t>, p.120004.</w:t>
      </w:r>
    </w:p>
    <w:p w:rsidR="008D1682" w:rsidRPr="00F15EF5" w:rsidRDefault="008D1682" w:rsidP="00F15EF5">
      <w:pPr>
        <w:rPr>
          <w:lang w:val="en-US"/>
        </w:rPr>
      </w:pPr>
      <w:r w:rsidRPr="00F15EF5">
        <w:rPr>
          <w:lang w:val="en-US"/>
        </w:rPr>
        <w:t xml:space="preserve">Neubaum, D.O., Kammerlander, N. and Brigham, K.H., 2019. Capturing family firm heterogeneity: How taxonomies and typologies can help the field move forward. </w:t>
      </w:r>
      <w:r w:rsidRPr="00F15EF5">
        <w:rPr>
          <w:i/>
          <w:iCs/>
          <w:lang w:val="en-US"/>
        </w:rPr>
        <w:t>Family Business Review</w:t>
      </w:r>
      <w:r w:rsidRPr="00F15EF5">
        <w:rPr>
          <w:lang w:val="en-US"/>
        </w:rPr>
        <w:t xml:space="preserve">, </w:t>
      </w:r>
      <w:r w:rsidRPr="00F15EF5">
        <w:rPr>
          <w:i/>
          <w:iCs/>
          <w:lang w:val="en-US"/>
        </w:rPr>
        <w:t>32</w:t>
      </w:r>
      <w:r w:rsidRPr="00F15EF5">
        <w:rPr>
          <w:lang w:val="en-US"/>
        </w:rPr>
        <w:t>(2), pp.106-130.</w:t>
      </w:r>
    </w:p>
    <w:p w:rsidR="008D1682" w:rsidRPr="00C93BD1" w:rsidRDefault="008D1682" w:rsidP="00C93BD1">
      <w:pPr>
        <w:rPr>
          <w:lang w:val="en-US"/>
        </w:rPr>
      </w:pPr>
      <w:r w:rsidRPr="00C93BD1">
        <w:rPr>
          <w:lang w:val="en-US"/>
        </w:rPr>
        <w:t xml:space="preserve">Niemimaa, M., Järveläinen, J., Heikkilä, M. and Heikkilä, J., 2019. Business continuity of business models: Evaluating the resilience of business models for contingencies. </w:t>
      </w:r>
      <w:r w:rsidRPr="00C93BD1">
        <w:rPr>
          <w:i/>
          <w:iCs/>
          <w:lang w:val="en-US"/>
        </w:rPr>
        <w:t>International Journal of Information Management</w:t>
      </w:r>
      <w:r w:rsidRPr="00C93BD1">
        <w:rPr>
          <w:lang w:val="en-US"/>
        </w:rPr>
        <w:t xml:space="preserve">, </w:t>
      </w:r>
      <w:r w:rsidRPr="00C93BD1">
        <w:rPr>
          <w:i/>
          <w:iCs/>
          <w:lang w:val="en-US"/>
        </w:rPr>
        <w:t>49</w:t>
      </w:r>
      <w:r w:rsidRPr="00C93BD1">
        <w:rPr>
          <w:lang w:val="en-US"/>
        </w:rPr>
        <w:t>, pp.208-216.</w:t>
      </w:r>
    </w:p>
    <w:p w:rsidR="008D1682" w:rsidRPr="00436E68" w:rsidRDefault="008D1682" w:rsidP="00436E68">
      <w:pPr>
        <w:rPr>
          <w:lang w:val="en-US"/>
        </w:rPr>
      </w:pPr>
      <w:r w:rsidRPr="00436E68">
        <w:rPr>
          <w:lang w:val="en-US"/>
        </w:rPr>
        <w:t xml:space="preserve">Petriglieri, G. and Petriglieri, J.L., 2020. The return of the oppressed: A systems psychodynamic approach to organization studies. </w:t>
      </w:r>
      <w:r w:rsidRPr="00436E68">
        <w:rPr>
          <w:i/>
          <w:iCs/>
          <w:lang w:val="en-US"/>
        </w:rPr>
        <w:t>Academy of Management Annals</w:t>
      </w:r>
      <w:r w:rsidRPr="00436E68">
        <w:rPr>
          <w:lang w:val="en-US"/>
        </w:rPr>
        <w:t xml:space="preserve">, </w:t>
      </w:r>
      <w:r w:rsidRPr="00436E68">
        <w:rPr>
          <w:i/>
          <w:iCs/>
          <w:lang w:val="en-US"/>
        </w:rPr>
        <w:t>14</w:t>
      </w:r>
      <w:r w:rsidRPr="00436E68">
        <w:rPr>
          <w:lang w:val="en-US"/>
        </w:rPr>
        <w:t>(1), pp.411-449.</w:t>
      </w:r>
    </w:p>
    <w:p w:rsidR="008D1682" w:rsidRPr="00F15EF5" w:rsidRDefault="008D1682" w:rsidP="00F15EF5">
      <w:pPr>
        <w:rPr>
          <w:lang w:val="en-US"/>
        </w:rPr>
      </w:pPr>
      <w:r w:rsidRPr="00F15EF5">
        <w:rPr>
          <w:lang w:val="en-US"/>
        </w:rPr>
        <w:t xml:space="preserve">Reed, M.S., Ferre, M., Martin-Ortega, J., Blanche, R., Lawford-Rolfe, R., Dallimer, M. and Holden, J., 2021. Evaluating impact from research: A methodological framework. </w:t>
      </w:r>
      <w:r w:rsidRPr="00F15EF5">
        <w:rPr>
          <w:i/>
          <w:iCs/>
          <w:lang w:val="en-US"/>
        </w:rPr>
        <w:t>Research Policy</w:t>
      </w:r>
      <w:r w:rsidRPr="00F15EF5">
        <w:rPr>
          <w:lang w:val="en-US"/>
        </w:rPr>
        <w:t xml:space="preserve">, </w:t>
      </w:r>
      <w:r w:rsidRPr="00F15EF5">
        <w:rPr>
          <w:i/>
          <w:iCs/>
          <w:lang w:val="en-US"/>
        </w:rPr>
        <w:t>50</w:t>
      </w:r>
      <w:r w:rsidRPr="00F15EF5">
        <w:rPr>
          <w:lang w:val="en-US"/>
        </w:rPr>
        <w:t>(4), p.104147.</w:t>
      </w:r>
    </w:p>
    <w:p w:rsidR="008D1682" w:rsidRPr="00C93BD1" w:rsidRDefault="008D1682" w:rsidP="00C93BD1">
      <w:pPr>
        <w:rPr>
          <w:lang w:val="en-US"/>
        </w:rPr>
      </w:pPr>
      <w:r w:rsidRPr="00C93BD1">
        <w:rPr>
          <w:lang w:val="en-US"/>
        </w:rPr>
        <w:t xml:space="preserve">Ritter, M. and Schanz, H., 2019. The sharing economy: A comprehensive business model framework. </w:t>
      </w:r>
      <w:r w:rsidRPr="00C93BD1">
        <w:rPr>
          <w:i/>
          <w:iCs/>
          <w:lang w:val="en-US"/>
        </w:rPr>
        <w:t>Journal of cleaner production</w:t>
      </w:r>
      <w:r w:rsidRPr="00C93BD1">
        <w:rPr>
          <w:lang w:val="en-US"/>
        </w:rPr>
        <w:t xml:space="preserve">, </w:t>
      </w:r>
      <w:r w:rsidRPr="00C93BD1">
        <w:rPr>
          <w:i/>
          <w:iCs/>
          <w:lang w:val="en-US"/>
        </w:rPr>
        <w:t>213</w:t>
      </w:r>
      <w:r w:rsidRPr="00C93BD1">
        <w:rPr>
          <w:lang w:val="en-US"/>
        </w:rPr>
        <w:t>, pp.320-331.</w:t>
      </w:r>
    </w:p>
    <w:p w:rsidR="008D1682" w:rsidRPr="00C93BD1" w:rsidRDefault="008D1682" w:rsidP="00C93BD1">
      <w:pPr>
        <w:rPr>
          <w:lang w:val="en-US"/>
        </w:rPr>
      </w:pPr>
      <w:r w:rsidRPr="00C93BD1">
        <w:rPr>
          <w:lang w:val="en-US"/>
        </w:rPr>
        <w:t xml:space="preserve">Roşca, V.I., 2020. Implications of Lewin’s field theory on social change. In </w:t>
      </w:r>
      <w:r w:rsidRPr="00C93BD1">
        <w:rPr>
          <w:i/>
          <w:iCs/>
          <w:lang w:val="en-US"/>
        </w:rPr>
        <w:t>Proceedings of the International Conference on Business Excellence</w:t>
      </w:r>
      <w:r w:rsidRPr="00C93BD1">
        <w:rPr>
          <w:lang w:val="en-US"/>
        </w:rPr>
        <w:t xml:space="preserve"> (Vol. 14, No. 1, pp. 617-625).</w:t>
      </w:r>
    </w:p>
    <w:p w:rsidR="008D1682" w:rsidRPr="00F15EF5" w:rsidRDefault="008D1682" w:rsidP="00F15EF5">
      <w:pPr>
        <w:rPr>
          <w:lang w:val="en-US"/>
        </w:rPr>
      </w:pPr>
      <w:r w:rsidRPr="00F15EF5">
        <w:rPr>
          <w:lang w:val="en-US"/>
        </w:rPr>
        <w:t xml:space="preserve">Santa-Maria, T., Vermeulen, W.J. and Baumgartner, R.J., 2021. Framing and assessing the emergent field of business model innovation for the circular economy: A combined literature review and multiple case study approach. </w:t>
      </w:r>
      <w:r w:rsidRPr="00F15EF5">
        <w:rPr>
          <w:i/>
          <w:iCs/>
          <w:lang w:val="en-US"/>
        </w:rPr>
        <w:t>Sustainable Production and Consumption</w:t>
      </w:r>
      <w:r w:rsidRPr="00F15EF5">
        <w:rPr>
          <w:lang w:val="en-US"/>
        </w:rPr>
        <w:t xml:space="preserve">, </w:t>
      </w:r>
      <w:r w:rsidRPr="00F15EF5">
        <w:rPr>
          <w:i/>
          <w:iCs/>
          <w:lang w:val="en-US"/>
        </w:rPr>
        <w:t>26</w:t>
      </w:r>
      <w:r w:rsidRPr="00F15EF5">
        <w:rPr>
          <w:lang w:val="en-US"/>
        </w:rPr>
        <w:t>, pp.872-891.</w:t>
      </w:r>
    </w:p>
    <w:p w:rsidR="008D1682" w:rsidRPr="00C93BD1" w:rsidRDefault="008D1682" w:rsidP="00C93BD1">
      <w:pPr>
        <w:rPr>
          <w:lang w:val="en-US"/>
        </w:rPr>
      </w:pPr>
      <w:r w:rsidRPr="00C93BD1">
        <w:rPr>
          <w:lang w:val="en-US"/>
        </w:rPr>
        <w:t>Smith, A.C., Skinner, J. and Read, D., 2020. Philosophies of organizational change: perspectives, models and theories for managing change. Edward Elgar Publishing.</w:t>
      </w:r>
    </w:p>
    <w:p w:rsidR="008D1682" w:rsidRPr="00436E68" w:rsidRDefault="008D1682" w:rsidP="00436E68">
      <w:pPr>
        <w:rPr>
          <w:lang w:val="en-US"/>
        </w:rPr>
      </w:pPr>
      <w:r w:rsidRPr="00436E68">
        <w:rPr>
          <w:lang w:val="en-US"/>
        </w:rPr>
        <w:t xml:space="preserve">Svibovich, A., 2020. understanding positive organisational change through social construct of psychological safety: An intrapersonal level perspective. </w:t>
      </w:r>
      <w:r w:rsidRPr="00436E68">
        <w:rPr>
          <w:i/>
          <w:iCs/>
          <w:lang w:val="en-US"/>
        </w:rPr>
        <w:t>Economic and Social Development: Book of Proceedings</w:t>
      </w:r>
      <w:r w:rsidRPr="00436E68">
        <w:rPr>
          <w:lang w:val="en-US"/>
        </w:rPr>
        <w:t>, pp.326-338.</w:t>
      </w:r>
    </w:p>
    <w:p w:rsidR="008D1682" w:rsidRPr="00C93BD1" w:rsidRDefault="008D1682" w:rsidP="00C93BD1">
      <w:pPr>
        <w:rPr>
          <w:lang w:val="en-US"/>
        </w:rPr>
      </w:pPr>
      <w:r w:rsidRPr="00C93BD1">
        <w:rPr>
          <w:lang w:val="en-US"/>
        </w:rPr>
        <w:t xml:space="preserve">Tran, T.T. and Gandolfi, F., 2020. Implementing lewin's change theory for institutional improvements: A vietnamese case study. </w:t>
      </w:r>
      <w:r w:rsidRPr="00C93BD1">
        <w:rPr>
          <w:i/>
          <w:iCs/>
          <w:lang w:val="en-US"/>
        </w:rPr>
        <w:t>Journal of Management Research</w:t>
      </w:r>
      <w:r w:rsidRPr="00C93BD1">
        <w:rPr>
          <w:lang w:val="en-US"/>
        </w:rPr>
        <w:t xml:space="preserve">, </w:t>
      </w:r>
      <w:r w:rsidRPr="00C93BD1">
        <w:rPr>
          <w:i/>
          <w:iCs/>
          <w:lang w:val="en-US"/>
        </w:rPr>
        <w:t>20</w:t>
      </w:r>
      <w:r w:rsidRPr="00C93BD1">
        <w:rPr>
          <w:lang w:val="en-US"/>
        </w:rPr>
        <w:t>(4), pp.199-210.</w:t>
      </w:r>
    </w:p>
    <w:p w:rsidR="00436E68" w:rsidRPr="00436E68" w:rsidRDefault="00436E68" w:rsidP="00436E68"/>
    <w:sectPr w:rsidR="00436E68" w:rsidRPr="00436E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E13"/>
    <w:rsid w:val="00220CCA"/>
    <w:rsid w:val="002F7289"/>
    <w:rsid w:val="00341887"/>
    <w:rsid w:val="00436E68"/>
    <w:rsid w:val="004D25DF"/>
    <w:rsid w:val="004F3EBF"/>
    <w:rsid w:val="004F7677"/>
    <w:rsid w:val="005C1B12"/>
    <w:rsid w:val="00686E13"/>
    <w:rsid w:val="008D1682"/>
    <w:rsid w:val="00C93BD1"/>
    <w:rsid w:val="00F01B36"/>
    <w:rsid w:val="00F15EF5"/>
    <w:rsid w:val="00F25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A9168"/>
  <w15:chartTrackingRefBased/>
  <w15:docId w15:val="{1486EFDE-FEA7-47F7-81BB-5BD2D8DE8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6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F3EBF"/>
    <w:pPr>
      <w:keepNext/>
      <w:keepLines/>
      <w:spacing w:before="240" w:after="0"/>
      <w:outlineLvl w:val="0"/>
    </w:pPr>
    <w:rPr>
      <w:rFonts w:eastAsiaTheme="majorEastAsia" w:cstheme="majorBidi"/>
      <w:b/>
      <w:color w:val="000000" w:themeColor="text1"/>
      <w:szCs w:val="32"/>
    </w:rPr>
  </w:style>
  <w:style w:type="paragraph" w:styleId="Heading2">
    <w:name w:val="heading 2"/>
    <w:basedOn w:val="Heading1"/>
    <w:next w:val="Normal"/>
    <w:link w:val="Heading2Char"/>
    <w:uiPriority w:val="9"/>
    <w:unhideWhenUsed/>
    <w:qFormat/>
    <w:rsid w:val="004F3EBF"/>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EBF"/>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4F3EBF"/>
    <w:rPr>
      <w:rFonts w:ascii="Times New Roman" w:eastAsiaTheme="majorEastAsia" w:hAnsi="Times New Roman" w:cstheme="majorBidi"/>
      <w:b/>
      <w:color w:val="000000" w:themeColor="text1"/>
      <w:sz w:val="24"/>
      <w:szCs w:val="32"/>
      <w:lang w:val="en-GB"/>
    </w:rPr>
  </w:style>
  <w:style w:type="paragraph" w:styleId="NoSpacing">
    <w:name w:val="No Spacing"/>
    <w:uiPriority w:val="1"/>
    <w:qFormat/>
    <w:rsid w:val="008D1682"/>
    <w:pPr>
      <w:spacing w:after="0" w:line="240" w:lineRule="auto"/>
      <w:jc w:val="both"/>
    </w:pPr>
    <w:rPr>
      <w:rFonts w:ascii="Times New Roman" w:hAnsi="Times New Roman"/>
      <w:sz w:val="24"/>
      <w:lang w:val="en-GB"/>
    </w:rPr>
  </w:style>
  <w:style w:type="paragraph" w:styleId="TOCHeading">
    <w:name w:val="TOC Heading"/>
    <w:basedOn w:val="Heading1"/>
    <w:next w:val="Normal"/>
    <w:uiPriority w:val="39"/>
    <w:unhideWhenUsed/>
    <w:qFormat/>
    <w:rsid w:val="008D168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D1682"/>
    <w:pPr>
      <w:spacing w:after="100"/>
    </w:pPr>
  </w:style>
  <w:style w:type="character" w:styleId="Hyperlink">
    <w:name w:val="Hyperlink"/>
    <w:basedOn w:val="DefaultParagraphFont"/>
    <w:uiPriority w:val="99"/>
    <w:unhideWhenUsed/>
    <w:rsid w:val="008D1682"/>
    <w:rPr>
      <w:color w:val="0563C1" w:themeColor="hyperlink"/>
      <w:u w:val="single"/>
    </w:rPr>
  </w:style>
  <w:style w:type="paragraph" w:styleId="ListParagraph">
    <w:name w:val="List Paragraph"/>
    <w:basedOn w:val="Normal"/>
    <w:uiPriority w:val="34"/>
    <w:qFormat/>
    <w:rsid w:val="008D16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27708">
      <w:bodyDiv w:val="1"/>
      <w:marLeft w:val="0"/>
      <w:marRight w:val="0"/>
      <w:marTop w:val="0"/>
      <w:marBottom w:val="0"/>
      <w:divBdr>
        <w:top w:val="none" w:sz="0" w:space="0" w:color="auto"/>
        <w:left w:val="none" w:sz="0" w:space="0" w:color="auto"/>
        <w:bottom w:val="none" w:sz="0" w:space="0" w:color="auto"/>
        <w:right w:val="none" w:sz="0" w:space="0" w:color="auto"/>
      </w:divBdr>
      <w:divsChild>
        <w:div w:id="1189828924">
          <w:marLeft w:val="0"/>
          <w:marRight w:val="0"/>
          <w:marTop w:val="0"/>
          <w:marBottom w:val="0"/>
          <w:divBdr>
            <w:top w:val="none" w:sz="0" w:space="0" w:color="auto"/>
            <w:left w:val="none" w:sz="0" w:space="0" w:color="auto"/>
            <w:bottom w:val="none" w:sz="0" w:space="0" w:color="auto"/>
            <w:right w:val="none" w:sz="0" w:space="0" w:color="auto"/>
          </w:divBdr>
        </w:div>
      </w:divsChild>
    </w:div>
    <w:div w:id="392705796">
      <w:bodyDiv w:val="1"/>
      <w:marLeft w:val="0"/>
      <w:marRight w:val="0"/>
      <w:marTop w:val="0"/>
      <w:marBottom w:val="0"/>
      <w:divBdr>
        <w:top w:val="none" w:sz="0" w:space="0" w:color="auto"/>
        <w:left w:val="none" w:sz="0" w:space="0" w:color="auto"/>
        <w:bottom w:val="none" w:sz="0" w:space="0" w:color="auto"/>
        <w:right w:val="none" w:sz="0" w:space="0" w:color="auto"/>
      </w:divBdr>
      <w:divsChild>
        <w:div w:id="613512437">
          <w:marLeft w:val="0"/>
          <w:marRight w:val="0"/>
          <w:marTop w:val="0"/>
          <w:marBottom w:val="0"/>
          <w:divBdr>
            <w:top w:val="none" w:sz="0" w:space="0" w:color="auto"/>
            <w:left w:val="none" w:sz="0" w:space="0" w:color="auto"/>
            <w:bottom w:val="none" w:sz="0" w:space="0" w:color="auto"/>
            <w:right w:val="none" w:sz="0" w:space="0" w:color="auto"/>
          </w:divBdr>
        </w:div>
      </w:divsChild>
    </w:div>
    <w:div w:id="406001775">
      <w:bodyDiv w:val="1"/>
      <w:marLeft w:val="0"/>
      <w:marRight w:val="0"/>
      <w:marTop w:val="0"/>
      <w:marBottom w:val="0"/>
      <w:divBdr>
        <w:top w:val="none" w:sz="0" w:space="0" w:color="auto"/>
        <w:left w:val="none" w:sz="0" w:space="0" w:color="auto"/>
        <w:bottom w:val="none" w:sz="0" w:space="0" w:color="auto"/>
        <w:right w:val="none" w:sz="0" w:space="0" w:color="auto"/>
      </w:divBdr>
      <w:divsChild>
        <w:div w:id="232089054">
          <w:marLeft w:val="0"/>
          <w:marRight w:val="0"/>
          <w:marTop w:val="0"/>
          <w:marBottom w:val="0"/>
          <w:divBdr>
            <w:top w:val="none" w:sz="0" w:space="0" w:color="auto"/>
            <w:left w:val="none" w:sz="0" w:space="0" w:color="auto"/>
            <w:bottom w:val="none" w:sz="0" w:space="0" w:color="auto"/>
            <w:right w:val="none" w:sz="0" w:space="0" w:color="auto"/>
          </w:divBdr>
        </w:div>
      </w:divsChild>
    </w:div>
    <w:div w:id="440422093">
      <w:bodyDiv w:val="1"/>
      <w:marLeft w:val="0"/>
      <w:marRight w:val="0"/>
      <w:marTop w:val="0"/>
      <w:marBottom w:val="0"/>
      <w:divBdr>
        <w:top w:val="none" w:sz="0" w:space="0" w:color="auto"/>
        <w:left w:val="none" w:sz="0" w:space="0" w:color="auto"/>
        <w:bottom w:val="none" w:sz="0" w:space="0" w:color="auto"/>
        <w:right w:val="none" w:sz="0" w:space="0" w:color="auto"/>
      </w:divBdr>
      <w:divsChild>
        <w:div w:id="1169172967">
          <w:marLeft w:val="0"/>
          <w:marRight w:val="0"/>
          <w:marTop w:val="0"/>
          <w:marBottom w:val="0"/>
          <w:divBdr>
            <w:top w:val="none" w:sz="0" w:space="0" w:color="auto"/>
            <w:left w:val="none" w:sz="0" w:space="0" w:color="auto"/>
            <w:bottom w:val="none" w:sz="0" w:space="0" w:color="auto"/>
            <w:right w:val="none" w:sz="0" w:space="0" w:color="auto"/>
          </w:divBdr>
        </w:div>
      </w:divsChild>
    </w:div>
    <w:div w:id="623970608">
      <w:bodyDiv w:val="1"/>
      <w:marLeft w:val="0"/>
      <w:marRight w:val="0"/>
      <w:marTop w:val="0"/>
      <w:marBottom w:val="0"/>
      <w:divBdr>
        <w:top w:val="none" w:sz="0" w:space="0" w:color="auto"/>
        <w:left w:val="none" w:sz="0" w:space="0" w:color="auto"/>
        <w:bottom w:val="none" w:sz="0" w:space="0" w:color="auto"/>
        <w:right w:val="none" w:sz="0" w:space="0" w:color="auto"/>
      </w:divBdr>
      <w:divsChild>
        <w:div w:id="666370519">
          <w:marLeft w:val="0"/>
          <w:marRight w:val="0"/>
          <w:marTop w:val="0"/>
          <w:marBottom w:val="0"/>
          <w:divBdr>
            <w:top w:val="none" w:sz="0" w:space="0" w:color="auto"/>
            <w:left w:val="none" w:sz="0" w:space="0" w:color="auto"/>
            <w:bottom w:val="none" w:sz="0" w:space="0" w:color="auto"/>
            <w:right w:val="none" w:sz="0" w:space="0" w:color="auto"/>
          </w:divBdr>
        </w:div>
      </w:divsChild>
    </w:div>
    <w:div w:id="784497962">
      <w:bodyDiv w:val="1"/>
      <w:marLeft w:val="0"/>
      <w:marRight w:val="0"/>
      <w:marTop w:val="0"/>
      <w:marBottom w:val="0"/>
      <w:divBdr>
        <w:top w:val="none" w:sz="0" w:space="0" w:color="auto"/>
        <w:left w:val="none" w:sz="0" w:space="0" w:color="auto"/>
        <w:bottom w:val="none" w:sz="0" w:space="0" w:color="auto"/>
        <w:right w:val="none" w:sz="0" w:space="0" w:color="auto"/>
      </w:divBdr>
      <w:divsChild>
        <w:div w:id="857277218">
          <w:marLeft w:val="0"/>
          <w:marRight w:val="0"/>
          <w:marTop w:val="0"/>
          <w:marBottom w:val="0"/>
          <w:divBdr>
            <w:top w:val="none" w:sz="0" w:space="0" w:color="auto"/>
            <w:left w:val="none" w:sz="0" w:space="0" w:color="auto"/>
            <w:bottom w:val="none" w:sz="0" w:space="0" w:color="auto"/>
            <w:right w:val="none" w:sz="0" w:space="0" w:color="auto"/>
          </w:divBdr>
        </w:div>
      </w:divsChild>
    </w:div>
    <w:div w:id="997730327">
      <w:bodyDiv w:val="1"/>
      <w:marLeft w:val="0"/>
      <w:marRight w:val="0"/>
      <w:marTop w:val="0"/>
      <w:marBottom w:val="0"/>
      <w:divBdr>
        <w:top w:val="none" w:sz="0" w:space="0" w:color="auto"/>
        <w:left w:val="none" w:sz="0" w:space="0" w:color="auto"/>
        <w:bottom w:val="none" w:sz="0" w:space="0" w:color="auto"/>
        <w:right w:val="none" w:sz="0" w:space="0" w:color="auto"/>
      </w:divBdr>
      <w:divsChild>
        <w:div w:id="357203334">
          <w:marLeft w:val="0"/>
          <w:marRight w:val="0"/>
          <w:marTop w:val="0"/>
          <w:marBottom w:val="0"/>
          <w:divBdr>
            <w:top w:val="none" w:sz="0" w:space="0" w:color="auto"/>
            <w:left w:val="none" w:sz="0" w:space="0" w:color="auto"/>
            <w:bottom w:val="none" w:sz="0" w:space="0" w:color="auto"/>
            <w:right w:val="none" w:sz="0" w:space="0" w:color="auto"/>
          </w:divBdr>
        </w:div>
      </w:divsChild>
    </w:div>
    <w:div w:id="1015577639">
      <w:bodyDiv w:val="1"/>
      <w:marLeft w:val="0"/>
      <w:marRight w:val="0"/>
      <w:marTop w:val="0"/>
      <w:marBottom w:val="0"/>
      <w:divBdr>
        <w:top w:val="none" w:sz="0" w:space="0" w:color="auto"/>
        <w:left w:val="none" w:sz="0" w:space="0" w:color="auto"/>
        <w:bottom w:val="none" w:sz="0" w:space="0" w:color="auto"/>
        <w:right w:val="none" w:sz="0" w:space="0" w:color="auto"/>
      </w:divBdr>
      <w:divsChild>
        <w:div w:id="2084377409">
          <w:marLeft w:val="0"/>
          <w:marRight w:val="0"/>
          <w:marTop w:val="0"/>
          <w:marBottom w:val="0"/>
          <w:divBdr>
            <w:top w:val="none" w:sz="0" w:space="0" w:color="auto"/>
            <w:left w:val="none" w:sz="0" w:space="0" w:color="auto"/>
            <w:bottom w:val="none" w:sz="0" w:space="0" w:color="auto"/>
            <w:right w:val="none" w:sz="0" w:space="0" w:color="auto"/>
          </w:divBdr>
        </w:div>
      </w:divsChild>
    </w:div>
    <w:div w:id="1020858042">
      <w:bodyDiv w:val="1"/>
      <w:marLeft w:val="0"/>
      <w:marRight w:val="0"/>
      <w:marTop w:val="0"/>
      <w:marBottom w:val="0"/>
      <w:divBdr>
        <w:top w:val="none" w:sz="0" w:space="0" w:color="auto"/>
        <w:left w:val="none" w:sz="0" w:space="0" w:color="auto"/>
        <w:bottom w:val="none" w:sz="0" w:space="0" w:color="auto"/>
        <w:right w:val="none" w:sz="0" w:space="0" w:color="auto"/>
      </w:divBdr>
      <w:divsChild>
        <w:div w:id="53049964">
          <w:marLeft w:val="0"/>
          <w:marRight w:val="0"/>
          <w:marTop w:val="0"/>
          <w:marBottom w:val="0"/>
          <w:divBdr>
            <w:top w:val="none" w:sz="0" w:space="0" w:color="auto"/>
            <w:left w:val="none" w:sz="0" w:space="0" w:color="auto"/>
            <w:bottom w:val="none" w:sz="0" w:space="0" w:color="auto"/>
            <w:right w:val="none" w:sz="0" w:space="0" w:color="auto"/>
          </w:divBdr>
        </w:div>
      </w:divsChild>
    </w:div>
    <w:div w:id="1021786191">
      <w:bodyDiv w:val="1"/>
      <w:marLeft w:val="0"/>
      <w:marRight w:val="0"/>
      <w:marTop w:val="0"/>
      <w:marBottom w:val="0"/>
      <w:divBdr>
        <w:top w:val="none" w:sz="0" w:space="0" w:color="auto"/>
        <w:left w:val="none" w:sz="0" w:space="0" w:color="auto"/>
        <w:bottom w:val="none" w:sz="0" w:space="0" w:color="auto"/>
        <w:right w:val="none" w:sz="0" w:space="0" w:color="auto"/>
      </w:divBdr>
      <w:divsChild>
        <w:div w:id="23289320">
          <w:marLeft w:val="0"/>
          <w:marRight w:val="0"/>
          <w:marTop w:val="0"/>
          <w:marBottom w:val="0"/>
          <w:divBdr>
            <w:top w:val="none" w:sz="0" w:space="0" w:color="auto"/>
            <w:left w:val="none" w:sz="0" w:space="0" w:color="auto"/>
            <w:bottom w:val="none" w:sz="0" w:space="0" w:color="auto"/>
            <w:right w:val="none" w:sz="0" w:space="0" w:color="auto"/>
          </w:divBdr>
        </w:div>
      </w:divsChild>
    </w:div>
    <w:div w:id="1305741013">
      <w:bodyDiv w:val="1"/>
      <w:marLeft w:val="0"/>
      <w:marRight w:val="0"/>
      <w:marTop w:val="0"/>
      <w:marBottom w:val="0"/>
      <w:divBdr>
        <w:top w:val="none" w:sz="0" w:space="0" w:color="auto"/>
        <w:left w:val="none" w:sz="0" w:space="0" w:color="auto"/>
        <w:bottom w:val="none" w:sz="0" w:space="0" w:color="auto"/>
        <w:right w:val="none" w:sz="0" w:space="0" w:color="auto"/>
      </w:divBdr>
      <w:divsChild>
        <w:div w:id="1003626106">
          <w:marLeft w:val="0"/>
          <w:marRight w:val="0"/>
          <w:marTop w:val="0"/>
          <w:marBottom w:val="0"/>
          <w:divBdr>
            <w:top w:val="none" w:sz="0" w:space="0" w:color="auto"/>
            <w:left w:val="none" w:sz="0" w:space="0" w:color="auto"/>
            <w:bottom w:val="none" w:sz="0" w:space="0" w:color="auto"/>
            <w:right w:val="none" w:sz="0" w:space="0" w:color="auto"/>
          </w:divBdr>
        </w:div>
      </w:divsChild>
    </w:div>
    <w:div w:id="1364556370">
      <w:bodyDiv w:val="1"/>
      <w:marLeft w:val="0"/>
      <w:marRight w:val="0"/>
      <w:marTop w:val="0"/>
      <w:marBottom w:val="0"/>
      <w:divBdr>
        <w:top w:val="none" w:sz="0" w:space="0" w:color="auto"/>
        <w:left w:val="none" w:sz="0" w:space="0" w:color="auto"/>
        <w:bottom w:val="none" w:sz="0" w:space="0" w:color="auto"/>
        <w:right w:val="none" w:sz="0" w:space="0" w:color="auto"/>
      </w:divBdr>
      <w:divsChild>
        <w:div w:id="1861315644">
          <w:marLeft w:val="0"/>
          <w:marRight w:val="0"/>
          <w:marTop w:val="0"/>
          <w:marBottom w:val="0"/>
          <w:divBdr>
            <w:top w:val="none" w:sz="0" w:space="0" w:color="auto"/>
            <w:left w:val="none" w:sz="0" w:space="0" w:color="auto"/>
            <w:bottom w:val="none" w:sz="0" w:space="0" w:color="auto"/>
            <w:right w:val="none" w:sz="0" w:space="0" w:color="auto"/>
          </w:divBdr>
        </w:div>
      </w:divsChild>
    </w:div>
    <w:div w:id="1407922686">
      <w:bodyDiv w:val="1"/>
      <w:marLeft w:val="0"/>
      <w:marRight w:val="0"/>
      <w:marTop w:val="0"/>
      <w:marBottom w:val="0"/>
      <w:divBdr>
        <w:top w:val="none" w:sz="0" w:space="0" w:color="auto"/>
        <w:left w:val="none" w:sz="0" w:space="0" w:color="auto"/>
        <w:bottom w:val="none" w:sz="0" w:space="0" w:color="auto"/>
        <w:right w:val="none" w:sz="0" w:space="0" w:color="auto"/>
      </w:divBdr>
      <w:divsChild>
        <w:div w:id="84618152">
          <w:marLeft w:val="0"/>
          <w:marRight w:val="0"/>
          <w:marTop w:val="0"/>
          <w:marBottom w:val="0"/>
          <w:divBdr>
            <w:top w:val="none" w:sz="0" w:space="0" w:color="auto"/>
            <w:left w:val="none" w:sz="0" w:space="0" w:color="auto"/>
            <w:bottom w:val="none" w:sz="0" w:space="0" w:color="auto"/>
            <w:right w:val="none" w:sz="0" w:space="0" w:color="auto"/>
          </w:divBdr>
        </w:div>
      </w:divsChild>
    </w:div>
    <w:div w:id="1502044003">
      <w:bodyDiv w:val="1"/>
      <w:marLeft w:val="0"/>
      <w:marRight w:val="0"/>
      <w:marTop w:val="0"/>
      <w:marBottom w:val="0"/>
      <w:divBdr>
        <w:top w:val="none" w:sz="0" w:space="0" w:color="auto"/>
        <w:left w:val="none" w:sz="0" w:space="0" w:color="auto"/>
        <w:bottom w:val="none" w:sz="0" w:space="0" w:color="auto"/>
        <w:right w:val="none" w:sz="0" w:space="0" w:color="auto"/>
      </w:divBdr>
      <w:divsChild>
        <w:div w:id="327564468">
          <w:marLeft w:val="0"/>
          <w:marRight w:val="0"/>
          <w:marTop w:val="0"/>
          <w:marBottom w:val="0"/>
          <w:divBdr>
            <w:top w:val="none" w:sz="0" w:space="0" w:color="auto"/>
            <w:left w:val="none" w:sz="0" w:space="0" w:color="auto"/>
            <w:bottom w:val="none" w:sz="0" w:space="0" w:color="auto"/>
            <w:right w:val="none" w:sz="0" w:space="0" w:color="auto"/>
          </w:divBdr>
        </w:div>
      </w:divsChild>
    </w:div>
    <w:div w:id="1554655518">
      <w:bodyDiv w:val="1"/>
      <w:marLeft w:val="0"/>
      <w:marRight w:val="0"/>
      <w:marTop w:val="0"/>
      <w:marBottom w:val="0"/>
      <w:divBdr>
        <w:top w:val="none" w:sz="0" w:space="0" w:color="auto"/>
        <w:left w:val="none" w:sz="0" w:space="0" w:color="auto"/>
        <w:bottom w:val="none" w:sz="0" w:space="0" w:color="auto"/>
        <w:right w:val="none" w:sz="0" w:space="0" w:color="auto"/>
      </w:divBdr>
      <w:divsChild>
        <w:div w:id="1682121579">
          <w:marLeft w:val="0"/>
          <w:marRight w:val="0"/>
          <w:marTop w:val="0"/>
          <w:marBottom w:val="0"/>
          <w:divBdr>
            <w:top w:val="none" w:sz="0" w:space="0" w:color="auto"/>
            <w:left w:val="none" w:sz="0" w:space="0" w:color="auto"/>
            <w:bottom w:val="none" w:sz="0" w:space="0" w:color="auto"/>
            <w:right w:val="none" w:sz="0" w:space="0" w:color="auto"/>
          </w:divBdr>
        </w:div>
      </w:divsChild>
    </w:div>
    <w:div w:id="1684866391">
      <w:bodyDiv w:val="1"/>
      <w:marLeft w:val="0"/>
      <w:marRight w:val="0"/>
      <w:marTop w:val="0"/>
      <w:marBottom w:val="0"/>
      <w:divBdr>
        <w:top w:val="none" w:sz="0" w:space="0" w:color="auto"/>
        <w:left w:val="none" w:sz="0" w:space="0" w:color="auto"/>
        <w:bottom w:val="none" w:sz="0" w:space="0" w:color="auto"/>
        <w:right w:val="none" w:sz="0" w:space="0" w:color="auto"/>
      </w:divBdr>
      <w:divsChild>
        <w:div w:id="402022830">
          <w:marLeft w:val="0"/>
          <w:marRight w:val="0"/>
          <w:marTop w:val="0"/>
          <w:marBottom w:val="0"/>
          <w:divBdr>
            <w:top w:val="none" w:sz="0" w:space="0" w:color="auto"/>
            <w:left w:val="none" w:sz="0" w:space="0" w:color="auto"/>
            <w:bottom w:val="none" w:sz="0" w:space="0" w:color="auto"/>
            <w:right w:val="none" w:sz="0" w:space="0" w:color="auto"/>
          </w:divBdr>
        </w:div>
      </w:divsChild>
    </w:div>
    <w:div w:id="1700082380">
      <w:bodyDiv w:val="1"/>
      <w:marLeft w:val="0"/>
      <w:marRight w:val="0"/>
      <w:marTop w:val="0"/>
      <w:marBottom w:val="0"/>
      <w:divBdr>
        <w:top w:val="none" w:sz="0" w:space="0" w:color="auto"/>
        <w:left w:val="none" w:sz="0" w:space="0" w:color="auto"/>
        <w:bottom w:val="none" w:sz="0" w:space="0" w:color="auto"/>
        <w:right w:val="none" w:sz="0" w:space="0" w:color="auto"/>
      </w:divBdr>
      <w:divsChild>
        <w:div w:id="313065561">
          <w:marLeft w:val="0"/>
          <w:marRight w:val="0"/>
          <w:marTop w:val="0"/>
          <w:marBottom w:val="0"/>
          <w:divBdr>
            <w:top w:val="none" w:sz="0" w:space="0" w:color="auto"/>
            <w:left w:val="none" w:sz="0" w:space="0" w:color="auto"/>
            <w:bottom w:val="none" w:sz="0" w:space="0" w:color="auto"/>
            <w:right w:val="none" w:sz="0" w:space="0" w:color="auto"/>
          </w:divBdr>
        </w:div>
      </w:divsChild>
    </w:div>
    <w:div w:id="1717393299">
      <w:bodyDiv w:val="1"/>
      <w:marLeft w:val="0"/>
      <w:marRight w:val="0"/>
      <w:marTop w:val="0"/>
      <w:marBottom w:val="0"/>
      <w:divBdr>
        <w:top w:val="none" w:sz="0" w:space="0" w:color="auto"/>
        <w:left w:val="none" w:sz="0" w:space="0" w:color="auto"/>
        <w:bottom w:val="none" w:sz="0" w:space="0" w:color="auto"/>
        <w:right w:val="none" w:sz="0" w:space="0" w:color="auto"/>
      </w:divBdr>
      <w:divsChild>
        <w:div w:id="2103405935">
          <w:marLeft w:val="0"/>
          <w:marRight w:val="0"/>
          <w:marTop w:val="0"/>
          <w:marBottom w:val="0"/>
          <w:divBdr>
            <w:top w:val="none" w:sz="0" w:space="0" w:color="auto"/>
            <w:left w:val="none" w:sz="0" w:space="0" w:color="auto"/>
            <w:bottom w:val="none" w:sz="0" w:space="0" w:color="auto"/>
            <w:right w:val="none" w:sz="0" w:space="0" w:color="auto"/>
          </w:divBdr>
        </w:div>
      </w:divsChild>
    </w:div>
    <w:div w:id="1750612169">
      <w:bodyDiv w:val="1"/>
      <w:marLeft w:val="0"/>
      <w:marRight w:val="0"/>
      <w:marTop w:val="0"/>
      <w:marBottom w:val="0"/>
      <w:divBdr>
        <w:top w:val="none" w:sz="0" w:space="0" w:color="auto"/>
        <w:left w:val="none" w:sz="0" w:space="0" w:color="auto"/>
        <w:bottom w:val="none" w:sz="0" w:space="0" w:color="auto"/>
        <w:right w:val="none" w:sz="0" w:space="0" w:color="auto"/>
      </w:divBdr>
      <w:divsChild>
        <w:div w:id="1301689043">
          <w:marLeft w:val="0"/>
          <w:marRight w:val="0"/>
          <w:marTop w:val="0"/>
          <w:marBottom w:val="0"/>
          <w:divBdr>
            <w:top w:val="none" w:sz="0" w:space="0" w:color="auto"/>
            <w:left w:val="none" w:sz="0" w:space="0" w:color="auto"/>
            <w:bottom w:val="none" w:sz="0" w:space="0" w:color="auto"/>
            <w:right w:val="none" w:sz="0" w:space="0" w:color="auto"/>
          </w:divBdr>
        </w:div>
      </w:divsChild>
    </w:div>
    <w:div w:id="1783453304">
      <w:bodyDiv w:val="1"/>
      <w:marLeft w:val="0"/>
      <w:marRight w:val="0"/>
      <w:marTop w:val="0"/>
      <w:marBottom w:val="0"/>
      <w:divBdr>
        <w:top w:val="none" w:sz="0" w:space="0" w:color="auto"/>
        <w:left w:val="none" w:sz="0" w:space="0" w:color="auto"/>
        <w:bottom w:val="none" w:sz="0" w:space="0" w:color="auto"/>
        <w:right w:val="none" w:sz="0" w:space="0" w:color="auto"/>
      </w:divBdr>
      <w:divsChild>
        <w:div w:id="247350389">
          <w:marLeft w:val="0"/>
          <w:marRight w:val="0"/>
          <w:marTop w:val="0"/>
          <w:marBottom w:val="0"/>
          <w:divBdr>
            <w:top w:val="none" w:sz="0" w:space="0" w:color="auto"/>
            <w:left w:val="none" w:sz="0" w:space="0" w:color="auto"/>
            <w:bottom w:val="none" w:sz="0" w:space="0" w:color="auto"/>
            <w:right w:val="none" w:sz="0" w:space="0" w:color="auto"/>
          </w:divBdr>
        </w:div>
      </w:divsChild>
    </w:div>
    <w:div w:id="1816144122">
      <w:bodyDiv w:val="1"/>
      <w:marLeft w:val="0"/>
      <w:marRight w:val="0"/>
      <w:marTop w:val="0"/>
      <w:marBottom w:val="0"/>
      <w:divBdr>
        <w:top w:val="none" w:sz="0" w:space="0" w:color="auto"/>
        <w:left w:val="none" w:sz="0" w:space="0" w:color="auto"/>
        <w:bottom w:val="none" w:sz="0" w:space="0" w:color="auto"/>
        <w:right w:val="none" w:sz="0" w:space="0" w:color="auto"/>
      </w:divBdr>
      <w:divsChild>
        <w:div w:id="1000352053">
          <w:marLeft w:val="0"/>
          <w:marRight w:val="0"/>
          <w:marTop w:val="0"/>
          <w:marBottom w:val="0"/>
          <w:divBdr>
            <w:top w:val="none" w:sz="0" w:space="0" w:color="auto"/>
            <w:left w:val="none" w:sz="0" w:space="0" w:color="auto"/>
            <w:bottom w:val="none" w:sz="0" w:space="0" w:color="auto"/>
            <w:right w:val="none" w:sz="0" w:space="0" w:color="auto"/>
          </w:divBdr>
        </w:div>
      </w:divsChild>
    </w:div>
    <w:div w:id="1873300378">
      <w:bodyDiv w:val="1"/>
      <w:marLeft w:val="0"/>
      <w:marRight w:val="0"/>
      <w:marTop w:val="0"/>
      <w:marBottom w:val="0"/>
      <w:divBdr>
        <w:top w:val="none" w:sz="0" w:space="0" w:color="auto"/>
        <w:left w:val="none" w:sz="0" w:space="0" w:color="auto"/>
        <w:bottom w:val="none" w:sz="0" w:space="0" w:color="auto"/>
        <w:right w:val="none" w:sz="0" w:space="0" w:color="auto"/>
      </w:divBdr>
      <w:divsChild>
        <w:div w:id="1731951941">
          <w:marLeft w:val="0"/>
          <w:marRight w:val="0"/>
          <w:marTop w:val="0"/>
          <w:marBottom w:val="0"/>
          <w:divBdr>
            <w:top w:val="none" w:sz="0" w:space="0" w:color="auto"/>
            <w:left w:val="none" w:sz="0" w:space="0" w:color="auto"/>
            <w:bottom w:val="none" w:sz="0" w:space="0" w:color="auto"/>
            <w:right w:val="none" w:sz="0" w:space="0" w:color="auto"/>
          </w:divBdr>
        </w:div>
      </w:divsChild>
    </w:div>
    <w:div w:id="2026898307">
      <w:bodyDiv w:val="1"/>
      <w:marLeft w:val="0"/>
      <w:marRight w:val="0"/>
      <w:marTop w:val="0"/>
      <w:marBottom w:val="0"/>
      <w:divBdr>
        <w:top w:val="none" w:sz="0" w:space="0" w:color="auto"/>
        <w:left w:val="none" w:sz="0" w:space="0" w:color="auto"/>
        <w:bottom w:val="none" w:sz="0" w:space="0" w:color="auto"/>
        <w:right w:val="none" w:sz="0" w:space="0" w:color="auto"/>
      </w:divBdr>
      <w:divsChild>
        <w:div w:id="1775857308">
          <w:marLeft w:val="0"/>
          <w:marRight w:val="0"/>
          <w:marTop w:val="0"/>
          <w:marBottom w:val="0"/>
          <w:divBdr>
            <w:top w:val="none" w:sz="0" w:space="0" w:color="auto"/>
            <w:left w:val="none" w:sz="0" w:space="0" w:color="auto"/>
            <w:bottom w:val="none" w:sz="0" w:space="0" w:color="auto"/>
            <w:right w:val="none" w:sz="0" w:space="0" w:color="auto"/>
          </w:divBdr>
        </w:div>
      </w:divsChild>
    </w:div>
    <w:div w:id="2086225720">
      <w:bodyDiv w:val="1"/>
      <w:marLeft w:val="0"/>
      <w:marRight w:val="0"/>
      <w:marTop w:val="0"/>
      <w:marBottom w:val="0"/>
      <w:divBdr>
        <w:top w:val="none" w:sz="0" w:space="0" w:color="auto"/>
        <w:left w:val="none" w:sz="0" w:space="0" w:color="auto"/>
        <w:bottom w:val="none" w:sz="0" w:space="0" w:color="auto"/>
        <w:right w:val="none" w:sz="0" w:space="0" w:color="auto"/>
      </w:divBdr>
      <w:divsChild>
        <w:div w:id="821385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401C5-258A-4AE1-ACE5-0B74469D1D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4921</Words>
  <Characters>28055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dc:creator>
  <cp:keywords/>
  <dc:description/>
  <cp:lastModifiedBy>918825044820</cp:lastModifiedBy>
  <cp:revision>2</cp:revision>
  <dcterms:created xsi:type="dcterms:W3CDTF">2023-04-28T11:58:00Z</dcterms:created>
  <dcterms:modified xsi:type="dcterms:W3CDTF">2023-04-28T11:58:00Z</dcterms:modified>
</cp:coreProperties>
</file>