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9AF4C" w14:textId="7ABC5166" w:rsidR="00A64C50" w:rsidRPr="00A64C50" w:rsidRDefault="00A64C50" w:rsidP="00B2709C">
      <w:pPr>
        <w:spacing w:line="360" w:lineRule="auto"/>
        <w:jc w:val="both"/>
        <w:rPr>
          <w:rFonts w:ascii="Times New Roman" w:hAnsi="Times New Roman" w:cs="Times New Roman"/>
          <w:b/>
          <w:bCs/>
          <w:sz w:val="24"/>
          <w:szCs w:val="24"/>
          <w:u w:val="single"/>
        </w:rPr>
      </w:pPr>
      <w:r w:rsidRPr="00A64C50">
        <w:rPr>
          <w:rFonts w:ascii="Times New Roman" w:hAnsi="Times New Roman" w:cs="Times New Roman"/>
          <w:b/>
          <w:bCs/>
          <w:sz w:val="24"/>
          <w:szCs w:val="24"/>
          <w:u w:val="single"/>
        </w:rPr>
        <w:t xml:space="preserve">Assignment 1  Draft submission </w:t>
      </w:r>
    </w:p>
    <w:p w14:paraId="4197942A" w14:textId="59CF083D" w:rsidR="00A64C50" w:rsidRPr="00A64C50" w:rsidRDefault="00A64C50" w:rsidP="00B2709C">
      <w:pPr>
        <w:spacing w:line="360" w:lineRule="auto"/>
        <w:jc w:val="both"/>
        <w:rPr>
          <w:rFonts w:ascii="Times New Roman" w:hAnsi="Times New Roman" w:cs="Times New Roman"/>
          <w:b/>
          <w:bCs/>
          <w:sz w:val="24"/>
          <w:szCs w:val="24"/>
        </w:rPr>
      </w:pPr>
      <w:r w:rsidRPr="00A64C50">
        <w:rPr>
          <w:rFonts w:ascii="Times New Roman" w:hAnsi="Times New Roman" w:cs="Times New Roman"/>
          <w:b/>
          <w:bCs/>
          <w:sz w:val="24"/>
          <w:szCs w:val="24"/>
        </w:rPr>
        <w:t xml:space="preserve">Student name: </w:t>
      </w:r>
      <w:r w:rsidRPr="00A64C50">
        <w:rPr>
          <w:rFonts w:ascii="Times New Roman" w:hAnsi="Times New Roman" w:cs="Times New Roman"/>
          <w:sz w:val="24"/>
          <w:szCs w:val="24"/>
        </w:rPr>
        <w:t xml:space="preserve">KIERAN REES </w:t>
      </w:r>
    </w:p>
    <w:p w14:paraId="767BF595" w14:textId="53EB8CEE" w:rsidR="00A64C50" w:rsidRPr="00A64C50" w:rsidRDefault="00A64C50" w:rsidP="00B2709C">
      <w:pPr>
        <w:spacing w:line="360" w:lineRule="auto"/>
        <w:jc w:val="both"/>
        <w:rPr>
          <w:rFonts w:ascii="Times New Roman" w:hAnsi="Times New Roman" w:cs="Times New Roman"/>
          <w:b/>
          <w:bCs/>
          <w:sz w:val="24"/>
          <w:szCs w:val="24"/>
        </w:rPr>
      </w:pPr>
      <w:r w:rsidRPr="00A64C50">
        <w:rPr>
          <w:rFonts w:ascii="Times New Roman" w:hAnsi="Times New Roman" w:cs="Times New Roman"/>
          <w:b/>
          <w:bCs/>
          <w:sz w:val="24"/>
          <w:szCs w:val="24"/>
        </w:rPr>
        <w:t xml:space="preserve">Student number: </w:t>
      </w:r>
      <w:r w:rsidRPr="00A64C50">
        <w:rPr>
          <w:rFonts w:ascii="Times New Roman" w:hAnsi="Times New Roman" w:cs="Times New Roman"/>
          <w:sz w:val="24"/>
          <w:szCs w:val="24"/>
        </w:rPr>
        <w:t>2124738</w:t>
      </w:r>
    </w:p>
    <w:p w14:paraId="27F150C7" w14:textId="77777777" w:rsidR="00A64C50" w:rsidRDefault="00A64C50" w:rsidP="00B2709C">
      <w:pPr>
        <w:spacing w:line="360" w:lineRule="auto"/>
        <w:jc w:val="both"/>
        <w:rPr>
          <w:rFonts w:ascii="Times New Roman" w:hAnsi="Times New Roman" w:cs="Times New Roman"/>
          <w:b/>
          <w:bCs/>
          <w:sz w:val="24"/>
          <w:szCs w:val="24"/>
          <w:u w:val="single"/>
        </w:rPr>
      </w:pPr>
    </w:p>
    <w:p w14:paraId="4F5E5EB0" w14:textId="79E6D7CA" w:rsidR="002A7285" w:rsidRPr="003D029E" w:rsidRDefault="002A7285" w:rsidP="00B2709C">
      <w:pPr>
        <w:spacing w:line="360" w:lineRule="auto"/>
        <w:jc w:val="both"/>
        <w:rPr>
          <w:rFonts w:ascii="Times New Roman" w:hAnsi="Times New Roman" w:cs="Times New Roman"/>
          <w:sz w:val="24"/>
          <w:szCs w:val="24"/>
          <w:u w:val="single"/>
        </w:rPr>
      </w:pPr>
      <w:r w:rsidRPr="003D029E">
        <w:rPr>
          <w:rFonts w:ascii="Times New Roman" w:hAnsi="Times New Roman" w:cs="Times New Roman"/>
          <w:b/>
          <w:bCs/>
          <w:sz w:val="24"/>
          <w:szCs w:val="24"/>
          <w:u w:val="single"/>
        </w:rPr>
        <w:t>Essay one</w:t>
      </w:r>
      <w:r w:rsidRPr="003D029E">
        <w:rPr>
          <w:rFonts w:ascii="Times New Roman" w:hAnsi="Times New Roman" w:cs="Times New Roman"/>
          <w:sz w:val="24"/>
          <w:szCs w:val="24"/>
          <w:u w:val="single"/>
        </w:rPr>
        <w:t>: How have past instances of police malpractice and misconduct influenced modern professional policing?</w:t>
      </w:r>
    </w:p>
    <w:p w14:paraId="4E96D8F2" w14:textId="5DE25832" w:rsidR="00B2709C" w:rsidRPr="003D029E" w:rsidRDefault="00B2709C" w:rsidP="00B2709C">
      <w:pPr>
        <w:spacing w:line="360" w:lineRule="auto"/>
        <w:jc w:val="both"/>
        <w:rPr>
          <w:rFonts w:ascii="Times New Roman" w:eastAsia="Times New Roman" w:hAnsi="Times New Roman" w:cs="Times New Roman"/>
          <w:b/>
          <w:sz w:val="24"/>
          <w:szCs w:val="24"/>
        </w:rPr>
      </w:pPr>
      <w:r w:rsidRPr="003D029E">
        <w:rPr>
          <w:rFonts w:ascii="Times New Roman" w:eastAsia="Times New Roman" w:hAnsi="Times New Roman" w:cs="Times New Roman"/>
          <w:sz w:val="24"/>
          <w:szCs w:val="24"/>
        </w:rPr>
        <w:t>This essay demonstrates how past instances of police malpractice and misconduct have influenced modern professional policing. The Brixton Riots of 1981 will be the subject matter.</w:t>
      </w:r>
      <w:r w:rsidRPr="003D029E">
        <w:rPr>
          <w:rFonts w:ascii="Times New Roman" w:eastAsia="Times New Roman" w:hAnsi="Times New Roman" w:cs="Times New Roman"/>
          <w:b/>
          <w:sz w:val="24"/>
          <w:szCs w:val="24"/>
        </w:rPr>
        <w:t xml:space="preserve"> </w:t>
      </w:r>
      <w:r w:rsidRPr="003D029E">
        <w:rPr>
          <w:rFonts w:ascii="Times New Roman" w:eastAsia="Times New Roman" w:hAnsi="Times New Roman" w:cs="Times New Roman"/>
          <w:sz w:val="24"/>
          <w:szCs w:val="24"/>
        </w:rPr>
        <w:t>Misconduct is defined as “A breach of the standards of professional behaviour that is so serious as to justify disciplinary action” (College of Policing, 2022b).</w:t>
      </w:r>
    </w:p>
    <w:p w14:paraId="0C0D8EDD"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“Her Majesty's inspectorate of constabulary says that High-profile cases of alleged police corruption, other criminal behaviour and misconduct have had a detrimental effect on the reputation of the service. This has implications not only for the effectiveness of police activity in fighting crime (which requires public engagement and involvement based on trust), but also ultimately for the very legitimacy of a public service many wish to hold in high regard” (Dodd, 2012).</w:t>
      </w:r>
    </w:p>
    <w:p w14:paraId="7F2E6AAE"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The riots began on 10th April 1981 in the Brixton area of London, which was densely populated by West and East Indian immigrants. In early April 1981 a police crime reduction operation resulted in a significant number of black youths being stopped and searched by police. Police made 943 stop searches in the 5 days prior to the riots which sparked tensions with residents (Brenton, 2019). The Police applied powers provided under Section 4 of the Vagrancy Act 1824 (commonly referred to as the suss law) to stop and search citizens. This Act gave officers powers to arrest any person found loitering with intent to commit an offence (Brenton, 2010) and it was used “disproportionately to target young black males” (Jefferson, 2011).</w:t>
      </w:r>
    </w:p>
    <w:p w14:paraId="32BF9078"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On 10th April 1981 whilst police officers were offering medical assistance to an injured black male in a police vehicle, a group of young black males believing the officers to be harassing the casualty, attacked the police vehicle. As the group grew in number, police back-up arrived, and the incident was de-escalated. A significant police presence was deployed to the Brixton area on the same night. The increased police presence gave rise to tension with local black </w:t>
      </w:r>
      <w:r w:rsidRPr="003D029E">
        <w:rPr>
          <w:rFonts w:ascii="Times New Roman" w:eastAsia="Times New Roman" w:hAnsi="Times New Roman" w:cs="Times New Roman"/>
          <w:sz w:val="24"/>
          <w:szCs w:val="24"/>
        </w:rPr>
        <w:lastRenderedPageBreak/>
        <w:t xml:space="preserve">minority groups and this in turn led to the riots. During the riots 279 police officers and no fewer than 45 members of the public were injured (Brenton, 2010). </w:t>
      </w:r>
    </w:p>
    <w:p w14:paraId="7A161DC9"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Lord Scarman was appointed to conduct an inquiry into the riots. Scarman released his findings and recommendations in the ‘Scarman Report’ (Gloucestershire County Council, 2020). One of the recommendations of the report was that there should be a statutory framework for consultations between police and the community (Cook, 2021). The response to this produced the Police and Criminal Evidence Act 1984 (hereinafter referred to as PACE) (legislation.gov.uk, 1984). PACE was “set out to strike the right balance between the powers of the police and the rights and freedoms of the public” (Gov.uk, 2013).</w:t>
      </w:r>
    </w:p>
    <w:p w14:paraId="3D81B230"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Contemporaneous Police powers to ‘stop search’ triggered the Brixton riots and it seems little coincidence that Section 1 of PACE outlines the police powers of ‘stop search’ (legislation.gov.uk, 1984). The Police and Criminal Evidence Act 1984 includes Codes of Practice which provide further guidance on how to apply ‘stop search’ powers, with Section 1.1 of the PACE Codes of Practice further emphasising that their application must be fair, responsible, used with due respect to those being searched and free from unjustified discrimination (Home Office, 2023). </w:t>
      </w:r>
    </w:p>
    <w:p w14:paraId="339DB32E"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PACE made changes to the complaints process in a further effort to reduce misconduct and malpractice. The Police Complaints Board was replaced with the Police Complaints Authority in 1985. This Authority retained the powers of its predecessor and acquired new powers to supervise the investigation of complaints. The Police Complaints Authority later evolved into the Independent Police Complaints Commission (IPCC) (Police Complaints Authority and Police Complaints Board, 1977) (Police Complaints Authority and Police Complaints Board, 1977), before further institutional change produced the Independent Office for Police Conduct (IOPC); this remains the current arrangement. The salient change between the IOPC and its predecessor being that a General Director would lead the organisation as opposed to a collective group of commissioners. The General Director would be appointed by the reigning monarch (Stephenson's, 2018). </w:t>
      </w:r>
    </w:p>
    <w:p w14:paraId="43EFBA16"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Additionally, the Scarman Report challenged the content of police training programmes upon commencement. Around the time of the riots a Police Constable received 10-weeks of initial training before being cleared to police in the community. Scarman recommended training periods be extended to six-months and the content to be more community focused (Peacock, </w:t>
      </w:r>
      <w:r w:rsidRPr="003D029E">
        <w:rPr>
          <w:rFonts w:ascii="Times New Roman" w:eastAsia="Times New Roman" w:hAnsi="Times New Roman" w:cs="Times New Roman"/>
          <w:sz w:val="24"/>
          <w:szCs w:val="24"/>
        </w:rPr>
        <w:lastRenderedPageBreak/>
        <w:t>2012).  This supports another of the Scarman Report recommendations to “create better relations between the police and the community.” (Cook, 2021).</w:t>
      </w:r>
    </w:p>
    <w:p w14:paraId="5EC2B7AE"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To emphasise these improvements (Skolnick, 1966) stated that “The behaviour of police, and their ability to control and direct the emotions of people in potentially explosive situations, is of paramount importance. Training, then, is the key to the development of an effective force, in which officers are better prepared to </w:t>
      </w:r>
      <w:proofErr w:type="spellStart"/>
      <w:r w:rsidRPr="003D029E">
        <w:rPr>
          <w:rFonts w:ascii="Times New Roman" w:eastAsia="Times New Roman" w:hAnsi="Times New Roman" w:cs="Times New Roman"/>
          <w:sz w:val="24"/>
          <w:szCs w:val="24"/>
        </w:rPr>
        <w:t>analyze</w:t>
      </w:r>
      <w:proofErr w:type="spellEnd"/>
      <w:r w:rsidRPr="003D029E">
        <w:rPr>
          <w:rFonts w:ascii="Times New Roman" w:eastAsia="Times New Roman" w:hAnsi="Times New Roman" w:cs="Times New Roman"/>
          <w:sz w:val="24"/>
          <w:szCs w:val="24"/>
        </w:rPr>
        <w:t xml:space="preserve"> situations and react in a professional manner. But training must be geared to producing effective results, and not merely a ritual of formal education or indoctrination”.</w:t>
      </w:r>
    </w:p>
    <w:p w14:paraId="6F0D784F"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Furthermore, since the Scarman Report emerged the need for better relations between Police and the community has been underlined which has led to the inception of the role of Police Community Support Officer (PCSO). The College of Policing describes the role of PCSO as “a link between the police and the communities they serve. They bring essential skills, values, and diversity to policing” (College of Policing, 2022c).</w:t>
      </w:r>
    </w:p>
    <w:p w14:paraId="57EC376F" w14:textId="69674560" w:rsidR="00263A77" w:rsidRPr="003D029E" w:rsidRDefault="00B2709C" w:rsidP="002A7285">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To conclude, there is strong evidence to support the case that the abuse of Police powers exhibited prior to the Brixton riots of 1981, have had a profound impact on the development of modern professional policing. The Scarman Report directly led to the Police and Criminal Evidence Act 1984 being established which influenced the codes of practice associated with PACE which in turn have brought balance between police powers and public rights. Furthermore, the Scarman Report catalysed improvements in police-community relations through the establishment of PCSO‘s and this has been augmented by better training design. Finally, the ultimate establishment of the Independent Office for Police Conduct and the single line of accountability makes governance in the force clearer.  </w:t>
      </w:r>
    </w:p>
    <w:p w14:paraId="39DD5608" w14:textId="52C5C9C1" w:rsidR="00B531D1" w:rsidRPr="003D029E" w:rsidRDefault="00B531D1" w:rsidP="002A7285">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Word </w:t>
      </w:r>
      <w:r w:rsidR="003D029E" w:rsidRPr="003D029E">
        <w:rPr>
          <w:rFonts w:ascii="Times New Roman" w:eastAsia="Times New Roman" w:hAnsi="Times New Roman" w:cs="Times New Roman"/>
          <w:sz w:val="24"/>
          <w:szCs w:val="24"/>
        </w:rPr>
        <w:t>count:</w:t>
      </w:r>
      <w:r w:rsidRPr="003D029E">
        <w:rPr>
          <w:rFonts w:ascii="Times New Roman" w:eastAsia="Times New Roman" w:hAnsi="Times New Roman" w:cs="Times New Roman"/>
          <w:sz w:val="24"/>
          <w:szCs w:val="24"/>
        </w:rPr>
        <w:t xml:space="preserve"> </w:t>
      </w:r>
      <w:r w:rsidRPr="003D029E">
        <w:rPr>
          <w:rFonts w:ascii="Times New Roman" w:eastAsia="Times New Roman" w:hAnsi="Times New Roman" w:cs="Times New Roman"/>
          <w:b/>
          <w:bCs/>
          <w:sz w:val="24"/>
          <w:szCs w:val="24"/>
        </w:rPr>
        <w:t>955</w:t>
      </w:r>
    </w:p>
    <w:p w14:paraId="7D35FA8E" w14:textId="1ADA09D5" w:rsidR="002A7285" w:rsidRPr="003D029E" w:rsidRDefault="002A7285" w:rsidP="002A7285">
      <w:pPr>
        <w:spacing w:line="360" w:lineRule="auto"/>
        <w:jc w:val="both"/>
        <w:rPr>
          <w:rFonts w:ascii="Times New Roman" w:eastAsia="Times New Roman" w:hAnsi="Times New Roman" w:cs="Times New Roman"/>
          <w:sz w:val="24"/>
          <w:szCs w:val="24"/>
        </w:rPr>
      </w:pPr>
    </w:p>
    <w:p w14:paraId="39B7E7C0" w14:textId="77777777" w:rsidR="002A7285" w:rsidRPr="003D029E" w:rsidRDefault="002A7285" w:rsidP="002A7285">
      <w:pPr>
        <w:spacing w:line="360" w:lineRule="auto"/>
        <w:jc w:val="both"/>
        <w:rPr>
          <w:rFonts w:ascii="Times New Roman" w:eastAsia="Times New Roman" w:hAnsi="Times New Roman" w:cs="Times New Roman"/>
          <w:sz w:val="24"/>
          <w:szCs w:val="24"/>
        </w:rPr>
      </w:pPr>
    </w:p>
    <w:p w14:paraId="21FB3B40" w14:textId="6F457596" w:rsidR="00B2709C" w:rsidRPr="003D029E" w:rsidRDefault="002A7285" w:rsidP="00B2709C">
      <w:pPr>
        <w:spacing w:line="360" w:lineRule="auto"/>
        <w:jc w:val="both"/>
        <w:rPr>
          <w:rFonts w:ascii="Times New Roman" w:eastAsia="Times New Roman" w:hAnsi="Times New Roman" w:cs="Times New Roman"/>
          <w:sz w:val="24"/>
          <w:szCs w:val="24"/>
          <w:u w:val="single"/>
        </w:rPr>
      </w:pPr>
      <w:bookmarkStart w:id="0" w:name="_heading=h.gjdgxs" w:colFirst="0" w:colLast="0"/>
      <w:bookmarkEnd w:id="0"/>
      <w:r w:rsidRPr="003D029E">
        <w:rPr>
          <w:rFonts w:ascii="Times New Roman" w:hAnsi="Times New Roman" w:cs="Times New Roman"/>
          <w:b/>
          <w:bCs/>
          <w:sz w:val="24"/>
          <w:szCs w:val="24"/>
          <w:u w:val="single"/>
        </w:rPr>
        <w:t>Essay two</w:t>
      </w:r>
      <w:r w:rsidRPr="003D029E">
        <w:rPr>
          <w:rFonts w:ascii="Times New Roman" w:hAnsi="Times New Roman" w:cs="Times New Roman"/>
          <w:sz w:val="24"/>
          <w:szCs w:val="24"/>
          <w:u w:val="single"/>
        </w:rPr>
        <w:t xml:space="preserve">: How does media coverage affect policing strategies in relation to public protection incidents? </w:t>
      </w:r>
    </w:p>
    <w:p w14:paraId="3E1CD021"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This essay will examine how media coverage can influence policing strategies relating to public protection incidents. The College of Policing defines protecting the public as “the responsibility of all police officers and staff working in the police service” (College of Policing, 2017). To </w:t>
      </w:r>
      <w:r w:rsidRPr="003D029E">
        <w:rPr>
          <w:rFonts w:ascii="Times New Roman" w:eastAsia="Times New Roman" w:hAnsi="Times New Roman" w:cs="Times New Roman"/>
          <w:sz w:val="24"/>
          <w:szCs w:val="24"/>
        </w:rPr>
        <w:lastRenderedPageBreak/>
        <w:t xml:space="preserve">fulfil this responsibility, the Multi-Agency Public Protection Arrangements (MAPPA) were established by the Criminal Justice Act 2003 to safeguard the public, including victims of crime, from substantial harm caused by sexual or violent offenders and other dangerous offenders (College of Policing, 2017b). </w:t>
      </w:r>
    </w:p>
    <w:p w14:paraId="72695F92"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This essay argues that media coverage can significantly influence policing strategies with respect to public protection incidents, as exemplified by the Rochdale sex scandal. Despite the establishment of measures such as the Multi-Agency Public Protection Arrangements (MAPPA) to safeguard the public from harm caused by dangerous and sexual offenders, the demands generated by media coverage can lead to police forces reacting to public demand and shaping their strategies (BBC News, 2013).</w:t>
      </w:r>
    </w:p>
    <w:p w14:paraId="4F845F38"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The Rochdale sex scandal involved a gang of males, largely of Pakistani descent, who between 2008 and 2009 trafficked and sexually exploited teenage girls in Rochdale, Greater Manchester. The men were convicted of crimes such as rape, trafficking, and encouraging underage prostitution. Several errors were made by local authorities, particularly the police and social services during their investigations (House of Commons and Home Affairs Committee, 2013).</w:t>
      </w:r>
    </w:p>
    <w:p w14:paraId="2445D8DD" w14:textId="77777777" w:rsidR="00B2709C" w:rsidRPr="003D029E" w:rsidRDefault="00B2709C" w:rsidP="00B2709C">
      <w:pPr>
        <w:spacing w:line="360" w:lineRule="auto"/>
        <w:jc w:val="both"/>
        <w:rPr>
          <w:rFonts w:ascii="Times New Roman" w:eastAsia="Times New Roman" w:hAnsi="Times New Roman" w:cs="Times New Roman"/>
          <w:sz w:val="24"/>
          <w:szCs w:val="24"/>
          <w:highlight w:val="cyan"/>
        </w:rPr>
      </w:pPr>
      <w:r w:rsidRPr="003D029E">
        <w:rPr>
          <w:rFonts w:ascii="Times New Roman" w:eastAsia="Times New Roman" w:hAnsi="Times New Roman" w:cs="Times New Roman"/>
          <w:sz w:val="24"/>
          <w:szCs w:val="24"/>
        </w:rPr>
        <w:t>In August 2008 police were called to a report of the 15 year old female who was causing damage to a Balti House in Rochdale. Police attended the area and arrested the female. Following her arrest she disclosed that she had been repeatedly raped by a gang of men. Police made two arrests following her disclosure but in July 2009 the Crown Prosecution Service deemed the victim as not credible and ruled that the two persons who had been arrested would not be charged and there would be no further action taken against them (</w:t>
      </w:r>
      <w:proofErr w:type="spellStart"/>
      <w:r w:rsidRPr="003D029E">
        <w:rPr>
          <w:rFonts w:ascii="Times New Roman" w:eastAsia="Times New Roman" w:hAnsi="Times New Roman" w:cs="Times New Roman"/>
          <w:sz w:val="24"/>
          <w:szCs w:val="24"/>
        </w:rPr>
        <w:t>Scheerhout</w:t>
      </w:r>
      <w:proofErr w:type="spellEnd"/>
      <w:r w:rsidRPr="003D029E">
        <w:rPr>
          <w:rFonts w:ascii="Times New Roman" w:eastAsia="Times New Roman" w:hAnsi="Times New Roman" w:cs="Times New Roman"/>
          <w:sz w:val="24"/>
          <w:szCs w:val="24"/>
        </w:rPr>
        <w:t xml:space="preserve">, 2017). </w:t>
      </w:r>
    </w:p>
    <w:p w14:paraId="269D50E2"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A British investigative reporter named Andrew Norfolk published an article in ‘The Times’ in January 2011. The article exposed the sexual abuse of children by men of a Pakistani decent in Rochdale. Following this publication, the case that had been previously closed by the Crown prosecution service was reopened (Radio Times, 2017). This decision was reversed by Chief Prosecutor Nazir Afzal after he reviewed the case after the release of Norfolk’s article. After reviewing the case Afzal found that “The victims were not always taken seriously as they should have been by police and prosecutors” (House of Commons and Home Affairs Committee, 2013b). The two individuals involved in the initial investigation that had no further action taken against them were charged and following further complaints coming forward from </w:t>
      </w:r>
      <w:r w:rsidRPr="003D029E">
        <w:rPr>
          <w:rFonts w:ascii="Times New Roman" w:eastAsia="Times New Roman" w:hAnsi="Times New Roman" w:cs="Times New Roman"/>
          <w:sz w:val="24"/>
          <w:szCs w:val="24"/>
        </w:rPr>
        <w:lastRenderedPageBreak/>
        <w:t>new victims a larger scale investigation into the matter was opened and named ‘Operation Span’ (</w:t>
      </w:r>
      <w:proofErr w:type="spellStart"/>
      <w:r w:rsidRPr="003D029E">
        <w:rPr>
          <w:rFonts w:ascii="Times New Roman" w:eastAsia="Times New Roman" w:hAnsi="Times New Roman" w:cs="Times New Roman"/>
          <w:sz w:val="24"/>
          <w:szCs w:val="24"/>
        </w:rPr>
        <w:t>Scheerhout</w:t>
      </w:r>
      <w:proofErr w:type="spellEnd"/>
      <w:r w:rsidRPr="003D029E">
        <w:rPr>
          <w:rFonts w:ascii="Times New Roman" w:eastAsia="Times New Roman" w:hAnsi="Times New Roman" w:cs="Times New Roman"/>
          <w:sz w:val="24"/>
          <w:szCs w:val="24"/>
        </w:rPr>
        <w:t>, 2017).</w:t>
      </w:r>
    </w:p>
    <w:p w14:paraId="7C34A339"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Operation Span was made up of Greater Manchester Police officers who’s role was to investigate instances of sexual abuse in their force area. Despite police being increasingly open to hearing from sexual assault victims, there were still many obstacles for investigators to overcome. For example, when victims came forward and disclosed abuse it was often difficult for the police to establish the identity of abusers due to them self-identifying to the victims. (Crime + Investigation, 2021). The police had let the victimised girls down in the past which led to some of them being reluctant in coming forward to report new abuse. When they did come forward their accounts were often impaired by the alcohol and drugs they were frequently exposed to by the sexual offenders (Crime + Investigation, 2021).</w:t>
      </w:r>
    </w:p>
    <w:p w14:paraId="0A66B999"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Following further police investigations in relation to the sexual exploitation of young girls in Rochdale nine men were convicted and received prison sentences. After these convictions police geared up their inquiries. 550 officers were involved in Operation Routh and Operation Doublet, which examined similar and related old cases. These efforts uncovered a potential additional 50 offenders (Crime + Investigation, 2021).</w:t>
      </w:r>
    </w:p>
    <w:p w14:paraId="21EAC7AC" w14:textId="77777777" w:rsidR="00B2709C" w:rsidRPr="003D029E" w:rsidRDefault="00B2709C" w:rsidP="00B2709C">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During this period Keir Starmer was the head of the Crown Prosecution Service in England and Wales. He expressed dissatisfaction with the manner in which child abuse cases were being handled. In early 2013 He stated that hundreds of cases that had not resulted in prosecutions would be re-examined and that new guidelines would be issued (</w:t>
      </w:r>
      <w:proofErr w:type="spellStart"/>
      <w:r w:rsidRPr="003D029E">
        <w:rPr>
          <w:rFonts w:ascii="Times New Roman" w:eastAsia="Times New Roman" w:hAnsi="Times New Roman" w:cs="Times New Roman"/>
          <w:sz w:val="24"/>
          <w:szCs w:val="24"/>
        </w:rPr>
        <w:t>Deith</w:t>
      </w:r>
      <w:proofErr w:type="spellEnd"/>
      <w:r w:rsidRPr="003D029E">
        <w:rPr>
          <w:rFonts w:ascii="Times New Roman" w:eastAsia="Times New Roman" w:hAnsi="Times New Roman" w:cs="Times New Roman"/>
          <w:sz w:val="24"/>
          <w:szCs w:val="24"/>
        </w:rPr>
        <w:t xml:space="preserve">, 2013). These guidelines were issued in October 2013 and were named “protocol and Good Practice Model: Disclosure of information in cases of alleged child abuse and linked criminal and care directions hearings” (Association of Chief Police Officers et al., 2013). </w:t>
      </w:r>
    </w:p>
    <w:p w14:paraId="63CEB4FA" w14:textId="77777777" w:rsidR="002A7285" w:rsidRPr="003D029E" w:rsidRDefault="00B2709C" w:rsidP="002A7285">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In conclusion, policing strategies can be greatly impacted by media coverage of public protection incidents. The Rochdale sex scandal is a prime example of how media coverage can point out weaknesses in police investigations and trigger them to alter their investigative procedures. In this case the article written by Andrew Norfolk played a key role in prompting the re-opening of the investigation into the two individuals that had earlier been released by police with no further action taken against them. The re-opening of this investigation led to uncovering a larger network of men that were involved in crimes such as rape, trafficking, and encouraging underage prostitution, which are public protection incidents. The wrong doings made by several agencies in relation to the Rochdale sex scandal also gave rise to the “protocol </w:t>
      </w:r>
      <w:r w:rsidRPr="003D029E">
        <w:rPr>
          <w:rFonts w:ascii="Times New Roman" w:eastAsia="Times New Roman" w:hAnsi="Times New Roman" w:cs="Times New Roman"/>
          <w:sz w:val="24"/>
          <w:szCs w:val="24"/>
        </w:rPr>
        <w:lastRenderedPageBreak/>
        <w:t>and Good Practice Model: Disclosure of information in cases of alleged child abuse and linked criminal and care directions hearings” which was a change at an institutional level. This string of occurrences and their shortcomings highlights the significance of interagency coordination and effective communication, as well as how crucial it is for authorities to investigate every abuse complaint, regardless of the victim's background, and to take victims' concerns seriously in order to protect the public from violent and sexual offenders. Additionally, it emphasises how crucial it is for police to be transparent with the public and responsive to media inquiries, especially in cases of public protection incidents.</w:t>
      </w:r>
    </w:p>
    <w:p w14:paraId="3DB52CEE" w14:textId="2AA770B1" w:rsidR="002A7285" w:rsidRPr="003D029E" w:rsidRDefault="003D029E" w:rsidP="002A7285">
      <w:pPr>
        <w:spacing w:line="360" w:lineRule="auto"/>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Word count: </w:t>
      </w:r>
      <w:r w:rsidRPr="003D029E">
        <w:rPr>
          <w:rFonts w:ascii="Times New Roman" w:eastAsia="Times New Roman" w:hAnsi="Times New Roman" w:cs="Times New Roman"/>
          <w:b/>
          <w:bCs/>
          <w:sz w:val="24"/>
          <w:szCs w:val="24"/>
        </w:rPr>
        <w:t>988</w:t>
      </w:r>
    </w:p>
    <w:p w14:paraId="38427930" w14:textId="77777777" w:rsidR="002A7285" w:rsidRPr="003D029E" w:rsidRDefault="002A7285" w:rsidP="002A7285">
      <w:pPr>
        <w:spacing w:line="360" w:lineRule="auto"/>
        <w:jc w:val="both"/>
        <w:rPr>
          <w:rFonts w:ascii="Times New Roman" w:eastAsia="Times New Roman" w:hAnsi="Times New Roman" w:cs="Times New Roman"/>
          <w:sz w:val="24"/>
          <w:szCs w:val="24"/>
        </w:rPr>
      </w:pPr>
    </w:p>
    <w:p w14:paraId="5085A09B" w14:textId="6A8981B9" w:rsidR="00D027BD" w:rsidRPr="003D029E" w:rsidRDefault="002A7285" w:rsidP="002A7285">
      <w:pPr>
        <w:spacing w:line="360" w:lineRule="auto"/>
        <w:jc w:val="both"/>
        <w:rPr>
          <w:rFonts w:ascii="Times New Roman" w:eastAsia="Times New Roman" w:hAnsi="Times New Roman" w:cs="Times New Roman"/>
          <w:sz w:val="24"/>
          <w:szCs w:val="24"/>
          <w:highlight w:val="yellow"/>
          <w:u w:val="single"/>
        </w:rPr>
      </w:pPr>
      <w:r w:rsidRPr="003D029E">
        <w:rPr>
          <w:rFonts w:ascii="Times New Roman" w:hAnsi="Times New Roman" w:cs="Times New Roman"/>
          <w:b/>
          <w:bCs/>
          <w:sz w:val="24"/>
          <w:szCs w:val="24"/>
          <w:u w:val="single"/>
        </w:rPr>
        <w:t>Essay three</w:t>
      </w:r>
      <w:r w:rsidRPr="003D029E">
        <w:rPr>
          <w:rFonts w:ascii="Times New Roman" w:hAnsi="Times New Roman" w:cs="Times New Roman"/>
          <w:sz w:val="24"/>
          <w:szCs w:val="24"/>
          <w:u w:val="single"/>
        </w:rPr>
        <w:t>: How effective is early intervention in preventing young people from offending, or re-offending?</w:t>
      </w:r>
    </w:p>
    <w:p w14:paraId="316F45D5" w14:textId="77777777" w:rsidR="00D027BD" w:rsidRPr="003D029E" w:rsidRDefault="00D027BD" w:rsidP="00D027BD">
      <w:pPr>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Early intervention is defined by Action for Children as “the process of providing support to children and young people who are at a risk of poor outcomes and tackling the problems they face before they become worse” (Action for Children, 2019). This essay will explore the effectiveness of early intervention in addressing youth crime in the by examining the different approaches to early intervention, including youth offending teams and "scared straight" programs. Ultimately, this essay will argue that early intervention is a crucial step in addressing youth crime, and that investment in effective early intervention programs can help to prevent young people from becoming involved in crime and improve their life outcomes.</w:t>
      </w:r>
    </w:p>
    <w:p w14:paraId="14D6C8F5" w14:textId="77777777" w:rsidR="00D027BD" w:rsidRPr="003D029E" w:rsidRDefault="00D027BD" w:rsidP="00D027BD">
      <w:pPr>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Youth offending teams (YOT’s) are made up of a combination of staff from multiple agencies including housing officers, alcohol and drug referral teams, education, health services, social services, probation services and the police. By being made up by an amalgamation of agencies they are able to work towards the goal of establishing the precise reasons why young people commit crimes. This also enables them to and assess the risk they represent to other people and to create a programme that is appropriate for the young person's requirements (College of Policing, 2022).</w:t>
      </w:r>
    </w:p>
    <w:p w14:paraId="0EE82AE9" w14:textId="77777777" w:rsidR="00D027BD" w:rsidRPr="003D029E" w:rsidRDefault="00D027BD" w:rsidP="00D027BD">
      <w:pPr>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Her Majesty's Inspectorate of Probation investigated the work being done by Youth Offending Teams in 2017 and discovered that 59% of the cases they looked at where Youth Offending Teams had an influence led to a decrease in the frequency and or severity of reoffending. Additionally, they discovered that 57% of the young people they worked with followed court orders that were in effect (HM Inspectorate of Probation, 2017). </w:t>
      </w:r>
    </w:p>
    <w:p w14:paraId="7BC2E031" w14:textId="77777777" w:rsidR="00D027BD" w:rsidRPr="003D029E" w:rsidRDefault="00D027BD" w:rsidP="00D027BD">
      <w:pPr>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The Youth Justice board released a report in 2015 called ‘Youth offending teams: making the difference for children and young people, victims and communities’. Within this report the Youth Justice Board acknowledge that “The reduction in the number of children and young people at all stages of the youth justice system has been the outstanding success of the YOT model and of the wider youth justice system.” The report goes on to highlight that to number of first-time entrants into the youth justice system has fallen 20% in the 12 months prior to the </w:t>
      </w:r>
      <w:r w:rsidRPr="003D029E">
        <w:rPr>
          <w:rFonts w:ascii="Times New Roman" w:eastAsia="Times New Roman" w:hAnsi="Times New Roman" w:cs="Times New Roman"/>
          <w:sz w:val="24"/>
          <w:szCs w:val="24"/>
        </w:rPr>
        <w:lastRenderedPageBreak/>
        <w:t xml:space="preserve">report being released. The number of people imprisoned under the age of 18 also fell by 21% over the same period (Youth Justice Board, 2015). </w:t>
      </w:r>
    </w:p>
    <w:p w14:paraId="7E1FB6CD" w14:textId="77777777" w:rsidR="00D027BD" w:rsidRPr="003D029E" w:rsidRDefault="00D027BD" w:rsidP="00D027BD">
      <w:pPr>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Another form of early intervention which attempted to reduce offending or reoffending is the Scared Straight Program. This approach is derived from the deterrence theory, which holds that quick, harsh, and certain punishment will stop criminal or delinquent behaviour. The program looks to expose young people to life inside a prison with the view to leading them away from criminal activity. The College of Policing reviewed this program, and the findings indicate that it is not an effective practice in diverting young people from offending. In fact, the findings of the review found that this approach led to an elevated chance of offending. Another downside to this approach was the negative impacts it had on the mental health of the persons subjected to it. College of policing also suggests that this decline in mental health post involvement with the Scared Straight programme could lead to contributions to anti-social behaviour (College of Policing, 2015). </w:t>
      </w:r>
    </w:p>
    <w:p w14:paraId="21B4D22E" w14:textId="77777777" w:rsidR="00D027BD" w:rsidRPr="003D029E" w:rsidRDefault="00D027BD" w:rsidP="00D027BD">
      <w:pPr>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The Early intervention foundation which “is an independent charity focused on promoting and enabling an evidence-based approach to early intervention” (Early Intervention Foundation, 2019). They published a report in 2016 by called ‘The Cost of Late Intervention” analysed the cost effectiveness of early intervention initiatives for children and families. The report found that early intervention can be a cost effective and positive approach to prevent offending and reoffending before it occurs and becomes more costly to address. The report emphasises how many children and families receive intervention after an incident has taken place, by which point their behaviour might have already taken root making it more challenging to resolve. Due to the frequent use of more expensive and intensive services like child protection, youth justice, and mental health services, late intervention can be expensive both financially and socially. In the report, examples of effective early intervention programmes in social services, health, and education are provided. These programmes have been shown to enhance family and child outcomes while lowering the long-term expenses linked to late intervention (Early Intervention Foundation, 2016). </w:t>
      </w:r>
    </w:p>
    <w:p w14:paraId="30F0045B" w14:textId="77777777" w:rsidR="00D027BD" w:rsidRPr="003D029E" w:rsidRDefault="00D027BD" w:rsidP="00D027BD">
      <w:pPr>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The report concludes that by advising policymakers and practitioners to fund early intervention programmes to stop issues from worsening and becoming more expensive to resolve. By doing this children and families can receive the support they require by getting involved early, which will also ease the financial strain on public services in addition to preventing offending and re-offending (Early Intervention Foundation, 2016).</w:t>
      </w:r>
    </w:p>
    <w:p w14:paraId="02E3E224" w14:textId="77777777" w:rsidR="00D027BD" w:rsidRPr="003D029E" w:rsidRDefault="00D027BD" w:rsidP="00D027BD">
      <w:pPr>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In conclusion, early intervention is crucial for preventing young children from offending or re-offending. The finding of this essay has found that the continued good work of YOTs has decreased youth offending and reoffending. While the success of YOTs has contributed to preventing young people from offending and re-offending there are forms of early intervention which have proven to be counterproductive in attempting the same. Scared Straight programs are not an effective form of early intervention. Studies have shown that they can increase the likelihood of reoffending, and potentially have a negative impact on the mental health of those subjected to it which in hand could lead to further issues in the future. However overall, the Early Intervention Foundation argues that the cost of early intervention in less than the cost of late intervention and that early intervention is proven to have a positive impact on the live of the children and the families it works with.</w:t>
      </w:r>
    </w:p>
    <w:p w14:paraId="72102270" w14:textId="08D9E149" w:rsidR="002A7285" w:rsidRPr="003D029E" w:rsidRDefault="00D027BD" w:rsidP="002A7285">
      <w:pPr>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lastRenderedPageBreak/>
        <w:t>Overall, early intervention is a positive step in tackling youth offending and re-offending. It does so by addressing underlying issues and providing young people with support and opportunities which can help to prevent them from entering the criminal justice system and instead give them a chance to lead productive and fulfilling lives.</w:t>
      </w:r>
    </w:p>
    <w:p w14:paraId="29A45DC6" w14:textId="73049657" w:rsidR="003D029E" w:rsidRPr="003D029E" w:rsidRDefault="003D029E" w:rsidP="002A7285">
      <w:pPr>
        <w:jc w:val="both"/>
        <w:rPr>
          <w:rFonts w:ascii="Times New Roman" w:eastAsia="Times New Roman" w:hAnsi="Times New Roman" w:cs="Times New Roman"/>
          <w:sz w:val="24"/>
          <w:szCs w:val="24"/>
        </w:rPr>
      </w:pPr>
      <w:r w:rsidRPr="003D029E">
        <w:rPr>
          <w:rFonts w:ascii="Times New Roman" w:eastAsia="Times New Roman" w:hAnsi="Times New Roman" w:cs="Times New Roman"/>
          <w:sz w:val="24"/>
          <w:szCs w:val="24"/>
        </w:rPr>
        <w:t xml:space="preserve">Word count: </w:t>
      </w:r>
      <w:r w:rsidRPr="003D029E">
        <w:rPr>
          <w:rFonts w:ascii="Times New Roman" w:eastAsia="Times New Roman" w:hAnsi="Times New Roman" w:cs="Times New Roman"/>
          <w:b/>
          <w:bCs/>
          <w:sz w:val="24"/>
          <w:szCs w:val="24"/>
        </w:rPr>
        <w:t>944</w:t>
      </w:r>
      <w:r w:rsidRPr="003D029E">
        <w:rPr>
          <w:rFonts w:ascii="Times New Roman" w:eastAsia="Times New Roman" w:hAnsi="Times New Roman" w:cs="Times New Roman"/>
          <w:sz w:val="24"/>
          <w:szCs w:val="24"/>
        </w:rPr>
        <w:t xml:space="preserve"> </w:t>
      </w:r>
    </w:p>
    <w:p w14:paraId="346F6C1C" w14:textId="77777777" w:rsidR="002A7285" w:rsidRPr="003D029E" w:rsidRDefault="002A7285" w:rsidP="002A7285">
      <w:pPr>
        <w:jc w:val="both"/>
        <w:rPr>
          <w:rFonts w:ascii="Times New Roman" w:eastAsia="Times New Roman" w:hAnsi="Times New Roman" w:cs="Times New Roman"/>
          <w:sz w:val="24"/>
          <w:szCs w:val="24"/>
        </w:rPr>
      </w:pPr>
    </w:p>
    <w:p w14:paraId="29312B62" w14:textId="319348E9" w:rsidR="002A7285" w:rsidRPr="003D029E" w:rsidRDefault="002A7285" w:rsidP="002A7285">
      <w:pPr>
        <w:jc w:val="both"/>
        <w:rPr>
          <w:rFonts w:ascii="Times New Roman" w:eastAsia="Times New Roman" w:hAnsi="Times New Roman" w:cs="Times New Roman"/>
          <w:sz w:val="24"/>
          <w:szCs w:val="24"/>
        </w:rPr>
      </w:pPr>
      <w:r w:rsidRPr="003D029E">
        <w:rPr>
          <w:rFonts w:ascii="Times New Roman" w:hAnsi="Times New Roman" w:cs="Times New Roman"/>
          <w:b/>
          <w:bCs/>
          <w:sz w:val="24"/>
          <w:szCs w:val="24"/>
          <w:u w:val="single"/>
        </w:rPr>
        <w:t>Essay four</w:t>
      </w:r>
      <w:r w:rsidRPr="003D029E">
        <w:rPr>
          <w:rFonts w:ascii="Times New Roman" w:hAnsi="Times New Roman" w:cs="Times New Roman"/>
          <w:sz w:val="24"/>
          <w:szCs w:val="24"/>
          <w:u w:val="single"/>
        </w:rPr>
        <w:t xml:space="preserve">: Are partnership approaches the most effective means of rehabilitating offenders? </w:t>
      </w:r>
    </w:p>
    <w:p w14:paraId="79070036" w14:textId="77777777" w:rsidR="00D027BD" w:rsidRPr="003D029E" w:rsidRDefault="00D027BD" w:rsidP="00D027BD">
      <w:pPr>
        <w:jc w:val="both"/>
        <w:rPr>
          <w:rFonts w:ascii="Times New Roman" w:eastAsia="Times New Roman" w:hAnsi="Times New Roman" w:cs="Times New Roman"/>
          <w:bCs/>
          <w:sz w:val="24"/>
          <w:szCs w:val="24"/>
          <w:u w:val="single"/>
        </w:rPr>
      </w:pPr>
      <w:r w:rsidRPr="003D029E">
        <w:rPr>
          <w:rFonts w:ascii="Times New Roman" w:eastAsia="Times New Roman" w:hAnsi="Times New Roman" w:cs="Times New Roman"/>
          <w:bCs/>
          <w:sz w:val="24"/>
          <w:szCs w:val="24"/>
        </w:rPr>
        <w:t xml:space="preserve">This essay will examine whether partnership approaches are the most effective means of rehabilitating offenders. It will delve into methods of partnership working in relation to offender rehabilitation including Integrated Offender Management teams (IOM) and Multi-Agency Public Protection Arrangements (MAPPA’s). It will compare these with form of offender rehabilitation that do not adopt a multi-agency approach such as Community Rehabilitation Companies (CRC’s), and mentoring.  The Rehabilitation of offenders involves either developing the skills necessary for such restoration or restoring the offender's social or moral status in society or their social or moral relationships with others. Along with moral abilities, this could encompass social and professional ones (Forsberg and Douglas, 2020). Rehabilitation take place while an offender is still in prison or post release. It can be the case that the rehabilitation be a requirement for the prisoner’s early release or to allow them to transition back into society easier (Politics.co.uk, 2020).  </w:t>
      </w:r>
    </w:p>
    <w:p w14:paraId="1CA01FFD" w14:textId="77777777" w:rsidR="00D027BD" w:rsidRPr="003D029E" w:rsidRDefault="00D027BD" w:rsidP="00D027BD">
      <w:pPr>
        <w:jc w:val="both"/>
        <w:rPr>
          <w:rFonts w:ascii="Times New Roman" w:eastAsia="Times New Roman" w:hAnsi="Times New Roman" w:cs="Times New Roman"/>
          <w:bCs/>
          <w:sz w:val="24"/>
          <w:szCs w:val="24"/>
        </w:rPr>
      </w:pPr>
      <w:r w:rsidRPr="003D029E">
        <w:rPr>
          <w:rFonts w:ascii="Times New Roman" w:eastAsia="Times New Roman" w:hAnsi="Times New Roman" w:cs="Times New Roman"/>
          <w:bCs/>
          <w:sz w:val="24"/>
          <w:szCs w:val="24"/>
        </w:rPr>
        <w:t>Community Rehabilitation Companies are part of the private sector and assist inmates with release preparation and community reintegration. This includes aiding inmates in finding housing, work, training, or education, as well as assistance in managing their finances, benefits, and debt (HM Inspectorate of Prisons, 2017). There were 262,758 probationers in England and Wales as of March 2018, and 5,616 of them were recalled on licence between January and March 2018. This represented a 5% increase over the same time in 2017, with 69% of recalls resulting from infringing on licence conditions and 43% resulting in additional charges. In contrast, there were 224,283 persons under probation supervision on March 31, 2013, with 4,011 people being recalled. According to these figures, there have been more recalls since Community Rehabilitation Companies were put into place (Foster and Hutton, 2018).</w:t>
      </w:r>
    </w:p>
    <w:p w14:paraId="45F7F6DD" w14:textId="77777777" w:rsidR="00D027BD" w:rsidRPr="003D029E" w:rsidRDefault="00D027BD" w:rsidP="00D027BD">
      <w:pPr>
        <w:jc w:val="both"/>
        <w:rPr>
          <w:rFonts w:ascii="Times New Roman" w:eastAsia="Times New Roman" w:hAnsi="Times New Roman" w:cs="Times New Roman"/>
          <w:bCs/>
          <w:sz w:val="24"/>
          <w:szCs w:val="24"/>
        </w:rPr>
      </w:pPr>
      <w:r w:rsidRPr="003D029E">
        <w:rPr>
          <w:rFonts w:ascii="Times New Roman" w:eastAsia="Times New Roman" w:hAnsi="Times New Roman" w:cs="Times New Roman"/>
          <w:bCs/>
          <w:sz w:val="24"/>
          <w:szCs w:val="24"/>
        </w:rPr>
        <w:t>Integrated Offender management teams allow Criminal justice agencies and other partners to collaborate and share information to assist and oversee a small, targeted group of offenders who are thought to be very likely to commit crimes again (Leicestershire Police, 2021). It is recognized that an offender's likelihood of committing crimes again decreases with increased support. Offenders are given support through IOM even if the courts have not ordered them to be on probation (O’Hagan and Elliot, 2018). (Williams and Ariel, 2012) examined the arrest records for one Force area six months before and six months after the IOM interventions. The findings showed a decrease in the severity of post-IOM offences as well as a positive and significant treatment effect on recidivism rates. The study went into more detail on the interactions between several paths and recidivism. For instance, the accommodation pathway had a strong negative impact, whereas medicinal and mental health therapies were both linked to the participants' beneficial outcomes.</w:t>
      </w:r>
    </w:p>
    <w:p w14:paraId="54C660D7" w14:textId="77777777" w:rsidR="00D027BD" w:rsidRPr="003D029E" w:rsidRDefault="00D027BD" w:rsidP="00D027BD">
      <w:pPr>
        <w:jc w:val="both"/>
        <w:rPr>
          <w:rFonts w:ascii="Times New Roman" w:eastAsia="Times New Roman" w:hAnsi="Times New Roman" w:cs="Times New Roman"/>
          <w:bCs/>
          <w:sz w:val="24"/>
          <w:szCs w:val="24"/>
        </w:rPr>
      </w:pPr>
      <w:r w:rsidRPr="003D029E">
        <w:rPr>
          <w:rFonts w:ascii="Times New Roman" w:eastAsia="Times New Roman" w:hAnsi="Times New Roman" w:cs="Times New Roman"/>
          <w:bCs/>
          <w:sz w:val="24"/>
          <w:szCs w:val="24"/>
        </w:rPr>
        <w:t xml:space="preserve">Peer mentoring has four main goals.  (1) To help people find work, hinder reoffending, or aid in their integration into society. (2) change behaviour to strengthen bonds with others and </w:t>
      </w:r>
      <w:r w:rsidRPr="003D029E">
        <w:rPr>
          <w:rFonts w:ascii="Times New Roman" w:eastAsia="Times New Roman" w:hAnsi="Times New Roman" w:cs="Times New Roman"/>
          <w:bCs/>
          <w:sz w:val="24"/>
          <w:szCs w:val="24"/>
        </w:rPr>
        <w:lastRenderedPageBreak/>
        <w:t>lessen anti-social behaviour. (3) increase possibilities to boost accomplishment, help people develop their own talents, and so on. (4) encouraging: to increase confidence and resiliency, lessen social isolation, etc (Fletcher and Batty, 2012).</w:t>
      </w:r>
    </w:p>
    <w:p w14:paraId="597DE8CD" w14:textId="77777777" w:rsidR="00D027BD" w:rsidRPr="003D029E" w:rsidRDefault="00D027BD" w:rsidP="00D027BD">
      <w:pPr>
        <w:jc w:val="both"/>
        <w:rPr>
          <w:rFonts w:ascii="Times New Roman" w:eastAsia="Times New Roman" w:hAnsi="Times New Roman" w:cs="Times New Roman"/>
          <w:bCs/>
          <w:sz w:val="24"/>
          <w:szCs w:val="24"/>
        </w:rPr>
      </w:pPr>
      <w:r w:rsidRPr="003D029E">
        <w:rPr>
          <w:rFonts w:ascii="Times New Roman" w:eastAsia="Times New Roman" w:hAnsi="Times New Roman" w:cs="Times New Roman"/>
          <w:bCs/>
          <w:sz w:val="24"/>
          <w:szCs w:val="24"/>
        </w:rPr>
        <w:t xml:space="preserve">A report published by the Home office in 2007 found that seven of the 18 studies found that mentoring reduced reoffending significantly. A further three studies showed a positive impact on re-offending but were not statistically significant and seven had a negative, but not statistically significant impact on re-offending.  On two different measures to assess the overall influence of mentoring on re-offending both estimates suggested that mentoring had a significant beneficial influence in reducing re-offending.  Overall, the findings indicated that mentoring greatly decreased future offending by 4% to 11% (J </w:t>
      </w:r>
      <w:proofErr w:type="spellStart"/>
      <w:r w:rsidRPr="003D029E">
        <w:rPr>
          <w:rFonts w:ascii="Times New Roman" w:eastAsia="Times New Roman" w:hAnsi="Times New Roman" w:cs="Times New Roman"/>
          <w:bCs/>
          <w:sz w:val="24"/>
          <w:szCs w:val="24"/>
        </w:rPr>
        <w:t>Olliffe</w:t>
      </w:r>
      <w:proofErr w:type="spellEnd"/>
      <w:r w:rsidRPr="003D029E">
        <w:rPr>
          <w:rFonts w:ascii="Times New Roman" w:eastAsia="Times New Roman" w:hAnsi="Times New Roman" w:cs="Times New Roman"/>
          <w:bCs/>
          <w:sz w:val="24"/>
          <w:szCs w:val="24"/>
        </w:rPr>
        <w:t xml:space="preserve"> and P Farrington, 2007).</w:t>
      </w:r>
    </w:p>
    <w:p w14:paraId="4E58F25D" w14:textId="77777777" w:rsidR="00D027BD" w:rsidRPr="003D029E" w:rsidRDefault="00D027BD" w:rsidP="00D027BD">
      <w:pPr>
        <w:jc w:val="both"/>
        <w:rPr>
          <w:rFonts w:ascii="Times New Roman" w:eastAsia="Times New Roman" w:hAnsi="Times New Roman" w:cs="Times New Roman"/>
          <w:bCs/>
          <w:sz w:val="24"/>
          <w:szCs w:val="24"/>
        </w:rPr>
      </w:pPr>
      <w:r w:rsidRPr="003D029E">
        <w:rPr>
          <w:rFonts w:ascii="Times New Roman" w:eastAsia="Times New Roman" w:hAnsi="Times New Roman" w:cs="Times New Roman"/>
          <w:bCs/>
          <w:sz w:val="24"/>
          <w:szCs w:val="24"/>
        </w:rPr>
        <w:t xml:space="preserve">To enhance inter-agency cooperation, multi-agency public protection arrangements (MAPPA) were implemented in 2001. MAPPA is formed by the police, probation, and prison services. Other organisations, including the NHS or local governments who have an obligation to work with MAPPA, this is to identify, evaluate, and manage persons who offer a higher risk of causing harm to others locally, everyone should collaborate (Her Majesty's Inspectorate of Probation, 2021). MAPPA’s Operate on 3 levels. Level 1 deals with Registered sexual offenders, Level 2 with violent offenders convicted of a specified violent offence and sentenced to at least 12 months custody or detained under a hospital order or non-registered sexual offenders and finally level 3 deals with any other dangerous offenders who require active multi-agency management (Her Majesty's Inspectorate of Probation, 2021). </w:t>
      </w:r>
    </w:p>
    <w:p w14:paraId="4556B739" w14:textId="77777777" w:rsidR="00D027BD" w:rsidRPr="003D029E" w:rsidRDefault="00D027BD" w:rsidP="00D027BD">
      <w:pPr>
        <w:jc w:val="both"/>
        <w:rPr>
          <w:rFonts w:ascii="Times New Roman" w:eastAsia="Times New Roman" w:hAnsi="Times New Roman" w:cs="Times New Roman"/>
          <w:bCs/>
          <w:sz w:val="24"/>
          <w:szCs w:val="24"/>
          <w:u w:val="single"/>
        </w:rPr>
      </w:pPr>
      <w:r w:rsidRPr="003D029E">
        <w:rPr>
          <w:rFonts w:ascii="Times New Roman" w:eastAsia="Times New Roman" w:hAnsi="Times New Roman" w:cs="Times New Roman"/>
          <w:bCs/>
          <w:sz w:val="24"/>
          <w:szCs w:val="24"/>
        </w:rPr>
        <w:t>Since the beginning of the MAPPA initiative, qualified service users' reoffending has decreased, according to a study of the programme. For violent and non-registered sexual offenders, the one-year proven reoffending rate dropped from 26% in 2000 which was prior to MAPPA, to 23% in 2004. Reoffending decreased from 29% to 16% among service users who posed the greatest risk of causing severe harm between 2000 and 2010 (Her Majesty's Inspectorate of Probation, 2021).</w:t>
      </w:r>
    </w:p>
    <w:p w14:paraId="2ABFCC97" w14:textId="77777777" w:rsidR="00D027BD" w:rsidRPr="003D029E" w:rsidRDefault="00D027BD" w:rsidP="00D027BD">
      <w:pPr>
        <w:jc w:val="both"/>
        <w:rPr>
          <w:rFonts w:ascii="Times New Roman" w:eastAsia="Times New Roman" w:hAnsi="Times New Roman" w:cs="Times New Roman"/>
          <w:bCs/>
          <w:sz w:val="24"/>
          <w:szCs w:val="24"/>
        </w:rPr>
      </w:pPr>
      <w:r w:rsidRPr="003D029E">
        <w:rPr>
          <w:rFonts w:ascii="Times New Roman" w:eastAsia="Times New Roman" w:hAnsi="Times New Roman" w:cs="Times New Roman"/>
          <w:bCs/>
          <w:sz w:val="24"/>
          <w:szCs w:val="24"/>
        </w:rPr>
        <w:t xml:space="preserve">In conclusion, the findings of this essay indicate that with increased support re-offending is reduced, it has also found that from the methods of rehabilitations that have been compared overall partnership approaches are more effective. The various partnership working strategies, such as IOM and MAPPA, were contrasted with offender rehabilitation programmes including CRCs, mentoring, and peer mentoring that do not use a multi-agency strategy. The importance of rehabilitation for offenders to restore their moral and social status in society has been emphasised, whether it occurs while they are in prison or after their release. The findings indicate that increased supervision of offenders reduces the likelihood of reoffending, and it has been demonstrated that partnerships between different agencies and organisations are effective in reducing recidivism rates. while it is not a partnership approach, Mentoring has been shown to decrease reoffending rates, and MAPPA has shown to reduce reoffending rates for qualified service users. As a result, partnership strategies can be regarded as an efficient way to rehabilitate offenders. </w:t>
      </w:r>
    </w:p>
    <w:p w14:paraId="7A5487C1" w14:textId="79ECB69D" w:rsidR="00D027BD" w:rsidRPr="003D029E" w:rsidRDefault="003D029E" w:rsidP="00D027BD">
      <w:pPr>
        <w:jc w:val="both"/>
        <w:rPr>
          <w:rFonts w:ascii="Times New Roman" w:eastAsia="Times New Roman" w:hAnsi="Times New Roman" w:cs="Times New Roman"/>
          <w:bCs/>
          <w:sz w:val="24"/>
          <w:szCs w:val="24"/>
        </w:rPr>
      </w:pPr>
      <w:r w:rsidRPr="003D029E">
        <w:rPr>
          <w:rFonts w:ascii="Times New Roman" w:eastAsia="Times New Roman" w:hAnsi="Times New Roman" w:cs="Times New Roman"/>
          <w:bCs/>
          <w:sz w:val="24"/>
          <w:szCs w:val="24"/>
        </w:rPr>
        <w:t xml:space="preserve">Word count: </w:t>
      </w:r>
      <w:r w:rsidRPr="003D029E">
        <w:rPr>
          <w:rFonts w:ascii="Times New Roman" w:eastAsia="Times New Roman" w:hAnsi="Times New Roman" w:cs="Times New Roman"/>
          <w:b/>
          <w:sz w:val="24"/>
          <w:szCs w:val="24"/>
        </w:rPr>
        <w:t>974</w:t>
      </w:r>
    </w:p>
    <w:p w14:paraId="732C44EA" w14:textId="77777777" w:rsidR="002A7285" w:rsidRPr="003A4FA1" w:rsidRDefault="002A7285" w:rsidP="00D027BD">
      <w:pPr>
        <w:jc w:val="both"/>
        <w:rPr>
          <w:rFonts w:ascii="Arial" w:eastAsia="Times New Roman" w:hAnsi="Arial" w:cs="Arial"/>
          <w:bCs/>
          <w:sz w:val="24"/>
          <w:szCs w:val="24"/>
        </w:rPr>
      </w:pPr>
    </w:p>
    <w:p w14:paraId="69187152" w14:textId="77777777" w:rsidR="00916F3F" w:rsidRDefault="00916F3F" w:rsidP="00916F3F">
      <w:pPr>
        <w:pStyle w:val="NormalWeb"/>
        <w:spacing w:before="0" w:beforeAutospacing="0" w:after="240" w:afterAutospacing="0" w:line="360" w:lineRule="auto"/>
        <w:rPr>
          <w:sz w:val="36"/>
          <w:szCs w:val="36"/>
        </w:rPr>
      </w:pPr>
      <w:r>
        <w:rPr>
          <w:sz w:val="36"/>
          <w:szCs w:val="36"/>
        </w:rPr>
        <w:t>Reference list</w:t>
      </w:r>
    </w:p>
    <w:p w14:paraId="69C033EC" w14:textId="77777777" w:rsidR="00916F3F" w:rsidRDefault="00916F3F" w:rsidP="00916F3F">
      <w:pPr>
        <w:pStyle w:val="NormalWeb"/>
        <w:spacing w:before="0" w:beforeAutospacing="0" w:after="240" w:afterAutospacing="0" w:line="360" w:lineRule="auto"/>
      </w:pPr>
      <w:r>
        <w:lastRenderedPageBreak/>
        <w:t xml:space="preserve">Action for Children (2019). </w:t>
      </w:r>
      <w:r>
        <w:rPr>
          <w:i/>
          <w:iCs/>
        </w:rPr>
        <w:t>Young people and serious organised crime - how early intervention can help</w:t>
      </w:r>
      <w:r>
        <w:t>. [online] Action for Children. Available at: https://www.actionforchildren.org.uk/blog/young-people-and-serious-organised-crime-how-early-intervention-can-help/#:~:text=Early%20intervention%20is%20the%20process [Accessed 29 Mar. 2023].</w:t>
      </w:r>
    </w:p>
    <w:p w14:paraId="0D94DC79" w14:textId="77777777" w:rsidR="00916F3F" w:rsidRDefault="00916F3F" w:rsidP="00916F3F">
      <w:pPr>
        <w:pStyle w:val="NormalWeb"/>
        <w:spacing w:before="0" w:beforeAutospacing="0" w:after="240" w:afterAutospacing="0" w:line="360" w:lineRule="auto"/>
      </w:pPr>
      <w:r>
        <w:t xml:space="preserve">Association of Chief Police Officers, Association of Directors of Children Services, Association of Independent Local Safeguarding Children Board Chairs, Crown Prosecution Service, Department for Education, HM Courts &amp; Tribunals Service, Local Government Association, President of the Family Division, Senior Presiding Judge for England and Wales and Welsh Government (2013). </w:t>
      </w:r>
      <w:r>
        <w:rPr>
          <w:i/>
          <w:iCs/>
        </w:rPr>
        <w:t>2013 Protocol and Good Practice Model</w:t>
      </w:r>
      <w:r>
        <w:t xml:space="preserve">. [online] </w:t>
      </w:r>
      <w:r>
        <w:rPr>
          <w:i/>
          <w:iCs/>
        </w:rPr>
        <w:t>Courts and Tribunals Judiciary</w:t>
      </w:r>
      <w:r>
        <w:t>. Available at: https://www.judiciary.uk/wp-content/uploads/JCO/Documents/Guidance/protocol-good-practice-model-2013.pdf [Accessed 19 Feb. 2023].</w:t>
      </w:r>
    </w:p>
    <w:p w14:paraId="22DACB7A" w14:textId="77777777" w:rsidR="00916F3F" w:rsidRDefault="00916F3F" w:rsidP="00916F3F">
      <w:pPr>
        <w:pStyle w:val="NormalWeb"/>
        <w:spacing w:before="0" w:beforeAutospacing="0" w:after="240" w:afterAutospacing="0" w:line="360" w:lineRule="auto"/>
      </w:pPr>
      <w:r>
        <w:t xml:space="preserve">BBC News (2013). Rochdale grooming: ‘Shocking’ failure over sex abuse. </w:t>
      </w:r>
      <w:r>
        <w:rPr>
          <w:i/>
          <w:iCs/>
        </w:rPr>
        <w:t>BBC News</w:t>
      </w:r>
      <w:r>
        <w:t>. [online] 20 Dec. Available at: https://www.bbc.co.uk/news/uk-england-manchester-25450512 [Accessed 30 Mar. 2023].</w:t>
      </w:r>
    </w:p>
    <w:p w14:paraId="3EBCBFAB" w14:textId="77777777" w:rsidR="00916F3F" w:rsidRDefault="00916F3F" w:rsidP="00916F3F">
      <w:pPr>
        <w:pStyle w:val="NormalWeb"/>
        <w:spacing w:before="0" w:beforeAutospacing="0" w:after="240" w:afterAutospacing="0" w:line="360" w:lineRule="auto"/>
      </w:pPr>
      <w:r>
        <w:t xml:space="preserve">Brenton, F. (2010). </w:t>
      </w:r>
      <w:r>
        <w:rPr>
          <w:i/>
          <w:iCs/>
        </w:rPr>
        <w:t>Brixton Riots (April 10-12, 1981)</w:t>
      </w:r>
      <w:r>
        <w:t xml:space="preserve">. [online] </w:t>
      </w:r>
      <w:proofErr w:type="spellStart"/>
      <w:r>
        <w:t>BlackPast</w:t>
      </w:r>
      <w:proofErr w:type="spellEnd"/>
      <w:r>
        <w:t>. Available at: https://www.blackpast.org/global-african-history/brixton-riots-april-10-12-1981/ [Accessed 24 Jan. 2023].</w:t>
      </w:r>
    </w:p>
    <w:p w14:paraId="6A11CD5F" w14:textId="77777777" w:rsidR="00916F3F" w:rsidRDefault="00916F3F" w:rsidP="00916F3F">
      <w:pPr>
        <w:pStyle w:val="NormalWeb"/>
        <w:spacing w:before="0" w:beforeAutospacing="0" w:after="240" w:afterAutospacing="0" w:line="360" w:lineRule="auto"/>
      </w:pPr>
      <w:r>
        <w:t xml:space="preserve">College of Policing (2015). </w:t>
      </w:r>
      <w:r>
        <w:rPr>
          <w:i/>
          <w:iCs/>
        </w:rPr>
        <w:t>Scared Straight programmes</w:t>
      </w:r>
      <w:r>
        <w:t>. [online] College of Policing. Available at: https://www.college.police.uk/research/crime-reduction-toolkit/scared-straight#:~:text=Scared%20Straight%20programmes%20involve%20organised.</w:t>
      </w:r>
    </w:p>
    <w:p w14:paraId="4800B5F0" w14:textId="77777777" w:rsidR="00916F3F" w:rsidRDefault="00916F3F" w:rsidP="00916F3F">
      <w:pPr>
        <w:pStyle w:val="NormalWeb"/>
        <w:spacing w:before="0" w:beforeAutospacing="0" w:after="240" w:afterAutospacing="0" w:line="360" w:lineRule="auto"/>
      </w:pPr>
      <w:r>
        <w:t xml:space="preserve">College of Policing (2017a). </w:t>
      </w:r>
      <w:r>
        <w:rPr>
          <w:i/>
          <w:iCs/>
        </w:rPr>
        <w:t>Introduction to managing sexual offenders and violent offenders</w:t>
      </w:r>
      <w:r>
        <w:t>. [online] College of Policing. Available at: https://www.college.police.uk/app/major-investigation-and-public-protection/managing-sexual-offenders-and-violent-offenders/introduction-managing-sexual-offenders-and-violent-offenders#public-protection-and-neighbourhood-policing [Accessed 18 Feb. 2023].</w:t>
      </w:r>
    </w:p>
    <w:p w14:paraId="5E509EC3" w14:textId="77777777" w:rsidR="00916F3F" w:rsidRDefault="00916F3F" w:rsidP="00916F3F">
      <w:pPr>
        <w:pStyle w:val="NormalWeb"/>
        <w:spacing w:before="0" w:beforeAutospacing="0" w:after="240" w:afterAutospacing="0" w:line="360" w:lineRule="auto"/>
      </w:pPr>
      <w:r>
        <w:t xml:space="preserve">College of Policing (2017b). </w:t>
      </w:r>
      <w:r>
        <w:rPr>
          <w:i/>
          <w:iCs/>
        </w:rPr>
        <w:t>Multi-agency public protection arrangements (MAPPA)</w:t>
      </w:r>
      <w:r>
        <w:t>. [online] College of Policing. Available at: https://www.college.police.uk/app/major-</w:t>
      </w:r>
      <w:r>
        <w:lastRenderedPageBreak/>
        <w:t>investigation-and-public-protection/managing-sexual-offenders-and-violent-offenders/multi-agency-public-protection-arrangements-mappa [Accessed 18 Feb. 2023].</w:t>
      </w:r>
    </w:p>
    <w:p w14:paraId="55E7923A" w14:textId="77777777" w:rsidR="00916F3F" w:rsidRDefault="00916F3F" w:rsidP="00916F3F">
      <w:pPr>
        <w:pStyle w:val="NormalWeb"/>
        <w:spacing w:before="0" w:beforeAutospacing="0" w:after="240" w:afterAutospacing="0" w:line="360" w:lineRule="auto"/>
      </w:pPr>
      <w:r>
        <w:t xml:space="preserve">College of Policing (2022a). </w:t>
      </w:r>
      <w:r>
        <w:rPr>
          <w:i/>
          <w:iCs/>
        </w:rPr>
        <w:t>Children and young persons</w:t>
      </w:r>
      <w:r>
        <w:t>. [online] College of Policing. Available at: https://www.college.police.uk/app/detention-and-custody/detainee-care/children-and-young-persons#:~:text=Youth%20offending%20teams [Accessed 29 Mar. 2023].</w:t>
      </w:r>
    </w:p>
    <w:p w14:paraId="2FE1B0C9" w14:textId="77777777" w:rsidR="00916F3F" w:rsidRDefault="00916F3F" w:rsidP="00916F3F">
      <w:pPr>
        <w:pStyle w:val="NormalWeb"/>
        <w:spacing w:before="0" w:beforeAutospacing="0" w:after="240" w:afterAutospacing="0" w:line="360" w:lineRule="auto"/>
      </w:pPr>
      <w:r>
        <w:t xml:space="preserve">College of Policing (2022b). </w:t>
      </w:r>
      <w:r>
        <w:rPr>
          <w:i/>
          <w:iCs/>
        </w:rPr>
        <w:t>Guidance on outcomes in police misconduct proceedings</w:t>
      </w:r>
      <w:r>
        <w:t>. [online] College of Policing. Available at: https://assets.college.police.uk/s3fs-public/2022-08/Guidance-on-outcomes-in-police-misconduct-proceedings.pdf [Accessed 16 Feb. 2023].</w:t>
      </w:r>
    </w:p>
    <w:p w14:paraId="0047D036" w14:textId="77777777" w:rsidR="00916F3F" w:rsidRDefault="00916F3F" w:rsidP="00916F3F">
      <w:pPr>
        <w:pStyle w:val="NormalWeb"/>
        <w:spacing w:before="0" w:beforeAutospacing="0" w:after="240" w:afterAutospacing="0" w:line="360" w:lineRule="auto"/>
      </w:pPr>
      <w:r>
        <w:t xml:space="preserve">College of Policing (2022c). </w:t>
      </w:r>
      <w:r>
        <w:rPr>
          <w:i/>
          <w:iCs/>
        </w:rPr>
        <w:t>PCSO handbook</w:t>
      </w:r>
      <w:r>
        <w:t>. [online] College of Policing. Available at: https://www.college.police.uk/career-learning/joining-police/joining-pcso/handbook [Accessed 30 Mar. 2023].</w:t>
      </w:r>
    </w:p>
    <w:p w14:paraId="5E0B5C24" w14:textId="77777777" w:rsidR="00916F3F" w:rsidRDefault="00916F3F" w:rsidP="00916F3F">
      <w:pPr>
        <w:pStyle w:val="NormalWeb"/>
        <w:spacing w:before="0" w:beforeAutospacing="0" w:after="240" w:afterAutospacing="0" w:line="360" w:lineRule="auto"/>
      </w:pPr>
      <w:r>
        <w:t xml:space="preserve">Cook, S. (2021). </w:t>
      </w:r>
      <w:r>
        <w:rPr>
          <w:i/>
          <w:iCs/>
        </w:rPr>
        <w:t>Scarman report into Brixton riots published – archive, 26 November 1981</w:t>
      </w:r>
      <w:r>
        <w:t>. [online] the Guardian. Available at: https://www.theguardian.com/world/2021/nov/26/scarman-report-into-brixton-riots-published-archive-1981 [Accessed 24 Jan. 2023].</w:t>
      </w:r>
    </w:p>
    <w:p w14:paraId="74DAB794" w14:textId="77777777" w:rsidR="00916F3F" w:rsidRDefault="00916F3F" w:rsidP="00916F3F">
      <w:pPr>
        <w:pStyle w:val="NormalWeb"/>
        <w:spacing w:before="0" w:beforeAutospacing="0" w:after="240" w:afterAutospacing="0" w:line="360" w:lineRule="auto"/>
      </w:pPr>
      <w:r>
        <w:t xml:space="preserve">Crime + Investigation (2021). </w:t>
      </w:r>
      <w:r>
        <w:rPr>
          <w:i/>
          <w:iCs/>
        </w:rPr>
        <w:t>Rochdale Groomers</w:t>
      </w:r>
      <w:r>
        <w:t xml:space="preserve">. [online] </w:t>
      </w:r>
      <w:proofErr w:type="spellStart"/>
      <w:r>
        <w:t>Crime+Investigation</w:t>
      </w:r>
      <w:proofErr w:type="spellEnd"/>
      <w:r>
        <w:t xml:space="preserve"> UK. Available at: https://www.crimeandinvestigation.co.uk/crime-files/rochdale-groomers#The%20Crimes [Accessed 18 Feb. 2023].</w:t>
      </w:r>
    </w:p>
    <w:p w14:paraId="05C1A394" w14:textId="77777777" w:rsidR="00916F3F" w:rsidRDefault="00916F3F" w:rsidP="00916F3F">
      <w:pPr>
        <w:pStyle w:val="NormalWeb"/>
        <w:spacing w:before="0" w:beforeAutospacing="0" w:after="240" w:afterAutospacing="0" w:line="360" w:lineRule="auto"/>
      </w:pPr>
      <w:proofErr w:type="spellStart"/>
      <w:r>
        <w:t>Deith</w:t>
      </w:r>
      <w:proofErr w:type="spellEnd"/>
      <w:r>
        <w:t xml:space="preserve">, J. (2013). Rochdale grooming case ‘failed to use witness evidence’. </w:t>
      </w:r>
      <w:r>
        <w:rPr>
          <w:i/>
          <w:iCs/>
        </w:rPr>
        <w:t>BBC News</w:t>
      </w:r>
      <w:r>
        <w:t>. [online] 25 Mar. Available at: https://www.bbc.co.uk/news/uk-21925205 [Accessed 19 Feb. 2023].</w:t>
      </w:r>
    </w:p>
    <w:p w14:paraId="70AD0D26" w14:textId="77777777" w:rsidR="00916F3F" w:rsidRDefault="00916F3F" w:rsidP="00916F3F">
      <w:pPr>
        <w:pStyle w:val="NormalWeb"/>
        <w:spacing w:before="0" w:beforeAutospacing="0" w:after="240" w:afterAutospacing="0" w:line="360" w:lineRule="auto"/>
      </w:pPr>
      <w:r>
        <w:t xml:space="preserve">Dodd, V. (2012). </w:t>
      </w:r>
      <w:r>
        <w:rPr>
          <w:i/>
          <w:iCs/>
        </w:rPr>
        <w:t>Police conduct undermining service’s reputation, says watchdog</w:t>
      </w:r>
      <w:r>
        <w:t>. [online] The Guardian. Available at: https://www.theguardian.com/uk/2012/dec/19/police-conduct-undermining-reputation-watchdog.</w:t>
      </w:r>
    </w:p>
    <w:p w14:paraId="39DE6756" w14:textId="77777777" w:rsidR="00916F3F" w:rsidRDefault="00916F3F" w:rsidP="00916F3F">
      <w:pPr>
        <w:pStyle w:val="NormalWeb"/>
        <w:spacing w:before="0" w:beforeAutospacing="0" w:after="240" w:afterAutospacing="0" w:line="360" w:lineRule="auto"/>
      </w:pPr>
      <w:r>
        <w:t xml:space="preserve">Early Intervention Foundation (2016). </w:t>
      </w:r>
      <w:r>
        <w:rPr>
          <w:i/>
          <w:iCs/>
        </w:rPr>
        <w:t>THE COST OF LATE INTERVENTION: EIF ANALYSIS 2016</w:t>
      </w:r>
      <w:r>
        <w:t xml:space="preserve">. [online] </w:t>
      </w:r>
      <w:r>
        <w:rPr>
          <w:i/>
          <w:iCs/>
        </w:rPr>
        <w:t>Early Intervention Foundation</w:t>
      </w:r>
      <w:r>
        <w:t>, pp.4–20. Available at: file:///C:/Users/SWP8184/Downloads/cost-of-late-intervention-2016%20(2).pdf [Accessed 29 Mar. 2023].</w:t>
      </w:r>
    </w:p>
    <w:p w14:paraId="242F23E3" w14:textId="77777777" w:rsidR="00916F3F" w:rsidRDefault="00916F3F" w:rsidP="00916F3F">
      <w:pPr>
        <w:pStyle w:val="NormalWeb"/>
        <w:spacing w:before="0" w:beforeAutospacing="0" w:after="240" w:afterAutospacing="0" w:line="360" w:lineRule="auto"/>
      </w:pPr>
      <w:r>
        <w:lastRenderedPageBreak/>
        <w:t xml:space="preserve">Early Intervention Foundation (2019). </w:t>
      </w:r>
      <w:r>
        <w:rPr>
          <w:i/>
          <w:iCs/>
        </w:rPr>
        <w:t>Who we are &amp; what we do</w:t>
      </w:r>
      <w:r>
        <w:t>. [online] Early Intervention Foundation. Available at: https://www.eif.org.uk/about/who-is-eif#:~:text=EIF%20is%20an%20independent%20charity [Accessed 29 Mar. 2023].</w:t>
      </w:r>
    </w:p>
    <w:p w14:paraId="3F80868B" w14:textId="77777777" w:rsidR="00916F3F" w:rsidRDefault="00916F3F" w:rsidP="00916F3F">
      <w:pPr>
        <w:pStyle w:val="NormalWeb"/>
        <w:spacing w:before="0" w:beforeAutospacing="0" w:after="240" w:afterAutospacing="0" w:line="360" w:lineRule="auto"/>
      </w:pPr>
      <w:r>
        <w:t xml:space="preserve">Fletcher, D.R. and Batty, E. (2012). </w:t>
      </w:r>
      <w:r>
        <w:rPr>
          <w:i/>
          <w:iCs/>
        </w:rPr>
        <w:t>Offender Peer Interventions: What do we know?</w:t>
      </w:r>
      <w:r>
        <w:t xml:space="preserve"> [online] </w:t>
      </w:r>
      <w:r>
        <w:rPr>
          <w:i/>
          <w:iCs/>
        </w:rPr>
        <w:t xml:space="preserve">Sheffield </w:t>
      </w:r>
      <w:proofErr w:type="spellStart"/>
      <w:r>
        <w:rPr>
          <w:i/>
          <w:iCs/>
        </w:rPr>
        <w:t>Hallum</w:t>
      </w:r>
      <w:proofErr w:type="spellEnd"/>
      <w:r>
        <w:rPr>
          <w:i/>
          <w:iCs/>
        </w:rPr>
        <w:t xml:space="preserve"> University</w:t>
      </w:r>
      <w:r>
        <w:t>, Sheffield: Centre for Economic and Social Research, p.3. Available at: https://www.shu.ac.uk/centre-regional-economic-social-research/projects/all-projects/offender-peer-interventions-what-do-we-know [Accessed 24 Mar. 2023].</w:t>
      </w:r>
    </w:p>
    <w:p w14:paraId="40B65C7C" w14:textId="77777777" w:rsidR="00916F3F" w:rsidRDefault="00916F3F" w:rsidP="00916F3F">
      <w:pPr>
        <w:pStyle w:val="NormalWeb"/>
        <w:spacing w:before="0" w:beforeAutospacing="0" w:after="240" w:afterAutospacing="0" w:line="360" w:lineRule="auto"/>
      </w:pPr>
      <w:r>
        <w:t xml:space="preserve">Forsberg, L. and Douglas, T. (2020). What is Criminal Rehabilitation? </w:t>
      </w:r>
      <w:r>
        <w:rPr>
          <w:i/>
          <w:iCs/>
        </w:rPr>
        <w:t>Criminal Law and Philosophy</w:t>
      </w:r>
      <w:r>
        <w:t xml:space="preserve">, 16(1). </w:t>
      </w:r>
      <w:proofErr w:type="spellStart"/>
      <w:r>
        <w:t>doi:https</w:t>
      </w:r>
      <w:proofErr w:type="spellEnd"/>
      <w:r>
        <w:t>://doi.org/10.1007/s11572-020-09547-4.</w:t>
      </w:r>
    </w:p>
    <w:p w14:paraId="2F06E0A8" w14:textId="77777777" w:rsidR="00916F3F" w:rsidRDefault="00916F3F" w:rsidP="00916F3F">
      <w:pPr>
        <w:pStyle w:val="NormalWeb"/>
        <w:spacing w:before="0" w:beforeAutospacing="0" w:after="240" w:afterAutospacing="0" w:line="360" w:lineRule="auto"/>
      </w:pPr>
      <w:r>
        <w:t xml:space="preserve">Foster, D. and Hutton, R. (2018). </w:t>
      </w:r>
      <w:r>
        <w:rPr>
          <w:i/>
          <w:iCs/>
        </w:rPr>
        <w:t xml:space="preserve">The National Probation Service and Community Rehabilitation Companies – </w:t>
      </w:r>
      <w:proofErr w:type="spellStart"/>
      <w:r>
        <w:rPr>
          <w:i/>
          <w:iCs/>
        </w:rPr>
        <w:t>insidetime</w:t>
      </w:r>
      <w:proofErr w:type="spellEnd"/>
      <w:r>
        <w:rPr>
          <w:i/>
          <w:iCs/>
        </w:rPr>
        <w:t xml:space="preserve"> &amp; </w:t>
      </w:r>
      <w:proofErr w:type="spellStart"/>
      <w:r>
        <w:rPr>
          <w:i/>
          <w:iCs/>
        </w:rPr>
        <w:t>insideinformation</w:t>
      </w:r>
      <w:proofErr w:type="spellEnd"/>
      <w:r>
        <w:t xml:space="preserve">. [online] </w:t>
      </w:r>
      <w:proofErr w:type="spellStart"/>
      <w:r>
        <w:t>Insidetime</w:t>
      </w:r>
      <w:proofErr w:type="spellEnd"/>
      <w:r>
        <w:t>. Available at: https://insidetime.org/the-national-probation-service-and-community-rehabilitation-companies/ [Accessed 29 Mar. 2023].</w:t>
      </w:r>
    </w:p>
    <w:p w14:paraId="35E55E2E" w14:textId="77777777" w:rsidR="00916F3F" w:rsidRDefault="00916F3F" w:rsidP="00916F3F">
      <w:pPr>
        <w:pStyle w:val="NormalWeb"/>
        <w:spacing w:before="0" w:beforeAutospacing="0" w:after="240" w:afterAutospacing="0" w:line="360" w:lineRule="auto"/>
      </w:pPr>
      <w:r>
        <w:t xml:space="preserve">Gloucestershire County Council (2020). </w:t>
      </w:r>
      <w:r>
        <w:rPr>
          <w:i/>
          <w:iCs/>
        </w:rPr>
        <w:t>Scarman Report - Gloucestershire County Council</w:t>
      </w:r>
      <w:r>
        <w:t>. [online] www.gloucestershire.gov.uk. Available at: https://www.gloucestershire.gov.uk/your-community/black-history-month/black-history-month-2020/race-relations-acts-1965-2000/scarman-report/ [Accessed 24 Jan. 2023].</w:t>
      </w:r>
    </w:p>
    <w:p w14:paraId="3B5AD9B0" w14:textId="77777777" w:rsidR="00916F3F" w:rsidRDefault="00916F3F" w:rsidP="00916F3F">
      <w:pPr>
        <w:pStyle w:val="NormalWeb"/>
        <w:spacing w:before="0" w:beforeAutospacing="0" w:after="240" w:afterAutospacing="0" w:line="360" w:lineRule="auto"/>
      </w:pPr>
      <w:r>
        <w:t xml:space="preserve">Gov.uk (2013). </w:t>
      </w:r>
      <w:r>
        <w:rPr>
          <w:i/>
          <w:iCs/>
        </w:rPr>
        <w:t>Police and Criminal Evidence Act 1984 (PACE) codes of practice</w:t>
      </w:r>
      <w:r>
        <w:t>. [online] GOV.UK. Available at: https://www.gov.uk/guidance/police-and-criminal-evidence-act-1984-pace-codes-of-practice#:~:text=PACE%20sets%20out%20to%20strike [Accessed 18 Feb. 2023].</w:t>
      </w:r>
    </w:p>
    <w:p w14:paraId="275DF9A6" w14:textId="77777777" w:rsidR="00916F3F" w:rsidRDefault="00916F3F" w:rsidP="00916F3F">
      <w:pPr>
        <w:pStyle w:val="NormalWeb"/>
        <w:spacing w:before="0" w:beforeAutospacing="0" w:after="240" w:afterAutospacing="0" w:line="360" w:lineRule="auto"/>
      </w:pPr>
      <w:r>
        <w:t xml:space="preserve">Her Majesty's Inspectorate of Probation (2021). </w:t>
      </w:r>
      <w:r>
        <w:rPr>
          <w:i/>
          <w:iCs/>
        </w:rPr>
        <w:t>Multi-agency public protection arrangements</w:t>
      </w:r>
      <w:r>
        <w:t>. [online] www.justiceinspectorates.gov.uk. Available at: https://www.justiceinspectorates.gov.uk/hmiprobation/research/the-evidence-base-probation/specific-types-of-delivery/mappa/ [Accessed 28 Mar. 2023].</w:t>
      </w:r>
    </w:p>
    <w:p w14:paraId="5B3F1E6F" w14:textId="77777777" w:rsidR="00916F3F" w:rsidRDefault="00916F3F" w:rsidP="00916F3F">
      <w:pPr>
        <w:pStyle w:val="NormalWeb"/>
        <w:spacing w:before="0" w:beforeAutospacing="0" w:after="240" w:afterAutospacing="0" w:line="360" w:lineRule="auto"/>
      </w:pPr>
      <w:r>
        <w:t xml:space="preserve">History Extra (2009). </w:t>
      </w:r>
      <w:r>
        <w:rPr>
          <w:i/>
          <w:iCs/>
        </w:rPr>
        <w:t>Stop and search: what can we learn from history?</w:t>
      </w:r>
      <w:r>
        <w:t xml:space="preserve"> [online] </w:t>
      </w:r>
      <w:proofErr w:type="spellStart"/>
      <w:r>
        <w:t>HistoryExtra</w:t>
      </w:r>
      <w:proofErr w:type="spellEnd"/>
      <w:r>
        <w:t>. Available at: https://www.historyextra.com/period/modern/stop-and-search-what-can-we-learn-from-history/ [Accessed 24 Jan. 2023].</w:t>
      </w:r>
    </w:p>
    <w:p w14:paraId="1F7F6CF5" w14:textId="77777777" w:rsidR="00916F3F" w:rsidRDefault="00916F3F" w:rsidP="00916F3F">
      <w:pPr>
        <w:pStyle w:val="NormalWeb"/>
        <w:spacing w:before="0" w:beforeAutospacing="0" w:after="240" w:afterAutospacing="0" w:line="360" w:lineRule="auto"/>
      </w:pPr>
      <w:r>
        <w:lastRenderedPageBreak/>
        <w:t xml:space="preserve">HM Inspectorate of Prisons (2017). </w:t>
      </w:r>
      <w:r>
        <w:rPr>
          <w:i/>
          <w:iCs/>
        </w:rPr>
        <w:t>Support for prisoners leaving jail: Community Rehabilitation Companies not having any impact, say inspectors</w:t>
      </w:r>
      <w:r>
        <w:t>. [online] www.justiceinspectorates.gov.uk. Available at: https://www.justiceinspectorates.gov.uk/hmiprisons/media/press-releases/2017/06/support-for-prisoners-leaving-jail-community-rehabilitation-companies-not-having-any-impact-say-inspectors/#:~:text=CRCs%20are%20now%20responsible%20for [Accessed 21 Mar. 2023].</w:t>
      </w:r>
    </w:p>
    <w:p w14:paraId="7683A44E" w14:textId="77777777" w:rsidR="00916F3F" w:rsidRDefault="00916F3F" w:rsidP="00916F3F">
      <w:pPr>
        <w:pStyle w:val="NormalWeb"/>
        <w:spacing w:before="0" w:beforeAutospacing="0" w:after="240" w:afterAutospacing="0" w:line="360" w:lineRule="auto"/>
      </w:pPr>
      <w:r>
        <w:t xml:space="preserve">HM Inspectorate of Probation (2017). </w:t>
      </w:r>
      <w:r>
        <w:rPr>
          <w:i/>
          <w:iCs/>
        </w:rPr>
        <w:t>The Work of Youth Offending Teams to Protect the Public</w:t>
      </w:r>
      <w:r>
        <w:t xml:space="preserve">. [online] </w:t>
      </w:r>
      <w:r>
        <w:rPr>
          <w:i/>
          <w:iCs/>
        </w:rPr>
        <w:t>Justice Inspectorates</w:t>
      </w:r>
      <w:r>
        <w:t>, pp.22–23. Available at: https://www.justiceinspectorates.gov.uk/hmiprobation/wp-content/uploads/sites/5/2017/10/The-Work-of-Youth-Offending-Teams-to-Protect-the-Public_reportfinal.pdf [Accessed 1 Mar. 2023].</w:t>
      </w:r>
    </w:p>
    <w:p w14:paraId="3343321B" w14:textId="77777777" w:rsidR="00916F3F" w:rsidRDefault="00916F3F" w:rsidP="00916F3F">
      <w:pPr>
        <w:pStyle w:val="NormalWeb"/>
        <w:spacing w:before="0" w:beforeAutospacing="0" w:after="240" w:afterAutospacing="0" w:line="360" w:lineRule="auto"/>
      </w:pPr>
      <w:r>
        <w:t xml:space="preserve">Home Office (2023). </w:t>
      </w:r>
      <w:r>
        <w:rPr>
          <w:i/>
          <w:iCs/>
        </w:rPr>
        <w:t>PACE Code A 2023 (accessible)</w:t>
      </w:r>
      <w:r>
        <w:t>. [online] GOV.UK. Available at: https://www.gov.uk/government/publications/pace-code-a-2023/pace-code-a-2023-accessible#principles-governing-stop-and-search [Accessed 3 2023].</w:t>
      </w:r>
    </w:p>
    <w:p w14:paraId="33E613B2" w14:textId="77777777" w:rsidR="00916F3F" w:rsidRDefault="00916F3F" w:rsidP="00916F3F">
      <w:pPr>
        <w:pStyle w:val="NormalWeb"/>
        <w:spacing w:before="0" w:beforeAutospacing="0" w:after="240" w:afterAutospacing="0" w:line="360" w:lineRule="auto"/>
      </w:pPr>
      <w:r>
        <w:t xml:space="preserve">House of Commons and Home Affairs Committee (2013a). </w:t>
      </w:r>
      <w:r>
        <w:rPr>
          <w:i/>
          <w:iCs/>
        </w:rPr>
        <w:t>Child sexual exploitation and the response to localised grooming</w:t>
      </w:r>
      <w:r>
        <w:t xml:space="preserve">. [online] </w:t>
      </w:r>
      <w:r>
        <w:rPr>
          <w:i/>
          <w:iCs/>
        </w:rPr>
        <w:t>publications.parliament.uk</w:t>
      </w:r>
      <w:r>
        <w:t>, London: The Stationery Office Limited, p.4. Available at: https://publications.parliament.uk/pa/cm201314/cmselect/cmhaff/68/68i.pdf [Accessed 19 Feb. 2023].</w:t>
      </w:r>
    </w:p>
    <w:p w14:paraId="1C8E5DFF" w14:textId="77777777" w:rsidR="00916F3F" w:rsidRDefault="00916F3F" w:rsidP="00916F3F">
      <w:pPr>
        <w:pStyle w:val="NormalWeb"/>
        <w:spacing w:before="0" w:beforeAutospacing="0" w:after="240" w:afterAutospacing="0" w:line="360" w:lineRule="auto"/>
      </w:pPr>
      <w:r>
        <w:t xml:space="preserve">House of Commons and Home Affairs Committee (2013b). </w:t>
      </w:r>
      <w:r>
        <w:rPr>
          <w:i/>
          <w:iCs/>
        </w:rPr>
        <w:t>Child sexual exploitation and the response to localised grooming</w:t>
      </w:r>
      <w:r>
        <w:t xml:space="preserve">. [online] </w:t>
      </w:r>
      <w:r>
        <w:rPr>
          <w:i/>
          <w:iCs/>
        </w:rPr>
        <w:t>publications.parliament.uk</w:t>
      </w:r>
      <w:r>
        <w:t>, The Stationery Office Limited, p.3. Available at: https://publications.parliament.uk/pa/cm201314/cmselect/cmhaff/68/68i.pdf [Accessed 19 Feb. 2023].</w:t>
      </w:r>
    </w:p>
    <w:p w14:paraId="1CB8BA4F" w14:textId="77777777" w:rsidR="00916F3F" w:rsidRDefault="00916F3F" w:rsidP="00916F3F">
      <w:pPr>
        <w:pStyle w:val="NormalWeb"/>
        <w:spacing w:before="0" w:beforeAutospacing="0" w:after="240" w:afterAutospacing="0" w:line="360" w:lineRule="auto"/>
      </w:pPr>
      <w:r>
        <w:t xml:space="preserve">J </w:t>
      </w:r>
      <w:proofErr w:type="spellStart"/>
      <w:r>
        <w:t>Olliffe</w:t>
      </w:r>
      <w:proofErr w:type="spellEnd"/>
      <w:r>
        <w:t xml:space="preserve">, D. and P Farrington, D. (2007). </w:t>
      </w:r>
      <w:r>
        <w:rPr>
          <w:i/>
          <w:iCs/>
        </w:rPr>
        <w:t xml:space="preserve">A rapid evidence assessment of the impact of mentoring </w:t>
      </w:r>
      <w:proofErr w:type="spellStart"/>
      <w:r>
        <w:rPr>
          <w:i/>
          <w:iCs/>
        </w:rPr>
        <w:t>onre</w:t>
      </w:r>
      <w:proofErr w:type="spellEnd"/>
      <w:r>
        <w:rPr>
          <w:i/>
          <w:iCs/>
        </w:rPr>
        <w:t>-offending: a summary</w:t>
      </w:r>
      <w:r>
        <w:t xml:space="preserve">. [online] </w:t>
      </w:r>
      <w:r>
        <w:rPr>
          <w:i/>
          <w:iCs/>
        </w:rPr>
        <w:t>Research Gate</w:t>
      </w:r>
      <w:r>
        <w:t>, Home Office, p.5. Available at: https://www.researchgate.net/publication/252216610_A_rapid_evidence_assessment_of_the_impact_of_mentoring_on_re-offending_A_summary [Accessed 28 Mar. 2023].</w:t>
      </w:r>
    </w:p>
    <w:p w14:paraId="75D024CA" w14:textId="77777777" w:rsidR="00916F3F" w:rsidRDefault="00916F3F" w:rsidP="00916F3F">
      <w:pPr>
        <w:pStyle w:val="NormalWeb"/>
        <w:spacing w:before="0" w:beforeAutospacing="0" w:after="240" w:afterAutospacing="0" w:line="360" w:lineRule="auto"/>
      </w:pPr>
      <w:r>
        <w:lastRenderedPageBreak/>
        <w:t xml:space="preserve">Jefferson, T. (2011). </w:t>
      </w:r>
      <w:r>
        <w:rPr>
          <w:i/>
          <w:iCs/>
        </w:rPr>
        <w:t>Policing the riots</w:t>
      </w:r>
      <w:r>
        <w:t xml:space="preserve">. [online] </w:t>
      </w:r>
      <w:r>
        <w:rPr>
          <w:i/>
          <w:iCs/>
        </w:rPr>
        <w:t>Crime and Justice</w:t>
      </w:r>
      <w:r>
        <w:t>, pp.8–9. Available at: https://www.crimeandjustice.org.uk/sites/crimeandjustice.org.uk/files/09627251.2012.670995_0.pdf [Accessed 16 Mar. 2023].</w:t>
      </w:r>
    </w:p>
    <w:p w14:paraId="4D204D26" w14:textId="77777777" w:rsidR="00916F3F" w:rsidRDefault="00916F3F" w:rsidP="00916F3F">
      <w:pPr>
        <w:pStyle w:val="NormalWeb"/>
        <w:spacing w:before="0" w:beforeAutospacing="0" w:after="240" w:afterAutospacing="0" w:line="360" w:lineRule="auto"/>
      </w:pPr>
      <w:r>
        <w:t xml:space="preserve">legislation.gov.uk (1984). </w:t>
      </w:r>
      <w:r>
        <w:rPr>
          <w:i/>
          <w:iCs/>
        </w:rPr>
        <w:t>Police and Criminal Evidence Act 1984</w:t>
      </w:r>
      <w:r>
        <w:t>. [online] legislation.gov.uk. Available at: https://www.legislation.gov.uk/ukpga/1984/60/contents [Accessed 24 Jan. 2023].</w:t>
      </w:r>
    </w:p>
    <w:p w14:paraId="6B3C76B4" w14:textId="77777777" w:rsidR="00916F3F" w:rsidRDefault="00916F3F" w:rsidP="00916F3F">
      <w:pPr>
        <w:pStyle w:val="NormalWeb"/>
        <w:spacing w:before="0" w:beforeAutospacing="0" w:after="240" w:afterAutospacing="0" w:line="360" w:lineRule="auto"/>
      </w:pPr>
      <w:r>
        <w:t xml:space="preserve">Leicestershire Police (2021). </w:t>
      </w:r>
      <w:r>
        <w:rPr>
          <w:i/>
          <w:iCs/>
        </w:rPr>
        <w:t>What is Integrated Offender Management?</w:t>
      </w:r>
      <w:r>
        <w:t xml:space="preserve"> [online] Leicestershire Police. Available at: https://www.leics.police.uk/news/leicestershire/news/2021/september/what-is-integrated-offender-management/#:~:text=Integrated%20Offender%20Management%20(IOM)%20provides,highly%20likely%20to%20re%2Doffend. [Accessed 21 Mar. 2023].</w:t>
      </w:r>
    </w:p>
    <w:p w14:paraId="09A2D7AC" w14:textId="77777777" w:rsidR="00916F3F" w:rsidRDefault="00916F3F" w:rsidP="00916F3F">
      <w:pPr>
        <w:pStyle w:val="NormalWeb"/>
        <w:spacing w:before="0" w:beforeAutospacing="0" w:after="240" w:afterAutospacing="0" w:line="360" w:lineRule="auto"/>
      </w:pPr>
      <w:r>
        <w:t xml:space="preserve">O’Hagan, A. and Elliot, A. (2018). Offender management: a review of approaches, benefits and challenges. </w:t>
      </w:r>
      <w:proofErr w:type="spellStart"/>
      <w:r>
        <w:rPr>
          <w:i/>
          <w:iCs/>
        </w:rPr>
        <w:t>Foresic</w:t>
      </w:r>
      <w:proofErr w:type="spellEnd"/>
      <w:r>
        <w:rPr>
          <w:i/>
          <w:iCs/>
        </w:rPr>
        <w:t xml:space="preserve"> Research &amp; Criminology International Journal</w:t>
      </w:r>
      <w:r>
        <w:t xml:space="preserve">, [online] 6(6), pp.527–533. </w:t>
      </w:r>
      <w:proofErr w:type="spellStart"/>
      <w:r>
        <w:t>doi:https</w:t>
      </w:r>
      <w:proofErr w:type="spellEnd"/>
      <w:r>
        <w:t>://doi.org/10.15406/frcij.2018.06.00254.</w:t>
      </w:r>
    </w:p>
    <w:p w14:paraId="473893C3" w14:textId="77777777" w:rsidR="00916F3F" w:rsidRDefault="00916F3F" w:rsidP="00916F3F">
      <w:pPr>
        <w:pStyle w:val="NormalWeb"/>
        <w:spacing w:before="0" w:beforeAutospacing="0" w:after="240" w:afterAutospacing="0" w:line="360" w:lineRule="auto"/>
      </w:pPr>
      <w:r>
        <w:t xml:space="preserve">Peacock, S. (2012). </w:t>
      </w:r>
      <w:r>
        <w:rPr>
          <w:i/>
          <w:iCs/>
        </w:rPr>
        <w:t>Initial Police Training in England and Wales, 1945 – 2009</w:t>
      </w:r>
      <w:r>
        <w:t xml:space="preserve">. [online] </w:t>
      </w:r>
      <w:r>
        <w:rPr>
          <w:i/>
          <w:iCs/>
        </w:rPr>
        <w:t>UEAE Prints</w:t>
      </w:r>
      <w:r>
        <w:t>, pp.92–94. Available at: https://ueaeprints.uea.ac.uk/id/eprint/10595/1/Thesis_peacock_s_2010.pdf [Accessed 18 Feb. 2023].</w:t>
      </w:r>
    </w:p>
    <w:p w14:paraId="6089751B" w14:textId="77777777" w:rsidR="00916F3F" w:rsidRDefault="00916F3F" w:rsidP="00916F3F">
      <w:pPr>
        <w:pStyle w:val="NormalWeb"/>
        <w:spacing w:before="0" w:beforeAutospacing="0" w:after="240" w:afterAutospacing="0" w:line="360" w:lineRule="auto"/>
      </w:pPr>
      <w:r>
        <w:t xml:space="preserve">Police Complaints Authority and Police Complaints Board (1977). </w:t>
      </w:r>
      <w:r>
        <w:rPr>
          <w:i/>
          <w:iCs/>
        </w:rPr>
        <w:t>Records of the Police Complaints Authority and Police Complaints Board</w:t>
      </w:r>
      <w:r>
        <w:t>. [online] The National Archives (UK). Available at: https://discovery.nationalarchives.gov.uk/details/r/C313#:~:text=The%20Police%20and%20Criminal%20Evidence [Accessed 14 Feb. 2023].</w:t>
      </w:r>
    </w:p>
    <w:p w14:paraId="145E81C6" w14:textId="77777777" w:rsidR="00916F3F" w:rsidRDefault="00916F3F" w:rsidP="00916F3F">
      <w:pPr>
        <w:pStyle w:val="NormalWeb"/>
        <w:spacing w:before="0" w:beforeAutospacing="0" w:after="240" w:afterAutospacing="0" w:line="360" w:lineRule="auto"/>
      </w:pPr>
      <w:r>
        <w:t xml:space="preserve">Politics.co.uk (2020). </w:t>
      </w:r>
      <w:r>
        <w:rPr>
          <w:i/>
          <w:iCs/>
        </w:rPr>
        <w:t>Prison Rehabilitation - All you need to know</w:t>
      </w:r>
      <w:r>
        <w:t>. [online] Politics.co.uk. Available at: https://www.politics.co.uk/reference/prison-rehabilitation/#:~:text=Rehabilitation%20takes%20place%20both%20inside [Accessed 20 Mar. 2023].</w:t>
      </w:r>
    </w:p>
    <w:p w14:paraId="08A5512A" w14:textId="77777777" w:rsidR="00916F3F" w:rsidRDefault="00916F3F" w:rsidP="00916F3F">
      <w:pPr>
        <w:pStyle w:val="NormalWeb"/>
        <w:spacing w:before="0" w:beforeAutospacing="0" w:after="240" w:afterAutospacing="0" w:line="360" w:lineRule="auto"/>
      </w:pPr>
      <w:r>
        <w:lastRenderedPageBreak/>
        <w:t xml:space="preserve">Radio Times (2017). </w:t>
      </w:r>
      <w:r>
        <w:rPr>
          <w:i/>
          <w:iCs/>
        </w:rPr>
        <w:t>How did this happen?</w:t>
      </w:r>
      <w:r>
        <w:t xml:space="preserve"> [online] Radio Times. Available at: https://www.radiotimes.com/tv/drama/how-did-this-happen/ [Accessed 18 Feb. 2023].</w:t>
      </w:r>
    </w:p>
    <w:p w14:paraId="49276FA1" w14:textId="77777777" w:rsidR="00916F3F" w:rsidRDefault="00916F3F" w:rsidP="00916F3F">
      <w:pPr>
        <w:pStyle w:val="NormalWeb"/>
        <w:spacing w:before="0" w:beforeAutospacing="0" w:after="240" w:afterAutospacing="0" w:line="360" w:lineRule="auto"/>
      </w:pPr>
      <w:proofErr w:type="spellStart"/>
      <w:r>
        <w:t>Scheerhout</w:t>
      </w:r>
      <w:proofErr w:type="spellEnd"/>
      <w:r>
        <w:t xml:space="preserve">, J. (2017). </w:t>
      </w:r>
      <w:r>
        <w:rPr>
          <w:i/>
          <w:iCs/>
        </w:rPr>
        <w:t>Timeline of how the Rochdale grooming scandal unfolded</w:t>
      </w:r>
      <w:r>
        <w:t>. [online] Manchester Evening News. Available at: https://www.manchestereveningnews.co.uk/news/greater-manchester-news/timeline-rochdale-grooming-scandale-bbc-13026060 [Accessed 19 Feb. 2023].</w:t>
      </w:r>
    </w:p>
    <w:p w14:paraId="08F2563F" w14:textId="77777777" w:rsidR="00916F3F" w:rsidRDefault="00916F3F" w:rsidP="00916F3F">
      <w:pPr>
        <w:pStyle w:val="NormalWeb"/>
        <w:spacing w:before="0" w:beforeAutospacing="0" w:after="240" w:afterAutospacing="0" w:line="360" w:lineRule="auto"/>
      </w:pPr>
      <w:r>
        <w:t xml:space="preserve">Skolnick, J. (1966). </w:t>
      </w:r>
      <w:r>
        <w:rPr>
          <w:i/>
          <w:iCs/>
        </w:rPr>
        <w:t>Skolnick, Justice Without Trial</w:t>
      </w:r>
      <w:r>
        <w:t>. John Wiley &amp; Sons.</w:t>
      </w:r>
    </w:p>
    <w:p w14:paraId="53E371CC" w14:textId="77777777" w:rsidR="00916F3F" w:rsidRDefault="00916F3F" w:rsidP="00916F3F">
      <w:pPr>
        <w:pStyle w:val="NormalWeb"/>
        <w:spacing w:before="0" w:beforeAutospacing="0" w:after="240" w:afterAutospacing="0" w:line="360" w:lineRule="auto"/>
      </w:pPr>
      <w:r>
        <w:t xml:space="preserve">Stephenson's (2018). </w:t>
      </w:r>
      <w:r>
        <w:rPr>
          <w:i/>
          <w:iCs/>
        </w:rPr>
        <w:t>The IPCC Becomes The IOPC - What Are The Key Changes?</w:t>
      </w:r>
      <w:r>
        <w:t xml:space="preserve"> [online] </w:t>
      </w:r>
      <w:proofErr w:type="spellStart"/>
      <w:r>
        <w:t>Stephensons</w:t>
      </w:r>
      <w:proofErr w:type="spellEnd"/>
      <w:r>
        <w:t xml:space="preserve"> Solicitors LLP. Available at: https://www.stephensons.co.uk/site/blog/civil-liberties-blog/the-ipcc-becomes-the-iopc-what-are-the-key-changes [Accessed 24 Feb. 2023].</w:t>
      </w:r>
    </w:p>
    <w:p w14:paraId="579180D1" w14:textId="77777777" w:rsidR="00916F3F" w:rsidRDefault="00916F3F" w:rsidP="00916F3F">
      <w:pPr>
        <w:pStyle w:val="NormalWeb"/>
        <w:spacing w:before="0" w:beforeAutospacing="0" w:after="240" w:afterAutospacing="0" w:line="360" w:lineRule="auto"/>
      </w:pPr>
      <w:r>
        <w:t xml:space="preserve">Williams, A.E. and Ariel, B. (2012). The Bristol Integrated Offender Management Scheme: a Pseudo-Experimental Test of Desistance Theory. </w:t>
      </w:r>
      <w:r>
        <w:rPr>
          <w:i/>
          <w:iCs/>
        </w:rPr>
        <w:t>Policing</w:t>
      </w:r>
      <w:r>
        <w:t xml:space="preserve">, [online] 7(2), pp.123–134. </w:t>
      </w:r>
      <w:proofErr w:type="spellStart"/>
      <w:r>
        <w:t>doi:https</w:t>
      </w:r>
      <w:proofErr w:type="spellEnd"/>
      <w:r>
        <w:t>://doi.org/10.1093/police/pas053.</w:t>
      </w:r>
    </w:p>
    <w:p w14:paraId="0407A660" w14:textId="77777777" w:rsidR="00916F3F" w:rsidRDefault="00916F3F" w:rsidP="00916F3F">
      <w:pPr>
        <w:pStyle w:val="NormalWeb"/>
        <w:spacing w:before="0" w:beforeAutospacing="0" w:after="240" w:afterAutospacing="0" w:line="360" w:lineRule="auto"/>
      </w:pPr>
      <w:r>
        <w:t xml:space="preserve">Youth Justice Board (2015). </w:t>
      </w:r>
      <w:r>
        <w:rPr>
          <w:i/>
          <w:iCs/>
        </w:rPr>
        <w:t>Youth offending teams: making the difference for children and young people, victims and communities Final Report</w:t>
      </w:r>
      <w:r>
        <w:t xml:space="preserve">. [online] </w:t>
      </w:r>
      <w:r>
        <w:rPr>
          <w:i/>
          <w:iCs/>
        </w:rPr>
        <w:t>United Kingdom Government</w:t>
      </w:r>
      <w:r>
        <w:t>, pp.8–9. Available at: https://assets.publishing.service.gov.uk/government/uploads/system/uploads/attachment_data/file/445271/Board_Visits_Final_Report.pdf [Accessed 31 Mar. 2023].</w:t>
      </w:r>
    </w:p>
    <w:p w14:paraId="34865930" w14:textId="77777777" w:rsidR="00916F3F" w:rsidRPr="00D63DBD" w:rsidRDefault="00916F3F" w:rsidP="00916F3F"/>
    <w:p w14:paraId="387FA5E3" w14:textId="77777777" w:rsidR="00D027BD" w:rsidRPr="00813238" w:rsidRDefault="00D027BD" w:rsidP="00B2709C">
      <w:pPr>
        <w:spacing w:line="360" w:lineRule="auto"/>
        <w:jc w:val="both"/>
        <w:rPr>
          <w:rFonts w:ascii="Arial" w:eastAsia="Times New Roman" w:hAnsi="Arial" w:cs="Arial"/>
          <w:sz w:val="24"/>
          <w:szCs w:val="24"/>
        </w:rPr>
      </w:pPr>
    </w:p>
    <w:p w14:paraId="05EB931A" w14:textId="77777777" w:rsidR="00B2709C" w:rsidRDefault="00B2709C" w:rsidP="00B2709C">
      <w:pPr>
        <w:spacing w:line="360" w:lineRule="auto"/>
        <w:jc w:val="both"/>
        <w:rPr>
          <w:rFonts w:ascii="Arial" w:eastAsia="Times New Roman" w:hAnsi="Arial" w:cs="Arial"/>
          <w:sz w:val="24"/>
          <w:szCs w:val="24"/>
        </w:rPr>
      </w:pPr>
    </w:p>
    <w:p w14:paraId="3976F6DB" w14:textId="77777777" w:rsidR="00B2709C" w:rsidRDefault="00B2709C" w:rsidP="00B2709C">
      <w:pPr>
        <w:spacing w:line="360" w:lineRule="auto"/>
        <w:jc w:val="both"/>
        <w:rPr>
          <w:rFonts w:ascii="Arial" w:eastAsia="Times New Roman" w:hAnsi="Arial" w:cs="Arial"/>
          <w:sz w:val="24"/>
          <w:szCs w:val="24"/>
        </w:rPr>
      </w:pPr>
    </w:p>
    <w:p w14:paraId="23E9020F" w14:textId="77777777" w:rsidR="00B2709C" w:rsidRDefault="00B2709C" w:rsidP="00B2709C">
      <w:pPr>
        <w:spacing w:line="360" w:lineRule="auto"/>
        <w:jc w:val="both"/>
        <w:rPr>
          <w:rFonts w:ascii="Arial" w:eastAsia="Times New Roman" w:hAnsi="Arial" w:cs="Arial"/>
          <w:sz w:val="24"/>
          <w:szCs w:val="24"/>
        </w:rPr>
      </w:pPr>
    </w:p>
    <w:p w14:paraId="3D00AC67" w14:textId="77777777" w:rsidR="00B2709C" w:rsidRPr="00813238" w:rsidRDefault="00B2709C" w:rsidP="00B2709C">
      <w:pPr>
        <w:spacing w:line="360" w:lineRule="auto"/>
        <w:jc w:val="both"/>
        <w:rPr>
          <w:rFonts w:ascii="Arial" w:eastAsia="Times New Roman" w:hAnsi="Arial" w:cs="Arial"/>
          <w:sz w:val="24"/>
          <w:szCs w:val="24"/>
        </w:rPr>
      </w:pPr>
    </w:p>
    <w:p w14:paraId="5DE2B2AC" w14:textId="77777777" w:rsidR="00B2709C" w:rsidRPr="00813238" w:rsidRDefault="00B2709C" w:rsidP="00B2709C">
      <w:pPr>
        <w:spacing w:line="360" w:lineRule="auto"/>
        <w:jc w:val="both"/>
        <w:rPr>
          <w:rFonts w:ascii="Arial" w:eastAsia="Times New Roman" w:hAnsi="Arial" w:cs="Arial"/>
          <w:sz w:val="24"/>
          <w:szCs w:val="24"/>
        </w:rPr>
      </w:pPr>
    </w:p>
    <w:p w14:paraId="309599D2" w14:textId="77777777" w:rsidR="00B2709C" w:rsidRDefault="00B2709C"/>
    <w:sectPr w:rsidR="00B2709C">
      <w:headerReference w:type="default" r:id="rId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4CB3D" w14:textId="77777777" w:rsidR="00B2709C" w:rsidRDefault="00B2709C" w:rsidP="00B2709C">
      <w:pPr>
        <w:spacing w:after="0" w:line="240" w:lineRule="auto"/>
      </w:pPr>
      <w:r>
        <w:separator/>
      </w:r>
    </w:p>
  </w:endnote>
  <w:endnote w:type="continuationSeparator" w:id="0">
    <w:p w14:paraId="7D31972E" w14:textId="77777777" w:rsidR="00B2709C" w:rsidRDefault="00B2709C" w:rsidP="00B27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44413" w14:textId="77777777" w:rsidR="00B2709C" w:rsidRDefault="00B2709C" w:rsidP="00B2709C">
      <w:pPr>
        <w:spacing w:after="0" w:line="240" w:lineRule="auto"/>
      </w:pPr>
      <w:r>
        <w:separator/>
      </w:r>
    </w:p>
  </w:footnote>
  <w:footnote w:type="continuationSeparator" w:id="0">
    <w:p w14:paraId="480BFC26" w14:textId="77777777" w:rsidR="00B2709C" w:rsidRDefault="00B2709C" w:rsidP="00B270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09B3E" w14:textId="1C7855B3" w:rsidR="00E179A2" w:rsidRDefault="00E179A2">
    <w:pPr>
      <w:pStyle w:val="Header"/>
    </w:pPr>
    <w:r>
      <w:t xml:space="preserve">Kieran Rees – 2124738 – Assignment 1 Draft Submission </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DE3"/>
    <w:rsid w:val="00174DE3"/>
    <w:rsid w:val="00263A77"/>
    <w:rsid w:val="002A7285"/>
    <w:rsid w:val="003D029E"/>
    <w:rsid w:val="00916F3F"/>
    <w:rsid w:val="00A64C50"/>
    <w:rsid w:val="00B2709C"/>
    <w:rsid w:val="00B531D1"/>
    <w:rsid w:val="00D027BD"/>
    <w:rsid w:val="00E1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38053"/>
  <w15:chartTrackingRefBased/>
  <w15:docId w15:val="{57ADCCF2-88C3-4C89-A8AA-69E727AAE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09C"/>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6F3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17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9A2"/>
    <w:rPr>
      <w:rFonts w:ascii="Calibri" w:eastAsia="Calibri" w:hAnsi="Calibri" w:cs="Calibri"/>
      <w:lang w:eastAsia="en-GB"/>
    </w:rPr>
  </w:style>
  <w:style w:type="paragraph" w:styleId="Footer">
    <w:name w:val="footer"/>
    <w:basedOn w:val="Normal"/>
    <w:link w:val="FooterChar"/>
    <w:uiPriority w:val="99"/>
    <w:unhideWhenUsed/>
    <w:rsid w:val="00E17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9A2"/>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5644</Words>
  <Characters>32176</Characters>
  <Application>Microsoft Office Word</Application>
  <DocSecurity>0</DocSecurity>
  <Lines>268</Lines>
  <Paragraphs>75</Paragraphs>
  <ScaleCrop>false</ScaleCrop>
  <Company/>
  <LinksUpToDate>false</LinksUpToDate>
  <CharactersWithSpaces>37745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Rees</dc:creator>
  <cp:keywords/>
  <dc:description/>
  <cp:lastModifiedBy>Rees,Kieran swp8184</cp:lastModifiedBy>
  <cp:revision>9</cp:revision>
  <dcterms:created xsi:type="dcterms:W3CDTF">2023-04-08T16:10:00Z</dcterms:created>
  <dcterms:modified xsi:type="dcterms:W3CDTF">2023-04-10T19:48:00Z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2023-04-08T16:11:38Z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82076db4-ac8b-4402-8c93-237e6b0d6532</vt:lpwstr>
  </property>
  <property fmtid="{D5CDD505-2E9C-101B-9397-08002B2CF9AE}" pid="8" name="MSIP_Label_66cf8fe5-b7b7-4df7-b38d-1c61ac2f6639_ContentBits">
    <vt:lpwstr>0</vt:lpwstr>
  </property>
</Properties>
</file>