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5857404"/>
        <w:docPartObj>
          <w:docPartGallery w:val="Cover Pages"/>
          <w:docPartUnique/>
        </w:docPartObj>
      </w:sdtPr>
      <w:sdtEndPr>
        <w:rPr>
          <w:b/>
          <w:bCs/>
        </w:rPr>
      </w:sdtEndPr>
      <w:sdtContent>
        <w:p w14:paraId="6EB73318" w14:textId="78D5E62A" w:rsidR="00EB2A76" w:rsidRDefault="00EB2A76">
          <w:r>
            <w:rPr>
              <w:noProof/>
            </w:rPr>
            <mc:AlternateContent>
              <mc:Choice Requires="wpg">
                <w:drawing>
                  <wp:anchor distT="0" distB="0" distL="114300" distR="114300" simplePos="0" relativeHeight="251662336" behindDoc="0" locked="0" layoutInCell="1" allowOverlap="1" wp14:anchorId="0530210D" wp14:editId="2270A78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E9915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E51A7CB" wp14:editId="2A56CE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0B803B" w14:textId="17B1186B" w:rsidR="00EB2A7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2A76">
                                      <w:rPr>
                                        <w:caps/>
                                        <w:color w:val="4472C4" w:themeColor="accent1"/>
                                        <w:sz w:val="64"/>
                                        <w:szCs w:val="64"/>
                                      </w:rPr>
                                      <w:t>Programme Improvement Project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7430D76" w14:textId="7A30D8C1" w:rsidR="00EB2A76" w:rsidRDefault="00EB2A7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E51A7CB"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F0B803B" w14:textId="17B1186B" w:rsidR="00EB2A76"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B2A76">
                                <w:rPr>
                                  <w:caps/>
                                  <w:color w:val="4472C4" w:themeColor="accent1"/>
                                  <w:sz w:val="64"/>
                                  <w:szCs w:val="64"/>
                                </w:rPr>
                                <w:t>Programme Improvement Project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7430D76" w14:textId="7A30D8C1" w:rsidR="00EB2A76" w:rsidRDefault="00EB2A7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2B608D9" w14:textId="2FE8C3C5" w:rsidR="00EB2A76" w:rsidRDefault="00EB2A76">
          <w:r w:rsidRPr="00EB2A76">
            <w:rPr>
              <w:b/>
              <w:bCs/>
              <w:noProof/>
            </w:rPr>
            <mc:AlternateContent>
              <mc:Choice Requires="wps">
                <w:drawing>
                  <wp:anchor distT="45720" distB="45720" distL="114300" distR="114300" simplePos="0" relativeHeight="251666432" behindDoc="0" locked="0" layoutInCell="1" allowOverlap="1" wp14:anchorId="56A79ECA" wp14:editId="4463277C">
                    <wp:simplePos x="0" y="0"/>
                    <wp:positionH relativeFrom="column">
                      <wp:posOffset>3419475</wp:posOffset>
                    </wp:positionH>
                    <wp:positionV relativeFrom="paragraph">
                      <wp:posOffset>7433945</wp:posOffset>
                    </wp:positionV>
                    <wp:extent cx="2993390" cy="1200150"/>
                    <wp:effectExtent l="0" t="0" r="1651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93390" cy="1200150"/>
                            </a:xfrm>
                            <a:prstGeom prst="rect">
                              <a:avLst/>
                            </a:prstGeom>
                            <a:solidFill>
                              <a:srgbClr val="FFFFFF"/>
                            </a:solidFill>
                            <a:ln w="9525">
                              <a:solidFill>
                                <a:srgbClr val="000000"/>
                              </a:solidFill>
                              <a:miter lim="800000"/>
                              <a:headEnd/>
                              <a:tailEnd/>
                            </a:ln>
                          </wps:spPr>
                          <wps:txbx>
                            <w:txbxContent>
                              <w:p w14:paraId="33C11D97" w14:textId="442994BF" w:rsidR="00EB2A76" w:rsidRDefault="00EB2A76" w:rsidP="00EB2A76">
                                <w:pPr>
                                  <w:jc w:val="right"/>
                                </w:pPr>
                                <w:r>
                                  <w:t>Student ID: 2218340</w:t>
                                </w:r>
                              </w:p>
                              <w:p w14:paraId="0A3C3D74" w14:textId="439D0848" w:rsidR="00EB2A76" w:rsidRDefault="00EB2A76" w:rsidP="00EB2A76">
                                <w:pPr>
                                  <w:jc w:val="right"/>
                                </w:pPr>
                                <w:r>
                                  <w:t>Word count: 488</w:t>
                                </w:r>
                                <w:r w:rsidR="00A3606A">
                                  <w:t>6</w:t>
                                </w:r>
                              </w:p>
                              <w:p w14:paraId="0E08BFFC" w14:textId="5F5A2AF5" w:rsidR="00EB2A76" w:rsidRDefault="00EB2A76" w:rsidP="00EB2A76">
                                <w:pPr>
                                  <w:jc w:val="right"/>
                                </w:pPr>
                                <w:r>
                                  <w:t>Submission date: 3</w:t>
                                </w:r>
                                <w:r w:rsidRPr="00EB2A76">
                                  <w:rPr>
                                    <w:vertAlign w:val="superscript"/>
                                  </w:rPr>
                                  <w:t>rd</w:t>
                                </w:r>
                                <w:r>
                                  <w:t xml:space="preserve"> March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6A79ECA" id="Text Box 2" o:spid="_x0000_s1027" type="#_x0000_t202" style="position:absolute;margin-left:269.25pt;margin-top:585.35pt;width:235.7pt;height:94.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">
                    <v:textbox>
                      <w:txbxContent>
                        <w:p w14:paraId="33C11D97" w14:textId="442994BF" w:rsidR="00EB2A76" w:rsidRDefault="00EB2A76" w:rsidP="00EB2A76">
                          <w:pPr>
                            <w:jc w:val="right"/>
                          </w:pPr>
                          <w:r>
                            <w:t>Student ID: 2218340</w:t>
                          </w:r>
                        </w:p>
                        <w:p w14:paraId="0A3C3D74" w14:textId="439D0848" w:rsidR="00EB2A76" w:rsidRDefault="00EB2A76" w:rsidP="00EB2A76">
                          <w:pPr>
                            <w:jc w:val="right"/>
                          </w:pPr>
                          <w:r>
                            <w:t>Word count: 488</w:t>
                          </w:r>
                          <w:r w:rsidR="00A3606A">
                            <w:t>6</w:t>
                          </w:r>
                        </w:p>
                        <w:p w14:paraId="0E08BFFC" w14:textId="5F5A2AF5" w:rsidR="00EB2A76" w:rsidRDefault="00EB2A76" w:rsidP="00EB2A76">
                          <w:pPr>
                            <w:jc w:val="right"/>
                          </w:pPr>
                          <w:r>
                            <w:t>Submission date: 3</w:t>
                          </w:r>
                          <w:r w:rsidRPr="00EB2A76">
                            <w:rPr>
                              <w:vertAlign w:val="superscript"/>
                            </w:rPr>
                            <w:t>rd</w:t>
                          </w:r>
                          <w:r>
                            <w:t xml:space="preserve"> March 2023</w:t>
                          </w:r>
                        </w:p>
                      </w:txbxContent>
                    </v:textbox>
                    <w10:wrap type="square"/>
                  </v:shape>
                </w:pict>
              </mc:Fallback>
            </mc:AlternateContent>
          </w:r>
          <w:r>
            <w:rPr>
              <w:noProof/>
            </w:rPr>
            <mc:AlternateContent>
              <mc:Choice Requires="wps">
                <w:drawing>
                  <wp:anchor distT="0" distB="0" distL="114300" distR="114300" simplePos="0" relativeHeight="251660288" behindDoc="0" locked="0" layoutInCell="1" allowOverlap="1" wp14:anchorId="56D865B2" wp14:editId="7AB45EED">
                    <wp:simplePos x="0" y="0"/>
                    <wp:positionH relativeFrom="page">
                      <wp:posOffset>219075</wp:posOffset>
                    </wp:positionH>
                    <wp:positionV relativeFrom="page">
                      <wp:posOffset>8286749</wp:posOffset>
                    </wp:positionV>
                    <wp:extent cx="7315200" cy="174307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743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38A5E7" w14:textId="21AD13A6" w:rsidR="00EB2A76" w:rsidRDefault="00EB2A76">
                                <w:pPr>
                                  <w:pStyle w:val="NoSpacing"/>
                                  <w:jc w:val="right"/>
                                  <w:rPr>
                                    <w:color w:val="595959" w:themeColor="text1" w:themeTint="A6"/>
                                    <w:sz w:val="28"/>
                                    <w:szCs w:val="28"/>
                                  </w:rPr>
                                </w:pPr>
                              </w:p>
                              <w:p w14:paraId="66414E75" w14:textId="4F128339" w:rsidR="00EB2A7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B2A7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6D865B2" id="Text Box 152" o:spid="_x0000_s1028" type="#_x0000_t202" style="position:absolute;margin-left:17.25pt;margin-top:652.5pt;width:8in;height:137.2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" filled="f" stroked="f" strokeweight=".5pt">
                    <v:textbox inset="126pt,0,54pt,0">
                      <w:txbxContent>
                        <w:p w14:paraId="2638A5E7" w14:textId="21AD13A6" w:rsidR="00EB2A76" w:rsidRDefault="00EB2A76">
                          <w:pPr>
                            <w:pStyle w:val="NoSpacing"/>
                            <w:jc w:val="right"/>
                            <w:rPr>
                              <w:color w:val="595959" w:themeColor="text1" w:themeTint="A6"/>
                              <w:sz w:val="28"/>
                              <w:szCs w:val="28"/>
                            </w:rPr>
                          </w:pPr>
                        </w:p>
                        <w:p w14:paraId="66414E75" w14:textId="4F128339" w:rsidR="00EB2A7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EB2A76">
                                <w:rPr>
                                  <w:color w:val="595959" w:themeColor="text1" w:themeTint="A6"/>
                                  <w:sz w:val="18"/>
                                  <w:szCs w:val="18"/>
                                </w:rPr>
                                <w:t xml:space="preserve">     </w:t>
                              </w:r>
                            </w:sdtContent>
                          </w:sdt>
                        </w:p>
                      </w:txbxContent>
                    </v:textbox>
                    <w10:wrap type="square" anchorx="page" anchory="page"/>
                  </v:shape>
                </w:pict>
              </mc:Fallback>
            </mc:AlternateContent>
          </w:r>
          <w:r>
            <w:rPr>
              <w:b/>
              <w:bCs/>
            </w:rPr>
            <w:br w:type="page"/>
          </w:r>
        </w:p>
      </w:sdtContent>
    </w:sdt>
    <w:sdt>
      <w:sdtPr>
        <w:rPr>
          <w:rFonts w:asciiTheme="minorHAnsi" w:eastAsiaTheme="minorHAnsi" w:hAnsiTheme="minorHAnsi" w:cstheme="minorBidi"/>
          <w:b w:val="0"/>
          <w:bCs w:val="0"/>
          <w:color w:val="auto"/>
          <w:sz w:val="24"/>
          <w:szCs w:val="24"/>
          <w:lang w:val="en-GB"/>
        </w:rPr>
        <w:id w:val="-514151018"/>
        <w:docPartObj>
          <w:docPartGallery w:val="Table of Contents"/>
          <w:docPartUnique/>
        </w:docPartObj>
      </w:sdtPr>
      <w:sdtEndPr>
        <w:rPr>
          <w:noProof/>
        </w:rPr>
      </w:sdtEndPr>
      <w:sdtContent>
        <w:p w14:paraId="033DF94D" w14:textId="3911960B" w:rsidR="00305071" w:rsidRDefault="00305071">
          <w:pPr>
            <w:pStyle w:val="TOCHeading"/>
          </w:pPr>
          <w:r>
            <w:t>Table of Contents</w:t>
          </w:r>
        </w:p>
        <w:p w14:paraId="0BF41685" w14:textId="4EDDA527" w:rsidR="00FA3FE5" w:rsidRDefault="00305071">
          <w:pPr>
            <w:pStyle w:val="TOC1"/>
            <w:tabs>
              <w:tab w:val="right" w:leader="dot" w:pos="9016"/>
            </w:tabs>
            <w:rPr>
              <w:rFonts w:eastAsiaTheme="minorEastAsia" w:cstheme="minorBidi"/>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28739198" w:history="1">
            <w:r w:rsidR="00FA3FE5" w:rsidRPr="008B39E3">
              <w:rPr>
                <w:rStyle w:val="Hyperlink"/>
                <w:noProof/>
              </w:rPr>
              <w:t>Introduction</w:t>
            </w:r>
            <w:r w:rsidR="00FA3FE5">
              <w:rPr>
                <w:noProof/>
                <w:webHidden/>
              </w:rPr>
              <w:tab/>
            </w:r>
            <w:r w:rsidR="00FA3FE5">
              <w:rPr>
                <w:noProof/>
                <w:webHidden/>
              </w:rPr>
              <w:fldChar w:fldCharType="begin"/>
            </w:r>
            <w:r w:rsidR="00FA3FE5">
              <w:rPr>
                <w:noProof/>
                <w:webHidden/>
              </w:rPr>
              <w:instrText xml:space="preserve"> PAGEREF _Toc128739198 \h </w:instrText>
            </w:r>
            <w:r w:rsidR="00FA3FE5">
              <w:rPr>
                <w:noProof/>
                <w:webHidden/>
              </w:rPr>
            </w:r>
            <w:r w:rsidR="00FA3FE5">
              <w:rPr>
                <w:noProof/>
                <w:webHidden/>
              </w:rPr>
              <w:fldChar w:fldCharType="separate"/>
            </w:r>
            <w:r w:rsidR="00FA3FE5">
              <w:rPr>
                <w:noProof/>
                <w:webHidden/>
              </w:rPr>
              <w:t>2</w:t>
            </w:r>
            <w:r w:rsidR="00FA3FE5">
              <w:rPr>
                <w:noProof/>
                <w:webHidden/>
              </w:rPr>
              <w:fldChar w:fldCharType="end"/>
            </w:r>
          </w:hyperlink>
        </w:p>
        <w:p w14:paraId="2E10B393" w14:textId="18C28E90" w:rsidR="00FA3FE5" w:rsidRDefault="00FA3FE5">
          <w:pPr>
            <w:pStyle w:val="TOC2"/>
            <w:tabs>
              <w:tab w:val="right" w:leader="dot" w:pos="9016"/>
            </w:tabs>
            <w:rPr>
              <w:rFonts w:eastAsiaTheme="minorEastAsia" w:cstheme="minorBidi"/>
              <w:b w:val="0"/>
              <w:bCs w:val="0"/>
              <w:noProof/>
              <w:lang w:eastAsia="en-GB"/>
            </w:rPr>
          </w:pPr>
          <w:hyperlink w:anchor="_Toc128739199" w:history="1">
            <w:r w:rsidRPr="008B39E3">
              <w:rPr>
                <w:rStyle w:val="Hyperlink"/>
                <w:noProof/>
              </w:rPr>
              <w:t>Service Context</w:t>
            </w:r>
            <w:r>
              <w:rPr>
                <w:noProof/>
                <w:webHidden/>
              </w:rPr>
              <w:tab/>
            </w:r>
            <w:r>
              <w:rPr>
                <w:noProof/>
                <w:webHidden/>
              </w:rPr>
              <w:fldChar w:fldCharType="begin"/>
            </w:r>
            <w:r>
              <w:rPr>
                <w:noProof/>
                <w:webHidden/>
              </w:rPr>
              <w:instrText xml:space="preserve"> PAGEREF _Toc128739199 \h </w:instrText>
            </w:r>
            <w:r>
              <w:rPr>
                <w:noProof/>
                <w:webHidden/>
              </w:rPr>
            </w:r>
            <w:r>
              <w:rPr>
                <w:noProof/>
                <w:webHidden/>
              </w:rPr>
              <w:fldChar w:fldCharType="separate"/>
            </w:r>
            <w:r>
              <w:rPr>
                <w:noProof/>
                <w:webHidden/>
              </w:rPr>
              <w:t>3</w:t>
            </w:r>
            <w:r>
              <w:rPr>
                <w:noProof/>
                <w:webHidden/>
              </w:rPr>
              <w:fldChar w:fldCharType="end"/>
            </w:r>
          </w:hyperlink>
        </w:p>
        <w:p w14:paraId="51C5DE46" w14:textId="66F2D062" w:rsidR="00FA3FE5" w:rsidRDefault="00FA3FE5">
          <w:pPr>
            <w:pStyle w:val="TOC2"/>
            <w:tabs>
              <w:tab w:val="right" w:leader="dot" w:pos="9016"/>
            </w:tabs>
            <w:rPr>
              <w:rFonts w:eastAsiaTheme="minorEastAsia" w:cstheme="minorBidi"/>
              <w:b w:val="0"/>
              <w:bCs w:val="0"/>
              <w:noProof/>
              <w:lang w:eastAsia="en-GB"/>
            </w:rPr>
          </w:pPr>
          <w:hyperlink w:anchor="_Toc128739200" w:history="1">
            <w:r w:rsidRPr="008B39E3">
              <w:rPr>
                <w:rStyle w:val="Hyperlink"/>
                <w:noProof/>
              </w:rPr>
              <w:t>Software Product</w:t>
            </w:r>
            <w:r>
              <w:rPr>
                <w:noProof/>
                <w:webHidden/>
              </w:rPr>
              <w:tab/>
            </w:r>
            <w:r>
              <w:rPr>
                <w:noProof/>
                <w:webHidden/>
              </w:rPr>
              <w:fldChar w:fldCharType="begin"/>
            </w:r>
            <w:r>
              <w:rPr>
                <w:noProof/>
                <w:webHidden/>
              </w:rPr>
              <w:instrText xml:space="preserve"> PAGEREF _Toc128739200 \h </w:instrText>
            </w:r>
            <w:r>
              <w:rPr>
                <w:noProof/>
                <w:webHidden/>
              </w:rPr>
            </w:r>
            <w:r>
              <w:rPr>
                <w:noProof/>
                <w:webHidden/>
              </w:rPr>
              <w:fldChar w:fldCharType="separate"/>
            </w:r>
            <w:r>
              <w:rPr>
                <w:noProof/>
                <w:webHidden/>
              </w:rPr>
              <w:t>5</w:t>
            </w:r>
            <w:r>
              <w:rPr>
                <w:noProof/>
                <w:webHidden/>
              </w:rPr>
              <w:fldChar w:fldCharType="end"/>
            </w:r>
          </w:hyperlink>
        </w:p>
        <w:p w14:paraId="2EED1566" w14:textId="729D1A05" w:rsidR="00FA3FE5" w:rsidRDefault="00FA3FE5">
          <w:pPr>
            <w:pStyle w:val="TOC2"/>
            <w:tabs>
              <w:tab w:val="right" w:leader="dot" w:pos="9016"/>
            </w:tabs>
            <w:rPr>
              <w:rFonts w:eastAsiaTheme="minorEastAsia" w:cstheme="minorBidi"/>
              <w:b w:val="0"/>
              <w:bCs w:val="0"/>
              <w:noProof/>
              <w:lang w:eastAsia="en-GB"/>
            </w:rPr>
          </w:pPr>
          <w:hyperlink w:anchor="_Toc128739201" w:history="1">
            <w:r w:rsidRPr="008B39E3">
              <w:rPr>
                <w:rStyle w:val="Hyperlink"/>
                <w:noProof/>
              </w:rPr>
              <w:t>Selected Team</w:t>
            </w:r>
            <w:r>
              <w:rPr>
                <w:noProof/>
                <w:webHidden/>
              </w:rPr>
              <w:tab/>
            </w:r>
            <w:r>
              <w:rPr>
                <w:noProof/>
                <w:webHidden/>
              </w:rPr>
              <w:fldChar w:fldCharType="begin"/>
            </w:r>
            <w:r>
              <w:rPr>
                <w:noProof/>
                <w:webHidden/>
              </w:rPr>
              <w:instrText xml:space="preserve"> PAGEREF _Toc128739201 \h </w:instrText>
            </w:r>
            <w:r>
              <w:rPr>
                <w:noProof/>
                <w:webHidden/>
              </w:rPr>
            </w:r>
            <w:r>
              <w:rPr>
                <w:noProof/>
                <w:webHidden/>
              </w:rPr>
              <w:fldChar w:fldCharType="separate"/>
            </w:r>
            <w:r>
              <w:rPr>
                <w:noProof/>
                <w:webHidden/>
              </w:rPr>
              <w:t>5</w:t>
            </w:r>
            <w:r>
              <w:rPr>
                <w:noProof/>
                <w:webHidden/>
              </w:rPr>
              <w:fldChar w:fldCharType="end"/>
            </w:r>
          </w:hyperlink>
        </w:p>
        <w:p w14:paraId="585AA818" w14:textId="076A7C4C" w:rsidR="00FA3FE5" w:rsidRDefault="00FA3FE5">
          <w:pPr>
            <w:pStyle w:val="TOC1"/>
            <w:tabs>
              <w:tab w:val="right" w:leader="dot" w:pos="9016"/>
            </w:tabs>
            <w:rPr>
              <w:rFonts w:eastAsiaTheme="minorEastAsia" w:cstheme="minorBidi"/>
              <w:b w:val="0"/>
              <w:bCs w:val="0"/>
              <w:i w:val="0"/>
              <w:iCs w:val="0"/>
              <w:noProof/>
              <w:sz w:val="22"/>
              <w:szCs w:val="22"/>
              <w:lang w:eastAsia="en-GB"/>
            </w:rPr>
          </w:pPr>
          <w:hyperlink w:anchor="_Toc128739202" w:history="1">
            <w:r w:rsidRPr="008B39E3">
              <w:rPr>
                <w:rStyle w:val="Hyperlink"/>
                <w:noProof/>
              </w:rPr>
              <w:t>Methods</w:t>
            </w:r>
            <w:r>
              <w:rPr>
                <w:noProof/>
                <w:webHidden/>
              </w:rPr>
              <w:tab/>
            </w:r>
            <w:r>
              <w:rPr>
                <w:noProof/>
                <w:webHidden/>
              </w:rPr>
              <w:fldChar w:fldCharType="begin"/>
            </w:r>
            <w:r>
              <w:rPr>
                <w:noProof/>
                <w:webHidden/>
              </w:rPr>
              <w:instrText xml:space="preserve"> PAGEREF _Toc128739202 \h </w:instrText>
            </w:r>
            <w:r>
              <w:rPr>
                <w:noProof/>
                <w:webHidden/>
              </w:rPr>
            </w:r>
            <w:r>
              <w:rPr>
                <w:noProof/>
                <w:webHidden/>
              </w:rPr>
              <w:fldChar w:fldCharType="separate"/>
            </w:r>
            <w:r>
              <w:rPr>
                <w:noProof/>
                <w:webHidden/>
              </w:rPr>
              <w:t>6</w:t>
            </w:r>
            <w:r>
              <w:rPr>
                <w:noProof/>
                <w:webHidden/>
              </w:rPr>
              <w:fldChar w:fldCharType="end"/>
            </w:r>
          </w:hyperlink>
        </w:p>
        <w:p w14:paraId="28EF89D8" w14:textId="0B7CC67C" w:rsidR="00FA3FE5" w:rsidRDefault="00FA3FE5">
          <w:pPr>
            <w:pStyle w:val="TOC2"/>
            <w:tabs>
              <w:tab w:val="right" w:leader="dot" w:pos="9016"/>
            </w:tabs>
            <w:rPr>
              <w:rFonts w:eastAsiaTheme="minorEastAsia" w:cstheme="minorBidi"/>
              <w:b w:val="0"/>
              <w:bCs w:val="0"/>
              <w:noProof/>
              <w:lang w:eastAsia="en-GB"/>
            </w:rPr>
          </w:pPr>
          <w:hyperlink w:anchor="_Toc128739203" w:history="1">
            <w:r w:rsidRPr="008B39E3">
              <w:rPr>
                <w:rStyle w:val="Hyperlink"/>
                <w:noProof/>
              </w:rPr>
              <w:t>The FITT Framework</w:t>
            </w:r>
            <w:r>
              <w:rPr>
                <w:noProof/>
                <w:webHidden/>
              </w:rPr>
              <w:tab/>
            </w:r>
            <w:r>
              <w:rPr>
                <w:noProof/>
                <w:webHidden/>
              </w:rPr>
              <w:fldChar w:fldCharType="begin"/>
            </w:r>
            <w:r>
              <w:rPr>
                <w:noProof/>
                <w:webHidden/>
              </w:rPr>
              <w:instrText xml:space="preserve"> PAGEREF _Toc128739203 \h </w:instrText>
            </w:r>
            <w:r>
              <w:rPr>
                <w:noProof/>
                <w:webHidden/>
              </w:rPr>
            </w:r>
            <w:r>
              <w:rPr>
                <w:noProof/>
                <w:webHidden/>
              </w:rPr>
              <w:fldChar w:fldCharType="separate"/>
            </w:r>
            <w:r>
              <w:rPr>
                <w:noProof/>
                <w:webHidden/>
              </w:rPr>
              <w:t>8</w:t>
            </w:r>
            <w:r>
              <w:rPr>
                <w:noProof/>
                <w:webHidden/>
              </w:rPr>
              <w:fldChar w:fldCharType="end"/>
            </w:r>
          </w:hyperlink>
        </w:p>
        <w:p w14:paraId="0887F73E" w14:textId="7CA809E4" w:rsidR="00FA3FE5" w:rsidRDefault="00FA3FE5">
          <w:pPr>
            <w:pStyle w:val="TOC2"/>
            <w:tabs>
              <w:tab w:val="right" w:leader="dot" w:pos="9016"/>
            </w:tabs>
            <w:rPr>
              <w:rFonts w:eastAsiaTheme="minorEastAsia" w:cstheme="minorBidi"/>
              <w:b w:val="0"/>
              <w:bCs w:val="0"/>
              <w:noProof/>
              <w:lang w:eastAsia="en-GB"/>
            </w:rPr>
          </w:pPr>
          <w:hyperlink w:anchor="_Toc128739204" w:history="1">
            <w:r w:rsidRPr="008B39E3">
              <w:rPr>
                <w:rStyle w:val="Hyperlink"/>
                <w:noProof/>
              </w:rPr>
              <w:t>Data Collection</w:t>
            </w:r>
            <w:r>
              <w:rPr>
                <w:noProof/>
                <w:webHidden/>
              </w:rPr>
              <w:tab/>
            </w:r>
            <w:r>
              <w:rPr>
                <w:noProof/>
                <w:webHidden/>
              </w:rPr>
              <w:fldChar w:fldCharType="begin"/>
            </w:r>
            <w:r>
              <w:rPr>
                <w:noProof/>
                <w:webHidden/>
              </w:rPr>
              <w:instrText xml:space="preserve"> PAGEREF _Toc128739204 \h </w:instrText>
            </w:r>
            <w:r>
              <w:rPr>
                <w:noProof/>
                <w:webHidden/>
              </w:rPr>
            </w:r>
            <w:r>
              <w:rPr>
                <w:noProof/>
                <w:webHidden/>
              </w:rPr>
              <w:fldChar w:fldCharType="separate"/>
            </w:r>
            <w:r>
              <w:rPr>
                <w:noProof/>
                <w:webHidden/>
              </w:rPr>
              <w:t>9</w:t>
            </w:r>
            <w:r>
              <w:rPr>
                <w:noProof/>
                <w:webHidden/>
              </w:rPr>
              <w:fldChar w:fldCharType="end"/>
            </w:r>
          </w:hyperlink>
        </w:p>
        <w:p w14:paraId="6324BBD8" w14:textId="1C93B623" w:rsidR="00FA3FE5" w:rsidRDefault="00FA3FE5">
          <w:pPr>
            <w:pStyle w:val="TOC3"/>
            <w:tabs>
              <w:tab w:val="right" w:leader="dot" w:pos="9016"/>
            </w:tabs>
            <w:rPr>
              <w:rFonts w:eastAsiaTheme="minorEastAsia" w:cstheme="minorBidi"/>
              <w:noProof/>
              <w:sz w:val="22"/>
              <w:szCs w:val="22"/>
              <w:lang w:eastAsia="en-GB"/>
            </w:rPr>
          </w:pPr>
          <w:hyperlink w:anchor="_Toc128739205" w:history="1">
            <w:r w:rsidRPr="008B39E3">
              <w:rPr>
                <w:rStyle w:val="Hyperlink"/>
                <w:noProof/>
              </w:rPr>
              <w:t>Pre-Implementation data</w:t>
            </w:r>
            <w:r>
              <w:rPr>
                <w:noProof/>
                <w:webHidden/>
              </w:rPr>
              <w:tab/>
            </w:r>
            <w:r>
              <w:rPr>
                <w:noProof/>
                <w:webHidden/>
              </w:rPr>
              <w:fldChar w:fldCharType="begin"/>
            </w:r>
            <w:r>
              <w:rPr>
                <w:noProof/>
                <w:webHidden/>
              </w:rPr>
              <w:instrText xml:space="preserve"> PAGEREF _Toc128739205 \h </w:instrText>
            </w:r>
            <w:r>
              <w:rPr>
                <w:noProof/>
                <w:webHidden/>
              </w:rPr>
            </w:r>
            <w:r>
              <w:rPr>
                <w:noProof/>
                <w:webHidden/>
              </w:rPr>
              <w:fldChar w:fldCharType="separate"/>
            </w:r>
            <w:r>
              <w:rPr>
                <w:noProof/>
                <w:webHidden/>
              </w:rPr>
              <w:t>10</w:t>
            </w:r>
            <w:r>
              <w:rPr>
                <w:noProof/>
                <w:webHidden/>
              </w:rPr>
              <w:fldChar w:fldCharType="end"/>
            </w:r>
          </w:hyperlink>
        </w:p>
        <w:p w14:paraId="134741C3" w14:textId="09176356" w:rsidR="00FA3FE5" w:rsidRDefault="00FA3FE5">
          <w:pPr>
            <w:pStyle w:val="TOC3"/>
            <w:tabs>
              <w:tab w:val="right" w:leader="dot" w:pos="9016"/>
            </w:tabs>
            <w:rPr>
              <w:rFonts w:eastAsiaTheme="minorEastAsia" w:cstheme="minorBidi"/>
              <w:noProof/>
              <w:sz w:val="22"/>
              <w:szCs w:val="22"/>
              <w:lang w:eastAsia="en-GB"/>
            </w:rPr>
          </w:pPr>
          <w:hyperlink w:anchor="_Toc128739206" w:history="1">
            <w:r w:rsidRPr="008B39E3">
              <w:rPr>
                <w:rStyle w:val="Hyperlink"/>
                <w:noProof/>
              </w:rPr>
              <w:t>Post-implementation data collection</w:t>
            </w:r>
            <w:r>
              <w:rPr>
                <w:noProof/>
                <w:webHidden/>
              </w:rPr>
              <w:tab/>
            </w:r>
            <w:r>
              <w:rPr>
                <w:noProof/>
                <w:webHidden/>
              </w:rPr>
              <w:fldChar w:fldCharType="begin"/>
            </w:r>
            <w:r>
              <w:rPr>
                <w:noProof/>
                <w:webHidden/>
              </w:rPr>
              <w:instrText xml:space="preserve"> PAGEREF _Toc128739206 \h </w:instrText>
            </w:r>
            <w:r>
              <w:rPr>
                <w:noProof/>
                <w:webHidden/>
              </w:rPr>
            </w:r>
            <w:r>
              <w:rPr>
                <w:noProof/>
                <w:webHidden/>
              </w:rPr>
              <w:fldChar w:fldCharType="separate"/>
            </w:r>
            <w:r>
              <w:rPr>
                <w:noProof/>
                <w:webHidden/>
              </w:rPr>
              <w:t>10</w:t>
            </w:r>
            <w:r>
              <w:rPr>
                <w:noProof/>
                <w:webHidden/>
              </w:rPr>
              <w:fldChar w:fldCharType="end"/>
            </w:r>
          </w:hyperlink>
        </w:p>
        <w:p w14:paraId="2FB285B8" w14:textId="53B313F7" w:rsidR="00FA3FE5" w:rsidRDefault="00FA3FE5">
          <w:pPr>
            <w:pStyle w:val="TOC3"/>
            <w:tabs>
              <w:tab w:val="right" w:leader="dot" w:pos="9016"/>
            </w:tabs>
            <w:rPr>
              <w:rFonts w:eastAsiaTheme="minorEastAsia" w:cstheme="minorBidi"/>
              <w:noProof/>
              <w:sz w:val="22"/>
              <w:szCs w:val="22"/>
              <w:lang w:eastAsia="en-GB"/>
            </w:rPr>
          </w:pPr>
          <w:hyperlink w:anchor="_Toc128739207" w:history="1">
            <w:r w:rsidRPr="008B39E3">
              <w:rPr>
                <w:rStyle w:val="Hyperlink"/>
                <w:noProof/>
              </w:rPr>
              <w:t>Literature Review, Search Strategy</w:t>
            </w:r>
            <w:r>
              <w:rPr>
                <w:noProof/>
                <w:webHidden/>
              </w:rPr>
              <w:tab/>
            </w:r>
            <w:r>
              <w:rPr>
                <w:noProof/>
                <w:webHidden/>
              </w:rPr>
              <w:fldChar w:fldCharType="begin"/>
            </w:r>
            <w:r>
              <w:rPr>
                <w:noProof/>
                <w:webHidden/>
              </w:rPr>
              <w:instrText xml:space="preserve"> PAGEREF _Toc128739207 \h </w:instrText>
            </w:r>
            <w:r>
              <w:rPr>
                <w:noProof/>
                <w:webHidden/>
              </w:rPr>
            </w:r>
            <w:r>
              <w:rPr>
                <w:noProof/>
                <w:webHidden/>
              </w:rPr>
              <w:fldChar w:fldCharType="separate"/>
            </w:r>
            <w:r>
              <w:rPr>
                <w:noProof/>
                <w:webHidden/>
              </w:rPr>
              <w:t>12</w:t>
            </w:r>
            <w:r>
              <w:rPr>
                <w:noProof/>
                <w:webHidden/>
              </w:rPr>
              <w:fldChar w:fldCharType="end"/>
            </w:r>
          </w:hyperlink>
        </w:p>
        <w:p w14:paraId="6EC0C04D" w14:textId="4EC8432B" w:rsidR="00FA3FE5" w:rsidRDefault="00FA3FE5">
          <w:pPr>
            <w:pStyle w:val="TOC2"/>
            <w:tabs>
              <w:tab w:val="right" w:leader="dot" w:pos="9016"/>
            </w:tabs>
            <w:rPr>
              <w:rFonts w:eastAsiaTheme="minorEastAsia" w:cstheme="minorBidi"/>
              <w:b w:val="0"/>
              <w:bCs w:val="0"/>
              <w:noProof/>
              <w:lang w:eastAsia="en-GB"/>
            </w:rPr>
          </w:pPr>
          <w:hyperlink w:anchor="_Toc128739208" w:history="1">
            <w:r w:rsidRPr="008B39E3">
              <w:rPr>
                <w:rStyle w:val="Hyperlink"/>
                <w:noProof/>
              </w:rPr>
              <w:t>Results</w:t>
            </w:r>
            <w:r>
              <w:rPr>
                <w:noProof/>
                <w:webHidden/>
              </w:rPr>
              <w:tab/>
            </w:r>
            <w:r>
              <w:rPr>
                <w:noProof/>
                <w:webHidden/>
              </w:rPr>
              <w:fldChar w:fldCharType="begin"/>
            </w:r>
            <w:r>
              <w:rPr>
                <w:noProof/>
                <w:webHidden/>
              </w:rPr>
              <w:instrText xml:space="preserve"> PAGEREF _Toc128739208 \h </w:instrText>
            </w:r>
            <w:r>
              <w:rPr>
                <w:noProof/>
                <w:webHidden/>
              </w:rPr>
            </w:r>
            <w:r>
              <w:rPr>
                <w:noProof/>
                <w:webHidden/>
              </w:rPr>
              <w:fldChar w:fldCharType="separate"/>
            </w:r>
            <w:r>
              <w:rPr>
                <w:noProof/>
                <w:webHidden/>
              </w:rPr>
              <w:t>12</w:t>
            </w:r>
            <w:r>
              <w:rPr>
                <w:noProof/>
                <w:webHidden/>
              </w:rPr>
              <w:fldChar w:fldCharType="end"/>
            </w:r>
          </w:hyperlink>
        </w:p>
        <w:p w14:paraId="739E4FB8" w14:textId="7AD483A5" w:rsidR="00FA3FE5" w:rsidRDefault="00FA3FE5">
          <w:pPr>
            <w:pStyle w:val="TOC3"/>
            <w:tabs>
              <w:tab w:val="right" w:leader="dot" w:pos="9016"/>
            </w:tabs>
            <w:rPr>
              <w:rFonts w:eastAsiaTheme="minorEastAsia" w:cstheme="minorBidi"/>
              <w:noProof/>
              <w:sz w:val="22"/>
              <w:szCs w:val="22"/>
              <w:lang w:eastAsia="en-GB"/>
            </w:rPr>
          </w:pPr>
          <w:hyperlink w:anchor="_Toc128739209" w:history="1">
            <w:r w:rsidRPr="008B39E3">
              <w:rPr>
                <w:rStyle w:val="Hyperlink"/>
                <w:i/>
                <w:iCs/>
                <w:noProof/>
              </w:rPr>
              <w:t>FITT: Prescribers (medical and non-medical), task and technology</w:t>
            </w:r>
            <w:r>
              <w:rPr>
                <w:noProof/>
                <w:webHidden/>
              </w:rPr>
              <w:tab/>
            </w:r>
            <w:r>
              <w:rPr>
                <w:noProof/>
                <w:webHidden/>
              </w:rPr>
              <w:fldChar w:fldCharType="begin"/>
            </w:r>
            <w:r>
              <w:rPr>
                <w:noProof/>
                <w:webHidden/>
              </w:rPr>
              <w:instrText xml:space="preserve"> PAGEREF _Toc128739209 \h </w:instrText>
            </w:r>
            <w:r>
              <w:rPr>
                <w:noProof/>
                <w:webHidden/>
              </w:rPr>
            </w:r>
            <w:r>
              <w:rPr>
                <w:noProof/>
                <w:webHidden/>
              </w:rPr>
              <w:fldChar w:fldCharType="separate"/>
            </w:r>
            <w:r>
              <w:rPr>
                <w:noProof/>
                <w:webHidden/>
              </w:rPr>
              <w:t>13</w:t>
            </w:r>
            <w:r>
              <w:rPr>
                <w:noProof/>
                <w:webHidden/>
              </w:rPr>
              <w:fldChar w:fldCharType="end"/>
            </w:r>
          </w:hyperlink>
        </w:p>
        <w:p w14:paraId="1B652887" w14:textId="52C7566E" w:rsidR="00FA3FE5" w:rsidRDefault="00FA3FE5">
          <w:pPr>
            <w:pStyle w:val="TOC3"/>
            <w:tabs>
              <w:tab w:val="right" w:leader="dot" w:pos="9016"/>
            </w:tabs>
            <w:rPr>
              <w:rFonts w:eastAsiaTheme="minorEastAsia" w:cstheme="minorBidi"/>
              <w:noProof/>
              <w:sz w:val="22"/>
              <w:szCs w:val="22"/>
              <w:lang w:eastAsia="en-GB"/>
            </w:rPr>
          </w:pPr>
          <w:hyperlink w:anchor="_Toc128739210" w:history="1">
            <w:r w:rsidRPr="008B39E3">
              <w:rPr>
                <w:rStyle w:val="Hyperlink"/>
                <w:noProof/>
              </w:rPr>
              <w:t>FITT: Registered nurse, task, and technology</w:t>
            </w:r>
            <w:r>
              <w:rPr>
                <w:noProof/>
                <w:webHidden/>
              </w:rPr>
              <w:tab/>
            </w:r>
            <w:r>
              <w:rPr>
                <w:noProof/>
                <w:webHidden/>
              </w:rPr>
              <w:fldChar w:fldCharType="begin"/>
            </w:r>
            <w:r>
              <w:rPr>
                <w:noProof/>
                <w:webHidden/>
              </w:rPr>
              <w:instrText xml:space="preserve"> PAGEREF _Toc128739210 \h </w:instrText>
            </w:r>
            <w:r>
              <w:rPr>
                <w:noProof/>
                <w:webHidden/>
              </w:rPr>
            </w:r>
            <w:r>
              <w:rPr>
                <w:noProof/>
                <w:webHidden/>
              </w:rPr>
              <w:fldChar w:fldCharType="separate"/>
            </w:r>
            <w:r>
              <w:rPr>
                <w:noProof/>
                <w:webHidden/>
              </w:rPr>
              <w:t>14</w:t>
            </w:r>
            <w:r>
              <w:rPr>
                <w:noProof/>
                <w:webHidden/>
              </w:rPr>
              <w:fldChar w:fldCharType="end"/>
            </w:r>
          </w:hyperlink>
        </w:p>
        <w:p w14:paraId="12D07F10" w14:textId="75538D21" w:rsidR="00FA3FE5" w:rsidRDefault="00FA3FE5">
          <w:pPr>
            <w:pStyle w:val="TOC3"/>
            <w:tabs>
              <w:tab w:val="right" w:leader="dot" w:pos="9016"/>
            </w:tabs>
            <w:rPr>
              <w:rFonts w:eastAsiaTheme="minorEastAsia" w:cstheme="minorBidi"/>
              <w:noProof/>
              <w:sz w:val="22"/>
              <w:szCs w:val="22"/>
              <w:lang w:eastAsia="en-GB"/>
            </w:rPr>
          </w:pPr>
          <w:hyperlink w:anchor="_Toc128739211" w:history="1">
            <w:r w:rsidRPr="008B39E3">
              <w:rPr>
                <w:rStyle w:val="Hyperlink"/>
                <w:noProof/>
              </w:rPr>
              <w:t>FITT: Pharmacist, task, and technology</w:t>
            </w:r>
            <w:r>
              <w:rPr>
                <w:noProof/>
                <w:webHidden/>
              </w:rPr>
              <w:tab/>
            </w:r>
            <w:r>
              <w:rPr>
                <w:noProof/>
                <w:webHidden/>
              </w:rPr>
              <w:fldChar w:fldCharType="begin"/>
            </w:r>
            <w:r>
              <w:rPr>
                <w:noProof/>
                <w:webHidden/>
              </w:rPr>
              <w:instrText xml:space="preserve"> PAGEREF _Toc128739211 \h </w:instrText>
            </w:r>
            <w:r>
              <w:rPr>
                <w:noProof/>
                <w:webHidden/>
              </w:rPr>
            </w:r>
            <w:r>
              <w:rPr>
                <w:noProof/>
                <w:webHidden/>
              </w:rPr>
              <w:fldChar w:fldCharType="separate"/>
            </w:r>
            <w:r>
              <w:rPr>
                <w:noProof/>
                <w:webHidden/>
              </w:rPr>
              <w:t>15</w:t>
            </w:r>
            <w:r>
              <w:rPr>
                <w:noProof/>
                <w:webHidden/>
              </w:rPr>
              <w:fldChar w:fldCharType="end"/>
            </w:r>
          </w:hyperlink>
        </w:p>
        <w:p w14:paraId="63A74F3E" w14:textId="2E8C1ED7" w:rsidR="00FA3FE5" w:rsidRDefault="00FA3FE5">
          <w:pPr>
            <w:pStyle w:val="TOC3"/>
            <w:tabs>
              <w:tab w:val="right" w:leader="dot" w:pos="9016"/>
            </w:tabs>
            <w:rPr>
              <w:rFonts w:eastAsiaTheme="minorEastAsia" w:cstheme="minorBidi"/>
              <w:noProof/>
              <w:sz w:val="22"/>
              <w:szCs w:val="22"/>
              <w:lang w:eastAsia="en-GB"/>
            </w:rPr>
          </w:pPr>
          <w:hyperlink w:anchor="_Toc128739212" w:history="1">
            <w:r w:rsidRPr="008B39E3">
              <w:rPr>
                <w:rStyle w:val="Hyperlink"/>
                <w:noProof/>
              </w:rPr>
              <w:t>Literature Review Results</w:t>
            </w:r>
            <w:r>
              <w:rPr>
                <w:noProof/>
                <w:webHidden/>
              </w:rPr>
              <w:tab/>
            </w:r>
            <w:r>
              <w:rPr>
                <w:noProof/>
                <w:webHidden/>
              </w:rPr>
              <w:fldChar w:fldCharType="begin"/>
            </w:r>
            <w:r>
              <w:rPr>
                <w:noProof/>
                <w:webHidden/>
              </w:rPr>
              <w:instrText xml:space="preserve"> PAGEREF _Toc128739212 \h </w:instrText>
            </w:r>
            <w:r>
              <w:rPr>
                <w:noProof/>
                <w:webHidden/>
              </w:rPr>
            </w:r>
            <w:r>
              <w:rPr>
                <w:noProof/>
                <w:webHidden/>
              </w:rPr>
              <w:fldChar w:fldCharType="separate"/>
            </w:r>
            <w:r>
              <w:rPr>
                <w:noProof/>
                <w:webHidden/>
              </w:rPr>
              <w:t>16</w:t>
            </w:r>
            <w:r>
              <w:rPr>
                <w:noProof/>
                <w:webHidden/>
              </w:rPr>
              <w:fldChar w:fldCharType="end"/>
            </w:r>
          </w:hyperlink>
        </w:p>
        <w:p w14:paraId="2497F3D6" w14:textId="29859727" w:rsidR="00FA3FE5" w:rsidRDefault="00FA3FE5">
          <w:pPr>
            <w:pStyle w:val="TOC3"/>
            <w:tabs>
              <w:tab w:val="right" w:leader="dot" w:pos="9016"/>
            </w:tabs>
            <w:rPr>
              <w:rFonts w:eastAsiaTheme="minorEastAsia" w:cstheme="minorBidi"/>
              <w:noProof/>
              <w:sz w:val="22"/>
              <w:szCs w:val="22"/>
              <w:lang w:eastAsia="en-GB"/>
            </w:rPr>
          </w:pPr>
          <w:hyperlink w:anchor="_Toc128739213" w:history="1">
            <w:r w:rsidRPr="008B39E3">
              <w:rPr>
                <w:rStyle w:val="Hyperlink"/>
                <w:noProof/>
              </w:rPr>
              <w:t>Qualitative Themes</w:t>
            </w:r>
            <w:r>
              <w:rPr>
                <w:noProof/>
                <w:webHidden/>
              </w:rPr>
              <w:tab/>
            </w:r>
            <w:r>
              <w:rPr>
                <w:noProof/>
                <w:webHidden/>
              </w:rPr>
              <w:fldChar w:fldCharType="begin"/>
            </w:r>
            <w:r>
              <w:rPr>
                <w:noProof/>
                <w:webHidden/>
              </w:rPr>
              <w:instrText xml:space="preserve"> PAGEREF _Toc128739213 \h </w:instrText>
            </w:r>
            <w:r>
              <w:rPr>
                <w:noProof/>
                <w:webHidden/>
              </w:rPr>
            </w:r>
            <w:r>
              <w:rPr>
                <w:noProof/>
                <w:webHidden/>
              </w:rPr>
              <w:fldChar w:fldCharType="separate"/>
            </w:r>
            <w:r>
              <w:rPr>
                <w:noProof/>
                <w:webHidden/>
              </w:rPr>
              <w:t>16</w:t>
            </w:r>
            <w:r>
              <w:rPr>
                <w:noProof/>
                <w:webHidden/>
              </w:rPr>
              <w:fldChar w:fldCharType="end"/>
            </w:r>
          </w:hyperlink>
        </w:p>
        <w:p w14:paraId="74722B4F" w14:textId="25BC8362" w:rsidR="00FA3FE5" w:rsidRDefault="00FA3FE5">
          <w:pPr>
            <w:pStyle w:val="TOC3"/>
            <w:tabs>
              <w:tab w:val="right" w:leader="dot" w:pos="9016"/>
            </w:tabs>
            <w:rPr>
              <w:rFonts w:eastAsiaTheme="minorEastAsia" w:cstheme="minorBidi"/>
              <w:noProof/>
              <w:sz w:val="22"/>
              <w:szCs w:val="22"/>
              <w:lang w:eastAsia="en-GB"/>
            </w:rPr>
          </w:pPr>
          <w:hyperlink w:anchor="_Toc128739214" w:history="1">
            <w:r w:rsidRPr="008B39E3">
              <w:rPr>
                <w:rStyle w:val="Hyperlink"/>
                <w:noProof/>
              </w:rPr>
              <w:t>Quantitative Ratings</w:t>
            </w:r>
            <w:r>
              <w:rPr>
                <w:noProof/>
                <w:webHidden/>
              </w:rPr>
              <w:tab/>
            </w:r>
            <w:r>
              <w:rPr>
                <w:noProof/>
                <w:webHidden/>
              </w:rPr>
              <w:fldChar w:fldCharType="begin"/>
            </w:r>
            <w:r>
              <w:rPr>
                <w:noProof/>
                <w:webHidden/>
              </w:rPr>
              <w:instrText xml:space="preserve"> PAGEREF _Toc128739214 \h </w:instrText>
            </w:r>
            <w:r>
              <w:rPr>
                <w:noProof/>
                <w:webHidden/>
              </w:rPr>
            </w:r>
            <w:r>
              <w:rPr>
                <w:noProof/>
                <w:webHidden/>
              </w:rPr>
              <w:fldChar w:fldCharType="separate"/>
            </w:r>
            <w:r>
              <w:rPr>
                <w:noProof/>
                <w:webHidden/>
              </w:rPr>
              <w:t>18</w:t>
            </w:r>
            <w:r>
              <w:rPr>
                <w:noProof/>
                <w:webHidden/>
              </w:rPr>
              <w:fldChar w:fldCharType="end"/>
            </w:r>
          </w:hyperlink>
        </w:p>
        <w:p w14:paraId="5AF47C58" w14:textId="031A8604" w:rsidR="00FA3FE5" w:rsidRDefault="00FA3FE5">
          <w:pPr>
            <w:pStyle w:val="TOC1"/>
            <w:tabs>
              <w:tab w:val="right" w:leader="dot" w:pos="9016"/>
            </w:tabs>
            <w:rPr>
              <w:rFonts w:eastAsiaTheme="minorEastAsia" w:cstheme="minorBidi"/>
              <w:b w:val="0"/>
              <w:bCs w:val="0"/>
              <w:i w:val="0"/>
              <w:iCs w:val="0"/>
              <w:noProof/>
              <w:sz w:val="22"/>
              <w:szCs w:val="22"/>
              <w:lang w:eastAsia="en-GB"/>
            </w:rPr>
          </w:pPr>
          <w:hyperlink w:anchor="_Toc128739215" w:history="1">
            <w:r w:rsidRPr="008B39E3">
              <w:rPr>
                <w:rStyle w:val="Hyperlink"/>
                <w:noProof/>
              </w:rPr>
              <w:t>Discussion and Conclusion</w:t>
            </w:r>
            <w:r>
              <w:rPr>
                <w:noProof/>
                <w:webHidden/>
              </w:rPr>
              <w:tab/>
            </w:r>
            <w:r>
              <w:rPr>
                <w:noProof/>
                <w:webHidden/>
              </w:rPr>
              <w:fldChar w:fldCharType="begin"/>
            </w:r>
            <w:r>
              <w:rPr>
                <w:noProof/>
                <w:webHidden/>
              </w:rPr>
              <w:instrText xml:space="preserve"> PAGEREF _Toc128739215 \h </w:instrText>
            </w:r>
            <w:r>
              <w:rPr>
                <w:noProof/>
                <w:webHidden/>
              </w:rPr>
            </w:r>
            <w:r>
              <w:rPr>
                <w:noProof/>
                <w:webHidden/>
              </w:rPr>
              <w:fldChar w:fldCharType="separate"/>
            </w:r>
            <w:r>
              <w:rPr>
                <w:noProof/>
                <w:webHidden/>
              </w:rPr>
              <w:t>19</w:t>
            </w:r>
            <w:r>
              <w:rPr>
                <w:noProof/>
                <w:webHidden/>
              </w:rPr>
              <w:fldChar w:fldCharType="end"/>
            </w:r>
          </w:hyperlink>
        </w:p>
        <w:p w14:paraId="7053258A" w14:textId="6FA694D3" w:rsidR="00FA3FE5" w:rsidRDefault="00FA3FE5">
          <w:pPr>
            <w:pStyle w:val="TOC1"/>
            <w:tabs>
              <w:tab w:val="right" w:leader="dot" w:pos="9016"/>
            </w:tabs>
            <w:rPr>
              <w:rFonts w:eastAsiaTheme="minorEastAsia" w:cstheme="minorBidi"/>
              <w:b w:val="0"/>
              <w:bCs w:val="0"/>
              <w:i w:val="0"/>
              <w:iCs w:val="0"/>
              <w:noProof/>
              <w:sz w:val="22"/>
              <w:szCs w:val="22"/>
              <w:lang w:eastAsia="en-GB"/>
            </w:rPr>
          </w:pPr>
          <w:hyperlink w:anchor="_Toc128739216" w:history="1">
            <w:r w:rsidRPr="008B39E3">
              <w:rPr>
                <w:rStyle w:val="Hyperlink"/>
                <w:noProof/>
              </w:rPr>
              <w:t>References:</w:t>
            </w:r>
            <w:r>
              <w:rPr>
                <w:noProof/>
                <w:webHidden/>
              </w:rPr>
              <w:tab/>
            </w:r>
            <w:r>
              <w:rPr>
                <w:noProof/>
                <w:webHidden/>
              </w:rPr>
              <w:fldChar w:fldCharType="begin"/>
            </w:r>
            <w:r>
              <w:rPr>
                <w:noProof/>
                <w:webHidden/>
              </w:rPr>
              <w:instrText xml:space="preserve"> PAGEREF _Toc128739216 \h </w:instrText>
            </w:r>
            <w:r>
              <w:rPr>
                <w:noProof/>
                <w:webHidden/>
              </w:rPr>
            </w:r>
            <w:r>
              <w:rPr>
                <w:noProof/>
                <w:webHidden/>
              </w:rPr>
              <w:fldChar w:fldCharType="separate"/>
            </w:r>
            <w:r>
              <w:rPr>
                <w:noProof/>
                <w:webHidden/>
              </w:rPr>
              <w:t>24</w:t>
            </w:r>
            <w:r>
              <w:rPr>
                <w:noProof/>
                <w:webHidden/>
              </w:rPr>
              <w:fldChar w:fldCharType="end"/>
            </w:r>
          </w:hyperlink>
        </w:p>
        <w:p w14:paraId="40D41CB7" w14:textId="7D7F1A61" w:rsidR="00FA3FE5" w:rsidRDefault="00FA3FE5">
          <w:pPr>
            <w:pStyle w:val="TOC1"/>
            <w:tabs>
              <w:tab w:val="right" w:leader="dot" w:pos="9016"/>
            </w:tabs>
            <w:rPr>
              <w:rFonts w:eastAsiaTheme="minorEastAsia" w:cstheme="minorBidi"/>
              <w:b w:val="0"/>
              <w:bCs w:val="0"/>
              <w:i w:val="0"/>
              <w:iCs w:val="0"/>
              <w:noProof/>
              <w:sz w:val="22"/>
              <w:szCs w:val="22"/>
              <w:lang w:eastAsia="en-GB"/>
            </w:rPr>
          </w:pPr>
          <w:hyperlink w:anchor="_Toc128739217" w:history="1">
            <w:r w:rsidRPr="008B39E3">
              <w:rPr>
                <w:rStyle w:val="Hyperlink"/>
                <w:noProof/>
              </w:rPr>
              <w:t>Appendices</w:t>
            </w:r>
            <w:r>
              <w:rPr>
                <w:noProof/>
                <w:webHidden/>
              </w:rPr>
              <w:tab/>
            </w:r>
            <w:r>
              <w:rPr>
                <w:noProof/>
                <w:webHidden/>
              </w:rPr>
              <w:fldChar w:fldCharType="begin"/>
            </w:r>
            <w:r>
              <w:rPr>
                <w:noProof/>
                <w:webHidden/>
              </w:rPr>
              <w:instrText xml:space="preserve"> PAGEREF _Toc128739217 \h </w:instrText>
            </w:r>
            <w:r>
              <w:rPr>
                <w:noProof/>
                <w:webHidden/>
              </w:rPr>
            </w:r>
            <w:r>
              <w:rPr>
                <w:noProof/>
                <w:webHidden/>
              </w:rPr>
              <w:fldChar w:fldCharType="separate"/>
            </w:r>
            <w:r>
              <w:rPr>
                <w:noProof/>
                <w:webHidden/>
              </w:rPr>
              <w:t>28</w:t>
            </w:r>
            <w:r>
              <w:rPr>
                <w:noProof/>
                <w:webHidden/>
              </w:rPr>
              <w:fldChar w:fldCharType="end"/>
            </w:r>
          </w:hyperlink>
        </w:p>
        <w:p w14:paraId="245E5C71" w14:textId="62771C57" w:rsidR="00FA3FE5" w:rsidRDefault="00FA3FE5">
          <w:pPr>
            <w:pStyle w:val="TOC3"/>
            <w:tabs>
              <w:tab w:val="right" w:leader="dot" w:pos="9016"/>
            </w:tabs>
            <w:rPr>
              <w:rFonts w:eastAsiaTheme="minorEastAsia" w:cstheme="minorBidi"/>
              <w:noProof/>
              <w:sz w:val="22"/>
              <w:szCs w:val="22"/>
              <w:lang w:eastAsia="en-GB"/>
            </w:rPr>
          </w:pPr>
          <w:hyperlink w:anchor="_Toc128739218" w:history="1">
            <w:r w:rsidRPr="008B39E3">
              <w:rPr>
                <w:rStyle w:val="Hyperlink"/>
                <w:noProof/>
              </w:rPr>
              <w:t>Appendix 1: Inpatient Medication Administration Record</w:t>
            </w:r>
            <w:r>
              <w:rPr>
                <w:noProof/>
                <w:webHidden/>
              </w:rPr>
              <w:tab/>
            </w:r>
            <w:r>
              <w:rPr>
                <w:noProof/>
                <w:webHidden/>
              </w:rPr>
              <w:fldChar w:fldCharType="begin"/>
            </w:r>
            <w:r>
              <w:rPr>
                <w:noProof/>
                <w:webHidden/>
              </w:rPr>
              <w:instrText xml:space="preserve"> PAGEREF _Toc128739218 \h </w:instrText>
            </w:r>
            <w:r>
              <w:rPr>
                <w:noProof/>
                <w:webHidden/>
              </w:rPr>
            </w:r>
            <w:r>
              <w:rPr>
                <w:noProof/>
                <w:webHidden/>
              </w:rPr>
              <w:fldChar w:fldCharType="separate"/>
            </w:r>
            <w:r>
              <w:rPr>
                <w:noProof/>
                <w:webHidden/>
              </w:rPr>
              <w:t>28</w:t>
            </w:r>
            <w:r>
              <w:rPr>
                <w:noProof/>
                <w:webHidden/>
              </w:rPr>
              <w:fldChar w:fldCharType="end"/>
            </w:r>
          </w:hyperlink>
        </w:p>
        <w:p w14:paraId="7B91C1BB" w14:textId="530D2B39" w:rsidR="00305071" w:rsidRDefault="00305071">
          <w:r>
            <w:rPr>
              <w:b/>
              <w:bCs/>
              <w:noProof/>
            </w:rPr>
            <w:fldChar w:fldCharType="end"/>
          </w:r>
        </w:p>
      </w:sdtContent>
    </w:sdt>
    <w:p w14:paraId="5251BA6C" w14:textId="77777777" w:rsidR="00FA3FE5" w:rsidRDefault="00FA3FE5">
      <w:pPr>
        <w:rPr>
          <w:rFonts w:asciiTheme="majorHAnsi" w:eastAsiaTheme="majorEastAsia" w:hAnsiTheme="majorHAnsi" w:cstheme="majorBidi"/>
          <w:b/>
          <w:bCs/>
          <w:color w:val="2F5496" w:themeColor="accent1" w:themeShade="BF"/>
          <w:sz w:val="28"/>
          <w:szCs w:val="28"/>
          <w:lang w:val="en-US"/>
        </w:rPr>
      </w:pPr>
    </w:p>
    <w:p w14:paraId="596D0004" w14:textId="6A943212" w:rsidR="00305071" w:rsidRDefault="00664079">
      <w:pPr>
        <w:rPr>
          <w:rFonts w:asciiTheme="majorHAnsi" w:eastAsiaTheme="majorEastAsia" w:hAnsiTheme="majorHAnsi" w:cstheme="majorBidi"/>
          <w:b/>
          <w:bCs/>
          <w:color w:val="2F5496" w:themeColor="accent1" w:themeShade="BF"/>
          <w:sz w:val="28"/>
          <w:szCs w:val="28"/>
          <w:lang w:val="en-US"/>
        </w:rPr>
      </w:pPr>
      <w:r w:rsidRPr="00664079">
        <w:rPr>
          <w:rFonts w:asciiTheme="majorHAnsi" w:eastAsiaTheme="majorEastAsia" w:hAnsiTheme="majorHAnsi" w:cstheme="majorBidi"/>
          <w:b/>
          <w:bCs/>
          <w:color w:val="2F5496" w:themeColor="accent1" w:themeShade="BF"/>
          <w:sz w:val="28"/>
          <w:szCs w:val="28"/>
          <w:lang w:val="en-US"/>
        </w:rPr>
        <w:t>L</w:t>
      </w:r>
      <w:r>
        <w:rPr>
          <w:rFonts w:asciiTheme="majorHAnsi" w:eastAsiaTheme="majorEastAsia" w:hAnsiTheme="majorHAnsi" w:cstheme="majorBidi"/>
          <w:b/>
          <w:bCs/>
          <w:color w:val="2F5496" w:themeColor="accent1" w:themeShade="BF"/>
          <w:sz w:val="28"/>
          <w:szCs w:val="28"/>
          <w:lang w:val="en-US"/>
        </w:rPr>
        <w:t>ist</w:t>
      </w:r>
      <w:r w:rsidRPr="00664079">
        <w:rPr>
          <w:rFonts w:asciiTheme="majorHAnsi" w:eastAsiaTheme="majorEastAsia" w:hAnsiTheme="majorHAnsi" w:cstheme="majorBidi"/>
          <w:b/>
          <w:bCs/>
          <w:color w:val="2F5496" w:themeColor="accent1" w:themeShade="BF"/>
          <w:sz w:val="28"/>
          <w:szCs w:val="28"/>
          <w:lang w:val="en-US"/>
        </w:rPr>
        <w:t xml:space="preserve"> of Figures </w:t>
      </w:r>
    </w:p>
    <w:p w14:paraId="05980518" w14:textId="77777777" w:rsidR="00664079" w:rsidRPr="00664079" w:rsidRDefault="00664079">
      <w:pPr>
        <w:rPr>
          <w:rFonts w:asciiTheme="majorHAnsi" w:eastAsiaTheme="majorEastAsia" w:hAnsiTheme="majorHAnsi" w:cstheme="majorBidi"/>
          <w:b/>
          <w:bCs/>
          <w:color w:val="2F5496" w:themeColor="accent1" w:themeShade="BF"/>
          <w:sz w:val="28"/>
          <w:szCs w:val="28"/>
          <w:lang w:val="en-US"/>
        </w:rPr>
      </w:pPr>
    </w:p>
    <w:p w14:paraId="772A251E" w14:textId="28BA96EE" w:rsidR="001F7B33" w:rsidRDefault="004E0C98">
      <w:pPr>
        <w:pStyle w:val="TableofFigures"/>
        <w:tabs>
          <w:tab w:val="right" w:leader="dot" w:pos="9016"/>
        </w:tabs>
        <w:rPr>
          <w:rFonts w:eastAsiaTheme="minorEastAsia"/>
          <w:noProof/>
          <w:sz w:val="22"/>
          <w:szCs w:val="22"/>
          <w:lang w:eastAsia="en-GB"/>
        </w:rPr>
      </w:pPr>
      <w:r>
        <w:fldChar w:fldCharType="begin"/>
      </w:r>
      <w:r>
        <w:instrText xml:space="preserve"> TOC \h \z \c "Figure" </w:instrText>
      </w:r>
      <w:r>
        <w:fldChar w:fldCharType="separate"/>
      </w:r>
      <w:hyperlink w:anchor="_Toc128735614" w:history="1">
        <w:r w:rsidR="001F7B33" w:rsidRPr="00616DB4">
          <w:rPr>
            <w:rStyle w:val="Hyperlink"/>
            <w:noProof/>
          </w:rPr>
          <w:t>Figure 1. Figure 1. Fishbone diagram developed by Karou Ishikawa (1960), RCA of factors contributing to compromised patient safety.</w:t>
        </w:r>
        <w:r w:rsidR="001F7B33">
          <w:rPr>
            <w:noProof/>
            <w:webHidden/>
          </w:rPr>
          <w:tab/>
        </w:r>
        <w:r w:rsidR="001F7B33">
          <w:rPr>
            <w:noProof/>
            <w:webHidden/>
          </w:rPr>
          <w:fldChar w:fldCharType="begin"/>
        </w:r>
        <w:r w:rsidR="001F7B33">
          <w:rPr>
            <w:noProof/>
            <w:webHidden/>
          </w:rPr>
          <w:instrText xml:space="preserve"> PAGEREF _Toc128735614 \h </w:instrText>
        </w:r>
        <w:r w:rsidR="001F7B33">
          <w:rPr>
            <w:noProof/>
            <w:webHidden/>
          </w:rPr>
        </w:r>
        <w:r w:rsidR="001F7B33">
          <w:rPr>
            <w:noProof/>
            <w:webHidden/>
          </w:rPr>
          <w:fldChar w:fldCharType="separate"/>
        </w:r>
        <w:r w:rsidR="001F7B33">
          <w:rPr>
            <w:noProof/>
            <w:webHidden/>
          </w:rPr>
          <w:t>3</w:t>
        </w:r>
        <w:r w:rsidR="001F7B33">
          <w:rPr>
            <w:noProof/>
            <w:webHidden/>
          </w:rPr>
          <w:fldChar w:fldCharType="end"/>
        </w:r>
      </w:hyperlink>
    </w:p>
    <w:p w14:paraId="26DEF486" w14:textId="3A057A97" w:rsidR="001F7B33" w:rsidRDefault="00000000">
      <w:pPr>
        <w:pStyle w:val="TableofFigures"/>
        <w:tabs>
          <w:tab w:val="right" w:leader="dot" w:pos="9016"/>
        </w:tabs>
        <w:rPr>
          <w:rFonts w:eastAsiaTheme="minorEastAsia"/>
          <w:noProof/>
          <w:sz w:val="22"/>
          <w:szCs w:val="22"/>
          <w:lang w:eastAsia="en-GB"/>
        </w:rPr>
      </w:pPr>
      <w:hyperlink w:anchor="_Toc128735615" w:history="1">
        <w:r w:rsidR="001F7B33" w:rsidRPr="00616DB4">
          <w:rPr>
            <w:rStyle w:val="Hyperlink"/>
            <w:noProof/>
          </w:rPr>
          <w:t>Figure 2. The FITT Framework, developed by Ammenworth et al. (2006)</w:t>
        </w:r>
        <w:r w:rsidR="001F7B33">
          <w:rPr>
            <w:noProof/>
            <w:webHidden/>
          </w:rPr>
          <w:tab/>
        </w:r>
        <w:r w:rsidR="001F7B33">
          <w:rPr>
            <w:noProof/>
            <w:webHidden/>
          </w:rPr>
          <w:fldChar w:fldCharType="begin"/>
        </w:r>
        <w:r w:rsidR="001F7B33">
          <w:rPr>
            <w:noProof/>
            <w:webHidden/>
          </w:rPr>
          <w:instrText xml:space="preserve"> PAGEREF _Toc128735615 \h </w:instrText>
        </w:r>
        <w:r w:rsidR="001F7B33">
          <w:rPr>
            <w:noProof/>
            <w:webHidden/>
          </w:rPr>
        </w:r>
        <w:r w:rsidR="001F7B33">
          <w:rPr>
            <w:noProof/>
            <w:webHidden/>
          </w:rPr>
          <w:fldChar w:fldCharType="separate"/>
        </w:r>
        <w:r w:rsidR="001F7B33">
          <w:rPr>
            <w:noProof/>
            <w:webHidden/>
          </w:rPr>
          <w:t>9</w:t>
        </w:r>
        <w:r w:rsidR="001F7B33">
          <w:rPr>
            <w:noProof/>
            <w:webHidden/>
          </w:rPr>
          <w:fldChar w:fldCharType="end"/>
        </w:r>
      </w:hyperlink>
    </w:p>
    <w:p w14:paraId="52577FA3" w14:textId="4B28F991" w:rsidR="001F7B33" w:rsidRDefault="00000000">
      <w:pPr>
        <w:pStyle w:val="TableofFigures"/>
        <w:tabs>
          <w:tab w:val="right" w:leader="dot" w:pos="9016"/>
        </w:tabs>
        <w:rPr>
          <w:rFonts w:eastAsiaTheme="minorEastAsia"/>
          <w:noProof/>
          <w:sz w:val="22"/>
          <w:szCs w:val="22"/>
          <w:lang w:eastAsia="en-GB"/>
        </w:rPr>
      </w:pPr>
      <w:hyperlink w:anchor="_Toc128735616" w:history="1">
        <w:r w:rsidR="001F7B33" w:rsidRPr="00616DB4">
          <w:rPr>
            <w:rStyle w:val="Hyperlink"/>
            <w:noProof/>
          </w:rPr>
          <w:t>Figure 3. Baseline number and type of medication error reported using the Datix incident reporting system pre-implementation</w:t>
        </w:r>
        <w:r w:rsidR="001F7B33">
          <w:rPr>
            <w:noProof/>
            <w:webHidden/>
          </w:rPr>
          <w:tab/>
        </w:r>
        <w:r w:rsidR="001F7B33">
          <w:rPr>
            <w:noProof/>
            <w:webHidden/>
          </w:rPr>
          <w:fldChar w:fldCharType="begin"/>
        </w:r>
        <w:r w:rsidR="001F7B33">
          <w:rPr>
            <w:noProof/>
            <w:webHidden/>
          </w:rPr>
          <w:instrText xml:space="preserve"> PAGEREF _Toc128735616 \h </w:instrText>
        </w:r>
        <w:r w:rsidR="001F7B33">
          <w:rPr>
            <w:noProof/>
            <w:webHidden/>
          </w:rPr>
        </w:r>
        <w:r w:rsidR="001F7B33">
          <w:rPr>
            <w:noProof/>
            <w:webHidden/>
          </w:rPr>
          <w:fldChar w:fldCharType="separate"/>
        </w:r>
        <w:r w:rsidR="001F7B33">
          <w:rPr>
            <w:noProof/>
            <w:webHidden/>
          </w:rPr>
          <w:t>11</w:t>
        </w:r>
        <w:r w:rsidR="001F7B33">
          <w:rPr>
            <w:noProof/>
            <w:webHidden/>
          </w:rPr>
          <w:fldChar w:fldCharType="end"/>
        </w:r>
      </w:hyperlink>
    </w:p>
    <w:p w14:paraId="01C86A95" w14:textId="48D671B6" w:rsidR="001F7B33" w:rsidRDefault="00000000">
      <w:pPr>
        <w:pStyle w:val="TableofFigures"/>
        <w:tabs>
          <w:tab w:val="right" w:leader="dot" w:pos="9016"/>
        </w:tabs>
        <w:rPr>
          <w:rFonts w:eastAsiaTheme="minorEastAsia"/>
          <w:noProof/>
          <w:sz w:val="22"/>
          <w:szCs w:val="22"/>
          <w:lang w:eastAsia="en-GB"/>
        </w:rPr>
      </w:pPr>
      <w:hyperlink w:anchor="_Toc128735617" w:history="1">
        <w:r w:rsidR="001F7B33" w:rsidRPr="00616DB4">
          <w:rPr>
            <w:rStyle w:val="Hyperlink"/>
            <w:noProof/>
          </w:rPr>
          <w:t>Figure 4. Baseline data showing the time taken to complete a medication round pre-implementation</w:t>
        </w:r>
        <w:r w:rsidR="001F7B33">
          <w:rPr>
            <w:noProof/>
            <w:webHidden/>
          </w:rPr>
          <w:tab/>
        </w:r>
        <w:r w:rsidR="001F7B33">
          <w:rPr>
            <w:noProof/>
            <w:webHidden/>
          </w:rPr>
          <w:fldChar w:fldCharType="begin"/>
        </w:r>
        <w:r w:rsidR="001F7B33">
          <w:rPr>
            <w:noProof/>
            <w:webHidden/>
          </w:rPr>
          <w:instrText xml:space="preserve"> PAGEREF _Toc128735617 \h </w:instrText>
        </w:r>
        <w:r w:rsidR="001F7B33">
          <w:rPr>
            <w:noProof/>
            <w:webHidden/>
          </w:rPr>
        </w:r>
        <w:r w:rsidR="001F7B33">
          <w:rPr>
            <w:noProof/>
            <w:webHidden/>
          </w:rPr>
          <w:fldChar w:fldCharType="separate"/>
        </w:r>
        <w:r w:rsidR="001F7B33">
          <w:rPr>
            <w:noProof/>
            <w:webHidden/>
          </w:rPr>
          <w:t>11</w:t>
        </w:r>
        <w:r w:rsidR="001F7B33">
          <w:rPr>
            <w:noProof/>
            <w:webHidden/>
          </w:rPr>
          <w:fldChar w:fldCharType="end"/>
        </w:r>
      </w:hyperlink>
    </w:p>
    <w:p w14:paraId="00AD8BDB" w14:textId="6A4D1B54" w:rsidR="001F7B33" w:rsidRDefault="00000000">
      <w:pPr>
        <w:pStyle w:val="TableofFigures"/>
        <w:tabs>
          <w:tab w:val="right" w:leader="dot" w:pos="9016"/>
        </w:tabs>
        <w:rPr>
          <w:rFonts w:eastAsiaTheme="minorEastAsia"/>
          <w:noProof/>
          <w:sz w:val="22"/>
          <w:szCs w:val="22"/>
          <w:lang w:eastAsia="en-GB"/>
        </w:rPr>
      </w:pPr>
      <w:hyperlink w:anchor="_Toc128735618" w:history="1">
        <w:r w:rsidR="001F7B33" w:rsidRPr="00616DB4">
          <w:rPr>
            <w:rStyle w:val="Hyperlink"/>
            <w:noProof/>
          </w:rPr>
          <w:t>Figure 5. Survey questions issued to prescribers (medical and non-medical)</w:t>
        </w:r>
        <w:r w:rsidR="001F7B33">
          <w:rPr>
            <w:noProof/>
            <w:webHidden/>
          </w:rPr>
          <w:tab/>
        </w:r>
        <w:r w:rsidR="001F7B33">
          <w:rPr>
            <w:noProof/>
            <w:webHidden/>
          </w:rPr>
          <w:fldChar w:fldCharType="begin"/>
        </w:r>
        <w:r w:rsidR="001F7B33">
          <w:rPr>
            <w:noProof/>
            <w:webHidden/>
          </w:rPr>
          <w:instrText xml:space="preserve"> PAGEREF _Toc128735618 \h </w:instrText>
        </w:r>
        <w:r w:rsidR="001F7B33">
          <w:rPr>
            <w:noProof/>
            <w:webHidden/>
          </w:rPr>
        </w:r>
        <w:r w:rsidR="001F7B33">
          <w:rPr>
            <w:noProof/>
            <w:webHidden/>
          </w:rPr>
          <w:fldChar w:fldCharType="separate"/>
        </w:r>
        <w:r w:rsidR="001F7B33">
          <w:rPr>
            <w:noProof/>
            <w:webHidden/>
          </w:rPr>
          <w:t>12</w:t>
        </w:r>
        <w:r w:rsidR="001F7B33">
          <w:rPr>
            <w:noProof/>
            <w:webHidden/>
          </w:rPr>
          <w:fldChar w:fldCharType="end"/>
        </w:r>
      </w:hyperlink>
    </w:p>
    <w:p w14:paraId="1CDB0D1B" w14:textId="729281D4" w:rsidR="001F7B33" w:rsidRDefault="00000000">
      <w:pPr>
        <w:pStyle w:val="TableofFigures"/>
        <w:tabs>
          <w:tab w:val="right" w:leader="dot" w:pos="9016"/>
        </w:tabs>
        <w:rPr>
          <w:rFonts w:eastAsiaTheme="minorEastAsia"/>
          <w:noProof/>
          <w:sz w:val="22"/>
          <w:szCs w:val="22"/>
          <w:lang w:eastAsia="en-GB"/>
        </w:rPr>
      </w:pPr>
      <w:hyperlink w:anchor="_Toc128735619" w:history="1">
        <w:r w:rsidR="001F7B33" w:rsidRPr="00616DB4">
          <w:rPr>
            <w:rStyle w:val="Hyperlink"/>
            <w:noProof/>
          </w:rPr>
          <w:t>Figure 6. Survey questions issued to registered nurses</w:t>
        </w:r>
        <w:r w:rsidR="001F7B33">
          <w:rPr>
            <w:noProof/>
            <w:webHidden/>
          </w:rPr>
          <w:tab/>
        </w:r>
        <w:r w:rsidR="001F7B33">
          <w:rPr>
            <w:noProof/>
            <w:webHidden/>
          </w:rPr>
          <w:fldChar w:fldCharType="begin"/>
        </w:r>
        <w:r w:rsidR="001F7B33">
          <w:rPr>
            <w:noProof/>
            <w:webHidden/>
          </w:rPr>
          <w:instrText xml:space="preserve"> PAGEREF _Toc128735619 \h </w:instrText>
        </w:r>
        <w:r w:rsidR="001F7B33">
          <w:rPr>
            <w:noProof/>
            <w:webHidden/>
          </w:rPr>
        </w:r>
        <w:r w:rsidR="001F7B33">
          <w:rPr>
            <w:noProof/>
            <w:webHidden/>
          </w:rPr>
          <w:fldChar w:fldCharType="separate"/>
        </w:r>
        <w:r w:rsidR="001F7B33">
          <w:rPr>
            <w:noProof/>
            <w:webHidden/>
          </w:rPr>
          <w:t>12</w:t>
        </w:r>
        <w:r w:rsidR="001F7B33">
          <w:rPr>
            <w:noProof/>
            <w:webHidden/>
          </w:rPr>
          <w:fldChar w:fldCharType="end"/>
        </w:r>
      </w:hyperlink>
    </w:p>
    <w:p w14:paraId="1A92864B" w14:textId="16F848AB" w:rsidR="001F7B33" w:rsidRDefault="00000000">
      <w:pPr>
        <w:pStyle w:val="TableofFigures"/>
        <w:tabs>
          <w:tab w:val="right" w:leader="dot" w:pos="9016"/>
        </w:tabs>
        <w:rPr>
          <w:rFonts w:eastAsiaTheme="minorEastAsia"/>
          <w:noProof/>
          <w:sz w:val="22"/>
          <w:szCs w:val="22"/>
          <w:lang w:eastAsia="en-GB"/>
        </w:rPr>
      </w:pPr>
      <w:hyperlink w:anchor="_Toc128735620" w:history="1">
        <w:r w:rsidR="001F7B33" w:rsidRPr="00616DB4">
          <w:rPr>
            <w:rStyle w:val="Hyperlink"/>
            <w:noProof/>
          </w:rPr>
          <w:t>Figure 7. Survey questions issued to pharmacists</w:t>
        </w:r>
        <w:r w:rsidR="001F7B33">
          <w:rPr>
            <w:noProof/>
            <w:webHidden/>
          </w:rPr>
          <w:tab/>
        </w:r>
        <w:r w:rsidR="001F7B33">
          <w:rPr>
            <w:noProof/>
            <w:webHidden/>
          </w:rPr>
          <w:fldChar w:fldCharType="begin"/>
        </w:r>
        <w:r w:rsidR="001F7B33">
          <w:rPr>
            <w:noProof/>
            <w:webHidden/>
          </w:rPr>
          <w:instrText xml:space="preserve"> PAGEREF _Toc128735620 \h </w:instrText>
        </w:r>
        <w:r w:rsidR="001F7B33">
          <w:rPr>
            <w:noProof/>
            <w:webHidden/>
          </w:rPr>
        </w:r>
        <w:r w:rsidR="001F7B33">
          <w:rPr>
            <w:noProof/>
            <w:webHidden/>
          </w:rPr>
          <w:fldChar w:fldCharType="separate"/>
        </w:r>
        <w:r w:rsidR="001F7B33">
          <w:rPr>
            <w:noProof/>
            <w:webHidden/>
          </w:rPr>
          <w:t>13</w:t>
        </w:r>
        <w:r w:rsidR="001F7B33">
          <w:rPr>
            <w:noProof/>
            <w:webHidden/>
          </w:rPr>
          <w:fldChar w:fldCharType="end"/>
        </w:r>
      </w:hyperlink>
    </w:p>
    <w:p w14:paraId="0236A881" w14:textId="24F770DA" w:rsidR="001F7B33" w:rsidRDefault="00000000">
      <w:pPr>
        <w:pStyle w:val="TableofFigures"/>
        <w:tabs>
          <w:tab w:val="right" w:leader="dot" w:pos="9016"/>
        </w:tabs>
        <w:rPr>
          <w:rFonts w:eastAsiaTheme="minorEastAsia"/>
          <w:noProof/>
          <w:sz w:val="22"/>
          <w:szCs w:val="22"/>
          <w:lang w:eastAsia="en-GB"/>
        </w:rPr>
      </w:pPr>
      <w:hyperlink w:anchor="_Toc128735621" w:history="1">
        <w:r w:rsidR="001F7B33" w:rsidRPr="00616DB4">
          <w:rPr>
            <w:rStyle w:val="Hyperlink"/>
            <w:noProof/>
          </w:rPr>
          <w:t>Figure 8. Prescribers’ response to the survey</w:t>
        </w:r>
        <w:r w:rsidR="001F7B33">
          <w:rPr>
            <w:noProof/>
            <w:webHidden/>
          </w:rPr>
          <w:tab/>
        </w:r>
        <w:r w:rsidR="001F7B33">
          <w:rPr>
            <w:noProof/>
            <w:webHidden/>
          </w:rPr>
          <w:fldChar w:fldCharType="begin"/>
        </w:r>
        <w:r w:rsidR="001F7B33">
          <w:rPr>
            <w:noProof/>
            <w:webHidden/>
          </w:rPr>
          <w:instrText xml:space="preserve"> PAGEREF _Toc128735621 \h </w:instrText>
        </w:r>
        <w:r w:rsidR="001F7B33">
          <w:rPr>
            <w:noProof/>
            <w:webHidden/>
          </w:rPr>
        </w:r>
        <w:r w:rsidR="001F7B33">
          <w:rPr>
            <w:noProof/>
            <w:webHidden/>
          </w:rPr>
          <w:fldChar w:fldCharType="separate"/>
        </w:r>
        <w:r w:rsidR="001F7B33">
          <w:rPr>
            <w:noProof/>
            <w:webHidden/>
          </w:rPr>
          <w:t>14</w:t>
        </w:r>
        <w:r w:rsidR="001F7B33">
          <w:rPr>
            <w:noProof/>
            <w:webHidden/>
          </w:rPr>
          <w:fldChar w:fldCharType="end"/>
        </w:r>
      </w:hyperlink>
    </w:p>
    <w:p w14:paraId="05EB1001" w14:textId="09737EE1" w:rsidR="001F7B33" w:rsidRDefault="00000000">
      <w:pPr>
        <w:pStyle w:val="TableofFigures"/>
        <w:tabs>
          <w:tab w:val="right" w:leader="dot" w:pos="9016"/>
        </w:tabs>
        <w:rPr>
          <w:rFonts w:eastAsiaTheme="minorEastAsia"/>
          <w:noProof/>
          <w:sz w:val="22"/>
          <w:szCs w:val="22"/>
          <w:lang w:eastAsia="en-GB"/>
        </w:rPr>
      </w:pPr>
      <w:hyperlink w:anchor="_Toc128735622" w:history="1">
        <w:r w:rsidR="001F7B33" w:rsidRPr="00616DB4">
          <w:rPr>
            <w:rStyle w:val="Hyperlink"/>
            <w:noProof/>
          </w:rPr>
          <w:t>Figure 9. Registered nurse response to the survey</w:t>
        </w:r>
        <w:r w:rsidR="001F7B33">
          <w:rPr>
            <w:noProof/>
            <w:webHidden/>
          </w:rPr>
          <w:tab/>
        </w:r>
        <w:r w:rsidR="001F7B33">
          <w:rPr>
            <w:noProof/>
            <w:webHidden/>
          </w:rPr>
          <w:fldChar w:fldCharType="begin"/>
        </w:r>
        <w:r w:rsidR="001F7B33">
          <w:rPr>
            <w:noProof/>
            <w:webHidden/>
          </w:rPr>
          <w:instrText xml:space="preserve"> PAGEREF _Toc128735622 \h </w:instrText>
        </w:r>
        <w:r w:rsidR="001F7B33">
          <w:rPr>
            <w:noProof/>
            <w:webHidden/>
          </w:rPr>
        </w:r>
        <w:r w:rsidR="001F7B33">
          <w:rPr>
            <w:noProof/>
            <w:webHidden/>
          </w:rPr>
          <w:fldChar w:fldCharType="separate"/>
        </w:r>
        <w:r w:rsidR="001F7B33">
          <w:rPr>
            <w:noProof/>
            <w:webHidden/>
          </w:rPr>
          <w:t>15</w:t>
        </w:r>
        <w:r w:rsidR="001F7B33">
          <w:rPr>
            <w:noProof/>
            <w:webHidden/>
          </w:rPr>
          <w:fldChar w:fldCharType="end"/>
        </w:r>
      </w:hyperlink>
    </w:p>
    <w:p w14:paraId="25D1BBDD" w14:textId="13FA862A" w:rsidR="001F7B33" w:rsidRDefault="00000000">
      <w:pPr>
        <w:pStyle w:val="TableofFigures"/>
        <w:tabs>
          <w:tab w:val="right" w:leader="dot" w:pos="9016"/>
        </w:tabs>
        <w:rPr>
          <w:rFonts w:eastAsiaTheme="minorEastAsia"/>
          <w:noProof/>
          <w:sz w:val="22"/>
          <w:szCs w:val="22"/>
          <w:lang w:eastAsia="en-GB"/>
        </w:rPr>
      </w:pPr>
      <w:hyperlink w:anchor="_Toc128735623" w:history="1">
        <w:r w:rsidR="001F7B33" w:rsidRPr="00616DB4">
          <w:rPr>
            <w:rStyle w:val="Hyperlink"/>
            <w:noProof/>
          </w:rPr>
          <w:t>Figure 10. Pharmacist response to the survey</w:t>
        </w:r>
        <w:r w:rsidR="001F7B33">
          <w:rPr>
            <w:noProof/>
            <w:webHidden/>
          </w:rPr>
          <w:tab/>
        </w:r>
        <w:r w:rsidR="001F7B33">
          <w:rPr>
            <w:noProof/>
            <w:webHidden/>
          </w:rPr>
          <w:fldChar w:fldCharType="begin"/>
        </w:r>
        <w:r w:rsidR="001F7B33">
          <w:rPr>
            <w:noProof/>
            <w:webHidden/>
          </w:rPr>
          <w:instrText xml:space="preserve"> PAGEREF _Toc128735623 \h </w:instrText>
        </w:r>
        <w:r w:rsidR="001F7B33">
          <w:rPr>
            <w:noProof/>
            <w:webHidden/>
          </w:rPr>
        </w:r>
        <w:r w:rsidR="001F7B33">
          <w:rPr>
            <w:noProof/>
            <w:webHidden/>
          </w:rPr>
          <w:fldChar w:fldCharType="separate"/>
        </w:r>
        <w:r w:rsidR="001F7B33">
          <w:rPr>
            <w:noProof/>
            <w:webHidden/>
          </w:rPr>
          <w:t>16</w:t>
        </w:r>
        <w:r w:rsidR="001F7B33">
          <w:rPr>
            <w:noProof/>
            <w:webHidden/>
          </w:rPr>
          <w:fldChar w:fldCharType="end"/>
        </w:r>
      </w:hyperlink>
    </w:p>
    <w:p w14:paraId="7A20D6AA" w14:textId="3616B6A1" w:rsidR="001F7B33" w:rsidRDefault="00000000">
      <w:pPr>
        <w:pStyle w:val="TableofFigures"/>
        <w:tabs>
          <w:tab w:val="right" w:leader="dot" w:pos="9016"/>
        </w:tabs>
        <w:rPr>
          <w:rFonts w:eastAsiaTheme="minorEastAsia"/>
          <w:noProof/>
          <w:sz w:val="22"/>
          <w:szCs w:val="22"/>
          <w:lang w:eastAsia="en-GB"/>
        </w:rPr>
      </w:pPr>
      <w:hyperlink w:anchor="_Toc128735624" w:history="1">
        <w:r w:rsidR="001F7B33" w:rsidRPr="00616DB4">
          <w:rPr>
            <w:rStyle w:val="Hyperlink"/>
            <w:noProof/>
          </w:rPr>
          <w:t>Figure 11. PRISMA flow diagram showing literature search and inclusion/exclusion process</w:t>
        </w:r>
        <w:r w:rsidR="001F7B33">
          <w:rPr>
            <w:noProof/>
            <w:webHidden/>
          </w:rPr>
          <w:tab/>
        </w:r>
        <w:r w:rsidR="001F7B33">
          <w:rPr>
            <w:noProof/>
            <w:webHidden/>
          </w:rPr>
          <w:fldChar w:fldCharType="begin"/>
        </w:r>
        <w:r w:rsidR="001F7B33">
          <w:rPr>
            <w:noProof/>
            <w:webHidden/>
          </w:rPr>
          <w:instrText xml:space="preserve"> PAGEREF _Toc128735624 \h </w:instrText>
        </w:r>
        <w:r w:rsidR="001F7B33">
          <w:rPr>
            <w:noProof/>
            <w:webHidden/>
          </w:rPr>
        </w:r>
        <w:r w:rsidR="001F7B33">
          <w:rPr>
            <w:noProof/>
            <w:webHidden/>
          </w:rPr>
          <w:fldChar w:fldCharType="separate"/>
        </w:r>
        <w:r w:rsidR="001F7B33">
          <w:rPr>
            <w:noProof/>
            <w:webHidden/>
          </w:rPr>
          <w:t>17</w:t>
        </w:r>
        <w:r w:rsidR="001F7B33">
          <w:rPr>
            <w:noProof/>
            <w:webHidden/>
          </w:rPr>
          <w:fldChar w:fldCharType="end"/>
        </w:r>
      </w:hyperlink>
    </w:p>
    <w:p w14:paraId="58D838B5" w14:textId="670DBF36" w:rsidR="001F7B33" w:rsidRDefault="00000000">
      <w:pPr>
        <w:pStyle w:val="TableofFigures"/>
        <w:tabs>
          <w:tab w:val="right" w:leader="dot" w:pos="9016"/>
        </w:tabs>
        <w:rPr>
          <w:rFonts w:eastAsiaTheme="minorEastAsia"/>
          <w:noProof/>
          <w:sz w:val="22"/>
          <w:szCs w:val="22"/>
          <w:lang w:eastAsia="en-GB"/>
        </w:rPr>
      </w:pPr>
      <w:hyperlink w:anchor="_Toc128735625" w:history="1">
        <w:r w:rsidR="001F7B33" w:rsidRPr="00616DB4">
          <w:rPr>
            <w:rStyle w:val="Hyperlink"/>
            <w:noProof/>
          </w:rPr>
          <w:t>Figure 12. Summary of findings, time in motion studies</w:t>
        </w:r>
        <w:r w:rsidR="001F7B33">
          <w:rPr>
            <w:noProof/>
            <w:webHidden/>
          </w:rPr>
          <w:tab/>
        </w:r>
        <w:r w:rsidR="001F7B33">
          <w:rPr>
            <w:noProof/>
            <w:webHidden/>
          </w:rPr>
          <w:fldChar w:fldCharType="begin"/>
        </w:r>
        <w:r w:rsidR="001F7B33">
          <w:rPr>
            <w:noProof/>
            <w:webHidden/>
          </w:rPr>
          <w:instrText xml:space="preserve"> PAGEREF _Toc128735625 \h </w:instrText>
        </w:r>
        <w:r w:rsidR="001F7B33">
          <w:rPr>
            <w:noProof/>
            <w:webHidden/>
          </w:rPr>
        </w:r>
        <w:r w:rsidR="001F7B33">
          <w:rPr>
            <w:noProof/>
            <w:webHidden/>
          </w:rPr>
          <w:fldChar w:fldCharType="separate"/>
        </w:r>
        <w:r w:rsidR="001F7B33">
          <w:rPr>
            <w:noProof/>
            <w:webHidden/>
          </w:rPr>
          <w:t>19</w:t>
        </w:r>
        <w:r w:rsidR="001F7B33">
          <w:rPr>
            <w:noProof/>
            <w:webHidden/>
          </w:rPr>
          <w:fldChar w:fldCharType="end"/>
        </w:r>
      </w:hyperlink>
    </w:p>
    <w:p w14:paraId="7A0468D1" w14:textId="5972E40B" w:rsidR="001F7B33" w:rsidRDefault="00000000">
      <w:pPr>
        <w:pStyle w:val="TableofFigures"/>
        <w:tabs>
          <w:tab w:val="right" w:leader="dot" w:pos="9016"/>
        </w:tabs>
        <w:rPr>
          <w:rFonts w:eastAsiaTheme="minorEastAsia"/>
          <w:noProof/>
          <w:sz w:val="22"/>
          <w:szCs w:val="22"/>
          <w:lang w:eastAsia="en-GB"/>
        </w:rPr>
      </w:pPr>
      <w:hyperlink w:anchor="_Toc128735626" w:history="1">
        <w:r w:rsidR="001F7B33" w:rsidRPr="00616DB4">
          <w:rPr>
            <w:rStyle w:val="Hyperlink"/>
            <w:noProof/>
          </w:rPr>
          <w:t>Figure 13. Errors in Prescribing and medicines administration</w:t>
        </w:r>
        <w:r w:rsidR="001F7B33">
          <w:rPr>
            <w:noProof/>
            <w:webHidden/>
          </w:rPr>
          <w:tab/>
        </w:r>
        <w:r w:rsidR="001F7B33">
          <w:rPr>
            <w:noProof/>
            <w:webHidden/>
          </w:rPr>
          <w:fldChar w:fldCharType="begin"/>
        </w:r>
        <w:r w:rsidR="001F7B33">
          <w:rPr>
            <w:noProof/>
            <w:webHidden/>
          </w:rPr>
          <w:instrText xml:space="preserve"> PAGEREF _Toc128735626 \h </w:instrText>
        </w:r>
        <w:r w:rsidR="001F7B33">
          <w:rPr>
            <w:noProof/>
            <w:webHidden/>
          </w:rPr>
        </w:r>
        <w:r w:rsidR="001F7B33">
          <w:rPr>
            <w:noProof/>
            <w:webHidden/>
          </w:rPr>
          <w:fldChar w:fldCharType="separate"/>
        </w:r>
        <w:r w:rsidR="001F7B33">
          <w:rPr>
            <w:noProof/>
            <w:webHidden/>
          </w:rPr>
          <w:t>20</w:t>
        </w:r>
        <w:r w:rsidR="001F7B33">
          <w:rPr>
            <w:noProof/>
            <w:webHidden/>
          </w:rPr>
          <w:fldChar w:fldCharType="end"/>
        </w:r>
      </w:hyperlink>
    </w:p>
    <w:p w14:paraId="16361DCD" w14:textId="1988514D" w:rsidR="001F7B33" w:rsidRDefault="00000000">
      <w:pPr>
        <w:pStyle w:val="TableofFigures"/>
        <w:tabs>
          <w:tab w:val="right" w:leader="dot" w:pos="9016"/>
        </w:tabs>
        <w:rPr>
          <w:rFonts w:eastAsiaTheme="minorEastAsia"/>
          <w:noProof/>
          <w:sz w:val="22"/>
          <w:szCs w:val="22"/>
          <w:lang w:eastAsia="en-GB"/>
        </w:rPr>
      </w:pPr>
      <w:hyperlink w:anchor="_Toc128735627" w:history="1">
        <w:r w:rsidR="001F7B33" w:rsidRPr="00616DB4">
          <w:rPr>
            <w:rStyle w:val="Hyperlink"/>
            <w:noProof/>
          </w:rPr>
          <w:t>Figure 14. The TPOM framework (Creswell, Williams and Sheikh, 2020)</w:t>
        </w:r>
        <w:r w:rsidR="001F7B33">
          <w:rPr>
            <w:noProof/>
            <w:webHidden/>
          </w:rPr>
          <w:tab/>
        </w:r>
        <w:r w:rsidR="001F7B33">
          <w:rPr>
            <w:noProof/>
            <w:webHidden/>
          </w:rPr>
          <w:fldChar w:fldCharType="begin"/>
        </w:r>
        <w:r w:rsidR="001F7B33">
          <w:rPr>
            <w:noProof/>
            <w:webHidden/>
          </w:rPr>
          <w:instrText xml:space="preserve"> PAGEREF _Toc128735627 \h </w:instrText>
        </w:r>
        <w:r w:rsidR="001F7B33">
          <w:rPr>
            <w:noProof/>
            <w:webHidden/>
          </w:rPr>
        </w:r>
        <w:r w:rsidR="001F7B33">
          <w:rPr>
            <w:noProof/>
            <w:webHidden/>
          </w:rPr>
          <w:fldChar w:fldCharType="separate"/>
        </w:r>
        <w:r w:rsidR="001F7B33">
          <w:rPr>
            <w:noProof/>
            <w:webHidden/>
          </w:rPr>
          <w:t>21</w:t>
        </w:r>
        <w:r w:rsidR="001F7B33">
          <w:rPr>
            <w:noProof/>
            <w:webHidden/>
          </w:rPr>
          <w:fldChar w:fldCharType="end"/>
        </w:r>
      </w:hyperlink>
    </w:p>
    <w:p w14:paraId="069EBA30" w14:textId="23DF33AF" w:rsidR="00CD3BF4" w:rsidRDefault="004E0C98" w:rsidP="00FA3FE5">
      <w:pPr>
        <w:pStyle w:val="Heading1"/>
      </w:pPr>
      <w:r>
        <w:lastRenderedPageBreak/>
        <w:fldChar w:fldCharType="end"/>
      </w:r>
      <w:bookmarkStart w:id="0" w:name="_Toc128739198"/>
      <w:r w:rsidR="00CD3BF4">
        <w:t>Introduction</w:t>
      </w:r>
      <w:bookmarkEnd w:id="0"/>
      <w:r w:rsidR="00CD3BF4">
        <w:t xml:space="preserve"> </w:t>
      </w:r>
    </w:p>
    <w:p w14:paraId="018310DE" w14:textId="58402B07" w:rsidR="00CE2113" w:rsidRDefault="00CE2113"/>
    <w:p w14:paraId="196B37DC" w14:textId="00A26337" w:rsidR="001B36DF" w:rsidRDefault="001B36DF" w:rsidP="001B36DF">
      <w:pPr>
        <w:spacing w:line="360" w:lineRule="auto"/>
        <w:jc w:val="both"/>
      </w:pPr>
      <w:r>
        <w:t>Historically, across NHS Wales, medicines management relied on paper-based processes, utilising the Inpatient Medication Administration Record</w:t>
      </w:r>
      <w:r w:rsidR="002F434C">
        <w:t xml:space="preserve"> (appendix 1)</w:t>
      </w:r>
      <w:r>
        <w:t>, which was developed in collaboration with the All-Wales Chief Pharmacist Committee. Evidence suggests</w:t>
      </w:r>
      <w:r w:rsidR="0012593D">
        <w:t xml:space="preserve"> a plethora of</w:t>
      </w:r>
      <w:r>
        <w:t xml:space="preserve"> problems associated with the paper-based medicines management process (Welsh Government, 2018; Vaghasiya </w:t>
      </w:r>
      <w:r w:rsidRPr="00DB3DAA">
        <w:rPr>
          <w:i/>
          <w:iCs/>
        </w:rPr>
        <w:t>et al</w:t>
      </w:r>
      <w:r>
        <w:t xml:space="preserve">. 2021; Austin </w:t>
      </w:r>
      <w:r w:rsidRPr="00DB3DAA">
        <w:rPr>
          <w:i/>
          <w:iCs/>
        </w:rPr>
        <w:t>et al</w:t>
      </w:r>
      <w:r>
        <w:t xml:space="preserve">. 2018), including medication errors, illegible handwriting, and missing medication records. The root cause analysis (RCA) using Ishikawa’s fishbone diagram (Figure 1) offers a more detailed analysis of the </w:t>
      </w:r>
      <w:r w:rsidR="002F434C">
        <w:t xml:space="preserve">potential causes and contributing </w:t>
      </w:r>
      <w:r>
        <w:t>factors that</w:t>
      </w:r>
      <w:r w:rsidR="002F434C">
        <w:t xml:space="preserve"> may </w:t>
      </w:r>
      <w:r>
        <w:t xml:space="preserve">compromise patient safety. </w:t>
      </w:r>
    </w:p>
    <w:p w14:paraId="414ABE9A" w14:textId="77777777" w:rsidR="001B36DF" w:rsidRDefault="001B36DF" w:rsidP="001B36DF">
      <w:pPr>
        <w:spacing w:line="360" w:lineRule="auto"/>
        <w:jc w:val="both"/>
      </w:pPr>
    </w:p>
    <w:p w14:paraId="6E14E35B" w14:textId="77777777" w:rsidR="001F7B33" w:rsidRDefault="001B36DF" w:rsidP="001F7B33">
      <w:pPr>
        <w:keepNext/>
        <w:spacing w:line="360" w:lineRule="auto"/>
        <w:jc w:val="both"/>
      </w:pPr>
      <w:r>
        <w:rPr>
          <w:noProof/>
        </w:rPr>
        <w:drawing>
          <wp:inline distT="0" distB="0" distL="0" distR="0" wp14:anchorId="05FD5D17" wp14:editId="63E8EE3B">
            <wp:extent cx="5731510" cy="3041650"/>
            <wp:effectExtent l="0" t="0" r="0" b="635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9"/>
                    <a:stretch>
                      <a:fillRect/>
                    </a:stretch>
                  </pic:blipFill>
                  <pic:spPr>
                    <a:xfrm>
                      <a:off x="0" y="0"/>
                      <a:ext cx="5731510" cy="3041650"/>
                    </a:xfrm>
                    <a:prstGeom prst="rect">
                      <a:avLst/>
                    </a:prstGeom>
                  </pic:spPr>
                </pic:pic>
              </a:graphicData>
            </a:graphic>
          </wp:inline>
        </w:drawing>
      </w:r>
    </w:p>
    <w:p w14:paraId="6B7EDEF4" w14:textId="70051335" w:rsidR="001B36DF" w:rsidRPr="001F7B33" w:rsidRDefault="001F7B33" w:rsidP="001F7B33">
      <w:pPr>
        <w:pStyle w:val="Caption"/>
        <w:jc w:val="both"/>
        <w:rPr>
          <w:sz w:val="22"/>
          <w:szCs w:val="22"/>
        </w:rPr>
      </w:pPr>
      <w:bookmarkStart w:id="1" w:name="_Toc128735614"/>
      <w:r w:rsidRPr="001F7B33">
        <w:rPr>
          <w:sz w:val="22"/>
          <w:szCs w:val="22"/>
        </w:rPr>
        <w:t xml:space="preserve">Figure </w:t>
      </w:r>
      <w:r w:rsidRPr="001F7B33">
        <w:rPr>
          <w:sz w:val="22"/>
          <w:szCs w:val="22"/>
        </w:rPr>
        <w:fldChar w:fldCharType="begin"/>
      </w:r>
      <w:r w:rsidRPr="001F7B33">
        <w:rPr>
          <w:sz w:val="22"/>
          <w:szCs w:val="22"/>
        </w:rPr>
        <w:instrText xml:space="preserve"> SEQ Figure \* ARABIC </w:instrText>
      </w:r>
      <w:r w:rsidRPr="001F7B33">
        <w:rPr>
          <w:sz w:val="22"/>
          <w:szCs w:val="22"/>
        </w:rPr>
        <w:fldChar w:fldCharType="separate"/>
      </w:r>
      <w:r w:rsidRPr="001F7B33">
        <w:rPr>
          <w:noProof/>
          <w:sz w:val="22"/>
          <w:szCs w:val="22"/>
        </w:rPr>
        <w:t>1</w:t>
      </w:r>
      <w:r w:rsidRPr="001F7B33">
        <w:rPr>
          <w:sz w:val="22"/>
          <w:szCs w:val="22"/>
        </w:rPr>
        <w:fldChar w:fldCharType="end"/>
      </w:r>
      <w:r w:rsidRPr="001F7B33">
        <w:rPr>
          <w:sz w:val="22"/>
          <w:szCs w:val="22"/>
        </w:rPr>
        <w:t>. Figure 1. Fishbone diagram developed by Karou Ishikawa (1960), RCA of factors contributing to compromised patient safety.</w:t>
      </w:r>
      <w:bookmarkEnd w:id="1"/>
    </w:p>
    <w:p w14:paraId="004D4DDE" w14:textId="30B0EEE1" w:rsidR="002F434C" w:rsidRDefault="002F434C" w:rsidP="002F434C"/>
    <w:p w14:paraId="0EC8EE2E" w14:textId="3B3BA633" w:rsidR="002F434C" w:rsidRPr="002F434C" w:rsidRDefault="002F434C" w:rsidP="007346A9">
      <w:pPr>
        <w:spacing w:line="360" w:lineRule="auto"/>
        <w:jc w:val="both"/>
      </w:pPr>
      <w:r>
        <w:t xml:space="preserve">By successfully implementing a software product to digitalise the medicines management process, many benefits could </w:t>
      </w:r>
      <w:r w:rsidR="007346A9">
        <w:t xml:space="preserve">be realised (Welsh Government, 2018), including improved efficiency, workflow and patient safety will be enhanced by removing paper-based processes, contributing to the provision of seamless patient care. </w:t>
      </w:r>
    </w:p>
    <w:p w14:paraId="4FCAB0A1" w14:textId="70C4F8B7" w:rsidR="001B36DF" w:rsidRDefault="001B36DF" w:rsidP="001B36DF">
      <w:pPr>
        <w:spacing w:line="360" w:lineRule="auto"/>
        <w:jc w:val="both"/>
      </w:pPr>
    </w:p>
    <w:p w14:paraId="4F86661D" w14:textId="77777777" w:rsidR="0012593D" w:rsidRDefault="0012593D" w:rsidP="001B36DF">
      <w:pPr>
        <w:spacing w:line="360" w:lineRule="auto"/>
        <w:jc w:val="both"/>
      </w:pPr>
    </w:p>
    <w:p w14:paraId="27C303FD" w14:textId="59814897" w:rsidR="001B36DF" w:rsidRDefault="001B36DF" w:rsidP="001B36DF">
      <w:pPr>
        <w:spacing w:line="360" w:lineRule="auto"/>
        <w:jc w:val="both"/>
      </w:pPr>
      <w:r>
        <w:lastRenderedPageBreak/>
        <w:t xml:space="preserve">For this assignment, a software product adopted by Swansea Bay University Health Board (SBUHB) will be critically analysed. The software product is the electronic Prescription and Medication Administration (ePMA) system. The functionality, benefits, and limitations of the ePMA system will form part of the critical analysis using the Fit between Individual, Task and Technology (FITT) framework. </w:t>
      </w:r>
    </w:p>
    <w:p w14:paraId="147E8C06" w14:textId="77777777" w:rsidR="009C3418" w:rsidRDefault="009C3418" w:rsidP="00B17F65">
      <w:pPr>
        <w:pStyle w:val="Heading2"/>
      </w:pPr>
    </w:p>
    <w:p w14:paraId="1DA87BD2" w14:textId="287E6893" w:rsidR="001E0E6E" w:rsidRDefault="001E0E6E" w:rsidP="00B17F65">
      <w:pPr>
        <w:pStyle w:val="Heading2"/>
      </w:pPr>
      <w:bookmarkStart w:id="2" w:name="_Toc128739199"/>
      <w:r>
        <w:t>Service Context</w:t>
      </w:r>
      <w:bookmarkEnd w:id="2"/>
      <w:r>
        <w:t xml:space="preserve"> </w:t>
      </w:r>
    </w:p>
    <w:p w14:paraId="2E296D95" w14:textId="3ECDE744" w:rsidR="001810AB" w:rsidRDefault="001810AB" w:rsidP="001E0E6E">
      <w:pPr>
        <w:spacing w:line="360" w:lineRule="auto"/>
        <w:jc w:val="both"/>
      </w:pPr>
      <w:r>
        <w:t>SBUH</w:t>
      </w:r>
      <w:r w:rsidR="00CD2C42">
        <w:t>B</w:t>
      </w:r>
      <w:r>
        <w:t xml:space="preserve"> is part of NHS Wales</w:t>
      </w:r>
      <w:r w:rsidR="00B741F3">
        <w:t xml:space="preserve"> and </w:t>
      </w:r>
      <w:r>
        <w:t xml:space="preserve">serves around 390,000 people in the Neath, Port </w:t>
      </w:r>
      <w:r w:rsidR="005F67E2">
        <w:t>Talbot,</w:t>
      </w:r>
      <w:r>
        <w:t xml:space="preserve"> and Swansea areas, as illustrated in Figure </w:t>
      </w:r>
      <w:r w:rsidR="008E23CA">
        <w:t>2</w:t>
      </w:r>
      <w:r>
        <w:t>.</w:t>
      </w:r>
      <w:r w:rsidR="00811E71">
        <w:t xml:space="preserve"> </w:t>
      </w:r>
      <w:r>
        <w:t>With a budget of approximately £1bn</w:t>
      </w:r>
      <w:r w:rsidR="004C646D">
        <w:t>,</w:t>
      </w:r>
      <w:r>
        <w:t xml:space="preserve"> they employ around 12,500 staff within their hierarchical structure, 70</w:t>
      </w:r>
      <w:r w:rsidR="005F67E2">
        <w:t>% of</w:t>
      </w:r>
      <w:r w:rsidR="00057C21">
        <w:t xml:space="preserve"> whom are </w:t>
      </w:r>
      <w:r>
        <w:t xml:space="preserve">directly involved in patient care. </w:t>
      </w:r>
    </w:p>
    <w:p w14:paraId="4E983D47" w14:textId="77777777" w:rsidR="002F2B60" w:rsidRDefault="002F2B60" w:rsidP="001810AB">
      <w:pPr>
        <w:spacing w:line="360" w:lineRule="auto"/>
        <w:jc w:val="both"/>
      </w:pPr>
    </w:p>
    <w:p w14:paraId="64BDC792" w14:textId="77777777" w:rsidR="00DD408F" w:rsidRDefault="001810AB" w:rsidP="00DD408F">
      <w:pPr>
        <w:keepNext/>
        <w:spacing w:line="360" w:lineRule="auto"/>
        <w:jc w:val="center"/>
      </w:pPr>
      <w:r w:rsidRPr="00B42C77">
        <w:rPr>
          <w:noProof/>
        </w:rPr>
        <w:drawing>
          <wp:inline distT="0" distB="0" distL="0" distR="0" wp14:anchorId="67340349" wp14:editId="516F071F">
            <wp:extent cx="2459990" cy="2937510"/>
            <wp:effectExtent l="0" t="0" r="381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459990" cy="2937510"/>
                    </a:xfrm>
                    <a:prstGeom prst="rect">
                      <a:avLst/>
                    </a:prstGeom>
                  </pic:spPr>
                </pic:pic>
              </a:graphicData>
            </a:graphic>
          </wp:inline>
        </w:drawing>
      </w:r>
    </w:p>
    <w:p w14:paraId="46E20058" w14:textId="0B3A1B46" w:rsidR="001810AB" w:rsidRPr="004E6E7C" w:rsidRDefault="00DD408F" w:rsidP="00DD408F">
      <w:pPr>
        <w:pStyle w:val="Caption"/>
        <w:jc w:val="center"/>
        <w:rPr>
          <w:sz w:val="22"/>
          <w:szCs w:val="22"/>
        </w:rPr>
      </w:pPr>
      <w:r w:rsidRPr="004E6E7C">
        <w:rPr>
          <w:sz w:val="22"/>
          <w:szCs w:val="22"/>
        </w:rPr>
        <w:t xml:space="preserve">Figure </w:t>
      </w:r>
      <w:r w:rsidR="008E23CA">
        <w:rPr>
          <w:sz w:val="22"/>
          <w:szCs w:val="22"/>
        </w:rPr>
        <w:t>2</w:t>
      </w:r>
      <w:r w:rsidRPr="004E6E7C">
        <w:rPr>
          <w:sz w:val="22"/>
          <w:szCs w:val="22"/>
        </w:rPr>
        <w:t xml:space="preserve">. </w:t>
      </w:r>
      <w:r w:rsidR="00B741F3">
        <w:rPr>
          <w:sz w:val="22"/>
          <w:szCs w:val="22"/>
        </w:rPr>
        <w:t>T</w:t>
      </w:r>
      <w:r w:rsidRPr="004E6E7C">
        <w:rPr>
          <w:sz w:val="22"/>
          <w:szCs w:val="22"/>
        </w:rPr>
        <w:t xml:space="preserve">he service area of </w:t>
      </w:r>
      <w:r w:rsidR="004E6E7C" w:rsidRPr="004E6E7C">
        <w:rPr>
          <w:sz w:val="22"/>
          <w:szCs w:val="22"/>
        </w:rPr>
        <w:t>Swansea</w:t>
      </w:r>
      <w:r w:rsidRPr="004E6E7C">
        <w:rPr>
          <w:sz w:val="22"/>
          <w:szCs w:val="22"/>
        </w:rPr>
        <w:t xml:space="preserve"> Bay University Health Board</w:t>
      </w:r>
    </w:p>
    <w:p w14:paraId="5C323347" w14:textId="77777777" w:rsidR="001810AB" w:rsidRDefault="001810AB" w:rsidP="001E0E6E">
      <w:pPr>
        <w:spacing w:line="360" w:lineRule="auto"/>
        <w:jc w:val="both"/>
      </w:pPr>
    </w:p>
    <w:p w14:paraId="6CFEA410" w14:textId="1F4F53BE" w:rsidR="00FA21E1" w:rsidRDefault="0004239D" w:rsidP="001E0E6E">
      <w:pPr>
        <w:spacing w:line="360" w:lineRule="auto"/>
        <w:jc w:val="both"/>
      </w:pPr>
      <w:r>
        <w:t>Within SBUHB are three major District General Hospitals (DGH), including Morriston Hospital, located in Swansea, a regional acute tertiary hospital comprising 750 beds, offering a range of specialist services</w:t>
      </w:r>
      <w:r w:rsidR="005A3242">
        <w:t>. Singleton</w:t>
      </w:r>
      <w:r>
        <w:t xml:space="preserve"> a </w:t>
      </w:r>
      <w:r w:rsidR="001B36DF">
        <w:t xml:space="preserve">DGH </w:t>
      </w:r>
      <w:r>
        <w:t xml:space="preserve">comprising approximately 330 inpatient beds and provides </w:t>
      </w:r>
      <w:r w:rsidR="002B6F5D">
        <w:t>various</w:t>
      </w:r>
      <w:r w:rsidR="004E6E7C">
        <w:t xml:space="preserve"> medical</w:t>
      </w:r>
      <w:r w:rsidR="0002379C">
        <w:t>,</w:t>
      </w:r>
      <w:r w:rsidR="004E6E7C">
        <w:t xml:space="preserve"> surgical</w:t>
      </w:r>
      <w:r w:rsidR="0002379C">
        <w:t>, inpatient and outpatient</w:t>
      </w:r>
      <w:r>
        <w:t xml:space="preserve"> services</w:t>
      </w:r>
      <w:r w:rsidR="00B741F3">
        <w:t xml:space="preserve"> </w:t>
      </w:r>
      <w:r w:rsidR="007B492D">
        <w:t>and Neath</w:t>
      </w:r>
      <w:r>
        <w:t xml:space="preserve"> Port Talbot hospital</w:t>
      </w:r>
      <w:r w:rsidR="00FA5E6B">
        <w:t xml:space="preserve"> (NPTH)</w:t>
      </w:r>
      <w:r>
        <w:t xml:space="preserve"> </w:t>
      </w:r>
      <w:r w:rsidR="003959F0">
        <w:t>i</w:t>
      </w:r>
      <w:r>
        <w:t xml:space="preserve">n Port Talbot </w:t>
      </w:r>
      <w:r w:rsidR="00B741F3">
        <w:t>which</w:t>
      </w:r>
      <w:r>
        <w:t xml:space="preserve"> has around 200 beds, providing a range of inpatient, outpatient, and day services. </w:t>
      </w:r>
    </w:p>
    <w:p w14:paraId="1FD217CB" w14:textId="77777777" w:rsidR="00FA21E1" w:rsidRDefault="00FA21E1" w:rsidP="001E0E6E">
      <w:pPr>
        <w:spacing w:line="360" w:lineRule="auto"/>
        <w:jc w:val="both"/>
      </w:pPr>
    </w:p>
    <w:p w14:paraId="2B8127A1" w14:textId="0518052C" w:rsidR="007F5CE3" w:rsidRDefault="001314DC" w:rsidP="00B17F65">
      <w:pPr>
        <w:spacing w:line="360" w:lineRule="auto"/>
        <w:jc w:val="both"/>
      </w:pPr>
      <w:r>
        <w:lastRenderedPageBreak/>
        <w:t xml:space="preserve">In NPTH and Singleton, </w:t>
      </w:r>
      <w:r w:rsidR="007749FB">
        <w:t>3,942</w:t>
      </w:r>
      <w:r w:rsidR="002B6F5D">
        <w:t xml:space="preserve"> patients</w:t>
      </w:r>
      <w:r>
        <w:t xml:space="preserve"> are admitted </w:t>
      </w:r>
      <w:r w:rsidR="002B6F5D">
        <w:t>annually</w:t>
      </w:r>
      <w:r w:rsidR="007749FB">
        <w:t xml:space="preserve">, and virtually all </w:t>
      </w:r>
      <w:r w:rsidR="002B6F5D">
        <w:t>patients</w:t>
      </w:r>
      <w:r w:rsidR="007749FB">
        <w:t xml:space="preserve"> </w:t>
      </w:r>
      <w:r w:rsidR="002B6F5D">
        <w:t>have</w:t>
      </w:r>
      <w:r w:rsidR="007749FB">
        <w:t xml:space="preserve"> one or more </w:t>
      </w:r>
      <w:r w:rsidR="0002379C">
        <w:t>medications</w:t>
      </w:r>
      <w:r w:rsidR="002B6F5D">
        <w:t xml:space="preserve"> prescribed</w:t>
      </w:r>
      <w:r w:rsidR="007749FB">
        <w:t xml:space="preserve"> (Connelly and Cotterell, 2019)</w:t>
      </w:r>
      <w:r w:rsidR="002B6F5D">
        <w:t xml:space="preserve">, </w:t>
      </w:r>
      <w:r w:rsidR="007749FB">
        <w:t>equat</w:t>
      </w:r>
      <w:r w:rsidR="002B6F5D">
        <w:t>ing</w:t>
      </w:r>
      <w:r w:rsidR="007749FB">
        <w:t xml:space="preserve"> to 121,921 individual medications and 1,245,673 medication doses administered by registered nurses </w:t>
      </w:r>
      <w:r w:rsidR="004E6E7C">
        <w:t xml:space="preserve">annually </w:t>
      </w:r>
      <w:r w:rsidR="00EA5663">
        <w:t>(Thomas,</w:t>
      </w:r>
      <w:r w:rsidR="005D62EA">
        <w:t xml:space="preserve"> </w:t>
      </w:r>
      <w:r w:rsidR="00EA5663">
        <w:t>2022).</w:t>
      </w:r>
      <w:r w:rsidR="007749FB">
        <w:t xml:space="preserve"> </w:t>
      </w:r>
      <w:r w:rsidR="0004239D" w:rsidRPr="00A83F6C">
        <w:t>A multidisciplinary team</w:t>
      </w:r>
      <w:r w:rsidR="007027FB" w:rsidRPr="00A83F6C">
        <w:t xml:space="preserve"> </w:t>
      </w:r>
      <w:r w:rsidR="0004239D" w:rsidRPr="00A83F6C">
        <w:t>support the holistic care and treatment of the patients admitted to the inpatient wards.</w:t>
      </w:r>
      <w:r w:rsidR="00811E71" w:rsidRPr="00A83F6C">
        <w:t xml:space="preserve"> </w:t>
      </w:r>
      <w:r w:rsidR="0004239D" w:rsidRPr="00A83F6C">
        <w:t>As a result, several healthcare professionals may simultaneously need access to the paper medication record.</w:t>
      </w:r>
      <w:r w:rsidR="00811E71" w:rsidRPr="00A83F6C">
        <w:t xml:space="preserve"> </w:t>
      </w:r>
      <w:r w:rsidR="007027FB" w:rsidRPr="00A83F6C">
        <w:t>Therefore, m</w:t>
      </w:r>
      <w:r w:rsidR="004C646D" w:rsidRPr="00A83F6C">
        <w:t>edication errors are likely to occur with</w:t>
      </w:r>
      <w:r w:rsidR="0004239D" w:rsidRPr="00A83F6C">
        <w:t xml:space="preserve"> multiple people involved, including omission or delayed </w:t>
      </w:r>
      <w:r w:rsidR="004C646D" w:rsidRPr="00A83F6C">
        <w:t>medication administration</w:t>
      </w:r>
      <w:r w:rsidR="007027FB" w:rsidRPr="00A83F6C">
        <w:t xml:space="preserve"> when t</w:t>
      </w:r>
      <w:r w:rsidR="004C646D" w:rsidRPr="00A83F6C">
        <w:t>he</w:t>
      </w:r>
      <w:r w:rsidR="0004239D" w:rsidRPr="00A83F6C">
        <w:t xml:space="preserve"> chart is </w:t>
      </w:r>
      <w:r w:rsidR="004C646D" w:rsidRPr="00A83F6C">
        <w:t>unavailable</w:t>
      </w:r>
      <w:r w:rsidR="0004239D" w:rsidRPr="00A83F6C">
        <w:t xml:space="preserve"> to the registered nurse </w:t>
      </w:r>
      <w:r w:rsidR="007027FB" w:rsidRPr="00A83F6C">
        <w:t xml:space="preserve">during scheduled medication rounds </w:t>
      </w:r>
      <w:r w:rsidR="0004239D" w:rsidRPr="00A83F6C">
        <w:t>or when a patient requires additional medicines.</w:t>
      </w:r>
      <w:r w:rsidR="00811E71">
        <w:t xml:space="preserve"> </w:t>
      </w:r>
      <w:r w:rsidR="0004239D">
        <w:t>Medication errors have the potential to be severe or critical.</w:t>
      </w:r>
      <w:r w:rsidR="00811E71">
        <w:t xml:space="preserve"> </w:t>
      </w:r>
      <w:r w:rsidR="0004239D">
        <w:t>In 2010, there were over 300,000 hospital-based medication errors in Wales, 6</w:t>
      </w:r>
      <w:r w:rsidR="00B741F3">
        <w:t>,</w:t>
      </w:r>
      <w:r w:rsidR="0004239D">
        <w:t xml:space="preserve">000 of which would have caused severe harm (Connelly and Cotterell, 2019). </w:t>
      </w:r>
    </w:p>
    <w:p w14:paraId="4685410A" w14:textId="77777777" w:rsidR="00A83F6C" w:rsidRDefault="00A83F6C" w:rsidP="00A83F6C">
      <w:pPr>
        <w:spacing w:line="360" w:lineRule="auto"/>
        <w:jc w:val="both"/>
      </w:pPr>
    </w:p>
    <w:p w14:paraId="40D18EC6" w14:textId="56CA500B" w:rsidR="00A83F6C" w:rsidRDefault="00A83F6C" w:rsidP="00A83F6C">
      <w:pPr>
        <w:spacing w:line="360" w:lineRule="auto"/>
        <w:jc w:val="both"/>
      </w:pPr>
      <w:r>
        <w:t>In 2017, Abertawe Bro Morgannwg University Health Board (ABMUHB), the predecessor of Swansea Bay University Health Board (SBUHB), proposed to digitalise the medicines management process by replacing the paper-based Inpatient Medication Administration Record</w:t>
      </w:r>
      <w:r w:rsidR="004E6E7C">
        <w:t xml:space="preserve"> </w:t>
      </w:r>
      <w:r>
        <w:t xml:space="preserve">with an electronic Prescribing and Medicines Administration (ePMA) system. </w:t>
      </w:r>
    </w:p>
    <w:p w14:paraId="446219FA" w14:textId="5A05AAC7" w:rsidR="00A83F6C" w:rsidRDefault="00A83F6C" w:rsidP="001E0E6E">
      <w:pPr>
        <w:spacing w:line="360" w:lineRule="auto"/>
        <w:jc w:val="both"/>
      </w:pPr>
      <w:r>
        <w:t xml:space="preserve">Upon approval of the proposal by the Welsh Government, £954,000 of funding was provided to NPTH and Singleton to implement ePMA. SBUHB is expected to serve as a pathfinder for implementing national systems across NHS </w:t>
      </w:r>
      <w:r w:rsidR="000739AF">
        <w:t>Wales’s</w:t>
      </w:r>
      <w:r>
        <w:t xml:space="preserve"> remaining health boards and trusts.</w:t>
      </w:r>
    </w:p>
    <w:p w14:paraId="3613153C" w14:textId="77777777" w:rsidR="00A83F6C" w:rsidRDefault="00A83F6C" w:rsidP="001E0E6E">
      <w:pPr>
        <w:spacing w:line="360" w:lineRule="auto"/>
        <w:jc w:val="both"/>
      </w:pPr>
    </w:p>
    <w:p w14:paraId="73CA231F" w14:textId="3877787C" w:rsidR="001E0E6E" w:rsidRDefault="001E0E6E" w:rsidP="001E0E6E">
      <w:pPr>
        <w:spacing w:line="360" w:lineRule="auto"/>
        <w:jc w:val="both"/>
      </w:pPr>
      <w:r>
        <w:t xml:space="preserve">On the </w:t>
      </w:r>
      <w:proofErr w:type="gramStart"/>
      <w:r>
        <w:t>11</w:t>
      </w:r>
      <w:r w:rsidRPr="007F5CE3">
        <w:rPr>
          <w:vertAlign w:val="superscript"/>
        </w:rPr>
        <w:t>th</w:t>
      </w:r>
      <w:proofErr w:type="gramEnd"/>
      <w:r w:rsidR="007F5CE3">
        <w:t xml:space="preserve"> </w:t>
      </w:r>
      <w:r>
        <w:t>February 2020, after years of research and preparation, the hospital electronic prescribing and medicines administration</w:t>
      </w:r>
      <w:r w:rsidR="007F5CE3">
        <w:t xml:space="preserve"> </w:t>
      </w:r>
      <w:r>
        <w:t xml:space="preserve">(ePMA) system </w:t>
      </w:r>
      <w:r w:rsidR="00DA007E">
        <w:t>was procured and</w:t>
      </w:r>
      <w:r>
        <w:t xml:space="preserve"> introduced</w:t>
      </w:r>
      <w:r w:rsidR="00490304">
        <w:t xml:space="preserve"> for the first time</w:t>
      </w:r>
      <w:r>
        <w:t xml:space="preserve"> in a hospital in NHS Wales, replacing the Inpatient Medication Administration Record on </w:t>
      </w:r>
      <w:r w:rsidR="00B741F3">
        <w:t xml:space="preserve">one </w:t>
      </w:r>
      <w:r w:rsidR="00B4221D">
        <w:t>ward at</w:t>
      </w:r>
      <w:r>
        <w:t xml:space="preserve"> </w:t>
      </w:r>
      <w:r w:rsidR="00FA5E6B">
        <w:t>NPTH</w:t>
      </w:r>
      <w:r>
        <w:t>.</w:t>
      </w:r>
      <w:r w:rsidR="00811E71">
        <w:t xml:space="preserve"> </w:t>
      </w:r>
      <w:r>
        <w:t xml:space="preserve">A phased adoption continued throughout 2020-2021, as illustrated in figure </w:t>
      </w:r>
      <w:r w:rsidR="003216B6">
        <w:t>3</w:t>
      </w:r>
      <w:r>
        <w:t xml:space="preserve">. </w:t>
      </w:r>
    </w:p>
    <w:p w14:paraId="249960A8" w14:textId="41D1E35C" w:rsidR="007F5CE3" w:rsidRDefault="007F5CE3" w:rsidP="001E0E6E">
      <w:pPr>
        <w:spacing w:line="360" w:lineRule="auto"/>
        <w:jc w:val="both"/>
      </w:pPr>
    </w:p>
    <w:p w14:paraId="2C0C161B" w14:textId="4EB48640" w:rsidR="00B4221D" w:rsidRDefault="00B4221D" w:rsidP="001E0E6E">
      <w:pPr>
        <w:spacing w:line="360" w:lineRule="auto"/>
        <w:jc w:val="both"/>
      </w:pPr>
    </w:p>
    <w:p w14:paraId="7E8F236E" w14:textId="544F3F87" w:rsidR="003216B6" w:rsidRDefault="003216B6" w:rsidP="001E0E6E">
      <w:pPr>
        <w:spacing w:line="360" w:lineRule="auto"/>
        <w:jc w:val="both"/>
      </w:pPr>
    </w:p>
    <w:p w14:paraId="7F44EE96" w14:textId="1281FAD0" w:rsidR="003216B6" w:rsidRDefault="003216B6" w:rsidP="001E0E6E">
      <w:pPr>
        <w:spacing w:line="360" w:lineRule="auto"/>
        <w:jc w:val="both"/>
      </w:pPr>
    </w:p>
    <w:p w14:paraId="1F7FBD07" w14:textId="0283899E" w:rsidR="003216B6" w:rsidRDefault="003216B6" w:rsidP="001E0E6E">
      <w:pPr>
        <w:spacing w:line="360" w:lineRule="auto"/>
        <w:jc w:val="both"/>
      </w:pPr>
    </w:p>
    <w:p w14:paraId="0B431E3C" w14:textId="77777777" w:rsidR="003216B6" w:rsidRDefault="003216B6" w:rsidP="001E0E6E">
      <w:pPr>
        <w:spacing w:line="360" w:lineRule="auto"/>
        <w:jc w:val="both"/>
      </w:pPr>
    </w:p>
    <w:p w14:paraId="4C8966ED" w14:textId="32F3D163" w:rsidR="00490304" w:rsidRDefault="00490304" w:rsidP="00490304">
      <w:pPr>
        <w:spacing w:line="360" w:lineRule="auto"/>
        <w:jc w:val="both"/>
      </w:pPr>
      <w:r>
        <w:lastRenderedPageBreak/>
        <w:t xml:space="preserve">Figure </w:t>
      </w:r>
      <w:r w:rsidR="003216B6">
        <w:t>3</w:t>
      </w:r>
      <w:r>
        <w:t>.</w:t>
      </w:r>
      <w:r w:rsidR="00811E71">
        <w:t xml:space="preserve"> </w:t>
      </w:r>
      <w:r>
        <w:t>Showing phased implementation of ePMA software across:</w:t>
      </w:r>
    </w:p>
    <w:p w14:paraId="4E3E78D3" w14:textId="77777777" w:rsidR="00490304" w:rsidRDefault="00490304" w:rsidP="00490304">
      <w:pPr>
        <w:spacing w:line="360" w:lineRule="auto"/>
        <w:jc w:val="both"/>
      </w:pPr>
      <w:r>
        <w:t xml:space="preserve"> Neath Port Talbot Hospital  </w:t>
      </w:r>
    </w:p>
    <w:p w14:paraId="4DAE119D" w14:textId="77777777" w:rsidR="00490304" w:rsidRDefault="00490304" w:rsidP="00490304">
      <w:pPr>
        <w:spacing w:line="360" w:lineRule="auto"/>
        <w:jc w:val="both"/>
      </w:pPr>
    </w:p>
    <w:p w14:paraId="29E6A182" w14:textId="77777777" w:rsidR="00490304" w:rsidRDefault="00490304" w:rsidP="00490304">
      <w:pPr>
        <w:spacing w:line="360" w:lineRule="auto"/>
        <w:jc w:val="center"/>
      </w:pPr>
      <w:r w:rsidRPr="00053606">
        <w:rPr>
          <w:noProof/>
        </w:rPr>
        <w:drawing>
          <wp:inline distT="0" distB="0" distL="0" distR="0" wp14:anchorId="08C8B11B" wp14:editId="163F161A">
            <wp:extent cx="3064476" cy="1177858"/>
            <wp:effectExtent l="0" t="0" r="0" b="381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1"/>
                    <a:stretch>
                      <a:fillRect/>
                    </a:stretch>
                  </pic:blipFill>
                  <pic:spPr>
                    <a:xfrm>
                      <a:off x="0" y="0"/>
                      <a:ext cx="3167601" cy="1217495"/>
                    </a:xfrm>
                    <a:prstGeom prst="rect">
                      <a:avLst/>
                    </a:prstGeom>
                  </pic:spPr>
                </pic:pic>
              </a:graphicData>
            </a:graphic>
          </wp:inline>
        </w:drawing>
      </w:r>
    </w:p>
    <w:p w14:paraId="0FCEBA2B" w14:textId="2B1DC5E7" w:rsidR="00490304" w:rsidRDefault="007F5CE3" w:rsidP="00490304">
      <w:pPr>
        <w:spacing w:line="360" w:lineRule="auto"/>
      </w:pPr>
      <w:r>
        <w:t xml:space="preserve"> </w:t>
      </w:r>
      <w:r w:rsidR="00490304">
        <w:t>Singleton Hospital</w:t>
      </w:r>
    </w:p>
    <w:p w14:paraId="1B81DF9C" w14:textId="528F4E99" w:rsidR="00490304" w:rsidRDefault="00490304" w:rsidP="00490304">
      <w:pPr>
        <w:spacing w:line="360" w:lineRule="auto"/>
      </w:pPr>
    </w:p>
    <w:p w14:paraId="3E2C4ACB" w14:textId="77777777" w:rsidR="00DD408F" w:rsidRDefault="00490304" w:rsidP="00DD408F">
      <w:pPr>
        <w:keepNext/>
        <w:spacing w:line="360" w:lineRule="auto"/>
        <w:jc w:val="center"/>
      </w:pPr>
      <w:r w:rsidRPr="00053606">
        <w:rPr>
          <w:noProof/>
        </w:rPr>
        <w:drawing>
          <wp:inline distT="0" distB="0" distL="0" distR="0" wp14:anchorId="3A739002" wp14:editId="7E686507">
            <wp:extent cx="3188043" cy="2072005"/>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2"/>
                    <a:stretch>
                      <a:fillRect/>
                    </a:stretch>
                  </pic:blipFill>
                  <pic:spPr>
                    <a:xfrm>
                      <a:off x="0" y="0"/>
                      <a:ext cx="3188043" cy="2072005"/>
                    </a:xfrm>
                    <a:prstGeom prst="rect">
                      <a:avLst/>
                    </a:prstGeom>
                  </pic:spPr>
                </pic:pic>
              </a:graphicData>
            </a:graphic>
          </wp:inline>
        </w:drawing>
      </w:r>
    </w:p>
    <w:p w14:paraId="5EC72B95" w14:textId="6EBE209D" w:rsidR="00490304" w:rsidRPr="00110E34" w:rsidRDefault="00DD408F" w:rsidP="00DD408F">
      <w:pPr>
        <w:pStyle w:val="Caption"/>
        <w:jc w:val="center"/>
        <w:rPr>
          <w:sz w:val="22"/>
          <w:szCs w:val="22"/>
        </w:rPr>
      </w:pPr>
      <w:r w:rsidRPr="00110E34">
        <w:rPr>
          <w:sz w:val="22"/>
          <w:szCs w:val="22"/>
        </w:rPr>
        <w:t>Figure</w:t>
      </w:r>
      <w:r w:rsidR="003216B6">
        <w:rPr>
          <w:sz w:val="22"/>
          <w:szCs w:val="22"/>
        </w:rPr>
        <w:t xml:space="preserve"> 3</w:t>
      </w:r>
      <w:r w:rsidR="005339EE">
        <w:rPr>
          <w:noProof/>
          <w:sz w:val="22"/>
          <w:szCs w:val="22"/>
        </w:rPr>
        <w:t>.</w:t>
      </w:r>
      <w:r w:rsidRPr="00110E34">
        <w:rPr>
          <w:sz w:val="22"/>
          <w:szCs w:val="22"/>
        </w:rPr>
        <w:t xml:space="preserve"> Phased implementation of ePMA across NPTH and Singleton</w:t>
      </w:r>
    </w:p>
    <w:p w14:paraId="38E1BD3A" w14:textId="28B62998" w:rsidR="00EA6103" w:rsidRDefault="00EA6103" w:rsidP="007F5CE3">
      <w:pPr>
        <w:pStyle w:val="Heading2"/>
      </w:pPr>
    </w:p>
    <w:p w14:paraId="49F74237" w14:textId="77777777" w:rsidR="00FA3FE5" w:rsidRDefault="00FA3FE5" w:rsidP="00FA3FE5">
      <w:pPr>
        <w:pStyle w:val="Heading2"/>
      </w:pPr>
      <w:bookmarkStart w:id="3" w:name="_Toc128739200"/>
      <w:r>
        <w:t>Software Product</w:t>
      </w:r>
      <w:bookmarkEnd w:id="3"/>
      <w:r>
        <w:t xml:space="preserve"> </w:t>
      </w:r>
    </w:p>
    <w:p w14:paraId="2DB4236E" w14:textId="77777777" w:rsidR="00FA3FE5" w:rsidRPr="005339EE" w:rsidRDefault="00FA3FE5" w:rsidP="00FA3FE5">
      <w:pPr>
        <w:spacing w:line="360" w:lineRule="auto"/>
        <w:jc w:val="both"/>
        <w:rPr>
          <w:sz w:val="22"/>
          <w:szCs w:val="22"/>
        </w:rPr>
      </w:pPr>
      <w:r w:rsidRPr="00EB2A76">
        <w:t>The software product is the ePMA system.</w:t>
      </w:r>
      <w:r>
        <w:t xml:space="preserve"> Through successful implementation of the ePMA system, all stages of the medicines management process including, prescribing, dispensing, and administering medicines will be digitalised.  The ePMA system aims to improve patient safety, reduce medication errors, and increase efficiency in medication management. </w:t>
      </w:r>
    </w:p>
    <w:p w14:paraId="34AAF972" w14:textId="77777777" w:rsidR="00FA21E1" w:rsidRPr="00FA21E1" w:rsidRDefault="00FA21E1" w:rsidP="00FA21E1"/>
    <w:p w14:paraId="0DE69ACE" w14:textId="6E0F6EC0" w:rsidR="00EA6103" w:rsidRDefault="00EA6103" w:rsidP="00EA6103">
      <w:pPr>
        <w:pStyle w:val="Heading2"/>
      </w:pPr>
      <w:bookmarkStart w:id="4" w:name="_Toc128739201"/>
      <w:r>
        <w:t>Selected Team</w:t>
      </w:r>
      <w:bookmarkEnd w:id="4"/>
      <w:r>
        <w:t xml:space="preserve"> </w:t>
      </w:r>
    </w:p>
    <w:p w14:paraId="76EC7E58" w14:textId="57D485F3" w:rsidR="00EA6103" w:rsidRDefault="00EA6103" w:rsidP="00A83F6C">
      <w:pPr>
        <w:spacing w:line="360" w:lineRule="auto"/>
        <w:jc w:val="both"/>
      </w:pPr>
      <w:r>
        <w:t xml:space="preserve">NPTH comprises around 200 beds, and </w:t>
      </w:r>
      <w:r w:rsidR="0002379C">
        <w:t>Singleton</w:t>
      </w:r>
      <w:r>
        <w:t xml:space="preserve"> has 330</w:t>
      </w:r>
      <w:r w:rsidR="00110E34">
        <w:t xml:space="preserve"> </w:t>
      </w:r>
      <w:r>
        <w:t>beds</w:t>
      </w:r>
      <w:r w:rsidR="00110E34">
        <w:t xml:space="preserve"> distributed across their inpatient wards.</w:t>
      </w:r>
      <w:r>
        <w:t xml:space="preserve"> The software product ePMA has been adopted to support the medication management process using a phased approach between the </w:t>
      </w:r>
      <w:proofErr w:type="gramStart"/>
      <w:r>
        <w:t>11</w:t>
      </w:r>
      <w:r w:rsidR="00B4221D" w:rsidRPr="00B4221D">
        <w:rPr>
          <w:vertAlign w:val="superscript"/>
        </w:rPr>
        <w:t>th</w:t>
      </w:r>
      <w:proofErr w:type="gramEnd"/>
      <w:r w:rsidR="00B4221D">
        <w:t xml:space="preserve"> February</w:t>
      </w:r>
      <w:r>
        <w:t xml:space="preserve"> 2020 and the 31</w:t>
      </w:r>
      <w:r w:rsidRPr="007B492D">
        <w:rPr>
          <w:vertAlign w:val="superscript"/>
        </w:rPr>
        <w:t>st</w:t>
      </w:r>
      <w:r w:rsidR="007B492D">
        <w:t xml:space="preserve"> </w:t>
      </w:r>
      <w:r>
        <w:t>Ma</w:t>
      </w:r>
      <w:r w:rsidR="00A83F6C">
        <w:t>y</w:t>
      </w:r>
      <w:r>
        <w:t xml:space="preserve"> 202</w:t>
      </w:r>
      <w:r w:rsidR="00A83F6C">
        <w:t>1</w:t>
      </w:r>
      <w:r>
        <w:t xml:space="preserve"> across NPTH and Singleton Hospital inpatient wards (figure </w:t>
      </w:r>
      <w:r w:rsidR="006906EA">
        <w:t>3</w:t>
      </w:r>
      <w:r>
        <w:t xml:space="preserve">). These wards will be referred to as ePMA wards for the remainder of this assignment. </w:t>
      </w:r>
    </w:p>
    <w:p w14:paraId="67130FEC" w14:textId="77777777" w:rsidR="007F5CE3" w:rsidRDefault="007F5CE3" w:rsidP="007F5CE3">
      <w:pPr>
        <w:spacing w:line="360" w:lineRule="auto"/>
        <w:jc w:val="both"/>
      </w:pPr>
    </w:p>
    <w:p w14:paraId="424B8CF9" w14:textId="1895D9BF" w:rsidR="00CD3BF4" w:rsidRDefault="00CD3BF4" w:rsidP="00CE2113">
      <w:pPr>
        <w:pStyle w:val="Heading1"/>
      </w:pPr>
      <w:bookmarkStart w:id="5" w:name="_Toc128739202"/>
      <w:r>
        <w:lastRenderedPageBreak/>
        <w:t>Methods</w:t>
      </w:r>
      <w:bookmarkEnd w:id="5"/>
    </w:p>
    <w:p w14:paraId="2F201372" w14:textId="3AFEBBEF" w:rsidR="00CD3BF4" w:rsidRDefault="00CD3BF4"/>
    <w:p w14:paraId="597C9085" w14:textId="188B7BE2" w:rsidR="00DB3880" w:rsidRDefault="00121899" w:rsidP="00E05F2F">
      <w:pPr>
        <w:spacing w:line="360" w:lineRule="auto"/>
        <w:jc w:val="both"/>
      </w:pPr>
      <w:r>
        <w:t xml:space="preserve">Many software projects will fail </w:t>
      </w:r>
      <w:r w:rsidR="006D1909">
        <w:t>entirely</w:t>
      </w:r>
      <w:r>
        <w:t xml:space="preserve"> or partially because they do not meet all their requirements</w:t>
      </w:r>
      <w:r w:rsidR="006D1909">
        <w:t>.</w:t>
      </w:r>
      <w:r w:rsidR="00811E71">
        <w:t xml:space="preserve"> </w:t>
      </w:r>
      <w:r w:rsidR="006D1909">
        <w:t>The</w:t>
      </w:r>
      <w:r>
        <w:t xml:space="preserve"> failure rates of software projects </w:t>
      </w:r>
      <w:r w:rsidR="00367EE8">
        <w:t>range</w:t>
      </w:r>
      <w:r>
        <w:t xml:space="preserve"> between </w:t>
      </w:r>
      <w:r w:rsidR="00457275">
        <w:t xml:space="preserve">60-70% (Ammenwoth </w:t>
      </w:r>
      <w:r w:rsidR="00457275" w:rsidRPr="00DB3DAA">
        <w:rPr>
          <w:i/>
          <w:iCs/>
        </w:rPr>
        <w:t>et al</w:t>
      </w:r>
      <w:r w:rsidR="00457275">
        <w:t>. 2006)</w:t>
      </w:r>
      <w:r>
        <w:t>, leading to financial loss within healthcare and loss of confidence in</w:t>
      </w:r>
      <w:r w:rsidR="00FF1550">
        <w:t xml:space="preserve"> Information Technology</w:t>
      </w:r>
      <w:r>
        <w:t xml:space="preserve"> </w:t>
      </w:r>
      <w:r w:rsidR="00FF1550">
        <w:t>(</w:t>
      </w:r>
      <w:r>
        <w:t>IT</w:t>
      </w:r>
      <w:r w:rsidR="00FF1550">
        <w:t>)</w:t>
      </w:r>
      <w:r>
        <w:t xml:space="preserve"> from users and managers.</w:t>
      </w:r>
      <w:r w:rsidR="00811E71">
        <w:t xml:space="preserve"> </w:t>
      </w:r>
      <w:r w:rsidR="00316356">
        <w:t>S</w:t>
      </w:r>
      <w:r w:rsidR="00367EE8">
        <w:t xml:space="preserve">ome projects </w:t>
      </w:r>
      <w:r w:rsidR="00316356">
        <w:t>are considered a</w:t>
      </w:r>
      <w:r w:rsidR="00367EE8">
        <w:t xml:space="preserve"> success by one department or professional group </w:t>
      </w:r>
      <w:r w:rsidR="00316356">
        <w:t>and</w:t>
      </w:r>
      <w:r w:rsidR="00367EE8">
        <w:t xml:space="preserve"> a failure or at least problematic by another (Ammenworth</w:t>
      </w:r>
      <w:r w:rsidR="007E4AAB">
        <w:t xml:space="preserve"> </w:t>
      </w:r>
      <w:r w:rsidR="007E4AAB" w:rsidRPr="007E4AAB">
        <w:rPr>
          <w:i/>
          <w:iCs/>
        </w:rPr>
        <w:t>et al</w:t>
      </w:r>
      <w:r w:rsidR="007E4AAB">
        <w:t>.</w:t>
      </w:r>
      <w:r w:rsidR="00367EE8">
        <w:t xml:space="preserve"> 2006). </w:t>
      </w:r>
      <w:r>
        <w:t xml:space="preserve"> </w:t>
      </w:r>
    </w:p>
    <w:p w14:paraId="6E813FBD" w14:textId="6F772DD8" w:rsidR="00EF2DBB" w:rsidRDefault="00EF2DBB" w:rsidP="00E05F2F">
      <w:pPr>
        <w:spacing w:line="360" w:lineRule="auto"/>
        <w:jc w:val="both"/>
      </w:pPr>
    </w:p>
    <w:p w14:paraId="4A269ECB" w14:textId="44B05A10" w:rsidR="00EF2DBB" w:rsidRDefault="009A30F8" w:rsidP="00D729DC">
      <w:pPr>
        <w:spacing w:line="360" w:lineRule="auto"/>
        <w:jc w:val="both"/>
      </w:pPr>
      <w:r>
        <w:t>Evaluation frameworks are an important tool to help structure and link evaluation questions, outcomes, indicators, data sources and data collection</w:t>
      </w:r>
      <w:r w:rsidR="00D729DC">
        <w:t>.</w:t>
      </w:r>
      <w:r w:rsidR="00811E71">
        <w:t xml:space="preserve"> </w:t>
      </w:r>
      <w:r w:rsidR="00E05F2F">
        <w:t xml:space="preserve">The choice of evaluation framework is critical in ensuring that the </w:t>
      </w:r>
      <w:r w:rsidR="00D729DC">
        <w:t>evaluation aligns well with the project goals</w:t>
      </w:r>
      <w:r w:rsidR="008D6432">
        <w:t xml:space="preserve"> </w:t>
      </w:r>
      <w:r w:rsidR="00457275">
        <w:t>(Moran, Burson and Conrad, 2023</w:t>
      </w:r>
      <w:r w:rsidR="008D6432">
        <w:t>)</w:t>
      </w:r>
      <w:r w:rsidR="006D1909">
        <w:t>.</w:t>
      </w:r>
      <w:r w:rsidR="00811E71">
        <w:t xml:space="preserve"> </w:t>
      </w:r>
      <w:r w:rsidR="006D1909">
        <w:t>However</w:t>
      </w:r>
      <w:r w:rsidR="00D729DC">
        <w:t xml:space="preserve">, </w:t>
      </w:r>
      <w:r w:rsidR="00AE647A">
        <w:t>Coto, Mora and Collazos (2014)</w:t>
      </w:r>
      <w:r w:rsidR="008D6432">
        <w:t xml:space="preserve"> argue that </w:t>
      </w:r>
      <w:r w:rsidR="00D729DC">
        <w:t xml:space="preserve">this can depend on the approach to collaboration and individual perspectives on the value of evaluation. </w:t>
      </w:r>
    </w:p>
    <w:p w14:paraId="063B1F9A" w14:textId="77777777" w:rsidR="00121899" w:rsidRDefault="00121899"/>
    <w:p w14:paraId="671FA77F" w14:textId="66044493" w:rsidR="00757691" w:rsidRDefault="006D1909" w:rsidP="00757691">
      <w:pPr>
        <w:spacing w:line="360" w:lineRule="auto"/>
        <w:jc w:val="both"/>
      </w:pPr>
      <w:r>
        <w:t>Several evaluation frameworks are</w:t>
      </w:r>
      <w:r w:rsidR="004B160B">
        <w:t xml:space="preserve"> </w:t>
      </w:r>
      <w:r w:rsidR="00BF0374">
        <w:t>associated with common practice in programme evaluation.</w:t>
      </w:r>
      <w:r w:rsidR="00811E71">
        <w:t xml:space="preserve"> </w:t>
      </w:r>
      <w:r w:rsidR="0045799E">
        <w:t>In 1989 Davis developed the Technology Acceptance Model (TAM)</w:t>
      </w:r>
      <w:r w:rsidR="00B741F3">
        <w:t xml:space="preserve"> which </w:t>
      </w:r>
      <w:r w:rsidR="0045799E">
        <w:t xml:space="preserve">assumes that </w:t>
      </w:r>
      <w:r>
        <w:t>two factors</w:t>
      </w:r>
      <w:r w:rsidR="0045799E">
        <w:t xml:space="preserve"> determine whether a computer system will be accepted by its potential users</w:t>
      </w:r>
      <w:r>
        <w:t>: their</w:t>
      </w:r>
      <w:r w:rsidR="0045799E">
        <w:t xml:space="preserve"> perceived usefulness and perceived ease of use.</w:t>
      </w:r>
      <w:r w:rsidR="00811E71">
        <w:t xml:space="preserve"> </w:t>
      </w:r>
      <w:r w:rsidR="0045799E">
        <w:t xml:space="preserve">The </w:t>
      </w:r>
      <w:r>
        <w:t>critical</w:t>
      </w:r>
      <w:r w:rsidR="0045799E">
        <w:t xml:space="preserve"> feature of TAM is its emphasis on the perceptions of </w:t>
      </w:r>
      <w:r w:rsidR="00BF3392">
        <w:t>potential users</w:t>
      </w:r>
      <w:r>
        <w:t>.</w:t>
      </w:r>
      <w:r w:rsidR="00811E71">
        <w:t xml:space="preserve"> </w:t>
      </w:r>
      <w:r>
        <w:t>The</w:t>
      </w:r>
      <w:r w:rsidR="0045799E">
        <w:t xml:space="preserve"> theory sa</w:t>
      </w:r>
      <w:r w:rsidR="00BF3392">
        <w:t>y</w:t>
      </w:r>
      <w:r w:rsidR="0045799E">
        <w:t xml:space="preserve">s very little about the technology itself but </w:t>
      </w:r>
      <w:r>
        <w:t>about</w:t>
      </w:r>
      <w:r w:rsidR="0045799E">
        <w:t xml:space="preserve"> </w:t>
      </w:r>
      <w:r w:rsidR="00811E71">
        <w:t>people's</w:t>
      </w:r>
      <w:r w:rsidR="0045799E">
        <w:t xml:space="preserve"> perceptions, which could change </w:t>
      </w:r>
      <w:r>
        <w:t>depending</w:t>
      </w:r>
      <w:r w:rsidR="0045799E">
        <w:t xml:space="preserve"> on </w:t>
      </w:r>
      <w:r w:rsidR="00BF3392">
        <w:t>who the users are</w:t>
      </w:r>
      <w:r w:rsidR="0045799E">
        <w:t>.</w:t>
      </w:r>
      <w:r w:rsidR="00811E71">
        <w:t xml:space="preserve"> </w:t>
      </w:r>
      <w:r w:rsidR="0045799E">
        <w:t xml:space="preserve">It </w:t>
      </w:r>
      <w:r w:rsidR="00757691">
        <w:t xml:space="preserve">also </w:t>
      </w:r>
      <w:r w:rsidR="0045799E">
        <w:t>assumes that people plan their behaviour</w:t>
      </w:r>
      <w:r>
        <w:t>;</w:t>
      </w:r>
      <w:r w:rsidR="0045799E">
        <w:t xml:space="preserve"> however,</w:t>
      </w:r>
      <w:r w:rsidR="00BF3392">
        <w:t xml:space="preserve"> as</w:t>
      </w:r>
      <w:r w:rsidR="0045799E">
        <w:t xml:space="preserve"> not everything </w:t>
      </w:r>
      <w:r w:rsidR="00BF3392">
        <w:t>people do</w:t>
      </w:r>
      <w:r w:rsidR="0045799E">
        <w:t xml:space="preserve"> is planned</w:t>
      </w:r>
      <w:r>
        <w:t>,</w:t>
      </w:r>
      <w:r w:rsidR="0045799E">
        <w:t xml:space="preserve"> </w:t>
      </w:r>
      <w:r w:rsidR="00BF3392">
        <w:t>it would be difficult to apply this</w:t>
      </w:r>
      <w:r w:rsidR="0045799E">
        <w:t xml:space="preserve"> theory</w:t>
      </w:r>
      <w:r w:rsidR="00382237">
        <w:t xml:space="preserve"> to the practical implementation of ePMA</w:t>
      </w:r>
      <w:r w:rsidR="00BF3392">
        <w:t>.</w:t>
      </w:r>
      <w:r w:rsidR="00811E71">
        <w:t xml:space="preserve"> </w:t>
      </w:r>
      <w:r w:rsidR="00BF3392">
        <w:t xml:space="preserve">The TAM framework also </w:t>
      </w:r>
      <w:r w:rsidR="001C0781">
        <w:t>emphasises</w:t>
      </w:r>
      <w:r w:rsidR="00BF3392">
        <w:t xml:space="preserve"> the importance of making technology useful and easy to use</w:t>
      </w:r>
      <w:r>
        <w:t>.</w:t>
      </w:r>
      <w:r w:rsidR="00811E71">
        <w:t xml:space="preserve"> </w:t>
      </w:r>
      <w:r>
        <w:t>However</w:t>
      </w:r>
      <w:r w:rsidR="00BF3392">
        <w:t xml:space="preserve">, </w:t>
      </w:r>
      <w:r>
        <w:t xml:space="preserve">it does not offer recommendations </w:t>
      </w:r>
      <w:r w:rsidR="0002379C">
        <w:t>for making the technology useful following</w:t>
      </w:r>
      <w:r w:rsidR="00BF3392">
        <w:t xml:space="preserve"> evaluation.</w:t>
      </w:r>
      <w:r w:rsidR="00811E71">
        <w:t xml:space="preserve"> </w:t>
      </w:r>
      <w:r w:rsidR="00757691">
        <w:t>In their seminal review of TAM</w:t>
      </w:r>
      <w:r>
        <w:t>,</w:t>
      </w:r>
      <w:r w:rsidR="00757691">
        <w:t xml:space="preserve"> </w:t>
      </w:r>
      <w:proofErr w:type="gramStart"/>
      <w:r w:rsidR="00757691">
        <w:t>Holden</w:t>
      </w:r>
      <w:proofErr w:type="gramEnd"/>
      <w:r w:rsidR="00757691">
        <w:t xml:space="preserve"> and Karsh </w:t>
      </w:r>
      <w:r w:rsidR="00AE647A">
        <w:t>(2010</w:t>
      </w:r>
      <w:r w:rsidR="00757691">
        <w:t xml:space="preserve">) highlighted the </w:t>
      </w:r>
      <w:r w:rsidR="00811E71">
        <w:t>framework's</w:t>
      </w:r>
      <w:r w:rsidR="003059E1">
        <w:t xml:space="preserve"> value</w:t>
      </w:r>
      <w:r w:rsidR="00757691">
        <w:t xml:space="preserve"> in assessing the relationship between users and technology.</w:t>
      </w:r>
      <w:r w:rsidR="00811E71">
        <w:t xml:space="preserve"> </w:t>
      </w:r>
      <w:r w:rsidR="00757691">
        <w:t xml:space="preserve">However, there is a need for additional constructs to allow </w:t>
      </w:r>
      <w:r>
        <w:t>other</w:t>
      </w:r>
      <w:r w:rsidR="00757691">
        <w:t xml:space="preserve"> relationships to be explored. </w:t>
      </w:r>
    </w:p>
    <w:p w14:paraId="16863378" w14:textId="77777777" w:rsidR="00AB23E3" w:rsidRDefault="00AB23E3" w:rsidP="00BF0374">
      <w:pPr>
        <w:spacing w:line="360" w:lineRule="auto"/>
        <w:jc w:val="both"/>
      </w:pPr>
    </w:p>
    <w:p w14:paraId="14416BF4" w14:textId="45CC3AEE" w:rsidR="00D758F9" w:rsidRDefault="00AB23E3" w:rsidP="00BF0374">
      <w:pPr>
        <w:spacing w:line="360" w:lineRule="auto"/>
        <w:jc w:val="both"/>
      </w:pPr>
      <w:r>
        <w:t xml:space="preserve">The Task Technology Fit (TTF) </w:t>
      </w:r>
      <w:r w:rsidR="00B4221D">
        <w:t>model (</w:t>
      </w:r>
      <w:r>
        <w:t>Goodhue and Thompson</w:t>
      </w:r>
      <w:r w:rsidR="003959F0">
        <w:t>,</w:t>
      </w:r>
      <w:r>
        <w:t xml:space="preserve"> 1995</w:t>
      </w:r>
      <w:r w:rsidR="00B741F3">
        <w:t>)</w:t>
      </w:r>
      <w:r>
        <w:t xml:space="preserve"> holds the theory that </w:t>
      </w:r>
      <w:r w:rsidRPr="00CA1EB8">
        <w:t>IT</w:t>
      </w:r>
      <w:r>
        <w:t xml:space="preserve"> is more likely to </w:t>
      </w:r>
      <w:r w:rsidR="006D1909">
        <w:t>positively impact</w:t>
      </w:r>
      <w:r>
        <w:t xml:space="preserve"> individual performance and be used if the capabilities of the IT match the task that the user must perform.</w:t>
      </w:r>
      <w:r w:rsidR="00811E71">
        <w:t xml:space="preserve"> </w:t>
      </w:r>
      <w:r>
        <w:t>Unlike the TAM model</w:t>
      </w:r>
      <w:r w:rsidR="006D1909">
        <w:t>,</w:t>
      </w:r>
      <w:r>
        <w:t xml:space="preserve"> the TTF model </w:t>
      </w:r>
      <w:r w:rsidR="006D1909">
        <w:lastRenderedPageBreak/>
        <w:t>explicitly includes</w:t>
      </w:r>
      <w:r>
        <w:t xml:space="preserve"> a task-technology construct (Prgomet, 2019).</w:t>
      </w:r>
      <w:r w:rsidR="00811E71">
        <w:t xml:space="preserve"> </w:t>
      </w:r>
      <w:r w:rsidR="00116E96">
        <w:t>The premise of the TTF model is that technology will be used if it adequately supports the demands of the task.</w:t>
      </w:r>
      <w:r w:rsidR="00811E71">
        <w:t xml:space="preserve"> </w:t>
      </w:r>
      <w:r w:rsidR="00116E96">
        <w:t>However, the TTF does not include a construct that examines user characteristics (Prgomet, 2019)</w:t>
      </w:r>
      <w:r w:rsidR="009431E5">
        <w:t xml:space="preserve"> and</w:t>
      </w:r>
      <w:r w:rsidR="0002379C">
        <w:t>,</w:t>
      </w:r>
      <w:r w:rsidR="009431E5">
        <w:t xml:space="preserve"> therefore not a suitable tool to guide the evaluation of the implementation of ePMA, as the user is an essential component</w:t>
      </w:r>
      <w:r w:rsidR="00116E96">
        <w:t xml:space="preserve">. </w:t>
      </w:r>
    </w:p>
    <w:p w14:paraId="5D0F02C8" w14:textId="77777777" w:rsidR="00BD1F53" w:rsidRDefault="00BD1F53" w:rsidP="00BF0374">
      <w:pPr>
        <w:spacing w:line="360" w:lineRule="auto"/>
        <w:jc w:val="both"/>
      </w:pPr>
    </w:p>
    <w:p w14:paraId="53BE8F54" w14:textId="4A6D0163" w:rsidR="00D758F9" w:rsidRDefault="00D758F9" w:rsidP="00BF0374">
      <w:pPr>
        <w:spacing w:line="360" w:lineRule="auto"/>
        <w:jc w:val="both"/>
      </w:pPr>
      <w:r>
        <w:rPr>
          <w:rStyle w:val="ui-provider"/>
        </w:rPr>
        <w:t xml:space="preserve">DeLone and McLean </w:t>
      </w:r>
      <w:r w:rsidR="00B741F3">
        <w:rPr>
          <w:rStyle w:val="ui-provider"/>
        </w:rPr>
        <w:t xml:space="preserve">(1992) </w:t>
      </w:r>
      <w:r>
        <w:rPr>
          <w:rStyle w:val="ui-provider"/>
        </w:rPr>
        <w:t>described the effects of IT on the user in the Information System Success Model (ISSM)</w:t>
      </w:r>
      <w:r w:rsidR="00B741F3">
        <w:rPr>
          <w:rStyle w:val="ui-provider"/>
        </w:rPr>
        <w:t xml:space="preserve"> which </w:t>
      </w:r>
      <w:r>
        <w:rPr>
          <w:rStyle w:val="ui-provider"/>
        </w:rPr>
        <w:t>seeks to provide a comprehensive understanding of information system success by identifying, describing, and explaining the relationships among six dimensions (system quality, information quality, use, user satisfaction, individual impact, and organisational impact), along which information systems are commonly evaluated.</w:t>
      </w:r>
      <w:r w:rsidR="00811E71">
        <w:rPr>
          <w:rStyle w:val="ui-provider"/>
        </w:rPr>
        <w:t xml:space="preserve"> </w:t>
      </w:r>
      <w:r>
        <w:rPr>
          <w:rStyle w:val="ui-provider"/>
        </w:rPr>
        <w:t>In 2003 the ISSM was further refined by the original authors DeLone and McLean</w:t>
      </w:r>
      <w:r w:rsidR="00B12B25">
        <w:rPr>
          <w:rStyle w:val="ui-provider"/>
        </w:rPr>
        <w:t>,</w:t>
      </w:r>
      <w:r>
        <w:rPr>
          <w:rStyle w:val="ui-provider"/>
        </w:rPr>
        <w:t xml:space="preserve"> aligned to the changing role and progress made with information systems for </w:t>
      </w:r>
      <w:r w:rsidR="00B12B25">
        <w:rPr>
          <w:rStyle w:val="ui-provider"/>
        </w:rPr>
        <w:t>measuring</w:t>
      </w:r>
      <w:r>
        <w:rPr>
          <w:rStyle w:val="ui-provider"/>
        </w:rPr>
        <w:t xml:space="preserve"> e-commerce system success.</w:t>
      </w:r>
      <w:r w:rsidR="00811E71">
        <w:rPr>
          <w:rStyle w:val="ui-provider"/>
        </w:rPr>
        <w:t xml:space="preserve"> </w:t>
      </w:r>
      <w:r>
        <w:rPr>
          <w:rStyle w:val="ui-provider"/>
        </w:rPr>
        <w:t>However, Ammenworth</w:t>
      </w:r>
      <w:r w:rsidR="00C52A07">
        <w:rPr>
          <w:rStyle w:val="ui-provider"/>
        </w:rPr>
        <w:t xml:space="preserve"> </w:t>
      </w:r>
      <w:r w:rsidR="00C52A07" w:rsidRPr="00C52A07">
        <w:rPr>
          <w:rStyle w:val="ui-provider"/>
          <w:i/>
          <w:iCs/>
        </w:rPr>
        <w:t>et al</w:t>
      </w:r>
      <w:r w:rsidR="00C52A07">
        <w:rPr>
          <w:rStyle w:val="ui-provider"/>
        </w:rPr>
        <w:t>.</w:t>
      </w:r>
      <w:r>
        <w:rPr>
          <w:rStyle w:val="ui-provider"/>
        </w:rPr>
        <w:t xml:space="preserve"> (2006) </w:t>
      </w:r>
      <w:r w:rsidR="00B12B25">
        <w:rPr>
          <w:rStyle w:val="ui-provider"/>
        </w:rPr>
        <w:t>caution</w:t>
      </w:r>
      <w:r>
        <w:rPr>
          <w:rStyle w:val="ui-provider"/>
        </w:rPr>
        <w:t xml:space="preserve"> that IT success is multi-dimensional</w:t>
      </w:r>
      <w:r w:rsidR="00A23921">
        <w:rPr>
          <w:rStyle w:val="ui-provider"/>
        </w:rPr>
        <w:t>.</w:t>
      </w:r>
      <w:r w:rsidR="00811E71">
        <w:rPr>
          <w:rStyle w:val="ui-provider"/>
        </w:rPr>
        <w:t xml:space="preserve"> </w:t>
      </w:r>
      <w:r w:rsidR="00A23921">
        <w:rPr>
          <w:rStyle w:val="ui-provider"/>
        </w:rPr>
        <w:t>As</w:t>
      </w:r>
      <w:r>
        <w:rPr>
          <w:rStyle w:val="ui-provider"/>
        </w:rPr>
        <w:t xml:space="preserve"> the ISSM is </w:t>
      </w:r>
      <w:r w:rsidR="00B12B25">
        <w:rPr>
          <w:rStyle w:val="ui-provider"/>
        </w:rPr>
        <w:t>focused</w:t>
      </w:r>
      <w:r>
        <w:rPr>
          <w:rStyle w:val="ui-provider"/>
        </w:rPr>
        <w:t xml:space="preserve"> on IT quality and system quality</w:t>
      </w:r>
      <w:r w:rsidR="00B12B25">
        <w:rPr>
          <w:rStyle w:val="ui-provider"/>
        </w:rPr>
        <w:t>,</w:t>
      </w:r>
      <w:r>
        <w:rPr>
          <w:rStyle w:val="ui-provider"/>
        </w:rPr>
        <w:t xml:space="preserve"> it does not </w:t>
      </w:r>
      <w:r w:rsidR="00B12B25">
        <w:rPr>
          <w:rStyle w:val="ui-provider"/>
        </w:rPr>
        <w:t>explain</w:t>
      </w:r>
      <w:r>
        <w:rPr>
          <w:rStyle w:val="ui-provider"/>
        </w:rPr>
        <w:t xml:space="preserve"> why the same IT system can be adopted </w:t>
      </w:r>
      <w:r w:rsidR="00B12B25">
        <w:rPr>
          <w:rStyle w:val="ui-provider"/>
        </w:rPr>
        <w:t>differently</w:t>
      </w:r>
      <w:r>
        <w:rPr>
          <w:rStyle w:val="ui-provider"/>
        </w:rPr>
        <w:t xml:space="preserve"> and have different effects.</w:t>
      </w:r>
    </w:p>
    <w:p w14:paraId="11E98C8C" w14:textId="77777777" w:rsidR="00523D52" w:rsidRDefault="00523D52"/>
    <w:p w14:paraId="649CB38F" w14:textId="40DAEF91" w:rsidR="00757691" w:rsidRDefault="00AA29FE" w:rsidP="00B22446">
      <w:pPr>
        <w:spacing w:line="360" w:lineRule="auto"/>
        <w:jc w:val="both"/>
      </w:pPr>
      <w:r>
        <w:t xml:space="preserve">Prgomet (2019) states that the TAM and TTF are prominent theories </w:t>
      </w:r>
      <w:r w:rsidR="00116E96">
        <w:t xml:space="preserve">widely accepted in healthcare </w:t>
      </w:r>
      <w:r>
        <w:t xml:space="preserve">that describe </w:t>
      </w:r>
      <w:r w:rsidR="003059E1">
        <w:t>ways</w:t>
      </w:r>
      <w:r>
        <w:t xml:space="preserve"> to explore the notion of fit between technology and work practices.</w:t>
      </w:r>
      <w:r w:rsidR="00811E71">
        <w:t xml:space="preserve"> </w:t>
      </w:r>
      <w:r w:rsidR="00116E96">
        <w:t xml:space="preserve">However, in 2006 </w:t>
      </w:r>
      <w:r w:rsidR="00116E96" w:rsidRPr="00116E96">
        <w:t>Ammenworth</w:t>
      </w:r>
      <w:r w:rsidR="00116E96" w:rsidRPr="00116E96">
        <w:rPr>
          <w:i/>
          <w:iCs/>
        </w:rPr>
        <w:t xml:space="preserve"> et al</w:t>
      </w:r>
      <w:r w:rsidR="00116E96">
        <w:t xml:space="preserve">. proposed Fit between Individual, Task and Technology (FITT) as a framework, encompassing the interactions of users and technology (TAM concepts) and task and technology (TTF concepts) and the interactions between users and tasks (Ammenworth </w:t>
      </w:r>
      <w:r w:rsidR="00116E96" w:rsidRPr="00671CC0">
        <w:rPr>
          <w:i/>
          <w:iCs/>
        </w:rPr>
        <w:t>et al</w:t>
      </w:r>
      <w:r w:rsidR="00116E96">
        <w:t xml:space="preserve">, 2006). </w:t>
      </w:r>
    </w:p>
    <w:p w14:paraId="239BDEFC" w14:textId="2DC64170" w:rsidR="004267E9" w:rsidRDefault="004267E9" w:rsidP="00B22446">
      <w:pPr>
        <w:spacing w:line="360" w:lineRule="auto"/>
        <w:jc w:val="both"/>
      </w:pPr>
    </w:p>
    <w:p w14:paraId="4C214CFB" w14:textId="1C624FDC" w:rsidR="00757691" w:rsidRDefault="003059E1" w:rsidP="00B22446">
      <w:pPr>
        <w:spacing w:line="360" w:lineRule="auto"/>
        <w:jc w:val="both"/>
      </w:pPr>
      <w:r>
        <w:t>The author will adopt the FITT Framework to guide the evaluation of the ePMA system at NPTH and Singleton</w:t>
      </w:r>
      <w:r w:rsidR="00755587">
        <w:t xml:space="preserve"> hospitals, as</w:t>
      </w:r>
      <w:r w:rsidR="004267E9">
        <w:t xml:space="preserve"> there is evidence to suggest that the FITT framework has been effective in evaluating factors that influence the success or failure of IT implementation in </w:t>
      </w:r>
      <w:r w:rsidR="006D1909">
        <w:t>healthcare</w:t>
      </w:r>
      <w:r w:rsidR="004267E9">
        <w:t xml:space="preserve"> settings (Kujala </w:t>
      </w:r>
      <w:r w:rsidR="004267E9" w:rsidRPr="00DB3DAA">
        <w:rPr>
          <w:i/>
          <w:iCs/>
        </w:rPr>
        <w:t>et al</w:t>
      </w:r>
      <w:r w:rsidR="004267E9">
        <w:t>.</w:t>
      </w:r>
      <w:r w:rsidR="006D1909">
        <w:t>,</w:t>
      </w:r>
      <w:r w:rsidR="004267E9">
        <w:t xml:space="preserve"> 2020</w:t>
      </w:r>
      <w:r w:rsidR="00450AE7" w:rsidRPr="00450AE7">
        <w:rPr>
          <w:rStyle w:val="ui-provider"/>
        </w:rPr>
        <w:t xml:space="preserve"> </w:t>
      </w:r>
      <w:r w:rsidR="00450AE7">
        <w:rPr>
          <w:rStyle w:val="ui-provider"/>
        </w:rPr>
        <w:t xml:space="preserve">Tsiknakis M, Kouroubali, 2009; Prgomet </w:t>
      </w:r>
      <w:r w:rsidR="006D1909" w:rsidRPr="00DB3DAA">
        <w:rPr>
          <w:rStyle w:val="ui-provider"/>
          <w:i/>
          <w:iCs/>
        </w:rPr>
        <w:t>et al</w:t>
      </w:r>
      <w:r w:rsidR="006D1909">
        <w:rPr>
          <w:rStyle w:val="ui-provider"/>
        </w:rPr>
        <w:t>.</w:t>
      </w:r>
      <w:r w:rsidR="00450AE7">
        <w:rPr>
          <w:rStyle w:val="ui-provider"/>
        </w:rPr>
        <w:t xml:space="preserve">, 2019; Schnall </w:t>
      </w:r>
      <w:r w:rsidR="006D1909" w:rsidRPr="00DB3DAA">
        <w:rPr>
          <w:rStyle w:val="ui-provider"/>
          <w:i/>
          <w:iCs/>
        </w:rPr>
        <w:t>et al</w:t>
      </w:r>
      <w:r w:rsidR="006D1909">
        <w:rPr>
          <w:rStyle w:val="ui-provider"/>
        </w:rPr>
        <w:t>.</w:t>
      </w:r>
      <w:r w:rsidR="00450AE7">
        <w:rPr>
          <w:rStyle w:val="ui-provider"/>
        </w:rPr>
        <w:t xml:space="preserve">, 2012 and Cho </w:t>
      </w:r>
      <w:r w:rsidR="006D1909" w:rsidRPr="00DB3DAA">
        <w:rPr>
          <w:rStyle w:val="ui-provider"/>
          <w:i/>
          <w:iCs/>
        </w:rPr>
        <w:t>et al</w:t>
      </w:r>
      <w:r w:rsidR="006D1909">
        <w:rPr>
          <w:rStyle w:val="ui-provider"/>
        </w:rPr>
        <w:t>.</w:t>
      </w:r>
      <w:r w:rsidR="00450AE7">
        <w:rPr>
          <w:rStyle w:val="ui-provider"/>
        </w:rPr>
        <w:t>, 2019</w:t>
      </w:r>
      <w:r>
        <w:t>).</w:t>
      </w:r>
      <w:r w:rsidR="004267E9">
        <w:t xml:space="preserve"> </w:t>
      </w:r>
    </w:p>
    <w:p w14:paraId="029E7554" w14:textId="3C6282DB" w:rsidR="00D93E6B" w:rsidRDefault="00D93E6B" w:rsidP="00B22446">
      <w:pPr>
        <w:spacing w:line="360" w:lineRule="auto"/>
        <w:jc w:val="both"/>
      </w:pPr>
    </w:p>
    <w:p w14:paraId="2A42DA89" w14:textId="77777777" w:rsidR="00FA3FE5" w:rsidRDefault="00FA3FE5" w:rsidP="00B22446">
      <w:pPr>
        <w:spacing w:line="360" w:lineRule="auto"/>
        <w:jc w:val="both"/>
      </w:pPr>
    </w:p>
    <w:p w14:paraId="00633EB2" w14:textId="2D77BFF1" w:rsidR="00DB3880" w:rsidRDefault="00845021" w:rsidP="004267E9">
      <w:pPr>
        <w:pStyle w:val="Heading2"/>
      </w:pPr>
      <w:bookmarkStart w:id="6" w:name="_Toc128739203"/>
      <w:r>
        <w:lastRenderedPageBreak/>
        <w:t>T</w:t>
      </w:r>
      <w:r w:rsidR="004267E9">
        <w:t>he FITT Framework</w:t>
      </w:r>
      <w:bookmarkEnd w:id="6"/>
      <w:r w:rsidR="004267E9">
        <w:t xml:space="preserve"> </w:t>
      </w:r>
    </w:p>
    <w:p w14:paraId="274F5564" w14:textId="2A8E2336" w:rsidR="00724BEB" w:rsidRDefault="00724BEB"/>
    <w:p w14:paraId="29E99A85" w14:textId="75316710" w:rsidR="00C41F33" w:rsidRDefault="00C41F33" w:rsidP="00C41F33">
      <w:pPr>
        <w:spacing w:line="360" w:lineRule="auto"/>
        <w:jc w:val="both"/>
      </w:pPr>
      <w:r>
        <w:t xml:space="preserve">The </w:t>
      </w:r>
      <w:r w:rsidR="0041482A">
        <w:t>adoption</w:t>
      </w:r>
      <w:r>
        <w:t xml:space="preserve"> of ePMA will be evaluated using the FITT framework</w:t>
      </w:r>
      <w:r w:rsidR="003E547A">
        <w:t xml:space="preserve"> to enable a better analysis of the </w:t>
      </w:r>
      <w:r w:rsidR="001C0781">
        <w:t>socio-organisational-technical</w:t>
      </w:r>
      <w:r w:rsidR="003E547A">
        <w:t xml:space="preserve"> factors that influence IT adoption</w:t>
      </w:r>
      <w:r w:rsidR="00741B63">
        <w:t>.</w:t>
      </w:r>
      <w:r w:rsidR="00AE647A">
        <w:t xml:space="preserve"> Moullin </w:t>
      </w:r>
      <w:r w:rsidR="00AE647A" w:rsidRPr="00DB3DAA">
        <w:rPr>
          <w:i/>
          <w:iCs/>
        </w:rPr>
        <w:t>et al</w:t>
      </w:r>
      <w:r w:rsidR="00AE647A">
        <w:t>. (2019)</w:t>
      </w:r>
      <w:r w:rsidR="00741B63">
        <w:t xml:space="preserve"> maintain</w:t>
      </w:r>
      <w:r w:rsidR="00AE647A">
        <w:t xml:space="preserve"> </w:t>
      </w:r>
      <w:r w:rsidR="00741B63">
        <w:t xml:space="preserve">that a </w:t>
      </w:r>
      <w:r>
        <w:t xml:space="preserve">well-thought-out evaluation framework will help guide effective and systematic data collection to form the evidence base for </w:t>
      </w:r>
      <w:r w:rsidR="006D1909">
        <w:t>assessing</w:t>
      </w:r>
      <w:r>
        <w:t xml:space="preserve"> progress.</w:t>
      </w:r>
      <w:r w:rsidR="00811E71">
        <w:t xml:space="preserve"> </w:t>
      </w:r>
      <w:r>
        <w:t xml:space="preserve">Arbour (2020) </w:t>
      </w:r>
      <w:r w:rsidR="00741B63">
        <w:t xml:space="preserve">also </w:t>
      </w:r>
      <w:r>
        <w:t xml:space="preserve">suggests that evaluation frameworks </w:t>
      </w:r>
      <w:r w:rsidR="006D1909">
        <w:t>guide</w:t>
      </w:r>
      <w:r>
        <w:t xml:space="preserve"> developers and evaluators to ensure that the evaluation design reflects and incorporates the originating motivations, principles, and context of the programme.</w:t>
      </w:r>
    </w:p>
    <w:p w14:paraId="5DD83C64" w14:textId="4B91BFD7" w:rsidR="000F1D38" w:rsidRDefault="000F1D38" w:rsidP="00C41F33">
      <w:pPr>
        <w:spacing w:line="360" w:lineRule="auto"/>
        <w:jc w:val="both"/>
      </w:pPr>
    </w:p>
    <w:p w14:paraId="5D572226" w14:textId="71ABA52B" w:rsidR="00647AFD" w:rsidRDefault="000F1D38" w:rsidP="00C41F33">
      <w:pPr>
        <w:spacing w:line="360" w:lineRule="auto"/>
        <w:jc w:val="both"/>
      </w:pPr>
      <w:r>
        <w:t>The FITT framewor</w:t>
      </w:r>
      <w:r w:rsidR="00647AFD">
        <w:t xml:space="preserve">k is based on the idea that IT adoption in a clinical environment depends on the fit between the attributes of </w:t>
      </w:r>
      <w:r w:rsidR="006D1909">
        <w:t xml:space="preserve">the </w:t>
      </w:r>
      <w:r w:rsidR="00C267DC">
        <w:t>individual</w:t>
      </w:r>
      <w:r w:rsidR="00647AFD">
        <w:t xml:space="preserve">, technology, and clinical tasks (see figure </w:t>
      </w:r>
      <w:r w:rsidR="006906EA">
        <w:t>4</w:t>
      </w:r>
      <w:r w:rsidR="00647AFD">
        <w:t>).</w:t>
      </w:r>
      <w:r w:rsidR="00811E71">
        <w:t xml:space="preserve"> </w:t>
      </w:r>
      <w:r w:rsidR="008B16AA">
        <w:t xml:space="preserve">Kujala </w:t>
      </w:r>
      <w:r w:rsidR="008B16AA" w:rsidRPr="00DB3DAA">
        <w:rPr>
          <w:i/>
          <w:iCs/>
        </w:rPr>
        <w:t>et al</w:t>
      </w:r>
      <w:r w:rsidR="008B16AA">
        <w:t xml:space="preserve">. (2020) </w:t>
      </w:r>
      <w:r w:rsidR="00A23921">
        <w:t>suggest</w:t>
      </w:r>
      <w:r w:rsidR="008B16AA">
        <w:t xml:space="preserve"> that a particular strength of the FITT framework is the focus on the interaction between the user and the task, as issues related to IT support of professional workflows are the most frequently reported failure factor of electronic health </w:t>
      </w:r>
      <w:r w:rsidR="003B5814">
        <w:t>interventions</w:t>
      </w:r>
      <w:r w:rsidR="008B16AA">
        <w:t xml:space="preserve"> (</w:t>
      </w:r>
      <w:r w:rsidR="00296337">
        <w:t>Granja, Janssen and Johansen, 2018</w:t>
      </w:r>
      <w:r w:rsidR="00C04339">
        <w:t>).  Comparatively, the</w:t>
      </w:r>
      <w:r w:rsidR="008B16AA">
        <w:t xml:space="preserve"> TTF mode</w:t>
      </w:r>
      <w:r w:rsidR="00C04339">
        <w:t>l</w:t>
      </w:r>
      <w:r w:rsidR="008B16AA">
        <w:t xml:space="preserve"> focuses on the task an</w:t>
      </w:r>
      <w:r w:rsidR="003B5814">
        <w:t>d</w:t>
      </w:r>
      <w:r w:rsidR="008B16AA">
        <w:t xml:space="preserve"> technology without considering the user as </w:t>
      </w:r>
      <w:r w:rsidR="00A23921">
        <w:t>essential</w:t>
      </w:r>
      <w:r w:rsidR="008B16AA">
        <w:t>.</w:t>
      </w:r>
      <w:r w:rsidR="00811E71">
        <w:t xml:space="preserve"> </w:t>
      </w:r>
      <w:r w:rsidR="00217C62">
        <w:t>Compared to other frameworks, such as the Consolidated Framework for Implementation Research (CFIR)</w:t>
      </w:r>
      <w:r w:rsidR="003B5814">
        <w:t>, TAM</w:t>
      </w:r>
      <w:r w:rsidR="00296337">
        <w:t>,</w:t>
      </w:r>
      <w:r w:rsidR="003B5814">
        <w:t xml:space="preserve"> and ISSM</w:t>
      </w:r>
      <w:r w:rsidR="00296337">
        <w:t xml:space="preserve">, </w:t>
      </w:r>
      <w:r w:rsidR="003B5814">
        <w:t xml:space="preserve">the FITT </w:t>
      </w:r>
      <w:r w:rsidR="002C5C39">
        <w:t>f</w:t>
      </w:r>
      <w:r w:rsidR="003B5814">
        <w:t xml:space="preserve">ramework differs in </w:t>
      </w:r>
      <w:r w:rsidR="00296337">
        <w:t>adding</w:t>
      </w:r>
      <w:r w:rsidR="003B5814">
        <w:t xml:space="preserve"> the interaction aspect, making it an appropriate tool to guide the critical evaluation of the ePMA solution. </w:t>
      </w:r>
    </w:p>
    <w:p w14:paraId="03B7855A" w14:textId="77777777" w:rsidR="00741B63" w:rsidRDefault="00741B63" w:rsidP="00C41F33">
      <w:pPr>
        <w:spacing w:line="360" w:lineRule="auto"/>
        <w:jc w:val="both"/>
      </w:pPr>
    </w:p>
    <w:p w14:paraId="6573BEC9" w14:textId="246B1D6E" w:rsidR="00647AFD" w:rsidRDefault="00647AFD" w:rsidP="00C41F33">
      <w:pPr>
        <w:spacing w:line="360" w:lineRule="auto"/>
        <w:jc w:val="both"/>
      </w:pPr>
    </w:p>
    <w:p w14:paraId="1D85EF4C" w14:textId="77777777" w:rsidR="00DD408F" w:rsidRDefault="00647AFD" w:rsidP="00DD408F">
      <w:pPr>
        <w:keepNext/>
        <w:spacing w:line="360" w:lineRule="auto"/>
        <w:jc w:val="center"/>
      </w:pPr>
      <w:r w:rsidRPr="00647AFD">
        <w:rPr>
          <w:noProof/>
        </w:rPr>
        <w:drawing>
          <wp:inline distT="0" distB="0" distL="0" distR="0" wp14:anchorId="6CE68193" wp14:editId="2F8EEC50">
            <wp:extent cx="4337139" cy="1806314"/>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3"/>
                    <a:stretch>
                      <a:fillRect/>
                    </a:stretch>
                  </pic:blipFill>
                  <pic:spPr>
                    <a:xfrm>
                      <a:off x="0" y="0"/>
                      <a:ext cx="4395073" cy="1830442"/>
                    </a:xfrm>
                    <a:prstGeom prst="rect">
                      <a:avLst/>
                    </a:prstGeom>
                  </pic:spPr>
                </pic:pic>
              </a:graphicData>
            </a:graphic>
          </wp:inline>
        </w:drawing>
      </w:r>
    </w:p>
    <w:p w14:paraId="3C54DAD4" w14:textId="1AAD61CF" w:rsidR="00647AFD" w:rsidRPr="00BD1F53" w:rsidRDefault="00DD408F" w:rsidP="00DD408F">
      <w:pPr>
        <w:pStyle w:val="Caption"/>
        <w:jc w:val="center"/>
        <w:rPr>
          <w:sz w:val="22"/>
          <w:szCs w:val="22"/>
        </w:rPr>
      </w:pPr>
      <w:bookmarkStart w:id="7" w:name="_Toc128735615"/>
      <w:r w:rsidRPr="00BD1F53">
        <w:rPr>
          <w:sz w:val="22"/>
          <w:szCs w:val="22"/>
        </w:rPr>
        <w:t xml:space="preserve">Figure </w:t>
      </w:r>
      <w:r w:rsidR="00D72AEB" w:rsidRPr="00BD1F53">
        <w:rPr>
          <w:sz w:val="22"/>
          <w:szCs w:val="22"/>
        </w:rPr>
        <w:fldChar w:fldCharType="begin"/>
      </w:r>
      <w:r w:rsidR="00D72AEB" w:rsidRPr="00BD1F53">
        <w:rPr>
          <w:sz w:val="22"/>
          <w:szCs w:val="22"/>
        </w:rPr>
        <w:instrText xml:space="preserve"> SEQ Figure \* ARABIC </w:instrText>
      </w:r>
      <w:r w:rsidR="00D72AEB" w:rsidRPr="00BD1F53">
        <w:rPr>
          <w:sz w:val="22"/>
          <w:szCs w:val="22"/>
        </w:rPr>
        <w:fldChar w:fldCharType="separate"/>
      </w:r>
      <w:r w:rsidR="001F7B33">
        <w:rPr>
          <w:noProof/>
          <w:sz w:val="22"/>
          <w:szCs w:val="22"/>
        </w:rPr>
        <w:t>2</w:t>
      </w:r>
      <w:r w:rsidR="00D72AEB" w:rsidRPr="00BD1F53">
        <w:rPr>
          <w:noProof/>
          <w:sz w:val="22"/>
          <w:szCs w:val="22"/>
        </w:rPr>
        <w:fldChar w:fldCharType="end"/>
      </w:r>
      <w:r w:rsidR="005339EE">
        <w:rPr>
          <w:noProof/>
          <w:sz w:val="22"/>
          <w:szCs w:val="22"/>
        </w:rPr>
        <w:t>.</w:t>
      </w:r>
      <w:r w:rsidRPr="00BD1F53">
        <w:rPr>
          <w:sz w:val="22"/>
          <w:szCs w:val="22"/>
        </w:rPr>
        <w:t xml:space="preserve"> The FITT Framework, developed by Ammenworth </w:t>
      </w:r>
      <w:r w:rsidRPr="00DB3DAA">
        <w:rPr>
          <w:sz w:val="22"/>
          <w:szCs w:val="22"/>
        </w:rPr>
        <w:t>et al</w:t>
      </w:r>
      <w:r w:rsidRPr="00BD1F53">
        <w:rPr>
          <w:sz w:val="22"/>
          <w:szCs w:val="22"/>
        </w:rPr>
        <w:t>. (2006)</w:t>
      </w:r>
      <w:bookmarkEnd w:id="7"/>
    </w:p>
    <w:p w14:paraId="6FDF1FB7" w14:textId="77777777" w:rsidR="00724BEB" w:rsidRDefault="00724BEB"/>
    <w:p w14:paraId="5DD2BDD1" w14:textId="33789A66" w:rsidR="00724BEB" w:rsidRDefault="00724BEB"/>
    <w:p w14:paraId="4DCE654C" w14:textId="62A2228C" w:rsidR="00C267DC" w:rsidRDefault="00C267DC" w:rsidP="00C267DC">
      <w:pPr>
        <w:spacing w:line="360" w:lineRule="auto"/>
        <w:jc w:val="both"/>
      </w:pPr>
      <w:r>
        <w:lastRenderedPageBreak/>
        <w:t xml:space="preserve">The concept of the </w:t>
      </w:r>
      <w:r w:rsidR="00811E71">
        <w:t>"</w:t>
      </w:r>
      <w:r w:rsidR="00F17252">
        <w:t>i</w:t>
      </w:r>
      <w:r>
        <w:t>ndividual</w:t>
      </w:r>
      <w:r w:rsidR="00811E71">
        <w:t>"</w:t>
      </w:r>
      <w:r>
        <w:t xml:space="preserve"> can represent an individual user or a user group</w:t>
      </w:r>
      <w:r w:rsidR="00194B4C">
        <w:t>.</w:t>
      </w:r>
      <w:r w:rsidR="009044CB">
        <w:t xml:space="preserve"> </w:t>
      </w:r>
      <w:r w:rsidR="00194B4C">
        <w:t>F</w:t>
      </w:r>
      <w:r w:rsidR="009044CB">
        <w:t>or</w:t>
      </w:r>
      <w:r>
        <w:t xml:space="preserve"> this assignment</w:t>
      </w:r>
      <w:r w:rsidR="009044CB">
        <w:t>,</w:t>
      </w:r>
      <w:r>
        <w:t xml:space="preserve"> the user group </w:t>
      </w:r>
      <w:r w:rsidR="0002379C">
        <w:t>is</w:t>
      </w:r>
      <w:r>
        <w:t xml:space="preserve"> the </w:t>
      </w:r>
      <w:r w:rsidR="001C0781">
        <w:t>multidisciplinary</w:t>
      </w:r>
      <w:r>
        <w:t xml:space="preserve"> team of clinicians involved in the medication management process</w:t>
      </w:r>
      <w:r w:rsidR="00CA1A49">
        <w:t xml:space="preserve"> </w:t>
      </w:r>
      <w:r w:rsidR="009044CB">
        <w:t>in</w:t>
      </w:r>
      <w:r w:rsidR="00CA1A49">
        <w:t xml:space="preserve"> the </w:t>
      </w:r>
      <w:r w:rsidR="001C0781">
        <w:t>inpatient</w:t>
      </w:r>
      <w:r w:rsidR="00CA1A49">
        <w:t xml:space="preserve"> wards</w:t>
      </w:r>
      <w:r w:rsidR="00194B4C">
        <w:t>,</w:t>
      </w:r>
      <w:r>
        <w:t xml:space="preserve"> </w:t>
      </w:r>
      <w:r w:rsidR="00194B4C">
        <w:t>including</w:t>
      </w:r>
      <w:r>
        <w:t xml:space="preserve"> registered nurses, </w:t>
      </w:r>
      <w:r w:rsidR="003B5814">
        <w:t>pharmacists,</w:t>
      </w:r>
      <w:r w:rsidR="00CA1A49">
        <w:t xml:space="preserve"> and</w:t>
      </w:r>
      <w:r>
        <w:t xml:space="preserve"> doctors, who have a range of roles</w:t>
      </w:r>
      <w:r w:rsidR="00B741F3">
        <w:t xml:space="preserve"> </w:t>
      </w:r>
      <w:r w:rsidR="003959F0">
        <w:t>notably medication</w:t>
      </w:r>
      <w:r>
        <w:t xml:space="preserve"> reconciliation, prescribing, </w:t>
      </w:r>
      <w:r w:rsidR="00DE24E8">
        <w:t>ordering,</w:t>
      </w:r>
      <w:r>
        <w:t xml:space="preserve"> and </w:t>
      </w:r>
      <w:r w:rsidR="00A23921">
        <w:t>administering</w:t>
      </w:r>
      <w:r w:rsidR="00A963C5">
        <w:t xml:space="preserve"> medication</w:t>
      </w:r>
      <w:r>
        <w:t xml:space="preserve">. </w:t>
      </w:r>
    </w:p>
    <w:p w14:paraId="142AB4C1" w14:textId="33FD1097" w:rsidR="009A26B5" w:rsidRDefault="009A26B5" w:rsidP="00C267DC">
      <w:pPr>
        <w:spacing w:line="360" w:lineRule="auto"/>
        <w:jc w:val="both"/>
      </w:pPr>
      <w:r>
        <w:t xml:space="preserve">The </w:t>
      </w:r>
      <w:r w:rsidR="00811E71">
        <w:t>"</w:t>
      </w:r>
      <w:r>
        <w:t>technology</w:t>
      </w:r>
      <w:r w:rsidR="00811E71">
        <w:t>"</w:t>
      </w:r>
      <w:r>
        <w:t xml:space="preserve"> concept can </w:t>
      </w:r>
      <w:r w:rsidR="009044CB">
        <w:t>represent</w:t>
      </w:r>
      <w:r>
        <w:t xml:space="preserve"> the tools required to accomplish the given task, including the hardware, </w:t>
      </w:r>
      <w:r w:rsidR="0023140C">
        <w:t>software,</w:t>
      </w:r>
      <w:r>
        <w:t xml:space="preserve"> and network.</w:t>
      </w:r>
      <w:r w:rsidR="00811E71">
        <w:t xml:space="preserve"> </w:t>
      </w:r>
      <w:r w:rsidR="0023140C">
        <w:t>Therefore</w:t>
      </w:r>
      <w:r w:rsidR="00B75664">
        <w:t>,</w:t>
      </w:r>
      <w:r w:rsidR="0023140C">
        <w:t xml:space="preserve"> the ePMA system</w:t>
      </w:r>
      <w:r w:rsidR="00B14544">
        <w:t>,</w:t>
      </w:r>
      <w:r w:rsidR="0023140C">
        <w:t xml:space="preserve"> the hardware</w:t>
      </w:r>
      <w:r w:rsidR="009044CB">
        <w:t>,</w:t>
      </w:r>
      <w:r w:rsidR="0023140C">
        <w:t xml:space="preserve"> including desktop and handheld devices</w:t>
      </w:r>
      <w:r w:rsidR="009044CB">
        <w:t>, the</w:t>
      </w:r>
      <w:r w:rsidR="0023140C">
        <w:t xml:space="preserve"> available </w:t>
      </w:r>
      <w:r w:rsidR="00F17252">
        <w:t>network</w:t>
      </w:r>
      <w:r w:rsidR="009044CB">
        <w:t>,</w:t>
      </w:r>
      <w:r w:rsidR="00F17252">
        <w:t xml:space="preserve"> </w:t>
      </w:r>
      <w:r w:rsidR="009044CB">
        <w:t>and</w:t>
      </w:r>
      <w:r w:rsidR="00B75664">
        <w:t xml:space="preserve"> </w:t>
      </w:r>
      <w:r w:rsidR="000739AF">
        <w:t>Wi-Fi</w:t>
      </w:r>
      <w:r w:rsidR="00175A3E">
        <w:t xml:space="preserve"> connections</w:t>
      </w:r>
      <w:r w:rsidR="0023140C">
        <w:t>.</w:t>
      </w:r>
      <w:r w:rsidR="00811E71">
        <w:t xml:space="preserve"> </w:t>
      </w:r>
      <w:r w:rsidR="009044CB">
        <w:t>However,</w:t>
      </w:r>
      <w:r w:rsidR="00B75664">
        <w:t xml:space="preserve"> Ammenwerth </w:t>
      </w:r>
      <w:r w:rsidR="00175A3E" w:rsidRPr="00DB3DAA">
        <w:rPr>
          <w:i/>
          <w:iCs/>
        </w:rPr>
        <w:t>et al</w:t>
      </w:r>
      <w:r w:rsidR="00175A3E" w:rsidRPr="00175A3E">
        <w:rPr>
          <w:i/>
          <w:iCs/>
        </w:rPr>
        <w:t>.</w:t>
      </w:r>
      <w:r w:rsidR="00175A3E">
        <w:t xml:space="preserve"> </w:t>
      </w:r>
      <w:r w:rsidR="00B75664">
        <w:t xml:space="preserve">(2006) </w:t>
      </w:r>
      <w:r w:rsidR="00A23921">
        <w:t>caution</w:t>
      </w:r>
      <w:r w:rsidR="00B75664">
        <w:t xml:space="preserve"> that the technology concept does not only comprise computer-based </w:t>
      </w:r>
      <w:r w:rsidR="000739AF">
        <w:t>tools,</w:t>
      </w:r>
      <w:r w:rsidR="00B75664">
        <w:t xml:space="preserve"> but all tools used by individuals to execute the task and</w:t>
      </w:r>
      <w:r w:rsidR="009044CB">
        <w:t>,</w:t>
      </w:r>
      <w:r w:rsidR="00B75664">
        <w:t xml:space="preserve"> therefore</w:t>
      </w:r>
      <w:r w:rsidR="009044CB">
        <w:t>,</w:t>
      </w:r>
      <w:r w:rsidR="00B75664">
        <w:t xml:space="preserve"> may include paper-based tools.</w:t>
      </w:r>
      <w:r w:rsidR="00811E71">
        <w:t xml:space="preserve"> </w:t>
      </w:r>
      <w:r w:rsidR="00B75664">
        <w:t>In this instance,</w:t>
      </w:r>
      <w:r w:rsidR="00923CEA">
        <w:t xml:space="preserve"> the </w:t>
      </w:r>
      <w:r w:rsidR="00B75664">
        <w:t xml:space="preserve">paper-based tools </w:t>
      </w:r>
      <w:r w:rsidR="00923CEA">
        <w:t xml:space="preserve">are </w:t>
      </w:r>
      <w:r w:rsidR="00B75664">
        <w:t>the supplementary medication charts</w:t>
      </w:r>
      <w:r w:rsidR="003B1A37">
        <w:t xml:space="preserve"> </w:t>
      </w:r>
      <w:r w:rsidR="00B75664">
        <w:t xml:space="preserve">for </w:t>
      </w:r>
      <w:r w:rsidR="003059E1">
        <w:t>administering</w:t>
      </w:r>
      <w:r w:rsidR="00B75664">
        <w:t xml:space="preserve"> intravenous </w:t>
      </w:r>
      <w:r w:rsidR="003B1A37">
        <w:t>infusions, continuous subcutaneous infusions, epidural charts, blood transfusion charts</w:t>
      </w:r>
      <w:r w:rsidR="00923CEA">
        <w:t xml:space="preserve">, and the </w:t>
      </w:r>
      <w:r w:rsidR="00194B4C">
        <w:t>patient's</w:t>
      </w:r>
      <w:r w:rsidR="00923CEA">
        <w:t xml:space="preserve"> medical records</w:t>
      </w:r>
      <w:r w:rsidR="00194B4C">
        <w:t xml:space="preserve">, </w:t>
      </w:r>
      <w:r w:rsidR="00F17252">
        <w:t xml:space="preserve">which </w:t>
      </w:r>
      <w:r w:rsidR="00194B4C">
        <w:t>are currently paper-based</w:t>
      </w:r>
      <w:r w:rsidR="00F17252">
        <w:t xml:space="preserve"> </w:t>
      </w:r>
      <w:r w:rsidR="00923CEA">
        <w:t>in NHS Wales</w:t>
      </w:r>
      <w:r w:rsidR="00F17252">
        <w:t xml:space="preserve">. </w:t>
      </w:r>
    </w:p>
    <w:p w14:paraId="34D49CB1" w14:textId="136FD86D" w:rsidR="00C04339" w:rsidRDefault="00F17252" w:rsidP="00C267DC">
      <w:pPr>
        <w:spacing w:line="360" w:lineRule="auto"/>
        <w:jc w:val="both"/>
      </w:pPr>
      <w:r>
        <w:t xml:space="preserve">The </w:t>
      </w:r>
      <w:r w:rsidR="00811E71">
        <w:t>"</w:t>
      </w:r>
      <w:r>
        <w:t>task</w:t>
      </w:r>
      <w:r w:rsidR="00811E71">
        <w:t>"</w:t>
      </w:r>
      <w:r>
        <w:t xml:space="preserve"> concept </w:t>
      </w:r>
      <w:r w:rsidR="002D79D3">
        <w:t xml:space="preserve">comprises the </w:t>
      </w:r>
      <w:r w:rsidR="00D540B3">
        <w:t>whole</w:t>
      </w:r>
      <w:r w:rsidR="002D79D3">
        <w:t xml:space="preserve"> task and working processes that </w:t>
      </w:r>
      <w:r w:rsidR="00F41967">
        <w:t>must</w:t>
      </w:r>
      <w:r w:rsidR="002D79D3">
        <w:t xml:space="preserve"> be completed by the user and supported by the given technology</w:t>
      </w:r>
      <w:r w:rsidR="00C04339">
        <w:t xml:space="preserve">. The ePMA system allows prescribers and administrators to prescribe and administer medication efficiently. </w:t>
      </w:r>
      <w:r w:rsidR="00171055">
        <w:t>Although many researchers (</w:t>
      </w:r>
      <w:r w:rsidR="008E79C1">
        <w:t xml:space="preserve">Nilsen, 2015; Greenhalgh </w:t>
      </w:r>
      <w:r w:rsidR="008E79C1" w:rsidRPr="008E79C1">
        <w:rPr>
          <w:i/>
          <w:iCs/>
        </w:rPr>
        <w:t>et al</w:t>
      </w:r>
      <w:r w:rsidR="008E79C1">
        <w:t xml:space="preserve">. 2005; and Wilson, </w:t>
      </w:r>
      <w:proofErr w:type="gramStart"/>
      <w:r w:rsidR="008E79C1">
        <w:t>Brady</w:t>
      </w:r>
      <w:proofErr w:type="gramEnd"/>
      <w:r w:rsidR="008E79C1">
        <w:t xml:space="preserve"> and Lesesne, 2011</w:t>
      </w:r>
      <w:r w:rsidR="00171055">
        <w:t xml:space="preserve">) focus on the aspect of </w:t>
      </w:r>
      <w:r w:rsidR="00811E71">
        <w:t>"</w:t>
      </w:r>
      <w:r w:rsidR="001C0781">
        <w:t>organisation</w:t>
      </w:r>
      <w:r w:rsidR="00811E71">
        <w:t>"</w:t>
      </w:r>
      <w:r w:rsidR="00171055">
        <w:t xml:space="preserve">, </w:t>
      </w:r>
      <w:r w:rsidR="00C04339">
        <w:t xml:space="preserve">according to </w:t>
      </w:r>
      <w:r w:rsidR="00D60AF2">
        <w:t xml:space="preserve">Ammenworth </w:t>
      </w:r>
      <w:r w:rsidR="00D60AF2" w:rsidRPr="00D60AF2">
        <w:rPr>
          <w:i/>
          <w:iCs/>
        </w:rPr>
        <w:t>et al.</w:t>
      </w:r>
      <w:r w:rsidR="00D60AF2">
        <w:t xml:space="preserve"> </w:t>
      </w:r>
      <w:r w:rsidR="00171055">
        <w:t>(2006)</w:t>
      </w:r>
      <w:r w:rsidR="00C04339">
        <w:t>,</w:t>
      </w:r>
      <w:r w:rsidR="00171055">
        <w:t xml:space="preserve"> the </w:t>
      </w:r>
      <w:r w:rsidR="001C0781">
        <w:t>organisational</w:t>
      </w:r>
      <w:r w:rsidR="00171055">
        <w:t xml:space="preserve"> aspect</w:t>
      </w:r>
      <w:r w:rsidR="00C04339">
        <w:t xml:space="preserve"> is part </w:t>
      </w:r>
      <w:r w:rsidR="00171055">
        <w:t xml:space="preserve">of the individual concept, as individuals </w:t>
      </w:r>
      <w:r w:rsidR="00C04339">
        <w:t xml:space="preserve">play different </w:t>
      </w:r>
      <w:r w:rsidR="00171055">
        <w:t xml:space="preserve">roles in the </w:t>
      </w:r>
      <w:r w:rsidR="001C0781">
        <w:t>organisation</w:t>
      </w:r>
      <w:r w:rsidR="00171055">
        <w:t>, or</w:t>
      </w:r>
      <w:r w:rsidR="00C04339">
        <w:t xml:space="preserve"> it is</w:t>
      </w:r>
      <w:r w:rsidR="00171055">
        <w:t xml:space="preserve"> part of the task concept</w:t>
      </w:r>
      <w:r w:rsidR="00C04339">
        <w:t xml:space="preserve"> since defined responsibilities are assigned to technical tasks. </w:t>
      </w:r>
    </w:p>
    <w:p w14:paraId="38F1A205" w14:textId="28E16379" w:rsidR="00DB3880" w:rsidRDefault="00DB3880"/>
    <w:p w14:paraId="2FE666A4" w14:textId="34FC6BAF" w:rsidR="00333111" w:rsidRPr="00333111" w:rsidRDefault="00845021" w:rsidP="00333111">
      <w:pPr>
        <w:pStyle w:val="Heading2"/>
      </w:pPr>
      <w:bookmarkStart w:id="8" w:name="_Toc128739204"/>
      <w:r>
        <w:t>Data Collection</w:t>
      </w:r>
      <w:bookmarkEnd w:id="8"/>
    </w:p>
    <w:p w14:paraId="66AAC522" w14:textId="4059A7E8" w:rsidR="005669ED" w:rsidRDefault="005669ED" w:rsidP="005669ED"/>
    <w:p w14:paraId="12989960" w14:textId="2ABBEAA5" w:rsidR="0025409D" w:rsidRDefault="005669ED" w:rsidP="0025409D">
      <w:pPr>
        <w:spacing w:line="360" w:lineRule="auto"/>
        <w:jc w:val="both"/>
      </w:pPr>
      <w:r>
        <w:t>Data</w:t>
      </w:r>
      <w:r w:rsidR="0056414C">
        <w:t xml:space="preserve"> for this critical analysis has been collected using multiple sources.</w:t>
      </w:r>
      <w:r w:rsidR="00811E71">
        <w:t xml:space="preserve"> </w:t>
      </w:r>
      <w:r w:rsidR="0056414C">
        <w:t>SBUHB published an evaluation document authored by Marc Thomas, Digital Programme Manager</w:t>
      </w:r>
      <w:r w:rsidR="00A23921">
        <w:t>,</w:t>
      </w:r>
      <w:r w:rsidR="0056414C">
        <w:t xml:space="preserve"> in July 2022 following </w:t>
      </w:r>
      <w:r w:rsidR="00A23921">
        <w:t>the</w:t>
      </w:r>
      <w:r w:rsidR="0056414C">
        <w:t xml:space="preserve"> implementation of the ePMA solution across NPT</w:t>
      </w:r>
      <w:r w:rsidR="00111F16">
        <w:t>H</w:t>
      </w:r>
      <w:r w:rsidR="0056414C">
        <w:t xml:space="preserve"> and Singleton.</w:t>
      </w:r>
      <w:r w:rsidR="00811E71">
        <w:t xml:space="preserve"> </w:t>
      </w:r>
      <w:r w:rsidR="00EF1CD2">
        <w:t>The evaluation provides detailed information relating to the implementation approach</w:t>
      </w:r>
      <w:r w:rsidR="00A23921">
        <w:t>.</w:t>
      </w:r>
      <w:r w:rsidR="00811E71">
        <w:t xml:space="preserve"> </w:t>
      </w:r>
      <w:r w:rsidR="00A23921">
        <w:t>This data</w:t>
      </w:r>
      <w:r w:rsidR="00EF1CD2">
        <w:t xml:space="preserve"> was collected </w:t>
      </w:r>
      <w:r w:rsidR="00333111">
        <w:t>pre-</w:t>
      </w:r>
      <w:r w:rsidR="00EF1CD2">
        <w:t xml:space="preserve"> and </w:t>
      </w:r>
      <w:r w:rsidR="00A23921">
        <w:t>post-implementation</w:t>
      </w:r>
      <w:r w:rsidR="00EF1CD2">
        <w:t xml:space="preserve">, </w:t>
      </w:r>
      <w:r w:rsidR="00A039DE">
        <w:t>including quantitative data</w:t>
      </w:r>
      <w:r w:rsidR="00EF1CD2">
        <w:t xml:space="preserve"> from the Datix incident reporting system</w:t>
      </w:r>
      <w:r w:rsidR="00153607">
        <w:t xml:space="preserve"> </w:t>
      </w:r>
      <w:r w:rsidR="00EF1CD2">
        <w:t>and time in motion studies.</w:t>
      </w:r>
      <w:r w:rsidR="002A629C">
        <w:t xml:space="preserve"> The Datix incident reporting system is a software application used in NHS Wales to manage and report </w:t>
      </w:r>
      <w:r w:rsidR="00A039DE">
        <w:t>incidents</w:t>
      </w:r>
      <w:r w:rsidR="002A629C">
        <w:t xml:space="preserve">, near misses and other safety events (Mushcab </w:t>
      </w:r>
      <w:r w:rsidR="002A629C" w:rsidRPr="00DB3DAA">
        <w:rPr>
          <w:i/>
          <w:iCs/>
        </w:rPr>
        <w:t>et al</w:t>
      </w:r>
      <w:r w:rsidR="002A629C">
        <w:t>. 2020).</w:t>
      </w:r>
      <w:r w:rsidR="00811E71">
        <w:t xml:space="preserve"> </w:t>
      </w:r>
      <w:r w:rsidR="00EF1CD2">
        <w:t xml:space="preserve">Qualitative data was collected using staff surveys, </w:t>
      </w:r>
      <w:r w:rsidR="00EF1CD2">
        <w:lastRenderedPageBreak/>
        <w:t>free text feedback and informal feedback captured verbally.</w:t>
      </w:r>
      <w:r w:rsidR="00B741F3">
        <w:t xml:space="preserve"> </w:t>
      </w:r>
      <w:r w:rsidR="0025409D">
        <w:t xml:space="preserve">A review of relevant literature was also conducted to enhance the data sourced through the evaluation document published by Thomas (2022). </w:t>
      </w:r>
    </w:p>
    <w:p w14:paraId="0D4195DA" w14:textId="6E471843" w:rsidR="00333111" w:rsidRDefault="00AD1E3D" w:rsidP="00333111">
      <w:pPr>
        <w:pStyle w:val="Heading3"/>
      </w:pPr>
      <w:bookmarkStart w:id="9" w:name="_Toc128739205"/>
      <w:r>
        <w:t>Pre-Implementation</w:t>
      </w:r>
      <w:r w:rsidR="00333111">
        <w:t xml:space="preserve"> data</w:t>
      </w:r>
      <w:bookmarkEnd w:id="9"/>
    </w:p>
    <w:p w14:paraId="0C14D295" w14:textId="22452D1F" w:rsidR="00143CBE" w:rsidRDefault="00194B4C" w:rsidP="00143CBE">
      <w:pPr>
        <w:spacing w:line="360" w:lineRule="auto"/>
        <w:jc w:val="both"/>
      </w:pPr>
      <w:r>
        <w:t>Pre-implementation</w:t>
      </w:r>
      <w:r w:rsidR="00D83E46">
        <w:t xml:space="preserve"> baseline</w:t>
      </w:r>
      <w:r w:rsidR="00143CBE" w:rsidRPr="00153607">
        <w:t xml:space="preserve"> data </w:t>
      </w:r>
      <w:r w:rsidR="00A039DE">
        <w:t>on</w:t>
      </w:r>
      <w:r w:rsidR="00143CBE" w:rsidRPr="00153607">
        <w:t xml:space="preserve"> medication incidents were captured using the Datix incident reporting system. There were 13 prescribing errors</w:t>
      </w:r>
      <w:r w:rsidR="00A039DE">
        <w:t>,</w:t>
      </w:r>
      <w:r w:rsidR="00143CBE" w:rsidRPr="00153607">
        <w:t xml:space="preserve"> and 74 administration errors reported, as per </w:t>
      </w:r>
      <w:r w:rsidR="00B741F3">
        <w:t>F</w:t>
      </w:r>
      <w:r w:rsidR="00143CBE" w:rsidRPr="00153607">
        <w:t xml:space="preserve">igure </w:t>
      </w:r>
      <w:r w:rsidR="001F7B33">
        <w:t>5</w:t>
      </w:r>
      <w:r w:rsidR="00143CBE" w:rsidRPr="00153607">
        <w:t>. However, the data displayed relies on individuals being aware of an error and self-reporting medication errors</w:t>
      </w:r>
      <w:r w:rsidR="00B741F3">
        <w:t>, t</w:t>
      </w:r>
      <w:r w:rsidR="00143CBE" w:rsidRPr="00153607">
        <w:t xml:space="preserve">herefore, the actual figures may be much higher. Pre-implementation data relating to the duration of medication rounds were captured through time in motion studies and the completion of data capture </w:t>
      </w:r>
      <w:r w:rsidR="00143CBE" w:rsidRPr="002E6D20">
        <w:t xml:space="preserve">forms completed by registered nurses recording the start and end times of their medication rounds, see Figure </w:t>
      </w:r>
      <w:r w:rsidR="001F7B33">
        <w:t>6</w:t>
      </w:r>
      <w:r w:rsidR="00143CBE" w:rsidRPr="002E6D20">
        <w:t>.</w:t>
      </w:r>
      <w:r w:rsidR="00143CBE">
        <w:t xml:space="preserve"> </w:t>
      </w:r>
    </w:p>
    <w:p w14:paraId="15DF585A" w14:textId="77777777" w:rsidR="00143CBE" w:rsidRDefault="00143CBE" w:rsidP="00143CBE">
      <w:pPr>
        <w:spacing w:line="360" w:lineRule="auto"/>
        <w:jc w:val="both"/>
      </w:pPr>
    </w:p>
    <w:p w14:paraId="3EF07D25" w14:textId="77777777" w:rsidR="002E6D20" w:rsidRDefault="00143CBE" w:rsidP="002E6D20">
      <w:pPr>
        <w:keepNext/>
        <w:spacing w:line="360" w:lineRule="auto"/>
        <w:jc w:val="both"/>
      </w:pPr>
      <w:r w:rsidRPr="002E6D20">
        <w:rPr>
          <w:noProof/>
        </w:rPr>
        <w:drawing>
          <wp:inline distT="0" distB="0" distL="0" distR="0" wp14:anchorId="542FF8FC" wp14:editId="4F6FCF63">
            <wp:extent cx="5731510" cy="1289050"/>
            <wp:effectExtent l="0" t="0" r="0" b="635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4"/>
                    <a:stretch>
                      <a:fillRect/>
                    </a:stretch>
                  </pic:blipFill>
                  <pic:spPr>
                    <a:xfrm>
                      <a:off x="0" y="0"/>
                      <a:ext cx="5731510" cy="1289050"/>
                    </a:xfrm>
                    <a:prstGeom prst="rect">
                      <a:avLst/>
                    </a:prstGeom>
                  </pic:spPr>
                </pic:pic>
              </a:graphicData>
            </a:graphic>
          </wp:inline>
        </w:drawing>
      </w:r>
    </w:p>
    <w:p w14:paraId="6AE01DE0" w14:textId="3FB77B5A" w:rsidR="00143CBE" w:rsidRPr="00C0258B" w:rsidRDefault="002E6D20" w:rsidP="002E6D20">
      <w:pPr>
        <w:pStyle w:val="Caption"/>
        <w:jc w:val="both"/>
        <w:rPr>
          <w:sz w:val="22"/>
          <w:szCs w:val="22"/>
          <w:highlight w:val="cyan"/>
        </w:rPr>
      </w:pPr>
      <w:bookmarkStart w:id="10" w:name="_Toc128735616"/>
      <w:r w:rsidRPr="00C0258B">
        <w:rPr>
          <w:sz w:val="22"/>
          <w:szCs w:val="22"/>
        </w:rPr>
        <w:t xml:space="preserve">Figure </w:t>
      </w:r>
      <w:r w:rsidR="00D72AEB" w:rsidRPr="00C0258B">
        <w:rPr>
          <w:sz w:val="22"/>
          <w:szCs w:val="22"/>
        </w:rPr>
        <w:fldChar w:fldCharType="begin"/>
      </w:r>
      <w:r w:rsidR="00D72AEB" w:rsidRPr="00C0258B">
        <w:rPr>
          <w:sz w:val="22"/>
          <w:szCs w:val="22"/>
        </w:rPr>
        <w:instrText xml:space="preserve"> SEQ Figure \* ARABIC </w:instrText>
      </w:r>
      <w:r w:rsidR="00D72AEB" w:rsidRPr="00C0258B">
        <w:rPr>
          <w:sz w:val="22"/>
          <w:szCs w:val="22"/>
        </w:rPr>
        <w:fldChar w:fldCharType="separate"/>
      </w:r>
      <w:r w:rsidR="001F7B33">
        <w:rPr>
          <w:noProof/>
          <w:sz w:val="22"/>
          <w:szCs w:val="22"/>
        </w:rPr>
        <w:t>3</w:t>
      </w:r>
      <w:r w:rsidR="00D72AEB" w:rsidRPr="00C0258B">
        <w:rPr>
          <w:noProof/>
          <w:sz w:val="22"/>
          <w:szCs w:val="22"/>
        </w:rPr>
        <w:fldChar w:fldCharType="end"/>
      </w:r>
      <w:r w:rsidR="005339EE">
        <w:rPr>
          <w:noProof/>
          <w:sz w:val="22"/>
          <w:szCs w:val="22"/>
        </w:rPr>
        <w:t>.</w:t>
      </w:r>
      <w:r w:rsidRPr="00C0258B">
        <w:rPr>
          <w:sz w:val="22"/>
          <w:szCs w:val="22"/>
        </w:rPr>
        <w:t xml:space="preserve"> Baseline number and type of medication error reported using the </w:t>
      </w:r>
      <w:r w:rsidR="00C0258B" w:rsidRPr="00C0258B">
        <w:rPr>
          <w:sz w:val="22"/>
          <w:szCs w:val="22"/>
        </w:rPr>
        <w:t>Datix</w:t>
      </w:r>
      <w:r w:rsidRPr="00C0258B">
        <w:rPr>
          <w:sz w:val="22"/>
          <w:szCs w:val="22"/>
        </w:rPr>
        <w:t xml:space="preserve"> incident reporting system pre-implementation</w:t>
      </w:r>
      <w:bookmarkEnd w:id="10"/>
    </w:p>
    <w:p w14:paraId="32E70274" w14:textId="77777777" w:rsidR="00143CBE" w:rsidRPr="00B17F65" w:rsidRDefault="00143CBE" w:rsidP="00143CBE">
      <w:pPr>
        <w:spacing w:line="360" w:lineRule="auto"/>
        <w:jc w:val="both"/>
        <w:rPr>
          <w:highlight w:val="cyan"/>
        </w:rPr>
      </w:pPr>
    </w:p>
    <w:p w14:paraId="2E338CE9" w14:textId="77777777" w:rsidR="002E6D20" w:rsidRDefault="00143CBE" w:rsidP="002E6D20">
      <w:pPr>
        <w:keepNext/>
        <w:spacing w:line="360" w:lineRule="auto"/>
        <w:jc w:val="both"/>
      </w:pPr>
      <w:r w:rsidRPr="00296337">
        <w:rPr>
          <w:noProof/>
        </w:rPr>
        <w:drawing>
          <wp:inline distT="0" distB="0" distL="0" distR="0" wp14:anchorId="0F73F2C4" wp14:editId="6E350EF5">
            <wp:extent cx="5731510" cy="1483995"/>
            <wp:effectExtent l="0" t="0" r="0" b="190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5"/>
                    <a:stretch>
                      <a:fillRect/>
                    </a:stretch>
                  </pic:blipFill>
                  <pic:spPr>
                    <a:xfrm>
                      <a:off x="0" y="0"/>
                      <a:ext cx="5731510" cy="1483995"/>
                    </a:xfrm>
                    <a:prstGeom prst="rect">
                      <a:avLst/>
                    </a:prstGeom>
                  </pic:spPr>
                </pic:pic>
              </a:graphicData>
            </a:graphic>
          </wp:inline>
        </w:drawing>
      </w:r>
    </w:p>
    <w:p w14:paraId="01B9E918" w14:textId="7D2CC815" w:rsidR="00143CBE" w:rsidRPr="00C0258B" w:rsidRDefault="002E6D20" w:rsidP="002E6D20">
      <w:pPr>
        <w:pStyle w:val="Caption"/>
        <w:jc w:val="both"/>
        <w:rPr>
          <w:sz w:val="22"/>
          <w:szCs w:val="22"/>
        </w:rPr>
      </w:pPr>
      <w:bookmarkStart w:id="11" w:name="_Toc128735617"/>
      <w:r w:rsidRPr="00C0258B">
        <w:rPr>
          <w:sz w:val="22"/>
          <w:szCs w:val="22"/>
        </w:rPr>
        <w:t xml:space="preserve">Figure </w:t>
      </w:r>
      <w:r w:rsidR="00D72AEB" w:rsidRPr="00C0258B">
        <w:rPr>
          <w:sz w:val="22"/>
          <w:szCs w:val="22"/>
        </w:rPr>
        <w:fldChar w:fldCharType="begin"/>
      </w:r>
      <w:r w:rsidR="00D72AEB" w:rsidRPr="00C0258B">
        <w:rPr>
          <w:sz w:val="22"/>
          <w:szCs w:val="22"/>
        </w:rPr>
        <w:instrText xml:space="preserve"> SEQ Figure \* ARABIC </w:instrText>
      </w:r>
      <w:r w:rsidR="00D72AEB" w:rsidRPr="00C0258B">
        <w:rPr>
          <w:sz w:val="22"/>
          <w:szCs w:val="22"/>
        </w:rPr>
        <w:fldChar w:fldCharType="separate"/>
      </w:r>
      <w:r w:rsidR="001F7B33">
        <w:rPr>
          <w:noProof/>
          <w:sz w:val="22"/>
          <w:szCs w:val="22"/>
        </w:rPr>
        <w:t>4</w:t>
      </w:r>
      <w:r w:rsidR="00D72AEB" w:rsidRPr="00C0258B">
        <w:rPr>
          <w:noProof/>
          <w:sz w:val="22"/>
          <w:szCs w:val="22"/>
        </w:rPr>
        <w:fldChar w:fldCharType="end"/>
      </w:r>
      <w:r w:rsidR="005339EE">
        <w:rPr>
          <w:noProof/>
          <w:sz w:val="22"/>
          <w:szCs w:val="22"/>
        </w:rPr>
        <w:t>.</w:t>
      </w:r>
      <w:r w:rsidRPr="00C0258B">
        <w:rPr>
          <w:sz w:val="22"/>
          <w:szCs w:val="22"/>
        </w:rPr>
        <w:t xml:space="preserve"> Baseline data showing </w:t>
      </w:r>
      <w:r w:rsidR="00A039DE">
        <w:rPr>
          <w:sz w:val="22"/>
          <w:szCs w:val="22"/>
        </w:rPr>
        <w:t xml:space="preserve">the </w:t>
      </w:r>
      <w:r w:rsidRPr="00C0258B">
        <w:rPr>
          <w:sz w:val="22"/>
          <w:szCs w:val="22"/>
        </w:rPr>
        <w:t>time taken to complete a medication round pre-implementation</w:t>
      </w:r>
      <w:bookmarkEnd w:id="11"/>
    </w:p>
    <w:p w14:paraId="3C31443C" w14:textId="77777777" w:rsidR="00143CBE" w:rsidRDefault="00143CBE" w:rsidP="005669ED">
      <w:pPr>
        <w:spacing w:line="360" w:lineRule="auto"/>
        <w:jc w:val="both"/>
      </w:pPr>
    </w:p>
    <w:p w14:paraId="6AF73F88" w14:textId="23A7CF35" w:rsidR="000A324E" w:rsidRDefault="00B56E37" w:rsidP="00B56E37">
      <w:pPr>
        <w:pStyle w:val="Heading3"/>
      </w:pPr>
      <w:bookmarkStart w:id="12" w:name="_Toc128739206"/>
      <w:r>
        <w:t>Post-implementation data collection</w:t>
      </w:r>
      <w:bookmarkEnd w:id="12"/>
      <w:r>
        <w:t xml:space="preserve"> </w:t>
      </w:r>
    </w:p>
    <w:p w14:paraId="057ADDCC" w14:textId="2AEF69ED" w:rsidR="007C0C09" w:rsidRDefault="009044CB" w:rsidP="005669ED">
      <w:pPr>
        <w:spacing w:line="360" w:lineRule="auto"/>
        <w:jc w:val="both"/>
      </w:pPr>
      <w:r>
        <w:t>As</w:t>
      </w:r>
      <w:r w:rsidR="00C52EAF">
        <w:t xml:space="preserve"> users of the ePMA have different tasks associated with the technology, different survey questions were </w:t>
      </w:r>
      <w:r>
        <w:t>issued</w:t>
      </w:r>
      <w:r w:rsidR="00C52EAF">
        <w:t xml:space="preserve"> to </w:t>
      </w:r>
      <w:r w:rsidR="00111F16">
        <w:t xml:space="preserve">each </w:t>
      </w:r>
      <w:r w:rsidR="00194B4C">
        <w:t>user</w:t>
      </w:r>
      <w:r>
        <w:t>,</w:t>
      </w:r>
      <w:r w:rsidR="00C52EAF">
        <w:t xml:space="preserve"> as seen in</w:t>
      </w:r>
      <w:r w:rsidR="00A66D75">
        <w:t xml:space="preserve"> </w:t>
      </w:r>
      <w:r>
        <w:t>Figures</w:t>
      </w:r>
      <w:r w:rsidR="007C0C09">
        <w:t xml:space="preserve"> </w:t>
      </w:r>
      <w:r w:rsidR="001F7B33">
        <w:t>7</w:t>
      </w:r>
      <w:r w:rsidR="00323D09">
        <w:t xml:space="preserve">, </w:t>
      </w:r>
      <w:r w:rsidR="001F7B33">
        <w:t>8</w:t>
      </w:r>
      <w:r w:rsidR="00323D09">
        <w:t xml:space="preserve"> and </w:t>
      </w:r>
      <w:r w:rsidR="001F7B33">
        <w:t>9</w:t>
      </w:r>
      <w:r w:rsidR="007479FA">
        <w:t>.</w:t>
      </w:r>
      <w:r w:rsidR="00811E71">
        <w:t xml:space="preserve"> </w:t>
      </w:r>
      <w:r w:rsidR="007479FA">
        <w:t xml:space="preserve">Users were </w:t>
      </w:r>
      <w:r w:rsidR="001C0781">
        <w:t>categorised</w:t>
      </w:r>
      <w:r w:rsidR="007479FA">
        <w:t xml:space="preserve"> into three groups for qualitative data collection</w:t>
      </w:r>
      <w:r w:rsidR="00143CBE">
        <w:t>;</w:t>
      </w:r>
      <w:r w:rsidR="007479FA">
        <w:t xml:space="preserve"> prescribers (medical and non-medical</w:t>
      </w:r>
      <w:r w:rsidR="00C24D00">
        <w:t>)</w:t>
      </w:r>
      <w:r w:rsidR="007479FA">
        <w:t>, nursing staff and pharmacists.</w:t>
      </w:r>
      <w:r w:rsidR="00811E71">
        <w:t xml:space="preserve"> </w:t>
      </w:r>
      <w:r w:rsidR="00A66D75">
        <w:t xml:space="preserve">Respondents were asked to; strongly agree, agree, neither agree nor </w:t>
      </w:r>
      <w:r w:rsidR="00A66D75">
        <w:lastRenderedPageBreak/>
        <w:t xml:space="preserve">disagree, </w:t>
      </w:r>
      <w:r w:rsidR="00EB2A76">
        <w:t>disagree,</w:t>
      </w:r>
      <w:r w:rsidR="00A66D75">
        <w:t xml:space="preserve"> or strongly disagree with the statements and to provide free text feedback</w:t>
      </w:r>
      <w:r w:rsidR="007479FA">
        <w:t xml:space="preserve"> regarding the ePMA system. </w:t>
      </w:r>
      <w:r w:rsidR="00A66D75">
        <w:t xml:space="preserve"> </w:t>
      </w:r>
    </w:p>
    <w:p w14:paraId="3CC96148" w14:textId="1C317545" w:rsidR="00DB0010" w:rsidRDefault="00DB0010" w:rsidP="005669ED">
      <w:pPr>
        <w:spacing w:line="360" w:lineRule="auto"/>
        <w:jc w:val="both"/>
      </w:pPr>
      <w:r>
        <w:t>Quantitative data was collect</w:t>
      </w:r>
      <w:r w:rsidR="00C24D00">
        <w:t>ed</w:t>
      </w:r>
      <w:r>
        <w:t xml:space="preserve"> using the </w:t>
      </w:r>
      <w:r w:rsidR="00C00608">
        <w:t>D</w:t>
      </w:r>
      <w:r>
        <w:t xml:space="preserve">atix incident reporting system to ascertain the baseline number of medication errors </w:t>
      </w:r>
      <w:r w:rsidR="003C54B0">
        <w:t>before</w:t>
      </w:r>
      <w:r>
        <w:t xml:space="preserve"> ePMA </w:t>
      </w:r>
      <w:r w:rsidR="000739AF">
        <w:t>implementation</w:t>
      </w:r>
      <w:r>
        <w:t xml:space="preserve"> and subsequently at agreed intervals following implementation to understand causality</w:t>
      </w:r>
      <w:r w:rsidR="00C00608">
        <w:t xml:space="preserve">, </w:t>
      </w:r>
      <w:r w:rsidR="00C24D00">
        <w:t>changes,</w:t>
      </w:r>
      <w:r>
        <w:t xml:space="preserve"> and trends. </w:t>
      </w:r>
    </w:p>
    <w:p w14:paraId="31724D12" w14:textId="09036C35" w:rsidR="00111F16" w:rsidRDefault="00111F16" w:rsidP="005669ED">
      <w:pPr>
        <w:spacing w:line="360" w:lineRule="auto"/>
        <w:jc w:val="both"/>
      </w:pPr>
    </w:p>
    <w:p w14:paraId="0D73D586" w14:textId="77777777" w:rsidR="00913DB2" w:rsidRDefault="00A66D75" w:rsidP="00913DB2">
      <w:pPr>
        <w:keepNext/>
        <w:spacing w:line="360" w:lineRule="auto"/>
        <w:jc w:val="center"/>
      </w:pPr>
      <w:r w:rsidRPr="00A66D75">
        <w:rPr>
          <w:noProof/>
        </w:rPr>
        <w:drawing>
          <wp:inline distT="0" distB="0" distL="0" distR="0" wp14:anchorId="1D0083D0" wp14:editId="63562C2B">
            <wp:extent cx="2371725" cy="2808424"/>
            <wp:effectExtent l="0" t="0" r="3175" b="0"/>
            <wp:docPr id="9" name="Picture 9" descr="Text,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table&#10;&#10;Description automatically generated with medium confidence"/>
                    <pic:cNvPicPr/>
                  </pic:nvPicPr>
                  <pic:blipFill>
                    <a:blip r:embed="rId16"/>
                    <a:stretch>
                      <a:fillRect/>
                    </a:stretch>
                  </pic:blipFill>
                  <pic:spPr>
                    <a:xfrm>
                      <a:off x="0" y="0"/>
                      <a:ext cx="2420819" cy="2866557"/>
                    </a:xfrm>
                    <a:prstGeom prst="rect">
                      <a:avLst/>
                    </a:prstGeom>
                  </pic:spPr>
                </pic:pic>
              </a:graphicData>
            </a:graphic>
          </wp:inline>
        </w:drawing>
      </w:r>
    </w:p>
    <w:p w14:paraId="56F09BF7" w14:textId="55AEAAFB" w:rsidR="00A66D75" w:rsidRPr="0025409D" w:rsidRDefault="00913DB2" w:rsidP="00913DB2">
      <w:pPr>
        <w:pStyle w:val="Caption"/>
        <w:jc w:val="center"/>
        <w:rPr>
          <w:sz w:val="22"/>
          <w:szCs w:val="22"/>
        </w:rPr>
      </w:pPr>
      <w:bookmarkStart w:id="13" w:name="_Toc128735618"/>
      <w:r w:rsidRPr="0025409D">
        <w:rPr>
          <w:sz w:val="22"/>
          <w:szCs w:val="22"/>
        </w:rPr>
        <w:t xml:space="preserve">Figure </w:t>
      </w:r>
      <w:r w:rsidR="00D72AEB" w:rsidRPr="0025409D">
        <w:rPr>
          <w:sz w:val="22"/>
          <w:szCs w:val="22"/>
        </w:rPr>
        <w:fldChar w:fldCharType="begin"/>
      </w:r>
      <w:r w:rsidR="00D72AEB" w:rsidRPr="0025409D">
        <w:rPr>
          <w:sz w:val="22"/>
          <w:szCs w:val="22"/>
        </w:rPr>
        <w:instrText xml:space="preserve"> SEQ Figure \* ARABIC </w:instrText>
      </w:r>
      <w:r w:rsidR="00D72AEB" w:rsidRPr="0025409D">
        <w:rPr>
          <w:sz w:val="22"/>
          <w:szCs w:val="22"/>
        </w:rPr>
        <w:fldChar w:fldCharType="separate"/>
      </w:r>
      <w:r w:rsidR="001F7B33">
        <w:rPr>
          <w:noProof/>
          <w:sz w:val="22"/>
          <w:szCs w:val="22"/>
        </w:rPr>
        <w:t>5</w:t>
      </w:r>
      <w:r w:rsidR="00D72AEB" w:rsidRPr="0025409D">
        <w:rPr>
          <w:noProof/>
          <w:sz w:val="22"/>
          <w:szCs w:val="22"/>
        </w:rPr>
        <w:fldChar w:fldCharType="end"/>
      </w:r>
      <w:r w:rsidRPr="0025409D">
        <w:rPr>
          <w:sz w:val="22"/>
          <w:szCs w:val="22"/>
        </w:rPr>
        <w:t xml:space="preserve">. Survey questions </w:t>
      </w:r>
      <w:r w:rsidR="004E0C98">
        <w:rPr>
          <w:sz w:val="22"/>
          <w:szCs w:val="22"/>
        </w:rPr>
        <w:t>issued</w:t>
      </w:r>
      <w:r w:rsidRPr="0025409D">
        <w:rPr>
          <w:sz w:val="22"/>
          <w:szCs w:val="22"/>
        </w:rPr>
        <w:t xml:space="preserve"> to prescribers (medical and non-medical)</w:t>
      </w:r>
      <w:bookmarkEnd w:id="13"/>
    </w:p>
    <w:p w14:paraId="4224ABFC" w14:textId="13E6B3FF" w:rsidR="00A66D75" w:rsidRDefault="00A66D75" w:rsidP="005669ED">
      <w:pPr>
        <w:spacing w:line="360" w:lineRule="auto"/>
        <w:jc w:val="both"/>
      </w:pPr>
    </w:p>
    <w:p w14:paraId="73102193" w14:textId="77777777" w:rsidR="00A66D75" w:rsidRDefault="00A66D75" w:rsidP="005669ED">
      <w:pPr>
        <w:spacing w:line="360" w:lineRule="auto"/>
        <w:jc w:val="both"/>
      </w:pPr>
    </w:p>
    <w:p w14:paraId="585F006A" w14:textId="77777777" w:rsidR="00913DB2" w:rsidRPr="0025409D" w:rsidRDefault="00A66D75" w:rsidP="00913DB2">
      <w:pPr>
        <w:keepNext/>
        <w:spacing w:line="360" w:lineRule="auto"/>
        <w:jc w:val="center"/>
        <w:rPr>
          <w:sz w:val="22"/>
          <w:szCs w:val="22"/>
        </w:rPr>
      </w:pPr>
      <w:r w:rsidRPr="0025409D">
        <w:rPr>
          <w:noProof/>
          <w:sz w:val="22"/>
          <w:szCs w:val="22"/>
        </w:rPr>
        <w:drawing>
          <wp:inline distT="0" distB="0" distL="0" distR="0" wp14:anchorId="6E9583BB" wp14:editId="0510E003">
            <wp:extent cx="2352536" cy="2718486"/>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7"/>
                    <a:stretch>
                      <a:fillRect/>
                    </a:stretch>
                  </pic:blipFill>
                  <pic:spPr>
                    <a:xfrm>
                      <a:off x="0" y="0"/>
                      <a:ext cx="2406045" cy="2780319"/>
                    </a:xfrm>
                    <a:prstGeom prst="rect">
                      <a:avLst/>
                    </a:prstGeom>
                  </pic:spPr>
                </pic:pic>
              </a:graphicData>
            </a:graphic>
          </wp:inline>
        </w:drawing>
      </w:r>
    </w:p>
    <w:p w14:paraId="14940220" w14:textId="49C799CE" w:rsidR="00A66D75" w:rsidRPr="0025409D" w:rsidRDefault="00913DB2" w:rsidP="00913DB2">
      <w:pPr>
        <w:pStyle w:val="Caption"/>
        <w:jc w:val="center"/>
        <w:rPr>
          <w:sz w:val="22"/>
          <w:szCs w:val="22"/>
        </w:rPr>
      </w:pPr>
      <w:bookmarkStart w:id="14" w:name="_Toc128735619"/>
      <w:r w:rsidRPr="0025409D">
        <w:rPr>
          <w:sz w:val="22"/>
          <w:szCs w:val="22"/>
        </w:rPr>
        <w:t xml:space="preserve">Figure </w:t>
      </w:r>
      <w:r w:rsidR="00D72AEB" w:rsidRPr="0025409D">
        <w:rPr>
          <w:sz w:val="22"/>
          <w:szCs w:val="22"/>
        </w:rPr>
        <w:fldChar w:fldCharType="begin"/>
      </w:r>
      <w:r w:rsidR="00D72AEB" w:rsidRPr="0025409D">
        <w:rPr>
          <w:sz w:val="22"/>
          <w:szCs w:val="22"/>
        </w:rPr>
        <w:instrText xml:space="preserve"> SEQ Figure \* ARABIC </w:instrText>
      </w:r>
      <w:r w:rsidR="00D72AEB" w:rsidRPr="0025409D">
        <w:rPr>
          <w:sz w:val="22"/>
          <w:szCs w:val="22"/>
        </w:rPr>
        <w:fldChar w:fldCharType="separate"/>
      </w:r>
      <w:r w:rsidR="001F7B33">
        <w:rPr>
          <w:noProof/>
          <w:sz w:val="22"/>
          <w:szCs w:val="22"/>
        </w:rPr>
        <w:t>6</w:t>
      </w:r>
      <w:r w:rsidR="00D72AEB" w:rsidRPr="0025409D">
        <w:rPr>
          <w:noProof/>
          <w:sz w:val="22"/>
          <w:szCs w:val="22"/>
        </w:rPr>
        <w:fldChar w:fldCharType="end"/>
      </w:r>
      <w:r w:rsidRPr="0025409D">
        <w:rPr>
          <w:sz w:val="22"/>
          <w:szCs w:val="22"/>
        </w:rPr>
        <w:t>. Survey questions issue</w:t>
      </w:r>
      <w:r w:rsidR="004D2BA1">
        <w:rPr>
          <w:sz w:val="22"/>
          <w:szCs w:val="22"/>
        </w:rPr>
        <w:t>d</w:t>
      </w:r>
      <w:r w:rsidRPr="0025409D">
        <w:rPr>
          <w:sz w:val="22"/>
          <w:szCs w:val="22"/>
        </w:rPr>
        <w:t xml:space="preserve"> to registered nurses</w:t>
      </w:r>
      <w:bookmarkEnd w:id="14"/>
    </w:p>
    <w:p w14:paraId="2AB73B09" w14:textId="52607F44" w:rsidR="00A66D75" w:rsidRDefault="00A66D75" w:rsidP="005669ED">
      <w:pPr>
        <w:spacing w:line="360" w:lineRule="auto"/>
        <w:jc w:val="both"/>
      </w:pPr>
    </w:p>
    <w:p w14:paraId="212A3BC6" w14:textId="6C43DF7D" w:rsidR="00A66D75" w:rsidRDefault="00A66D75" w:rsidP="005669ED">
      <w:pPr>
        <w:spacing w:line="360" w:lineRule="auto"/>
        <w:jc w:val="both"/>
      </w:pPr>
    </w:p>
    <w:p w14:paraId="7903DEE4" w14:textId="77777777" w:rsidR="009D2F06" w:rsidRPr="0025409D" w:rsidRDefault="00A66D75" w:rsidP="009D2F06">
      <w:pPr>
        <w:keepNext/>
        <w:spacing w:line="360" w:lineRule="auto"/>
        <w:jc w:val="center"/>
        <w:rPr>
          <w:sz w:val="22"/>
          <w:szCs w:val="22"/>
        </w:rPr>
      </w:pPr>
      <w:r w:rsidRPr="00A66D75">
        <w:rPr>
          <w:noProof/>
        </w:rPr>
        <w:drawing>
          <wp:inline distT="0" distB="0" distL="0" distR="0" wp14:anchorId="7AC38FF9" wp14:editId="5D4C2770">
            <wp:extent cx="2298356" cy="3210403"/>
            <wp:effectExtent l="0" t="0" r="635" b="317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18"/>
                    <a:stretch>
                      <a:fillRect/>
                    </a:stretch>
                  </pic:blipFill>
                  <pic:spPr>
                    <a:xfrm>
                      <a:off x="0" y="0"/>
                      <a:ext cx="2381712" cy="3326837"/>
                    </a:xfrm>
                    <a:prstGeom prst="rect">
                      <a:avLst/>
                    </a:prstGeom>
                  </pic:spPr>
                </pic:pic>
              </a:graphicData>
            </a:graphic>
          </wp:inline>
        </w:drawing>
      </w:r>
    </w:p>
    <w:p w14:paraId="03CC419E" w14:textId="1BBF8937" w:rsidR="002F779C" w:rsidRPr="0025409D" w:rsidRDefault="009D2F06" w:rsidP="009D2F06">
      <w:pPr>
        <w:pStyle w:val="Caption"/>
        <w:jc w:val="center"/>
        <w:rPr>
          <w:sz w:val="22"/>
          <w:szCs w:val="22"/>
        </w:rPr>
      </w:pPr>
      <w:bookmarkStart w:id="15" w:name="_Toc128735620"/>
      <w:r w:rsidRPr="0025409D">
        <w:rPr>
          <w:sz w:val="22"/>
          <w:szCs w:val="22"/>
        </w:rPr>
        <w:t xml:space="preserve">Figure </w:t>
      </w:r>
      <w:r w:rsidR="00D72AEB" w:rsidRPr="0025409D">
        <w:rPr>
          <w:sz w:val="22"/>
          <w:szCs w:val="22"/>
        </w:rPr>
        <w:fldChar w:fldCharType="begin"/>
      </w:r>
      <w:r w:rsidR="00D72AEB" w:rsidRPr="0025409D">
        <w:rPr>
          <w:sz w:val="22"/>
          <w:szCs w:val="22"/>
        </w:rPr>
        <w:instrText xml:space="preserve"> SEQ Figure \* ARABIC </w:instrText>
      </w:r>
      <w:r w:rsidR="00D72AEB" w:rsidRPr="0025409D">
        <w:rPr>
          <w:sz w:val="22"/>
          <w:szCs w:val="22"/>
        </w:rPr>
        <w:fldChar w:fldCharType="separate"/>
      </w:r>
      <w:r w:rsidR="001F7B33">
        <w:rPr>
          <w:noProof/>
          <w:sz w:val="22"/>
          <w:szCs w:val="22"/>
        </w:rPr>
        <w:t>7</w:t>
      </w:r>
      <w:r w:rsidR="00D72AEB" w:rsidRPr="0025409D">
        <w:rPr>
          <w:noProof/>
          <w:sz w:val="22"/>
          <w:szCs w:val="22"/>
        </w:rPr>
        <w:fldChar w:fldCharType="end"/>
      </w:r>
      <w:r w:rsidRPr="0025409D">
        <w:rPr>
          <w:sz w:val="22"/>
          <w:szCs w:val="22"/>
        </w:rPr>
        <w:t>. Survey questions issue</w:t>
      </w:r>
      <w:r w:rsidR="004D2BA1">
        <w:rPr>
          <w:sz w:val="22"/>
          <w:szCs w:val="22"/>
        </w:rPr>
        <w:t>d</w:t>
      </w:r>
      <w:r w:rsidRPr="0025409D">
        <w:rPr>
          <w:sz w:val="22"/>
          <w:szCs w:val="22"/>
        </w:rPr>
        <w:t xml:space="preserve"> to pharmacists</w:t>
      </w:r>
      <w:bookmarkEnd w:id="15"/>
    </w:p>
    <w:p w14:paraId="7BE3408E" w14:textId="77777777" w:rsidR="00111F16" w:rsidRDefault="00111F16" w:rsidP="003C39E9">
      <w:pPr>
        <w:spacing w:line="360" w:lineRule="auto"/>
        <w:jc w:val="both"/>
      </w:pPr>
    </w:p>
    <w:p w14:paraId="45C72637" w14:textId="0411EA9E" w:rsidR="00485AC2" w:rsidRDefault="00485AC2" w:rsidP="00FC1399">
      <w:pPr>
        <w:spacing w:line="360" w:lineRule="auto"/>
        <w:jc w:val="both"/>
      </w:pPr>
    </w:p>
    <w:p w14:paraId="21DE44C3" w14:textId="4EFD91AE" w:rsidR="00485AC2" w:rsidRDefault="004C0E17" w:rsidP="00485AC2">
      <w:pPr>
        <w:pStyle w:val="Heading3"/>
      </w:pPr>
      <w:bookmarkStart w:id="16" w:name="_Toc128739207"/>
      <w:r>
        <w:t>Literature Review, Search Strategy</w:t>
      </w:r>
      <w:bookmarkEnd w:id="16"/>
    </w:p>
    <w:p w14:paraId="1F9A0383" w14:textId="3C944333" w:rsidR="00485AC2" w:rsidRDefault="00485AC2" w:rsidP="004C0E17">
      <w:pPr>
        <w:spacing w:line="360" w:lineRule="auto"/>
        <w:jc w:val="both"/>
      </w:pPr>
      <w:r>
        <w:t xml:space="preserve">The initial search was carried out using google scholar, using the phrase "electronic medicines management systems". A further search was </w:t>
      </w:r>
      <w:r w:rsidR="00E52948">
        <w:t xml:space="preserve">conducted </w:t>
      </w:r>
      <w:r>
        <w:t xml:space="preserve">using PubMed, Embase and Medline, using the keywords; "prescribing', "admin*", "midic*", and "health information system" truncation technique was used to broaden the search, and Boolean operators were utilised to enhance the specificity. Exclusion criteria were </w:t>
      </w:r>
      <w:r w:rsidR="007F1DCC">
        <w:t>applied,</w:t>
      </w:r>
      <w:r w:rsidR="000D1DB3">
        <w:t xml:space="preserve"> </w:t>
      </w:r>
      <w:r w:rsidR="00B741F3">
        <w:t xml:space="preserve">with </w:t>
      </w:r>
      <w:r w:rsidR="000D1DB3">
        <w:t>a</w:t>
      </w:r>
      <w:r>
        <w:t xml:space="preserve">rticles not published in English, relevant, duplicated or written before 2012 excluded. </w:t>
      </w:r>
    </w:p>
    <w:p w14:paraId="10D938BF" w14:textId="77777777" w:rsidR="00FD4194" w:rsidRDefault="00FD4194" w:rsidP="005E10B5">
      <w:pPr>
        <w:pStyle w:val="Heading2"/>
      </w:pPr>
    </w:p>
    <w:p w14:paraId="3CCC8528" w14:textId="0AB65B4C" w:rsidR="00CD3BF4" w:rsidRPr="00FD4194" w:rsidRDefault="00CD3BF4" w:rsidP="00FD4194">
      <w:pPr>
        <w:pStyle w:val="Heading2"/>
      </w:pPr>
      <w:bookmarkStart w:id="17" w:name="_Toc128739208"/>
      <w:r w:rsidRPr="00FD4194">
        <w:t>Results</w:t>
      </w:r>
      <w:bookmarkEnd w:id="17"/>
    </w:p>
    <w:p w14:paraId="0836832E" w14:textId="2E533C60" w:rsidR="00045F07" w:rsidRDefault="00045F07"/>
    <w:p w14:paraId="670D1F97" w14:textId="3796230E" w:rsidR="00FC1399" w:rsidRPr="00FC1399" w:rsidRDefault="00045F07" w:rsidP="004C0E17">
      <w:pPr>
        <w:spacing w:line="360" w:lineRule="auto"/>
        <w:jc w:val="both"/>
      </w:pPr>
      <w:r>
        <w:t xml:space="preserve">The FITT framework was applied to </w:t>
      </w:r>
      <w:r w:rsidR="008E50C6">
        <w:t xml:space="preserve">the findings from the evaluation </w:t>
      </w:r>
      <w:r w:rsidR="00F93B6E">
        <w:t xml:space="preserve">and literature review </w:t>
      </w:r>
      <w:r w:rsidR="008E50C6">
        <w:t xml:space="preserve">(Thomas, 2022) to </w:t>
      </w:r>
      <w:r>
        <w:t xml:space="preserve">assess the relationships between users, </w:t>
      </w:r>
      <w:r w:rsidR="003C54B0">
        <w:t>tasks</w:t>
      </w:r>
      <w:r>
        <w:t>, and technology</w:t>
      </w:r>
      <w:r w:rsidR="00C52EAF">
        <w:t xml:space="preserve"> based on the responses to the survey</w:t>
      </w:r>
      <w:r w:rsidR="00F93B6E">
        <w:t>,</w:t>
      </w:r>
      <w:r w:rsidR="00E169B9">
        <w:t xml:space="preserve"> free text feedback</w:t>
      </w:r>
      <w:r w:rsidR="00F93B6E">
        <w:t xml:space="preserve"> and relevant literature</w:t>
      </w:r>
      <w:r>
        <w:t>.</w:t>
      </w:r>
      <w:r w:rsidR="00811E71">
        <w:t xml:space="preserve"> </w:t>
      </w:r>
      <w:r w:rsidR="0030113C">
        <w:t>The author acknowledges the diverse role of the users discussed</w:t>
      </w:r>
      <w:r w:rsidR="003C54B0">
        <w:t>.</w:t>
      </w:r>
      <w:r w:rsidR="00811E71">
        <w:t xml:space="preserve"> </w:t>
      </w:r>
      <w:r w:rsidR="003C54B0">
        <w:t>However</w:t>
      </w:r>
      <w:r w:rsidR="0030113C">
        <w:t xml:space="preserve">, discussing the full </w:t>
      </w:r>
      <w:r w:rsidR="003C54B0">
        <w:t>function</w:t>
      </w:r>
      <w:r w:rsidR="0030113C">
        <w:t xml:space="preserve"> of any clinical professional is beyond the remit of this assignment</w:t>
      </w:r>
      <w:r w:rsidR="003C54B0">
        <w:t>.</w:t>
      </w:r>
      <w:r w:rsidR="00811E71">
        <w:t xml:space="preserve"> </w:t>
      </w:r>
      <w:r w:rsidR="003C54B0">
        <w:t>It, therefore, will</w:t>
      </w:r>
      <w:r w:rsidR="0030113C">
        <w:t xml:space="preserve"> focus on the </w:t>
      </w:r>
      <w:r w:rsidR="00811E71">
        <w:t>user's</w:t>
      </w:r>
      <w:r w:rsidR="003C54B0">
        <w:t xml:space="preserve"> role relevant to</w:t>
      </w:r>
      <w:r w:rsidR="0030113C">
        <w:t xml:space="preserve"> using the ePMA system and associated technology.</w:t>
      </w:r>
    </w:p>
    <w:p w14:paraId="1446C1D0" w14:textId="79861330" w:rsidR="00045F07" w:rsidRDefault="00045F07" w:rsidP="00045F07">
      <w:pPr>
        <w:spacing w:line="360" w:lineRule="auto"/>
        <w:jc w:val="both"/>
      </w:pPr>
    </w:p>
    <w:p w14:paraId="279B1558" w14:textId="694143F2" w:rsidR="00045F07" w:rsidRDefault="00045F07" w:rsidP="00FC1399">
      <w:pPr>
        <w:pStyle w:val="Heading3"/>
        <w:rPr>
          <w:i/>
          <w:iCs/>
        </w:rPr>
      </w:pPr>
      <w:bookmarkStart w:id="18" w:name="_Toc128739209"/>
      <w:r w:rsidRPr="00FC1399">
        <w:rPr>
          <w:i/>
          <w:iCs/>
        </w:rPr>
        <w:lastRenderedPageBreak/>
        <w:t>FITT: Prescribers (medical and non-medical), task and technology</w:t>
      </w:r>
      <w:bookmarkEnd w:id="18"/>
    </w:p>
    <w:p w14:paraId="07D87EF2" w14:textId="77777777" w:rsidR="009D2F06" w:rsidRPr="009D2F06" w:rsidRDefault="009D2F06" w:rsidP="009D2F06"/>
    <w:p w14:paraId="638AC7BF" w14:textId="77777777" w:rsidR="009D2F06" w:rsidRDefault="00120949" w:rsidP="009D2F06">
      <w:pPr>
        <w:keepNext/>
        <w:spacing w:line="360" w:lineRule="auto"/>
        <w:jc w:val="center"/>
      </w:pPr>
      <w:r w:rsidRPr="00120949">
        <w:rPr>
          <w:noProof/>
        </w:rPr>
        <w:drawing>
          <wp:inline distT="0" distB="0" distL="0" distR="0" wp14:anchorId="51E6E0E2" wp14:editId="12362FFA">
            <wp:extent cx="4767943" cy="2767914"/>
            <wp:effectExtent l="0" t="0" r="0" b="127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9"/>
                    <a:stretch>
                      <a:fillRect/>
                    </a:stretch>
                  </pic:blipFill>
                  <pic:spPr>
                    <a:xfrm>
                      <a:off x="0" y="0"/>
                      <a:ext cx="4877477" cy="2831501"/>
                    </a:xfrm>
                    <a:prstGeom prst="rect">
                      <a:avLst/>
                    </a:prstGeom>
                  </pic:spPr>
                </pic:pic>
              </a:graphicData>
            </a:graphic>
          </wp:inline>
        </w:drawing>
      </w:r>
    </w:p>
    <w:p w14:paraId="40BDB930" w14:textId="0AD75A37" w:rsidR="00120949" w:rsidRPr="00D97E7E" w:rsidRDefault="009D2F06" w:rsidP="009D2F06">
      <w:pPr>
        <w:pStyle w:val="Caption"/>
        <w:jc w:val="center"/>
        <w:rPr>
          <w:sz w:val="22"/>
          <w:szCs w:val="22"/>
        </w:rPr>
      </w:pPr>
      <w:bookmarkStart w:id="19" w:name="_Toc128735621"/>
      <w:r w:rsidRPr="00D97E7E">
        <w:rPr>
          <w:sz w:val="22"/>
          <w:szCs w:val="22"/>
        </w:rPr>
        <w:t xml:space="preserve">Figure </w:t>
      </w:r>
      <w:r w:rsidR="00D72AEB" w:rsidRPr="00D97E7E">
        <w:rPr>
          <w:sz w:val="22"/>
          <w:szCs w:val="22"/>
        </w:rPr>
        <w:fldChar w:fldCharType="begin"/>
      </w:r>
      <w:r w:rsidR="00D72AEB" w:rsidRPr="00D97E7E">
        <w:rPr>
          <w:sz w:val="22"/>
          <w:szCs w:val="22"/>
        </w:rPr>
        <w:instrText xml:space="preserve"> SEQ Figure \* ARABIC </w:instrText>
      </w:r>
      <w:r w:rsidR="00D72AEB" w:rsidRPr="00D97E7E">
        <w:rPr>
          <w:sz w:val="22"/>
          <w:szCs w:val="22"/>
        </w:rPr>
        <w:fldChar w:fldCharType="separate"/>
      </w:r>
      <w:r w:rsidR="001F7B33">
        <w:rPr>
          <w:noProof/>
          <w:sz w:val="22"/>
          <w:szCs w:val="22"/>
        </w:rPr>
        <w:t>8</w:t>
      </w:r>
      <w:r w:rsidR="00D72AEB" w:rsidRPr="00D97E7E">
        <w:rPr>
          <w:noProof/>
          <w:sz w:val="22"/>
          <w:szCs w:val="22"/>
        </w:rPr>
        <w:fldChar w:fldCharType="end"/>
      </w:r>
      <w:r w:rsidRPr="00D97E7E">
        <w:rPr>
          <w:sz w:val="22"/>
          <w:szCs w:val="22"/>
        </w:rPr>
        <w:t xml:space="preserve">. </w:t>
      </w:r>
      <w:r w:rsidR="00D97E7E" w:rsidRPr="00D97E7E">
        <w:rPr>
          <w:sz w:val="22"/>
          <w:szCs w:val="22"/>
        </w:rPr>
        <w:t>Prescribers’</w:t>
      </w:r>
      <w:r w:rsidRPr="00D97E7E">
        <w:rPr>
          <w:sz w:val="22"/>
          <w:szCs w:val="22"/>
        </w:rPr>
        <w:t xml:space="preserve"> response to </w:t>
      </w:r>
      <w:r w:rsidR="00194B4C">
        <w:rPr>
          <w:sz w:val="22"/>
          <w:szCs w:val="22"/>
        </w:rPr>
        <w:t xml:space="preserve">the </w:t>
      </w:r>
      <w:r w:rsidRPr="00D97E7E">
        <w:rPr>
          <w:sz w:val="22"/>
          <w:szCs w:val="22"/>
        </w:rPr>
        <w:t>survey</w:t>
      </w:r>
      <w:bookmarkEnd w:id="19"/>
    </w:p>
    <w:p w14:paraId="3A3517B3" w14:textId="68B667EB" w:rsidR="00771850" w:rsidRDefault="00234368" w:rsidP="00045F07">
      <w:pPr>
        <w:spacing w:line="360" w:lineRule="auto"/>
        <w:jc w:val="both"/>
      </w:pPr>
      <w:r>
        <w:t xml:space="preserve">The main types of tasks conducted by medical and non-medical prescribers </w:t>
      </w:r>
      <w:r w:rsidR="0030113C">
        <w:t xml:space="preserve">as users of the ePMA system </w:t>
      </w:r>
      <w:r w:rsidR="00771850">
        <w:t xml:space="preserve">include reviewing </w:t>
      </w:r>
      <w:r w:rsidR="00E52948">
        <w:t>the patient’s condition, their</w:t>
      </w:r>
      <w:r w:rsidR="00771850">
        <w:t xml:space="preserve"> medical notes, medication records and test results </w:t>
      </w:r>
      <w:r w:rsidR="003C54B0">
        <w:t xml:space="preserve">to </w:t>
      </w:r>
      <w:r w:rsidR="00E52948">
        <w:t xml:space="preserve">appropriately </w:t>
      </w:r>
      <w:r w:rsidR="003C54B0">
        <w:t>prescribe medication for the patient</w:t>
      </w:r>
      <w:r w:rsidR="00771850">
        <w:t>.</w:t>
      </w:r>
      <w:r w:rsidR="00E52948">
        <w:t xml:space="preserve"> </w:t>
      </w:r>
      <w:r w:rsidR="007B04CA">
        <w:t>A hybrid information system</w:t>
      </w:r>
      <w:r w:rsidR="00E52948">
        <w:t xml:space="preserve"> requiring prescribers to access </w:t>
      </w:r>
      <w:r w:rsidR="00771850">
        <w:t>computer devices and paper-based records</w:t>
      </w:r>
      <w:r w:rsidR="00561054">
        <w:t xml:space="preserve"> </w:t>
      </w:r>
      <w:r w:rsidR="007B04CA">
        <w:t xml:space="preserve">introduces </w:t>
      </w:r>
      <w:r w:rsidR="00771850">
        <w:t>confusion a</w:t>
      </w:r>
      <w:r w:rsidR="00561054">
        <w:t>bout</w:t>
      </w:r>
      <w:r w:rsidR="00771850">
        <w:t xml:space="preserve"> where information is accessed or documented, </w:t>
      </w:r>
      <w:r w:rsidR="00561054">
        <w:t xml:space="preserve">which can result in </w:t>
      </w:r>
      <w:r w:rsidR="00771850">
        <w:t>omission</w:t>
      </w:r>
      <w:r w:rsidR="00561054">
        <w:t>s</w:t>
      </w:r>
      <w:r w:rsidR="00771850">
        <w:t xml:space="preserve"> or duplication</w:t>
      </w:r>
      <w:r w:rsidR="00561054">
        <w:t xml:space="preserve">s </w:t>
      </w:r>
      <w:r w:rsidR="00E52948">
        <w:t xml:space="preserve">that </w:t>
      </w:r>
      <w:r w:rsidR="00D97E7E">
        <w:t>adversely affect</w:t>
      </w:r>
      <w:r w:rsidR="00561054">
        <w:t xml:space="preserve"> </w:t>
      </w:r>
      <w:r w:rsidR="00771850">
        <w:t xml:space="preserve">patient safety. </w:t>
      </w:r>
    </w:p>
    <w:p w14:paraId="5584AEB7" w14:textId="25E71533" w:rsidR="00771850" w:rsidRDefault="00771850" w:rsidP="00045F07">
      <w:pPr>
        <w:spacing w:line="360" w:lineRule="auto"/>
        <w:jc w:val="both"/>
      </w:pPr>
      <w:r>
        <w:t xml:space="preserve">Prescriber feedback also revealed that </w:t>
      </w:r>
      <w:r w:rsidR="00C65C4D">
        <w:t xml:space="preserve">the implementation of ePMA did not offer any </w:t>
      </w:r>
      <w:r w:rsidR="007B04CA">
        <w:t>timesaving</w:t>
      </w:r>
      <w:r w:rsidR="00C65C4D">
        <w:t xml:space="preserve"> efficiencies</w:t>
      </w:r>
      <w:r w:rsidR="003C54B0">
        <w:t xml:space="preserve"> due to the hybrid nature of the information available.</w:t>
      </w:r>
      <w:r w:rsidR="00811E71">
        <w:t xml:space="preserve"> </w:t>
      </w:r>
      <w:r w:rsidR="003C54B0">
        <w:t>However</w:t>
      </w:r>
      <w:r w:rsidR="00C65C4D">
        <w:t xml:space="preserve">, the lack of </w:t>
      </w:r>
      <w:r w:rsidR="000739AF">
        <w:t>timesaving</w:t>
      </w:r>
      <w:r w:rsidR="00C65C4D">
        <w:t xml:space="preserve"> is not uncommon in the early stages of a new clinical information system (</w:t>
      </w:r>
      <w:r w:rsidR="00047EDD">
        <w:t xml:space="preserve">Miller </w:t>
      </w:r>
      <w:r w:rsidR="00047EDD" w:rsidRPr="00DB3DAA">
        <w:rPr>
          <w:i/>
          <w:iCs/>
        </w:rPr>
        <w:t>et al</w:t>
      </w:r>
      <w:r w:rsidR="00047EDD">
        <w:t xml:space="preserve">. 2016; Atun </w:t>
      </w:r>
      <w:r w:rsidR="00047EDD" w:rsidRPr="00DB3DAA">
        <w:rPr>
          <w:i/>
          <w:iCs/>
        </w:rPr>
        <w:t>et al</w:t>
      </w:r>
      <w:r w:rsidR="00047EDD">
        <w:t xml:space="preserve">. 2015; and Kulkarni </w:t>
      </w:r>
      <w:r w:rsidR="00047EDD" w:rsidRPr="00DB3DAA">
        <w:rPr>
          <w:i/>
          <w:iCs/>
        </w:rPr>
        <w:t>et a</w:t>
      </w:r>
      <w:r w:rsidR="00800756" w:rsidRPr="00DB3DAA">
        <w:rPr>
          <w:i/>
          <w:iCs/>
        </w:rPr>
        <w:t>l</w:t>
      </w:r>
      <w:r w:rsidR="00047EDD">
        <w:t xml:space="preserve">. 2020). </w:t>
      </w:r>
      <w:r w:rsidR="00C65C4D">
        <w:t xml:space="preserve"> </w:t>
      </w:r>
    </w:p>
    <w:p w14:paraId="449BF5C0" w14:textId="13069059" w:rsidR="008067CF" w:rsidRDefault="008067CF" w:rsidP="00045F07">
      <w:pPr>
        <w:spacing w:line="360" w:lineRule="auto"/>
        <w:jc w:val="both"/>
      </w:pPr>
    </w:p>
    <w:p w14:paraId="7DDC5F0D" w14:textId="0A3762D2" w:rsidR="005339EE" w:rsidRDefault="005339EE" w:rsidP="00045F07">
      <w:pPr>
        <w:spacing w:line="360" w:lineRule="auto"/>
        <w:jc w:val="both"/>
      </w:pPr>
    </w:p>
    <w:p w14:paraId="09D6D7C0" w14:textId="19F76918" w:rsidR="005339EE" w:rsidRDefault="005339EE" w:rsidP="00045F07">
      <w:pPr>
        <w:spacing w:line="360" w:lineRule="auto"/>
        <w:jc w:val="both"/>
      </w:pPr>
    </w:p>
    <w:p w14:paraId="43878846" w14:textId="14480008" w:rsidR="005339EE" w:rsidRDefault="005339EE" w:rsidP="00045F07">
      <w:pPr>
        <w:spacing w:line="360" w:lineRule="auto"/>
        <w:jc w:val="both"/>
      </w:pPr>
    </w:p>
    <w:p w14:paraId="2935F42C" w14:textId="19D6F0D3" w:rsidR="005339EE" w:rsidRDefault="005339EE" w:rsidP="00045F07">
      <w:pPr>
        <w:spacing w:line="360" w:lineRule="auto"/>
        <w:jc w:val="both"/>
      </w:pPr>
    </w:p>
    <w:p w14:paraId="65E19E99" w14:textId="33B89B4C" w:rsidR="005339EE" w:rsidRDefault="005339EE" w:rsidP="00045F07">
      <w:pPr>
        <w:spacing w:line="360" w:lineRule="auto"/>
        <w:jc w:val="both"/>
      </w:pPr>
    </w:p>
    <w:p w14:paraId="4C2A82DB" w14:textId="115CB7E5" w:rsidR="005339EE" w:rsidRDefault="005339EE" w:rsidP="00045F07">
      <w:pPr>
        <w:spacing w:line="360" w:lineRule="auto"/>
        <w:jc w:val="both"/>
      </w:pPr>
    </w:p>
    <w:p w14:paraId="2D078E5B" w14:textId="77777777" w:rsidR="005339EE" w:rsidRDefault="005339EE" w:rsidP="00045F07">
      <w:pPr>
        <w:spacing w:line="360" w:lineRule="auto"/>
        <w:jc w:val="both"/>
      </w:pPr>
    </w:p>
    <w:p w14:paraId="6B09D351" w14:textId="1B83E8BD" w:rsidR="00AE4F4F" w:rsidRDefault="00AE4F4F" w:rsidP="00AE4F4F">
      <w:pPr>
        <w:pStyle w:val="Heading3"/>
      </w:pPr>
      <w:bookmarkStart w:id="20" w:name="_Toc128739210"/>
      <w:r>
        <w:lastRenderedPageBreak/>
        <w:t>FITT: Registered nurse, task, and technology</w:t>
      </w:r>
      <w:bookmarkEnd w:id="20"/>
    </w:p>
    <w:p w14:paraId="54EDB103" w14:textId="3DACA744" w:rsidR="00FA7F06" w:rsidRDefault="00FA7F06" w:rsidP="00AE4F4F"/>
    <w:p w14:paraId="3517B173" w14:textId="77777777" w:rsidR="009D2F06" w:rsidRDefault="00FA7F06" w:rsidP="009D2F06">
      <w:pPr>
        <w:keepNext/>
        <w:jc w:val="center"/>
      </w:pPr>
      <w:r w:rsidRPr="00FA7F06">
        <w:rPr>
          <w:noProof/>
        </w:rPr>
        <w:drawing>
          <wp:inline distT="0" distB="0" distL="0" distR="0" wp14:anchorId="4B0C511D" wp14:editId="37EF3D19">
            <wp:extent cx="5165124" cy="3101020"/>
            <wp:effectExtent l="0" t="0" r="381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20"/>
                    <a:stretch>
                      <a:fillRect/>
                    </a:stretch>
                  </pic:blipFill>
                  <pic:spPr>
                    <a:xfrm>
                      <a:off x="0" y="0"/>
                      <a:ext cx="5192576" cy="3117502"/>
                    </a:xfrm>
                    <a:prstGeom prst="rect">
                      <a:avLst/>
                    </a:prstGeom>
                  </pic:spPr>
                </pic:pic>
              </a:graphicData>
            </a:graphic>
          </wp:inline>
        </w:drawing>
      </w:r>
    </w:p>
    <w:p w14:paraId="7F2D6547" w14:textId="5B001A10" w:rsidR="00A762B3" w:rsidRDefault="009D2F06" w:rsidP="00D93E6B">
      <w:pPr>
        <w:pStyle w:val="Caption"/>
        <w:jc w:val="center"/>
        <w:rPr>
          <w:sz w:val="22"/>
          <w:szCs w:val="22"/>
        </w:rPr>
      </w:pPr>
      <w:bookmarkStart w:id="21" w:name="_Toc128735622"/>
      <w:r w:rsidRPr="008067CF">
        <w:rPr>
          <w:sz w:val="22"/>
          <w:szCs w:val="22"/>
        </w:rPr>
        <w:t xml:space="preserve">Figure </w:t>
      </w:r>
      <w:r w:rsidR="00D72AEB" w:rsidRPr="008067CF">
        <w:rPr>
          <w:sz w:val="22"/>
          <w:szCs w:val="22"/>
        </w:rPr>
        <w:fldChar w:fldCharType="begin"/>
      </w:r>
      <w:r w:rsidR="00D72AEB" w:rsidRPr="008067CF">
        <w:rPr>
          <w:sz w:val="22"/>
          <w:szCs w:val="22"/>
        </w:rPr>
        <w:instrText xml:space="preserve"> SEQ Figure \* ARABIC </w:instrText>
      </w:r>
      <w:r w:rsidR="00D72AEB" w:rsidRPr="008067CF">
        <w:rPr>
          <w:sz w:val="22"/>
          <w:szCs w:val="22"/>
        </w:rPr>
        <w:fldChar w:fldCharType="separate"/>
      </w:r>
      <w:r w:rsidR="001F7B33">
        <w:rPr>
          <w:noProof/>
          <w:sz w:val="22"/>
          <w:szCs w:val="22"/>
        </w:rPr>
        <w:t>9</w:t>
      </w:r>
      <w:r w:rsidR="00D72AEB" w:rsidRPr="008067CF">
        <w:rPr>
          <w:noProof/>
          <w:sz w:val="22"/>
          <w:szCs w:val="22"/>
        </w:rPr>
        <w:fldChar w:fldCharType="end"/>
      </w:r>
      <w:r w:rsidRPr="008067CF">
        <w:rPr>
          <w:sz w:val="22"/>
          <w:szCs w:val="22"/>
        </w:rPr>
        <w:t xml:space="preserve">. Registered nurse response to </w:t>
      </w:r>
      <w:r w:rsidR="00194B4C">
        <w:rPr>
          <w:sz w:val="22"/>
          <w:szCs w:val="22"/>
        </w:rPr>
        <w:t xml:space="preserve">the </w:t>
      </w:r>
      <w:r w:rsidRPr="008067CF">
        <w:rPr>
          <w:sz w:val="22"/>
          <w:szCs w:val="22"/>
        </w:rPr>
        <w:t>survey</w:t>
      </w:r>
      <w:bookmarkEnd w:id="21"/>
    </w:p>
    <w:p w14:paraId="353D7D8E" w14:textId="77777777" w:rsidR="005339EE" w:rsidRPr="005339EE" w:rsidRDefault="005339EE" w:rsidP="005339EE"/>
    <w:p w14:paraId="29F0663C" w14:textId="14E21D65" w:rsidR="008843DF" w:rsidRDefault="0037453A" w:rsidP="0037453A">
      <w:pPr>
        <w:spacing w:line="360" w:lineRule="auto"/>
        <w:jc w:val="both"/>
      </w:pPr>
      <w:r>
        <w:t xml:space="preserve">The tasks carried out by registered nurses </w:t>
      </w:r>
      <w:r w:rsidR="0030113C">
        <w:t>as user</w:t>
      </w:r>
      <w:r w:rsidR="00F31F19">
        <w:t>s</w:t>
      </w:r>
      <w:r w:rsidR="0030113C">
        <w:t xml:space="preserve"> of the ePMA system </w:t>
      </w:r>
      <w:r>
        <w:t xml:space="preserve">include accessing information to prepare medication, documenting </w:t>
      </w:r>
      <w:r w:rsidR="003C54B0">
        <w:t>medication administration</w:t>
      </w:r>
      <w:r>
        <w:t>, reviewing patient notes and</w:t>
      </w:r>
      <w:r w:rsidR="008067CF">
        <w:t xml:space="preserve"> administering and</w:t>
      </w:r>
      <w:r>
        <w:t xml:space="preserve"> observing that the patient has taken their medication </w:t>
      </w:r>
      <w:r w:rsidR="00977597">
        <w:t xml:space="preserve">safely and </w:t>
      </w:r>
      <w:r>
        <w:t>as prescribed with appropriate consent.</w:t>
      </w:r>
      <w:r w:rsidR="00811E71">
        <w:t xml:space="preserve"> </w:t>
      </w:r>
      <w:r w:rsidR="00AC75B0">
        <w:t>However, during their medication rounds</w:t>
      </w:r>
      <w:r w:rsidR="003C54B0">
        <w:t>,</w:t>
      </w:r>
      <w:r w:rsidR="00AC75B0">
        <w:t xml:space="preserve"> registered nurses are frequently required to complete additional tasks, often going from </w:t>
      </w:r>
      <w:r w:rsidR="00811E71">
        <w:t>patients'</w:t>
      </w:r>
      <w:r w:rsidR="00AC75B0">
        <w:t xml:space="preserve"> bedsides to attend to another </w:t>
      </w:r>
      <w:r w:rsidR="00811E71">
        <w:t>patient's</w:t>
      </w:r>
      <w:r w:rsidR="00AC75B0">
        <w:t xml:space="preserve"> needs or to the medication room to obtain medications that are </w:t>
      </w:r>
      <w:r w:rsidR="003C54B0">
        <w:t>unavailable</w:t>
      </w:r>
      <w:r w:rsidR="00AC75B0">
        <w:t xml:space="preserve"> at the </w:t>
      </w:r>
      <w:r w:rsidR="00811E71">
        <w:t>patient's</w:t>
      </w:r>
      <w:r w:rsidR="00AC75B0">
        <w:t xml:space="preserve"> bedside.</w:t>
      </w:r>
      <w:r w:rsidR="00811E71">
        <w:t xml:space="preserve"> </w:t>
      </w:r>
      <w:r w:rsidR="00C52EAF">
        <w:t>Like</w:t>
      </w:r>
      <w:r w:rsidR="00150778">
        <w:t xml:space="preserve"> prescribers, nurses require access to hybrid information systems using computer devices and paper-based records.</w:t>
      </w:r>
      <w:r w:rsidR="00811E71">
        <w:t xml:space="preserve"> </w:t>
      </w:r>
      <w:r w:rsidR="00150778">
        <w:t xml:space="preserve">Nurses reported that mobile devices supported them </w:t>
      </w:r>
      <w:r w:rsidR="003C54B0">
        <w:t>in moving</w:t>
      </w:r>
      <w:r w:rsidR="00150778">
        <w:t xml:space="preserve"> around the ward as </w:t>
      </w:r>
      <w:r w:rsidR="003C54B0">
        <w:t>needed</w:t>
      </w:r>
      <w:r w:rsidR="00150778">
        <w:t xml:space="preserve"> during their medication rounds and that fixed computing devices would not be</w:t>
      </w:r>
      <w:r w:rsidR="007B04CA">
        <w:t xml:space="preserve"> suitable for </w:t>
      </w:r>
      <w:r w:rsidR="00150778">
        <w:t xml:space="preserve">medication administration. </w:t>
      </w:r>
    </w:p>
    <w:p w14:paraId="40D19B40" w14:textId="0C228B82" w:rsidR="008067CF" w:rsidRDefault="00150778" w:rsidP="0037453A">
      <w:pPr>
        <w:spacing w:line="360" w:lineRule="auto"/>
        <w:jc w:val="both"/>
      </w:pPr>
      <w:r>
        <w:t>Some nurses reported that they found it quicker and easier to complete tasks using paper charts</w:t>
      </w:r>
      <w:r w:rsidR="003C54B0">
        <w:t>.</w:t>
      </w:r>
      <w:r w:rsidR="00811E71">
        <w:t xml:space="preserve"> </w:t>
      </w:r>
      <w:r w:rsidR="003C54B0">
        <w:t>However</w:t>
      </w:r>
      <w:r>
        <w:t xml:space="preserve">, the </w:t>
      </w:r>
      <w:r w:rsidR="00C52EAF">
        <w:t>consensus</w:t>
      </w:r>
      <w:r>
        <w:t xml:space="preserve"> was that mobile devices provided several benefits over paper-based charts. </w:t>
      </w:r>
    </w:p>
    <w:p w14:paraId="7D038E37" w14:textId="6276C05A" w:rsidR="005339EE" w:rsidRDefault="005339EE" w:rsidP="00150778">
      <w:pPr>
        <w:pStyle w:val="Heading3"/>
      </w:pPr>
    </w:p>
    <w:p w14:paraId="520D4757" w14:textId="18988A41" w:rsidR="005339EE" w:rsidRDefault="005339EE" w:rsidP="00150778">
      <w:pPr>
        <w:pStyle w:val="Heading3"/>
      </w:pPr>
    </w:p>
    <w:p w14:paraId="2EFC944A" w14:textId="77777777" w:rsidR="005339EE" w:rsidRPr="005339EE" w:rsidRDefault="005339EE" w:rsidP="005339EE"/>
    <w:p w14:paraId="32BB4D16" w14:textId="0C73D05D" w:rsidR="00150778" w:rsidRDefault="00150778" w:rsidP="00150778">
      <w:pPr>
        <w:pStyle w:val="Heading3"/>
      </w:pPr>
      <w:bookmarkStart w:id="22" w:name="_Toc128739211"/>
      <w:r>
        <w:lastRenderedPageBreak/>
        <w:t>FITT: Pharmacist, task, and technology</w:t>
      </w:r>
      <w:bookmarkEnd w:id="22"/>
      <w:r>
        <w:t xml:space="preserve"> </w:t>
      </w:r>
    </w:p>
    <w:p w14:paraId="4E57AAEC" w14:textId="1444F8AD" w:rsidR="00E169B9" w:rsidRDefault="00E169B9" w:rsidP="00150778"/>
    <w:p w14:paraId="551571D0" w14:textId="77777777" w:rsidR="009D2F06" w:rsidRDefault="00E169B9" w:rsidP="009D2F06">
      <w:pPr>
        <w:keepNext/>
        <w:jc w:val="center"/>
      </w:pPr>
      <w:r w:rsidRPr="00E169B9">
        <w:rPr>
          <w:noProof/>
        </w:rPr>
        <w:drawing>
          <wp:inline distT="0" distB="0" distL="0" distR="0" wp14:anchorId="4436D9E3" wp14:editId="38EE45BB">
            <wp:extent cx="5305168" cy="3923332"/>
            <wp:effectExtent l="0" t="0" r="3810" b="127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1"/>
                    <a:stretch>
                      <a:fillRect/>
                    </a:stretch>
                  </pic:blipFill>
                  <pic:spPr>
                    <a:xfrm>
                      <a:off x="0" y="0"/>
                      <a:ext cx="5332332" cy="3943421"/>
                    </a:xfrm>
                    <a:prstGeom prst="rect">
                      <a:avLst/>
                    </a:prstGeom>
                  </pic:spPr>
                </pic:pic>
              </a:graphicData>
            </a:graphic>
          </wp:inline>
        </w:drawing>
      </w:r>
    </w:p>
    <w:p w14:paraId="3504CFA1" w14:textId="1F5FE2FB" w:rsidR="00E169B9" w:rsidRPr="008067CF" w:rsidRDefault="009D2F06" w:rsidP="009D2F06">
      <w:pPr>
        <w:pStyle w:val="Caption"/>
        <w:jc w:val="center"/>
        <w:rPr>
          <w:sz w:val="22"/>
          <w:szCs w:val="22"/>
        </w:rPr>
      </w:pPr>
      <w:bookmarkStart w:id="23" w:name="_Toc128735623"/>
      <w:r w:rsidRPr="008067CF">
        <w:rPr>
          <w:sz w:val="22"/>
          <w:szCs w:val="22"/>
        </w:rPr>
        <w:t xml:space="preserve">Figure </w:t>
      </w:r>
      <w:r w:rsidR="00D72AEB" w:rsidRPr="008067CF">
        <w:rPr>
          <w:sz w:val="22"/>
          <w:szCs w:val="22"/>
        </w:rPr>
        <w:fldChar w:fldCharType="begin"/>
      </w:r>
      <w:r w:rsidR="00D72AEB" w:rsidRPr="008067CF">
        <w:rPr>
          <w:sz w:val="22"/>
          <w:szCs w:val="22"/>
        </w:rPr>
        <w:instrText xml:space="preserve"> SEQ Figure \* ARABIC </w:instrText>
      </w:r>
      <w:r w:rsidR="00D72AEB" w:rsidRPr="008067CF">
        <w:rPr>
          <w:sz w:val="22"/>
          <w:szCs w:val="22"/>
        </w:rPr>
        <w:fldChar w:fldCharType="separate"/>
      </w:r>
      <w:r w:rsidR="001F7B33">
        <w:rPr>
          <w:noProof/>
          <w:sz w:val="22"/>
          <w:szCs w:val="22"/>
        </w:rPr>
        <w:t>10</w:t>
      </w:r>
      <w:r w:rsidR="00D72AEB" w:rsidRPr="008067CF">
        <w:rPr>
          <w:noProof/>
          <w:sz w:val="22"/>
          <w:szCs w:val="22"/>
        </w:rPr>
        <w:fldChar w:fldCharType="end"/>
      </w:r>
      <w:r w:rsidRPr="008067CF">
        <w:rPr>
          <w:sz w:val="22"/>
          <w:szCs w:val="22"/>
        </w:rPr>
        <w:t>. Pharmacist response to</w:t>
      </w:r>
      <w:r w:rsidR="00194B4C">
        <w:rPr>
          <w:sz w:val="22"/>
          <w:szCs w:val="22"/>
        </w:rPr>
        <w:t xml:space="preserve"> </w:t>
      </w:r>
      <w:r w:rsidR="004E0C98">
        <w:rPr>
          <w:sz w:val="22"/>
          <w:szCs w:val="22"/>
        </w:rPr>
        <w:t xml:space="preserve">the </w:t>
      </w:r>
      <w:r w:rsidRPr="008067CF">
        <w:rPr>
          <w:sz w:val="22"/>
          <w:szCs w:val="22"/>
        </w:rPr>
        <w:t>survey</w:t>
      </w:r>
      <w:bookmarkEnd w:id="23"/>
    </w:p>
    <w:p w14:paraId="16F88B6B" w14:textId="58094C81" w:rsidR="00E169B9" w:rsidRDefault="00E169B9" w:rsidP="00150778"/>
    <w:p w14:paraId="2DD6ABE5" w14:textId="2F2F55E7" w:rsidR="008843DF" w:rsidRDefault="005877A4" w:rsidP="00841EF6">
      <w:pPr>
        <w:spacing w:line="360" w:lineRule="auto"/>
        <w:jc w:val="both"/>
      </w:pPr>
      <w:r>
        <w:t xml:space="preserve">The </w:t>
      </w:r>
      <w:r w:rsidR="00A039DE">
        <w:t>pharmacist’s</w:t>
      </w:r>
      <w:r w:rsidR="003C54B0">
        <w:t xml:space="preserve"> role differs from that</w:t>
      </w:r>
      <w:r>
        <w:t xml:space="preserve"> of the registered nurse and prescriber within the hospital environment</w:t>
      </w:r>
      <w:r w:rsidR="0030113C">
        <w:t>.</w:t>
      </w:r>
      <w:r w:rsidR="00811E71">
        <w:t xml:space="preserve"> </w:t>
      </w:r>
      <w:r>
        <w:t xml:space="preserve">The </w:t>
      </w:r>
      <w:r w:rsidR="003C54B0">
        <w:t>primary</w:t>
      </w:r>
      <w:r>
        <w:t xml:space="preserve"> role of the hospital pharmacist as a user of the ePMA system is to complete medicines reconciliation, perform regular reviews to identify and address </w:t>
      </w:r>
      <w:r w:rsidR="00755587">
        <w:t>medicine-related</w:t>
      </w:r>
      <w:r>
        <w:t xml:space="preserve"> issues</w:t>
      </w:r>
      <w:r w:rsidR="00C62529">
        <w:t xml:space="preserve">, </w:t>
      </w:r>
      <w:r w:rsidR="003C54B0">
        <w:t>support</w:t>
      </w:r>
      <w:r w:rsidR="00C62529">
        <w:t xml:space="preserve"> patients to get the best outcomes from their </w:t>
      </w:r>
      <w:r w:rsidR="00BE092F">
        <w:t>medications</w:t>
      </w:r>
      <w:r w:rsidR="00561054">
        <w:t>, and</w:t>
      </w:r>
      <w:r w:rsidR="00C62529">
        <w:t xml:space="preserve"> reduce inappropriate prescribing of medicines</w:t>
      </w:r>
      <w:r w:rsidR="00561054">
        <w:t>.</w:t>
      </w:r>
      <w:r w:rsidR="00811E71">
        <w:t xml:space="preserve"> </w:t>
      </w:r>
      <w:r w:rsidR="00561054">
        <w:t xml:space="preserve">The pharmacist will </w:t>
      </w:r>
      <w:r w:rsidR="00755587">
        <w:t>liaise</w:t>
      </w:r>
      <w:r w:rsidR="00C62529">
        <w:t xml:space="preserve"> </w:t>
      </w:r>
      <w:r w:rsidR="00841EF6">
        <w:t>with</w:t>
      </w:r>
      <w:r w:rsidR="00C62529">
        <w:t xml:space="preserve"> </w:t>
      </w:r>
      <w:r w:rsidR="001C0781">
        <w:t>multidisciplinary</w:t>
      </w:r>
      <w:r w:rsidR="00C62529">
        <w:t xml:space="preserve"> teams to ensure that </w:t>
      </w:r>
      <w:r w:rsidR="00755587">
        <w:t>patients have the necessary medicines</w:t>
      </w:r>
      <w:r w:rsidR="00C62529">
        <w:t>.</w:t>
      </w:r>
      <w:r w:rsidR="00811E71">
        <w:t xml:space="preserve"> </w:t>
      </w:r>
      <w:r w:rsidR="00C62529">
        <w:t xml:space="preserve">Traditionally the pharmacist will not be part of the regular medication </w:t>
      </w:r>
      <w:r w:rsidR="00827D22">
        <w:t>rounds but</w:t>
      </w:r>
      <w:r w:rsidR="00C62529">
        <w:t xml:space="preserve"> will be part of a weekly ward round to ascertain the information they need from the </w:t>
      </w:r>
      <w:r w:rsidR="001C0781">
        <w:t>multidisciplinary</w:t>
      </w:r>
      <w:r w:rsidR="00C62529">
        <w:t xml:space="preserve"> team.</w:t>
      </w:r>
      <w:r w:rsidR="00811E71">
        <w:t xml:space="preserve"> </w:t>
      </w:r>
      <w:r w:rsidR="008032CF">
        <w:t>Like</w:t>
      </w:r>
      <w:r w:rsidR="00C62529">
        <w:t xml:space="preserve"> the nurse and the prescriber</w:t>
      </w:r>
      <w:r w:rsidR="003C54B0">
        <w:t>,</w:t>
      </w:r>
      <w:r w:rsidR="00C62529">
        <w:t xml:space="preserve"> the pharmacist will need access to paper-based and </w:t>
      </w:r>
      <w:r w:rsidR="00841EF6">
        <w:t>computer-based</w:t>
      </w:r>
      <w:r w:rsidR="00C62529">
        <w:t xml:space="preserve"> information simultaneously</w:t>
      </w:r>
      <w:r w:rsidR="003C54B0">
        <w:t>.</w:t>
      </w:r>
      <w:r w:rsidR="00811E71">
        <w:t xml:space="preserve"> </w:t>
      </w:r>
      <w:r w:rsidR="003C54B0">
        <w:t>However</w:t>
      </w:r>
      <w:r w:rsidR="00C62529">
        <w:t>, the results of the free text survey reported</w:t>
      </w:r>
      <w:r w:rsidR="00561054">
        <w:t xml:space="preserve"> </w:t>
      </w:r>
      <w:r w:rsidR="00A039DE">
        <w:t xml:space="preserve">that </w:t>
      </w:r>
      <w:r w:rsidR="00561054">
        <w:t>a</w:t>
      </w:r>
      <w:r w:rsidR="00C62529">
        <w:t xml:space="preserve"> key </w:t>
      </w:r>
      <w:r w:rsidR="003C54B0">
        <w:t>benefit</w:t>
      </w:r>
      <w:r w:rsidR="00C62529">
        <w:t xml:space="preserve"> for pharmacists </w:t>
      </w:r>
      <w:r w:rsidR="00827D22">
        <w:t xml:space="preserve">is the </w:t>
      </w:r>
      <w:r w:rsidR="008E7606">
        <w:t>accessibility</w:t>
      </w:r>
      <w:r w:rsidR="00C62529">
        <w:t xml:space="preserve"> of the ePMA, as they </w:t>
      </w:r>
      <w:r w:rsidR="004E0C98">
        <w:t>could</w:t>
      </w:r>
      <w:r w:rsidR="003C54B0">
        <w:t xml:space="preserve"> access the ePMA system </w:t>
      </w:r>
      <w:r w:rsidR="00561054">
        <w:t>before and</w:t>
      </w:r>
      <w:r w:rsidR="00C62529">
        <w:t xml:space="preserve"> after attending the </w:t>
      </w:r>
      <w:r w:rsidR="003C54B0">
        <w:t>ward/patient</w:t>
      </w:r>
      <w:r w:rsidR="00C62529">
        <w:t xml:space="preserve"> bedside using fixed devices (including laptops and desktop computers in their department)</w:t>
      </w:r>
      <w:r w:rsidR="00827D22">
        <w:t>.</w:t>
      </w:r>
      <w:r w:rsidR="00811E71">
        <w:t xml:space="preserve"> </w:t>
      </w:r>
      <w:r w:rsidR="00827D22">
        <w:t>T</w:t>
      </w:r>
      <w:r w:rsidR="00C62529">
        <w:t>herefore</w:t>
      </w:r>
      <w:r w:rsidR="00827D22">
        <w:t>,</w:t>
      </w:r>
      <w:r w:rsidR="00C62529">
        <w:t xml:space="preserve"> they could </w:t>
      </w:r>
      <w:r w:rsidR="00C62529">
        <w:lastRenderedPageBreak/>
        <w:t xml:space="preserve">focus their interventions, did not </w:t>
      </w:r>
      <w:r w:rsidR="00827D22">
        <w:t>need</w:t>
      </w:r>
      <w:r w:rsidR="00C62529">
        <w:t xml:space="preserve"> to compete for devices, and were not affected by interruptions </w:t>
      </w:r>
      <w:r w:rsidR="003C54B0">
        <w:t>in</w:t>
      </w:r>
      <w:r w:rsidR="00C62529">
        <w:t xml:space="preserve"> a busy clinical environment.   </w:t>
      </w:r>
    </w:p>
    <w:p w14:paraId="0A95279E" w14:textId="77777777" w:rsidR="004C0E17" w:rsidRDefault="004C0E17" w:rsidP="004C0E17">
      <w:pPr>
        <w:spacing w:line="360" w:lineRule="auto"/>
        <w:jc w:val="both"/>
      </w:pPr>
    </w:p>
    <w:p w14:paraId="6651E21A" w14:textId="2DC19103" w:rsidR="004C0E17" w:rsidRDefault="004C0E17" w:rsidP="004C0E17">
      <w:pPr>
        <w:pStyle w:val="Heading3"/>
      </w:pPr>
      <w:bookmarkStart w:id="24" w:name="_Toc128739212"/>
      <w:r>
        <w:t>Literature Review Results</w:t>
      </w:r>
      <w:bookmarkEnd w:id="24"/>
      <w:r>
        <w:t xml:space="preserve"> </w:t>
      </w:r>
    </w:p>
    <w:p w14:paraId="6C3582FF" w14:textId="259977B6" w:rsidR="004C0E17" w:rsidRDefault="004C0E17" w:rsidP="008F3804">
      <w:pPr>
        <w:spacing w:line="360" w:lineRule="auto"/>
        <w:jc w:val="both"/>
      </w:pPr>
      <w:r>
        <w:t>The final number of articles included was 18</w:t>
      </w:r>
      <w:r w:rsidR="00A039DE">
        <w:t>,</w:t>
      </w:r>
      <w:r w:rsidR="000739AF">
        <w:t xml:space="preserve"> as detailed in </w:t>
      </w:r>
      <w:r w:rsidR="00E3597C">
        <w:t>Figure</w:t>
      </w:r>
      <w:r w:rsidR="009D2F06">
        <w:t xml:space="preserve"> </w:t>
      </w:r>
      <w:r w:rsidR="001F7B33">
        <w:t>13</w:t>
      </w:r>
      <w:r w:rsidR="009D2F06">
        <w:t>.</w:t>
      </w:r>
    </w:p>
    <w:p w14:paraId="624910E0" w14:textId="28193EF6" w:rsidR="009D2F06" w:rsidRDefault="009D2F06" w:rsidP="00B33992">
      <w:pPr>
        <w:spacing w:line="360" w:lineRule="auto"/>
        <w:jc w:val="both"/>
      </w:pPr>
    </w:p>
    <w:p w14:paraId="3D1CE64D" w14:textId="528943A9" w:rsidR="009D2F06" w:rsidRDefault="00E215BB" w:rsidP="008F3804">
      <w:pPr>
        <w:keepNext/>
        <w:spacing w:line="360" w:lineRule="auto"/>
        <w:jc w:val="center"/>
      </w:pPr>
      <w:r>
        <w:rPr>
          <w:noProof/>
        </w:rPr>
        <w:drawing>
          <wp:inline distT="0" distB="0" distL="0" distR="0" wp14:anchorId="76F59D55" wp14:editId="5DAF5883">
            <wp:extent cx="5284381" cy="467140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292918" cy="4678949"/>
                    </a:xfrm>
                    <a:prstGeom prst="rect">
                      <a:avLst/>
                    </a:prstGeom>
                  </pic:spPr>
                </pic:pic>
              </a:graphicData>
            </a:graphic>
          </wp:inline>
        </w:drawing>
      </w:r>
    </w:p>
    <w:p w14:paraId="18BBE800" w14:textId="27E8EAD2" w:rsidR="009D2F06" w:rsidRPr="008067CF" w:rsidRDefault="009D2F06" w:rsidP="009D2F06">
      <w:pPr>
        <w:pStyle w:val="Caption"/>
        <w:jc w:val="both"/>
        <w:rPr>
          <w:sz w:val="22"/>
          <w:szCs w:val="22"/>
        </w:rPr>
      </w:pPr>
      <w:bookmarkStart w:id="25" w:name="_Toc128735624"/>
      <w:r w:rsidRPr="008067CF">
        <w:rPr>
          <w:sz w:val="22"/>
          <w:szCs w:val="22"/>
        </w:rPr>
        <w:t xml:space="preserve">Figure </w:t>
      </w:r>
      <w:r w:rsidR="00D72AEB" w:rsidRPr="008067CF">
        <w:rPr>
          <w:sz w:val="22"/>
          <w:szCs w:val="22"/>
        </w:rPr>
        <w:fldChar w:fldCharType="begin"/>
      </w:r>
      <w:r w:rsidR="00D72AEB" w:rsidRPr="008067CF">
        <w:rPr>
          <w:sz w:val="22"/>
          <w:szCs w:val="22"/>
        </w:rPr>
        <w:instrText xml:space="preserve"> SEQ Figure \* ARABIC </w:instrText>
      </w:r>
      <w:r w:rsidR="00D72AEB" w:rsidRPr="008067CF">
        <w:rPr>
          <w:sz w:val="22"/>
          <w:szCs w:val="22"/>
        </w:rPr>
        <w:fldChar w:fldCharType="separate"/>
      </w:r>
      <w:r w:rsidR="001F7B33">
        <w:rPr>
          <w:noProof/>
          <w:sz w:val="22"/>
          <w:szCs w:val="22"/>
        </w:rPr>
        <w:t>11</w:t>
      </w:r>
      <w:r w:rsidR="00D72AEB" w:rsidRPr="008067CF">
        <w:rPr>
          <w:noProof/>
          <w:sz w:val="22"/>
          <w:szCs w:val="22"/>
        </w:rPr>
        <w:fldChar w:fldCharType="end"/>
      </w:r>
      <w:r w:rsidRPr="008067CF">
        <w:rPr>
          <w:sz w:val="22"/>
          <w:szCs w:val="22"/>
        </w:rPr>
        <w:t>. PRISMA flow diagram showing literature search and inclusion/exclusion process</w:t>
      </w:r>
      <w:bookmarkEnd w:id="25"/>
    </w:p>
    <w:p w14:paraId="6B91382F" w14:textId="24391665" w:rsidR="009D2F06" w:rsidRDefault="009D2F06" w:rsidP="00B33992">
      <w:pPr>
        <w:spacing w:line="360" w:lineRule="auto"/>
        <w:jc w:val="both"/>
      </w:pPr>
    </w:p>
    <w:p w14:paraId="68A45B4B" w14:textId="03F61BE9" w:rsidR="004C0E17" w:rsidRDefault="004C0E17" w:rsidP="00B33992">
      <w:pPr>
        <w:spacing w:line="360" w:lineRule="auto"/>
        <w:jc w:val="both"/>
      </w:pPr>
      <w:r>
        <w:t>A review of the full-text articles revealed several key themes associated with implementing ePMA systems</w:t>
      </w:r>
      <w:r w:rsidR="00194B4C">
        <w:t>,</w:t>
      </w:r>
      <w:r w:rsidR="005D332E">
        <w:t xml:space="preserve"> as discussed in the next section. </w:t>
      </w:r>
      <w:r>
        <w:t xml:space="preserve"> </w:t>
      </w:r>
    </w:p>
    <w:p w14:paraId="40B5E11B" w14:textId="77777777" w:rsidR="004C0E17" w:rsidRDefault="004C0E17" w:rsidP="008843DF">
      <w:pPr>
        <w:pStyle w:val="Heading3"/>
      </w:pPr>
    </w:p>
    <w:p w14:paraId="0B36E934" w14:textId="15CBA642" w:rsidR="008843DF" w:rsidRDefault="008843DF" w:rsidP="008843DF">
      <w:pPr>
        <w:pStyle w:val="Heading3"/>
      </w:pPr>
      <w:bookmarkStart w:id="26" w:name="_Toc128739213"/>
      <w:r>
        <w:t>Qualitative Themes</w:t>
      </w:r>
      <w:bookmarkEnd w:id="26"/>
    </w:p>
    <w:p w14:paraId="19C0B0DA" w14:textId="7E050690" w:rsidR="008F4C5F" w:rsidRDefault="005D332E" w:rsidP="00B33992">
      <w:pPr>
        <w:spacing w:line="360" w:lineRule="auto"/>
        <w:jc w:val="both"/>
      </w:pPr>
      <w:r>
        <w:t>Qualitative themes were identified through a review of the literature sourced and the</w:t>
      </w:r>
      <w:r w:rsidR="00841EF6">
        <w:t xml:space="preserve"> responses to the survey</w:t>
      </w:r>
      <w:r>
        <w:t>.</w:t>
      </w:r>
      <w:r w:rsidR="00841EF6">
        <w:t xml:space="preserve"> </w:t>
      </w:r>
      <w:r w:rsidR="00194B4C">
        <w:t>Key</w:t>
      </w:r>
      <w:r w:rsidR="00841EF6">
        <w:t xml:space="preserve"> themes </w:t>
      </w:r>
      <w:r w:rsidR="00B33992">
        <w:t xml:space="preserve">are </w:t>
      </w:r>
      <w:r w:rsidR="00841EF6">
        <w:t xml:space="preserve">as follows: </w:t>
      </w:r>
      <w:r w:rsidR="005E3462">
        <w:t>workflow and time, medication safety, data availability, accessibility</w:t>
      </w:r>
      <w:r w:rsidR="00A447E3">
        <w:t xml:space="preserve">, </w:t>
      </w:r>
      <w:r w:rsidR="008E50C6">
        <w:t>confidence,</w:t>
      </w:r>
      <w:r w:rsidR="00A447E3">
        <w:t xml:space="preserve"> and competence</w:t>
      </w:r>
      <w:r w:rsidR="005E3462">
        <w:t xml:space="preserve">. </w:t>
      </w:r>
    </w:p>
    <w:p w14:paraId="03DAEB1D" w14:textId="0FE4A42D" w:rsidR="008F4C5F" w:rsidRDefault="008F4C5F" w:rsidP="00A447E3">
      <w:pPr>
        <w:pStyle w:val="Heading4"/>
      </w:pPr>
      <w:r>
        <w:lastRenderedPageBreak/>
        <w:t>Workflow and time</w:t>
      </w:r>
    </w:p>
    <w:p w14:paraId="1249D8A4" w14:textId="4F22E2C2" w:rsidR="008F4C5F" w:rsidRDefault="008F4C5F" w:rsidP="00493525">
      <w:pPr>
        <w:spacing w:line="360" w:lineRule="auto"/>
        <w:jc w:val="both"/>
      </w:pPr>
      <w:r>
        <w:t xml:space="preserve">The most negative response received across the prescriber user and registered nurse user concepts </w:t>
      </w:r>
      <w:r w:rsidR="003C54B0">
        <w:t>were</w:t>
      </w:r>
      <w:r>
        <w:t xml:space="preserve"> </w:t>
      </w:r>
      <w:r w:rsidR="003C54B0">
        <w:t>related</w:t>
      </w:r>
      <w:r>
        <w:t xml:space="preserve"> to releasing time to care and </w:t>
      </w:r>
      <w:r w:rsidR="00AD6B26">
        <w:t xml:space="preserve">overall </w:t>
      </w:r>
      <w:r w:rsidR="007B04CA">
        <w:t>timesaving</w:t>
      </w:r>
      <w:r w:rsidR="00493525">
        <w:t>.</w:t>
      </w:r>
      <w:r w:rsidR="00811E71">
        <w:t xml:space="preserve"> </w:t>
      </w:r>
      <w:r w:rsidR="00493525">
        <w:t>I</w:t>
      </w:r>
      <w:r w:rsidR="00AD6B26">
        <w:t xml:space="preserve">nitial results suggested less efficiency and </w:t>
      </w:r>
      <w:r w:rsidR="00811E71">
        <w:t>'</w:t>
      </w:r>
      <w:r w:rsidR="00AD6B26">
        <w:t>time wasting</w:t>
      </w:r>
      <w:r w:rsidR="00811E71">
        <w:t>'</w:t>
      </w:r>
      <w:r w:rsidR="00AD6B26">
        <w:t xml:space="preserve"> while using the ePMA.</w:t>
      </w:r>
      <w:r w:rsidR="00811E71">
        <w:t xml:space="preserve"> </w:t>
      </w:r>
      <w:r w:rsidR="00AD6B26">
        <w:t xml:space="preserve">Similarly, the pharmacist users reported a lack of </w:t>
      </w:r>
      <w:r w:rsidR="007B04CA">
        <w:t>timesaving</w:t>
      </w:r>
      <w:r w:rsidR="00AD6B26">
        <w:t xml:space="preserve"> due to processes relating to discharge advice taking longer since the implementation of ePMA.</w:t>
      </w:r>
      <w:r w:rsidR="00811E71">
        <w:t xml:space="preserve"> </w:t>
      </w:r>
      <w:r w:rsidR="00AD6B26">
        <w:t>However, it can be anticipated that as changes to process</w:t>
      </w:r>
      <w:r w:rsidR="00194B4C">
        <w:t>,</w:t>
      </w:r>
      <w:r w:rsidR="00AD6B26">
        <w:t xml:space="preserve"> and workflow </w:t>
      </w:r>
      <w:r w:rsidR="00194B4C">
        <w:t>are</w:t>
      </w:r>
      <w:r w:rsidR="00AD6B26">
        <w:t xml:space="preserve"> embedded</w:t>
      </w:r>
      <w:r w:rsidR="00CB4C3B">
        <w:t>,</w:t>
      </w:r>
      <w:r w:rsidR="00AD6B26">
        <w:t xml:space="preserve"> it will become more streamlined</w:t>
      </w:r>
      <w:r w:rsidR="00CB4C3B">
        <w:t>,</w:t>
      </w:r>
      <w:r w:rsidR="00AD6B26">
        <w:t xml:space="preserve"> and </w:t>
      </w:r>
      <w:r w:rsidR="007B04CA">
        <w:t>timesaving</w:t>
      </w:r>
      <w:r w:rsidR="00AD6B26">
        <w:t xml:space="preserve"> benefits and workflow efficiencies will be </w:t>
      </w:r>
      <w:r w:rsidR="001C0781">
        <w:t>realised</w:t>
      </w:r>
      <w:r w:rsidR="00AD6B26">
        <w:t xml:space="preserve"> </w:t>
      </w:r>
      <w:r w:rsidR="00D27C1A">
        <w:t xml:space="preserve">according to the evidence available </w:t>
      </w:r>
      <w:r w:rsidR="00AD6B26">
        <w:t xml:space="preserve">in the literature relating to the benefits of ePMA systems (Porterfield, Engleber and Coustasse, 2014; Armada </w:t>
      </w:r>
      <w:r w:rsidR="00AD6B26" w:rsidRPr="00DB3DAA">
        <w:rPr>
          <w:i/>
          <w:iCs/>
        </w:rPr>
        <w:t>et al</w:t>
      </w:r>
      <w:r w:rsidR="00AD6B26">
        <w:t xml:space="preserve">. 2014; and Moore at al. 2020). </w:t>
      </w:r>
    </w:p>
    <w:p w14:paraId="7781E81E" w14:textId="4DB2C108" w:rsidR="00CE59EE" w:rsidRDefault="00CE59EE" w:rsidP="00493525">
      <w:pPr>
        <w:spacing w:line="360" w:lineRule="auto"/>
        <w:jc w:val="both"/>
      </w:pPr>
    </w:p>
    <w:p w14:paraId="0BB40232" w14:textId="77777777" w:rsidR="00633E25" w:rsidRDefault="00CE59EE" w:rsidP="00633E25">
      <w:pPr>
        <w:pStyle w:val="Heading4"/>
      </w:pPr>
      <w:r>
        <w:t xml:space="preserve">Medication Safety </w:t>
      </w:r>
    </w:p>
    <w:p w14:paraId="555F5104" w14:textId="46E2F3E9" w:rsidR="00CE59EE" w:rsidRPr="00E3597C" w:rsidRDefault="00E3597C" w:rsidP="00633E25">
      <w:pPr>
        <w:spacing w:line="360" w:lineRule="auto"/>
        <w:jc w:val="both"/>
      </w:pPr>
      <w:r w:rsidRPr="00E3597C">
        <w:t>There was a strong consensus among pharmacists, nurses, and prescribers that the ePMA supports safe practice and medication safety</w:t>
      </w:r>
      <w:r>
        <w:t xml:space="preserve">. </w:t>
      </w:r>
      <w:r w:rsidR="00D27C1A" w:rsidRPr="00E3597C">
        <w:t xml:space="preserve">Users reported improved medication safety through legible and complete prescription information and </w:t>
      </w:r>
      <w:r w:rsidR="00CB4C3B" w:rsidRPr="00E3597C">
        <w:t>safely sharing relevant information across clinical settings</w:t>
      </w:r>
      <w:r w:rsidR="00C64AB7" w:rsidRPr="00E3597C">
        <w:t xml:space="preserve">, consistent with the </w:t>
      </w:r>
      <w:r w:rsidR="00CB4C3B" w:rsidRPr="00E3597C">
        <w:t>relevant literature findings</w:t>
      </w:r>
      <w:r w:rsidR="00C64AB7" w:rsidRPr="00E3597C">
        <w:t xml:space="preserve"> (Moore </w:t>
      </w:r>
      <w:r w:rsidR="00CB4C3B" w:rsidRPr="00E3597C">
        <w:t>et</w:t>
      </w:r>
      <w:r w:rsidR="00C64AB7" w:rsidRPr="00E3597C">
        <w:t xml:space="preserve"> al</w:t>
      </w:r>
      <w:r w:rsidR="00D27C1A" w:rsidRPr="00E3597C">
        <w:t>.</w:t>
      </w:r>
      <w:r w:rsidR="00C64AB7" w:rsidRPr="00E3597C">
        <w:t xml:space="preserve"> 20</w:t>
      </w:r>
      <w:r w:rsidR="000741B0" w:rsidRPr="00E3597C">
        <w:t>20</w:t>
      </w:r>
      <w:r w:rsidR="00C64AB7" w:rsidRPr="00E3597C">
        <w:t>).</w:t>
      </w:r>
      <w:r w:rsidR="00811E71" w:rsidRPr="00E3597C">
        <w:t xml:space="preserve"> </w:t>
      </w:r>
      <w:r w:rsidR="00C64AB7" w:rsidRPr="00E3597C">
        <w:t xml:space="preserve">The aspect of patient safety is further discussed in the quantitative </w:t>
      </w:r>
      <w:r w:rsidR="00CB4C3B" w:rsidRPr="00E3597C">
        <w:t>rating</w:t>
      </w:r>
      <w:r w:rsidR="00C64AB7" w:rsidRPr="00E3597C">
        <w:t xml:space="preserve"> section, as it is possible to </w:t>
      </w:r>
      <w:r w:rsidR="008067CF" w:rsidRPr="00E3597C">
        <w:t xml:space="preserve">see </w:t>
      </w:r>
      <w:r w:rsidR="00C64AB7" w:rsidRPr="00E3597C">
        <w:t xml:space="preserve">the exact numbers of </w:t>
      </w:r>
      <w:r w:rsidR="00CB4C3B" w:rsidRPr="00E3597C">
        <w:t>medication-related</w:t>
      </w:r>
      <w:r w:rsidR="00C64AB7" w:rsidRPr="00E3597C">
        <w:t xml:space="preserve"> incidents </w:t>
      </w:r>
      <w:r w:rsidR="005B1BE9" w:rsidRPr="00E3597C">
        <w:t>reported using the D</w:t>
      </w:r>
      <w:r w:rsidR="00C64AB7" w:rsidRPr="00E3597C">
        <w:t xml:space="preserve">atix incident reporting system for quantitative review. </w:t>
      </w:r>
      <w:r w:rsidR="00D27C1A" w:rsidRPr="00E3597C">
        <w:t xml:space="preserve"> </w:t>
      </w:r>
    </w:p>
    <w:p w14:paraId="15A7BF4E" w14:textId="5F62C5D6" w:rsidR="00A447E3" w:rsidRDefault="00A447E3" w:rsidP="008843DF"/>
    <w:p w14:paraId="6B4C8CEA" w14:textId="56662427" w:rsidR="00A447E3" w:rsidRDefault="00A447E3" w:rsidP="00A447E3">
      <w:pPr>
        <w:pStyle w:val="Heading4"/>
      </w:pPr>
      <w:r>
        <w:t xml:space="preserve">Accessibility </w:t>
      </w:r>
    </w:p>
    <w:p w14:paraId="2785E09C" w14:textId="2C2E801C" w:rsidR="00CF5DEF" w:rsidRPr="00CF5DEF" w:rsidRDefault="00CF5DEF" w:rsidP="00FF0250">
      <w:pPr>
        <w:spacing w:line="360" w:lineRule="auto"/>
        <w:jc w:val="both"/>
      </w:pPr>
      <w:r>
        <w:t xml:space="preserve">Pharmacist users reported the benefit of accessibility, as they </w:t>
      </w:r>
      <w:r w:rsidR="00CB4C3B">
        <w:t>could</w:t>
      </w:r>
      <w:r>
        <w:t xml:space="preserve"> access the ePMA system away from the clinical area and</w:t>
      </w:r>
      <w:r w:rsidR="00CB4C3B">
        <w:t>,</w:t>
      </w:r>
      <w:r>
        <w:t xml:space="preserve"> as a result</w:t>
      </w:r>
      <w:r w:rsidR="00CB4C3B">
        <w:t>,</w:t>
      </w:r>
      <w:r>
        <w:t xml:space="preserve"> could focus their intervention at the </w:t>
      </w:r>
      <w:r w:rsidR="00811E71">
        <w:t>patient's</w:t>
      </w:r>
      <w:r>
        <w:t xml:space="preserve"> bedside.</w:t>
      </w:r>
      <w:r w:rsidR="00811E71">
        <w:t xml:space="preserve"> </w:t>
      </w:r>
      <w:r>
        <w:t xml:space="preserve">In </w:t>
      </w:r>
      <w:r w:rsidR="00FF0250">
        <w:t>addition,</w:t>
      </w:r>
      <w:r>
        <w:t xml:space="preserve"> they did not have to compete for an available device on the ward and were not subject to multiple interruptions as they would be at the </w:t>
      </w:r>
      <w:r w:rsidR="00811E71">
        <w:t>patient's</w:t>
      </w:r>
      <w:r>
        <w:t xml:space="preserve"> bedside.</w:t>
      </w:r>
      <w:r w:rsidR="00811E71">
        <w:t xml:space="preserve"> </w:t>
      </w:r>
      <w:r w:rsidR="00FF0250">
        <w:t xml:space="preserve">In </w:t>
      </w:r>
      <w:r w:rsidR="00235787">
        <w:t>addition,</w:t>
      </w:r>
      <w:r w:rsidR="00FF0250">
        <w:t xml:space="preserve"> given the timing of implementation, the added benefit of accessibility during the covid19 pandemic made it possible to reduce footfall on the ward and reduce the likelihood of transmission</w:t>
      </w:r>
      <w:r w:rsidR="00CC5AF2">
        <w:t xml:space="preserve"> aligned to infection prevention and control procedures</w:t>
      </w:r>
      <w:r w:rsidR="00FF0250">
        <w:t xml:space="preserve">. </w:t>
      </w:r>
    </w:p>
    <w:p w14:paraId="5A8363C5" w14:textId="7D976D68" w:rsidR="00A447E3" w:rsidRDefault="00A447E3" w:rsidP="00A447E3"/>
    <w:p w14:paraId="354D1DC0" w14:textId="558A2A9A" w:rsidR="00A447E3" w:rsidRPr="00A447E3" w:rsidRDefault="00A447E3" w:rsidP="00A447E3">
      <w:pPr>
        <w:pStyle w:val="Heading4"/>
      </w:pPr>
      <w:r>
        <w:t xml:space="preserve">Confidence and Competence </w:t>
      </w:r>
    </w:p>
    <w:p w14:paraId="4E97F009" w14:textId="09AB50E3" w:rsidR="00A447E3" w:rsidRDefault="007B04CA" w:rsidP="00A447E3">
      <w:pPr>
        <w:spacing w:line="360" w:lineRule="auto"/>
        <w:jc w:val="both"/>
      </w:pPr>
      <w:r>
        <w:t xml:space="preserve">Respondents to the survey gave </w:t>
      </w:r>
      <w:r w:rsidR="00A447E3">
        <w:t xml:space="preserve">feedback </w:t>
      </w:r>
      <w:r w:rsidR="00CB4C3B">
        <w:t>about</w:t>
      </w:r>
      <w:r w:rsidR="00A447E3">
        <w:t xml:space="preserve"> confidence and competence within the free text feedback.</w:t>
      </w:r>
      <w:r w:rsidR="00811E71">
        <w:t xml:space="preserve"> </w:t>
      </w:r>
      <w:r w:rsidR="00A447E3">
        <w:t>Specifically</w:t>
      </w:r>
      <w:r w:rsidR="00CB4C3B">
        <w:t>,</w:t>
      </w:r>
      <w:r w:rsidR="00A447E3">
        <w:t xml:space="preserve"> registered nurse users expressed concerns as they had not previously use</w:t>
      </w:r>
      <w:r>
        <w:t>d</w:t>
      </w:r>
      <w:r w:rsidR="00A447E3">
        <w:t xml:space="preserve"> an electronic device as part of their role.</w:t>
      </w:r>
      <w:r w:rsidR="00811E71">
        <w:t xml:space="preserve"> </w:t>
      </w:r>
      <w:r w:rsidR="00A447E3">
        <w:t xml:space="preserve">Prescribers also described a lack of </w:t>
      </w:r>
      <w:r w:rsidR="00A447E3">
        <w:lastRenderedPageBreak/>
        <w:t>confidence in using the ePMA system without additional training</w:t>
      </w:r>
      <w:r w:rsidR="00CB4C3B">
        <w:t>,</w:t>
      </w:r>
      <w:r w:rsidR="00A447E3">
        <w:t xml:space="preserve"> and pharmacists requested further training to improve their confidence and competence. </w:t>
      </w:r>
    </w:p>
    <w:p w14:paraId="7A52D158" w14:textId="77777777" w:rsidR="00A447E3" w:rsidRDefault="00A447E3" w:rsidP="008843DF">
      <w:pPr>
        <w:pStyle w:val="Heading3"/>
      </w:pPr>
    </w:p>
    <w:p w14:paraId="52F5BBEF" w14:textId="4B3FF4E0" w:rsidR="008843DF" w:rsidRDefault="008843DF" w:rsidP="008843DF">
      <w:pPr>
        <w:pStyle w:val="Heading3"/>
      </w:pPr>
      <w:bookmarkStart w:id="27" w:name="_Toc128739214"/>
      <w:r>
        <w:t>Quantitative Ratings</w:t>
      </w:r>
      <w:bookmarkEnd w:id="27"/>
    </w:p>
    <w:p w14:paraId="6FA218A7" w14:textId="3898B25C" w:rsidR="008E50C6" w:rsidRDefault="008E50C6" w:rsidP="008E50C6"/>
    <w:p w14:paraId="54FF3848" w14:textId="0479AB91" w:rsidR="008E50C6" w:rsidRDefault="007B04CA" w:rsidP="002939CF">
      <w:pPr>
        <w:spacing w:line="360" w:lineRule="auto"/>
        <w:jc w:val="both"/>
      </w:pPr>
      <w:r>
        <w:t xml:space="preserve">A time-in-motion study focused on three elements of the users' tasks to determine the maximum amount of time that could be released to patient care by implementing an ePMA system. </w:t>
      </w:r>
      <w:r w:rsidR="00632873">
        <w:t>A</w:t>
      </w:r>
      <w:r w:rsidR="002939CF">
        <w:t xml:space="preserve"> summary of the findings is illustrated in </w:t>
      </w:r>
      <w:r w:rsidR="000739AF">
        <w:t>F</w:t>
      </w:r>
      <w:r w:rsidR="002939CF">
        <w:t xml:space="preserve">igure </w:t>
      </w:r>
      <w:r w:rsidR="00323D09">
        <w:t>1</w:t>
      </w:r>
      <w:r w:rsidR="001F7B33">
        <w:t>4</w:t>
      </w:r>
      <w:r w:rsidR="002939CF">
        <w:t>.</w:t>
      </w:r>
    </w:p>
    <w:p w14:paraId="46A74226" w14:textId="19A182A6" w:rsidR="002939CF" w:rsidRDefault="002939CF" w:rsidP="008E50C6"/>
    <w:p w14:paraId="0AE92CF0" w14:textId="2E6D9FC5" w:rsidR="00260553" w:rsidRDefault="00260553" w:rsidP="008E50C6"/>
    <w:p w14:paraId="4A1F29DB" w14:textId="77777777" w:rsidR="00B10C0A" w:rsidRDefault="00260553" w:rsidP="00B10C0A">
      <w:pPr>
        <w:keepNext/>
      </w:pPr>
      <w:r w:rsidRPr="00260553">
        <w:rPr>
          <w:noProof/>
        </w:rPr>
        <w:drawing>
          <wp:inline distT="0" distB="0" distL="0" distR="0" wp14:anchorId="614C0825" wp14:editId="46972837">
            <wp:extent cx="5731510" cy="2680335"/>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3"/>
                    <a:stretch>
                      <a:fillRect/>
                    </a:stretch>
                  </pic:blipFill>
                  <pic:spPr>
                    <a:xfrm>
                      <a:off x="0" y="0"/>
                      <a:ext cx="5731510" cy="2680335"/>
                    </a:xfrm>
                    <a:prstGeom prst="rect">
                      <a:avLst/>
                    </a:prstGeom>
                  </pic:spPr>
                </pic:pic>
              </a:graphicData>
            </a:graphic>
          </wp:inline>
        </w:drawing>
      </w:r>
    </w:p>
    <w:p w14:paraId="3E972554" w14:textId="09765D06" w:rsidR="00260553" w:rsidRPr="001B2942" w:rsidRDefault="00B10C0A" w:rsidP="001B2942">
      <w:pPr>
        <w:pStyle w:val="Caption"/>
        <w:jc w:val="center"/>
        <w:rPr>
          <w:sz w:val="22"/>
          <w:szCs w:val="22"/>
        </w:rPr>
      </w:pPr>
      <w:bookmarkStart w:id="28" w:name="_Toc128735625"/>
      <w:r w:rsidRPr="001B2942">
        <w:rPr>
          <w:sz w:val="22"/>
          <w:szCs w:val="22"/>
        </w:rPr>
        <w:t xml:space="preserve">Figure </w:t>
      </w:r>
      <w:r w:rsidR="00D72AEB" w:rsidRPr="001B2942">
        <w:rPr>
          <w:sz w:val="22"/>
          <w:szCs w:val="22"/>
        </w:rPr>
        <w:fldChar w:fldCharType="begin"/>
      </w:r>
      <w:r w:rsidR="00D72AEB" w:rsidRPr="001B2942">
        <w:rPr>
          <w:sz w:val="22"/>
          <w:szCs w:val="22"/>
        </w:rPr>
        <w:instrText xml:space="preserve"> SEQ Figure \* ARABIC </w:instrText>
      </w:r>
      <w:r w:rsidR="00D72AEB" w:rsidRPr="001B2942">
        <w:rPr>
          <w:sz w:val="22"/>
          <w:szCs w:val="22"/>
        </w:rPr>
        <w:fldChar w:fldCharType="separate"/>
      </w:r>
      <w:r w:rsidR="001F7B33">
        <w:rPr>
          <w:noProof/>
          <w:sz w:val="22"/>
          <w:szCs w:val="22"/>
        </w:rPr>
        <w:t>12</w:t>
      </w:r>
      <w:r w:rsidR="00D72AEB" w:rsidRPr="001B2942">
        <w:rPr>
          <w:noProof/>
          <w:sz w:val="22"/>
          <w:szCs w:val="22"/>
        </w:rPr>
        <w:fldChar w:fldCharType="end"/>
      </w:r>
      <w:r w:rsidRPr="001B2942">
        <w:rPr>
          <w:sz w:val="22"/>
          <w:szCs w:val="22"/>
        </w:rPr>
        <w:t>. Summary of findings, time in motion studies</w:t>
      </w:r>
      <w:bookmarkEnd w:id="28"/>
    </w:p>
    <w:p w14:paraId="7B55C7CE" w14:textId="12B351B5" w:rsidR="002939CF" w:rsidRDefault="002939CF" w:rsidP="008E50C6"/>
    <w:p w14:paraId="3035CBDB" w14:textId="244EB8A5" w:rsidR="0059188C" w:rsidRDefault="007B04CA" w:rsidP="00F838E1">
      <w:pPr>
        <w:spacing w:line="360" w:lineRule="auto"/>
        <w:jc w:val="both"/>
      </w:pPr>
      <w:r>
        <w:t xml:space="preserve">Approximately </w:t>
      </w:r>
      <w:r w:rsidR="00DD1D46">
        <w:t xml:space="preserve">10,167 hours were released to care at </w:t>
      </w:r>
      <w:r w:rsidR="0002379C">
        <w:t>Singleton</w:t>
      </w:r>
      <w:r w:rsidR="00DD1D46">
        <w:t xml:space="preserve"> and </w:t>
      </w:r>
      <w:r w:rsidR="00F838E1">
        <w:t xml:space="preserve">7,000 hours at NPTH. </w:t>
      </w:r>
    </w:p>
    <w:p w14:paraId="3CF499D3" w14:textId="7C58FDBC" w:rsidR="0059188C" w:rsidRDefault="0059188C" w:rsidP="00F838E1">
      <w:pPr>
        <w:spacing w:line="360" w:lineRule="auto"/>
        <w:jc w:val="both"/>
      </w:pPr>
      <w:r>
        <w:t xml:space="preserve">Data were obtained from the </w:t>
      </w:r>
      <w:r w:rsidR="001B2942">
        <w:t>Datix</w:t>
      </w:r>
      <w:r>
        <w:t xml:space="preserve"> incident reporting system </w:t>
      </w:r>
      <w:r w:rsidR="00632873">
        <w:t>concerning</w:t>
      </w:r>
      <w:r>
        <w:t xml:space="preserve"> the number of incidents relating to the medicines management process, </w:t>
      </w:r>
      <w:r w:rsidR="00194B4C">
        <w:t>focusing</w:t>
      </w:r>
      <w:r>
        <w:t xml:space="preserve"> on three elements</w:t>
      </w:r>
      <w:r w:rsidR="00194B4C">
        <w:t>,</w:t>
      </w:r>
      <w:r>
        <w:t xml:space="preserve"> as illustrated in </w:t>
      </w:r>
      <w:r w:rsidR="000739AF">
        <w:t>F</w:t>
      </w:r>
      <w:r>
        <w:t xml:space="preserve">igure </w:t>
      </w:r>
      <w:r w:rsidR="00323D09">
        <w:t>1</w:t>
      </w:r>
      <w:r w:rsidR="001F7B33">
        <w:t>5</w:t>
      </w:r>
      <w:r>
        <w:t xml:space="preserve">. </w:t>
      </w:r>
    </w:p>
    <w:p w14:paraId="118B876C" w14:textId="30D6F128" w:rsidR="0059188C" w:rsidRDefault="0059188C" w:rsidP="00F838E1">
      <w:pPr>
        <w:spacing w:line="360" w:lineRule="auto"/>
        <w:jc w:val="both"/>
      </w:pPr>
    </w:p>
    <w:p w14:paraId="3A7AE600" w14:textId="77777777" w:rsidR="00B10C0A" w:rsidRDefault="00260553" w:rsidP="00B10C0A">
      <w:pPr>
        <w:keepNext/>
        <w:spacing w:line="360" w:lineRule="auto"/>
        <w:jc w:val="both"/>
      </w:pPr>
      <w:r w:rsidRPr="00260553">
        <w:rPr>
          <w:noProof/>
        </w:rPr>
        <w:lastRenderedPageBreak/>
        <w:drawing>
          <wp:inline distT="0" distB="0" distL="0" distR="0" wp14:anchorId="3D33037E" wp14:editId="5C3776E5">
            <wp:extent cx="5731510" cy="1671320"/>
            <wp:effectExtent l="0" t="0" r="0" b="508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24"/>
                    <a:stretch>
                      <a:fillRect/>
                    </a:stretch>
                  </pic:blipFill>
                  <pic:spPr>
                    <a:xfrm>
                      <a:off x="0" y="0"/>
                      <a:ext cx="5731510" cy="1671320"/>
                    </a:xfrm>
                    <a:prstGeom prst="rect">
                      <a:avLst/>
                    </a:prstGeom>
                  </pic:spPr>
                </pic:pic>
              </a:graphicData>
            </a:graphic>
          </wp:inline>
        </w:drawing>
      </w:r>
    </w:p>
    <w:p w14:paraId="46A6CE72" w14:textId="0C53C13C" w:rsidR="0059188C" w:rsidRPr="001B2942" w:rsidRDefault="00B10C0A" w:rsidP="001B2942">
      <w:pPr>
        <w:pStyle w:val="Caption"/>
        <w:jc w:val="center"/>
        <w:rPr>
          <w:sz w:val="22"/>
          <w:szCs w:val="22"/>
        </w:rPr>
      </w:pPr>
      <w:bookmarkStart w:id="29" w:name="_Toc128735626"/>
      <w:r w:rsidRPr="001B2942">
        <w:rPr>
          <w:sz w:val="22"/>
          <w:szCs w:val="22"/>
        </w:rPr>
        <w:t xml:space="preserve">Figure </w:t>
      </w:r>
      <w:r w:rsidR="00D72AEB" w:rsidRPr="001B2942">
        <w:rPr>
          <w:sz w:val="22"/>
          <w:szCs w:val="22"/>
        </w:rPr>
        <w:fldChar w:fldCharType="begin"/>
      </w:r>
      <w:r w:rsidR="00D72AEB" w:rsidRPr="001B2942">
        <w:rPr>
          <w:sz w:val="22"/>
          <w:szCs w:val="22"/>
        </w:rPr>
        <w:instrText xml:space="preserve"> SEQ Figure \* ARABIC </w:instrText>
      </w:r>
      <w:r w:rsidR="00D72AEB" w:rsidRPr="001B2942">
        <w:rPr>
          <w:sz w:val="22"/>
          <w:szCs w:val="22"/>
        </w:rPr>
        <w:fldChar w:fldCharType="separate"/>
      </w:r>
      <w:r w:rsidR="001F7B33">
        <w:rPr>
          <w:noProof/>
          <w:sz w:val="22"/>
          <w:szCs w:val="22"/>
        </w:rPr>
        <w:t>13</w:t>
      </w:r>
      <w:r w:rsidR="00D72AEB" w:rsidRPr="001B2942">
        <w:rPr>
          <w:noProof/>
          <w:sz w:val="22"/>
          <w:szCs w:val="22"/>
        </w:rPr>
        <w:fldChar w:fldCharType="end"/>
      </w:r>
      <w:r w:rsidRPr="001B2942">
        <w:rPr>
          <w:sz w:val="22"/>
          <w:szCs w:val="22"/>
        </w:rPr>
        <w:t>. Errors in Prescribing and medicines administration</w:t>
      </w:r>
      <w:bookmarkEnd w:id="29"/>
    </w:p>
    <w:p w14:paraId="2AC066DF" w14:textId="3614A9D1" w:rsidR="00CD3BF4" w:rsidRDefault="00245BD0" w:rsidP="003C5561">
      <w:pPr>
        <w:spacing w:line="360" w:lineRule="auto"/>
        <w:jc w:val="both"/>
      </w:pPr>
      <w:r>
        <w:t>The data captured from the Datix incident reporting system relies upon individuals to recognise that they have made an error and to self-report.</w:t>
      </w:r>
    </w:p>
    <w:p w14:paraId="429E0F79" w14:textId="12CC11FC" w:rsidR="00CD3BF4" w:rsidRDefault="00CD3BF4" w:rsidP="00CE2113">
      <w:pPr>
        <w:pStyle w:val="Heading1"/>
      </w:pPr>
      <w:bookmarkStart w:id="30" w:name="_Toc128739215"/>
      <w:r>
        <w:t>Discussion</w:t>
      </w:r>
      <w:r w:rsidR="006B0EF5">
        <w:t xml:space="preserve"> and Conclusion</w:t>
      </w:r>
      <w:bookmarkEnd w:id="30"/>
      <w:r w:rsidR="006B0EF5">
        <w:t xml:space="preserve"> </w:t>
      </w:r>
      <w:r>
        <w:t xml:space="preserve"> </w:t>
      </w:r>
    </w:p>
    <w:p w14:paraId="6CAA9FAB" w14:textId="68BC480C" w:rsidR="0005072D" w:rsidRDefault="0005072D"/>
    <w:p w14:paraId="2F1E1987" w14:textId="37094BEF" w:rsidR="00405CA5" w:rsidRDefault="00A039DE" w:rsidP="00405CA5">
      <w:pPr>
        <w:spacing w:line="360" w:lineRule="auto"/>
        <w:jc w:val="both"/>
      </w:pPr>
      <w:r>
        <w:t>Using</w:t>
      </w:r>
      <w:r w:rsidR="00405CA5">
        <w:t xml:space="preserve"> the FITT framework has enabled the author to critically analyse how well the ePMA system</w:t>
      </w:r>
      <w:r w:rsidR="006B0EF5">
        <w:t xml:space="preserve"> </w:t>
      </w:r>
      <w:r w:rsidR="00405CA5">
        <w:t xml:space="preserve">aligns with the needs of the individual (users of the ePMA) and the tasks (medicines management tasks) they are performing. However, there are several limitations to the FITT framework for consideration. </w:t>
      </w:r>
      <w:r w:rsidR="00800756">
        <w:t xml:space="preserve">Davidoff et al. (2015) </w:t>
      </w:r>
      <w:r>
        <w:t>support</w:t>
      </w:r>
      <w:r w:rsidR="00405CA5">
        <w:t xml:space="preserve"> that the FITT framework does not provide a standard set of criteria for evaluating the fit between the individual, </w:t>
      </w:r>
      <w:r w:rsidR="00EB2A76">
        <w:t>task,</w:t>
      </w:r>
      <w:r w:rsidR="00405CA5">
        <w:t xml:space="preserve"> and technology concepts</w:t>
      </w:r>
      <w:r w:rsidR="00194B4C">
        <w:t xml:space="preserve">. </w:t>
      </w:r>
      <w:r w:rsidR="000C7DBD">
        <w:t>Since other evaluations may have used a different set of criteria</w:t>
      </w:r>
      <w:r w:rsidR="007B04CA">
        <w:t xml:space="preserve">, </w:t>
      </w:r>
      <w:r w:rsidR="00405CA5">
        <w:t xml:space="preserve">the </w:t>
      </w:r>
      <w:r w:rsidR="000C7DBD">
        <w:t xml:space="preserve">conclusion that </w:t>
      </w:r>
      <w:r w:rsidR="00405CA5">
        <w:t xml:space="preserve">the ePMA system </w:t>
      </w:r>
      <w:r w:rsidR="000C7DBD">
        <w:t>is</w:t>
      </w:r>
      <w:r w:rsidR="00605CC8">
        <w:t xml:space="preserve"> a </w:t>
      </w:r>
      <w:r w:rsidR="00B066F3">
        <w:t xml:space="preserve">suitable solution </w:t>
      </w:r>
      <w:r w:rsidR="00405CA5">
        <w:t>align</w:t>
      </w:r>
      <w:r w:rsidR="00C4766D">
        <w:t>ed</w:t>
      </w:r>
      <w:r w:rsidR="00405CA5">
        <w:t xml:space="preserve"> with the</w:t>
      </w:r>
      <w:r w:rsidR="000C7DBD">
        <w:t xml:space="preserve"> users' needs and</w:t>
      </w:r>
      <w:r w:rsidR="00405CA5">
        <w:t xml:space="preserve"> tasks associated with </w:t>
      </w:r>
      <w:r w:rsidR="00C4766D">
        <w:t xml:space="preserve">the </w:t>
      </w:r>
      <w:r w:rsidR="00405CA5">
        <w:t>medication management processes may not be comparable to other evaluation</w:t>
      </w:r>
      <w:r w:rsidR="000C7DBD">
        <w:t>s</w:t>
      </w:r>
      <w:r w:rsidR="00405CA5">
        <w:t xml:space="preserve">. The FITT framework also requires an understanding of the complex interactions between individuals, </w:t>
      </w:r>
      <w:r w:rsidR="00605CC8">
        <w:t>tasks,</w:t>
      </w:r>
      <w:r w:rsidR="00405CA5">
        <w:t xml:space="preserve"> and technology and</w:t>
      </w:r>
      <w:r w:rsidR="00702850">
        <w:t>,</w:t>
      </w:r>
      <w:r w:rsidR="00405CA5">
        <w:t xml:space="preserve"> therefore, can be </w:t>
      </w:r>
      <w:r w:rsidR="00702850">
        <w:t>challenging</w:t>
      </w:r>
      <w:r w:rsidR="00405CA5">
        <w:t xml:space="preserve"> to </w:t>
      </w:r>
      <w:r w:rsidR="00702850">
        <w:t>use</w:t>
      </w:r>
      <w:r w:rsidR="00405CA5">
        <w:t xml:space="preserve"> when </w:t>
      </w:r>
      <w:r w:rsidR="00605CC8">
        <w:t>many</w:t>
      </w:r>
      <w:r w:rsidR="00405CA5">
        <w:t xml:space="preserve"> individuals and tasks are involved </w:t>
      </w:r>
      <w:r w:rsidR="00800756">
        <w:t xml:space="preserve">(Greenhalgh </w:t>
      </w:r>
      <w:r w:rsidR="00800756" w:rsidRPr="00DB3DAA">
        <w:rPr>
          <w:i/>
          <w:iCs/>
        </w:rPr>
        <w:t>et al</w:t>
      </w:r>
      <w:r w:rsidR="00800756">
        <w:t>. 2017)</w:t>
      </w:r>
      <w:r w:rsidR="00405CA5">
        <w:t xml:space="preserve">. </w:t>
      </w:r>
      <w:r w:rsidR="0032341B">
        <w:t>However,</w:t>
      </w:r>
      <w:r w:rsidR="002C5C39">
        <w:t xml:space="preserve"> although</w:t>
      </w:r>
      <w:r w:rsidR="00405CA5">
        <w:t xml:space="preserve"> the FITT framework </w:t>
      </w:r>
      <w:r w:rsidR="00702850">
        <w:t>was an appropriate tool</w:t>
      </w:r>
      <w:r w:rsidR="00405CA5">
        <w:t xml:space="preserve"> to guide the evaluation of the ePMA implementation at NPTH and </w:t>
      </w:r>
      <w:r w:rsidR="0002379C">
        <w:t>Singleton</w:t>
      </w:r>
      <w:r w:rsidR="002C5C39">
        <w:t>, d</w:t>
      </w:r>
      <w:r w:rsidR="00702850">
        <w:t xml:space="preserve">ue to its lack of standard criteria, </w:t>
      </w:r>
      <w:r w:rsidR="00405CA5">
        <w:t>the complexity of relationships between users, tasks, and technology</w:t>
      </w:r>
      <w:r w:rsidR="0032341B">
        <w:t xml:space="preserve">, as well as </w:t>
      </w:r>
      <w:r w:rsidR="00702850">
        <w:t>its</w:t>
      </w:r>
      <w:r w:rsidR="00405CA5">
        <w:t xml:space="preserve"> limited scope</w:t>
      </w:r>
      <w:r w:rsidR="0032341B">
        <w:t>, it is unlikely to be an appropriate tool to support a more extensive evaluation. In addition to organisational culture and external factors like regulatory and environmental constraints, other factors influencing technology adoption and use are not considered</w:t>
      </w:r>
      <w:r w:rsidR="000C7DBD">
        <w:t xml:space="preserve"> in the FITT framework</w:t>
      </w:r>
      <w:r w:rsidR="0032341B">
        <w:t xml:space="preserve">. </w:t>
      </w:r>
      <w:r w:rsidR="00405CA5">
        <w:t xml:space="preserve"> </w:t>
      </w:r>
    </w:p>
    <w:p w14:paraId="30C62ED4" w14:textId="77777777" w:rsidR="00405CA5" w:rsidRDefault="00405CA5" w:rsidP="00405CA5">
      <w:pPr>
        <w:spacing w:line="360" w:lineRule="auto"/>
        <w:jc w:val="both"/>
      </w:pPr>
      <w:r>
        <w:t xml:space="preserve"> </w:t>
      </w:r>
    </w:p>
    <w:p w14:paraId="3DFF4C3D" w14:textId="60EBD9E7" w:rsidR="00405CA5" w:rsidRDefault="00405CA5" w:rsidP="00405CA5">
      <w:pPr>
        <w:spacing w:line="360" w:lineRule="auto"/>
        <w:jc w:val="both"/>
      </w:pPr>
      <w:r>
        <w:t xml:space="preserve">An alternative framework to evaluate the implementation of the ePMA system on a national scale is the Technology, People, Organisations and Macroenvironmental (TPOM) framework. </w:t>
      </w:r>
      <w:r>
        <w:lastRenderedPageBreak/>
        <w:t>The TPOM framework (</w:t>
      </w:r>
      <w:r w:rsidR="000739AF">
        <w:t>F</w:t>
      </w:r>
      <w:r>
        <w:t>igure 1</w:t>
      </w:r>
      <w:r w:rsidR="002C5C39">
        <w:t>6</w:t>
      </w:r>
      <w:r>
        <w:t xml:space="preserve">.) </w:t>
      </w:r>
      <w:r w:rsidR="000C7DBD">
        <w:t xml:space="preserve">was </w:t>
      </w:r>
      <w:r>
        <w:t xml:space="preserve">developed by Creswell, </w:t>
      </w:r>
      <w:r w:rsidR="006B0EF5">
        <w:t>Williams,</w:t>
      </w:r>
      <w:r>
        <w:t xml:space="preserve"> and sheikh (2020) specifically for health information technology implementers</w:t>
      </w:r>
      <w:r w:rsidR="006B0EF5">
        <w:t>.</w:t>
      </w:r>
      <w:r>
        <w:t xml:space="preserve"> </w:t>
      </w:r>
      <w:r w:rsidR="006B0EF5">
        <w:t>W</w:t>
      </w:r>
      <w:r>
        <w:t>ithin this framework</w:t>
      </w:r>
      <w:r w:rsidR="0032341B">
        <w:t>,</w:t>
      </w:r>
      <w:r>
        <w:t xml:space="preserve"> all dimensions are equally important and illustrate the interdependencies of the components. </w:t>
      </w:r>
    </w:p>
    <w:p w14:paraId="061C961B" w14:textId="77777777" w:rsidR="00405CA5" w:rsidRDefault="00405CA5" w:rsidP="00405CA5">
      <w:pPr>
        <w:spacing w:line="360" w:lineRule="auto"/>
        <w:jc w:val="both"/>
      </w:pPr>
    </w:p>
    <w:p w14:paraId="11B74A66" w14:textId="77777777" w:rsidR="00405CA5" w:rsidRDefault="00405CA5" w:rsidP="00405CA5">
      <w:pPr>
        <w:keepNext/>
        <w:spacing w:line="360" w:lineRule="auto"/>
        <w:jc w:val="center"/>
      </w:pPr>
      <w:r>
        <w:rPr>
          <w:noProof/>
        </w:rPr>
        <w:drawing>
          <wp:inline distT="0" distB="0" distL="0" distR="0" wp14:anchorId="692667D8" wp14:editId="016AB0CD">
            <wp:extent cx="3455581" cy="3046700"/>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465856" cy="3055759"/>
                    </a:xfrm>
                    <a:prstGeom prst="rect">
                      <a:avLst/>
                    </a:prstGeom>
                  </pic:spPr>
                </pic:pic>
              </a:graphicData>
            </a:graphic>
          </wp:inline>
        </w:drawing>
      </w:r>
    </w:p>
    <w:p w14:paraId="3FADF48F" w14:textId="009088E4" w:rsidR="00405CA5" w:rsidRPr="0020521B" w:rsidRDefault="00405CA5" w:rsidP="00405CA5">
      <w:pPr>
        <w:pStyle w:val="Caption"/>
        <w:jc w:val="center"/>
        <w:rPr>
          <w:sz w:val="22"/>
          <w:szCs w:val="22"/>
        </w:rPr>
      </w:pPr>
      <w:bookmarkStart w:id="31" w:name="_Toc128735627"/>
      <w:r w:rsidRPr="0020521B">
        <w:rPr>
          <w:sz w:val="22"/>
          <w:szCs w:val="22"/>
        </w:rPr>
        <w:t xml:space="preserve">Figure </w:t>
      </w:r>
      <w:r w:rsidRPr="0020521B">
        <w:rPr>
          <w:sz w:val="22"/>
          <w:szCs w:val="22"/>
        </w:rPr>
        <w:fldChar w:fldCharType="begin"/>
      </w:r>
      <w:r w:rsidRPr="0020521B">
        <w:rPr>
          <w:sz w:val="22"/>
          <w:szCs w:val="22"/>
        </w:rPr>
        <w:instrText xml:space="preserve"> SEQ Figure \* ARABIC </w:instrText>
      </w:r>
      <w:r w:rsidRPr="0020521B">
        <w:rPr>
          <w:sz w:val="22"/>
          <w:szCs w:val="22"/>
        </w:rPr>
        <w:fldChar w:fldCharType="separate"/>
      </w:r>
      <w:r w:rsidR="001F7B33">
        <w:rPr>
          <w:noProof/>
          <w:sz w:val="22"/>
          <w:szCs w:val="22"/>
        </w:rPr>
        <w:t>14</w:t>
      </w:r>
      <w:r w:rsidRPr="0020521B">
        <w:rPr>
          <w:sz w:val="22"/>
          <w:szCs w:val="22"/>
        </w:rPr>
        <w:fldChar w:fldCharType="end"/>
      </w:r>
      <w:r w:rsidR="005339EE">
        <w:rPr>
          <w:sz w:val="22"/>
          <w:szCs w:val="22"/>
        </w:rPr>
        <w:t>.</w:t>
      </w:r>
      <w:r w:rsidRPr="0020521B">
        <w:rPr>
          <w:sz w:val="22"/>
          <w:szCs w:val="22"/>
        </w:rPr>
        <w:t xml:space="preserve"> The TPOM framework (Creswell, </w:t>
      </w:r>
      <w:proofErr w:type="gramStart"/>
      <w:r w:rsidRPr="0020521B">
        <w:rPr>
          <w:sz w:val="22"/>
          <w:szCs w:val="22"/>
        </w:rPr>
        <w:t>Williams</w:t>
      </w:r>
      <w:proofErr w:type="gramEnd"/>
      <w:r w:rsidRPr="0020521B">
        <w:rPr>
          <w:sz w:val="22"/>
          <w:szCs w:val="22"/>
        </w:rPr>
        <w:t xml:space="preserve"> and Sheikh, 2020)</w:t>
      </w:r>
      <w:bookmarkEnd w:id="31"/>
    </w:p>
    <w:p w14:paraId="0F8BF30F" w14:textId="77777777" w:rsidR="00405CA5" w:rsidRDefault="00405CA5" w:rsidP="00405CA5">
      <w:pPr>
        <w:spacing w:line="360" w:lineRule="auto"/>
        <w:jc w:val="both"/>
      </w:pPr>
    </w:p>
    <w:p w14:paraId="06F84984" w14:textId="142DCC70" w:rsidR="00405CA5" w:rsidRDefault="00405CA5" w:rsidP="00405CA5">
      <w:pPr>
        <w:spacing w:line="360" w:lineRule="auto"/>
        <w:jc w:val="both"/>
      </w:pPr>
      <w:r>
        <w:t xml:space="preserve">While the TPOM framework and the FITT framework share some similarities in assessing the fit between technology, tasks, and individuals, there are some important differences between the two frameworks </w:t>
      </w:r>
      <w:r w:rsidR="00C92511">
        <w:t>(Gehman, 2018)</w:t>
      </w:r>
      <w:r>
        <w:t xml:space="preserve">. </w:t>
      </w:r>
      <w:r w:rsidR="00C92511">
        <w:t>Cram, Proudfoot and D’arcy (2017)</w:t>
      </w:r>
      <w:r>
        <w:t xml:space="preserve"> </w:t>
      </w:r>
      <w:r w:rsidR="00C92511">
        <w:t>s</w:t>
      </w:r>
      <w:r>
        <w:t>tate that the main difference is that the TPOM framework takes a broader organisational perspective</w:t>
      </w:r>
      <w:r w:rsidR="006B0EF5">
        <w:t xml:space="preserve"> and includes the Person-Organisation Fit (POF) and Management of Change (MOC) components</w:t>
      </w:r>
      <w:r w:rsidR="0032341B">
        <w:t>. In contrast,</w:t>
      </w:r>
      <w:r>
        <w:t xml:space="preserve"> the FITT framework </w:t>
      </w:r>
      <w:r w:rsidR="0032341B">
        <w:t>primarily focuses</w:t>
      </w:r>
      <w:r>
        <w:t xml:space="preserve"> on the fit between individuals, tasks, and technology</w:t>
      </w:r>
      <w:r w:rsidR="006B0EF5">
        <w:t xml:space="preserve"> without considering the organisational context as </w:t>
      </w:r>
      <w:r w:rsidR="0032341B">
        <w:t>its own concept</w:t>
      </w:r>
      <w:r>
        <w:t xml:space="preserve">. </w:t>
      </w:r>
    </w:p>
    <w:p w14:paraId="7E28EFDE" w14:textId="77777777" w:rsidR="00405CA5" w:rsidRDefault="00405CA5" w:rsidP="00405CA5">
      <w:pPr>
        <w:spacing w:line="360" w:lineRule="auto"/>
        <w:jc w:val="both"/>
      </w:pPr>
    </w:p>
    <w:p w14:paraId="7F1BD0CE" w14:textId="1C050D2E" w:rsidR="00405CA5" w:rsidRDefault="00405CA5" w:rsidP="00405CA5">
      <w:pPr>
        <w:spacing w:line="360" w:lineRule="auto"/>
        <w:jc w:val="both"/>
      </w:pPr>
      <w:r>
        <w:t>In contrast to the FITT framework</w:t>
      </w:r>
      <w:r w:rsidR="0032341B">
        <w:t>,</w:t>
      </w:r>
      <w:r>
        <w:t xml:space="preserve"> which is primarily a tool for describing the fit between the individual, task, and technology concepts and does not provide specific recommendations for improving the fit </w:t>
      </w:r>
      <w:r w:rsidR="00696A46">
        <w:t xml:space="preserve">(Davidoff </w:t>
      </w:r>
      <w:r w:rsidR="00696A46" w:rsidRPr="00DB3DAA">
        <w:rPr>
          <w:i/>
          <w:iCs/>
        </w:rPr>
        <w:t>et al</w:t>
      </w:r>
      <w:r w:rsidR="00696A46">
        <w:t>. 2015)</w:t>
      </w:r>
      <w:r>
        <w:t>, the TPOM framework is more prescriptive</w:t>
      </w:r>
      <w:r w:rsidR="000C7DBD">
        <w:t>. It offers</w:t>
      </w:r>
      <w:r w:rsidR="0032341B">
        <w:t xml:space="preserve"> a structured approach for</w:t>
      </w:r>
      <w:r>
        <w:t xml:space="preserve"> assessing and improving the fit between technology, tasks, individuals, and the broader organisational context, including specific strategies for managing change (</w:t>
      </w:r>
      <w:r w:rsidR="00153048">
        <w:t>Hanelt, Bohnsack, Marz and Antunes Marante, 2021</w:t>
      </w:r>
      <w:r>
        <w:t xml:space="preserve">). Overall, while the TPOM and </w:t>
      </w:r>
      <w:r>
        <w:lastRenderedPageBreak/>
        <w:t>FITT frameworks</w:t>
      </w:r>
      <w:r w:rsidR="0032341B">
        <w:t xml:space="preserve"> are</w:t>
      </w:r>
      <w:r>
        <w:t xml:space="preserve"> useful tools for assessing and improving the fit between technology, tasks, and individuals, they have different areas of focus and different levels of prescriptiveness, and the choice of </w:t>
      </w:r>
      <w:r w:rsidR="0032341B">
        <w:t xml:space="preserve">the </w:t>
      </w:r>
      <w:r>
        <w:t>framework will depend on the specific research question or organisational context (</w:t>
      </w:r>
      <w:r w:rsidR="0075224B">
        <w:t>Pfadenhauer, 2017)</w:t>
      </w:r>
      <w:r>
        <w:t>.</w:t>
      </w:r>
    </w:p>
    <w:p w14:paraId="1A3CCB6B" w14:textId="77777777" w:rsidR="00405CA5" w:rsidRDefault="00405CA5" w:rsidP="00DB7CD1">
      <w:pPr>
        <w:spacing w:line="360" w:lineRule="auto"/>
        <w:jc w:val="both"/>
      </w:pPr>
    </w:p>
    <w:p w14:paraId="2BD2F6E7" w14:textId="7D006306" w:rsidR="00DB7CD1" w:rsidRDefault="00B33229" w:rsidP="00DB7CD1">
      <w:pPr>
        <w:spacing w:line="360" w:lineRule="auto"/>
        <w:jc w:val="both"/>
      </w:pPr>
      <w:r>
        <w:t>The expected impact of implementing ePMA systems is improving patient safety by digitalising the medicines management process and removing variation in paper-based practices. Applying the FITT framework to evaluate t</w:t>
      </w:r>
      <w:r w:rsidR="00DB7CD1">
        <w:t xml:space="preserve">he </w:t>
      </w:r>
      <w:r w:rsidR="000C7DBD">
        <w:t xml:space="preserve">data available in the </w:t>
      </w:r>
      <w:r>
        <w:t xml:space="preserve">SBUHB evaluation and the evidence sourced through the literature review suggest that the ePMA system </w:t>
      </w:r>
      <w:r w:rsidR="0080566F">
        <w:t xml:space="preserve">is a good fit </w:t>
      </w:r>
      <w:r>
        <w:t>aligned with the individual task and technology</w:t>
      </w:r>
      <w:r w:rsidR="0080566F" w:rsidRPr="00B33229">
        <w:t>, as it</w:t>
      </w:r>
      <w:r w:rsidRPr="00B33229">
        <w:t xml:space="preserve"> facilitates increased accuracy, improved </w:t>
      </w:r>
      <w:r w:rsidR="00A343DD" w:rsidRPr="00B33229">
        <w:t>efficiency,</w:t>
      </w:r>
      <w:r w:rsidRPr="00B33229">
        <w:t xml:space="preserve"> and patient safety </w:t>
      </w:r>
      <w:r w:rsidR="0075224B">
        <w:t>(</w:t>
      </w:r>
      <w:r w:rsidR="00CF037F">
        <w:t xml:space="preserve">Porterfield, Engelbert and Coutasse, 2014; Kweon and Lee, 2021; and Vaghasiya </w:t>
      </w:r>
      <w:r w:rsidR="00CF037F" w:rsidRPr="00DB3DAA">
        <w:rPr>
          <w:i/>
          <w:iCs/>
        </w:rPr>
        <w:t>et al</w:t>
      </w:r>
      <w:r w:rsidR="00CF037F">
        <w:t>. 2021</w:t>
      </w:r>
      <w:r w:rsidR="0075224B">
        <w:t>)</w:t>
      </w:r>
      <w:r>
        <w:t>.</w:t>
      </w:r>
      <w:r w:rsidR="00811E71">
        <w:t xml:space="preserve"> </w:t>
      </w:r>
      <w:r w:rsidR="00632873">
        <w:t>However,</w:t>
      </w:r>
      <w:r w:rsidR="00DB7CD1">
        <w:t xml:space="preserve"> </w:t>
      </w:r>
      <w:r w:rsidR="00A343DD">
        <w:t>there is a perception by some users that the ePMA system</w:t>
      </w:r>
      <w:r w:rsidR="00DB7CD1">
        <w:t xml:space="preserve"> may not be considered a good fit, specifically relating to time saved and the ability </w:t>
      </w:r>
      <w:r w:rsidR="0032341B">
        <w:t>to prioritise patient care better</w:t>
      </w:r>
      <w:r w:rsidR="00A343DD">
        <w:t xml:space="preserve"> (Thomas, 2022)</w:t>
      </w:r>
      <w:r w:rsidR="00DB7CD1">
        <w:t>.</w:t>
      </w:r>
      <w:r w:rsidR="00811E71">
        <w:t xml:space="preserve"> </w:t>
      </w:r>
      <w:r w:rsidR="00DB7CD1">
        <w:t xml:space="preserve">The lack of agreement with the statements around </w:t>
      </w:r>
      <w:r w:rsidR="007B04CA">
        <w:t>timesaving</w:t>
      </w:r>
      <w:r w:rsidR="00DB7CD1">
        <w:t xml:space="preserve"> and prioritising patient care may be attributed to the requirement to continue to work in a hybrid fashion</w:t>
      </w:r>
      <w:r w:rsidR="00632873">
        <w:t>,</w:t>
      </w:r>
      <w:r w:rsidR="00DB7CD1">
        <w:t xml:space="preserve"> as not all medicine charts are within the scope of the ePMA system</w:t>
      </w:r>
      <w:r w:rsidR="0032341B">
        <w:t>,</w:t>
      </w:r>
      <w:r w:rsidR="004E7B77">
        <w:t xml:space="preserve"> and medical notes remain </w:t>
      </w:r>
      <w:proofErr w:type="gramStart"/>
      <w:r w:rsidR="0032341B">
        <w:t>paper-based</w:t>
      </w:r>
      <w:proofErr w:type="gramEnd"/>
      <w:r w:rsidR="000C7DBD">
        <w:t>. C</w:t>
      </w:r>
      <w:r w:rsidR="00DB7CD1">
        <w:t xml:space="preserve">onsistent with the findings of the literature review, where multiple sources (Westbrook </w:t>
      </w:r>
      <w:r w:rsidR="00DB7CD1" w:rsidRPr="00DB3DAA">
        <w:rPr>
          <w:i/>
          <w:iCs/>
        </w:rPr>
        <w:t>et al</w:t>
      </w:r>
      <w:r w:rsidR="00DB7CD1">
        <w:t xml:space="preserve">. 2013; Lau </w:t>
      </w:r>
      <w:r w:rsidR="00DB7CD1" w:rsidRPr="00DB3DAA">
        <w:rPr>
          <w:i/>
          <w:iCs/>
        </w:rPr>
        <w:t>et al</w:t>
      </w:r>
      <w:r w:rsidR="00DB7CD1">
        <w:t xml:space="preserve">. 2019) reported an increase in </w:t>
      </w:r>
      <w:r w:rsidR="00811E71">
        <w:t>clinicians'</w:t>
      </w:r>
      <w:r w:rsidR="004D33EF">
        <w:t xml:space="preserve"> time</w:t>
      </w:r>
      <w:r w:rsidR="00DB7CD1">
        <w:t xml:space="preserve"> to generate prescriptions using an electronic system.  </w:t>
      </w:r>
      <w:r w:rsidR="00A343DD">
        <w:t xml:space="preserve">Although, the ability to keep patient information safe, to have a clear audit trail and to have accurate patient information </w:t>
      </w:r>
      <w:r w:rsidR="0032341B">
        <w:t>is</w:t>
      </w:r>
      <w:r w:rsidR="00A343DD">
        <w:t xml:space="preserve"> highlighted as </w:t>
      </w:r>
      <w:r w:rsidR="0032341B">
        <w:t xml:space="preserve">a </w:t>
      </w:r>
      <w:r w:rsidR="00A343DD">
        <w:t>benefit to the users of the ePMA system.</w:t>
      </w:r>
    </w:p>
    <w:p w14:paraId="32171D69" w14:textId="77777777" w:rsidR="00D81349" w:rsidRDefault="00D81349" w:rsidP="00DB7CD1">
      <w:pPr>
        <w:spacing w:line="360" w:lineRule="auto"/>
        <w:jc w:val="both"/>
      </w:pPr>
    </w:p>
    <w:p w14:paraId="386F5638" w14:textId="7118D78E" w:rsidR="005E10B5" w:rsidRDefault="005E10B5" w:rsidP="005E10B5">
      <w:pPr>
        <w:spacing w:line="360" w:lineRule="auto"/>
        <w:jc w:val="both"/>
      </w:pPr>
      <w:r>
        <w:t xml:space="preserve">The survey responses by registered nurses </w:t>
      </w:r>
      <w:r w:rsidR="004D33EF">
        <w:t>suggest</w:t>
      </w:r>
      <w:r>
        <w:t xml:space="preserve"> </w:t>
      </w:r>
      <w:r w:rsidR="008D6623">
        <w:t>that the implementation of ePMA aligned with the needs of the user (registered nurse), task and technology</w:t>
      </w:r>
      <w:r>
        <w:t>.</w:t>
      </w:r>
      <w:r w:rsidR="00811E71">
        <w:t xml:space="preserve"> </w:t>
      </w:r>
      <w:r>
        <w:t>More than 50% of registered nurses strongly agree</w:t>
      </w:r>
      <w:r w:rsidR="008D6623">
        <w:t>d</w:t>
      </w:r>
      <w:r>
        <w:t xml:space="preserve"> or agree</w:t>
      </w:r>
      <w:r w:rsidR="008D6623">
        <w:t>d</w:t>
      </w:r>
      <w:r>
        <w:t xml:space="preserve"> with all statements.</w:t>
      </w:r>
      <w:r w:rsidR="00811E71">
        <w:t xml:space="preserve"> </w:t>
      </w:r>
      <w:r>
        <w:t xml:space="preserve">The </w:t>
      </w:r>
      <w:r w:rsidR="007B04CA">
        <w:t>timesaving</w:t>
      </w:r>
      <w:r>
        <w:t xml:space="preserve"> benefits reported in the </w:t>
      </w:r>
      <w:r w:rsidR="004D33EF">
        <w:t>time-in-motion</w:t>
      </w:r>
      <w:r>
        <w:t xml:space="preserve"> study also </w:t>
      </w:r>
      <w:r w:rsidR="004D33EF">
        <w:t>demonstrate</w:t>
      </w:r>
      <w:r>
        <w:t xml:space="preserve"> the practicality and benefits of implementing the ePMA system to support the medicines management process.</w:t>
      </w:r>
      <w:r w:rsidR="00811E71">
        <w:t xml:space="preserve"> </w:t>
      </w:r>
      <w:r w:rsidR="000C7DBD">
        <w:t xml:space="preserve">The evidence from the </w:t>
      </w:r>
      <w:r>
        <w:t>literature</w:t>
      </w:r>
      <w:r w:rsidR="000C7DBD">
        <w:t xml:space="preserve"> also </w:t>
      </w:r>
      <w:r>
        <w:t xml:space="preserve">suggests that the introduction of health information systems reduced documentation time, allowing nurses to spend more time on care activities (Moore </w:t>
      </w:r>
      <w:r w:rsidRPr="00DB3DAA">
        <w:rPr>
          <w:i/>
          <w:iCs/>
        </w:rPr>
        <w:t>et al</w:t>
      </w:r>
      <w:r>
        <w:t>. 2020).</w:t>
      </w:r>
      <w:r w:rsidR="00811E71">
        <w:t xml:space="preserve"> </w:t>
      </w:r>
      <w:r>
        <w:t xml:space="preserve">Lau </w:t>
      </w:r>
      <w:r w:rsidRPr="00DB3DAA">
        <w:rPr>
          <w:i/>
          <w:iCs/>
        </w:rPr>
        <w:t>et al</w:t>
      </w:r>
      <w:r>
        <w:t xml:space="preserve">. (2019) argue that disadvantages associated with increased prescribing </w:t>
      </w:r>
      <w:r>
        <w:lastRenderedPageBreak/>
        <w:t xml:space="preserve">time can be counteracted by fewer orders needing clarification and saving time on other </w:t>
      </w:r>
      <w:r w:rsidR="004D33EF">
        <w:t>medication-related</w:t>
      </w:r>
      <w:r>
        <w:t xml:space="preserve"> tasks. </w:t>
      </w:r>
    </w:p>
    <w:p w14:paraId="57057283" w14:textId="0706EEB9" w:rsidR="00BE75BC" w:rsidRDefault="00BE75BC" w:rsidP="005E10B5">
      <w:pPr>
        <w:spacing w:line="360" w:lineRule="auto"/>
        <w:jc w:val="both"/>
      </w:pPr>
    </w:p>
    <w:p w14:paraId="3516193D" w14:textId="4220C639" w:rsidR="00DB7CD1" w:rsidRDefault="005B77F9" w:rsidP="0005072D">
      <w:pPr>
        <w:spacing w:line="360" w:lineRule="auto"/>
        <w:jc w:val="both"/>
      </w:pPr>
      <w:r>
        <w:t>There</w:t>
      </w:r>
      <w:r w:rsidR="000C7DBD">
        <w:t xml:space="preserve"> was a</w:t>
      </w:r>
      <w:r w:rsidR="00BE75BC">
        <w:t xml:space="preserve"> reduction in medication administration errors </w:t>
      </w:r>
      <w:r w:rsidR="000C7DBD">
        <w:t xml:space="preserve">reported </w:t>
      </w:r>
      <w:r w:rsidR="00BE75BC">
        <w:t>at NPTH and Singleton,</w:t>
      </w:r>
      <w:r>
        <w:t xml:space="preserve"> but </w:t>
      </w:r>
      <w:r w:rsidR="00BE75BC">
        <w:t xml:space="preserve">a significant increase in </w:t>
      </w:r>
      <w:r w:rsidR="004D33EF">
        <w:t>prescription errors</w:t>
      </w:r>
      <w:r>
        <w:t xml:space="preserve"> was </w:t>
      </w:r>
      <w:r w:rsidR="00BE75BC">
        <w:t>reported.</w:t>
      </w:r>
      <w:r w:rsidR="00811E71">
        <w:t xml:space="preserve"> </w:t>
      </w:r>
      <w:r w:rsidR="00BE75BC">
        <w:t xml:space="preserve">The </w:t>
      </w:r>
      <w:r w:rsidR="004D33EF">
        <w:t>decrease</w:t>
      </w:r>
      <w:r w:rsidR="00BE75BC">
        <w:t xml:space="preserve"> in administration errors is expected</w:t>
      </w:r>
      <w:r w:rsidR="004D33EF">
        <w:t>,</w:t>
      </w:r>
      <w:r w:rsidR="00BE75BC">
        <w:t xml:space="preserve"> consistent with the benefits suggested in the available literature that patient safety will be improved through complete and legible prescription charts (Pontefract </w:t>
      </w:r>
      <w:r w:rsidR="00BE75BC" w:rsidRPr="00DB3DAA">
        <w:rPr>
          <w:i/>
          <w:iCs/>
        </w:rPr>
        <w:t>et al</w:t>
      </w:r>
      <w:r w:rsidR="00BE75BC">
        <w:t xml:space="preserve">. 2018; Van Wilder </w:t>
      </w:r>
      <w:r w:rsidR="00BE75BC" w:rsidRPr="00DB3DAA">
        <w:rPr>
          <w:i/>
          <w:iCs/>
        </w:rPr>
        <w:t>et al</w:t>
      </w:r>
      <w:r w:rsidR="00BE75BC">
        <w:t>. 2020).</w:t>
      </w:r>
      <w:r w:rsidR="00811E71">
        <w:t xml:space="preserve"> </w:t>
      </w:r>
      <w:r w:rsidR="00BE75BC">
        <w:t xml:space="preserve">The increase in prescribing errors captures a limitation of the ePMA system, and Payne </w:t>
      </w:r>
      <w:r w:rsidR="00BE75BC" w:rsidRPr="00DB3DAA">
        <w:rPr>
          <w:i/>
          <w:iCs/>
        </w:rPr>
        <w:t>et al</w:t>
      </w:r>
      <w:r w:rsidR="00BE75BC">
        <w:t xml:space="preserve">. (2015) and Xie </w:t>
      </w:r>
      <w:r w:rsidR="00BE75BC" w:rsidRPr="00DB3DAA">
        <w:rPr>
          <w:i/>
          <w:iCs/>
        </w:rPr>
        <w:t>et al</w:t>
      </w:r>
      <w:r w:rsidR="00BE75BC">
        <w:t>. (2014) report on alert fatigue</w:t>
      </w:r>
      <w:r w:rsidR="004D33EF">
        <w:t>,</w:t>
      </w:r>
      <w:r w:rsidR="00BE75BC">
        <w:t xml:space="preserve"> which could contribute to prescribing errors, Lau </w:t>
      </w:r>
      <w:r w:rsidR="00BE75BC" w:rsidRPr="00DB3DAA">
        <w:rPr>
          <w:i/>
          <w:iCs/>
        </w:rPr>
        <w:t>et al</w:t>
      </w:r>
      <w:r w:rsidR="00BE75BC">
        <w:t xml:space="preserve">. (2019) cautioned </w:t>
      </w:r>
      <w:r w:rsidR="00D81349">
        <w:t>adopters</w:t>
      </w:r>
      <w:r w:rsidR="00BE75BC">
        <w:t xml:space="preserve"> of ePMA systems, to ensure that alerts are relevant and appropriate.</w:t>
      </w:r>
      <w:r w:rsidR="00811E71">
        <w:t xml:space="preserve"> </w:t>
      </w:r>
      <w:r w:rsidR="00BE75BC">
        <w:t xml:space="preserve">In </w:t>
      </w:r>
      <w:r w:rsidR="00076D8A">
        <w:t>addition,</w:t>
      </w:r>
      <w:r w:rsidR="00BE75BC">
        <w:t xml:space="preserve"> it is difficult to ascertain the </w:t>
      </w:r>
      <w:r w:rsidR="004D33EF">
        <w:t>actual</w:t>
      </w:r>
      <w:r w:rsidR="00BE75BC">
        <w:t xml:space="preserve"> increase in prescribing errors and decrease in administration errors</w:t>
      </w:r>
      <w:r w:rsidR="0032341B">
        <w:t>. Before</w:t>
      </w:r>
      <w:r w:rsidR="00BE75BC">
        <w:t xml:space="preserve"> the implementation of ePMA</w:t>
      </w:r>
      <w:r w:rsidR="004D33EF">
        <w:t>,</w:t>
      </w:r>
      <w:r w:rsidR="00BE75BC">
        <w:t xml:space="preserve"> detecting errors was reliant on individuals realising that they had made an error and self-reporting.</w:t>
      </w:r>
      <w:r w:rsidR="00811E71">
        <w:t xml:space="preserve"> </w:t>
      </w:r>
      <w:r w:rsidR="00BE75BC">
        <w:t xml:space="preserve">Another benefit of the ePMA system is the ability to track and audit activity. </w:t>
      </w:r>
    </w:p>
    <w:p w14:paraId="7C2A3513" w14:textId="77777777" w:rsidR="008032CF" w:rsidRDefault="008032CF" w:rsidP="0005072D">
      <w:pPr>
        <w:spacing w:line="360" w:lineRule="auto"/>
        <w:jc w:val="both"/>
      </w:pPr>
    </w:p>
    <w:p w14:paraId="14F18FF0" w14:textId="54F58BDB" w:rsidR="005A59DA" w:rsidRDefault="00645025" w:rsidP="00F411D6">
      <w:pPr>
        <w:spacing w:line="360" w:lineRule="auto"/>
        <w:jc w:val="both"/>
      </w:pPr>
      <w:r>
        <w:t>Implementing</w:t>
      </w:r>
      <w:r w:rsidR="005A59DA">
        <w:t xml:space="preserve"> an ePMA system that aligns with the </w:t>
      </w:r>
      <w:r w:rsidR="0032341B">
        <w:t>users' needs</w:t>
      </w:r>
      <w:r>
        <w:t xml:space="preserve"> has highlighted</w:t>
      </w:r>
      <w:r w:rsidR="005A59DA">
        <w:t xml:space="preserve"> </w:t>
      </w:r>
      <w:r w:rsidR="00F411D6" w:rsidRPr="00110E34">
        <w:t xml:space="preserve">several benefits </w:t>
      </w:r>
      <w:r w:rsidR="005A59DA">
        <w:t xml:space="preserve">contributing to seamless and safe patient care. The benefits </w:t>
      </w:r>
      <w:r w:rsidR="00B066F3">
        <w:t>include</w:t>
      </w:r>
      <w:r w:rsidR="00F411D6">
        <w:t xml:space="preserve"> </w:t>
      </w:r>
      <w:r w:rsidR="00F411D6" w:rsidRPr="00110E34">
        <w:t>Improved patient safety</w:t>
      </w:r>
      <w:r w:rsidR="00F411D6">
        <w:t>, as e</w:t>
      </w:r>
      <w:r w:rsidR="00F411D6" w:rsidRPr="00110E34">
        <w:t xml:space="preserve">lectronic systems can help reduce medication errors by providing decision support tools, </w:t>
      </w:r>
      <w:r w:rsidR="00F411D6">
        <w:t xml:space="preserve">including </w:t>
      </w:r>
      <w:r w:rsidR="00F411D6" w:rsidRPr="00110E34">
        <w:t xml:space="preserve">drug interaction alerts, that can help </w:t>
      </w:r>
      <w:r w:rsidR="00F411D6">
        <w:t xml:space="preserve">users </w:t>
      </w:r>
      <w:r w:rsidR="00F411D6" w:rsidRPr="00110E34">
        <w:t>avoid potentially harmful drug combinations or dosages.</w:t>
      </w:r>
      <w:r>
        <w:t xml:space="preserve"> </w:t>
      </w:r>
      <w:r w:rsidR="00F411D6" w:rsidRPr="00110E34">
        <w:t>Increased</w:t>
      </w:r>
      <w:r w:rsidR="00F411D6">
        <w:t xml:space="preserve"> </w:t>
      </w:r>
      <w:r w:rsidR="00F411D6" w:rsidRPr="00110E34">
        <w:t>efficiency</w:t>
      </w:r>
      <w:r w:rsidR="00F411D6">
        <w:t xml:space="preserve"> </w:t>
      </w:r>
      <w:r>
        <w:t xml:space="preserve">is achieved </w:t>
      </w:r>
      <w:r w:rsidR="00F411D6">
        <w:t xml:space="preserve">by </w:t>
      </w:r>
      <w:r w:rsidR="00F411D6" w:rsidRPr="00110E34">
        <w:t>streamli</w:t>
      </w:r>
      <w:r w:rsidR="00F411D6">
        <w:t>ning</w:t>
      </w:r>
      <w:r w:rsidR="00F411D6" w:rsidRPr="00110E34">
        <w:t xml:space="preserve"> the prescription and medication administration processes</w:t>
      </w:r>
      <w:r>
        <w:t xml:space="preserve"> and </w:t>
      </w:r>
      <w:r w:rsidR="00F411D6" w:rsidRPr="00110E34">
        <w:t>reducing the time and effort required. This can result in improved workflow and reduced wait</w:t>
      </w:r>
      <w:r w:rsidR="00F411D6">
        <w:t>ing</w:t>
      </w:r>
      <w:r w:rsidR="00F411D6" w:rsidRPr="00110E34">
        <w:t xml:space="preserve"> times for patients.</w:t>
      </w:r>
      <w:r w:rsidR="00F411D6">
        <w:t xml:space="preserve"> EPMA </w:t>
      </w:r>
      <w:r w:rsidR="00F411D6" w:rsidRPr="00110E34">
        <w:t xml:space="preserve">systems can facilitate </w:t>
      </w:r>
      <w:r w:rsidR="00F411D6">
        <w:t xml:space="preserve">better </w:t>
      </w:r>
      <w:r w:rsidR="00F411D6" w:rsidRPr="00110E34">
        <w:t xml:space="preserve">communication between healthcare providers, such as physicians and pharmacists, making </w:t>
      </w:r>
      <w:r>
        <w:t>sharing information and coordinating care easier</w:t>
      </w:r>
      <w:r w:rsidR="00F411D6">
        <w:t>. EPMA</w:t>
      </w:r>
      <w:r w:rsidR="00F411D6" w:rsidRPr="00110E34">
        <w:t xml:space="preserve"> systems can help reduce errors associated with manual data entry, such as illegible handwriting or transcription errors.</w:t>
      </w:r>
      <w:r w:rsidR="00F411D6">
        <w:t xml:space="preserve"> </w:t>
      </w:r>
      <w:r w:rsidR="00F411D6" w:rsidRPr="00110E34">
        <w:t>Improve</w:t>
      </w:r>
      <w:r w:rsidR="00F411D6">
        <w:t xml:space="preserve"> </w:t>
      </w:r>
      <w:r w:rsidR="00F411D6" w:rsidRPr="00110E34">
        <w:t>medication adherence</w:t>
      </w:r>
      <w:r w:rsidR="00F411D6">
        <w:t xml:space="preserve"> by</w:t>
      </w:r>
      <w:r w:rsidR="00F411D6" w:rsidRPr="00110E34">
        <w:t xml:space="preserve"> </w:t>
      </w:r>
      <w:r w:rsidR="00F411D6">
        <w:t>generating</w:t>
      </w:r>
      <w:r w:rsidR="00F411D6" w:rsidRPr="00110E34">
        <w:t xml:space="preserve"> reminders and alerts </w:t>
      </w:r>
      <w:r w:rsidR="00F411D6">
        <w:t xml:space="preserve">when a </w:t>
      </w:r>
      <w:r w:rsidR="00F411D6" w:rsidRPr="00110E34">
        <w:t>medication</w:t>
      </w:r>
      <w:r w:rsidR="00F411D6">
        <w:t xml:space="preserve"> is due</w:t>
      </w:r>
      <w:r>
        <w:t>, resulting in improved compliance</w:t>
      </w:r>
      <w:r w:rsidR="00F411D6" w:rsidRPr="00110E34">
        <w:t xml:space="preserve"> </w:t>
      </w:r>
      <w:r w:rsidR="00F411D6">
        <w:t xml:space="preserve">with </w:t>
      </w:r>
      <w:r w:rsidR="00F411D6" w:rsidRPr="00110E34">
        <w:t>treatment plan</w:t>
      </w:r>
      <w:r w:rsidR="00F411D6">
        <w:t>s</w:t>
      </w:r>
      <w:r>
        <w:t xml:space="preserve">. </w:t>
      </w:r>
      <w:r w:rsidR="00F411D6">
        <w:t xml:space="preserve"> </w:t>
      </w:r>
      <w:r>
        <w:t xml:space="preserve">Better </w:t>
      </w:r>
      <w:r w:rsidR="00F411D6" w:rsidRPr="00110E34">
        <w:t>data management</w:t>
      </w:r>
      <w:r w:rsidR="00F411D6">
        <w:t xml:space="preserve"> </w:t>
      </w:r>
      <w:r>
        <w:t>also enables u</w:t>
      </w:r>
      <w:r w:rsidR="00F411D6">
        <w:t>sers to view an audit trail of medication prescribed and administered</w:t>
      </w:r>
      <w:r w:rsidR="00F411D6" w:rsidRPr="00110E34">
        <w:t xml:space="preserve"> and</w:t>
      </w:r>
      <w:r>
        <w:t xml:space="preserve"> to</w:t>
      </w:r>
      <w:r w:rsidR="00F411D6" w:rsidRPr="00110E34">
        <w:t xml:space="preserve"> identify trends or patterns that can help inform clinical decision-</w:t>
      </w:r>
      <w:r w:rsidR="005A59DA" w:rsidRPr="00110E34">
        <w:t>making</w:t>
      </w:r>
      <w:r w:rsidR="005A59DA">
        <w:t xml:space="preserve"> (A Healthier Wales, 2018; Vaghasiya </w:t>
      </w:r>
      <w:r w:rsidR="005A59DA" w:rsidRPr="00DB3DAA">
        <w:rPr>
          <w:i/>
          <w:iCs/>
        </w:rPr>
        <w:t>et al</w:t>
      </w:r>
      <w:r w:rsidR="005A59DA">
        <w:t xml:space="preserve">. 2021; Westbrook </w:t>
      </w:r>
      <w:r w:rsidR="005A59DA" w:rsidRPr="00DB3DAA">
        <w:rPr>
          <w:i/>
          <w:iCs/>
        </w:rPr>
        <w:t>et al</w:t>
      </w:r>
      <w:r w:rsidR="005A59DA">
        <w:t xml:space="preserve">. 2013, </w:t>
      </w:r>
      <w:r>
        <w:t xml:space="preserve">and, </w:t>
      </w:r>
      <w:r w:rsidR="005A59DA">
        <w:t>Thomas, 2022).</w:t>
      </w:r>
      <w:r w:rsidR="00F411D6">
        <w:t xml:space="preserve"> </w:t>
      </w:r>
    </w:p>
    <w:p w14:paraId="2D85FD5B" w14:textId="77777777" w:rsidR="005A59DA" w:rsidRDefault="005A59DA" w:rsidP="00F411D6">
      <w:pPr>
        <w:spacing w:line="360" w:lineRule="auto"/>
        <w:jc w:val="both"/>
      </w:pPr>
    </w:p>
    <w:p w14:paraId="2000191B" w14:textId="77777777" w:rsidR="000739AF" w:rsidRDefault="00250F1F" w:rsidP="00D3045F">
      <w:pPr>
        <w:spacing w:line="360" w:lineRule="auto"/>
        <w:jc w:val="both"/>
      </w:pPr>
      <w:r>
        <w:t xml:space="preserve">Based on the evidence generated in the literature review and the benefits data outlined in the SBUHB evaluation (Thomas, 2022), ePMA systems have been successfully implemented in NHS Wales and worldwide, demonstrating improved patient safety and enhanced efficiency </w:t>
      </w:r>
      <w:r w:rsidR="00645025">
        <w:t xml:space="preserve">(Kweon and Lee, 2021). </w:t>
      </w:r>
    </w:p>
    <w:p w14:paraId="7E866497" w14:textId="77777777" w:rsidR="000739AF" w:rsidRDefault="000739AF" w:rsidP="00D3045F">
      <w:pPr>
        <w:spacing w:line="360" w:lineRule="auto"/>
        <w:jc w:val="both"/>
      </w:pPr>
    </w:p>
    <w:p w14:paraId="0AE2D1F3" w14:textId="0D306995" w:rsidR="005A59DA" w:rsidRDefault="000739AF" w:rsidP="00D3045F">
      <w:pPr>
        <w:spacing w:line="360" w:lineRule="auto"/>
        <w:jc w:val="both"/>
      </w:pPr>
      <w:r>
        <w:t>In conclusion, f</w:t>
      </w:r>
      <w:r w:rsidR="00D3045F">
        <w:t xml:space="preserve">ollowing the successful implementation of an ePMA system at NPTH and Singleton, </w:t>
      </w:r>
      <w:r>
        <w:t xml:space="preserve">the </w:t>
      </w:r>
      <w:r w:rsidR="004E0C98">
        <w:t>author recommends learning from areas that have implemented ePMA and adopting</w:t>
      </w:r>
      <w:r w:rsidR="00F44A03">
        <w:t xml:space="preserve"> a national ePMA system that is interoperable with other systems across NHS Wales</w:t>
      </w:r>
      <w:r w:rsidR="00A039DE">
        <w:t>,</w:t>
      </w:r>
      <w:r>
        <w:t xml:space="preserve"> which will</w:t>
      </w:r>
      <w:r w:rsidR="0096707A">
        <w:t xml:space="preserve"> </w:t>
      </w:r>
      <w:r w:rsidR="002C5C39">
        <w:t>enhance the provision of</w:t>
      </w:r>
      <w:r w:rsidR="00F44A03">
        <w:t xml:space="preserve"> seamless patient care. </w:t>
      </w:r>
    </w:p>
    <w:p w14:paraId="487A0EFA" w14:textId="0E1B8642" w:rsidR="00260553" w:rsidRDefault="00260553" w:rsidP="00260553"/>
    <w:p w14:paraId="7B43339B" w14:textId="5C1FAF27" w:rsidR="00F754A5" w:rsidRDefault="00F754A5"/>
    <w:p w14:paraId="7C7CC7FD" w14:textId="6FCFB7EB" w:rsidR="00433F06" w:rsidRDefault="00433F06" w:rsidP="00642330">
      <w:pPr>
        <w:pStyle w:val="Heading1"/>
      </w:pPr>
    </w:p>
    <w:p w14:paraId="0ECFA7A3" w14:textId="77777777" w:rsidR="00CA1EB8" w:rsidRPr="00CA1EB8" w:rsidRDefault="00CA1EB8" w:rsidP="00CA1EB8"/>
    <w:p w14:paraId="5F3E21BB" w14:textId="77777777" w:rsidR="00433F06" w:rsidRDefault="00433F06" w:rsidP="00642330">
      <w:pPr>
        <w:pStyle w:val="Heading1"/>
      </w:pPr>
    </w:p>
    <w:p w14:paraId="4EE38DDE" w14:textId="77777777" w:rsidR="00433F06" w:rsidRDefault="00433F06" w:rsidP="00642330">
      <w:pPr>
        <w:pStyle w:val="Heading1"/>
      </w:pPr>
    </w:p>
    <w:p w14:paraId="792AC4A5" w14:textId="77777777" w:rsidR="00433F06" w:rsidRDefault="00433F06" w:rsidP="00642330">
      <w:pPr>
        <w:pStyle w:val="Heading1"/>
      </w:pPr>
    </w:p>
    <w:p w14:paraId="17911156" w14:textId="0A00EA20" w:rsidR="00433F06" w:rsidRDefault="00433F06" w:rsidP="00642330">
      <w:pPr>
        <w:pStyle w:val="Heading1"/>
      </w:pPr>
    </w:p>
    <w:p w14:paraId="602294F5" w14:textId="29B951D9" w:rsidR="00CA1EB8" w:rsidRDefault="00CA1EB8" w:rsidP="00CA1EB8"/>
    <w:p w14:paraId="4585B950" w14:textId="362316D8" w:rsidR="00CA1EB8" w:rsidRDefault="00CA1EB8" w:rsidP="00CA1EB8"/>
    <w:p w14:paraId="7B301BB4" w14:textId="77777777" w:rsidR="00CA1EB8" w:rsidRPr="00CA1EB8" w:rsidRDefault="00CA1EB8" w:rsidP="00CA1EB8"/>
    <w:p w14:paraId="080048F8" w14:textId="77777777" w:rsidR="00433F06" w:rsidRDefault="00433F06" w:rsidP="00642330">
      <w:pPr>
        <w:pStyle w:val="Heading1"/>
      </w:pPr>
    </w:p>
    <w:p w14:paraId="70E292DC" w14:textId="7FA3D447" w:rsidR="00CA1EB8" w:rsidRDefault="00CA1EB8" w:rsidP="00642330">
      <w:pPr>
        <w:pStyle w:val="Heading1"/>
      </w:pPr>
    </w:p>
    <w:p w14:paraId="202FBACF" w14:textId="4CD8AB1B" w:rsidR="00CA1EB8" w:rsidRDefault="00CA1EB8" w:rsidP="00642330">
      <w:pPr>
        <w:pStyle w:val="Heading1"/>
      </w:pPr>
    </w:p>
    <w:p w14:paraId="2F290FF7" w14:textId="55563273" w:rsidR="00CA1EB8" w:rsidRDefault="00CA1EB8" w:rsidP="00CA1EB8"/>
    <w:p w14:paraId="429BD88F" w14:textId="5C715175" w:rsidR="00CA1EB8" w:rsidRDefault="00CA1EB8" w:rsidP="00642330">
      <w:pPr>
        <w:pStyle w:val="Heading1"/>
      </w:pPr>
    </w:p>
    <w:p w14:paraId="0445C521" w14:textId="64756E88" w:rsidR="00CA1EB8" w:rsidRDefault="00CA1EB8" w:rsidP="00642330">
      <w:pPr>
        <w:pStyle w:val="Heading1"/>
      </w:pPr>
    </w:p>
    <w:p w14:paraId="081E3931" w14:textId="77777777" w:rsidR="00CA1EB8" w:rsidRPr="00CA1EB8" w:rsidRDefault="00CA1EB8" w:rsidP="00CA1EB8"/>
    <w:p w14:paraId="0DEE2D2F" w14:textId="1AA0C1F4" w:rsidR="00C94EBF" w:rsidRDefault="00642330" w:rsidP="00642330">
      <w:pPr>
        <w:pStyle w:val="Heading1"/>
      </w:pPr>
      <w:bookmarkStart w:id="32" w:name="_Toc128739216"/>
      <w:r>
        <w:lastRenderedPageBreak/>
        <w:t>References:</w:t>
      </w:r>
      <w:bookmarkEnd w:id="32"/>
      <w:r>
        <w:t xml:space="preserve"> </w:t>
      </w:r>
    </w:p>
    <w:p w14:paraId="7B91EA93" w14:textId="27E0FAD8" w:rsidR="00642330" w:rsidRPr="00743312" w:rsidRDefault="00642330" w:rsidP="00642330">
      <w:pPr>
        <w:rPr>
          <w:rFonts w:cstheme="minorHAnsi"/>
        </w:rPr>
      </w:pPr>
    </w:p>
    <w:p w14:paraId="122F3976" w14:textId="6ADDD18E" w:rsidR="00271F2D" w:rsidRPr="00743312" w:rsidRDefault="00271F2D" w:rsidP="00BD0417">
      <w:pPr>
        <w:rPr>
          <w:rStyle w:val="ui-provider"/>
          <w:rFonts w:cstheme="minorHAnsi"/>
        </w:rPr>
      </w:pPr>
      <w:r w:rsidRPr="00743312">
        <w:rPr>
          <w:rStyle w:val="ui-provider"/>
          <w:rFonts w:cstheme="minorHAnsi"/>
        </w:rPr>
        <w:t xml:space="preserve">Arbour, G. (2020) </w:t>
      </w:r>
      <w:r w:rsidR="00DE6D39">
        <w:rPr>
          <w:rStyle w:val="ui-provider"/>
          <w:rFonts w:cstheme="minorHAnsi"/>
        </w:rPr>
        <w:t>‘</w:t>
      </w:r>
      <w:r w:rsidRPr="00743312">
        <w:rPr>
          <w:rStyle w:val="ui-provider"/>
          <w:rFonts w:cstheme="minorHAnsi"/>
        </w:rPr>
        <w:t>Frameworks for program evaluation: Considerations on research, practice and institutions</w:t>
      </w:r>
      <w:r w:rsidR="00DE6D39">
        <w:rPr>
          <w:rStyle w:val="ui-provider"/>
          <w:rFonts w:cstheme="minorHAnsi"/>
        </w:rPr>
        <w:t>’,</w:t>
      </w:r>
      <w:r w:rsidR="00811E71" w:rsidRPr="00983EB8">
        <w:rPr>
          <w:rStyle w:val="ui-provider"/>
          <w:rFonts w:cstheme="minorHAnsi"/>
          <w:i/>
          <w:iCs/>
        </w:rPr>
        <w:t xml:space="preserve"> </w:t>
      </w:r>
      <w:r w:rsidRPr="00983EB8">
        <w:rPr>
          <w:rStyle w:val="ui-provider"/>
          <w:rFonts w:cstheme="minorHAnsi"/>
          <w:i/>
          <w:iCs/>
        </w:rPr>
        <w:t>Evaluation</w:t>
      </w:r>
      <w:r w:rsidRPr="00743312">
        <w:rPr>
          <w:rStyle w:val="ui-provider"/>
          <w:rFonts w:cstheme="minorHAnsi"/>
        </w:rPr>
        <w:t>, 26(4), pp422-437. (</w:t>
      </w:r>
      <w:hyperlink r:id="rId26" w:history="1">
        <w:r w:rsidRPr="00743312">
          <w:rPr>
            <w:rStyle w:val="Hyperlink"/>
            <w:rFonts w:cstheme="minorHAnsi"/>
          </w:rPr>
          <w:t>https://doi.org/10.1177/1356389020920890</w:t>
        </w:r>
      </w:hyperlink>
      <w:r w:rsidRPr="00743312">
        <w:rPr>
          <w:rStyle w:val="ui-provider"/>
          <w:rFonts w:cstheme="minorHAnsi"/>
        </w:rPr>
        <w:t xml:space="preserve">) </w:t>
      </w:r>
    </w:p>
    <w:p w14:paraId="5C2D2710" w14:textId="4B4076B7" w:rsidR="00743312" w:rsidRPr="00743312" w:rsidRDefault="00743312" w:rsidP="00BD0417">
      <w:pPr>
        <w:rPr>
          <w:rStyle w:val="ui-provider"/>
          <w:rFonts w:cstheme="minorHAnsi"/>
        </w:rPr>
      </w:pPr>
    </w:p>
    <w:p w14:paraId="03172586" w14:textId="5C592596" w:rsidR="00743312" w:rsidRDefault="00743312" w:rsidP="00BD0417">
      <w:pPr>
        <w:rPr>
          <w:rStyle w:val="ui-provider"/>
          <w:rFonts w:cstheme="minorHAnsi"/>
        </w:rPr>
      </w:pPr>
      <w:r w:rsidRPr="00743312">
        <w:rPr>
          <w:rStyle w:val="ui-provider"/>
          <w:rFonts w:cstheme="minorHAnsi"/>
        </w:rPr>
        <w:t xml:space="preserve">Armada, E. (2014) </w:t>
      </w:r>
      <w:r w:rsidR="00811E71">
        <w:rPr>
          <w:rStyle w:val="ui-provider"/>
          <w:rFonts w:cstheme="minorHAnsi"/>
        </w:rPr>
        <w:t>'</w:t>
      </w:r>
      <w:r w:rsidRPr="00743312">
        <w:rPr>
          <w:rStyle w:val="ui-provider"/>
          <w:rFonts w:cstheme="minorHAnsi"/>
        </w:rPr>
        <w:t>Computerised physician order entry in the cardiac intensive care unit: Effects on prescription errors on workflow conditions</w:t>
      </w:r>
      <w:r w:rsidR="00811E71">
        <w:rPr>
          <w:rStyle w:val="ui-provider"/>
          <w:rFonts w:cstheme="minorHAnsi"/>
        </w:rPr>
        <w:t>'</w:t>
      </w:r>
      <w:r w:rsidRPr="00743312">
        <w:rPr>
          <w:rStyle w:val="ui-provider"/>
          <w:rFonts w:cstheme="minorHAnsi"/>
        </w:rPr>
        <w:t xml:space="preserve">, </w:t>
      </w:r>
      <w:r w:rsidRPr="00DE6D39">
        <w:rPr>
          <w:rStyle w:val="ui-provider"/>
          <w:rFonts w:cstheme="minorHAnsi"/>
          <w:i/>
          <w:iCs/>
        </w:rPr>
        <w:t>Journal of Critical Care</w:t>
      </w:r>
      <w:r w:rsidRPr="00743312">
        <w:rPr>
          <w:rStyle w:val="ui-provider"/>
          <w:rFonts w:cstheme="minorHAnsi"/>
          <w:i/>
          <w:iCs/>
        </w:rPr>
        <w:t>, 29(2), pp188-193</w:t>
      </w:r>
      <w:r w:rsidRPr="00743312">
        <w:rPr>
          <w:rStyle w:val="ui-provider"/>
          <w:rFonts w:cstheme="minorHAnsi"/>
        </w:rPr>
        <w:t> </w:t>
      </w:r>
    </w:p>
    <w:p w14:paraId="6303C016" w14:textId="21ECE89B" w:rsidR="00A83436" w:rsidRDefault="00A83436" w:rsidP="00BD0417">
      <w:pPr>
        <w:rPr>
          <w:rStyle w:val="ui-provider"/>
          <w:rFonts w:cstheme="minorHAnsi"/>
        </w:rPr>
      </w:pPr>
    </w:p>
    <w:p w14:paraId="18A44945" w14:textId="0ABD5F1F" w:rsidR="00A83436" w:rsidRPr="00743312" w:rsidRDefault="00A83436" w:rsidP="00BD0417">
      <w:pPr>
        <w:rPr>
          <w:rStyle w:val="ui-provider"/>
          <w:rFonts w:cstheme="minorHAnsi"/>
        </w:rPr>
      </w:pPr>
      <w:r w:rsidRPr="00DE6D39">
        <w:rPr>
          <w:rStyle w:val="ui-provider"/>
        </w:rPr>
        <w:t>Atun, R</w:t>
      </w:r>
      <w:r w:rsidR="00DE6D39">
        <w:rPr>
          <w:rStyle w:val="ui-provider"/>
        </w:rPr>
        <w:t xml:space="preserve">. </w:t>
      </w:r>
      <w:r w:rsidR="00DE6D39" w:rsidRPr="00DE6D39">
        <w:rPr>
          <w:rStyle w:val="ui-provider"/>
          <w:i/>
          <w:iCs/>
        </w:rPr>
        <w:t>et al</w:t>
      </w:r>
      <w:r w:rsidR="00DE6D39">
        <w:rPr>
          <w:rStyle w:val="ui-provider"/>
        </w:rPr>
        <w:t>. (</w:t>
      </w:r>
      <w:r w:rsidRPr="00DE6D39">
        <w:rPr>
          <w:rStyle w:val="ui-provider"/>
        </w:rPr>
        <w:t>2015</w:t>
      </w:r>
      <w:r w:rsidR="00DE6D39">
        <w:rPr>
          <w:rStyle w:val="ui-provider"/>
        </w:rPr>
        <w:t>)</w:t>
      </w:r>
      <w:r w:rsidRPr="00DE6D39">
        <w:rPr>
          <w:rStyle w:val="ui-provider"/>
        </w:rPr>
        <w:t xml:space="preserve"> </w:t>
      </w:r>
      <w:r w:rsidR="003B1547">
        <w:rPr>
          <w:rStyle w:val="ui-provider"/>
        </w:rPr>
        <w:t>‘</w:t>
      </w:r>
      <w:r w:rsidRPr="00DE6D39">
        <w:rPr>
          <w:rStyle w:val="ui-provider"/>
        </w:rPr>
        <w:t>Expanding global access to radiotherapy</w:t>
      </w:r>
      <w:r w:rsidR="003B1547">
        <w:rPr>
          <w:rStyle w:val="ui-provider"/>
        </w:rPr>
        <w:t>’,</w:t>
      </w:r>
      <w:r w:rsidRPr="00DE6D39">
        <w:rPr>
          <w:rStyle w:val="ui-provider"/>
        </w:rPr>
        <w:t xml:space="preserve"> </w:t>
      </w:r>
      <w:r w:rsidRPr="00DE6D39">
        <w:rPr>
          <w:rStyle w:val="ui-provider"/>
          <w:i/>
          <w:iCs/>
        </w:rPr>
        <w:t xml:space="preserve">The </w:t>
      </w:r>
      <w:r w:rsidR="00DE6D39" w:rsidRPr="00DE6D39">
        <w:rPr>
          <w:rStyle w:val="ui-provider"/>
          <w:i/>
          <w:iCs/>
        </w:rPr>
        <w:t>L</w:t>
      </w:r>
      <w:r w:rsidRPr="00DE6D39">
        <w:rPr>
          <w:rStyle w:val="ui-provider"/>
          <w:i/>
          <w:iCs/>
        </w:rPr>
        <w:t xml:space="preserve">ancet </w:t>
      </w:r>
      <w:r w:rsidR="00DE6D39" w:rsidRPr="00DE6D39">
        <w:rPr>
          <w:rStyle w:val="ui-provider"/>
          <w:i/>
          <w:iCs/>
        </w:rPr>
        <w:t>O</w:t>
      </w:r>
      <w:r w:rsidRPr="00DE6D39">
        <w:rPr>
          <w:rStyle w:val="ui-provider"/>
          <w:i/>
          <w:iCs/>
        </w:rPr>
        <w:t>ncology</w:t>
      </w:r>
      <w:r w:rsidRPr="00DE6D39">
        <w:rPr>
          <w:rStyle w:val="ui-provider"/>
        </w:rPr>
        <w:t xml:space="preserve">, </w:t>
      </w:r>
      <w:r w:rsidRPr="00DE6D39">
        <w:rPr>
          <w:rStyle w:val="ui-provider"/>
          <w:i/>
          <w:iCs/>
        </w:rPr>
        <w:t>16</w:t>
      </w:r>
      <w:r w:rsidRPr="00DE6D39">
        <w:rPr>
          <w:rStyle w:val="ui-provider"/>
        </w:rPr>
        <w:t>(10), pp.1153-1186.</w:t>
      </w:r>
    </w:p>
    <w:p w14:paraId="330F8EB3" w14:textId="16E97592" w:rsidR="00743312" w:rsidRPr="00743312" w:rsidRDefault="00743312" w:rsidP="00743312">
      <w:pPr>
        <w:pStyle w:val="NormalWeb"/>
        <w:rPr>
          <w:rFonts w:asciiTheme="minorHAnsi" w:hAnsiTheme="minorHAnsi" w:cstheme="minorHAnsi"/>
        </w:rPr>
      </w:pPr>
      <w:r w:rsidRPr="00743312">
        <w:rPr>
          <w:rFonts w:asciiTheme="minorHAnsi" w:hAnsiTheme="minorHAnsi" w:cstheme="minorHAnsi"/>
        </w:rPr>
        <w:t xml:space="preserve">Austin, J.A., Smith, I.R. and Tariq, A. (2018) </w:t>
      </w:r>
      <w:r w:rsidR="00811E71">
        <w:rPr>
          <w:rFonts w:asciiTheme="minorHAnsi" w:hAnsiTheme="minorHAnsi" w:cstheme="minorHAnsi"/>
        </w:rPr>
        <w:t>'</w:t>
      </w:r>
      <w:r w:rsidRPr="00743312">
        <w:rPr>
          <w:rFonts w:asciiTheme="minorHAnsi" w:hAnsiTheme="minorHAnsi" w:cstheme="minorHAnsi"/>
        </w:rPr>
        <w:t>The impact of closed-loop electronic medication management on time to first dose: a comparative study between paper and digital hospital environments</w:t>
      </w:r>
      <w:r w:rsidR="00811E71">
        <w:rPr>
          <w:rFonts w:asciiTheme="minorHAnsi" w:hAnsiTheme="minorHAnsi" w:cstheme="minorHAnsi"/>
        </w:rPr>
        <w:t>'</w:t>
      </w:r>
      <w:r w:rsidRPr="00743312">
        <w:rPr>
          <w:rFonts w:asciiTheme="minorHAnsi" w:hAnsiTheme="minorHAnsi" w:cstheme="minorHAnsi"/>
        </w:rPr>
        <w:t xml:space="preserve">, </w:t>
      </w:r>
      <w:r w:rsidRPr="00743312">
        <w:rPr>
          <w:rFonts w:asciiTheme="minorHAnsi" w:hAnsiTheme="minorHAnsi" w:cstheme="minorHAnsi"/>
          <w:i/>
          <w:iCs/>
        </w:rPr>
        <w:t>International Journal of Pharmacy Practice</w:t>
      </w:r>
      <w:r w:rsidRPr="00743312">
        <w:rPr>
          <w:rFonts w:asciiTheme="minorHAnsi" w:hAnsiTheme="minorHAnsi" w:cstheme="minorHAnsi"/>
        </w:rPr>
        <w:t>, 26(6), pp. 526–533.</w:t>
      </w:r>
      <w:r w:rsidR="00811E71">
        <w:rPr>
          <w:rFonts w:asciiTheme="minorHAnsi" w:hAnsiTheme="minorHAnsi" w:cstheme="minorHAnsi"/>
        </w:rPr>
        <w:t xml:space="preserve"> </w:t>
      </w:r>
      <w:hyperlink r:id="rId27" w:tgtFrame="_blank" w:tooltip="https://doi.org/10.1111/ijpp.12432" w:history="1">
        <w:r w:rsidRPr="00743312">
          <w:rPr>
            <w:rStyle w:val="Hyperlink"/>
            <w:rFonts w:asciiTheme="minorHAnsi" w:eastAsiaTheme="majorEastAsia" w:hAnsiTheme="minorHAnsi" w:cstheme="minorHAnsi"/>
          </w:rPr>
          <w:t>https://doi.org/10.1111/ijpp.12432</w:t>
        </w:r>
      </w:hyperlink>
      <w:r w:rsidRPr="00743312">
        <w:rPr>
          <w:rFonts w:asciiTheme="minorHAnsi" w:hAnsiTheme="minorHAnsi" w:cstheme="minorHAnsi"/>
        </w:rPr>
        <w:t>.</w:t>
      </w:r>
    </w:p>
    <w:p w14:paraId="46D81E71" w14:textId="17C87307" w:rsidR="00A171DE" w:rsidRDefault="00BD0417" w:rsidP="00BD0417">
      <w:pPr>
        <w:rPr>
          <w:rStyle w:val="ui-provider"/>
          <w:rFonts w:cstheme="minorHAnsi"/>
        </w:rPr>
      </w:pPr>
      <w:r w:rsidRPr="00743312">
        <w:rPr>
          <w:rStyle w:val="ui-provider"/>
          <w:rFonts w:cstheme="minorHAnsi"/>
        </w:rPr>
        <w:t>Cho</w:t>
      </w:r>
      <w:r w:rsidR="00A171DE">
        <w:rPr>
          <w:rStyle w:val="ui-provider"/>
          <w:rFonts w:cstheme="minorHAnsi"/>
        </w:rPr>
        <w:t>, H. et al. (2019) ‘</w:t>
      </w:r>
      <w:r w:rsidRPr="00743312">
        <w:rPr>
          <w:rStyle w:val="ui-provider"/>
          <w:rFonts w:cstheme="minorHAnsi"/>
        </w:rPr>
        <w:t xml:space="preserve">Use of the FITT framework to understand </w:t>
      </w:r>
      <w:r w:rsidR="00811E71">
        <w:rPr>
          <w:rStyle w:val="ui-provider"/>
          <w:rFonts w:cstheme="minorHAnsi"/>
        </w:rPr>
        <w:t>patients'</w:t>
      </w:r>
      <w:r w:rsidRPr="00743312">
        <w:rPr>
          <w:rStyle w:val="ui-provider"/>
          <w:rFonts w:cstheme="minorHAnsi"/>
        </w:rPr>
        <w:t xml:space="preserve"> experiences </w:t>
      </w:r>
      <w:r w:rsidR="00CB4C3B" w:rsidRPr="00743312">
        <w:rPr>
          <w:rStyle w:val="ui-provider"/>
          <w:rFonts w:cstheme="minorHAnsi"/>
        </w:rPr>
        <w:t>using a</w:t>
      </w:r>
      <w:r w:rsidRPr="00743312">
        <w:rPr>
          <w:rStyle w:val="ui-provider"/>
          <w:rFonts w:cstheme="minorHAnsi"/>
        </w:rPr>
        <w:t xml:space="preserve"> real-time medication monitoring pill bottle linked to a mobile-based HIV self-management app: A qualitative study</w:t>
      </w:r>
      <w:r w:rsidR="00A171DE">
        <w:rPr>
          <w:rStyle w:val="ui-provider"/>
          <w:rFonts w:cstheme="minorHAnsi"/>
        </w:rPr>
        <w:t xml:space="preserve">’, </w:t>
      </w:r>
      <w:r w:rsidRPr="00A171DE">
        <w:rPr>
          <w:rStyle w:val="ui-provider"/>
          <w:rFonts w:cstheme="minorHAnsi"/>
          <w:i/>
          <w:iCs/>
        </w:rPr>
        <w:t>Int</w:t>
      </w:r>
      <w:r w:rsidR="00A171DE" w:rsidRPr="00A171DE">
        <w:rPr>
          <w:rStyle w:val="ui-provider"/>
          <w:rFonts w:cstheme="minorHAnsi"/>
          <w:i/>
          <w:iCs/>
        </w:rPr>
        <w:t xml:space="preserve">ernational </w:t>
      </w:r>
      <w:r w:rsidRPr="00A171DE">
        <w:rPr>
          <w:rStyle w:val="ui-provider"/>
          <w:rFonts w:cstheme="minorHAnsi"/>
          <w:i/>
          <w:iCs/>
        </w:rPr>
        <w:t>J</w:t>
      </w:r>
      <w:r w:rsidR="00A171DE" w:rsidRPr="00A171DE">
        <w:rPr>
          <w:rStyle w:val="ui-provider"/>
          <w:rFonts w:cstheme="minorHAnsi"/>
          <w:i/>
          <w:iCs/>
        </w:rPr>
        <w:t>ournal of</w:t>
      </w:r>
      <w:r w:rsidRPr="00A171DE">
        <w:rPr>
          <w:rStyle w:val="ui-provider"/>
          <w:rFonts w:cstheme="minorHAnsi"/>
          <w:i/>
          <w:iCs/>
        </w:rPr>
        <w:t xml:space="preserve"> Med</w:t>
      </w:r>
      <w:r w:rsidR="00A171DE" w:rsidRPr="00A171DE">
        <w:rPr>
          <w:rStyle w:val="ui-provider"/>
          <w:rFonts w:cstheme="minorHAnsi"/>
          <w:i/>
          <w:iCs/>
        </w:rPr>
        <w:t>ical</w:t>
      </w:r>
      <w:r w:rsidRPr="00A171DE">
        <w:rPr>
          <w:rStyle w:val="ui-provider"/>
          <w:rFonts w:cstheme="minorHAnsi"/>
          <w:i/>
          <w:iCs/>
        </w:rPr>
        <w:t xml:space="preserve"> Inform</w:t>
      </w:r>
      <w:r w:rsidR="00A171DE" w:rsidRPr="00A171DE">
        <w:rPr>
          <w:rStyle w:val="ui-provider"/>
          <w:rFonts w:cstheme="minorHAnsi"/>
          <w:i/>
          <w:iCs/>
        </w:rPr>
        <w:t>atics</w:t>
      </w:r>
      <w:r w:rsidR="00A171DE">
        <w:rPr>
          <w:rStyle w:val="ui-provider"/>
          <w:rFonts w:cstheme="minorHAnsi"/>
        </w:rPr>
        <w:t xml:space="preserve">, </w:t>
      </w:r>
      <w:r w:rsidRPr="00743312">
        <w:rPr>
          <w:rStyle w:val="ui-provider"/>
          <w:rFonts w:cstheme="minorHAnsi"/>
        </w:rPr>
        <w:t>131</w:t>
      </w:r>
      <w:r w:rsidR="00A171DE">
        <w:rPr>
          <w:rStyle w:val="ui-provider"/>
          <w:rFonts w:cstheme="minorHAnsi"/>
        </w:rPr>
        <w:t xml:space="preserve">(103949) Available at: </w:t>
      </w:r>
      <w:hyperlink r:id="rId28" w:history="1">
        <w:r w:rsidR="00A171DE" w:rsidRPr="00D11117">
          <w:rPr>
            <w:rStyle w:val="Hyperlink"/>
            <w:rFonts w:cstheme="minorHAnsi"/>
          </w:rPr>
          <w:t>https://www.ncbi.nlm.nih.gov/pmc/articles/PMC7144128/pdf/nihms-1577023.pdf</w:t>
        </w:r>
      </w:hyperlink>
    </w:p>
    <w:p w14:paraId="041192F8" w14:textId="77777777" w:rsidR="00BD0417" w:rsidRPr="00743312" w:rsidRDefault="00BD0417" w:rsidP="00642330">
      <w:pPr>
        <w:rPr>
          <w:rFonts w:cstheme="minorHAnsi"/>
        </w:rPr>
      </w:pPr>
    </w:p>
    <w:p w14:paraId="380BF769" w14:textId="0214F507" w:rsidR="00743312" w:rsidRDefault="00743312" w:rsidP="00642330">
      <w:pPr>
        <w:rPr>
          <w:rStyle w:val="ui-provider"/>
          <w:rFonts w:cstheme="minorHAnsi"/>
        </w:rPr>
      </w:pPr>
      <w:r w:rsidRPr="00743312">
        <w:rPr>
          <w:rStyle w:val="ui-provider"/>
          <w:rFonts w:cstheme="minorHAnsi"/>
        </w:rPr>
        <w:t>Connelly, D. and Cotterell, M. (2019)</w:t>
      </w:r>
      <w:r w:rsidR="00811E71">
        <w:rPr>
          <w:rStyle w:val="ui-provider"/>
          <w:rFonts w:cstheme="minorHAnsi"/>
        </w:rPr>
        <w:t xml:space="preserve">' </w:t>
      </w:r>
      <w:r w:rsidRPr="00743312">
        <w:rPr>
          <w:rStyle w:val="ui-provider"/>
          <w:rFonts w:cstheme="minorHAnsi"/>
        </w:rPr>
        <w:t>Medication Errors: where do they happen?</w:t>
      </w:r>
      <w:r w:rsidR="00811E71">
        <w:rPr>
          <w:rStyle w:val="ui-provider"/>
          <w:rFonts w:cstheme="minorHAnsi"/>
        </w:rPr>
        <w:t>'</w:t>
      </w:r>
      <w:r w:rsidRPr="00743312">
        <w:rPr>
          <w:rStyle w:val="ui-provider"/>
          <w:rFonts w:cstheme="minorHAnsi"/>
        </w:rPr>
        <w:t xml:space="preserve">, </w:t>
      </w:r>
      <w:r w:rsidRPr="00743312">
        <w:rPr>
          <w:rStyle w:val="ui-provider"/>
          <w:rFonts w:cstheme="minorHAnsi"/>
          <w:i/>
          <w:iCs/>
        </w:rPr>
        <w:t>The Pharmaceutical Journal</w:t>
      </w:r>
      <w:r w:rsidRPr="00743312">
        <w:rPr>
          <w:rStyle w:val="ui-provider"/>
          <w:rFonts w:cstheme="minorHAnsi"/>
        </w:rPr>
        <w:t xml:space="preserve">, </w:t>
      </w:r>
      <w:r w:rsidRPr="00743312">
        <w:rPr>
          <w:rStyle w:val="ui-provider"/>
          <w:rFonts w:cstheme="minorHAnsi"/>
          <w:i/>
          <w:iCs/>
        </w:rPr>
        <w:t>302(7922)</w:t>
      </w:r>
      <w:r w:rsidRPr="00743312">
        <w:rPr>
          <w:rStyle w:val="ui-provider"/>
          <w:rFonts w:cstheme="minorHAnsi"/>
        </w:rPr>
        <w:t> Available</w:t>
      </w:r>
      <w:r w:rsidRPr="00743312">
        <w:rPr>
          <w:rFonts w:cstheme="minorHAnsi"/>
        </w:rPr>
        <w:br/>
      </w:r>
      <w:r w:rsidRPr="00743312">
        <w:rPr>
          <w:rStyle w:val="ui-provider"/>
          <w:rFonts w:cstheme="minorHAnsi"/>
        </w:rPr>
        <w:t>at: </w:t>
      </w:r>
      <w:hyperlink r:id="rId29" w:tgtFrame="_blank" w:tooltip="https://www.pharmaceutical-journal.com/news-and-analysis/infographics/medication-errors-where-do-they%02happen/20206204.article" w:history="1">
        <w:r w:rsidRPr="00743312">
          <w:rPr>
            <w:rStyle w:val="Hyperlink"/>
            <w:rFonts w:cstheme="minorHAnsi"/>
          </w:rPr>
          <w:t>https://www.pharmaceutical-journal.com/news-and-analysis/infographics/medication-errors-where-do-theyhappen/20206204.article</w:t>
        </w:r>
      </w:hyperlink>
      <w:r w:rsidRPr="00743312">
        <w:rPr>
          <w:rStyle w:val="ui-provider"/>
          <w:rFonts w:cstheme="minorHAnsi"/>
          <w:u w:val="single"/>
        </w:rPr>
        <w:t> </w:t>
      </w:r>
    </w:p>
    <w:p w14:paraId="77ED0035" w14:textId="5A2DF401" w:rsidR="00A83436" w:rsidRDefault="00A83436" w:rsidP="00642330">
      <w:pPr>
        <w:rPr>
          <w:rStyle w:val="ui-provider"/>
          <w:rFonts w:cstheme="minorHAnsi"/>
        </w:rPr>
      </w:pPr>
    </w:p>
    <w:p w14:paraId="0E92C70B" w14:textId="6EB177A4" w:rsidR="00A83436" w:rsidRPr="00A83436" w:rsidRDefault="00A83436" w:rsidP="00A83436">
      <w:pPr>
        <w:rPr>
          <w:rStyle w:val="ui-provider"/>
          <w:rFonts w:cstheme="minorHAnsi"/>
        </w:rPr>
      </w:pPr>
      <w:r w:rsidRPr="00A171DE">
        <w:rPr>
          <w:rStyle w:val="ui-provider"/>
          <w:rFonts w:cstheme="minorHAnsi"/>
        </w:rPr>
        <w:t xml:space="preserve">Cram, W.A., Proudfoot, J.G. and D’arcy, J. </w:t>
      </w:r>
      <w:r w:rsidR="00A171DE" w:rsidRPr="00A171DE">
        <w:rPr>
          <w:rStyle w:val="ui-provider"/>
          <w:rFonts w:cstheme="minorHAnsi"/>
        </w:rPr>
        <w:t>(</w:t>
      </w:r>
      <w:r w:rsidRPr="00A171DE">
        <w:rPr>
          <w:rStyle w:val="ui-provider"/>
          <w:rFonts w:cstheme="minorHAnsi"/>
        </w:rPr>
        <w:t>2017</w:t>
      </w:r>
      <w:r w:rsidR="00A171DE" w:rsidRPr="00A171DE">
        <w:rPr>
          <w:rStyle w:val="ui-provider"/>
          <w:rFonts w:cstheme="minorHAnsi"/>
        </w:rPr>
        <w:t>)</w:t>
      </w:r>
      <w:r w:rsidRPr="00A171DE">
        <w:rPr>
          <w:rStyle w:val="ui-provider"/>
          <w:rFonts w:cstheme="minorHAnsi"/>
        </w:rPr>
        <w:t xml:space="preserve"> </w:t>
      </w:r>
      <w:r w:rsidR="00A171DE" w:rsidRPr="00A171DE">
        <w:rPr>
          <w:rStyle w:val="ui-provider"/>
          <w:rFonts w:cstheme="minorHAnsi"/>
        </w:rPr>
        <w:t>‘</w:t>
      </w:r>
      <w:r w:rsidRPr="00A171DE">
        <w:rPr>
          <w:rStyle w:val="ui-provider"/>
          <w:rFonts w:cstheme="minorHAnsi"/>
        </w:rPr>
        <w:t>Organizational information security policies: a review and research framework</w:t>
      </w:r>
      <w:r w:rsidR="00A171DE" w:rsidRPr="00A171DE">
        <w:rPr>
          <w:rStyle w:val="ui-provider"/>
          <w:rFonts w:cstheme="minorHAnsi"/>
        </w:rPr>
        <w:t>’</w:t>
      </w:r>
      <w:r w:rsidRPr="00A171DE">
        <w:rPr>
          <w:rStyle w:val="ui-provider"/>
          <w:rFonts w:cstheme="minorHAnsi"/>
        </w:rPr>
        <w:t xml:space="preserve"> </w:t>
      </w:r>
      <w:r w:rsidRPr="00A171DE">
        <w:rPr>
          <w:rStyle w:val="ui-provider"/>
          <w:rFonts w:cstheme="minorHAnsi"/>
          <w:i/>
          <w:iCs/>
        </w:rPr>
        <w:t>European Journal of Information Systems</w:t>
      </w:r>
      <w:r w:rsidRPr="00A171DE">
        <w:rPr>
          <w:rStyle w:val="ui-provider"/>
          <w:rFonts w:cstheme="minorHAnsi"/>
        </w:rPr>
        <w:t>, 26</w:t>
      </w:r>
      <w:r w:rsidR="00A171DE" w:rsidRPr="00A171DE">
        <w:rPr>
          <w:rStyle w:val="ui-provider"/>
          <w:rFonts w:cstheme="minorHAnsi"/>
        </w:rPr>
        <w:t>(6)</w:t>
      </w:r>
      <w:r w:rsidRPr="00A171DE">
        <w:rPr>
          <w:rStyle w:val="ui-provider"/>
          <w:rFonts w:cstheme="minorHAnsi"/>
        </w:rPr>
        <w:t>, pp.605-641.</w:t>
      </w:r>
    </w:p>
    <w:p w14:paraId="03E1E3DA" w14:textId="0BEEE6FC" w:rsidR="00A83436" w:rsidRDefault="00A83436" w:rsidP="00642330">
      <w:pPr>
        <w:rPr>
          <w:rStyle w:val="ui-provider"/>
          <w:rFonts w:cstheme="minorHAnsi"/>
        </w:rPr>
      </w:pPr>
    </w:p>
    <w:p w14:paraId="7E1098D9" w14:textId="7047F2F6" w:rsidR="00A83436" w:rsidRPr="00A83436" w:rsidRDefault="00A83436" w:rsidP="00A83436">
      <w:pPr>
        <w:rPr>
          <w:rFonts w:cstheme="minorHAnsi"/>
        </w:rPr>
      </w:pPr>
      <w:r w:rsidRPr="00F469EB">
        <w:rPr>
          <w:rFonts w:cstheme="minorHAnsi"/>
        </w:rPr>
        <w:t xml:space="preserve">Davidoff, F., Dixon-Woods, M., Leviton, L. and Michie, S. </w:t>
      </w:r>
      <w:r w:rsidR="00F469EB" w:rsidRPr="00F469EB">
        <w:rPr>
          <w:rFonts w:cstheme="minorHAnsi"/>
        </w:rPr>
        <w:t>(</w:t>
      </w:r>
      <w:r w:rsidRPr="00F469EB">
        <w:rPr>
          <w:rFonts w:cstheme="minorHAnsi"/>
        </w:rPr>
        <w:t>2015</w:t>
      </w:r>
      <w:r w:rsidR="00F469EB" w:rsidRPr="00F469EB">
        <w:rPr>
          <w:rFonts w:cstheme="minorHAnsi"/>
        </w:rPr>
        <w:t>)</w:t>
      </w:r>
      <w:r w:rsidRPr="00F469EB">
        <w:rPr>
          <w:rFonts w:cstheme="minorHAnsi"/>
        </w:rPr>
        <w:t xml:space="preserve"> </w:t>
      </w:r>
      <w:r w:rsidR="00F469EB" w:rsidRPr="00F469EB">
        <w:rPr>
          <w:rFonts w:cstheme="minorHAnsi"/>
        </w:rPr>
        <w:t>‘</w:t>
      </w:r>
      <w:r w:rsidRPr="00F469EB">
        <w:rPr>
          <w:rFonts w:cstheme="minorHAnsi"/>
        </w:rPr>
        <w:t>Demystifying theory and its use in improvement</w:t>
      </w:r>
      <w:r w:rsidR="00F469EB" w:rsidRPr="00F469EB">
        <w:rPr>
          <w:rFonts w:cstheme="minorHAnsi"/>
        </w:rPr>
        <w:t xml:space="preserve">’, </w:t>
      </w:r>
      <w:r w:rsidR="00F469EB" w:rsidRPr="00F469EB">
        <w:rPr>
          <w:rFonts w:cstheme="minorHAnsi"/>
          <w:i/>
          <w:iCs/>
        </w:rPr>
        <w:t>British Medical Journal Q</w:t>
      </w:r>
      <w:r w:rsidRPr="00F469EB">
        <w:rPr>
          <w:rFonts w:cstheme="minorHAnsi"/>
          <w:i/>
          <w:iCs/>
        </w:rPr>
        <w:t>uality &amp;</w:t>
      </w:r>
      <w:r w:rsidRPr="00F469EB">
        <w:rPr>
          <w:rFonts w:cstheme="minorHAnsi"/>
        </w:rPr>
        <w:t xml:space="preserve"> </w:t>
      </w:r>
      <w:r w:rsidR="00F469EB" w:rsidRPr="00F469EB">
        <w:rPr>
          <w:rFonts w:cstheme="minorHAnsi"/>
        </w:rPr>
        <w:t>S</w:t>
      </w:r>
      <w:r w:rsidRPr="00F469EB">
        <w:rPr>
          <w:rFonts w:cstheme="minorHAnsi"/>
        </w:rPr>
        <w:t>afety, 24(3), pp.228-238.</w:t>
      </w:r>
    </w:p>
    <w:p w14:paraId="671FFB48" w14:textId="77777777" w:rsidR="00A83436" w:rsidRPr="00743312" w:rsidRDefault="00A83436" w:rsidP="00642330">
      <w:pPr>
        <w:rPr>
          <w:rFonts w:cstheme="minorHAnsi"/>
        </w:rPr>
      </w:pPr>
    </w:p>
    <w:p w14:paraId="52D740B1" w14:textId="77777777" w:rsidR="00743312" w:rsidRPr="00743312" w:rsidRDefault="00743312" w:rsidP="00642330">
      <w:pPr>
        <w:rPr>
          <w:rFonts w:cstheme="minorHAnsi"/>
        </w:rPr>
      </w:pPr>
    </w:p>
    <w:p w14:paraId="7D040A9B" w14:textId="1F272551" w:rsidR="00642330" w:rsidRPr="00F469EB" w:rsidRDefault="00642330" w:rsidP="00642330">
      <w:pPr>
        <w:rPr>
          <w:rFonts w:cstheme="minorHAnsi"/>
        </w:rPr>
      </w:pPr>
      <w:r w:rsidRPr="00F469EB">
        <w:rPr>
          <w:rFonts w:cstheme="minorHAnsi"/>
        </w:rPr>
        <w:t xml:space="preserve">DeLone W, H. and </w:t>
      </w:r>
      <w:r w:rsidR="00104BDC" w:rsidRPr="00F469EB">
        <w:rPr>
          <w:rFonts w:cstheme="minorHAnsi"/>
        </w:rPr>
        <w:t>M</w:t>
      </w:r>
      <w:r w:rsidRPr="00F469EB">
        <w:rPr>
          <w:rFonts w:cstheme="minorHAnsi"/>
        </w:rPr>
        <w:t>cLean, E, R. (1992) Information systems success: the quest for the dependent variable.</w:t>
      </w:r>
      <w:r w:rsidR="00811E71" w:rsidRPr="00F469EB">
        <w:rPr>
          <w:rFonts w:cstheme="minorHAnsi"/>
        </w:rPr>
        <w:t xml:space="preserve"> </w:t>
      </w:r>
      <w:r w:rsidRPr="00F469EB">
        <w:rPr>
          <w:rFonts w:cstheme="minorHAnsi"/>
          <w:i/>
          <w:iCs/>
        </w:rPr>
        <w:t>Information Systems Research</w:t>
      </w:r>
      <w:r w:rsidRPr="00F469EB">
        <w:rPr>
          <w:rFonts w:cstheme="minorHAnsi"/>
        </w:rPr>
        <w:t>.</w:t>
      </w:r>
      <w:r w:rsidR="00811E71" w:rsidRPr="00F469EB">
        <w:rPr>
          <w:rFonts w:cstheme="minorHAnsi"/>
        </w:rPr>
        <w:t xml:space="preserve"> </w:t>
      </w:r>
      <w:r w:rsidRPr="00F469EB">
        <w:rPr>
          <w:rFonts w:cstheme="minorHAnsi"/>
        </w:rPr>
        <w:t xml:space="preserve">3(1), pp60-95. </w:t>
      </w:r>
    </w:p>
    <w:p w14:paraId="32C9547B" w14:textId="46B4A76B" w:rsidR="00104BDC" w:rsidRPr="00F469EB" w:rsidRDefault="00104BDC" w:rsidP="00642330">
      <w:pPr>
        <w:rPr>
          <w:rFonts w:cstheme="minorHAnsi"/>
        </w:rPr>
      </w:pPr>
    </w:p>
    <w:p w14:paraId="1B879787" w14:textId="7CAF1173" w:rsidR="00104BDC" w:rsidRPr="00743312" w:rsidRDefault="00104BDC" w:rsidP="00642330">
      <w:pPr>
        <w:rPr>
          <w:rFonts w:cstheme="minorHAnsi"/>
        </w:rPr>
      </w:pPr>
      <w:r w:rsidRPr="00F469EB">
        <w:rPr>
          <w:rFonts w:cstheme="minorHAnsi"/>
        </w:rPr>
        <w:t xml:space="preserve">DeLone, W, H. and McLean, E, R. (2003) The DeLone and McLean model of information systems success: a </w:t>
      </w:r>
      <w:proofErr w:type="gramStart"/>
      <w:r w:rsidRPr="00F469EB">
        <w:rPr>
          <w:rFonts w:cstheme="minorHAnsi"/>
        </w:rPr>
        <w:t>ten year</w:t>
      </w:r>
      <w:proofErr w:type="gramEnd"/>
      <w:r w:rsidRPr="00F469EB">
        <w:rPr>
          <w:rFonts w:cstheme="minorHAnsi"/>
        </w:rPr>
        <w:t xml:space="preserve"> update.</w:t>
      </w:r>
      <w:r w:rsidR="00811E71" w:rsidRPr="00F469EB">
        <w:rPr>
          <w:rFonts w:cstheme="minorHAnsi"/>
        </w:rPr>
        <w:t xml:space="preserve"> </w:t>
      </w:r>
      <w:r w:rsidRPr="00F469EB">
        <w:rPr>
          <w:rFonts w:cstheme="minorHAnsi"/>
        </w:rPr>
        <w:t>Journal of Management Information Systems.</w:t>
      </w:r>
      <w:r w:rsidR="00811E71" w:rsidRPr="00F469EB">
        <w:rPr>
          <w:rFonts w:cstheme="minorHAnsi"/>
        </w:rPr>
        <w:t xml:space="preserve"> </w:t>
      </w:r>
      <w:r w:rsidRPr="00F469EB">
        <w:rPr>
          <w:rFonts w:cstheme="minorHAnsi"/>
        </w:rPr>
        <w:t>19(4), pp9-30.</w:t>
      </w:r>
      <w:r w:rsidRPr="00743312">
        <w:rPr>
          <w:rFonts w:cstheme="minorHAnsi"/>
        </w:rPr>
        <w:t xml:space="preserve"> </w:t>
      </w:r>
    </w:p>
    <w:p w14:paraId="3A03E539" w14:textId="691318CC" w:rsidR="00B6155C" w:rsidRDefault="00B6155C" w:rsidP="00642330">
      <w:pPr>
        <w:rPr>
          <w:rFonts w:cstheme="minorHAnsi"/>
        </w:rPr>
      </w:pPr>
    </w:p>
    <w:p w14:paraId="1CAB31D0" w14:textId="1F739D1B" w:rsidR="00A83436" w:rsidRDefault="00A83436" w:rsidP="00642330">
      <w:pPr>
        <w:rPr>
          <w:rFonts w:cstheme="minorHAnsi"/>
        </w:rPr>
      </w:pPr>
      <w:r w:rsidRPr="00F469EB">
        <w:rPr>
          <w:rStyle w:val="ui-provider"/>
        </w:rPr>
        <w:t>Gehman, J</w:t>
      </w:r>
      <w:r w:rsidR="00F469EB" w:rsidRPr="00F469EB">
        <w:rPr>
          <w:rStyle w:val="ui-provider"/>
        </w:rPr>
        <w:t xml:space="preserve">. </w:t>
      </w:r>
      <w:r w:rsidR="00F469EB" w:rsidRPr="00F469EB">
        <w:rPr>
          <w:rStyle w:val="ui-provider"/>
          <w:i/>
          <w:iCs/>
        </w:rPr>
        <w:t>et al</w:t>
      </w:r>
      <w:r w:rsidR="00F469EB" w:rsidRPr="00F469EB">
        <w:rPr>
          <w:rStyle w:val="ui-provider"/>
        </w:rPr>
        <w:t>. (</w:t>
      </w:r>
      <w:r w:rsidRPr="00F469EB">
        <w:rPr>
          <w:rStyle w:val="ui-provider"/>
        </w:rPr>
        <w:t>2018</w:t>
      </w:r>
      <w:r w:rsidR="00F469EB" w:rsidRPr="00F469EB">
        <w:rPr>
          <w:rStyle w:val="ui-provider"/>
        </w:rPr>
        <w:t>)</w:t>
      </w:r>
      <w:r w:rsidRPr="00F469EB">
        <w:rPr>
          <w:rStyle w:val="ui-provider"/>
        </w:rPr>
        <w:t xml:space="preserve"> </w:t>
      </w:r>
      <w:r w:rsidR="00F469EB" w:rsidRPr="00F469EB">
        <w:rPr>
          <w:rStyle w:val="ui-provider"/>
        </w:rPr>
        <w:t>‘</w:t>
      </w:r>
      <w:r w:rsidRPr="00F469EB">
        <w:rPr>
          <w:rStyle w:val="ui-provider"/>
        </w:rPr>
        <w:t>Finding theory–method fit: A comparison of three qualitative approaches to theory building</w:t>
      </w:r>
      <w:r w:rsidR="00F469EB" w:rsidRPr="00F469EB">
        <w:rPr>
          <w:rStyle w:val="ui-provider"/>
        </w:rPr>
        <w:t>’,</w:t>
      </w:r>
      <w:r w:rsidRPr="00F469EB">
        <w:rPr>
          <w:rStyle w:val="ui-provider"/>
        </w:rPr>
        <w:t xml:space="preserve"> </w:t>
      </w:r>
      <w:r w:rsidRPr="00F469EB">
        <w:rPr>
          <w:rStyle w:val="ui-provider"/>
          <w:i/>
          <w:iCs/>
        </w:rPr>
        <w:t>Journal of Management Inquiry</w:t>
      </w:r>
      <w:r w:rsidRPr="00F469EB">
        <w:rPr>
          <w:rStyle w:val="ui-provider"/>
        </w:rPr>
        <w:t xml:space="preserve">, </w:t>
      </w:r>
      <w:r w:rsidRPr="00F469EB">
        <w:rPr>
          <w:rStyle w:val="ui-provider"/>
          <w:i/>
          <w:iCs/>
        </w:rPr>
        <w:t>27</w:t>
      </w:r>
      <w:r w:rsidRPr="00F469EB">
        <w:rPr>
          <w:rStyle w:val="ui-provider"/>
        </w:rPr>
        <w:t>(3), pp.284-300.</w:t>
      </w:r>
    </w:p>
    <w:p w14:paraId="73EDB370" w14:textId="77777777" w:rsidR="00A83436" w:rsidRPr="00743312" w:rsidRDefault="00A83436" w:rsidP="00642330">
      <w:pPr>
        <w:rPr>
          <w:rFonts w:cstheme="minorHAnsi"/>
        </w:rPr>
      </w:pPr>
    </w:p>
    <w:p w14:paraId="64D3C511" w14:textId="5DC4B730" w:rsidR="00B6155C" w:rsidRDefault="00B6155C" w:rsidP="00642330">
      <w:pPr>
        <w:rPr>
          <w:rFonts w:cstheme="minorHAnsi"/>
        </w:rPr>
      </w:pPr>
      <w:r w:rsidRPr="00743312">
        <w:rPr>
          <w:rFonts w:cstheme="minorHAnsi"/>
        </w:rPr>
        <w:lastRenderedPageBreak/>
        <w:t>Goodhue, D, L. and Thompson, R, L. (1995) Task technology fit and individual performance, MIS Quarterly, 19(2), pp213-236.</w:t>
      </w:r>
    </w:p>
    <w:p w14:paraId="5EB49E1A" w14:textId="52223A57" w:rsidR="00A83436" w:rsidRDefault="00A83436" w:rsidP="00642330">
      <w:pPr>
        <w:rPr>
          <w:rFonts w:cstheme="minorHAnsi"/>
        </w:rPr>
      </w:pPr>
    </w:p>
    <w:p w14:paraId="0624EEDB" w14:textId="2C7B938B" w:rsidR="00A83436" w:rsidRDefault="00A83436" w:rsidP="00642330">
      <w:pPr>
        <w:rPr>
          <w:rStyle w:val="ui-provider"/>
        </w:rPr>
      </w:pPr>
      <w:r w:rsidRPr="00652415">
        <w:rPr>
          <w:rStyle w:val="ui-provider"/>
        </w:rPr>
        <w:t>Greenhalgh, T.</w:t>
      </w:r>
      <w:r w:rsidR="00652415" w:rsidRPr="00652415">
        <w:rPr>
          <w:rStyle w:val="ui-provider"/>
        </w:rPr>
        <w:t xml:space="preserve"> </w:t>
      </w:r>
      <w:r w:rsidR="00652415" w:rsidRPr="00652415">
        <w:rPr>
          <w:rStyle w:val="ui-provider"/>
          <w:i/>
          <w:iCs/>
        </w:rPr>
        <w:t>et al</w:t>
      </w:r>
      <w:r w:rsidR="00652415" w:rsidRPr="00652415">
        <w:rPr>
          <w:rStyle w:val="ui-provider"/>
        </w:rPr>
        <w:t>. (</w:t>
      </w:r>
      <w:r w:rsidRPr="00652415">
        <w:rPr>
          <w:rStyle w:val="ui-provider"/>
        </w:rPr>
        <w:t>2017</w:t>
      </w:r>
      <w:r w:rsidR="00652415" w:rsidRPr="00652415">
        <w:rPr>
          <w:rStyle w:val="ui-provider"/>
        </w:rPr>
        <w:t>)</w:t>
      </w:r>
      <w:r w:rsidRPr="00652415">
        <w:rPr>
          <w:rStyle w:val="ui-provider"/>
        </w:rPr>
        <w:t xml:space="preserve"> </w:t>
      </w:r>
      <w:r w:rsidR="00652415" w:rsidRPr="00652415">
        <w:rPr>
          <w:rStyle w:val="ui-provider"/>
        </w:rPr>
        <w:t>‘</w:t>
      </w:r>
      <w:r w:rsidRPr="00652415">
        <w:rPr>
          <w:rStyle w:val="ui-provider"/>
        </w:rPr>
        <w:t>Beyond adoption: a new framework for theorizing and evaluating nonadoption, abandonment, and challenges to the scale-up, spread, and sustainability of health and care technologies</w:t>
      </w:r>
      <w:r w:rsidR="00652415" w:rsidRPr="00652415">
        <w:rPr>
          <w:rStyle w:val="ui-provider"/>
        </w:rPr>
        <w:t>’</w:t>
      </w:r>
      <w:r w:rsidRPr="00652415">
        <w:rPr>
          <w:rStyle w:val="ui-provider"/>
        </w:rPr>
        <w:t xml:space="preserve"> </w:t>
      </w:r>
      <w:r w:rsidRPr="00652415">
        <w:rPr>
          <w:rStyle w:val="ui-provider"/>
          <w:i/>
          <w:iCs/>
        </w:rPr>
        <w:t>Journal of medical Internet research</w:t>
      </w:r>
      <w:r w:rsidRPr="00652415">
        <w:rPr>
          <w:rStyle w:val="ui-provider"/>
        </w:rPr>
        <w:t xml:space="preserve">, </w:t>
      </w:r>
      <w:r w:rsidRPr="00652415">
        <w:rPr>
          <w:rStyle w:val="ui-provider"/>
          <w:i/>
          <w:iCs/>
        </w:rPr>
        <w:t>19</w:t>
      </w:r>
      <w:r w:rsidRPr="00652415">
        <w:rPr>
          <w:rStyle w:val="ui-provider"/>
        </w:rPr>
        <w:t>(11), p.e8775.</w:t>
      </w:r>
    </w:p>
    <w:p w14:paraId="2360BD2B" w14:textId="5145ECE4" w:rsidR="00E56F1E" w:rsidRDefault="00E56F1E" w:rsidP="00642330">
      <w:pPr>
        <w:rPr>
          <w:rStyle w:val="ui-provider"/>
        </w:rPr>
      </w:pPr>
    </w:p>
    <w:p w14:paraId="029DD19B" w14:textId="6822A617" w:rsidR="00E56F1E" w:rsidRPr="00652415" w:rsidRDefault="00E56F1E" w:rsidP="00642330">
      <w:pPr>
        <w:rPr>
          <w:rStyle w:val="ui-provider"/>
        </w:rPr>
      </w:pPr>
      <w:r w:rsidRPr="00652415">
        <w:rPr>
          <w:rStyle w:val="ui-provider"/>
        </w:rPr>
        <w:t>Greenhalgh</w:t>
      </w:r>
      <w:r w:rsidR="00652415" w:rsidRPr="00652415">
        <w:rPr>
          <w:rStyle w:val="ui-provider"/>
        </w:rPr>
        <w:t>,</w:t>
      </w:r>
      <w:r w:rsidRPr="00652415">
        <w:rPr>
          <w:rStyle w:val="ui-provider"/>
        </w:rPr>
        <w:t xml:space="preserve"> T.</w:t>
      </w:r>
      <w:r w:rsidR="00652415" w:rsidRPr="00652415">
        <w:rPr>
          <w:rStyle w:val="ui-provider"/>
        </w:rPr>
        <w:t xml:space="preserve"> </w:t>
      </w:r>
      <w:r w:rsidR="00652415" w:rsidRPr="00652415">
        <w:rPr>
          <w:rStyle w:val="ui-provider"/>
          <w:i/>
          <w:iCs/>
        </w:rPr>
        <w:t>et al</w:t>
      </w:r>
      <w:r w:rsidR="00A039DE">
        <w:rPr>
          <w:rStyle w:val="ui-provider"/>
          <w:i/>
          <w:iCs/>
        </w:rPr>
        <w:t>.</w:t>
      </w:r>
      <w:r w:rsidR="00652415" w:rsidRPr="00652415">
        <w:rPr>
          <w:rStyle w:val="ui-provider"/>
        </w:rPr>
        <w:t xml:space="preserve"> (2005) </w:t>
      </w:r>
      <w:r w:rsidRPr="00652415">
        <w:rPr>
          <w:rStyle w:val="ui-provider"/>
          <w:i/>
          <w:iCs/>
        </w:rPr>
        <w:t>Diffusion of Innovations in Service Organisations: A Systematic Literature Review.</w:t>
      </w:r>
      <w:r w:rsidRPr="00652415">
        <w:rPr>
          <w:rStyle w:val="ui-provider"/>
        </w:rPr>
        <w:t xml:space="preserve"> Malden, MA: Blackwell Publishing</w:t>
      </w:r>
      <w:r w:rsidR="00652415" w:rsidRPr="00652415">
        <w:rPr>
          <w:rStyle w:val="ui-provider"/>
        </w:rPr>
        <w:t>.</w:t>
      </w:r>
    </w:p>
    <w:p w14:paraId="56A933A8" w14:textId="342F8D0C" w:rsidR="00A83436" w:rsidRDefault="00A83436" w:rsidP="00642330">
      <w:pPr>
        <w:rPr>
          <w:rStyle w:val="ui-provider"/>
        </w:rPr>
      </w:pPr>
    </w:p>
    <w:p w14:paraId="1F42D71C" w14:textId="55B435D1" w:rsidR="00A83436" w:rsidRPr="00743312" w:rsidRDefault="00A83436" w:rsidP="00642330">
      <w:pPr>
        <w:rPr>
          <w:rFonts w:cstheme="minorHAnsi"/>
        </w:rPr>
      </w:pPr>
      <w:r w:rsidRPr="00974563">
        <w:rPr>
          <w:rStyle w:val="ui-provider"/>
        </w:rPr>
        <w:t xml:space="preserve">Hanelt, A., Bohnsack, R., Marz, D. and Antunes Marante, C. </w:t>
      </w:r>
      <w:r w:rsidR="00974563" w:rsidRPr="00974563">
        <w:rPr>
          <w:rStyle w:val="ui-provider"/>
        </w:rPr>
        <w:t>(</w:t>
      </w:r>
      <w:r w:rsidRPr="00974563">
        <w:rPr>
          <w:rStyle w:val="ui-provider"/>
        </w:rPr>
        <w:t>2021</w:t>
      </w:r>
      <w:r w:rsidR="00974563" w:rsidRPr="00974563">
        <w:rPr>
          <w:rStyle w:val="ui-provider"/>
        </w:rPr>
        <w:t>)</w:t>
      </w:r>
      <w:r w:rsidRPr="00974563">
        <w:rPr>
          <w:rStyle w:val="ui-provider"/>
        </w:rPr>
        <w:t xml:space="preserve"> </w:t>
      </w:r>
      <w:r w:rsidR="00974563" w:rsidRPr="00974563">
        <w:rPr>
          <w:rStyle w:val="ui-provider"/>
        </w:rPr>
        <w:t>‘</w:t>
      </w:r>
      <w:r w:rsidRPr="00974563">
        <w:rPr>
          <w:rStyle w:val="ui-provider"/>
        </w:rPr>
        <w:t>A systematic review of the literature on digital transformation: Insights and implications for strategy and organizational change</w:t>
      </w:r>
      <w:r w:rsidR="00974563" w:rsidRPr="00974563">
        <w:rPr>
          <w:rStyle w:val="ui-provider"/>
        </w:rPr>
        <w:t>’,</w:t>
      </w:r>
      <w:r w:rsidRPr="00974563">
        <w:rPr>
          <w:rStyle w:val="ui-provider"/>
        </w:rPr>
        <w:t xml:space="preserve"> </w:t>
      </w:r>
      <w:r w:rsidRPr="00974563">
        <w:rPr>
          <w:rStyle w:val="ui-provider"/>
          <w:i/>
          <w:iCs/>
        </w:rPr>
        <w:t>Journal of Management Studies</w:t>
      </w:r>
      <w:r w:rsidRPr="00974563">
        <w:rPr>
          <w:rStyle w:val="ui-provider"/>
        </w:rPr>
        <w:t xml:space="preserve">, </w:t>
      </w:r>
      <w:r w:rsidRPr="00974563">
        <w:rPr>
          <w:rStyle w:val="ui-provider"/>
          <w:i/>
          <w:iCs/>
        </w:rPr>
        <w:t>58</w:t>
      </w:r>
      <w:r w:rsidRPr="00974563">
        <w:rPr>
          <w:rStyle w:val="ui-provider"/>
        </w:rPr>
        <w:t>(5), pp.1159-1197.</w:t>
      </w:r>
    </w:p>
    <w:p w14:paraId="153737B4" w14:textId="6A2E8305" w:rsidR="00743312" w:rsidRDefault="00743312" w:rsidP="00642330">
      <w:pPr>
        <w:rPr>
          <w:rFonts w:cstheme="minorHAnsi"/>
        </w:rPr>
      </w:pPr>
    </w:p>
    <w:p w14:paraId="15654650" w14:textId="17BECF06" w:rsidR="00A83436" w:rsidRDefault="00A83436" w:rsidP="00642330">
      <w:pPr>
        <w:rPr>
          <w:rFonts w:cstheme="minorHAnsi"/>
        </w:rPr>
      </w:pPr>
      <w:r w:rsidRPr="00974563">
        <w:rPr>
          <w:rStyle w:val="ui-provider"/>
        </w:rPr>
        <w:t xml:space="preserve">Kulkarni, S., Seneviratne, N., Baig, </w:t>
      </w:r>
      <w:proofErr w:type="gramStart"/>
      <w:r w:rsidRPr="00974563">
        <w:rPr>
          <w:rStyle w:val="ui-provider"/>
        </w:rPr>
        <w:t>M.S.</w:t>
      </w:r>
      <w:proofErr w:type="gramEnd"/>
      <w:r w:rsidRPr="00974563">
        <w:rPr>
          <w:rStyle w:val="ui-provider"/>
        </w:rPr>
        <w:t xml:space="preserve"> and Khan, A.H.A. </w:t>
      </w:r>
      <w:r w:rsidR="00974563" w:rsidRPr="00974563">
        <w:rPr>
          <w:rStyle w:val="ui-provider"/>
        </w:rPr>
        <w:t>(</w:t>
      </w:r>
      <w:r w:rsidRPr="00974563">
        <w:rPr>
          <w:rStyle w:val="ui-provider"/>
        </w:rPr>
        <w:t>2020</w:t>
      </w:r>
      <w:r w:rsidR="00974563" w:rsidRPr="00974563">
        <w:rPr>
          <w:rStyle w:val="ui-provider"/>
        </w:rPr>
        <w:t>)</w:t>
      </w:r>
      <w:r w:rsidRPr="00974563">
        <w:rPr>
          <w:rStyle w:val="ui-provider"/>
        </w:rPr>
        <w:t xml:space="preserve"> </w:t>
      </w:r>
      <w:r w:rsidR="00974563" w:rsidRPr="00974563">
        <w:rPr>
          <w:rStyle w:val="ui-provider"/>
        </w:rPr>
        <w:t>‘</w:t>
      </w:r>
      <w:r w:rsidRPr="00974563">
        <w:rPr>
          <w:rStyle w:val="ui-provider"/>
        </w:rPr>
        <w:t>Artificial intelligence in medicine: where are we now?</w:t>
      </w:r>
      <w:r w:rsidR="00974563" w:rsidRPr="00974563">
        <w:rPr>
          <w:rStyle w:val="ui-provider"/>
        </w:rPr>
        <w:t>’,</w:t>
      </w:r>
      <w:r w:rsidRPr="00974563">
        <w:rPr>
          <w:rStyle w:val="ui-provider"/>
        </w:rPr>
        <w:t xml:space="preserve"> </w:t>
      </w:r>
      <w:r w:rsidRPr="00974563">
        <w:rPr>
          <w:rStyle w:val="ui-provider"/>
          <w:i/>
          <w:iCs/>
        </w:rPr>
        <w:t xml:space="preserve">Academic </w:t>
      </w:r>
      <w:r w:rsidR="00974563" w:rsidRPr="00974563">
        <w:rPr>
          <w:rStyle w:val="ui-provider"/>
          <w:i/>
          <w:iCs/>
        </w:rPr>
        <w:t>R</w:t>
      </w:r>
      <w:r w:rsidRPr="00974563">
        <w:rPr>
          <w:rStyle w:val="ui-provider"/>
          <w:i/>
          <w:iCs/>
        </w:rPr>
        <w:t>adiology</w:t>
      </w:r>
      <w:r w:rsidRPr="00974563">
        <w:rPr>
          <w:rStyle w:val="ui-provider"/>
        </w:rPr>
        <w:t xml:space="preserve">, </w:t>
      </w:r>
      <w:r w:rsidRPr="00974563">
        <w:rPr>
          <w:rStyle w:val="ui-provider"/>
          <w:i/>
          <w:iCs/>
        </w:rPr>
        <w:t>27</w:t>
      </w:r>
      <w:r w:rsidRPr="00974563">
        <w:rPr>
          <w:rStyle w:val="ui-provider"/>
        </w:rPr>
        <w:t>(1), pp.62-70.</w:t>
      </w:r>
    </w:p>
    <w:p w14:paraId="10E63290" w14:textId="77777777" w:rsidR="00A83436" w:rsidRPr="00743312" w:rsidRDefault="00A83436" w:rsidP="00642330">
      <w:pPr>
        <w:rPr>
          <w:rFonts w:cstheme="minorHAnsi"/>
        </w:rPr>
      </w:pPr>
    </w:p>
    <w:p w14:paraId="0E4F773B" w14:textId="518F2E87" w:rsidR="00743312" w:rsidRPr="00743312" w:rsidRDefault="00743312" w:rsidP="00642330">
      <w:pPr>
        <w:rPr>
          <w:rStyle w:val="ui-provider"/>
          <w:rFonts w:cstheme="minorHAnsi"/>
        </w:rPr>
      </w:pPr>
      <w:r w:rsidRPr="00743312">
        <w:rPr>
          <w:rStyle w:val="ui-provider"/>
          <w:rFonts w:cstheme="minorHAnsi"/>
        </w:rPr>
        <w:t xml:space="preserve">Kweon, Y.R. and Lee, S. (2021) </w:t>
      </w:r>
      <w:r w:rsidR="00811E71">
        <w:rPr>
          <w:rStyle w:val="ui-provider"/>
          <w:rFonts w:cstheme="minorHAnsi"/>
        </w:rPr>
        <w:t>'Nurses'</w:t>
      </w:r>
      <w:r w:rsidRPr="00743312">
        <w:rPr>
          <w:rStyle w:val="ui-provider"/>
          <w:rFonts w:cstheme="minorHAnsi"/>
        </w:rPr>
        <w:t xml:space="preserve"> Electronic Medical Record Workarounds in Mental Healthcare Settings</w:t>
      </w:r>
      <w:r w:rsidR="00811E71">
        <w:rPr>
          <w:rStyle w:val="ui-provider"/>
          <w:rFonts w:cstheme="minorHAnsi"/>
        </w:rPr>
        <w:t>'</w:t>
      </w:r>
      <w:r w:rsidRPr="00743312">
        <w:rPr>
          <w:rStyle w:val="ui-provider"/>
          <w:rFonts w:cstheme="minorHAnsi"/>
        </w:rPr>
        <w:t xml:space="preserve">, </w:t>
      </w:r>
      <w:r w:rsidRPr="00743312">
        <w:rPr>
          <w:rStyle w:val="ui-provider"/>
          <w:rFonts w:cstheme="minorHAnsi"/>
          <w:i/>
          <w:iCs/>
        </w:rPr>
        <w:t xml:space="preserve">Computers, informatics, </w:t>
      </w:r>
      <w:proofErr w:type="gramStart"/>
      <w:r w:rsidRPr="00743312">
        <w:rPr>
          <w:rStyle w:val="ui-provider"/>
          <w:rFonts w:cstheme="minorHAnsi"/>
          <w:i/>
          <w:iCs/>
        </w:rPr>
        <w:t>nursing :</w:t>
      </w:r>
      <w:proofErr w:type="gramEnd"/>
      <w:r w:rsidRPr="00743312">
        <w:rPr>
          <w:rStyle w:val="ui-provider"/>
          <w:rFonts w:cstheme="minorHAnsi"/>
          <w:i/>
          <w:iCs/>
        </w:rPr>
        <w:t xml:space="preserve"> CIN</w:t>
      </w:r>
      <w:r w:rsidRPr="00743312">
        <w:rPr>
          <w:rStyle w:val="ui-provider"/>
          <w:rFonts w:cstheme="minorHAnsi"/>
        </w:rPr>
        <w:t>, 39(10), pp. 592–603.</w:t>
      </w:r>
      <w:r w:rsidR="00811E71">
        <w:rPr>
          <w:rStyle w:val="ui-provider"/>
          <w:rFonts w:cstheme="minorHAnsi"/>
        </w:rPr>
        <w:t xml:space="preserve"> </w:t>
      </w:r>
      <w:r w:rsidRPr="00743312">
        <w:rPr>
          <w:rStyle w:val="ui-provider"/>
          <w:rFonts w:cstheme="minorHAnsi"/>
        </w:rPr>
        <w:t>Available at: </w:t>
      </w:r>
      <w:hyperlink r:id="rId30" w:tgtFrame="_blank" w:tooltip="https://doi.org/10.1097/cin.0000000000000762" w:history="1">
        <w:r w:rsidRPr="00743312">
          <w:rPr>
            <w:rStyle w:val="Hyperlink"/>
            <w:rFonts w:cstheme="minorHAnsi"/>
          </w:rPr>
          <w:t>https://doi.org/10.1097/CIN.0000000000000762</w:t>
        </w:r>
      </w:hyperlink>
      <w:r w:rsidRPr="00743312">
        <w:rPr>
          <w:rStyle w:val="ui-provider"/>
          <w:rFonts w:cstheme="minorHAnsi"/>
        </w:rPr>
        <w:t>.</w:t>
      </w:r>
    </w:p>
    <w:p w14:paraId="7155D1AC" w14:textId="0459B8C9" w:rsidR="00743312" w:rsidRPr="00743312" w:rsidRDefault="00743312" w:rsidP="00642330">
      <w:pPr>
        <w:rPr>
          <w:rStyle w:val="ui-provider"/>
          <w:rFonts w:cstheme="minorHAnsi"/>
        </w:rPr>
      </w:pPr>
    </w:p>
    <w:p w14:paraId="0112AFE5" w14:textId="0F69B304" w:rsidR="00743312" w:rsidRPr="00743312" w:rsidRDefault="00743312" w:rsidP="00642330">
      <w:pPr>
        <w:rPr>
          <w:rStyle w:val="ui-provider"/>
          <w:rFonts w:cstheme="minorHAnsi"/>
        </w:rPr>
      </w:pPr>
      <w:r w:rsidRPr="00743312">
        <w:rPr>
          <w:rStyle w:val="ui-provider"/>
          <w:rFonts w:cstheme="minorHAnsi"/>
        </w:rPr>
        <w:t xml:space="preserve">Lau, G. </w:t>
      </w:r>
      <w:r w:rsidRPr="00743312">
        <w:rPr>
          <w:rStyle w:val="ui-provider"/>
          <w:rFonts w:cstheme="minorHAnsi"/>
          <w:i/>
          <w:iCs/>
        </w:rPr>
        <w:t>et al.</w:t>
      </w:r>
      <w:r w:rsidRPr="00743312">
        <w:rPr>
          <w:rStyle w:val="ui-provider"/>
          <w:rFonts w:cstheme="minorHAnsi"/>
        </w:rPr>
        <w:t xml:space="preserve"> (2019) </w:t>
      </w:r>
      <w:r w:rsidR="00811E71">
        <w:rPr>
          <w:rStyle w:val="ui-provider"/>
          <w:rFonts w:cstheme="minorHAnsi"/>
        </w:rPr>
        <w:t>'</w:t>
      </w:r>
      <w:r w:rsidRPr="00743312">
        <w:rPr>
          <w:rStyle w:val="ui-provider"/>
          <w:rFonts w:cstheme="minorHAnsi"/>
        </w:rPr>
        <w:t>Patient and clinician perspectives of an integrated electronic medication prescribing and dispensing system: A qualitative study at a multisite Australian hospital network</w:t>
      </w:r>
      <w:r w:rsidR="00811E71">
        <w:rPr>
          <w:rStyle w:val="ui-provider"/>
          <w:rFonts w:cstheme="minorHAnsi"/>
        </w:rPr>
        <w:t>'</w:t>
      </w:r>
      <w:r w:rsidRPr="00743312">
        <w:rPr>
          <w:rStyle w:val="ui-provider"/>
          <w:rFonts w:cstheme="minorHAnsi"/>
        </w:rPr>
        <w:t xml:space="preserve">, </w:t>
      </w:r>
      <w:r w:rsidRPr="00743312">
        <w:rPr>
          <w:rStyle w:val="ui-provider"/>
          <w:rFonts w:cstheme="minorHAnsi"/>
          <w:i/>
          <w:iCs/>
        </w:rPr>
        <w:t>Health Information Management Journal</w:t>
      </w:r>
      <w:r w:rsidRPr="00743312">
        <w:rPr>
          <w:rStyle w:val="ui-provider"/>
          <w:rFonts w:cstheme="minorHAnsi"/>
        </w:rPr>
        <w:t>, 48(1), pp. 12–23.</w:t>
      </w:r>
      <w:r w:rsidR="00811E71">
        <w:rPr>
          <w:rStyle w:val="ui-provider"/>
          <w:rFonts w:cstheme="minorHAnsi"/>
        </w:rPr>
        <w:t xml:space="preserve"> </w:t>
      </w:r>
      <w:r w:rsidRPr="00743312">
        <w:rPr>
          <w:rStyle w:val="ui-provider"/>
          <w:rFonts w:cstheme="minorHAnsi"/>
        </w:rPr>
        <w:t>Available at: </w:t>
      </w:r>
      <w:hyperlink r:id="rId31" w:tgtFrame="_blank" w:tooltip="https://doi.org/10.1177/1833358317720601" w:history="1">
        <w:r w:rsidRPr="00743312">
          <w:rPr>
            <w:rStyle w:val="Hyperlink"/>
            <w:rFonts w:cstheme="minorHAnsi"/>
          </w:rPr>
          <w:t>https://doi.org/10.1177/1833358317720601</w:t>
        </w:r>
      </w:hyperlink>
      <w:r w:rsidRPr="00743312">
        <w:rPr>
          <w:rStyle w:val="ui-provider"/>
          <w:rFonts w:cstheme="minorHAnsi"/>
        </w:rPr>
        <w:t>.</w:t>
      </w:r>
    </w:p>
    <w:p w14:paraId="25442299" w14:textId="77777777" w:rsidR="00A83436" w:rsidRDefault="00A83436" w:rsidP="00642330">
      <w:pPr>
        <w:rPr>
          <w:rStyle w:val="ui-provider"/>
          <w:rFonts w:cstheme="minorHAnsi"/>
        </w:rPr>
      </w:pPr>
    </w:p>
    <w:p w14:paraId="31FA5808" w14:textId="7AF8EA6C" w:rsidR="00A83436" w:rsidRPr="00974563" w:rsidRDefault="00A83436" w:rsidP="00642330">
      <w:pPr>
        <w:rPr>
          <w:rStyle w:val="ui-provider"/>
        </w:rPr>
      </w:pPr>
      <w:r w:rsidRPr="00974563">
        <w:rPr>
          <w:rStyle w:val="ui-provider"/>
        </w:rPr>
        <w:t xml:space="preserve">Miller Jr, D.P., Latulipe, C., Melius, K.A., Quandt, S.A. and Arcury, T.A. </w:t>
      </w:r>
      <w:r w:rsidR="00974563" w:rsidRPr="00974563">
        <w:rPr>
          <w:rStyle w:val="ui-provider"/>
        </w:rPr>
        <w:t>(</w:t>
      </w:r>
      <w:r w:rsidRPr="00974563">
        <w:rPr>
          <w:rStyle w:val="ui-provider"/>
        </w:rPr>
        <w:t>2016</w:t>
      </w:r>
      <w:r w:rsidR="00974563" w:rsidRPr="00974563">
        <w:rPr>
          <w:rStyle w:val="ui-provider"/>
        </w:rPr>
        <w:t>),</w:t>
      </w:r>
      <w:r w:rsidRPr="00974563">
        <w:rPr>
          <w:rStyle w:val="ui-provider"/>
        </w:rPr>
        <w:t xml:space="preserve"> </w:t>
      </w:r>
      <w:r w:rsidR="00974563" w:rsidRPr="00974563">
        <w:rPr>
          <w:rStyle w:val="ui-provider"/>
        </w:rPr>
        <w:t>‘</w:t>
      </w:r>
      <w:r w:rsidRPr="00974563">
        <w:rPr>
          <w:rStyle w:val="ui-provider"/>
        </w:rPr>
        <w:t>Primary care providers’ views of patient portals: interview study of perceived benefits and consequences</w:t>
      </w:r>
      <w:r w:rsidR="00974563" w:rsidRPr="00974563">
        <w:rPr>
          <w:rStyle w:val="ui-provider"/>
        </w:rPr>
        <w:t>’</w:t>
      </w:r>
      <w:r w:rsidRPr="00974563">
        <w:rPr>
          <w:rStyle w:val="ui-provider"/>
        </w:rPr>
        <w:t xml:space="preserve"> </w:t>
      </w:r>
      <w:r w:rsidRPr="00974563">
        <w:rPr>
          <w:rStyle w:val="ui-provider"/>
          <w:i/>
          <w:iCs/>
        </w:rPr>
        <w:t>Journal of medical Internet research</w:t>
      </w:r>
      <w:r w:rsidRPr="00974563">
        <w:rPr>
          <w:rStyle w:val="ui-provider"/>
        </w:rPr>
        <w:t xml:space="preserve">, </w:t>
      </w:r>
      <w:r w:rsidRPr="00974563">
        <w:rPr>
          <w:rStyle w:val="ui-provider"/>
          <w:i/>
          <w:iCs/>
        </w:rPr>
        <w:t>18</w:t>
      </w:r>
      <w:r w:rsidRPr="00974563">
        <w:rPr>
          <w:rStyle w:val="ui-provider"/>
        </w:rPr>
        <w:t>(1), p.e8.</w:t>
      </w:r>
    </w:p>
    <w:p w14:paraId="3BC6F9C0" w14:textId="77777777" w:rsidR="00A83436" w:rsidRDefault="00A83436" w:rsidP="00642330">
      <w:pPr>
        <w:rPr>
          <w:rStyle w:val="ui-provider"/>
          <w:rFonts w:cstheme="minorHAnsi"/>
        </w:rPr>
      </w:pPr>
    </w:p>
    <w:p w14:paraId="2197E106" w14:textId="6C0FF8C1" w:rsidR="00743312" w:rsidRDefault="00743312" w:rsidP="00642330">
      <w:pPr>
        <w:rPr>
          <w:rStyle w:val="Hyperlink"/>
          <w:rFonts w:cstheme="minorHAnsi"/>
        </w:rPr>
      </w:pPr>
      <w:r w:rsidRPr="00743312">
        <w:rPr>
          <w:rStyle w:val="ui-provider"/>
          <w:rFonts w:cstheme="minorHAnsi"/>
        </w:rPr>
        <w:t xml:space="preserve">Moore, E.C. </w:t>
      </w:r>
      <w:r w:rsidRPr="00743312">
        <w:rPr>
          <w:rStyle w:val="ui-provider"/>
          <w:rFonts w:cstheme="minorHAnsi"/>
          <w:i/>
          <w:iCs/>
        </w:rPr>
        <w:t>et al.</w:t>
      </w:r>
      <w:r w:rsidRPr="00743312">
        <w:rPr>
          <w:rStyle w:val="ui-provider"/>
          <w:rFonts w:cstheme="minorHAnsi"/>
        </w:rPr>
        <w:t xml:space="preserve"> (2020) </w:t>
      </w:r>
      <w:r w:rsidR="00811E71">
        <w:rPr>
          <w:rStyle w:val="ui-provider"/>
          <w:rFonts w:cstheme="minorHAnsi"/>
        </w:rPr>
        <w:t>'</w:t>
      </w:r>
      <w:r w:rsidRPr="00743312">
        <w:rPr>
          <w:rStyle w:val="ui-provider"/>
          <w:rFonts w:cstheme="minorHAnsi"/>
        </w:rPr>
        <w:t xml:space="preserve">A systematic review of the impact of health information technology on </w:t>
      </w:r>
      <w:r w:rsidR="00811E71">
        <w:rPr>
          <w:rStyle w:val="ui-provider"/>
          <w:rFonts w:cstheme="minorHAnsi"/>
        </w:rPr>
        <w:t>nurses'</w:t>
      </w:r>
      <w:r w:rsidRPr="00743312">
        <w:rPr>
          <w:rStyle w:val="ui-provider"/>
          <w:rFonts w:cstheme="minorHAnsi"/>
        </w:rPr>
        <w:t xml:space="preserve"> time</w:t>
      </w:r>
      <w:r w:rsidR="00811E71">
        <w:rPr>
          <w:rStyle w:val="ui-provider"/>
          <w:rFonts w:cstheme="minorHAnsi"/>
        </w:rPr>
        <w:t>'</w:t>
      </w:r>
      <w:r w:rsidRPr="00743312">
        <w:rPr>
          <w:rStyle w:val="ui-provider"/>
          <w:rFonts w:cstheme="minorHAnsi"/>
        </w:rPr>
        <w:t xml:space="preserve">, </w:t>
      </w:r>
      <w:r w:rsidRPr="00743312">
        <w:rPr>
          <w:rStyle w:val="ui-provider"/>
          <w:rFonts w:cstheme="minorHAnsi"/>
          <w:i/>
          <w:iCs/>
        </w:rPr>
        <w:t>Journal of the American Medical Informatics Association</w:t>
      </w:r>
      <w:r w:rsidRPr="00743312">
        <w:rPr>
          <w:rStyle w:val="ui-provider"/>
          <w:rFonts w:cstheme="minorHAnsi"/>
        </w:rPr>
        <w:t>, 27(5), pp. 798–807.</w:t>
      </w:r>
      <w:r w:rsidR="00811E71">
        <w:rPr>
          <w:rStyle w:val="ui-provider"/>
          <w:rFonts w:cstheme="minorHAnsi"/>
        </w:rPr>
        <w:t xml:space="preserve"> </w:t>
      </w:r>
      <w:r w:rsidRPr="00743312">
        <w:rPr>
          <w:rStyle w:val="ui-provider"/>
          <w:rFonts w:cstheme="minorHAnsi"/>
        </w:rPr>
        <w:t xml:space="preserve">Available at: </w:t>
      </w:r>
      <w:hyperlink r:id="rId32" w:tgtFrame="_blank" w:tooltip="https://doi.org/10.1093/jamia/ocz231." w:history="1">
        <w:r w:rsidRPr="00743312">
          <w:rPr>
            <w:rStyle w:val="Hyperlink"/>
            <w:rFonts w:cstheme="minorHAnsi"/>
          </w:rPr>
          <w:t>https://doi.org/10.1093/jamia/ocz231.</w:t>
        </w:r>
      </w:hyperlink>
    </w:p>
    <w:p w14:paraId="4F5D71D6" w14:textId="4EE50DB6" w:rsidR="008C41B2" w:rsidRDefault="008C41B2" w:rsidP="008C41B2">
      <w:pPr>
        <w:rPr>
          <w:rStyle w:val="Hyperlink"/>
          <w:rFonts w:cstheme="minorHAnsi"/>
        </w:rPr>
      </w:pPr>
    </w:p>
    <w:p w14:paraId="444BD955" w14:textId="0AD82783" w:rsidR="008C41B2" w:rsidRPr="00743312" w:rsidRDefault="008C41B2" w:rsidP="008C41B2">
      <w:pPr>
        <w:rPr>
          <w:rStyle w:val="ui-provider"/>
          <w:rFonts w:cstheme="minorHAnsi"/>
        </w:rPr>
      </w:pPr>
      <w:r w:rsidRPr="00974563">
        <w:rPr>
          <w:rStyle w:val="ui-provider"/>
        </w:rPr>
        <w:t xml:space="preserve">Moran, K.J., Burson, R., Conrad, D. (2023) </w:t>
      </w:r>
      <w:r w:rsidRPr="00974563">
        <w:rPr>
          <w:rStyle w:val="ui-provider"/>
          <w:i/>
          <w:iCs/>
        </w:rPr>
        <w:t>The Doctor of Nursing Practice Project: A Framework for Success</w:t>
      </w:r>
      <w:r w:rsidRPr="00974563">
        <w:rPr>
          <w:rStyle w:val="ui-provider"/>
        </w:rPr>
        <w:t xml:space="preserve">. 4th </w:t>
      </w:r>
      <w:r w:rsidR="00974563" w:rsidRPr="00974563">
        <w:rPr>
          <w:rStyle w:val="ui-provider"/>
        </w:rPr>
        <w:t>end</w:t>
      </w:r>
      <w:r w:rsidRPr="00974563">
        <w:rPr>
          <w:rStyle w:val="ui-provider"/>
        </w:rPr>
        <w:t>. Jones and Bartlett Learning. 2023. Burlington</w:t>
      </w:r>
      <w:r w:rsidRPr="008C41B2">
        <w:rPr>
          <w:rStyle w:val="ui-provider"/>
        </w:rPr>
        <w:t xml:space="preserve"> </w:t>
      </w:r>
    </w:p>
    <w:p w14:paraId="249D17F5" w14:textId="3ED78136" w:rsidR="002A629C" w:rsidRPr="00974563" w:rsidRDefault="002A629C" w:rsidP="00743312">
      <w:pPr>
        <w:pStyle w:val="NormalWeb"/>
        <w:rPr>
          <w:rStyle w:val="ui-provider"/>
          <w:rFonts w:asciiTheme="minorHAnsi" w:hAnsiTheme="minorHAnsi" w:cstheme="minorHAnsi"/>
        </w:rPr>
      </w:pPr>
      <w:r w:rsidRPr="00974563">
        <w:rPr>
          <w:rStyle w:val="ui-provider"/>
          <w:rFonts w:asciiTheme="minorHAnsi" w:hAnsiTheme="minorHAnsi" w:cstheme="minorHAnsi"/>
        </w:rPr>
        <w:t>Mushca</w:t>
      </w:r>
      <w:r w:rsidR="00974563" w:rsidRPr="00974563">
        <w:rPr>
          <w:rStyle w:val="ui-provider"/>
          <w:rFonts w:asciiTheme="minorHAnsi" w:hAnsiTheme="minorHAnsi" w:cstheme="minorHAnsi"/>
        </w:rPr>
        <w:t>b, H</w:t>
      </w:r>
      <w:r w:rsidR="00974563" w:rsidRPr="00974563">
        <w:rPr>
          <w:rStyle w:val="ui-provider"/>
          <w:rFonts w:asciiTheme="minorHAnsi" w:hAnsiTheme="minorHAnsi" w:cstheme="minorHAnsi"/>
          <w:i/>
          <w:iCs/>
        </w:rPr>
        <w:t>. et al</w:t>
      </w:r>
      <w:r w:rsidRPr="00974563">
        <w:rPr>
          <w:rStyle w:val="ui-provider"/>
          <w:rFonts w:asciiTheme="minorHAnsi" w:hAnsiTheme="minorHAnsi" w:cstheme="minorHAnsi"/>
        </w:rPr>
        <w:t xml:space="preserve">. </w:t>
      </w:r>
      <w:r w:rsidR="00974563" w:rsidRPr="00974563">
        <w:rPr>
          <w:rStyle w:val="ui-provider"/>
          <w:rFonts w:asciiTheme="minorHAnsi" w:hAnsiTheme="minorHAnsi" w:cstheme="minorHAnsi"/>
        </w:rPr>
        <w:t>(2020) ‘</w:t>
      </w:r>
      <w:r w:rsidRPr="00974563">
        <w:rPr>
          <w:rStyle w:val="ui-provider"/>
          <w:rFonts w:asciiTheme="minorHAnsi" w:hAnsiTheme="minorHAnsi" w:cstheme="minorHAnsi"/>
        </w:rPr>
        <w:t>An evaluation of Datix implementation for incident reporting at Johns Hopkins Aramco Healthcare</w:t>
      </w:r>
      <w:r w:rsidR="00974563" w:rsidRPr="00974563">
        <w:rPr>
          <w:rStyle w:val="ui-provider"/>
          <w:rFonts w:asciiTheme="minorHAnsi" w:hAnsiTheme="minorHAnsi" w:cstheme="minorHAnsi"/>
        </w:rPr>
        <w:t>’</w:t>
      </w:r>
      <w:r w:rsidRPr="00974563">
        <w:rPr>
          <w:rStyle w:val="ui-provider"/>
          <w:rFonts w:asciiTheme="minorHAnsi" w:hAnsiTheme="minorHAnsi" w:cstheme="minorHAnsi"/>
        </w:rPr>
        <w:t xml:space="preserve"> </w:t>
      </w:r>
      <w:r w:rsidRPr="00974563">
        <w:rPr>
          <w:rStyle w:val="ui-provider"/>
          <w:rFonts w:asciiTheme="minorHAnsi" w:hAnsiTheme="minorHAnsi" w:cstheme="minorHAnsi"/>
          <w:i/>
          <w:iCs/>
        </w:rPr>
        <w:t>Journal of Patient Safety and Risk Management</w:t>
      </w:r>
      <w:r w:rsidR="00974563" w:rsidRPr="00974563">
        <w:rPr>
          <w:rStyle w:val="ui-provider"/>
          <w:rFonts w:asciiTheme="minorHAnsi" w:hAnsiTheme="minorHAnsi" w:cstheme="minorHAnsi"/>
          <w:i/>
          <w:iCs/>
        </w:rPr>
        <w:t>,</w:t>
      </w:r>
      <w:r w:rsidR="00974563" w:rsidRPr="00974563">
        <w:rPr>
          <w:rStyle w:val="ui-provider"/>
          <w:rFonts w:asciiTheme="minorHAnsi" w:hAnsiTheme="minorHAnsi" w:cstheme="minorHAnsi"/>
        </w:rPr>
        <w:t xml:space="preserve"> </w:t>
      </w:r>
      <w:r w:rsidRPr="00974563">
        <w:rPr>
          <w:rStyle w:val="ui-provider"/>
          <w:rFonts w:asciiTheme="minorHAnsi" w:hAnsiTheme="minorHAnsi" w:cstheme="minorHAnsi"/>
        </w:rPr>
        <w:t>25(2):67-74. doi:</w:t>
      </w:r>
      <w:hyperlink r:id="rId33" w:tgtFrame="_blank" w:tooltip="https://doi.org/10.1177/2516043520905481" w:history="1">
        <w:r w:rsidRPr="00974563">
          <w:rPr>
            <w:rStyle w:val="Hyperlink"/>
            <w:rFonts w:asciiTheme="minorHAnsi" w:eastAsiaTheme="majorEastAsia" w:hAnsiTheme="minorHAnsi" w:cstheme="minorHAnsi"/>
          </w:rPr>
          <w:t>10.1177/2516043520905481</w:t>
        </w:r>
      </w:hyperlink>
    </w:p>
    <w:p w14:paraId="4218F488" w14:textId="10998743" w:rsidR="00E56F1E" w:rsidRPr="00974563" w:rsidRDefault="00E56F1E" w:rsidP="00743312">
      <w:pPr>
        <w:pStyle w:val="NormalWeb"/>
        <w:rPr>
          <w:rFonts w:asciiTheme="minorHAnsi" w:hAnsiTheme="minorHAnsi" w:cstheme="minorHAnsi"/>
        </w:rPr>
      </w:pPr>
      <w:r w:rsidRPr="00974563">
        <w:rPr>
          <w:rStyle w:val="ui-provider"/>
          <w:rFonts w:asciiTheme="minorHAnsi" w:hAnsiTheme="minorHAnsi" w:cstheme="minorHAnsi"/>
        </w:rPr>
        <w:t>Nilsen, P.</w:t>
      </w:r>
      <w:r w:rsidR="00974563" w:rsidRPr="00974563">
        <w:rPr>
          <w:rStyle w:val="ui-provider"/>
          <w:rFonts w:asciiTheme="minorHAnsi" w:hAnsiTheme="minorHAnsi" w:cstheme="minorHAnsi"/>
        </w:rPr>
        <w:t xml:space="preserve"> (2015)</w:t>
      </w:r>
      <w:r w:rsidRPr="00974563">
        <w:rPr>
          <w:rStyle w:val="ui-provider"/>
          <w:rFonts w:asciiTheme="minorHAnsi" w:hAnsiTheme="minorHAnsi" w:cstheme="minorHAnsi"/>
        </w:rPr>
        <w:t xml:space="preserve"> </w:t>
      </w:r>
      <w:r w:rsidR="00974563" w:rsidRPr="00974563">
        <w:rPr>
          <w:rStyle w:val="ui-provider"/>
          <w:rFonts w:asciiTheme="minorHAnsi" w:hAnsiTheme="minorHAnsi" w:cstheme="minorHAnsi"/>
        </w:rPr>
        <w:t>‘</w:t>
      </w:r>
      <w:r w:rsidRPr="00974563">
        <w:rPr>
          <w:rStyle w:val="ui-provider"/>
          <w:rFonts w:asciiTheme="minorHAnsi" w:hAnsiTheme="minorHAnsi" w:cstheme="minorHAnsi"/>
        </w:rPr>
        <w:t>Making sense of implementation theories, models and frameworks</w:t>
      </w:r>
      <w:proofErr w:type="gramStart"/>
      <w:r w:rsidR="00974563" w:rsidRPr="00974563">
        <w:rPr>
          <w:rStyle w:val="ui-provider"/>
          <w:rFonts w:asciiTheme="minorHAnsi" w:hAnsiTheme="minorHAnsi" w:cstheme="minorHAnsi"/>
        </w:rPr>
        <w:t xml:space="preserve">’, </w:t>
      </w:r>
      <w:r w:rsidRPr="00974563">
        <w:rPr>
          <w:rStyle w:val="ui-provider"/>
          <w:rFonts w:asciiTheme="minorHAnsi" w:hAnsiTheme="minorHAnsi" w:cstheme="minorHAnsi"/>
        </w:rPr>
        <w:t xml:space="preserve"> </w:t>
      </w:r>
      <w:r w:rsidRPr="00974563">
        <w:rPr>
          <w:rStyle w:val="ui-provider"/>
          <w:rFonts w:asciiTheme="minorHAnsi" w:hAnsiTheme="minorHAnsi" w:cstheme="minorHAnsi"/>
          <w:i/>
          <w:iCs/>
        </w:rPr>
        <w:t>Implementation</w:t>
      </w:r>
      <w:proofErr w:type="gramEnd"/>
      <w:r w:rsidRPr="00974563">
        <w:rPr>
          <w:rStyle w:val="ui-provider"/>
          <w:rFonts w:asciiTheme="minorHAnsi" w:hAnsiTheme="minorHAnsi" w:cstheme="minorHAnsi"/>
          <w:i/>
          <w:iCs/>
        </w:rPr>
        <w:t xml:space="preserve"> Sci</w:t>
      </w:r>
      <w:r w:rsidR="00974563" w:rsidRPr="00974563">
        <w:rPr>
          <w:rStyle w:val="ui-provider"/>
          <w:rFonts w:asciiTheme="minorHAnsi" w:hAnsiTheme="minorHAnsi" w:cstheme="minorHAnsi"/>
          <w:i/>
          <w:iCs/>
        </w:rPr>
        <w:t xml:space="preserve">ence, </w:t>
      </w:r>
      <w:r w:rsidRPr="00974563">
        <w:rPr>
          <w:rStyle w:val="ui-provider"/>
          <w:rFonts w:asciiTheme="minorHAnsi" w:hAnsiTheme="minorHAnsi" w:cstheme="minorHAnsi"/>
        </w:rPr>
        <w:t xml:space="preserve"> </w:t>
      </w:r>
      <w:r w:rsidRPr="00974563">
        <w:rPr>
          <w:rStyle w:val="Strong"/>
          <w:rFonts w:asciiTheme="minorHAnsi" w:eastAsiaTheme="majorEastAsia" w:hAnsiTheme="minorHAnsi" w:cstheme="minorHAnsi"/>
          <w:b w:val="0"/>
          <w:bCs w:val="0"/>
        </w:rPr>
        <w:t>10</w:t>
      </w:r>
      <w:r w:rsidR="00974563" w:rsidRPr="00974563">
        <w:rPr>
          <w:rStyle w:val="Strong"/>
          <w:rFonts w:asciiTheme="minorHAnsi" w:eastAsiaTheme="majorEastAsia" w:hAnsiTheme="minorHAnsi" w:cstheme="minorHAnsi"/>
          <w:b w:val="0"/>
          <w:bCs w:val="0"/>
        </w:rPr>
        <w:t>(</w:t>
      </w:r>
      <w:r w:rsidRPr="00974563">
        <w:rPr>
          <w:rStyle w:val="ui-provider"/>
          <w:rFonts w:asciiTheme="minorHAnsi" w:hAnsiTheme="minorHAnsi" w:cstheme="minorHAnsi"/>
        </w:rPr>
        <w:t>53</w:t>
      </w:r>
      <w:r w:rsidR="00974563" w:rsidRPr="00974563">
        <w:rPr>
          <w:rStyle w:val="ui-provider"/>
          <w:rFonts w:asciiTheme="minorHAnsi" w:hAnsiTheme="minorHAnsi" w:cstheme="minorHAnsi"/>
        </w:rPr>
        <w:t>)</w:t>
      </w:r>
      <w:r w:rsidRPr="00974563">
        <w:rPr>
          <w:rStyle w:val="ui-provider"/>
          <w:rFonts w:asciiTheme="minorHAnsi" w:hAnsiTheme="minorHAnsi" w:cstheme="minorHAnsi"/>
        </w:rPr>
        <w:t>.</w:t>
      </w:r>
      <w:r w:rsidR="00974563" w:rsidRPr="00974563">
        <w:rPr>
          <w:rStyle w:val="ui-provider"/>
          <w:rFonts w:asciiTheme="minorHAnsi" w:hAnsiTheme="minorHAnsi" w:cstheme="minorHAnsi"/>
        </w:rPr>
        <w:t xml:space="preserve"> Available at:</w:t>
      </w:r>
      <w:r w:rsidRPr="00974563">
        <w:rPr>
          <w:rStyle w:val="ui-provider"/>
          <w:rFonts w:asciiTheme="minorHAnsi" w:hAnsiTheme="minorHAnsi" w:cstheme="minorHAnsi"/>
        </w:rPr>
        <w:t xml:space="preserve"> </w:t>
      </w:r>
      <w:hyperlink r:id="rId34" w:tgtFrame="_blank" w:tooltip="https://doi.org/10.1186/s13012-015-0242-0" w:history="1">
        <w:r w:rsidRPr="00974563">
          <w:rPr>
            <w:rStyle w:val="Hyperlink"/>
            <w:rFonts w:asciiTheme="minorHAnsi" w:eastAsiaTheme="majorEastAsia" w:hAnsiTheme="minorHAnsi" w:cstheme="minorHAnsi"/>
          </w:rPr>
          <w:t>https://doi.org/10.1186/s13012-015-0242-0</w:t>
        </w:r>
      </w:hyperlink>
    </w:p>
    <w:p w14:paraId="36BBCA5B" w14:textId="77777777" w:rsidR="002A629C" w:rsidRDefault="002A629C" w:rsidP="00743312">
      <w:pPr>
        <w:pStyle w:val="NormalWeb"/>
        <w:rPr>
          <w:rFonts w:asciiTheme="minorHAnsi" w:hAnsiTheme="minorHAnsi" w:cstheme="minorHAnsi"/>
        </w:rPr>
      </w:pPr>
    </w:p>
    <w:p w14:paraId="2656B83E" w14:textId="154A7CFA" w:rsidR="00A83436" w:rsidRDefault="00743312" w:rsidP="00743312">
      <w:pPr>
        <w:pStyle w:val="NormalWeb"/>
        <w:rPr>
          <w:rFonts w:asciiTheme="minorHAnsi" w:hAnsiTheme="minorHAnsi" w:cstheme="minorHAnsi"/>
        </w:rPr>
      </w:pPr>
      <w:r w:rsidRPr="00743312">
        <w:rPr>
          <w:rFonts w:asciiTheme="minorHAnsi" w:hAnsiTheme="minorHAnsi" w:cstheme="minorHAnsi"/>
        </w:rPr>
        <w:lastRenderedPageBreak/>
        <w:t xml:space="preserve">Payne, T. </w:t>
      </w:r>
      <w:r w:rsidRPr="00DB3DAA">
        <w:rPr>
          <w:rFonts w:asciiTheme="minorHAnsi" w:hAnsiTheme="minorHAnsi" w:cstheme="minorHAnsi"/>
          <w:i/>
          <w:iCs/>
        </w:rPr>
        <w:t>et al</w:t>
      </w:r>
      <w:r w:rsidRPr="00743312">
        <w:rPr>
          <w:rFonts w:asciiTheme="minorHAnsi" w:hAnsiTheme="minorHAnsi" w:cstheme="minorHAnsi"/>
        </w:rPr>
        <w:t xml:space="preserve">. (2015) </w:t>
      </w:r>
      <w:r w:rsidR="00811E71">
        <w:rPr>
          <w:rFonts w:asciiTheme="minorHAnsi" w:hAnsiTheme="minorHAnsi" w:cstheme="minorHAnsi"/>
        </w:rPr>
        <w:t>'</w:t>
      </w:r>
      <w:r w:rsidRPr="00743312">
        <w:rPr>
          <w:rFonts w:asciiTheme="minorHAnsi" w:hAnsiTheme="minorHAnsi" w:cstheme="minorHAnsi"/>
        </w:rPr>
        <w:t>Recommendations to improve the useability of drug-drug interaction clinical decision support alerts</w:t>
      </w:r>
      <w:r w:rsidR="00811E71">
        <w:rPr>
          <w:rFonts w:asciiTheme="minorHAnsi" w:hAnsiTheme="minorHAnsi" w:cstheme="minorHAnsi"/>
        </w:rPr>
        <w:t>'</w:t>
      </w:r>
      <w:r w:rsidRPr="00743312">
        <w:rPr>
          <w:rFonts w:asciiTheme="minorHAnsi" w:hAnsiTheme="minorHAnsi" w:cstheme="minorHAnsi"/>
        </w:rPr>
        <w:t xml:space="preserve">, </w:t>
      </w:r>
      <w:r w:rsidRPr="00DB172E">
        <w:rPr>
          <w:rFonts w:asciiTheme="minorHAnsi" w:hAnsiTheme="minorHAnsi" w:cstheme="minorHAnsi"/>
          <w:i/>
          <w:iCs/>
        </w:rPr>
        <w:t xml:space="preserve">Journal of American Medical Informatics </w:t>
      </w:r>
      <w:r w:rsidR="009F6D18" w:rsidRPr="00DB172E">
        <w:rPr>
          <w:rFonts w:asciiTheme="minorHAnsi" w:hAnsiTheme="minorHAnsi" w:cstheme="minorHAnsi"/>
          <w:i/>
          <w:iCs/>
        </w:rPr>
        <w:t>Association</w:t>
      </w:r>
      <w:r w:rsidR="009F6D18" w:rsidRPr="00743312">
        <w:rPr>
          <w:rFonts w:asciiTheme="minorHAnsi" w:hAnsiTheme="minorHAnsi" w:cstheme="minorHAnsi"/>
        </w:rPr>
        <w:t>, 22</w:t>
      </w:r>
      <w:r w:rsidRPr="00743312">
        <w:rPr>
          <w:rFonts w:asciiTheme="minorHAnsi" w:hAnsiTheme="minorHAnsi" w:cstheme="minorHAnsi"/>
        </w:rPr>
        <w:t>(6), pp1243-1250</w:t>
      </w:r>
    </w:p>
    <w:p w14:paraId="23668DB8" w14:textId="144A9DDE" w:rsidR="00A83436" w:rsidRPr="00DB172E" w:rsidRDefault="00A83436" w:rsidP="00743312">
      <w:pPr>
        <w:pStyle w:val="NormalWeb"/>
        <w:rPr>
          <w:rFonts w:asciiTheme="minorHAnsi" w:hAnsiTheme="minorHAnsi" w:cstheme="minorHAnsi"/>
        </w:rPr>
      </w:pPr>
      <w:r w:rsidRPr="009F6D18">
        <w:rPr>
          <w:rStyle w:val="ui-provider"/>
          <w:rFonts w:asciiTheme="minorHAnsi" w:hAnsiTheme="minorHAnsi" w:cstheme="minorHAnsi"/>
        </w:rPr>
        <w:t>Pfadenhauer, L.M.</w:t>
      </w:r>
      <w:r w:rsidR="00DB172E" w:rsidRPr="009F6D18">
        <w:rPr>
          <w:rStyle w:val="ui-provider"/>
          <w:rFonts w:asciiTheme="minorHAnsi" w:hAnsiTheme="minorHAnsi" w:cstheme="minorHAnsi"/>
        </w:rPr>
        <w:t xml:space="preserve"> </w:t>
      </w:r>
      <w:r w:rsidR="00DB172E" w:rsidRPr="009F6D18">
        <w:rPr>
          <w:rStyle w:val="ui-provider"/>
          <w:rFonts w:asciiTheme="minorHAnsi" w:hAnsiTheme="minorHAnsi" w:cstheme="minorHAnsi"/>
          <w:i/>
          <w:iCs/>
        </w:rPr>
        <w:t>et al</w:t>
      </w:r>
      <w:r w:rsidR="00A039DE">
        <w:rPr>
          <w:rStyle w:val="ui-provider"/>
          <w:rFonts w:asciiTheme="minorHAnsi" w:hAnsiTheme="minorHAnsi" w:cstheme="minorHAnsi"/>
          <w:i/>
          <w:iCs/>
        </w:rPr>
        <w:t>.</w:t>
      </w:r>
      <w:r w:rsidR="00DB172E" w:rsidRPr="009F6D18">
        <w:rPr>
          <w:rStyle w:val="ui-provider"/>
          <w:rFonts w:asciiTheme="minorHAnsi" w:hAnsiTheme="minorHAnsi" w:cstheme="minorHAnsi"/>
        </w:rPr>
        <w:t xml:space="preserve"> (</w:t>
      </w:r>
      <w:r w:rsidRPr="009F6D18">
        <w:rPr>
          <w:rStyle w:val="ui-provider"/>
          <w:rFonts w:asciiTheme="minorHAnsi" w:hAnsiTheme="minorHAnsi" w:cstheme="minorHAnsi"/>
        </w:rPr>
        <w:t>2017</w:t>
      </w:r>
      <w:r w:rsidR="00DB172E" w:rsidRPr="009F6D18">
        <w:rPr>
          <w:rStyle w:val="ui-provider"/>
          <w:rFonts w:asciiTheme="minorHAnsi" w:hAnsiTheme="minorHAnsi" w:cstheme="minorHAnsi"/>
        </w:rPr>
        <w:t>)</w:t>
      </w:r>
      <w:r w:rsidRPr="009F6D18">
        <w:rPr>
          <w:rStyle w:val="ui-provider"/>
          <w:rFonts w:asciiTheme="minorHAnsi" w:hAnsiTheme="minorHAnsi" w:cstheme="minorHAnsi"/>
        </w:rPr>
        <w:t xml:space="preserve"> </w:t>
      </w:r>
      <w:r w:rsidR="00DB172E" w:rsidRPr="009F6D18">
        <w:rPr>
          <w:rStyle w:val="ui-provider"/>
          <w:rFonts w:asciiTheme="minorHAnsi" w:hAnsiTheme="minorHAnsi" w:cstheme="minorHAnsi"/>
        </w:rPr>
        <w:t>‘</w:t>
      </w:r>
      <w:r w:rsidRPr="009F6D18">
        <w:rPr>
          <w:rStyle w:val="ui-provider"/>
          <w:rFonts w:asciiTheme="minorHAnsi" w:hAnsiTheme="minorHAnsi" w:cstheme="minorHAnsi"/>
        </w:rPr>
        <w:t>Making sense of complexity in context and implementation: the Context and Implementation of Complex Interventions (CICI) framework</w:t>
      </w:r>
      <w:r w:rsidR="009F6D18" w:rsidRPr="009F6D18">
        <w:rPr>
          <w:rStyle w:val="ui-provider"/>
          <w:rFonts w:asciiTheme="minorHAnsi" w:hAnsiTheme="minorHAnsi" w:cstheme="minorHAnsi"/>
        </w:rPr>
        <w:t>’,</w:t>
      </w:r>
      <w:r w:rsidRPr="009F6D18">
        <w:rPr>
          <w:rStyle w:val="ui-provider"/>
          <w:rFonts w:asciiTheme="minorHAnsi" w:hAnsiTheme="minorHAnsi" w:cstheme="minorHAnsi"/>
        </w:rPr>
        <w:t xml:space="preserve"> </w:t>
      </w:r>
      <w:r w:rsidRPr="009F6D18">
        <w:rPr>
          <w:rStyle w:val="ui-provider"/>
          <w:rFonts w:asciiTheme="minorHAnsi" w:hAnsiTheme="minorHAnsi" w:cstheme="minorHAnsi"/>
          <w:i/>
          <w:iCs/>
        </w:rPr>
        <w:t>Implementation science</w:t>
      </w:r>
      <w:r w:rsidRPr="009F6D18">
        <w:rPr>
          <w:rStyle w:val="ui-provider"/>
          <w:rFonts w:asciiTheme="minorHAnsi" w:hAnsiTheme="minorHAnsi" w:cstheme="minorHAnsi"/>
        </w:rPr>
        <w:t xml:space="preserve">, </w:t>
      </w:r>
      <w:r w:rsidRPr="009F6D18">
        <w:rPr>
          <w:rStyle w:val="ui-provider"/>
          <w:rFonts w:asciiTheme="minorHAnsi" w:hAnsiTheme="minorHAnsi" w:cstheme="minorHAnsi"/>
          <w:i/>
          <w:iCs/>
        </w:rPr>
        <w:t>12</w:t>
      </w:r>
      <w:r w:rsidRPr="009F6D18">
        <w:rPr>
          <w:rStyle w:val="ui-provider"/>
          <w:rFonts w:asciiTheme="minorHAnsi" w:hAnsiTheme="minorHAnsi" w:cstheme="minorHAnsi"/>
        </w:rPr>
        <w:t>(1), pp.1-17.</w:t>
      </w:r>
    </w:p>
    <w:p w14:paraId="2AF9E21D" w14:textId="62D02F4B" w:rsidR="00743312" w:rsidRPr="00743312" w:rsidRDefault="00743312" w:rsidP="00642330">
      <w:pPr>
        <w:rPr>
          <w:rFonts w:cstheme="minorHAnsi"/>
        </w:rPr>
      </w:pPr>
      <w:r w:rsidRPr="00743312">
        <w:rPr>
          <w:rStyle w:val="ui-provider"/>
          <w:rFonts w:cstheme="minorHAnsi"/>
        </w:rPr>
        <w:t xml:space="preserve">Porterfield, A. Engelbert, K. and Coustasse, A. (2014) </w:t>
      </w:r>
      <w:r w:rsidR="009F6D18">
        <w:rPr>
          <w:rStyle w:val="ui-provider"/>
          <w:rFonts w:cstheme="minorHAnsi"/>
        </w:rPr>
        <w:t>‘</w:t>
      </w:r>
      <w:r w:rsidRPr="00743312">
        <w:rPr>
          <w:rStyle w:val="ui-provider"/>
          <w:rFonts w:cstheme="minorHAnsi"/>
        </w:rPr>
        <w:t>Electronic prescribing: improving efficiency and accuracy of prescribing in the ambulatory care setting</w:t>
      </w:r>
      <w:r w:rsidR="009F6D18">
        <w:rPr>
          <w:rStyle w:val="ui-provider"/>
          <w:rFonts w:cstheme="minorHAnsi"/>
        </w:rPr>
        <w:t>’,</w:t>
      </w:r>
      <w:r w:rsidR="00811E71">
        <w:rPr>
          <w:rStyle w:val="ui-provider"/>
          <w:rFonts w:cstheme="minorHAnsi"/>
        </w:rPr>
        <w:t xml:space="preserve"> </w:t>
      </w:r>
      <w:r w:rsidRPr="009F6D18">
        <w:rPr>
          <w:rStyle w:val="ui-provider"/>
          <w:rFonts w:cstheme="minorHAnsi"/>
          <w:i/>
          <w:iCs/>
        </w:rPr>
        <w:t>Perspectives in Health Information Management</w:t>
      </w:r>
      <w:r w:rsidRPr="00743312">
        <w:rPr>
          <w:rStyle w:val="ui-provider"/>
          <w:rFonts w:cstheme="minorHAnsi"/>
        </w:rPr>
        <w:t>, 1(11), pp1-13.</w:t>
      </w:r>
    </w:p>
    <w:p w14:paraId="1D507668" w14:textId="77777777" w:rsidR="008E29B6" w:rsidRPr="00743312" w:rsidRDefault="008E29B6" w:rsidP="00642330">
      <w:pPr>
        <w:rPr>
          <w:rStyle w:val="ui-provider"/>
          <w:rFonts w:cstheme="minorHAnsi"/>
        </w:rPr>
      </w:pPr>
    </w:p>
    <w:p w14:paraId="280AA5CF" w14:textId="3B87C4A6" w:rsidR="009F6D18" w:rsidRPr="00743312" w:rsidRDefault="008E29B6" w:rsidP="00642330">
      <w:pPr>
        <w:rPr>
          <w:rStyle w:val="ui-provider"/>
          <w:rFonts w:cstheme="minorHAnsi"/>
        </w:rPr>
      </w:pPr>
      <w:r w:rsidRPr="00743312">
        <w:rPr>
          <w:rStyle w:val="ui-provider"/>
          <w:rFonts w:cstheme="minorHAnsi"/>
        </w:rPr>
        <w:t xml:space="preserve">Prgomet M, Georgiou A, Callen J, Westbrook J. </w:t>
      </w:r>
      <w:r w:rsidR="009F6D18">
        <w:rPr>
          <w:rStyle w:val="ui-provider"/>
          <w:rFonts w:cstheme="minorHAnsi"/>
        </w:rPr>
        <w:t>(2019) ‘</w:t>
      </w:r>
      <w:r w:rsidRPr="00743312">
        <w:rPr>
          <w:rStyle w:val="ui-provider"/>
          <w:rFonts w:cstheme="minorHAnsi"/>
        </w:rPr>
        <w:t>Fit between individuals, tasks, technology, and environment (FITTE)</w:t>
      </w:r>
      <w:r w:rsidR="009F6D18">
        <w:rPr>
          <w:rStyle w:val="ui-provider"/>
          <w:rFonts w:cstheme="minorHAnsi"/>
        </w:rPr>
        <w:t xml:space="preserve"> </w:t>
      </w:r>
      <w:r w:rsidRPr="00743312">
        <w:rPr>
          <w:rStyle w:val="ui-provider"/>
          <w:rFonts w:cstheme="minorHAnsi"/>
        </w:rPr>
        <w:t xml:space="preserve">framework: A proposed extension of FITT to evaluate and </w:t>
      </w:r>
      <w:r w:rsidR="001C0781" w:rsidRPr="00743312">
        <w:rPr>
          <w:rStyle w:val="ui-provider"/>
          <w:rFonts w:cstheme="minorHAnsi"/>
        </w:rPr>
        <w:t>optimise</w:t>
      </w:r>
      <w:r w:rsidRPr="00743312">
        <w:rPr>
          <w:rStyle w:val="ui-provider"/>
          <w:rFonts w:cstheme="minorHAnsi"/>
        </w:rPr>
        <w:t xml:space="preserve"> health information technology use</w:t>
      </w:r>
      <w:r w:rsidR="009F6D18">
        <w:rPr>
          <w:rStyle w:val="ui-provider"/>
          <w:rFonts w:cstheme="minorHAnsi"/>
        </w:rPr>
        <w:t xml:space="preserve">’, </w:t>
      </w:r>
      <w:r w:rsidRPr="009F6D18">
        <w:rPr>
          <w:rStyle w:val="ui-provider"/>
          <w:rFonts w:cstheme="minorHAnsi"/>
          <w:i/>
          <w:iCs/>
        </w:rPr>
        <w:t>Stud</w:t>
      </w:r>
      <w:r w:rsidR="009F6D18" w:rsidRPr="009F6D18">
        <w:rPr>
          <w:rStyle w:val="ui-provider"/>
          <w:rFonts w:cstheme="minorHAnsi"/>
          <w:i/>
          <w:iCs/>
        </w:rPr>
        <w:t>ies in Health Technology and Informatics</w:t>
      </w:r>
      <w:r w:rsidR="009F6D18">
        <w:rPr>
          <w:rStyle w:val="ui-provider"/>
          <w:rFonts w:cstheme="minorHAnsi"/>
        </w:rPr>
        <w:t xml:space="preserve">, </w:t>
      </w:r>
      <w:r w:rsidRPr="00743312">
        <w:rPr>
          <w:rStyle w:val="ui-provider"/>
          <w:rFonts w:cstheme="minorHAnsi"/>
        </w:rPr>
        <w:t>264</w:t>
      </w:r>
      <w:r w:rsidR="009F6D18">
        <w:rPr>
          <w:rStyle w:val="ui-provider"/>
          <w:rFonts w:cstheme="minorHAnsi"/>
        </w:rPr>
        <w:t>, pp</w:t>
      </w:r>
      <w:r w:rsidRPr="00743312">
        <w:rPr>
          <w:rStyle w:val="ui-provider"/>
          <w:rFonts w:cstheme="minorHAnsi"/>
        </w:rPr>
        <w:t>744-748.</w:t>
      </w:r>
      <w:r w:rsidR="00811E71">
        <w:rPr>
          <w:rStyle w:val="ui-provider"/>
          <w:rFonts w:cstheme="minorHAnsi"/>
        </w:rPr>
        <w:t xml:space="preserve"> </w:t>
      </w:r>
      <w:r w:rsidR="009F6D18">
        <w:rPr>
          <w:rStyle w:val="ui-provider"/>
          <w:rFonts w:cstheme="minorHAnsi"/>
        </w:rPr>
        <w:t xml:space="preserve"> Available at </w:t>
      </w:r>
      <w:r w:rsidRPr="00743312">
        <w:rPr>
          <w:rStyle w:val="ui-provider"/>
          <w:rFonts w:cstheme="minorHAnsi"/>
        </w:rPr>
        <w:t>doi: 10.3233/SHTI190322</w:t>
      </w:r>
    </w:p>
    <w:p w14:paraId="2343015E" w14:textId="77777777" w:rsidR="008E29B6" w:rsidRPr="00743312" w:rsidRDefault="008E29B6" w:rsidP="00642330">
      <w:pPr>
        <w:rPr>
          <w:rStyle w:val="ui-provider"/>
          <w:rFonts w:cstheme="minorHAnsi"/>
        </w:rPr>
      </w:pPr>
    </w:p>
    <w:p w14:paraId="55678A47" w14:textId="2A4A2E28" w:rsidR="008E29B6" w:rsidRDefault="008E29B6" w:rsidP="00642330">
      <w:pPr>
        <w:rPr>
          <w:rStyle w:val="ui-provider"/>
          <w:rFonts w:cstheme="minorHAnsi"/>
        </w:rPr>
      </w:pPr>
      <w:r w:rsidRPr="00743312">
        <w:rPr>
          <w:rStyle w:val="ui-provider"/>
          <w:rFonts w:cstheme="minorHAnsi"/>
        </w:rPr>
        <w:t>Schnall</w:t>
      </w:r>
      <w:r w:rsidR="009F6D18">
        <w:rPr>
          <w:rStyle w:val="ui-provider"/>
          <w:rFonts w:cstheme="minorHAnsi"/>
        </w:rPr>
        <w:t xml:space="preserve">, R. </w:t>
      </w:r>
      <w:r w:rsidRPr="00DB3DAA">
        <w:rPr>
          <w:rStyle w:val="ui-provider"/>
          <w:rFonts w:cstheme="minorHAnsi"/>
          <w:i/>
          <w:iCs/>
        </w:rPr>
        <w:t>et al</w:t>
      </w:r>
      <w:r w:rsidRPr="009F6D18">
        <w:rPr>
          <w:rStyle w:val="ui-provider"/>
          <w:rFonts w:cstheme="minorHAnsi"/>
        </w:rPr>
        <w:t>.</w:t>
      </w:r>
      <w:r w:rsidR="009F6D18" w:rsidRPr="009F6D18">
        <w:rPr>
          <w:rStyle w:val="ui-provider"/>
          <w:rFonts w:cstheme="minorHAnsi"/>
        </w:rPr>
        <w:t xml:space="preserve"> (2012) </w:t>
      </w:r>
      <w:r w:rsidR="009F6D18">
        <w:rPr>
          <w:rStyle w:val="ui-provider"/>
          <w:rFonts w:cstheme="minorHAnsi"/>
        </w:rPr>
        <w:t>‘</w:t>
      </w:r>
      <w:r w:rsidRPr="009F6D18">
        <w:rPr>
          <w:rStyle w:val="ui-provider"/>
          <w:rFonts w:cstheme="minorHAnsi"/>
        </w:rPr>
        <w:t>Employing</w:t>
      </w:r>
      <w:r w:rsidRPr="00743312">
        <w:rPr>
          <w:rStyle w:val="ui-provider"/>
          <w:rFonts w:cstheme="minorHAnsi"/>
        </w:rPr>
        <w:t xml:space="preserve"> the FITT framework to explore HIV </w:t>
      </w:r>
      <w:r w:rsidR="00811E71">
        <w:rPr>
          <w:rStyle w:val="ui-provider"/>
          <w:rFonts w:cstheme="minorHAnsi"/>
        </w:rPr>
        <w:t>case</w:t>
      </w:r>
      <w:r w:rsidR="004E0C98">
        <w:rPr>
          <w:rStyle w:val="ui-provider"/>
          <w:rFonts w:cstheme="minorHAnsi"/>
        </w:rPr>
        <w:t xml:space="preserve"> </w:t>
      </w:r>
      <w:r w:rsidR="00811E71">
        <w:rPr>
          <w:rStyle w:val="ui-provider"/>
          <w:rFonts w:cstheme="minorHAnsi"/>
        </w:rPr>
        <w:t>managers'</w:t>
      </w:r>
      <w:r w:rsidRPr="00743312">
        <w:rPr>
          <w:rStyle w:val="ui-provider"/>
          <w:rFonts w:cstheme="minorHAnsi"/>
        </w:rPr>
        <w:t xml:space="preserve"> perceptions of two electronic clinical data (ECD) summary systems</w:t>
      </w:r>
      <w:r w:rsidR="009F6D18">
        <w:rPr>
          <w:rStyle w:val="ui-provider"/>
          <w:rFonts w:cstheme="minorHAnsi"/>
        </w:rPr>
        <w:t xml:space="preserve">’, </w:t>
      </w:r>
      <w:r w:rsidRPr="00743312">
        <w:rPr>
          <w:rStyle w:val="ui-provider"/>
          <w:rFonts w:cstheme="minorHAnsi"/>
        </w:rPr>
        <w:t>Int</w:t>
      </w:r>
      <w:r w:rsidR="009F6D18">
        <w:rPr>
          <w:rStyle w:val="ui-provider"/>
          <w:rFonts w:cstheme="minorHAnsi"/>
        </w:rPr>
        <w:t xml:space="preserve">ernational </w:t>
      </w:r>
      <w:r w:rsidRPr="00743312">
        <w:rPr>
          <w:rStyle w:val="ui-provider"/>
          <w:rFonts w:cstheme="minorHAnsi"/>
        </w:rPr>
        <w:t>J</w:t>
      </w:r>
      <w:r w:rsidR="009F6D18">
        <w:rPr>
          <w:rStyle w:val="ui-provider"/>
          <w:rFonts w:cstheme="minorHAnsi"/>
        </w:rPr>
        <w:t xml:space="preserve">ournal </w:t>
      </w:r>
      <w:proofErr w:type="gramStart"/>
      <w:r w:rsidR="009F6D18">
        <w:rPr>
          <w:rStyle w:val="ui-provider"/>
          <w:rFonts w:cstheme="minorHAnsi"/>
        </w:rPr>
        <w:t xml:space="preserve">of </w:t>
      </w:r>
      <w:r w:rsidRPr="00743312">
        <w:rPr>
          <w:rStyle w:val="ui-provider"/>
          <w:rFonts w:cstheme="minorHAnsi"/>
        </w:rPr>
        <w:t xml:space="preserve"> Med</w:t>
      </w:r>
      <w:r w:rsidR="009F6D18">
        <w:rPr>
          <w:rStyle w:val="ui-provider"/>
          <w:rFonts w:cstheme="minorHAnsi"/>
        </w:rPr>
        <w:t>ical</w:t>
      </w:r>
      <w:proofErr w:type="gramEnd"/>
      <w:r w:rsidR="009F6D18">
        <w:rPr>
          <w:rStyle w:val="ui-provider"/>
          <w:rFonts w:cstheme="minorHAnsi"/>
        </w:rPr>
        <w:t xml:space="preserve"> </w:t>
      </w:r>
      <w:r w:rsidRPr="00743312">
        <w:rPr>
          <w:rStyle w:val="ui-provider"/>
          <w:rFonts w:cstheme="minorHAnsi"/>
        </w:rPr>
        <w:t>Inform</w:t>
      </w:r>
      <w:r w:rsidR="009F6D18">
        <w:rPr>
          <w:rStyle w:val="ui-provider"/>
          <w:rFonts w:cstheme="minorHAnsi"/>
        </w:rPr>
        <w:t xml:space="preserve">atics, </w:t>
      </w:r>
      <w:r w:rsidRPr="00743312">
        <w:rPr>
          <w:rStyle w:val="ui-provider"/>
          <w:rFonts w:cstheme="minorHAnsi"/>
        </w:rPr>
        <w:t>81(10):e56-e62</w:t>
      </w:r>
      <w:r w:rsidR="009F6D18">
        <w:rPr>
          <w:rStyle w:val="ui-provider"/>
          <w:rFonts w:cstheme="minorHAnsi"/>
        </w:rPr>
        <w:t xml:space="preserve">.  Available at: </w:t>
      </w:r>
      <w:r w:rsidRPr="00743312">
        <w:rPr>
          <w:rStyle w:val="ui-provider"/>
          <w:rFonts w:cstheme="minorHAnsi"/>
        </w:rPr>
        <w:t xml:space="preserve">doi: 10.1016/j.ijmedinf.2012.07.002] </w:t>
      </w:r>
    </w:p>
    <w:p w14:paraId="7AD96B9A" w14:textId="0201E032" w:rsidR="005D62EA" w:rsidRDefault="005D62EA" w:rsidP="00642330">
      <w:pPr>
        <w:rPr>
          <w:rStyle w:val="ui-provider"/>
          <w:rFonts w:cstheme="minorHAnsi"/>
        </w:rPr>
      </w:pPr>
    </w:p>
    <w:p w14:paraId="1D028B59" w14:textId="0207FEE3" w:rsidR="005D62EA" w:rsidRPr="00743312" w:rsidRDefault="005D62EA" w:rsidP="00642330">
      <w:pPr>
        <w:rPr>
          <w:rStyle w:val="ui-provider"/>
          <w:rFonts w:cstheme="minorHAnsi"/>
        </w:rPr>
      </w:pPr>
      <w:r>
        <w:rPr>
          <w:rStyle w:val="ui-provider"/>
          <w:rFonts w:cstheme="minorHAnsi"/>
        </w:rPr>
        <w:t xml:space="preserve">Thomas, M. (2022) </w:t>
      </w:r>
      <w:r w:rsidRPr="005D62EA">
        <w:rPr>
          <w:rStyle w:val="ui-provider"/>
          <w:rFonts w:cstheme="minorHAnsi"/>
          <w:i/>
          <w:iCs/>
        </w:rPr>
        <w:t>Hospital E-Prescribing and Medicines Administration (HEPMA) Evaluation. Neath Port Talbot Hospital February 2020 to March 2022 &amp; Singelton Hospital March 2021 to March 2022</w:t>
      </w:r>
      <w:r>
        <w:rPr>
          <w:rStyle w:val="ui-provider"/>
          <w:rFonts w:cstheme="minorHAnsi"/>
        </w:rPr>
        <w:t xml:space="preserve">. Internal Report Swansea Bay University Health Board. Unpublished. </w:t>
      </w:r>
    </w:p>
    <w:p w14:paraId="38B79479" w14:textId="75C7AA5D" w:rsidR="00BD0417" w:rsidRPr="00743312" w:rsidRDefault="00BD0417" w:rsidP="00642330">
      <w:pPr>
        <w:rPr>
          <w:rStyle w:val="ui-provider"/>
          <w:rFonts w:cstheme="minorHAnsi"/>
        </w:rPr>
      </w:pPr>
    </w:p>
    <w:p w14:paraId="2ACD7351" w14:textId="4A481A08" w:rsidR="00BD0417" w:rsidRPr="00743312" w:rsidRDefault="00BD0417" w:rsidP="00BD0417">
      <w:pPr>
        <w:rPr>
          <w:rStyle w:val="ui-provider"/>
          <w:rFonts w:cstheme="minorHAnsi"/>
        </w:rPr>
      </w:pPr>
      <w:r w:rsidRPr="00743312">
        <w:rPr>
          <w:rStyle w:val="ui-provider"/>
          <w:rFonts w:cstheme="minorHAnsi"/>
        </w:rPr>
        <w:t>Tsiknakis</w:t>
      </w:r>
      <w:r w:rsidR="009F6D18">
        <w:rPr>
          <w:rStyle w:val="ui-provider"/>
          <w:rFonts w:cstheme="minorHAnsi"/>
        </w:rPr>
        <w:t>,</w:t>
      </w:r>
      <w:r w:rsidRPr="00743312">
        <w:rPr>
          <w:rStyle w:val="ui-provider"/>
          <w:rFonts w:cstheme="minorHAnsi"/>
        </w:rPr>
        <w:t xml:space="preserve"> M</w:t>
      </w:r>
      <w:r w:rsidR="009F6D18">
        <w:rPr>
          <w:rStyle w:val="ui-provider"/>
          <w:rFonts w:cstheme="minorHAnsi"/>
        </w:rPr>
        <w:t xml:space="preserve">. and </w:t>
      </w:r>
      <w:r w:rsidRPr="00743312">
        <w:rPr>
          <w:rStyle w:val="ui-provider"/>
          <w:rFonts w:cstheme="minorHAnsi"/>
        </w:rPr>
        <w:t>Kouroubali</w:t>
      </w:r>
      <w:r w:rsidR="009F6D18">
        <w:rPr>
          <w:rStyle w:val="ui-provider"/>
          <w:rFonts w:cstheme="minorHAnsi"/>
        </w:rPr>
        <w:t>,</w:t>
      </w:r>
      <w:r w:rsidRPr="00743312">
        <w:rPr>
          <w:rStyle w:val="ui-provider"/>
          <w:rFonts w:cstheme="minorHAnsi"/>
        </w:rPr>
        <w:t xml:space="preserve"> A.</w:t>
      </w:r>
      <w:r w:rsidR="009F6D18">
        <w:rPr>
          <w:rStyle w:val="ui-provider"/>
          <w:rFonts w:cstheme="minorHAnsi"/>
        </w:rPr>
        <w:t xml:space="preserve"> (2009)</w:t>
      </w:r>
      <w:r w:rsidRPr="00743312">
        <w:rPr>
          <w:rStyle w:val="ui-provider"/>
          <w:rFonts w:cstheme="minorHAnsi"/>
        </w:rPr>
        <w:t xml:space="preserve"> </w:t>
      </w:r>
      <w:r w:rsidR="009F6D18">
        <w:rPr>
          <w:rStyle w:val="ui-provider"/>
          <w:rFonts w:cstheme="minorHAnsi"/>
        </w:rPr>
        <w:t>‘</w:t>
      </w:r>
      <w:r w:rsidR="001C0781" w:rsidRPr="00743312">
        <w:rPr>
          <w:rStyle w:val="ui-provider"/>
          <w:rFonts w:cstheme="minorHAnsi"/>
        </w:rPr>
        <w:t>Organisational</w:t>
      </w:r>
      <w:r w:rsidRPr="00743312">
        <w:rPr>
          <w:rStyle w:val="ui-provider"/>
          <w:rFonts w:cstheme="minorHAnsi"/>
        </w:rPr>
        <w:t xml:space="preserve"> factors affecting successful adoption of innovative eHealth services: A </w:t>
      </w:r>
      <w:r w:rsidR="00CB4C3B" w:rsidRPr="00743312">
        <w:rPr>
          <w:rStyle w:val="ui-provider"/>
          <w:rFonts w:cstheme="minorHAnsi"/>
        </w:rPr>
        <w:t>case study</w:t>
      </w:r>
      <w:r w:rsidRPr="00743312">
        <w:rPr>
          <w:rStyle w:val="ui-provider"/>
          <w:rFonts w:cstheme="minorHAnsi"/>
        </w:rPr>
        <w:t xml:space="preserve"> employing the FITT framework</w:t>
      </w:r>
      <w:r w:rsidR="009F6D18">
        <w:rPr>
          <w:rStyle w:val="ui-provider"/>
          <w:rFonts w:cstheme="minorHAnsi"/>
        </w:rPr>
        <w:t>’,</w:t>
      </w:r>
      <w:r w:rsidRPr="00743312">
        <w:rPr>
          <w:rStyle w:val="ui-provider"/>
          <w:rFonts w:cstheme="minorHAnsi"/>
        </w:rPr>
        <w:t xml:space="preserve"> Int</w:t>
      </w:r>
      <w:r w:rsidR="009F6D18">
        <w:rPr>
          <w:rStyle w:val="ui-provider"/>
          <w:rFonts w:cstheme="minorHAnsi"/>
        </w:rPr>
        <w:t xml:space="preserve">ernational </w:t>
      </w:r>
      <w:r w:rsidRPr="00743312">
        <w:rPr>
          <w:rStyle w:val="ui-provider"/>
          <w:rFonts w:cstheme="minorHAnsi"/>
        </w:rPr>
        <w:t>J</w:t>
      </w:r>
      <w:r w:rsidR="009F6D18">
        <w:rPr>
          <w:rStyle w:val="ui-provider"/>
          <w:rFonts w:cstheme="minorHAnsi"/>
        </w:rPr>
        <w:t xml:space="preserve">ournal of </w:t>
      </w:r>
      <w:r w:rsidRPr="00743312">
        <w:rPr>
          <w:rStyle w:val="ui-provider"/>
          <w:rFonts w:cstheme="minorHAnsi"/>
        </w:rPr>
        <w:t>Med</w:t>
      </w:r>
      <w:r w:rsidR="009F6D18">
        <w:rPr>
          <w:rStyle w:val="ui-provider"/>
          <w:rFonts w:cstheme="minorHAnsi"/>
        </w:rPr>
        <w:t xml:space="preserve">ical </w:t>
      </w:r>
      <w:r w:rsidRPr="00743312">
        <w:rPr>
          <w:rStyle w:val="ui-provider"/>
          <w:rFonts w:cstheme="minorHAnsi"/>
        </w:rPr>
        <w:t>Inform</w:t>
      </w:r>
      <w:r w:rsidR="009F6D18">
        <w:rPr>
          <w:rStyle w:val="ui-provider"/>
          <w:rFonts w:cstheme="minorHAnsi"/>
        </w:rPr>
        <w:t xml:space="preserve">atics, </w:t>
      </w:r>
      <w:r w:rsidRPr="00743312">
        <w:rPr>
          <w:rStyle w:val="ui-provider"/>
          <w:rFonts w:cstheme="minorHAnsi"/>
        </w:rPr>
        <w:t>78(1)</w:t>
      </w:r>
      <w:r w:rsidR="009F6D18">
        <w:rPr>
          <w:rStyle w:val="ui-provider"/>
          <w:rFonts w:cstheme="minorHAnsi"/>
        </w:rPr>
        <w:t>, pp</w:t>
      </w:r>
      <w:r w:rsidRPr="00743312">
        <w:rPr>
          <w:rStyle w:val="ui-provider"/>
          <w:rFonts w:cstheme="minorHAnsi"/>
        </w:rPr>
        <w:t xml:space="preserve">39-52. </w:t>
      </w:r>
      <w:r w:rsidR="009F6D18">
        <w:rPr>
          <w:rStyle w:val="ui-provider"/>
          <w:rFonts w:cstheme="minorHAnsi"/>
        </w:rPr>
        <w:t>(</w:t>
      </w:r>
      <w:proofErr w:type="gramStart"/>
      <w:r w:rsidRPr="00743312">
        <w:rPr>
          <w:rStyle w:val="ui-provider"/>
          <w:rFonts w:cstheme="minorHAnsi"/>
        </w:rPr>
        <w:t>doi</w:t>
      </w:r>
      <w:proofErr w:type="gramEnd"/>
      <w:r w:rsidRPr="00743312">
        <w:rPr>
          <w:rStyle w:val="ui-provider"/>
          <w:rFonts w:cstheme="minorHAnsi"/>
        </w:rPr>
        <w:t>: 10.1016/j.ijmedinf.2008.07.001</w:t>
      </w:r>
      <w:r w:rsidR="009F6D18">
        <w:rPr>
          <w:rStyle w:val="ui-provider"/>
          <w:rFonts w:cstheme="minorHAnsi"/>
        </w:rPr>
        <w:t>)</w:t>
      </w:r>
    </w:p>
    <w:p w14:paraId="07DFABC6" w14:textId="77777777" w:rsidR="00BD0417" w:rsidRPr="00743312" w:rsidRDefault="00BD0417" w:rsidP="00642330">
      <w:pPr>
        <w:rPr>
          <w:rStyle w:val="ui-provider"/>
          <w:rFonts w:cstheme="minorHAnsi"/>
        </w:rPr>
      </w:pPr>
    </w:p>
    <w:p w14:paraId="64F8950E" w14:textId="1EA20111" w:rsidR="008E29B6" w:rsidRPr="00743312" w:rsidRDefault="00743312" w:rsidP="00642330">
      <w:pPr>
        <w:rPr>
          <w:rStyle w:val="ui-provider"/>
          <w:rFonts w:cstheme="minorHAnsi"/>
        </w:rPr>
      </w:pPr>
      <w:r w:rsidRPr="00743312">
        <w:rPr>
          <w:rStyle w:val="ui-provider"/>
          <w:rFonts w:cstheme="minorHAnsi"/>
        </w:rPr>
        <w:t xml:space="preserve">Vaghasiya, M.R. </w:t>
      </w:r>
      <w:r w:rsidRPr="00743312">
        <w:rPr>
          <w:rStyle w:val="ui-provider"/>
          <w:rFonts w:cstheme="minorHAnsi"/>
          <w:i/>
          <w:iCs/>
        </w:rPr>
        <w:t>et al.</w:t>
      </w:r>
      <w:r w:rsidRPr="00743312">
        <w:rPr>
          <w:rStyle w:val="ui-provider"/>
          <w:rFonts w:cstheme="minorHAnsi"/>
        </w:rPr>
        <w:t xml:space="preserve"> (2021) </w:t>
      </w:r>
      <w:r w:rsidR="00811E71">
        <w:rPr>
          <w:rStyle w:val="ui-provider"/>
          <w:rFonts w:cstheme="minorHAnsi"/>
        </w:rPr>
        <w:t>'</w:t>
      </w:r>
      <w:r w:rsidRPr="00743312">
        <w:rPr>
          <w:rStyle w:val="ui-provider"/>
          <w:rFonts w:cstheme="minorHAnsi"/>
        </w:rPr>
        <w:t>Implementation of an Electronic Medication Management System in a large tertiary hospital: a case of qualitative inquiry</w:t>
      </w:r>
      <w:r w:rsidR="00811E71">
        <w:rPr>
          <w:rStyle w:val="ui-provider"/>
          <w:rFonts w:cstheme="minorHAnsi"/>
        </w:rPr>
        <w:t>'</w:t>
      </w:r>
      <w:r w:rsidRPr="00743312">
        <w:rPr>
          <w:rStyle w:val="ui-provider"/>
          <w:rFonts w:cstheme="minorHAnsi"/>
        </w:rPr>
        <w:t xml:space="preserve">, </w:t>
      </w:r>
      <w:r w:rsidRPr="00743312">
        <w:rPr>
          <w:rStyle w:val="ui-provider"/>
          <w:rFonts w:cstheme="minorHAnsi"/>
          <w:i/>
          <w:iCs/>
        </w:rPr>
        <w:t>BMC Medical Informatics and Decision Making</w:t>
      </w:r>
      <w:r w:rsidRPr="00743312">
        <w:rPr>
          <w:rStyle w:val="ui-provider"/>
          <w:rFonts w:cstheme="minorHAnsi"/>
        </w:rPr>
        <w:t>, 21(1), pp. 1–11.</w:t>
      </w:r>
      <w:r w:rsidR="00811E71">
        <w:rPr>
          <w:rStyle w:val="ui-provider"/>
          <w:rFonts w:cstheme="minorHAnsi"/>
        </w:rPr>
        <w:t xml:space="preserve"> </w:t>
      </w:r>
      <w:r w:rsidRPr="00743312">
        <w:rPr>
          <w:rStyle w:val="ui-provider"/>
          <w:rFonts w:cstheme="minorHAnsi"/>
        </w:rPr>
        <w:t>Available at: </w:t>
      </w:r>
      <w:hyperlink r:id="rId35" w:tgtFrame="_blank" w:tooltip="https://doi.org/10.1186/s12911-021-01584-w/tables/2" w:history="1">
        <w:r w:rsidRPr="00743312">
          <w:rPr>
            <w:rStyle w:val="Hyperlink"/>
            <w:rFonts w:cstheme="minorHAnsi"/>
          </w:rPr>
          <w:t>https://doi.org/10.1186/S12911-021-01584-W/TABLES/2</w:t>
        </w:r>
      </w:hyperlink>
      <w:r w:rsidRPr="00743312">
        <w:rPr>
          <w:rStyle w:val="ui-provider"/>
          <w:rFonts w:cstheme="minorHAnsi"/>
        </w:rPr>
        <w:t>.</w:t>
      </w:r>
    </w:p>
    <w:p w14:paraId="57E0FB61" w14:textId="6D18A3D5" w:rsidR="00743312" w:rsidRPr="00743312" w:rsidRDefault="00743312" w:rsidP="00642330">
      <w:pPr>
        <w:rPr>
          <w:rStyle w:val="ui-provider"/>
          <w:rFonts w:cstheme="minorHAnsi"/>
        </w:rPr>
      </w:pPr>
    </w:p>
    <w:p w14:paraId="65521C49" w14:textId="5164F9F0" w:rsidR="00743312" w:rsidRPr="00743312" w:rsidRDefault="00743312" w:rsidP="00642330">
      <w:pPr>
        <w:rPr>
          <w:rStyle w:val="ui-provider"/>
          <w:rFonts w:cstheme="minorHAnsi"/>
        </w:rPr>
      </w:pPr>
      <w:r w:rsidRPr="00743312">
        <w:rPr>
          <w:rStyle w:val="ui-provider"/>
          <w:rFonts w:cstheme="minorHAnsi"/>
        </w:rPr>
        <w:t xml:space="preserve">Van Wilder, A. </w:t>
      </w:r>
      <w:r w:rsidRPr="00743312">
        <w:rPr>
          <w:rStyle w:val="ui-provider"/>
          <w:rFonts w:cstheme="minorHAnsi"/>
          <w:i/>
          <w:iCs/>
        </w:rPr>
        <w:t>et al.</w:t>
      </w:r>
      <w:r w:rsidRPr="00743312">
        <w:rPr>
          <w:rStyle w:val="ui-provider"/>
          <w:rFonts w:cstheme="minorHAnsi"/>
        </w:rPr>
        <w:t xml:space="preserve"> (2020) </w:t>
      </w:r>
      <w:r w:rsidR="00811E71">
        <w:rPr>
          <w:rStyle w:val="ui-provider"/>
          <w:rFonts w:cstheme="minorHAnsi"/>
        </w:rPr>
        <w:t>'</w:t>
      </w:r>
      <w:r w:rsidRPr="00743312">
        <w:rPr>
          <w:rStyle w:val="ui-provider"/>
          <w:rFonts w:cstheme="minorHAnsi"/>
        </w:rPr>
        <w:t>Translating Data from an Electronic Prescribing and Medicines Administration System into Knowledge: Application to Doctor-Nurse Time Discrepancy in Antibiotic Ordering and Administration</w:t>
      </w:r>
      <w:r w:rsidR="00811E71">
        <w:rPr>
          <w:rStyle w:val="ui-provider"/>
          <w:rFonts w:cstheme="minorHAnsi"/>
        </w:rPr>
        <w:t>'</w:t>
      </w:r>
      <w:r w:rsidRPr="00743312">
        <w:rPr>
          <w:rStyle w:val="ui-provider"/>
          <w:rFonts w:cstheme="minorHAnsi"/>
        </w:rPr>
        <w:t xml:space="preserve">, </w:t>
      </w:r>
      <w:r w:rsidRPr="00743312">
        <w:rPr>
          <w:rStyle w:val="ui-provider"/>
          <w:rFonts w:cstheme="minorHAnsi"/>
          <w:i/>
          <w:iCs/>
        </w:rPr>
        <w:t>Medical Care</w:t>
      </w:r>
      <w:r w:rsidRPr="00743312">
        <w:rPr>
          <w:rStyle w:val="ui-provider"/>
          <w:rFonts w:cstheme="minorHAnsi"/>
        </w:rPr>
        <w:t>, 58(1), pp. 83–89.</w:t>
      </w:r>
      <w:r w:rsidR="00811E71">
        <w:rPr>
          <w:rStyle w:val="ui-provider"/>
          <w:rFonts w:cstheme="minorHAnsi"/>
        </w:rPr>
        <w:t xml:space="preserve"> </w:t>
      </w:r>
      <w:r w:rsidRPr="00743312">
        <w:rPr>
          <w:rStyle w:val="ui-provider"/>
          <w:rFonts w:cstheme="minorHAnsi"/>
        </w:rPr>
        <w:t xml:space="preserve">Available at: </w:t>
      </w:r>
      <w:hyperlink r:id="rId36" w:tgtFrame="_blank" w:tooltip="https://doi.org/10.1097/mlr.0000000000001222." w:history="1">
        <w:r w:rsidRPr="00743312">
          <w:rPr>
            <w:rStyle w:val="Hyperlink"/>
            <w:rFonts w:cstheme="minorHAnsi"/>
          </w:rPr>
          <w:t>https://doi.org/10.1097/MLR.0000000000001222.</w:t>
        </w:r>
      </w:hyperlink>
    </w:p>
    <w:p w14:paraId="5C84632A" w14:textId="5DDD1C52" w:rsidR="00743312" w:rsidRPr="00743312" w:rsidRDefault="00743312" w:rsidP="00642330">
      <w:pPr>
        <w:rPr>
          <w:rStyle w:val="ui-provider"/>
          <w:rFonts w:cstheme="minorHAnsi"/>
        </w:rPr>
      </w:pPr>
    </w:p>
    <w:p w14:paraId="06945C5F" w14:textId="1A96399E" w:rsidR="00743312" w:rsidRPr="00743312" w:rsidRDefault="00743312" w:rsidP="00642330">
      <w:pPr>
        <w:rPr>
          <w:rStyle w:val="ui-provider"/>
          <w:rFonts w:cstheme="minorHAnsi"/>
        </w:rPr>
      </w:pPr>
      <w:r w:rsidRPr="00743312">
        <w:rPr>
          <w:rStyle w:val="ui-provider"/>
          <w:rFonts w:cstheme="minorHAnsi"/>
        </w:rPr>
        <w:t>Welsh Government (2018a) A Healthier Wales: our plan for health and social care, available at: </w:t>
      </w:r>
      <w:hyperlink r:id="rId37" w:tgtFrame="_blank" w:tooltip="https://gov.wales/sites/default/files/publications/2019-10/a-healthier-wales-action-plan.pdf" w:history="1">
        <w:r w:rsidRPr="00743312">
          <w:rPr>
            <w:rStyle w:val="Hyperlink"/>
            <w:rFonts w:cstheme="minorHAnsi"/>
          </w:rPr>
          <w:t>A Healthier Wales (gov.wales)</w:t>
        </w:r>
      </w:hyperlink>
      <w:r w:rsidRPr="00743312">
        <w:rPr>
          <w:rStyle w:val="ui-provider"/>
          <w:rFonts w:cstheme="minorHAnsi"/>
        </w:rPr>
        <w:t>, (Accessed 15/11/2022)</w:t>
      </w:r>
    </w:p>
    <w:p w14:paraId="13B6B5D5" w14:textId="636A665F" w:rsidR="00743312" w:rsidRPr="00743312" w:rsidRDefault="00743312" w:rsidP="00642330">
      <w:pPr>
        <w:rPr>
          <w:rStyle w:val="ui-provider"/>
          <w:rFonts w:cstheme="minorHAnsi"/>
        </w:rPr>
      </w:pPr>
    </w:p>
    <w:p w14:paraId="03E63AFC" w14:textId="340AF6A0" w:rsidR="00743312" w:rsidRPr="00743312" w:rsidRDefault="00743312" w:rsidP="00642330">
      <w:pPr>
        <w:rPr>
          <w:rStyle w:val="ui-provider"/>
          <w:rFonts w:cstheme="minorHAnsi"/>
        </w:rPr>
      </w:pPr>
      <w:r w:rsidRPr="00743312">
        <w:rPr>
          <w:rStyle w:val="ui-provider"/>
          <w:rFonts w:cstheme="minorHAnsi"/>
        </w:rPr>
        <w:t xml:space="preserve">Welsh Government (2018b) </w:t>
      </w:r>
      <w:r w:rsidRPr="00743312">
        <w:rPr>
          <w:rStyle w:val="ui-provider"/>
          <w:rFonts w:cstheme="minorHAnsi"/>
          <w:i/>
          <w:iCs/>
        </w:rPr>
        <w:t>NHS Wales Planning Framework 2019/22</w:t>
      </w:r>
      <w:r w:rsidRPr="00743312">
        <w:rPr>
          <w:rStyle w:val="ui-provider"/>
          <w:rFonts w:cstheme="minorHAnsi"/>
        </w:rPr>
        <w:t>, Available at </w:t>
      </w:r>
      <w:hyperlink r:id="rId38" w:tgtFrame="_blank" w:tooltip="https://gov.wales/sites/default/files/publications/2019-06/nhs-wales-planning-framework-2019-2022.pdf" w:history="1">
        <w:r w:rsidRPr="00743312">
          <w:rPr>
            <w:rStyle w:val="Hyperlink"/>
            <w:rFonts w:cstheme="minorHAnsi"/>
          </w:rPr>
          <w:t>nhs-wales-planning-framework-2019-2022.pdf (gov.wales)</w:t>
        </w:r>
      </w:hyperlink>
      <w:r w:rsidRPr="00743312">
        <w:rPr>
          <w:rStyle w:val="ui-provider"/>
          <w:rFonts w:cstheme="minorHAnsi"/>
        </w:rPr>
        <w:t>, (Accessed 16/11/2022)</w:t>
      </w:r>
    </w:p>
    <w:p w14:paraId="23A41F62" w14:textId="6A54C279" w:rsidR="00743312" w:rsidRPr="00743312" w:rsidRDefault="00743312" w:rsidP="00642330">
      <w:pPr>
        <w:rPr>
          <w:rStyle w:val="ui-provider"/>
          <w:rFonts w:cstheme="minorHAnsi"/>
        </w:rPr>
      </w:pPr>
    </w:p>
    <w:p w14:paraId="50B58DEC" w14:textId="1F3F29C5" w:rsidR="00743312" w:rsidRPr="00743312" w:rsidRDefault="00743312" w:rsidP="00642330">
      <w:pPr>
        <w:rPr>
          <w:rStyle w:val="ui-provider"/>
          <w:rFonts w:cstheme="minorHAnsi"/>
        </w:rPr>
      </w:pPr>
      <w:r w:rsidRPr="00743312">
        <w:rPr>
          <w:rStyle w:val="ui-provider"/>
          <w:rFonts w:cstheme="minorHAnsi"/>
        </w:rPr>
        <w:lastRenderedPageBreak/>
        <w:t xml:space="preserve">Westbrook, J.I. </w:t>
      </w:r>
      <w:r w:rsidRPr="00743312">
        <w:rPr>
          <w:rStyle w:val="ui-provider"/>
          <w:rFonts w:cstheme="minorHAnsi"/>
          <w:i/>
          <w:iCs/>
        </w:rPr>
        <w:t>et al.</w:t>
      </w:r>
      <w:r w:rsidRPr="00743312">
        <w:rPr>
          <w:rStyle w:val="ui-provider"/>
          <w:rFonts w:cstheme="minorHAnsi"/>
        </w:rPr>
        <w:t xml:space="preserve"> (2013) </w:t>
      </w:r>
      <w:r w:rsidR="00811E71">
        <w:rPr>
          <w:rStyle w:val="ui-provider"/>
          <w:rFonts w:cstheme="minorHAnsi"/>
        </w:rPr>
        <w:t>'</w:t>
      </w:r>
      <w:r w:rsidRPr="00743312">
        <w:rPr>
          <w:rStyle w:val="ui-provider"/>
          <w:rFonts w:cstheme="minorHAnsi"/>
        </w:rPr>
        <w:t xml:space="preserve">Impact of an electronic medication management system on hospital </w:t>
      </w:r>
      <w:r w:rsidR="00811E71">
        <w:rPr>
          <w:rStyle w:val="ui-provider"/>
          <w:rFonts w:cstheme="minorHAnsi"/>
        </w:rPr>
        <w:t>doctors'</w:t>
      </w:r>
      <w:r w:rsidRPr="00743312">
        <w:rPr>
          <w:rStyle w:val="ui-provider"/>
          <w:rFonts w:cstheme="minorHAnsi"/>
        </w:rPr>
        <w:t xml:space="preserve"> and </w:t>
      </w:r>
      <w:r w:rsidR="00811E71">
        <w:rPr>
          <w:rStyle w:val="ui-provider"/>
          <w:rFonts w:cstheme="minorHAnsi"/>
        </w:rPr>
        <w:t>nurses'</w:t>
      </w:r>
      <w:r w:rsidRPr="00743312">
        <w:rPr>
          <w:rStyle w:val="ui-provider"/>
          <w:rFonts w:cstheme="minorHAnsi"/>
        </w:rPr>
        <w:t xml:space="preserve"> work: A controlled pre-post, </w:t>
      </w:r>
      <w:proofErr w:type="gramStart"/>
      <w:r w:rsidRPr="00743312">
        <w:rPr>
          <w:rStyle w:val="ui-provider"/>
          <w:rFonts w:cstheme="minorHAnsi"/>
        </w:rPr>
        <w:t>time</w:t>
      </w:r>
      <w:proofErr w:type="gramEnd"/>
      <w:r w:rsidRPr="00743312">
        <w:rPr>
          <w:rStyle w:val="ui-provider"/>
          <w:rFonts w:cstheme="minorHAnsi"/>
        </w:rPr>
        <w:t xml:space="preserve"> and motion study</w:t>
      </w:r>
      <w:r w:rsidR="00811E71">
        <w:rPr>
          <w:rStyle w:val="ui-provider"/>
          <w:rFonts w:cstheme="minorHAnsi"/>
        </w:rPr>
        <w:t>'</w:t>
      </w:r>
      <w:r w:rsidRPr="00743312">
        <w:rPr>
          <w:rStyle w:val="ui-provider"/>
          <w:rFonts w:cstheme="minorHAnsi"/>
        </w:rPr>
        <w:t xml:space="preserve">, </w:t>
      </w:r>
      <w:r w:rsidRPr="00743312">
        <w:rPr>
          <w:rStyle w:val="ui-provider"/>
          <w:rFonts w:cstheme="minorHAnsi"/>
          <w:i/>
          <w:iCs/>
        </w:rPr>
        <w:t>Journal of the American Medical Informatics Association</w:t>
      </w:r>
      <w:r w:rsidRPr="00743312">
        <w:rPr>
          <w:rStyle w:val="ui-provider"/>
          <w:rFonts w:cstheme="minorHAnsi"/>
        </w:rPr>
        <w:t>, 20(6), pp. 1150–1158.</w:t>
      </w:r>
      <w:r w:rsidR="00811E71">
        <w:rPr>
          <w:rStyle w:val="ui-provider"/>
          <w:rFonts w:cstheme="minorHAnsi"/>
        </w:rPr>
        <w:t xml:space="preserve"> </w:t>
      </w:r>
      <w:r w:rsidRPr="00743312">
        <w:rPr>
          <w:rStyle w:val="ui-provider"/>
          <w:rFonts w:cstheme="minorHAnsi"/>
        </w:rPr>
        <w:t>Available at: </w:t>
      </w:r>
      <w:hyperlink r:id="rId39" w:tgtFrame="_blank" w:tooltip="https://doi.org/10.1136/amiajnl-2012-001414" w:history="1">
        <w:r w:rsidRPr="00743312">
          <w:rPr>
            <w:rStyle w:val="Hyperlink"/>
            <w:rFonts w:cstheme="minorHAnsi"/>
          </w:rPr>
          <w:t>https://doi.org/10.1136/amiajnl-2012-001414</w:t>
        </w:r>
      </w:hyperlink>
      <w:r w:rsidRPr="00743312">
        <w:rPr>
          <w:rStyle w:val="ui-provider"/>
          <w:rFonts w:cstheme="minorHAnsi"/>
        </w:rPr>
        <w:t>.</w:t>
      </w:r>
    </w:p>
    <w:p w14:paraId="39F37876" w14:textId="5377B8F0" w:rsidR="00E56F1E" w:rsidRPr="009F6D18" w:rsidRDefault="00E56F1E" w:rsidP="00743312">
      <w:pPr>
        <w:pStyle w:val="NormalWeb"/>
        <w:rPr>
          <w:rFonts w:asciiTheme="minorHAnsi" w:hAnsiTheme="minorHAnsi" w:cstheme="minorHAnsi"/>
        </w:rPr>
      </w:pPr>
      <w:r w:rsidRPr="009F6D18">
        <w:rPr>
          <w:rStyle w:val="ui-provider"/>
          <w:rFonts w:asciiTheme="minorHAnsi" w:hAnsiTheme="minorHAnsi" w:cstheme="minorHAnsi"/>
        </w:rPr>
        <w:t>Wilson</w:t>
      </w:r>
      <w:r w:rsidR="009F6D18" w:rsidRPr="009F6D18">
        <w:rPr>
          <w:rStyle w:val="ui-provider"/>
          <w:rFonts w:asciiTheme="minorHAnsi" w:hAnsiTheme="minorHAnsi" w:cstheme="minorHAnsi"/>
        </w:rPr>
        <w:t xml:space="preserve">, </w:t>
      </w:r>
      <w:r w:rsidRPr="009F6D18">
        <w:rPr>
          <w:rStyle w:val="ui-provider"/>
          <w:rFonts w:asciiTheme="minorHAnsi" w:hAnsiTheme="minorHAnsi" w:cstheme="minorHAnsi"/>
        </w:rPr>
        <w:t>K</w:t>
      </w:r>
      <w:r w:rsidR="009F6D18" w:rsidRPr="009F6D18">
        <w:rPr>
          <w:rStyle w:val="ui-provider"/>
          <w:rFonts w:asciiTheme="minorHAnsi" w:hAnsiTheme="minorHAnsi" w:cstheme="minorHAnsi"/>
        </w:rPr>
        <w:t>.</w:t>
      </w:r>
      <w:r w:rsidRPr="009F6D18">
        <w:rPr>
          <w:rStyle w:val="ui-provider"/>
          <w:rFonts w:asciiTheme="minorHAnsi" w:hAnsiTheme="minorHAnsi" w:cstheme="minorHAnsi"/>
        </w:rPr>
        <w:t>M</w:t>
      </w:r>
      <w:r w:rsidR="009F6D18" w:rsidRPr="009F6D18">
        <w:rPr>
          <w:rStyle w:val="ui-provider"/>
          <w:rFonts w:asciiTheme="minorHAnsi" w:hAnsiTheme="minorHAnsi" w:cstheme="minorHAnsi"/>
        </w:rPr>
        <w:t>.,</w:t>
      </w:r>
      <w:r w:rsidRPr="009F6D18">
        <w:rPr>
          <w:rStyle w:val="ui-provider"/>
          <w:rFonts w:asciiTheme="minorHAnsi" w:hAnsiTheme="minorHAnsi" w:cstheme="minorHAnsi"/>
        </w:rPr>
        <w:t xml:space="preserve"> Brady</w:t>
      </w:r>
      <w:r w:rsidR="009F6D18" w:rsidRPr="009F6D18">
        <w:rPr>
          <w:rStyle w:val="ui-provider"/>
          <w:rFonts w:asciiTheme="minorHAnsi" w:hAnsiTheme="minorHAnsi" w:cstheme="minorHAnsi"/>
        </w:rPr>
        <w:t>,</w:t>
      </w:r>
      <w:r w:rsidRPr="009F6D18">
        <w:rPr>
          <w:rStyle w:val="ui-provider"/>
          <w:rFonts w:asciiTheme="minorHAnsi" w:hAnsiTheme="minorHAnsi" w:cstheme="minorHAnsi"/>
        </w:rPr>
        <w:t xml:space="preserve"> T</w:t>
      </w:r>
      <w:r w:rsidR="009F6D18" w:rsidRPr="009F6D18">
        <w:rPr>
          <w:rStyle w:val="ui-provider"/>
          <w:rFonts w:asciiTheme="minorHAnsi" w:hAnsiTheme="minorHAnsi" w:cstheme="minorHAnsi"/>
        </w:rPr>
        <w:t>.</w:t>
      </w:r>
      <w:r w:rsidRPr="009F6D18">
        <w:rPr>
          <w:rStyle w:val="ui-provider"/>
          <w:rFonts w:asciiTheme="minorHAnsi" w:hAnsiTheme="minorHAnsi" w:cstheme="minorHAnsi"/>
        </w:rPr>
        <w:t>J</w:t>
      </w:r>
      <w:r w:rsidR="009F6D18" w:rsidRPr="009F6D18">
        <w:rPr>
          <w:rStyle w:val="ui-provider"/>
          <w:rFonts w:asciiTheme="minorHAnsi" w:hAnsiTheme="minorHAnsi" w:cstheme="minorHAnsi"/>
        </w:rPr>
        <w:t xml:space="preserve"> and</w:t>
      </w:r>
      <w:r w:rsidRPr="009F6D18">
        <w:rPr>
          <w:rStyle w:val="ui-provider"/>
          <w:rFonts w:asciiTheme="minorHAnsi" w:hAnsiTheme="minorHAnsi" w:cstheme="minorHAnsi"/>
        </w:rPr>
        <w:t xml:space="preserve"> Lesesne</w:t>
      </w:r>
      <w:r w:rsidR="009F6D18">
        <w:rPr>
          <w:rStyle w:val="ui-provider"/>
          <w:rFonts w:asciiTheme="minorHAnsi" w:hAnsiTheme="minorHAnsi" w:cstheme="minorHAnsi"/>
        </w:rPr>
        <w:t>,</w:t>
      </w:r>
      <w:r w:rsidRPr="009F6D18">
        <w:rPr>
          <w:rStyle w:val="ui-provider"/>
          <w:rFonts w:asciiTheme="minorHAnsi" w:hAnsiTheme="minorHAnsi" w:cstheme="minorHAnsi"/>
        </w:rPr>
        <w:t xml:space="preserve"> C</w:t>
      </w:r>
      <w:r w:rsidR="009F6D18">
        <w:rPr>
          <w:rStyle w:val="ui-provider"/>
          <w:rFonts w:asciiTheme="minorHAnsi" w:hAnsiTheme="minorHAnsi" w:cstheme="minorHAnsi"/>
        </w:rPr>
        <w:t>. (2011) ‘</w:t>
      </w:r>
      <w:r w:rsidRPr="009F6D18">
        <w:rPr>
          <w:rStyle w:val="ui-provider"/>
          <w:rFonts w:asciiTheme="minorHAnsi" w:hAnsiTheme="minorHAnsi" w:cstheme="minorHAnsi"/>
        </w:rPr>
        <w:t>An organizing framework for translation in public health: the knowledge to action framework</w:t>
      </w:r>
      <w:r w:rsidR="009F6D18">
        <w:rPr>
          <w:rStyle w:val="ui-provider"/>
          <w:rFonts w:asciiTheme="minorHAnsi" w:hAnsiTheme="minorHAnsi" w:cstheme="minorHAnsi"/>
        </w:rPr>
        <w:t>’,</w:t>
      </w:r>
      <w:r w:rsidRPr="009F6D18">
        <w:rPr>
          <w:rStyle w:val="ui-provider"/>
          <w:rFonts w:asciiTheme="minorHAnsi" w:hAnsiTheme="minorHAnsi" w:cstheme="minorHAnsi"/>
        </w:rPr>
        <w:t xml:space="preserve"> Prev Chronic Dis. 2011;</w:t>
      </w:r>
      <w:proofErr w:type="gramStart"/>
      <w:r w:rsidRPr="009F6D18">
        <w:rPr>
          <w:rStyle w:val="ui-provider"/>
          <w:rFonts w:asciiTheme="minorHAnsi" w:hAnsiTheme="minorHAnsi" w:cstheme="minorHAnsi"/>
        </w:rPr>
        <w:t>8:A</w:t>
      </w:r>
      <w:proofErr w:type="gramEnd"/>
      <w:r w:rsidRPr="009F6D18">
        <w:rPr>
          <w:rStyle w:val="ui-provider"/>
          <w:rFonts w:asciiTheme="minorHAnsi" w:hAnsiTheme="minorHAnsi" w:cstheme="minorHAnsi"/>
        </w:rPr>
        <w:t>46</w:t>
      </w:r>
    </w:p>
    <w:p w14:paraId="25F129C2" w14:textId="4C612A39" w:rsidR="00743312" w:rsidRPr="00743312" w:rsidRDefault="00743312" w:rsidP="00743312">
      <w:pPr>
        <w:pStyle w:val="NormalWeb"/>
        <w:rPr>
          <w:rFonts w:asciiTheme="minorHAnsi" w:hAnsiTheme="minorHAnsi" w:cstheme="minorHAnsi"/>
        </w:rPr>
      </w:pPr>
      <w:r w:rsidRPr="00743312">
        <w:rPr>
          <w:rFonts w:asciiTheme="minorHAnsi" w:hAnsiTheme="minorHAnsi" w:cstheme="minorHAnsi"/>
        </w:rPr>
        <w:t>Xie, M.</w:t>
      </w:r>
      <w:r w:rsidRPr="00743312">
        <w:rPr>
          <w:rFonts w:asciiTheme="minorHAnsi" w:hAnsiTheme="minorHAnsi" w:cstheme="minorHAnsi"/>
          <w:i/>
          <w:iCs/>
        </w:rPr>
        <w:t>et al. </w:t>
      </w:r>
      <w:r w:rsidRPr="00743312">
        <w:rPr>
          <w:rFonts w:asciiTheme="minorHAnsi" w:hAnsiTheme="minorHAnsi" w:cstheme="minorHAnsi"/>
        </w:rPr>
        <w:t xml:space="preserve">(2014) </w:t>
      </w:r>
      <w:r w:rsidR="00811E71">
        <w:rPr>
          <w:rFonts w:asciiTheme="minorHAnsi" w:hAnsiTheme="minorHAnsi" w:cstheme="minorHAnsi"/>
        </w:rPr>
        <w:t>'</w:t>
      </w:r>
      <w:r w:rsidRPr="00743312">
        <w:rPr>
          <w:rFonts w:asciiTheme="minorHAnsi" w:hAnsiTheme="minorHAnsi" w:cstheme="minorHAnsi"/>
        </w:rPr>
        <w:t>Presenting multiple drug alerts in an ambulatory electronic prescribing system</w:t>
      </w:r>
      <w:r w:rsidR="00811E71">
        <w:rPr>
          <w:rFonts w:asciiTheme="minorHAnsi" w:hAnsiTheme="minorHAnsi" w:cstheme="minorHAnsi"/>
        </w:rPr>
        <w:t>'</w:t>
      </w:r>
      <w:r w:rsidRPr="00743312">
        <w:rPr>
          <w:rFonts w:asciiTheme="minorHAnsi" w:hAnsiTheme="minorHAnsi" w:cstheme="minorHAnsi"/>
        </w:rPr>
        <w:t>, Applied Clinical Informatics, 5, pp334-348.</w:t>
      </w:r>
    </w:p>
    <w:p w14:paraId="29F1F5CD" w14:textId="3E8A7AF9" w:rsidR="00743312" w:rsidRDefault="00743312" w:rsidP="00642330">
      <w:pPr>
        <w:rPr>
          <w:rStyle w:val="ui-provider"/>
        </w:rPr>
      </w:pPr>
    </w:p>
    <w:p w14:paraId="619C6777" w14:textId="483A253C" w:rsidR="00315986" w:rsidRDefault="00315986" w:rsidP="00642330">
      <w:pPr>
        <w:rPr>
          <w:rStyle w:val="ui-provider"/>
        </w:rPr>
      </w:pPr>
    </w:p>
    <w:p w14:paraId="79B342F0" w14:textId="4F23EF30" w:rsidR="00315986" w:rsidRDefault="00315986" w:rsidP="00642330">
      <w:pPr>
        <w:rPr>
          <w:rStyle w:val="ui-provider"/>
        </w:rPr>
      </w:pPr>
    </w:p>
    <w:p w14:paraId="309BF462" w14:textId="645576CD" w:rsidR="00315986" w:rsidRDefault="00315986" w:rsidP="00642330">
      <w:pPr>
        <w:rPr>
          <w:rStyle w:val="ui-provider"/>
        </w:rPr>
      </w:pPr>
    </w:p>
    <w:p w14:paraId="3DBB8584" w14:textId="71E1968B" w:rsidR="00315986" w:rsidRDefault="00315986" w:rsidP="00642330">
      <w:pPr>
        <w:rPr>
          <w:rStyle w:val="ui-provider"/>
        </w:rPr>
      </w:pPr>
    </w:p>
    <w:p w14:paraId="76594582" w14:textId="25E2D72C" w:rsidR="00315986" w:rsidRDefault="00315986" w:rsidP="00642330">
      <w:pPr>
        <w:rPr>
          <w:rStyle w:val="ui-provider"/>
        </w:rPr>
      </w:pPr>
    </w:p>
    <w:p w14:paraId="0A6580FD" w14:textId="4CFD53C2" w:rsidR="00315986" w:rsidRDefault="00315986" w:rsidP="00642330">
      <w:pPr>
        <w:rPr>
          <w:rStyle w:val="ui-provider"/>
        </w:rPr>
      </w:pPr>
    </w:p>
    <w:p w14:paraId="2D831F88" w14:textId="722DF53B" w:rsidR="00315986" w:rsidRDefault="00315986" w:rsidP="00642330">
      <w:pPr>
        <w:rPr>
          <w:rStyle w:val="ui-provider"/>
        </w:rPr>
      </w:pPr>
    </w:p>
    <w:p w14:paraId="6825CBF9" w14:textId="51AEB04C" w:rsidR="00315986" w:rsidRDefault="00315986" w:rsidP="00642330">
      <w:pPr>
        <w:rPr>
          <w:rStyle w:val="ui-provider"/>
        </w:rPr>
      </w:pPr>
    </w:p>
    <w:p w14:paraId="35AE33D1" w14:textId="6835983B" w:rsidR="00315986" w:rsidRDefault="00315986" w:rsidP="00642330">
      <w:pPr>
        <w:rPr>
          <w:rStyle w:val="ui-provider"/>
        </w:rPr>
      </w:pPr>
    </w:p>
    <w:p w14:paraId="6B1DF0B0" w14:textId="1F395DFD" w:rsidR="00315986" w:rsidRDefault="00315986" w:rsidP="00642330">
      <w:pPr>
        <w:rPr>
          <w:rStyle w:val="ui-provider"/>
        </w:rPr>
      </w:pPr>
    </w:p>
    <w:p w14:paraId="76D77E23" w14:textId="0D7AC3AF" w:rsidR="00315986" w:rsidRDefault="00315986" w:rsidP="00642330">
      <w:pPr>
        <w:rPr>
          <w:rStyle w:val="ui-provider"/>
        </w:rPr>
      </w:pPr>
    </w:p>
    <w:p w14:paraId="39B1D463" w14:textId="59838421" w:rsidR="00315986" w:rsidRDefault="00315986" w:rsidP="00642330">
      <w:pPr>
        <w:rPr>
          <w:rStyle w:val="ui-provider"/>
        </w:rPr>
      </w:pPr>
    </w:p>
    <w:p w14:paraId="2570DEA0" w14:textId="7E7F5E13" w:rsidR="00315986" w:rsidRDefault="00315986" w:rsidP="00642330">
      <w:pPr>
        <w:rPr>
          <w:rStyle w:val="ui-provider"/>
        </w:rPr>
      </w:pPr>
    </w:p>
    <w:p w14:paraId="7748FB6E" w14:textId="741CA8D7" w:rsidR="00315986" w:rsidRDefault="00315986" w:rsidP="00642330">
      <w:pPr>
        <w:rPr>
          <w:rStyle w:val="ui-provider"/>
        </w:rPr>
      </w:pPr>
    </w:p>
    <w:p w14:paraId="0A8641F6" w14:textId="58FC837E" w:rsidR="00315986" w:rsidRDefault="00315986" w:rsidP="00642330">
      <w:pPr>
        <w:rPr>
          <w:rStyle w:val="ui-provider"/>
        </w:rPr>
      </w:pPr>
    </w:p>
    <w:p w14:paraId="6A4D6A83" w14:textId="61B97159" w:rsidR="00315986" w:rsidRDefault="00315986" w:rsidP="00642330">
      <w:pPr>
        <w:rPr>
          <w:rStyle w:val="ui-provider"/>
        </w:rPr>
      </w:pPr>
    </w:p>
    <w:p w14:paraId="223E4A96" w14:textId="1F9E4CC4" w:rsidR="00315986" w:rsidRDefault="00315986" w:rsidP="00642330">
      <w:pPr>
        <w:rPr>
          <w:rStyle w:val="ui-provider"/>
        </w:rPr>
      </w:pPr>
    </w:p>
    <w:p w14:paraId="16F3B19B" w14:textId="4B71CCE8" w:rsidR="00315986" w:rsidRDefault="00315986" w:rsidP="00642330">
      <w:pPr>
        <w:rPr>
          <w:rStyle w:val="ui-provider"/>
        </w:rPr>
      </w:pPr>
    </w:p>
    <w:p w14:paraId="67CEBC24" w14:textId="13388BAF" w:rsidR="00315986" w:rsidRDefault="00315986" w:rsidP="00642330">
      <w:pPr>
        <w:rPr>
          <w:rStyle w:val="ui-provider"/>
        </w:rPr>
      </w:pPr>
    </w:p>
    <w:p w14:paraId="7B537D78" w14:textId="54C2A6CD" w:rsidR="00315986" w:rsidRDefault="00315986" w:rsidP="00642330">
      <w:pPr>
        <w:rPr>
          <w:rStyle w:val="ui-provider"/>
        </w:rPr>
      </w:pPr>
    </w:p>
    <w:p w14:paraId="4A85F870" w14:textId="29F5FE75" w:rsidR="00315986" w:rsidRDefault="00315986" w:rsidP="00642330">
      <w:pPr>
        <w:rPr>
          <w:rStyle w:val="ui-provider"/>
        </w:rPr>
      </w:pPr>
    </w:p>
    <w:p w14:paraId="5D2F84D3" w14:textId="28DBC536" w:rsidR="00315986" w:rsidRDefault="00315986" w:rsidP="00642330">
      <w:pPr>
        <w:rPr>
          <w:rStyle w:val="ui-provider"/>
        </w:rPr>
      </w:pPr>
    </w:p>
    <w:p w14:paraId="122978A5" w14:textId="714A2552" w:rsidR="00315986" w:rsidRDefault="00315986" w:rsidP="00642330">
      <w:pPr>
        <w:rPr>
          <w:rStyle w:val="ui-provider"/>
        </w:rPr>
      </w:pPr>
    </w:p>
    <w:p w14:paraId="4486ADF4" w14:textId="32FEB551" w:rsidR="00315986" w:rsidRDefault="00315986" w:rsidP="00642330">
      <w:pPr>
        <w:rPr>
          <w:rStyle w:val="ui-provider"/>
        </w:rPr>
      </w:pPr>
    </w:p>
    <w:p w14:paraId="707EAE01" w14:textId="46E64470" w:rsidR="009F6D18" w:rsidRDefault="009F6D18" w:rsidP="00642330">
      <w:pPr>
        <w:rPr>
          <w:rStyle w:val="ui-provider"/>
        </w:rPr>
      </w:pPr>
    </w:p>
    <w:p w14:paraId="0ADC6212" w14:textId="43AAF6CC" w:rsidR="009F6D18" w:rsidRDefault="009F6D18" w:rsidP="00642330">
      <w:pPr>
        <w:rPr>
          <w:rStyle w:val="ui-provider"/>
        </w:rPr>
      </w:pPr>
    </w:p>
    <w:p w14:paraId="10CADB09" w14:textId="5141A376" w:rsidR="009F6D18" w:rsidRDefault="009F6D18" w:rsidP="00642330">
      <w:pPr>
        <w:rPr>
          <w:rStyle w:val="ui-provider"/>
        </w:rPr>
      </w:pPr>
    </w:p>
    <w:p w14:paraId="5E28D2BD" w14:textId="5F297393" w:rsidR="009F6D18" w:rsidRDefault="009F6D18" w:rsidP="00642330">
      <w:pPr>
        <w:rPr>
          <w:rStyle w:val="ui-provider"/>
        </w:rPr>
      </w:pPr>
    </w:p>
    <w:p w14:paraId="5443C337" w14:textId="46A4F5A3" w:rsidR="009F6D18" w:rsidRDefault="009F6D18" w:rsidP="00642330">
      <w:pPr>
        <w:rPr>
          <w:rStyle w:val="ui-provider"/>
        </w:rPr>
      </w:pPr>
    </w:p>
    <w:p w14:paraId="41705431" w14:textId="0D5ABDCF" w:rsidR="009F6D18" w:rsidRDefault="009F6D18" w:rsidP="00642330">
      <w:pPr>
        <w:rPr>
          <w:rStyle w:val="ui-provider"/>
        </w:rPr>
      </w:pPr>
    </w:p>
    <w:p w14:paraId="6D307827" w14:textId="777E54B8" w:rsidR="009F6D18" w:rsidRDefault="009F6D18" w:rsidP="00642330">
      <w:pPr>
        <w:rPr>
          <w:rStyle w:val="ui-provider"/>
        </w:rPr>
      </w:pPr>
    </w:p>
    <w:p w14:paraId="44850E0E" w14:textId="77777777" w:rsidR="009F6D18" w:rsidRDefault="009F6D18" w:rsidP="00642330">
      <w:pPr>
        <w:rPr>
          <w:rStyle w:val="ui-provider"/>
        </w:rPr>
      </w:pPr>
    </w:p>
    <w:p w14:paraId="7849180F" w14:textId="3021FDA6" w:rsidR="00315986" w:rsidRDefault="00315986" w:rsidP="00642330">
      <w:pPr>
        <w:rPr>
          <w:rStyle w:val="ui-provider"/>
        </w:rPr>
      </w:pPr>
    </w:p>
    <w:p w14:paraId="230C942A" w14:textId="4332A734" w:rsidR="00315986" w:rsidRDefault="00315986" w:rsidP="00642330">
      <w:pPr>
        <w:rPr>
          <w:rStyle w:val="ui-provider"/>
        </w:rPr>
      </w:pPr>
    </w:p>
    <w:p w14:paraId="09454F6F" w14:textId="18C1A172" w:rsidR="00315986" w:rsidRDefault="00315986" w:rsidP="00642330">
      <w:pPr>
        <w:rPr>
          <w:rStyle w:val="ui-provider"/>
        </w:rPr>
      </w:pPr>
    </w:p>
    <w:p w14:paraId="3A7F3250" w14:textId="31F53A09" w:rsidR="008E29B6" w:rsidRDefault="00A87633" w:rsidP="00A87633">
      <w:pPr>
        <w:pStyle w:val="Heading1"/>
        <w:rPr>
          <w:rStyle w:val="ui-provider"/>
        </w:rPr>
      </w:pPr>
      <w:bookmarkStart w:id="33" w:name="_Toc128739217"/>
      <w:r>
        <w:rPr>
          <w:rStyle w:val="ui-provider"/>
        </w:rPr>
        <w:lastRenderedPageBreak/>
        <w:t>Appendices</w:t>
      </w:r>
      <w:bookmarkEnd w:id="33"/>
    </w:p>
    <w:p w14:paraId="27C027BD" w14:textId="11C1478B" w:rsidR="00C66A03" w:rsidRDefault="00C66A03" w:rsidP="00C66A03"/>
    <w:p w14:paraId="3EE256B8" w14:textId="25CF37E4" w:rsidR="00C66A03" w:rsidRDefault="00C66A03" w:rsidP="00C66A03">
      <w:pPr>
        <w:pStyle w:val="Heading3"/>
      </w:pPr>
      <w:bookmarkStart w:id="34" w:name="_Toc128739218"/>
      <w:r>
        <w:t>Appendix 1: Inpatient Medication Administration Record</w:t>
      </w:r>
      <w:bookmarkEnd w:id="34"/>
      <w:r>
        <w:t xml:space="preserve"> </w:t>
      </w:r>
    </w:p>
    <w:p w14:paraId="199FE020" w14:textId="2565EB3E" w:rsidR="00C66A03" w:rsidRDefault="00C66A03" w:rsidP="00C66A03"/>
    <w:p w14:paraId="51FE652A" w14:textId="016E647D" w:rsidR="00C66A03" w:rsidRDefault="00C66A03" w:rsidP="00C66A03">
      <w:pPr>
        <w:jc w:val="center"/>
      </w:pPr>
      <w:r>
        <w:rPr>
          <w:noProof/>
        </w:rPr>
        <w:drawing>
          <wp:inline distT="0" distB="0" distL="0" distR="0" wp14:anchorId="591B5581" wp14:editId="4CAD5EF2">
            <wp:extent cx="5175250" cy="7124157"/>
            <wp:effectExtent l="0" t="0" r="635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178687" cy="7128888"/>
                    </a:xfrm>
                    <a:prstGeom prst="rect">
                      <a:avLst/>
                    </a:prstGeom>
                    <a:noFill/>
                    <a:ln>
                      <a:noFill/>
                    </a:ln>
                  </pic:spPr>
                </pic:pic>
              </a:graphicData>
            </a:graphic>
          </wp:inline>
        </w:drawing>
      </w:r>
    </w:p>
    <w:p w14:paraId="582FA7F4" w14:textId="77777777" w:rsidR="00C66A03" w:rsidRPr="00C66A03" w:rsidRDefault="00C66A03" w:rsidP="00C66A03"/>
    <w:p w14:paraId="520339C5" w14:textId="322043C1" w:rsidR="005F175E" w:rsidRDefault="005F175E" w:rsidP="005F175E"/>
    <w:p w14:paraId="1AD414CA" w14:textId="552E3C68" w:rsidR="00C66A03" w:rsidRDefault="00C66A03" w:rsidP="005F175E"/>
    <w:p w14:paraId="69D0565E" w14:textId="474B763E" w:rsidR="00C66A03" w:rsidRDefault="00C66A03" w:rsidP="005F175E"/>
    <w:p w14:paraId="35040AFB" w14:textId="40AEFF9F" w:rsidR="00C66A03" w:rsidRDefault="00C66A03" w:rsidP="00C66A03">
      <w:pPr>
        <w:jc w:val="center"/>
      </w:pPr>
      <w:r>
        <w:rPr>
          <w:noProof/>
        </w:rPr>
        <w:lastRenderedPageBreak/>
        <w:drawing>
          <wp:inline distT="0" distB="0" distL="0" distR="0" wp14:anchorId="67CF85AF" wp14:editId="0DDFEBFB">
            <wp:extent cx="5475767" cy="7664316"/>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85928" cy="7678538"/>
                    </a:xfrm>
                    <a:prstGeom prst="rect">
                      <a:avLst/>
                    </a:prstGeom>
                    <a:noFill/>
                    <a:ln>
                      <a:noFill/>
                    </a:ln>
                  </pic:spPr>
                </pic:pic>
              </a:graphicData>
            </a:graphic>
          </wp:inline>
        </w:drawing>
      </w:r>
    </w:p>
    <w:p w14:paraId="14914657" w14:textId="24442756" w:rsidR="00C66A03" w:rsidRDefault="00C66A03" w:rsidP="005F175E"/>
    <w:p w14:paraId="65A5DCC4" w14:textId="4306DD65" w:rsidR="00C66A03" w:rsidRDefault="00C66A03" w:rsidP="005F175E"/>
    <w:p w14:paraId="7968321F" w14:textId="046E929D" w:rsidR="00C66A03" w:rsidRDefault="00C66A03" w:rsidP="005F175E"/>
    <w:p w14:paraId="20FB500D" w14:textId="607D2962" w:rsidR="00C66A03" w:rsidRDefault="00C66A03" w:rsidP="005F175E"/>
    <w:p w14:paraId="3CA98179" w14:textId="7C9F3F4E" w:rsidR="00C66A03" w:rsidRDefault="00C66A03" w:rsidP="005F175E"/>
    <w:p w14:paraId="044C9FAE" w14:textId="521C3590" w:rsidR="00C66A03" w:rsidRDefault="00C66A03" w:rsidP="00C66A03">
      <w:pPr>
        <w:jc w:val="center"/>
      </w:pPr>
      <w:r>
        <w:rPr>
          <w:noProof/>
        </w:rPr>
        <w:lastRenderedPageBreak/>
        <w:drawing>
          <wp:inline distT="0" distB="0" distL="0" distR="0" wp14:anchorId="0261EBFD" wp14:editId="1B1FA9FE">
            <wp:extent cx="5433237" cy="7478283"/>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441817" cy="7490093"/>
                    </a:xfrm>
                    <a:prstGeom prst="rect">
                      <a:avLst/>
                    </a:prstGeom>
                    <a:noFill/>
                    <a:ln>
                      <a:noFill/>
                    </a:ln>
                  </pic:spPr>
                </pic:pic>
              </a:graphicData>
            </a:graphic>
          </wp:inline>
        </w:drawing>
      </w:r>
    </w:p>
    <w:p w14:paraId="1F3FA8EF" w14:textId="6840A792" w:rsidR="00C66A03" w:rsidRDefault="00C66A03" w:rsidP="005F175E"/>
    <w:p w14:paraId="13698893" w14:textId="0A4C0EE1" w:rsidR="00C66A03" w:rsidRDefault="00C66A03" w:rsidP="005F175E"/>
    <w:p w14:paraId="22E3863C" w14:textId="32DFB743" w:rsidR="00C66A03" w:rsidRDefault="00C66A03" w:rsidP="005F175E"/>
    <w:p w14:paraId="4B864B53" w14:textId="7B1401C3" w:rsidR="00C66A03" w:rsidRDefault="00C66A03" w:rsidP="005F175E"/>
    <w:p w14:paraId="49949478" w14:textId="21A80157" w:rsidR="00C66A03" w:rsidRDefault="00C66A03" w:rsidP="005F175E"/>
    <w:p w14:paraId="45483069" w14:textId="7BD6DACF" w:rsidR="00C66A03" w:rsidRDefault="00C66A03" w:rsidP="00C66A03">
      <w:pPr>
        <w:jc w:val="center"/>
      </w:pPr>
      <w:r>
        <w:rPr>
          <w:noProof/>
        </w:rPr>
        <w:lastRenderedPageBreak/>
        <w:drawing>
          <wp:inline distT="0" distB="0" distL="0" distR="0" wp14:anchorId="24453535" wp14:editId="773277A3">
            <wp:extent cx="5135526" cy="7083765"/>
            <wp:effectExtent l="0" t="0" r="8255" b="31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146098" cy="7098347"/>
                    </a:xfrm>
                    <a:prstGeom prst="rect">
                      <a:avLst/>
                    </a:prstGeom>
                    <a:noFill/>
                    <a:ln>
                      <a:noFill/>
                    </a:ln>
                  </pic:spPr>
                </pic:pic>
              </a:graphicData>
            </a:graphic>
          </wp:inline>
        </w:drawing>
      </w:r>
    </w:p>
    <w:p w14:paraId="7C952963" w14:textId="66249502" w:rsidR="00C66A03" w:rsidRDefault="00C66A03" w:rsidP="005F175E"/>
    <w:p w14:paraId="2475640A" w14:textId="468BA634" w:rsidR="00C66A03" w:rsidRDefault="00C66A03" w:rsidP="005F175E"/>
    <w:p w14:paraId="7673F92C" w14:textId="5A2AF67B" w:rsidR="00C66A03" w:rsidRDefault="00C66A03" w:rsidP="005F175E"/>
    <w:p w14:paraId="3D3EC34C" w14:textId="2BD702B1" w:rsidR="00C66A03" w:rsidRDefault="00C66A03" w:rsidP="005F175E"/>
    <w:p w14:paraId="728F1019" w14:textId="77777777" w:rsidR="00C66A03" w:rsidRDefault="00C66A03" w:rsidP="005F175E"/>
    <w:p w14:paraId="1C4DBE45" w14:textId="77777777" w:rsidR="00C66A03" w:rsidRDefault="00C66A03" w:rsidP="005F175E"/>
    <w:p w14:paraId="0AFC0364" w14:textId="56F4333B" w:rsidR="00326BE2" w:rsidRPr="00326BE2" w:rsidRDefault="00326BE2" w:rsidP="00326BE2"/>
    <w:sectPr w:rsidR="00326BE2" w:rsidRPr="00326BE2" w:rsidSect="00F61703">
      <w:footerReference w:type="even"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29D746" w14:textId="77777777" w:rsidR="00B06B75" w:rsidRDefault="00B06B75" w:rsidP="00442A8C">
      <w:r>
        <w:separator/>
      </w:r>
    </w:p>
  </w:endnote>
  <w:endnote w:type="continuationSeparator" w:id="0">
    <w:p w14:paraId="5F40EE02" w14:textId="77777777" w:rsidR="00B06B75" w:rsidRDefault="00B06B75" w:rsidP="00442A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4005032"/>
      <w:docPartObj>
        <w:docPartGallery w:val="Page Numbers (Bottom of Page)"/>
        <w:docPartUnique/>
      </w:docPartObj>
    </w:sdtPr>
    <w:sdtContent>
      <w:p w14:paraId="7877352E" w14:textId="0862CF1A" w:rsidR="00442A8C" w:rsidRDefault="00442A8C" w:rsidP="00E04D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BDDA93" w14:textId="77777777" w:rsidR="00442A8C" w:rsidRDefault="00442A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684327"/>
      <w:docPartObj>
        <w:docPartGallery w:val="Page Numbers (Bottom of Page)"/>
        <w:docPartUnique/>
      </w:docPartObj>
    </w:sdtPr>
    <w:sdtContent>
      <w:p w14:paraId="22C82491" w14:textId="43F820E0" w:rsidR="00442A8C" w:rsidRDefault="00442A8C" w:rsidP="00E04D8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A526A3" w14:textId="77777777" w:rsidR="00442A8C" w:rsidRDefault="00442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C3103" w14:textId="77777777" w:rsidR="00B06B75" w:rsidRDefault="00B06B75" w:rsidP="00442A8C">
      <w:r>
        <w:separator/>
      </w:r>
    </w:p>
  </w:footnote>
  <w:footnote w:type="continuationSeparator" w:id="0">
    <w:p w14:paraId="42F9C7F8" w14:textId="77777777" w:rsidR="00B06B75" w:rsidRDefault="00B06B75" w:rsidP="00442A8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BF4"/>
    <w:rsid w:val="00000018"/>
    <w:rsid w:val="000170DF"/>
    <w:rsid w:val="00017AF9"/>
    <w:rsid w:val="0002379C"/>
    <w:rsid w:val="000379A5"/>
    <w:rsid w:val="0004239D"/>
    <w:rsid w:val="00044A6E"/>
    <w:rsid w:val="00045F07"/>
    <w:rsid w:val="00047EDD"/>
    <w:rsid w:val="0005072D"/>
    <w:rsid w:val="00053606"/>
    <w:rsid w:val="00057C21"/>
    <w:rsid w:val="0007110D"/>
    <w:rsid w:val="000715CA"/>
    <w:rsid w:val="000739AF"/>
    <w:rsid w:val="000741B0"/>
    <w:rsid w:val="00076D8A"/>
    <w:rsid w:val="00082164"/>
    <w:rsid w:val="00093281"/>
    <w:rsid w:val="000A324E"/>
    <w:rsid w:val="000B1B7B"/>
    <w:rsid w:val="000C7DBD"/>
    <w:rsid w:val="000D104B"/>
    <w:rsid w:val="000D1DB3"/>
    <w:rsid w:val="000D551D"/>
    <w:rsid w:val="000E5B1D"/>
    <w:rsid w:val="000F1D38"/>
    <w:rsid w:val="00102FF2"/>
    <w:rsid w:val="00104BDC"/>
    <w:rsid w:val="00110E34"/>
    <w:rsid w:val="00111F16"/>
    <w:rsid w:val="00111FA2"/>
    <w:rsid w:val="00116E96"/>
    <w:rsid w:val="00120949"/>
    <w:rsid w:val="00121899"/>
    <w:rsid w:val="00121E3C"/>
    <w:rsid w:val="0012593D"/>
    <w:rsid w:val="001314DC"/>
    <w:rsid w:val="00133F45"/>
    <w:rsid w:val="001436CC"/>
    <w:rsid w:val="00143CBE"/>
    <w:rsid w:val="00150778"/>
    <w:rsid w:val="00153048"/>
    <w:rsid w:val="00153607"/>
    <w:rsid w:val="00154852"/>
    <w:rsid w:val="00171055"/>
    <w:rsid w:val="00175A3E"/>
    <w:rsid w:val="001810AB"/>
    <w:rsid w:val="00193EAF"/>
    <w:rsid w:val="00194B4C"/>
    <w:rsid w:val="001A16F7"/>
    <w:rsid w:val="001B0F0F"/>
    <w:rsid w:val="001B2942"/>
    <w:rsid w:val="001B36DF"/>
    <w:rsid w:val="001C0781"/>
    <w:rsid w:val="001E0E6E"/>
    <w:rsid w:val="001E1052"/>
    <w:rsid w:val="001E5BD2"/>
    <w:rsid w:val="001F3496"/>
    <w:rsid w:val="001F7B33"/>
    <w:rsid w:val="0020521B"/>
    <w:rsid w:val="002078F2"/>
    <w:rsid w:val="00217C62"/>
    <w:rsid w:val="00230FD8"/>
    <w:rsid w:val="0023140C"/>
    <w:rsid w:val="00232095"/>
    <w:rsid w:val="00234368"/>
    <w:rsid w:val="00235787"/>
    <w:rsid w:val="002450DA"/>
    <w:rsid w:val="00245BD0"/>
    <w:rsid w:val="00250F1F"/>
    <w:rsid w:val="0025409D"/>
    <w:rsid w:val="00260553"/>
    <w:rsid w:val="00271F2D"/>
    <w:rsid w:val="00276BEF"/>
    <w:rsid w:val="00284589"/>
    <w:rsid w:val="00292C3E"/>
    <w:rsid w:val="002939CF"/>
    <w:rsid w:val="0029451C"/>
    <w:rsid w:val="00296337"/>
    <w:rsid w:val="002A629C"/>
    <w:rsid w:val="002A6F42"/>
    <w:rsid w:val="002B4DE5"/>
    <w:rsid w:val="002B6F5D"/>
    <w:rsid w:val="002C5C39"/>
    <w:rsid w:val="002D6FC9"/>
    <w:rsid w:val="002D79D3"/>
    <w:rsid w:val="002E020A"/>
    <w:rsid w:val="002E0490"/>
    <w:rsid w:val="002E6D20"/>
    <w:rsid w:val="002F2B60"/>
    <w:rsid w:val="002F434C"/>
    <w:rsid w:val="002F779C"/>
    <w:rsid w:val="0030113C"/>
    <w:rsid w:val="00301589"/>
    <w:rsid w:val="00305071"/>
    <w:rsid w:val="00305517"/>
    <w:rsid w:val="003059E1"/>
    <w:rsid w:val="00315986"/>
    <w:rsid w:val="00316356"/>
    <w:rsid w:val="003216B6"/>
    <w:rsid w:val="00322E48"/>
    <w:rsid w:val="0032341B"/>
    <w:rsid w:val="00323D09"/>
    <w:rsid w:val="00326BE2"/>
    <w:rsid w:val="00333111"/>
    <w:rsid w:val="003457B7"/>
    <w:rsid w:val="003514B0"/>
    <w:rsid w:val="003525E5"/>
    <w:rsid w:val="00367EE8"/>
    <w:rsid w:val="0037453A"/>
    <w:rsid w:val="00382237"/>
    <w:rsid w:val="003959F0"/>
    <w:rsid w:val="003B1547"/>
    <w:rsid w:val="003B1A37"/>
    <w:rsid w:val="003B5814"/>
    <w:rsid w:val="003C39E9"/>
    <w:rsid w:val="003C5377"/>
    <w:rsid w:val="003C54B0"/>
    <w:rsid w:val="003C5561"/>
    <w:rsid w:val="003C66E5"/>
    <w:rsid w:val="003D1873"/>
    <w:rsid w:val="003E547A"/>
    <w:rsid w:val="003E6719"/>
    <w:rsid w:val="003E7BDA"/>
    <w:rsid w:val="003F7EB5"/>
    <w:rsid w:val="00405CA5"/>
    <w:rsid w:val="0041153F"/>
    <w:rsid w:val="0041482A"/>
    <w:rsid w:val="004267E9"/>
    <w:rsid w:val="0043069C"/>
    <w:rsid w:val="00433F06"/>
    <w:rsid w:val="00441CFA"/>
    <w:rsid w:val="00442A8C"/>
    <w:rsid w:val="00450525"/>
    <w:rsid w:val="00450AE7"/>
    <w:rsid w:val="00453202"/>
    <w:rsid w:val="00457275"/>
    <w:rsid w:val="0045799E"/>
    <w:rsid w:val="0046769C"/>
    <w:rsid w:val="00480163"/>
    <w:rsid w:val="00485AC2"/>
    <w:rsid w:val="00490304"/>
    <w:rsid w:val="004912F3"/>
    <w:rsid w:val="00493525"/>
    <w:rsid w:val="004B160B"/>
    <w:rsid w:val="004B5F74"/>
    <w:rsid w:val="004C013C"/>
    <w:rsid w:val="004C0E17"/>
    <w:rsid w:val="004C1C87"/>
    <w:rsid w:val="004C4728"/>
    <w:rsid w:val="004C646D"/>
    <w:rsid w:val="004D2BA1"/>
    <w:rsid w:val="004D33EF"/>
    <w:rsid w:val="004E0C98"/>
    <w:rsid w:val="004E6E7C"/>
    <w:rsid w:val="004E7B77"/>
    <w:rsid w:val="00512FFB"/>
    <w:rsid w:val="0051668B"/>
    <w:rsid w:val="00517CE7"/>
    <w:rsid w:val="00523D52"/>
    <w:rsid w:val="005329A6"/>
    <w:rsid w:val="00532C42"/>
    <w:rsid w:val="005339EE"/>
    <w:rsid w:val="00545580"/>
    <w:rsid w:val="00546663"/>
    <w:rsid w:val="00556F43"/>
    <w:rsid w:val="005577D0"/>
    <w:rsid w:val="00561054"/>
    <w:rsid w:val="0056125F"/>
    <w:rsid w:val="00561829"/>
    <w:rsid w:val="00562B5B"/>
    <w:rsid w:val="0056414C"/>
    <w:rsid w:val="005669ED"/>
    <w:rsid w:val="00583FC1"/>
    <w:rsid w:val="005877A4"/>
    <w:rsid w:val="00587DBD"/>
    <w:rsid w:val="0059188C"/>
    <w:rsid w:val="005A20A6"/>
    <w:rsid w:val="005A3242"/>
    <w:rsid w:val="005A511B"/>
    <w:rsid w:val="005A59DA"/>
    <w:rsid w:val="005B1BE9"/>
    <w:rsid w:val="005B5F10"/>
    <w:rsid w:val="005B77F9"/>
    <w:rsid w:val="005D332E"/>
    <w:rsid w:val="005D62EA"/>
    <w:rsid w:val="005D6B22"/>
    <w:rsid w:val="005E10B5"/>
    <w:rsid w:val="005E3462"/>
    <w:rsid w:val="005F175E"/>
    <w:rsid w:val="005F5DD1"/>
    <w:rsid w:val="005F67E2"/>
    <w:rsid w:val="005F71AB"/>
    <w:rsid w:val="00605CC8"/>
    <w:rsid w:val="0061070D"/>
    <w:rsid w:val="006123B2"/>
    <w:rsid w:val="00616568"/>
    <w:rsid w:val="00623C07"/>
    <w:rsid w:val="00627F8D"/>
    <w:rsid w:val="00632873"/>
    <w:rsid w:val="00633E25"/>
    <w:rsid w:val="006408E0"/>
    <w:rsid w:val="00642330"/>
    <w:rsid w:val="00645025"/>
    <w:rsid w:val="00645228"/>
    <w:rsid w:val="0064561B"/>
    <w:rsid w:val="00647AFD"/>
    <w:rsid w:val="00652415"/>
    <w:rsid w:val="00664079"/>
    <w:rsid w:val="00665883"/>
    <w:rsid w:val="00671CC0"/>
    <w:rsid w:val="00676CA5"/>
    <w:rsid w:val="006818E8"/>
    <w:rsid w:val="00681FED"/>
    <w:rsid w:val="006848EC"/>
    <w:rsid w:val="00685338"/>
    <w:rsid w:val="00690390"/>
    <w:rsid w:val="006906EA"/>
    <w:rsid w:val="006908DE"/>
    <w:rsid w:val="00696A46"/>
    <w:rsid w:val="006B0EF5"/>
    <w:rsid w:val="006C372C"/>
    <w:rsid w:val="006D1909"/>
    <w:rsid w:val="006D79DF"/>
    <w:rsid w:val="006E0153"/>
    <w:rsid w:val="006E75C1"/>
    <w:rsid w:val="007027FB"/>
    <w:rsid w:val="00702850"/>
    <w:rsid w:val="00706140"/>
    <w:rsid w:val="00724A89"/>
    <w:rsid w:val="00724BEB"/>
    <w:rsid w:val="00727FBB"/>
    <w:rsid w:val="00733F8B"/>
    <w:rsid w:val="007346A9"/>
    <w:rsid w:val="00740D05"/>
    <w:rsid w:val="00741B63"/>
    <w:rsid w:val="00743312"/>
    <w:rsid w:val="007472E4"/>
    <w:rsid w:val="00747448"/>
    <w:rsid w:val="007479FA"/>
    <w:rsid w:val="0075224B"/>
    <w:rsid w:val="00755587"/>
    <w:rsid w:val="00755646"/>
    <w:rsid w:val="00757691"/>
    <w:rsid w:val="00761408"/>
    <w:rsid w:val="00766377"/>
    <w:rsid w:val="00771850"/>
    <w:rsid w:val="00773A37"/>
    <w:rsid w:val="007749FB"/>
    <w:rsid w:val="00777CFD"/>
    <w:rsid w:val="0079119A"/>
    <w:rsid w:val="007911E1"/>
    <w:rsid w:val="007A1F3D"/>
    <w:rsid w:val="007A5F15"/>
    <w:rsid w:val="007B04CA"/>
    <w:rsid w:val="007B492D"/>
    <w:rsid w:val="007C0A4B"/>
    <w:rsid w:val="007C0C09"/>
    <w:rsid w:val="007C58B8"/>
    <w:rsid w:val="007E250A"/>
    <w:rsid w:val="007E42C0"/>
    <w:rsid w:val="007E4AAB"/>
    <w:rsid w:val="007F1DCC"/>
    <w:rsid w:val="007F5CE3"/>
    <w:rsid w:val="00800756"/>
    <w:rsid w:val="00802630"/>
    <w:rsid w:val="008032CF"/>
    <w:rsid w:val="0080566F"/>
    <w:rsid w:val="008067CF"/>
    <w:rsid w:val="00811E71"/>
    <w:rsid w:val="00827D22"/>
    <w:rsid w:val="00841EF6"/>
    <w:rsid w:val="00845021"/>
    <w:rsid w:val="00846FC3"/>
    <w:rsid w:val="00866923"/>
    <w:rsid w:val="00882B8D"/>
    <w:rsid w:val="008843DF"/>
    <w:rsid w:val="00890101"/>
    <w:rsid w:val="00895B6E"/>
    <w:rsid w:val="008A32BD"/>
    <w:rsid w:val="008B16AA"/>
    <w:rsid w:val="008C41B2"/>
    <w:rsid w:val="008D6432"/>
    <w:rsid w:val="008D6623"/>
    <w:rsid w:val="008E23CA"/>
    <w:rsid w:val="008E27EA"/>
    <w:rsid w:val="008E29B6"/>
    <w:rsid w:val="008E50C6"/>
    <w:rsid w:val="008E5B33"/>
    <w:rsid w:val="008E7606"/>
    <w:rsid w:val="008E79C1"/>
    <w:rsid w:val="008F3804"/>
    <w:rsid w:val="008F4C5F"/>
    <w:rsid w:val="00901D4A"/>
    <w:rsid w:val="009044CB"/>
    <w:rsid w:val="00913DB2"/>
    <w:rsid w:val="00923CEA"/>
    <w:rsid w:val="009431E5"/>
    <w:rsid w:val="00947A89"/>
    <w:rsid w:val="00955836"/>
    <w:rsid w:val="009659F2"/>
    <w:rsid w:val="0096707A"/>
    <w:rsid w:val="009674A0"/>
    <w:rsid w:val="009720B8"/>
    <w:rsid w:val="00974563"/>
    <w:rsid w:val="00977597"/>
    <w:rsid w:val="00980AFC"/>
    <w:rsid w:val="00983EB8"/>
    <w:rsid w:val="0098464A"/>
    <w:rsid w:val="00985CA5"/>
    <w:rsid w:val="0099153F"/>
    <w:rsid w:val="009A26B5"/>
    <w:rsid w:val="009A30F8"/>
    <w:rsid w:val="009A6F5F"/>
    <w:rsid w:val="009A7A65"/>
    <w:rsid w:val="009C0C08"/>
    <w:rsid w:val="009C3418"/>
    <w:rsid w:val="009D2F06"/>
    <w:rsid w:val="009D7351"/>
    <w:rsid w:val="009E415C"/>
    <w:rsid w:val="009E6095"/>
    <w:rsid w:val="009F2233"/>
    <w:rsid w:val="009F6D18"/>
    <w:rsid w:val="00A039DE"/>
    <w:rsid w:val="00A171DE"/>
    <w:rsid w:val="00A23921"/>
    <w:rsid w:val="00A27D0F"/>
    <w:rsid w:val="00A30615"/>
    <w:rsid w:val="00A343DD"/>
    <w:rsid w:val="00A3606A"/>
    <w:rsid w:val="00A447E3"/>
    <w:rsid w:val="00A56B88"/>
    <w:rsid w:val="00A60896"/>
    <w:rsid w:val="00A66D75"/>
    <w:rsid w:val="00A714D5"/>
    <w:rsid w:val="00A729B3"/>
    <w:rsid w:val="00A762B3"/>
    <w:rsid w:val="00A81217"/>
    <w:rsid w:val="00A83436"/>
    <w:rsid w:val="00A83F6C"/>
    <w:rsid w:val="00A87633"/>
    <w:rsid w:val="00A963C5"/>
    <w:rsid w:val="00AA1C2C"/>
    <w:rsid w:val="00AA29FE"/>
    <w:rsid w:val="00AA380F"/>
    <w:rsid w:val="00AB23E3"/>
    <w:rsid w:val="00AC4C2F"/>
    <w:rsid w:val="00AC75B0"/>
    <w:rsid w:val="00AD1E3D"/>
    <w:rsid w:val="00AD4137"/>
    <w:rsid w:val="00AD6B26"/>
    <w:rsid w:val="00AE10F9"/>
    <w:rsid w:val="00AE4F4F"/>
    <w:rsid w:val="00AE647A"/>
    <w:rsid w:val="00AF2201"/>
    <w:rsid w:val="00B066F3"/>
    <w:rsid w:val="00B06783"/>
    <w:rsid w:val="00B06B75"/>
    <w:rsid w:val="00B10C0A"/>
    <w:rsid w:val="00B12B25"/>
    <w:rsid w:val="00B13C38"/>
    <w:rsid w:val="00B14544"/>
    <w:rsid w:val="00B175C2"/>
    <w:rsid w:val="00B17F65"/>
    <w:rsid w:val="00B20605"/>
    <w:rsid w:val="00B22446"/>
    <w:rsid w:val="00B33229"/>
    <w:rsid w:val="00B33992"/>
    <w:rsid w:val="00B343E9"/>
    <w:rsid w:val="00B35F24"/>
    <w:rsid w:val="00B4221D"/>
    <w:rsid w:val="00B42C77"/>
    <w:rsid w:val="00B4509B"/>
    <w:rsid w:val="00B54510"/>
    <w:rsid w:val="00B56E37"/>
    <w:rsid w:val="00B60498"/>
    <w:rsid w:val="00B60F1D"/>
    <w:rsid w:val="00B6155C"/>
    <w:rsid w:val="00B63B24"/>
    <w:rsid w:val="00B649FF"/>
    <w:rsid w:val="00B741F3"/>
    <w:rsid w:val="00B75664"/>
    <w:rsid w:val="00B836D4"/>
    <w:rsid w:val="00BB7BC7"/>
    <w:rsid w:val="00BC06AF"/>
    <w:rsid w:val="00BD0417"/>
    <w:rsid w:val="00BD1BE3"/>
    <w:rsid w:val="00BD1F53"/>
    <w:rsid w:val="00BE092F"/>
    <w:rsid w:val="00BE269D"/>
    <w:rsid w:val="00BE4B1C"/>
    <w:rsid w:val="00BE516F"/>
    <w:rsid w:val="00BE75BC"/>
    <w:rsid w:val="00BF0374"/>
    <w:rsid w:val="00BF284A"/>
    <w:rsid w:val="00BF3392"/>
    <w:rsid w:val="00BF4917"/>
    <w:rsid w:val="00C00608"/>
    <w:rsid w:val="00C0258B"/>
    <w:rsid w:val="00C04339"/>
    <w:rsid w:val="00C11B64"/>
    <w:rsid w:val="00C24D00"/>
    <w:rsid w:val="00C25BF7"/>
    <w:rsid w:val="00C267DC"/>
    <w:rsid w:val="00C32328"/>
    <w:rsid w:val="00C359AE"/>
    <w:rsid w:val="00C375E9"/>
    <w:rsid w:val="00C41F33"/>
    <w:rsid w:val="00C43304"/>
    <w:rsid w:val="00C43431"/>
    <w:rsid w:val="00C4766D"/>
    <w:rsid w:val="00C501EC"/>
    <w:rsid w:val="00C52A07"/>
    <w:rsid w:val="00C52EAF"/>
    <w:rsid w:val="00C551D5"/>
    <w:rsid w:val="00C60FD5"/>
    <w:rsid w:val="00C62529"/>
    <w:rsid w:val="00C64AB7"/>
    <w:rsid w:val="00C65C4D"/>
    <w:rsid w:val="00C66A03"/>
    <w:rsid w:val="00C71F34"/>
    <w:rsid w:val="00C82F5F"/>
    <w:rsid w:val="00C92511"/>
    <w:rsid w:val="00C94EBF"/>
    <w:rsid w:val="00C950C4"/>
    <w:rsid w:val="00C9790C"/>
    <w:rsid w:val="00CA1A49"/>
    <w:rsid w:val="00CA1EB8"/>
    <w:rsid w:val="00CA5ADF"/>
    <w:rsid w:val="00CB4C3B"/>
    <w:rsid w:val="00CC5AF2"/>
    <w:rsid w:val="00CD2C42"/>
    <w:rsid w:val="00CD3BF4"/>
    <w:rsid w:val="00CE0EDD"/>
    <w:rsid w:val="00CE2113"/>
    <w:rsid w:val="00CE59EE"/>
    <w:rsid w:val="00CF037F"/>
    <w:rsid w:val="00CF27CC"/>
    <w:rsid w:val="00CF5DEF"/>
    <w:rsid w:val="00D007EE"/>
    <w:rsid w:val="00D026ED"/>
    <w:rsid w:val="00D275F1"/>
    <w:rsid w:val="00D27C1A"/>
    <w:rsid w:val="00D3045F"/>
    <w:rsid w:val="00D3091C"/>
    <w:rsid w:val="00D540B3"/>
    <w:rsid w:val="00D5643B"/>
    <w:rsid w:val="00D6007A"/>
    <w:rsid w:val="00D60AF2"/>
    <w:rsid w:val="00D647BF"/>
    <w:rsid w:val="00D729DC"/>
    <w:rsid w:val="00D72AEB"/>
    <w:rsid w:val="00D758F9"/>
    <w:rsid w:val="00D81349"/>
    <w:rsid w:val="00D83E46"/>
    <w:rsid w:val="00D859E6"/>
    <w:rsid w:val="00D93E6B"/>
    <w:rsid w:val="00D97E7E"/>
    <w:rsid w:val="00DA007E"/>
    <w:rsid w:val="00DB0010"/>
    <w:rsid w:val="00DB172E"/>
    <w:rsid w:val="00DB3880"/>
    <w:rsid w:val="00DB3DAA"/>
    <w:rsid w:val="00DB7CD1"/>
    <w:rsid w:val="00DC563F"/>
    <w:rsid w:val="00DD114D"/>
    <w:rsid w:val="00DD1A0F"/>
    <w:rsid w:val="00DD1D46"/>
    <w:rsid w:val="00DD408F"/>
    <w:rsid w:val="00DD7551"/>
    <w:rsid w:val="00DE24E8"/>
    <w:rsid w:val="00DE6D39"/>
    <w:rsid w:val="00E05F2F"/>
    <w:rsid w:val="00E169B9"/>
    <w:rsid w:val="00E215BB"/>
    <w:rsid w:val="00E358E7"/>
    <w:rsid w:val="00E3597C"/>
    <w:rsid w:val="00E42AFA"/>
    <w:rsid w:val="00E46641"/>
    <w:rsid w:val="00E51C69"/>
    <w:rsid w:val="00E52948"/>
    <w:rsid w:val="00E545B8"/>
    <w:rsid w:val="00E56F1E"/>
    <w:rsid w:val="00E61F91"/>
    <w:rsid w:val="00E73FE9"/>
    <w:rsid w:val="00E76A00"/>
    <w:rsid w:val="00E801D8"/>
    <w:rsid w:val="00EA4E28"/>
    <w:rsid w:val="00EA526B"/>
    <w:rsid w:val="00EA5663"/>
    <w:rsid w:val="00EA6103"/>
    <w:rsid w:val="00EB0E47"/>
    <w:rsid w:val="00EB2340"/>
    <w:rsid w:val="00EB2A76"/>
    <w:rsid w:val="00EB5212"/>
    <w:rsid w:val="00EB6343"/>
    <w:rsid w:val="00EC270E"/>
    <w:rsid w:val="00EC3D52"/>
    <w:rsid w:val="00ED5B01"/>
    <w:rsid w:val="00ED7C90"/>
    <w:rsid w:val="00EE29D0"/>
    <w:rsid w:val="00EF1639"/>
    <w:rsid w:val="00EF1CD2"/>
    <w:rsid w:val="00EF207F"/>
    <w:rsid w:val="00EF2DBB"/>
    <w:rsid w:val="00EF5CBA"/>
    <w:rsid w:val="00EF7122"/>
    <w:rsid w:val="00F0016A"/>
    <w:rsid w:val="00F16315"/>
    <w:rsid w:val="00F17252"/>
    <w:rsid w:val="00F2504F"/>
    <w:rsid w:val="00F267FE"/>
    <w:rsid w:val="00F27CFB"/>
    <w:rsid w:val="00F31F19"/>
    <w:rsid w:val="00F36F22"/>
    <w:rsid w:val="00F36F62"/>
    <w:rsid w:val="00F40C10"/>
    <w:rsid w:val="00F411D6"/>
    <w:rsid w:val="00F418CC"/>
    <w:rsid w:val="00F41967"/>
    <w:rsid w:val="00F421A8"/>
    <w:rsid w:val="00F44A03"/>
    <w:rsid w:val="00F469EB"/>
    <w:rsid w:val="00F52AC9"/>
    <w:rsid w:val="00F55A54"/>
    <w:rsid w:val="00F61703"/>
    <w:rsid w:val="00F62821"/>
    <w:rsid w:val="00F754A5"/>
    <w:rsid w:val="00F77BF2"/>
    <w:rsid w:val="00F81397"/>
    <w:rsid w:val="00F838E1"/>
    <w:rsid w:val="00F93B6E"/>
    <w:rsid w:val="00FA21E1"/>
    <w:rsid w:val="00FA3FE5"/>
    <w:rsid w:val="00FA51AC"/>
    <w:rsid w:val="00FA5E6B"/>
    <w:rsid w:val="00FA7F06"/>
    <w:rsid w:val="00FB0640"/>
    <w:rsid w:val="00FC1399"/>
    <w:rsid w:val="00FC5053"/>
    <w:rsid w:val="00FC67B2"/>
    <w:rsid w:val="00FD4194"/>
    <w:rsid w:val="00FD49DD"/>
    <w:rsid w:val="00FE4E5B"/>
    <w:rsid w:val="00FF0250"/>
    <w:rsid w:val="00FF1550"/>
    <w:rsid w:val="00FF7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F324B2"/>
  <w15:chartTrackingRefBased/>
  <w15:docId w15:val="{C8AA29A7-437B-6C44-AE17-134CBA84F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11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59A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45F0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447E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33E25"/>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D3BF4"/>
    <w:rPr>
      <w:color w:val="0563C1" w:themeColor="hyperlink"/>
      <w:u w:val="single"/>
    </w:rPr>
  </w:style>
  <w:style w:type="character" w:styleId="UnresolvedMention">
    <w:name w:val="Unresolved Mention"/>
    <w:basedOn w:val="DefaultParagraphFont"/>
    <w:uiPriority w:val="99"/>
    <w:semiHidden/>
    <w:unhideWhenUsed/>
    <w:rsid w:val="00CD3BF4"/>
    <w:rPr>
      <w:color w:val="605E5C"/>
      <w:shd w:val="clear" w:color="auto" w:fill="E1DFDD"/>
    </w:rPr>
  </w:style>
  <w:style w:type="character" w:customStyle="1" w:styleId="Heading1Char">
    <w:name w:val="Heading 1 Char"/>
    <w:basedOn w:val="DefaultParagraphFont"/>
    <w:link w:val="Heading1"/>
    <w:uiPriority w:val="9"/>
    <w:rsid w:val="00CE211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359AE"/>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F2504F"/>
    <w:rPr>
      <w:color w:val="954F72" w:themeColor="followedHyperlink"/>
      <w:u w:val="single"/>
    </w:rPr>
  </w:style>
  <w:style w:type="paragraph" w:styleId="NoSpacing">
    <w:name w:val="No Spacing"/>
    <w:link w:val="NoSpacingChar"/>
    <w:uiPriority w:val="1"/>
    <w:qFormat/>
    <w:rsid w:val="00F61703"/>
    <w:rPr>
      <w:rFonts w:eastAsiaTheme="minorEastAsia"/>
      <w:sz w:val="22"/>
      <w:szCs w:val="22"/>
      <w:lang w:val="en-US" w:eastAsia="zh-CN"/>
    </w:rPr>
  </w:style>
  <w:style w:type="character" w:customStyle="1" w:styleId="NoSpacingChar">
    <w:name w:val="No Spacing Char"/>
    <w:basedOn w:val="DefaultParagraphFont"/>
    <w:link w:val="NoSpacing"/>
    <w:uiPriority w:val="1"/>
    <w:rsid w:val="00F61703"/>
    <w:rPr>
      <w:rFonts w:eastAsiaTheme="minorEastAsia"/>
      <w:sz w:val="22"/>
      <w:szCs w:val="22"/>
      <w:lang w:val="en-US" w:eastAsia="zh-CN"/>
    </w:rPr>
  </w:style>
  <w:style w:type="paragraph" w:styleId="TOCHeading">
    <w:name w:val="TOC Heading"/>
    <w:basedOn w:val="Heading1"/>
    <w:next w:val="Normal"/>
    <w:uiPriority w:val="39"/>
    <w:unhideWhenUsed/>
    <w:qFormat/>
    <w:rsid w:val="0030507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05071"/>
    <w:pPr>
      <w:spacing w:before="120"/>
    </w:pPr>
    <w:rPr>
      <w:rFonts w:cstheme="minorHAnsi"/>
      <w:b/>
      <w:bCs/>
      <w:i/>
      <w:iCs/>
    </w:rPr>
  </w:style>
  <w:style w:type="paragraph" w:styleId="TOC2">
    <w:name w:val="toc 2"/>
    <w:basedOn w:val="Normal"/>
    <w:next w:val="Normal"/>
    <w:autoRedefine/>
    <w:uiPriority w:val="39"/>
    <w:unhideWhenUsed/>
    <w:rsid w:val="00305071"/>
    <w:pPr>
      <w:spacing w:before="120"/>
      <w:ind w:left="240"/>
    </w:pPr>
    <w:rPr>
      <w:rFonts w:cstheme="minorHAnsi"/>
      <w:b/>
      <w:bCs/>
      <w:sz w:val="22"/>
      <w:szCs w:val="22"/>
    </w:rPr>
  </w:style>
  <w:style w:type="paragraph" w:styleId="TOC3">
    <w:name w:val="toc 3"/>
    <w:basedOn w:val="Normal"/>
    <w:next w:val="Normal"/>
    <w:autoRedefine/>
    <w:uiPriority w:val="39"/>
    <w:unhideWhenUsed/>
    <w:rsid w:val="00305071"/>
    <w:pPr>
      <w:ind w:left="480"/>
    </w:pPr>
    <w:rPr>
      <w:rFonts w:cstheme="minorHAnsi"/>
      <w:sz w:val="20"/>
      <w:szCs w:val="20"/>
    </w:rPr>
  </w:style>
  <w:style w:type="paragraph" w:styleId="TOC4">
    <w:name w:val="toc 4"/>
    <w:basedOn w:val="Normal"/>
    <w:next w:val="Normal"/>
    <w:autoRedefine/>
    <w:uiPriority w:val="39"/>
    <w:semiHidden/>
    <w:unhideWhenUsed/>
    <w:rsid w:val="00305071"/>
    <w:pPr>
      <w:ind w:left="720"/>
    </w:pPr>
    <w:rPr>
      <w:rFonts w:cstheme="minorHAnsi"/>
      <w:sz w:val="20"/>
      <w:szCs w:val="20"/>
    </w:rPr>
  </w:style>
  <w:style w:type="paragraph" w:styleId="TOC5">
    <w:name w:val="toc 5"/>
    <w:basedOn w:val="Normal"/>
    <w:next w:val="Normal"/>
    <w:autoRedefine/>
    <w:uiPriority w:val="39"/>
    <w:semiHidden/>
    <w:unhideWhenUsed/>
    <w:rsid w:val="00305071"/>
    <w:pPr>
      <w:ind w:left="960"/>
    </w:pPr>
    <w:rPr>
      <w:rFonts w:cstheme="minorHAnsi"/>
      <w:sz w:val="20"/>
      <w:szCs w:val="20"/>
    </w:rPr>
  </w:style>
  <w:style w:type="paragraph" w:styleId="TOC6">
    <w:name w:val="toc 6"/>
    <w:basedOn w:val="Normal"/>
    <w:next w:val="Normal"/>
    <w:autoRedefine/>
    <w:uiPriority w:val="39"/>
    <w:semiHidden/>
    <w:unhideWhenUsed/>
    <w:rsid w:val="00305071"/>
    <w:pPr>
      <w:ind w:left="1200"/>
    </w:pPr>
    <w:rPr>
      <w:rFonts w:cstheme="minorHAnsi"/>
      <w:sz w:val="20"/>
      <w:szCs w:val="20"/>
    </w:rPr>
  </w:style>
  <w:style w:type="paragraph" w:styleId="TOC7">
    <w:name w:val="toc 7"/>
    <w:basedOn w:val="Normal"/>
    <w:next w:val="Normal"/>
    <w:autoRedefine/>
    <w:uiPriority w:val="39"/>
    <w:semiHidden/>
    <w:unhideWhenUsed/>
    <w:rsid w:val="00305071"/>
    <w:pPr>
      <w:ind w:left="1440"/>
    </w:pPr>
    <w:rPr>
      <w:rFonts w:cstheme="minorHAnsi"/>
      <w:sz w:val="20"/>
      <w:szCs w:val="20"/>
    </w:rPr>
  </w:style>
  <w:style w:type="paragraph" w:styleId="TOC8">
    <w:name w:val="toc 8"/>
    <w:basedOn w:val="Normal"/>
    <w:next w:val="Normal"/>
    <w:autoRedefine/>
    <w:uiPriority w:val="39"/>
    <w:semiHidden/>
    <w:unhideWhenUsed/>
    <w:rsid w:val="00305071"/>
    <w:pPr>
      <w:ind w:left="1680"/>
    </w:pPr>
    <w:rPr>
      <w:rFonts w:cstheme="minorHAnsi"/>
      <w:sz w:val="20"/>
      <w:szCs w:val="20"/>
    </w:rPr>
  </w:style>
  <w:style w:type="paragraph" w:styleId="TOC9">
    <w:name w:val="toc 9"/>
    <w:basedOn w:val="Normal"/>
    <w:next w:val="Normal"/>
    <w:autoRedefine/>
    <w:uiPriority w:val="39"/>
    <w:semiHidden/>
    <w:unhideWhenUsed/>
    <w:rsid w:val="00305071"/>
    <w:pPr>
      <w:ind w:left="1920"/>
    </w:pPr>
    <w:rPr>
      <w:rFonts w:cstheme="minorHAnsi"/>
      <w:sz w:val="20"/>
      <w:szCs w:val="20"/>
    </w:rPr>
  </w:style>
  <w:style w:type="paragraph" w:styleId="Footer">
    <w:name w:val="footer"/>
    <w:basedOn w:val="Normal"/>
    <w:link w:val="FooterChar"/>
    <w:uiPriority w:val="99"/>
    <w:unhideWhenUsed/>
    <w:rsid w:val="00442A8C"/>
    <w:pPr>
      <w:tabs>
        <w:tab w:val="center" w:pos="4513"/>
        <w:tab w:val="right" w:pos="9026"/>
      </w:tabs>
    </w:pPr>
  </w:style>
  <w:style w:type="character" w:customStyle="1" w:styleId="FooterChar">
    <w:name w:val="Footer Char"/>
    <w:basedOn w:val="DefaultParagraphFont"/>
    <w:link w:val="Footer"/>
    <w:uiPriority w:val="99"/>
    <w:rsid w:val="00442A8C"/>
  </w:style>
  <w:style w:type="character" w:styleId="PageNumber">
    <w:name w:val="page number"/>
    <w:basedOn w:val="DefaultParagraphFont"/>
    <w:uiPriority w:val="99"/>
    <w:semiHidden/>
    <w:unhideWhenUsed/>
    <w:rsid w:val="00442A8C"/>
  </w:style>
  <w:style w:type="character" w:customStyle="1" w:styleId="ui-provider">
    <w:name w:val="ui-provider"/>
    <w:basedOn w:val="DefaultParagraphFont"/>
    <w:rsid w:val="008E29B6"/>
  </w:style>
  <w:style w:type="table" w:styleId="TableGrid">
    <w:name w:val="Table Grid"/>
    <w:basedOn w:val="TableNormal"/>
    <w:uiPriority w:val="39"/>
    <w:rsid w:val="003514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3514B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3Char">
    <w:name w:val="Heading 3 Char"/>
    <w:basedOn w:val="DefaultParagraphFont"/>
    <w:link w:val="Heading3"/>
    <w:uiPriority w:val="9"/>
    <w:rsid w:val="00045F07"/>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A447E3"/>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743312"/>
    <w:pPr>
      <w:spacing w:before="100" w:beforeAutospacing="1" w:after="100" w:afterAutospacing="1"/>
    </w:pPr>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A83F6C"/>
    <w:rPr>
      <w:sz w:val="16"/>
      <w:szCs w:val="16"/>
    </w:rPr>
  </w:style>
  <w:style w:type="paragraph" w:styleId="CommentText">
    <w:name w:val="annotation text"/>
    <w:basedOn w:val="Normal"/>
    <w:link w:val="CommentTextChar"/>
    <w:uiPriority w:val="99"/>
    <w:semiHidden/>
    <w:unhideWhenUsed/>
    <w:rsid w:val="00A83F6C"/>
    <w:rPr>
      <w:sz w:val="20"/>
      <w:szCs w:val="20"/>
    </w:rPr>
  </w:style>
  <w:style w:type="character" w:customStyle="1" w:styleId="CommentTextChar">
    <w:name w:val="Comment Text Char"/>
    <w:basedOn w:val="DefaultParagraphFont"/>
    <w:link w:val="CommentText"/>
    <w:uiPriority w:val="99"/>
    <w:semiHidden/>
    <w:rsid w:val="00A83F6C"/>
    <w:rPr>
      <w:sz w:val="20"/>
      <w:szCs w:val="20"/>
    </w:rPr>
  </w:style>
  <w:style w:type="paragraph" w:styleId="CommentSubject">
    <w:name w:val="annotation subject"/>
    <w:basedOn w:val="CommentText"/>
    <w:next w:val="CommentText"/>
    <w:link w:val="CommentSubjectChar"/>
    <w:uiPriority w:val="99"/>
    <w:semiHidden/>
    <w:unhideWhenUsed/>
    <w:rsid w:val="00A83F6C"/>
    <w:rPr>
      <w:b/>
      <w:bCs/>
    </w:rPr>
  </w:style>
  <w:style w:type="character" w:customStyle="1" w:styleId="CommentSubjectChar">
    <w:name w:val="Comment Subject Char"/>
    <w:basedOn w:val="CommentTextChar"/>
    <w:link w:val="CommentSubject"/>
    <w:uiPriority w:val="99"/>
    <w:semiHidden/>
    <w:rsid w:val="00A83F6C"/>
    <w:rPr>
      <w:b/>
      <w:bCs/>
      <w:sz w:val="20"/>
      <w:szCs w:val="20"/>
    </w:rPr>
  </w:style>
  <w:style w:type="paragraph" w:styleId="Caption">
    <w:name w:val="caption"/>
    <w:basedOn w:val="Normal"/>
    <w:next w:val="Normal"/>
    <w:uiPriority w:val="35"/>
    <w:unhideWhenUsed/>
    <w:qFormat/>
    <w:rsid w:val="00DD408F"/>
    <w:pPr>
      <w:spacing w:after="200"/>
    </w:pPr>
    <w:rPr>
      <w:i/>
      <w:iCs/>
      <w:color w:val="44546A" w:themeColor="text2"/>
      <w:sz w:val="18"/>
      <w:szCs w:val="18"/>
    </w:rPr>
  </w:style>
  <w:style w:type="paragraph" w:styleId="TableofFigures">
    <w:name w:val="table of figures"/>
    <w:basedOn w:val="Normal"/>
    <w:next w:val="Normal"/>
    <w:uiPriority w:val="99"/>
    <w:unhideWhenUsed/>
    <w:rsid w:val="00664079"/>
  </w:style>
  <w:style w:type="character" w:styleId="Strong">
    <w:name w:val="Strong"/>
    <w:basedOn w:val="DefaultParagraphFont"/>
    <w:uiPriority w:val="22"/>
    <w:qFormat/>
    <w:rsid w:val="00E56F1E"/>
    <w:rPr>
      <w:b/>
      <w:bCs/>
    </w:rPr>
  </w:style>
  <w:style w:type="paragraph" w:styleId="Revision">
    <w:name w:val="Revision"/>
    <w:hidden/>
    <w:uiPriority w:val="99"/>
    <w:semiHidden/>
    <w:rsid w:val="00B741F3"/>
  </w:style>
  <w:style w:type="character" w:customStyle="1" w:styleId="issue-underline">
    <w:name w:val="issue-underline"/>
    <w:basedOn w:val="DefaultParagraphFont"/>
    <w:rsid w:val="00E3597C"/>
  </w:style>
  <w:style w:type="character" w:customStyle="1" w:styleId="Heading5Char">
    <w:name w:val="Heading 5 Char"/>
    <w:basedOn w:val="DefaultParagraphFont"/>
    <w:link w:val="Heading5"/>
    <w:uiPriority w:val="9"/>
    <w:rsid w:val="00633E25"/>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1379">
      <w:bodyDiv w:val="1"/>
      <w:marLeft w:val="0"/>
      <w:marRight w:val="0"/>
      <w:marTop w:val="0"/>
      <w:marBottom w:val="0"/>
      <w:divBdr>
        <w:top w:val="none" w:sz="0" w:space="0" w:color="auto"/>
        <w:left w:val="none" w:sz="0" w:space="0" w:color="auto"/>
        <w:bottom w:val="none" w:sz="0" w:space="0" w:color="auto"/>
        <w:right w:val="none" w:sz="0" w:space="0" w:color="auto"/>
      </w:divBdr>
    </w:div>
    <w:div w:id="47457514">
      <w:bodyDiv w:val="1"/>
      <w:marLeft w:val="0"/>
      <w:marRight w:val="0"/>
      <w:marTop w:val="0"/>
      <w:marBottom w:val="0"/>
      <w:divBdr>
        <w:top w:val="none" w:sz="0" w:space="0" w:color="auto"/>
        <w:left w:val="none" w:sz="0" w:space="0" w:color="auto"/>
        <w:bottom w:val="none" w:sz="0" w:space="0" w:color="auto"/>
        <w:right w:val="none" w:sz="0" w:space="0" w:color="auto"/>
      </w:divBdr>
    </w:div>
    <w:div w:id="118652628">
      <w:bodyDiv w:val="1"/>
      <w:marLeft w:val="0"/>
      <w:marRight w:val="0"/>
      <w:marTop w:val="0"/>
      <w:marBottom w:val="0"/>
      <w:divBdr>
        <w:top w:val="none" w:sz="0" w:space="0" w:color="auto"/>
        <w:left w:val="none" w:sz="0" w:space="0" w:color="auto"/>
        <w:bottom w:val="none" w:sz="0" w:space="0" w:color="auto"/>
        <w:right w:val="none" w:sz="0" w:space="0" w:color="auto"/>
      </w:divBdr>
    </w:div>
    <w:div w:id="457645602">
      <w:bodyDiv w:val="1"/>
      <w:marLeft w:val="0"/>
      <w:marRight w:val="0"/>
      <w:marTop w:val="0"/>
      <w:marBottom w:val="0"/>
      <w:divBdr>
        <w:top w:val="none" w:sz="0" w:space="0" w:color="auto"/>
        <w:left w:val="none" w:sz="0" w:space="0" w:color="auto"/>
        <w:bottom w:val="none" w:sz="0" w:space="0" w:color="auto"/>
        <w:right w:val="none" w:sz="0" w:space="0" w:color="auto"/>
      </w:divBdr>
    </w:div>
    <w:div w:id="485165457">
      <w:bodyDiv w:val="1"/>
      <w:marLeft w:val="0"/>
      <w:marRight w:val="0"/>
      <w:marTop w:val="0"/>
      <w:marBottom w:val="0"/>
      <w:divBdr>
        <w:top w:val="none" w:sz="0" w:space="0" w:color="auto"/>
        <w:left w:val="none" w:sz="0" w:space="0" w:color="auto"/>
        <w:bottom w:val="none" w:sz="0" w:space="0" w:color="auto"/>
        <w:right w:val="none" w:sz="0" w:space="0" w:color="auto"/>
      </w:divBdr>
    </w:div>
    <w:div w:id="111019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doi.org/10.1177/1356389020920890" TargetMode="External"/><Relationship Id="rId39" Type="http://schemas.openxmlformats.org/officeDocument/2006/relationships/hyperlink" Target="https://doi.org/10.1136/amiajnl-2012-001414" TargetMode="Externa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hyperlink" Target="https://doi.org/10.1186/s13012-015-0242-0" TargetMode="External"/><Relationship Id="rId42" Type="http://schemas.openxmlformats.org/officeDocument/2006/relationships/image" Target="media/image22.png"/><Relationship Id="rId47"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doi.org/10.1177/2516043520905481" TargetMode="External"/><Relationship Id="rId38" Type="http://schemas.openxmlformats.org/officeDocument/2006/relationships/hyperlink" Target="https://gov.wales/sites/default/files/publications/2019-06/nhs-wales-planning-framework-2019-2022.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pharmaceutical-journal.com/news-and-analysis/infographics/medication-errors-where-do-they%02happen/20206204.article" TargetMode="External"/><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doi.org/10.1093/jamia/ocz231." TargetMode="External"/><Relationship Id="rId37" Type="http://schemas.openxmlformats.org/officeDocument/2006/relationships/hyperlink" Target="https://gov.wales/sites/default/files/publications/2019-10/a-healthier-wales-action-plan.pdf" TargetMode="External"/><Relationship Id="rId40" Type="http://schemas.openxmlformats.org/officeDocument/2006/relationships/image" Target="media/image20.png"/><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ncbi.nlm.nih.gov/pmc/articles/PMC7144128/pdf/nihms-1577023.pdf" TargetMode="External"/><Relationship Id="rId36" Type="http://schemas.openxmlformats.org/officeDocument/2006/relationships/hyperlink" Target="https://doi.org/10.1097/MLR.0000000000001222."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doi.org/10.1177/1833358317720601"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doi.org/10.1111/ijpp.12432" TargetMode="External"/><Relationship Id="rId30" Type="http://schemas.openxmlformats.org/officeDocument/2006/relationships/hyperlink" Target="https://doi.org/10.1097/CIN.0000000000000762" TargetMode="External"/><Relationship Id="rId35" Type="http://schemas.openxmlformats.org/officeDocument/2006/relationships/hyperlink" Target="https://doi.org/10.1186/S12911-021-01584-W/TABLES/2" TargetMode="External"/><Relationship Id="rId43"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D07A2C2-F602-8E42-99DB-6C5AAB898638}">
  <we:reference id="wa104382081" version="1.46.0.0" store="en-GB" storeType="OMEX"/>
  <we:alternateReferences>
    <we:reference id="wa104382081" version="1.46.0.0" store="wa104382081" storeType="OMEX"/>
  </we:alternateReferences>
  <we:properties>
    <we:property name="MENDELEY_CITATIONS" value="[]"/>
  </we:properties>
  <we:bindings/>
  <we:snapshot xmlns:r="http://schemas.openxmlformats.org/officeDocument/2006/relationships"/>
</we:webextension>
</file>

<file path=word/webextensions/webextension2.xml><?xml version="1.0" encoding="utf-8"?>
<we:webextension xmlns:we="http://schemas.microsoft.com/office/webextensions/webextension/2010/11" id="{510B4331-DA42-E445-9F63-732B9B179654}">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9A396-A1F7-D944-872C-BDD58A25A7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7169</Words>
  <Characters>40868</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Programme Improvement Project</vt:lpstr>
    </vt:vector>
  </TitlesOfParts>
  <Company/>
  <LinksUpToDate>false</LinksUpToDate>
  <CharactersWithSpaces>47942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Improvement Project</dc:title>
  <dc:subject/>
  <dc:creator>Student ID: 2218340                              Word Count: 4,781                        Submission Date: 3rd March 2023</dc:creator>
  <cp:keywords/>
  <dc:description/>
  <cp:lastModifiedBy>Amy Mumford (DHCW - Health &amp; Social Care)</cp:lastModifiedBy>
  <cp:revision>2</cp:revision>
  <cp:lastPrinted>2023-02-10T13:01:00Z</cp:lastPrinted>
  <dcterms:created xsi:type="dcterms:W3CDTF">2023-03-03T12:34:00Z</dcterms:created>
  <dcterms:modified xsi:type="dcterms:W3CDTF">2023-03-03T12:34:00Z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documentId_9522</vt:lpwstr>
  </property>
  <property fmtid="{D5CDD505-2E9C-101B-9397-08002B2CF9AE}" pid="3" name="grammarly_documentContext">
    <vt:lpwstr>{"goals":[],"domain":"general","emotions":[],"dialect":"british"}</vt:lpwstr>
  </property>
</Properties>
</file>