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DFE759">
      <w:pPr>
        <w:pStyle w:val="10"/>
        <w:jc w:val="center"/>
        <w:rPr>
          <w:b/>
          <w:bCs/>
          <w:sz w:val="40"/>
          <w:szCs w:val="40"/>
        </w:rPr>
      </w:pPr>
    </w:p>
    <w:p w14:paraId="420B813A">
      <w:pPr>
        <w:pStyle w:val="10"/>
        <w:jc w:val="center"/>
        <w:rPr>
          <w:rStyle w:val="17"/>
        </w:rPr>
      </w:pPr>
      <w:r>
        <w:rPr>
          <w:b/>
          <w:bCs/>
          <w:sz w:val="40"/>
          <w:szCs w:val="40"/>
        </w:rPr>
        <w:t>Exploring the Role and Extent of AI in Addressing Diversity, Inclusion and Attainment Gap Concerns in Tertiary Level Education: The Case of UWTSD.</w:t>
      </w:r>
    </w:p>
    <w:p w14:paraId="0AE19258">
      <w:pPr>
        <w:pStyle w:val="4"/>
        <w:jc w:val="both"/>
        <w:rPr>
          <w:rFonts w:ascii="Times New Roman" w:hAnsi="Times New Roman"/>
          <w:sz w:val="24"/>
          <w:szCs w:val="24"/>
        </w:rPr>
      </w:pPr>
      <w:r>
        <w:rPr>
          <w:rFonts w:ascii="Times New Roman" w:hAnsi="Times New Roman"/>
          <w:sz w:val="24"/>
          <w:szCs w:val="24"/>
        </w:rPr>
        <w:t xml:space="preserve"> </w:t>
      </w:r>
    </w:p>
    <w:p w14:paraId="07D91E8D">
      <w:pPr>
        <w:rPr>
          <w:rFonts w:ascii="Times New Roman" w:hAnsi="Times New Roman"/>
        </w:rPr>
      </w:pPr>
      <w:r>
        <w:rPr>
          <w:rFonts w:ascii="Times New Roman" w:hAnsi="Times New Roman"/>
        </w:rPr>
        <w:t xml:space="preserve"> </w:t>
      </w:r>
    </w:p>
    <w:p w14:paraId="16FC747C">
      <w:pPr>
        <w:rPr>
          <w:rFonts w:ascii="Times New Roman" w:hAnsi="Times New Roman"/>
        </w:rPr>
      </w:pPr>
      <w:r>
        <w:rPr>
          <w:rFonts w:ascii="Times New Roman" w:hAnsi="Times New Roman"/>
        </w:rPr>
        <w:t xml:space="preserve"> </w:t>
      </w:r>
    </w:p>
    <w:p w14:paraId="73B14D5E">
      <w:pPr>
        <w:rPr>
          <w:rFonts w:ascii="Times New Roman" w:hAnsi="Times New Roman"/>
        </w:rPr>
      </w:pPr>
      <w:r>
        <w:rPr>
          <w:rFonts w:ascii="Times New Roman" w:hAnsi="Times New Roman"/>
        </w:rPr>
        <w:t xml:space="preserve"> </w:t>
      </w:r>
    </w:p>
    <w:p w14:paraId="42162CA3">
      <w:pPr>
        <w:pStyle w:val="4"/>
        <w:jc w:val="center"/>
        <w:rPr>
          <w:rFonts w:ascii="Times New Roman" w:hAnsi="Times New Roman"/>
          <w:sz w:val="28"/>
          <w:szCs w:val="28"/>
        </w:rPr>
      </w:pPr>
      <w:r>
        <w:rPr>
          <w:rFonts w:ascii="Times New Roman" w:hAnsi="Times New Roman"/>
          <w:sz w:val="28"/>
          <w:szCs w:val="28"/>
        </w:rPr>
        <w:t>Name:</w:t>
      </w:r>
    </w:p>
    <w:p w14:paraId="3498E980">
      <w:pPr>
        <w:pStyle w:val="4"/>
        <w:jc w:val="center"/>
        <w:rPr>
          <w:rFonts w:ascii="Times New Roman" w:hAnsi="Times New Roman"/>
          <w:sz w:val="28"/>
          <w:szCs w:val="28"/>
        </w:rPr>
      </w:pPr>
      <w:bookmarkStart w:id="0" w:name="_Toc22951"/>
      <w:bookmarkEnd w:id="0"/>
      <w:bookmarkStart w:id="1" w:name="_Toc7832"/>
      <w:bookmarkEnd w:id="1"/>
      <w:bookmarkStart w:id="2" w:name="_Toc27108"/>
      <w:r>
        <w:rPr>
          <w:rFonts w:ascii="Times New Roman" w:hAnsi="Times New Roman"/>
          <w:sz w:val="28"/>
          <w:szCs w:val="28"/>
        </w:rPr>
        <w:t>Kashmala Hussain</w:t>
      </w:r>
      <w:bookmarkEnd w:id="2"/>
      <w:r>
        <w:rPr>
          <w:rFonts w:ascii="Times New Roman" w:hAnsi="Times New Roman"/>
          <w:sz w:val="28"/>
          <w:szCs w:val="28"/>
        </w:rPr>
        <w:t xml:space="preserve"> </w:t>
      </w:r>
    </w:p>
    <w:p w14:paraId="6D23D354">
      <w:pPr>
        <w:pStyle w:val="4"/>
        <w:jc w:val="center"/>
        <w:rPr>
          <w:rFonts w:ascii="Times New Roman" w:hAnsi="Times New Roman"/>
          <w:sz w:val="28"/>
          <w:szCs w:val="28"/>
        </w:rPr>
      </w:pPr>
      <w:bookmarkStart w:id="3" w:name="_Toc9325"/>
      <w:bookmarkEnd w:id="3"/>
      <w:bookmarkStart w:id="4" w:name="_Toc745"/>
      <w:bookmarkEnd w:id="4"/>
      <w:bookmarkStart w:id="5" w:name="_Toc25137"/>
      <w:r>
        <w:rPr>
          <w:rFonts w:ascii="Times New Roman" w:hAnsi="Times New Roman"/>
          <w:sz w:val="28"/>
          <w:szCs w:val="28"/>
        </w:rPr>
        <w:t>Student ID:</w:t>
      </w:r>
      <w:bookmarkEnd w:id="5"/>
    </w:p>
    <w:p w14:paraId="40AC989E">
      <w:pPr>
        <w:pStyle w:val="4"/>
        <w:jc w:val="center"/>
        <w:rPr>
          <w:rFonts w:ascii="Times New Roman" w:hAnsi="Times New Roman"/>
          <w:sz w:val="28"/>
          <w:szCs w:val="28"/>
        </w:rPr>
      </w:pPr>
      <w:bookmarkStart w:id="6" w:name="_Toc21324"/>
      <w:bookmarkEnd w:id="6"/>
      <w:bookmarkStart w:id="7" w:name="_Toc6200"/>
      <w:bookmarkEnd w:id="7"/>
      <w:bookmarkStart w:id="8" w:name="_Toc17071"/>
      <w:r>
        <w:rPr>
          <w:rFonts w:ascii="Times New Roman" w:hAnsi="Times New Roman"/>
          <w:sz w:val="28"/>
          <w:szCs w:val="28"/>
        </w:rPr>
        <w:t>2422026</w:t>
      </w:r>
      <w:bookmarkEnd w:id="8"/>
    </w:p>
    <w:p w14:paraId="5417E0C8">
      <w:pPr>
        <w:pStyle w:val="4"/>
        <w:jc w:val="both"/>
        <w:rPr>
          <w:rFonts w:ascii="Times New Roman" w:hAnsi="Times New Roman"/>
          <w:sz w:val="28"/>
          <w:szCs w:val="28"/>
        </w:rPr>
      </w:pPr>
      <w:r>
        <w:rPr>
          <w:rFonts w:ascii="Times New Roman" w:hAnsi="Times New Roman"/>
          <w:sz w:val="28"/>
          <w:szCs w:val="28"/>
        </w:rPr>
        <w:t xml:space="preserve"> </w:t>
      </w:r>
    </w:p>
    <w:p w14:paraId="3C1DAE03">
      <w:pPr>
        <w:pStyle w:val="4"/>
        <w:jc w:val="center"/>
        <w:rPr>
          <w:rFonts w:ascii="Times New Roman" w:hAnsi="Times New Roman"/>
          <w:sz w:val="28"/>
          <w:szCs w:val="28"/>
        </w:rPr>
      </w:pPr>
      <w:bookmarkStart w:id="9" w:name="_Toc32338"/>
      <w:bookmarkEnd w:id="9"/>
      <w:bookmarkStart w:id="10" w:name="_Toc15077"/>
      <w:bookmarkEnd w:id="10"/>
      <w:bookmarkStart w:id="11" w:name="_Toc32510"/>
      <w:r>
        <w:rPr>
          <w:rFonts w:ascii="Times New Roman" w:hAnsi="Times New Roman"/>
          <w:sz w:val="28"/>
          <w:szCs w:val="28"/>
        </w:rPr>
        <w:t xml:space="preserve">Module </w:t>
      </w:r>
      <w:bookmarkEnd w:id="11"/>
      <w:r>
        <w:rPr>
          <w:rFonts w:ascii="Times New Roman" w:hAnsi="Times New Roman"/>
          <w:sz w:val="28"/>
          <w:szCs w:val="28"/>
        </w:rPr>
        <w:t xml:space="preserve"> Title &amp; Code :</w:t>
      </w:r>
    </w:p>
    <w:p w14:paraId="56339013">
      <w:pPr>
        <w:pStyle w:val="4"/>
        <w:jc w:val="center"/>
        <w:rPr>
          <w:rFonts w:ascii="Times New Roman" w:hAnsi="Times New Roman"/>
          <w:sz w:val="28"/>
          <w:szCs w:val="28"/>
        </w:rPr>
      </w:pPr>
      <w:r>
        <w:rPr>
          <w:rFonts w:ascii="Times New Roman" w:hAnsi="Times New Roman"/>
          <w:sz w:val="28"/>
          <w:szCs w:val="28"/>
        </w:rPr>
        <w:t xml:space="preserve">Advancing to Doctoral Research Stage </w:t>
      </w:r>
    </w:p>
    <w:p w14:paraId="7BAB0FC1">
      <w:pPr>
        <w:pStyle w:val="4"/>
        <w:jc w:val="center"/>
        <w:rPr>
          <w:rFonts w:ascii="Times New Roman" w:hAnsi="Times New Roman"/>
          <w:sz w:val="40"/>
          <w:szCs w:val="40"/>
        </w:rPr>
      </w:pPr>
      <w:bookmarkStart w:id="12" w:name="_Toc31836"/>
      <w:bookmarkEnd w:id="12"/>
      <w:bookmarkStart w:id="13" w:name="_Toc11079"/>
      <w:bookmarkEnd w:id="13"/>
      <w:bookmarkStart w:id="14" w:name="_Toc25204"/>
      <w:r>
        <w:rPr>
          <w:rFonts w:ascii="Times New Roman" w:hAnsi="Times New Roman"/>
          <w:sz w:val="28"/>
          <w:szCs w:val="28"/>
        </w:rPr>
        <w:t>LCDB7012_</w:t>
      </w:r>
      <w:bookmarkEnd w:id="14"/>
      <w:r>
        <w:rPr>
          <w:rFonts w:ascii="Times New Roman" w:hAnsi="Times New Roman"/>
          <w:sz w:val="28"/>
          <w:szCs w:val="28"/>
        </w:rPr>
        <w:t>LON</w:t>
      </w:r>
    </w:p>
    <w:p w14:paraId="6169D06C">
      <w:pPr>
        <w:pStyle w:val="10"/>
        <w:jc w:val="both"/>
        <w:rPr>
          <w:b/>
          <w:bCs/>
          <w:sz w:val="40"/>
          <w:szCs w:val="40"/>
        </w:rPr>
      </w:pPr>
      <w:r>
        <w:rPr>
          <w:b/>
          <w:bCs/>
          <w:sz w:val="40"/>
          <w:szCs w:val="40"/>
        </w:rPr>
        <w:t xml:space="preserve"> </w:t>
      </w:r>
    </w:p>
    <w:p w14:paraId="52C6FB9D">
      <w:pPr>
        <w:pStyle w:val="10"/>
        <w:jc w:val="both"/>
        <w:rPr>
          <w:b/>
          <w:bCs/>
          <w:sz w:val="40"/>
          <w:szCs w:val="40"/>
        </w:rPr>
      </w:pPr>
      <w:r>
        <w:rPr>
          <w:b/>
          <w:bCs/>
          <w:sz w:val="40"/>
          <w:szCs w:val="40"/>
        </w:rPr>
        <w:t xml:space="preserve"> </w:t>
      </w:r>
    </w:p>
    <w:p w14:paraId="45B0E91A">
      <w:pPr>
        <w:pStyle w:val="10"/>
        <w:jc w:val="both"/>
        <w:rPr>
          <w:rStyle w:val="17"/>
        </w:rPr>
      </w:pPr>
      <w:r>
        <w:rPr>
          <w:b/>
          <w:bCs/>
          <w:sz w:val="40"/>
          <w:szCs w:val="40"/>
        </w:rPr>
        <w:t>University Of Wales Trinity Saint David, London Campus</w:t>
      </w:r>
    </w:p>
    <w:p w14:paraId="25EF13D7">
      <w:pPr>
        <w:pStyle w:val="10"/>
        <w:jc w:val="both"/>
        <w:rPr>
          <w:rStyle w:val="17"/>
          <w:b w:val="0"/>
          <w:bCs w:val="0"/>
        </w:rPr>
      </w:pPr>
      <w:r>
        <w:rPr>
          <w:rStyle w:val="17"/>
          <w:b w:val="0"/>
          <w:bCs w:val="0"/>
        </w:rPr>
        <w:t xml:space="preserve"> </w:t>
      </w:r>
    </w:p>
    <w:p w14:paraId="4254D9F8">
      <w:pPr>
        <w:pStyle w:val="10"/>
        <w:jc w:val="both"/>
        <w:rPr>
          <w:rStyle w:val="17"/>
        </w:rPr>
      </w:pPr>
    </w:p>
    <w:p w14:paraId="2D7A0EEB">
      <w:pPr>
        <w:pStyle w:val="10"/>
        <w:jc w:val="center"/>
        <w:rPr>
          <w:rStyle w:val="17"/>
          <w:sz w:val="36"/>
          <w:szCs w:val="36"/>
        </w:rPr>
      </w:pPr>
      <w:r>
        <w:rPr>
          <w:rStyle w:val="17"/>
          <w:sz w:val="36"/>
          <w:szCs w:val="36"/>
        </w:rPr>
        <w:t>Abstract</w:t>
      </w:r>
    </w:p>
    <w:p w14:paraId="3F79D118">
      <w:pPr>
        <w:pStyle w:val="10"/>
        <w:jc w:val="both"/>
        <w:rPr>
          <w:rStyle w:val="17"/>
          <w:b w:val="0"/>
          <w:bCs w:val="0"/>
        </w:rPr>
      </w:pPr>
      <w:r>
        <w:t>This report presents a research portfolio that underpins a proposed DBA study exploring the role and extent of artificial intelligence (AI) in relation to diversity, inclusion, and attainment gap concerns in higher education, using the University of Wales Trinity Saint David (UWTSD) as a case study. The portfolio integrates relevant literature, theoretical perspectives, and methodological planning to justify the proposed research approach. Drawing on Technology Acceptance Model 2 (TAM2) and constructivist learning theory, the proposed study adopts a mixed-methods design, combining stratified surveys of undergraduate, graduates and postgraduate students with purposive semi-structured interviews involving academic staff, learning support assistants, IT facilitators, and institutional policymakers. The report outlines how AI-enabled educational tools are conceptualised within the proposed research, with particular attention to contextual variation, ethical considerations, and institutional governance. Maintaining a neutral and exploratory stance, the portfolio provides an evidence-informed foundation for investigating how, and under what conditions, AI may relate to diversity, inclusion, and attainment gap issues in tertiary level education.</w:t>
      </w:r>
    </w:p>
    <w:p w14:paraId="6E2C218C">
      <w:pPr>
        <w:pStyle w:val="11"/>
        <w:tabs>
          <w:tab w:val="right" w:leader="dot" w:pos="9790"/>
        </w:tabs>
        <w:rPr>
          <w:rStyle w:val="17"/>
          <w:b w:val="0"/>
          <w:bCs w:val="0"/>
        </w:rPr>
      </w:pPr>
      <w:r>
        <w:rPr>
          <w:rStyle w:val="17"/>
          <w:b w:val="0"/>
          <w:bCs w:val="0"/>
        </w:rPr>
        <w:t xml:space="preserve"> </w:t>
      </w:r>
    </w:p>
    <w:p w14:paraId="0BE94A94">
      <w:pPr>
        <w:pStyle w:val="11"/>
        <w:tabs>
          <w:tab w:val="right" w:leader="dot" w:pos="9790"/>
        </w:tabs>
        <w:rPr>
          <w:rStyle w:val="17"/>
          <w:b w:val="0"/>
          <w:bCs w:val="0"/>
        </w:rPr>
      </w:pPr>
      <w:r>
        <w:rPr>
          <w:rStyle w:val="17"/>
          <w:b w:val="0"/>
          <w:bCs w:val="0"/>
        </w:rPr>
        <w:t xml:space="preserve"> </w:t>
      </w:r>
    </w:p>
    <w:p w14:paraId="4A6A7087">
      <w:pPr>
        <w:pStyle w:val="11"/>
        <w:tabs>
          <w:tab w:val="right" w:leader="dot" w:pos="9790"/>
        </w:tabs>
        <w:rPr>
          <w:rStyle w:val="17"/>
          <w:b w:val="0"/>
          <w:bCs w:val="0"/>
        </w:rPr>
      </w:pPr>
      <w:r>
        <w:rPr>
          <w:rStyle w:val="17"/>
          <w:b w:val="0"/>
          <w:bCs w:val="0"/>
        </w:rPr>
        <w:t xml:space="preserve"> </w:t>
      </w:r>
    </w:p>
    <w:p w14:paraId="24AE2C0F">
      <w:pPr>
        <w:pStyle w:val="11"/>
        <w:tabs>
          <w:tab w:val="right" w:leader="dot" w:pos="9790"/>
        </w:tabs>
        <w:rPr>
          <w:rStyle w:val="17"/>
          <w:b w:val="0"/>
          <w:bCs w:val="0"/>
        </w:rPr>
      </w:pPr>
      <w:r>
        <w:rPr>
          <w:rStyle w:val="17"/>
          <w:b w:val="0"/>
          <w:bCs w:val="0"/>
        </w:rPr>
        <w:t xml:space="preserve"> </w:t>
      </w:r>
    </w:p>
    <w:p w14:paraId="0093BF3D">
      <w:pPr>
        <w:pStyle w:val="11"/>
        <w:tabs>
          <w:tab w:val="right" w:leader="dot" w:pos="9790"/>
        </w:tabs>
        <w:rPr>
          <w:rStyle w:val="17"/>
          <w:b w:val="0"/>
          <w:bCs w:val="0"/>
        </w:rPr>
      </w:pPr>
      <w:r>
        <w:rPr>
          <w:rStyle w:val="17"/>
          <w:b w:val="0"/>
          <w:bCs w:val="0"/>
        </w:rPr>
        <w:t xml:space="preserve"> </w:t>
      </w:r>
    </w:p>
    <w:p w14:paraId="50D53009">
      <w:pPr>
        <w:pStyle w:val="11"/>
        <w:tabs>
          <w:tab w:val="right" w:leader="dot" w:pos="9790"/>
        </w:tabs>
        <w:rPr>
          <w:rStyle w:val="17"/>
          <w:b w:val="0"/>
          <w:bCs w:val="0"/>
        </w:rPr>
      </w:pPr>
      <w:r>
        <w:rPr>
          <w:rStyle w:val="17"/>
          <w:b w:val="0"/>
          <w:bCs w:val="0"/>
        </w:rPr>
        <w:t xml:space="preserve"> </w:t>
      </w:r>
    </w:p>
    <w:p w14:paraId="740CC2E3">
      <w:pPr>
        <w:pStyle w:val="11"/>
        <w:tabs>
          <w:tab w:val="right" w:leader="dot" w:pos="9790"/>
        </w:tabs>
        <w:rPr>
          <w:rStyle w:val="17"/>
          <w:b w:val="0"/>
          <w:bCs w:val="0"/>
        </w:rPr>
      </w:pPr>
      <w:r>
        <w:rPr>
          <w:rStyle w:val="17"/>
          <w:b w:val="0"/>
          <w:bCs w:val="0"/>
        </w:rPr>
        <w:t xml:space="preserve"> </w:t>
      </w:r>
    </w:p>
    <w:p w14:paraId="1EEE85E2">
      <w:pPr>
        <w:pStyle w:val="11"/>
        <w:tabs>
          <w:tab w:val="right" w:leader="dot" w:pos="9790"/>
        </w:tabs>
        <w:rPr>
          <w:rStyle w:val="17"/>
          <w:b w:val="0"/>
          <w:bCs w:val="0"/>
        </w:rPr>
      </w:pPr>
      <w:r>
        <w:rPr>
          <w:rStyle w:val="17"/>
          <w:b w:val="0"/>
          <w:bCs w:val="0"/>
        </w:rPr>
        <w:t xml:space="preserve"> </w:t>
      </w:r>
    </w:p>
    <w:p w14:paraId="18820F0B">
      <w:pPr>
        <w:pStyle w:val="11"/>
        <w:tabs>
          <w:tab w:val="right" w:leader="dot" w:pos="9790"/>
        </w:tabs>
        <w:rPr>
          <w:rStyle w:val="17"/>
          <w:b w:val="0"/>
          <w:bCs w:val="0"/>
        </w:rPr>
      </w:pPr>
      <w:r>
        <w:rPr>
          <w:rStyle w:val="17"/>
          <w:b w:val="0"/>
          <w:bCs w:val="0"/>
        </w:rPr>
        <w:t xml:space="preserve"> </w:t>
      </w:r>
    </w:p>
    <w:p w14:paraId="7B46EA7E">
      <w:pPr>
        <w:pStyle w:val="11"/>
        <w:tabs>
          <w:tab w:val="right" w:leader="dot" w:pos="9790"/>
        </w:tabs>
        <w:rPr>
          <w:rStyle w:val="17"/>
          <w:b w:val="0"/>
          <w:bCs w:val="0"/>
        </w:rPr>
      </w:pPr>
      <w:r>
        <w:rPr>
          <w:rStyle w:val="17"/>
          <w:b w:val="0"/>
          <w:bCs w:val="0"/>
        </w:rPr>
        <w:t xml:space="preserve"> </w:t>
      </w:r>
    </w:p>
    <w:p w14:paraId="7B8274E0">
      <w:pPr>
        <w:pStyle w:val="11"/>
        <w:tabs>
          <w:tab w:val="right" w:leader="dot" w:pos="9790"/>
        </w:tabs>
        <w:rPr>
          <w:rStyle w:val="17"/>
          <w:b w:val="0"/>
          <w:bCs w:val="0"/>
        </w:rPr>
      </w:pPr>
      <w:r>
        <w:rPr>
          <w:rStyle w:val="17"/>
          <w:b w:val="0"/>
          <w:bCs w:val="0"/>
        </w:rPr>
        <w:t xml:space="preserve"> </w:t>
      </w:r>
    </w:p>
    <w:p w14:paraId="298A228C">
      <w:pPr>
        <w:pStyle w:val="11"/>
        <w:tabs>
          <w:tab w:val="right" w:leader="dot" w:pos="9790"/>
        </w:tabs>
        <w:rPr>
          <w:rStyle w:val="17"/>
          <w:b w:val="0"/>
          <w:bCs w:val="0"/>
        </w:rPr>
      </w:pPr>
      <w:r>
        <w:rPr>
          <w:rStyle w:val="17"/>
          <w:b w:val="0"/>
          <w:bCs w:val="0"/>
        </w:rPr>
        <w:t xml:space="preserve"> </w:t>
      </w:r>
    </w:p>
    <w:p w14:paraId="4EA374EB">
      <w:pPr>
        <w:pStyle w:val="11"/>
        <w:tabs>
          <w:tab w:val="right" w:leader="dot" w:pos="9790"/>
        </w:tabs>
        <w:rPr>
          <w:rStyle w:val="17"/>
          <w:b w:val="0"/>
          <w:bCs w:val="0"/>
        </w:rPr>
      </w:pPr>
      <w:r>
        <w:rPr>
          <w:rStyle w:val="17"/>
          <w:b w:val="0"/>
          <w:bCs w:val="0"/>
        </w:rPr>
        <w:t xml:space="preserve"> </w:t>
      </w:r>
    </w:p>
    <w:p w14:paraId="737201CF">
      <w:pPr>
        <w:pStyle w:val="11"/>
        <w:tabs>
          <w:tab w:val="right" w:leader="dot" w:pos="9790"/>
        </w:tabs>
        <w:rPr>
          <w:rStyle w:val="17"/>
          <w:b w:val="0"/>
          <w:bCs w:val="0"/>
        </w:rPr>
      </w:pPr>
      <w:r>
        <w:rPr>
          <w:rStyle w:val="17"/>
          <w:b w:val="0"/>
          <w:bCs w:val="0"/>
        </w:rPr>
        <w:t xml:space="preserve"> </w:t>
      </w:r>
    </w:p>
    <w:p w14:paraId="06B08D6D">
      <w:pPr>
        <w:pStyle w:val="11"/>
        <w:tabs>
          <w:tab w:val="right" w:leader="dot" w:pos="9790"/>
        </w:tabs>
        <w:rPr>
          <w:rStyle w:val="17"/>
          <w:b w:val="0"/>
          <w:bCs w:val="0"/>
        </w:rPr>
      </w:pPr>
      <w:r>
        <w:rPr>
          <w:rStyle w:val="17"/>
          <w:b w:val="0"/>
          <w:bCs w:val="0"/>
        </w:rPr>
        <w:t xml:space="preserve"> </w:t>
      </w:r>
    </w:p>
    <w:p w14:paraId="27C0684C">
      <w:pPr>
        <w:pStyle w:val="11"/>
        <w:tabs>
          <w:tab w:val="right" w:leader="dot" w:pos="9790"/>
        </w:tabs>
        <w:rPr>
          <w:rStyle w:val="17"/>
          <w:b w:val="0"/>
          <w:bCs w:val="0"/>
        </w:rPr>
      </w:pPr>
      <w:r>
        <w:rPr>
          <w:rStyle w:val="17"/>
          <w:b w:val="0"/>
          <w:bCs w:val="0"/>
        </w:rPr>
        <w:t xml:space="preserve"> </w:t>
      </w:r>
    </w:p>
    <w:p w14:paraId="5E122BC8">
      <w:pPr>
        <w:pStyle w:val="11"/>
        <w:tabs>
          <w:tab w:val="right" w:leader="dot" w:pos="9790"/>
        </w:tabs>
        <w:rPr>
          <w:rStyle w:val="17"/>
          <w:b w:val="0"/>
          <w:bCs w:val="0"/>
        </w:rPr>
      </w:pPr>
      <w:r>
        <w:rPr>
          <w:rStyle w:val="17"/>
          <w:b w:val="0"/>
          <w:bCs w:val="0"/>
        </w:rPr>
        <w:t xml:space="preserve"> </w:t>
      </w:r>
    </w:p>
    <w:p w14:paraId="60691DD8">
      <w:pPr>
        <w:pStyle w:val="11"/>
        <w:tabs>
          <w:tab w:val="right" w:leader="dot" w:pos="9790"/>
        </w:tabs>
        <w:rPr>
          <w:rStyle w:val="17"/>
          <w:b w:val="0"/>
          <w:bCs w:val="0"/>
        </w:rPr>
      </w:pPr>
      <w:r>
        <w:rPr>
          <w:rStyle w:val="17"/>
          <w:b w:val="0"/>
          <w:bCs w:val="0"/>
        </w:rPr>
        <w:t xml:space="preserve"> </w:t>
      </w:r>
    </w:p>
    <w:p w14:paraId="65C43286">
      <w:pPr>
        <w:pStyle w:val="11"/>
        <w:tabs>
          <w:tab w:val="right" w:leader="dot" w:pos="9790"/>
        </w:tabs>
        <w:rPr>
          <w:rStyle w:val="17"/>
          <w:b w:val="0"/>
          <w:bCs w:val="0"/>
        </w:rPr>
      </w:pPr>
      <w:r>
        <w:rPr>
          <w:rStyle w:val="17"/>
          <w:b w:val="0"/>
          <w:bCs w:val="0"/>
        </w:rPr>
        <w:t xml:space="preserve"> </w:t>
      </w:r>
    </w:p>
    <w:p w14:paraId="2E3DE39B">
      <w:pPr>
        <w:pStyle w:val="11"/>
        <w:tabs>
          <w:tab w:val="right" w:leader="dot" w:pos="9790"/>
        </w:tabs>
        <w:rPr>
          <w:rStyle w:val="17"/>
          <w:b w:val="0"/>
          <w:bCs w:val="0"/>
        </w:rPr>
      </w:pPr>
      <w:r>
        <w:rPr>
          <w:rStyle w:val="17"/>
          <w:b w:val="0"/>
          <w:bCs w:val="0"/>
        </w:rPr>
        <w:t xml:space="preserve">  </w:t>
      </w:r>
    </w:p>
    <w:p w14:paraId="5771DC14">
      <w:pPr>
        <w:pStyle w:val="11"/>
        <w:tabs>
          <w:tab w:val="right" w:leader="dot" w:pos="9790"/>
        </w:tabs>
        <w:rPr>
          <w:rStyle w:val="17"/>
          <w:b w:val="0"/>
          <w:bCs w:val="0"/>
        </w:rPr>
      </w:pPr>
      <w:bookmarkStart w:id="15" w:name="_Toc32207"/>
      <w:bookmarkEnd w:id="15"/>
      <w:r>
        <w:rPr>
          <w:rStyle w:val="17"/>
          <w:b w:val="0"/>
          <w:bCs w:val="0"/>
          <w:sz w:val="40"/>
          <w:szCs w:val="40"/>
        </w:rPr>
        <w:t>Table of Contents</w:t>
      </w:r>
    </w:p>
    <w:p w14:paraId="38A7C782">
      <w:pPr>
        <w:pStyle w:val="11"/>
        <w:tabs>
          <w:tab w:val="right" w:leader="dot" w:pos="9790"/>
        </w:tabs>
        <w:rPr>
          <w:rFonts w:ascii="Times New Roman" w:hAnsi="Times New Roman"/>
          <w:sz w:val="32"/>
          <w:szCs w:val="32"/>
        </w:rPr>
      </w:pPr>
    </w:p>
    <w:p w14:paraId="4E20F252">
      <w:pPr>
        <w:pStyle w:val="12"/>
        <w:tabs>
          <w:tab w:val="right" w:leader="dot" w:pos="9790"/>
        </w:tabs>
        <w:ind w:left="480"/>
        <w:rPr>
          <w:rFonts w:hint="default" w:ascii="Times New Roman" w:hAnsi="Times New Roman"/>
          <w:lang w:val="en-US"/>
        </w:rPr>
      </w:pPr>
      <w:r>
        <w:rPr>
          <w:rFonts w:ascii="Times New Roman" w:hAnsi="Times New Roman"/>
        </w:rPr>
        <w:t>Introduction</w:t>
      </w:r>
      <w:r>
        <w:rPr>
          <w:rFonts w:ascii="Times New Roman" w:hAnsi="Times New Roman"/>
        </w:rPr>
        <w:tab/>
      </w:r>
      <w:r>
        <w:rPr>
          <w:rFonts w:hint="default" w:ascii="Times New Roman" w:hAnsi="Times New Roman"/>
          <w:lang w:val="en-US"/>
        </w:rPr>
        <w:t>5</w:t>
      </w:r>
    </w:p>
    <w:p w14:paraId="54554B1B">
      <w:pPr>
        <w:pStyle w:val="13"/>
        <w:tabs>
          <w:tab w:val="right" w:leader="dot" w:pos="9790"/>
        </w:tabs>
        <w:ind w:left="960"/>
        <w:rPr>
          <w:rFonts w:ascii="Times New Roman" w:hAnsi="Times New Roman"/>
        </w:rPr>
      </w:pPr>
      <w:r>
        <w:rPr>
          <w:rFonts w:ascii="Times New Roman" w:hAnsi="Times New Roman"/>
        </w:rPr>
        <w:t>Justification for the Study</w:t>
      </w:r>
      <w:r>
        <w:rPr>
          <w:rFonts w:ascii="Times New Roman" w:hAnsi="Times New Roman"/>
        </w:rPr>
        <w:tab/>
      </w:r>
      <w:r>
        <w:rPr>
          <w:rFonts w:hint="default" w:ascii="Times New Roman" w:hAnsi="Times New Roman"/>
          <w:lang w:val="en-US"/>
        </w:rPr>
        <w:t>5</w:t>
      </w:r>
    </w:p>
    <w:p w14:paraId="39E53936">
      <w:pPr>
        <w:pStyle w:val="13"/>
        <w:tabs>
          <w:tab w:val="right" w:leader="dot" w:pos="9790"/>
        </w:tabs>
        <w:ind w:left="960"/>
        <w:rPr>
          <w:rFonts w:hint="default" w:ascii="Times New Roman" w:hAnsi="Times New Roman"/>
          <w:lang w:val="en-US"/>
        </w:rPr>
      </w:pPr>
      <w:r>
        <w:rPr>
          <w:rFonts w:ascii="Times New Roman" w:hAnsi="Times New Roman"/>
        </w:rPr>
        <w:t>Theoretical and Practical Contributions</w:t>
      </w:r>
      <w:r>
        <w:rPr>
          <w:rFonts w:ascii="Times New Roman" w:hAnsi="Times New Roman"/>
        </w:rPr>
        <w:tab/>
      </w:r>
      <w:r>
        <w:rPr>
          <w:rFonts w:hint="default" w:ascii="Times New Roman" w:hAnsi="Times New Roman"/>
          <w:lang w:val="en-US"/>
        </w:rPr>
        <w:t>5</w:t>
      </w:r>
    </w:p>
    <w:p w14:paraId="5B26367B">
      <w:pPr>
        <w:pStyle w:val="13"/>
        <w:tabs>
          <w:tab w:val="right" w:leader="dot" w:pos="9790"/>
        </w:tabs>
        <w:ind w:left="960"/>
        <w:rPr>
          <w:rFonts w:hint="default" w:ascii="Times New Roman" w:hAnsi="Times New Roman"/>
          <w:lang w:val="en-US"/>
        </w:rPr>
      </w:pPr>
      <w:r>
        <w:rPr>
          <w:rFonts w:ascii="Times New Roman" w:hAnsi="Times New Roman"/>
        </w:rPr>
        <w:t>Objectives of the Study</w:t>
      </w:r>
      <w:r>
        <w:rPr>
          <w:rFonts w:ascii="Times New Roman" w:hAnsi="Times New Roman"/>
        </w:rPr>
        <w:tab/>
      </w:r>
      <w:r>
        <w:rPr>
          <w:rFonts w:hint="default" w:ascii="Times New Roman" w:hAnsi="Times New Roman"/>
          <w:lang w:val="en-US"/>
        </w:rPr>
        <w:t>5</w:t>
      </w:r>
    </w:p>
    <w:p w14:paraId="5647CF0E">
      <w:pPr>
        <w:pStyle w:val="13"/>
        <w:tabs>
          <w:tab w:val="right" w:leader="dot" w:pos="9790"/>
        </w:tabs>
        <w:ind w:left="960"/>
        <w:rPr>
          <w:rFonts w:hint="default" w:ascii="Times New Roman" w:hAnsi="Times New Roman"/>
          <w:lang w:val="en-US"/>
        </w:rPr>
      </w:pPr>
      <w:r>
        <w:rPr>
          <w:rFonts w:ascii="Times New Roman" w:hAnsi="Times New Roman"/>
        </w:rPr>
        <w:t>Research Questions</w:t>
      </w:r>
      <w:r>
        <w:rPr>
          <w:rFonts w:ascii="Times New Roman" w:hAnsi="Times New Roman"/>
        </w:rPr>
        <w:tab/>
      </w:r>
      <w:r>
        <w:rPr>
          <w:rFonts w:hint="default" w:ascii="Times New Roman" w:hAnsi="Times New Roman"/>
          <w:lang w:val="en-US"/>
        </w:rPr>
        <w:t>6</w:t>
      </w:r>
    </w:p>
    <w:p w14:paraId="6346F8B1">
      <w:pPr>
        <w:pStyle w:val="13"/>
        <w:tabs>
          <w:tab w:val="right" w:leader="dot" w:pos="9790"/>
        </w:tabs>
        <w:ind w:left="960"/>
        <w:rPr>
          <w:rFonts w:hint="default" w:ascii="Times New Roman" w:hAnsi="Times New Roman"/>
          <w:lang w:val="en-US"/>
        </w:rPr>
      </w:pPr>
      <w:r>
        <w:rPr>
          <w:rFonts w:ascii="Times New Roman" w:hAnsi="Times New Roman"/>
        </w:rPr>
        <w:t>Hypothesis</w:t>
      </w:r>
      <w:r>
        <w:rPr>
          <w:rFonts w:ascii="Times New Roman" w:hAnsi="Times New Roman"/>
        </w:rPr>
        <w:tab/>
      </w:r>
      <w:r>
        <w:rPr>
          <w:rFonts w:hint="default" w:ascii="Times New Roman" w:hAnsi="Times New Roman"/>
          <w:lang w:val="en-US"/>
        </w:rPr>
        <w:t>6</w:t>
      </w:r>
    </w:p>
    <w:p w14:paraId="52F8E314">
      <w:pPr>
        <w:pStyle w:val="13"/>
        <w:tabs>
          <w:tab w:val="right" w:leader="dot" w:pos="9790"/>
        </w:tabs>
        <w:ind w:left="960"/>
        <w:rPr>
          <w:rFonts w:hint="default" w:ascii="Times New Roman" w:hAnsi="Times New Roman"/>
          <w:lang w:val="en-US"/>
        </w:rPr>
      </w:pPr>
      <w:r>
        <w:rPr>
          <w:rFonts w:ascii="Times New Roman" w:hAnsi="Times New Roman"/>
        </w:rPr>
        <w:t>Business / Societal Problems Addressed</w:t>
      </w:r>
      <w:r>
        <w:rPr>
          <w:rFonts w:ascii="Times New Roman" w:hAnsi="Times New Roman"/>
        </w:rPr>
        <w:tab/>
      </w:r>
      <w:r>
        <w:rPr>
          <w:rFonts w:hint="default" w:ascii="Times New Roman" w:hAnsi="Times New Roman"/>
          <w:lang w:val="en-US"/>
        </w:rPr>
        <w:t>6</w:t>
      </w:r>
    </w:p>
    <w:p w14:paraId="43C98F41">
      <w:pPr>
        <w:pStyle w:val="13"/>
        <w:tabs>
          <w:tab w:val="right" w:leader="dot" w:pos="9790"/>
        </w:tabs>
        <w:ind w:left="960"/>
        <w:rPr>
          <w:rFonts w:hint="default" w:ascii="Times New Roman" w:hAnsi="Times New Roman"/>
          <w:lang w:val="en-US"/>
        </w:rPr>
      </w:pPr>
      <w:r>
        <w:rPr>
          <w:rFonts w:ascii="Times New Roman" w:hAnsi="Times New Roman"/>
        </w:rPr>
        <w:t>Background to the Research</w:t>
      </w:r>
      <w:r>
        <w:rPr>
          <w:rFonts w:ascii="Times New Roman" w:hAnsi="Times New Roman"/>
        </w:rPr>
        <w:tab/>
      </w:r>
      <w:r>
        <w:rPr>
          <w:rFonts w:hint="default" w:ascii="Times New Roman" w:hAnsi="Times New Roman"/>
          <w:lang w:val="en-US"/>
        </w:rPr>
        <w:t>6</w:t>
      </w:r>
    </w:p>
    <w:p w14:paraId="1938DA4D">
      <w:pPr>
        <w:pStyle w:val="13"/>
        <w:tabs>
          <w:tab w:val="right" w:leader="dot" w:pos="9790"/>
        </w:tabs>
        <w:ind w:left="960"/>
        <w:rPr>
          <w:rFonts w:hint="default" w:ascii="Times New Roman" w:hAnsi="Times New Roman"/>
          <w:lang w:val="en-US"/>
        </w:rPr>
      </w:pPr>
      <w:r>
        <w:rPr>
          <w:rFonts w:ascii="Times New Roman" w:hAnsi="Times New Roman"/>
        </w:rPr>
        <w:t>The Role of AI in Higher Education</w:t>
      </w:r>
      <w:r>
        <w:rPr>
          <w:rFonts w:ascii="Times New Roman" w:hAnsi="Times New Roman"/>
        </w:rPr>
        <w:tab/>
      </w:r>
      <w:r>
        <w:rPr>
          <w:rFonts w:hint="default" w:ascii="Times New Roman" w:hAnsi="Times New Roman"/>
          <w:lang w:val="en-US"/>
        </w:rPr>
        <w:t>6</w:t>
      </w:r>
    </w:p>
    <w:p w14:paraId="27F2F672">
      <w:pPr>
        <w:pStyle w:val="13"/>
        <w:tabs>
          <w:tab w:val="right" w:leader="dot" w:pos="9790"/>
        </w:tabs>
        <w:ind w:left="960"/>
        <w:rPr>
          <w:rFonts w:hint="default" w:ascii="Times New Roman" w:hAnsi="Times New Roman"/>
          <w:lang w:val="en-US"/>
        </w:rPr>
      </w:pPr>
      <w:r>
        <w:rPr>
          <w:rFonts w:ascii="Times New Roman" w:hAnsi="Times New Roman"/>
        </w:rPr>
        <w:t>Challenges Facing AI Integration</w:t>
      </w:r>
      <w:r>
        <w:rPr>
          <w:rFonts w:ascii="Times New Roman" w:hAnsi="Times New Roman"/>
        </w:rPr>
        <w:tab/>
      </w:r>
      <w:r>
        <w:rPr>
          <w:rFonts w:hint="default" w:ascii="Times New Roman" w:hAnsi="Times New Roman"/>
          <w:lang w:val="en-US"/>
        </w:rPr>
        <w:t>7</w:t>
      </w:r>
    </w:p>
    <w:p w14:paraId="27D5C41D">
      <w:pPr>
        <w:pStyle w:val="13"/>
        <w:tabs>
          <w:tab w:val="right" w:leader="dot" w:pos="9790"/>
        </w:tabs>
        <w:ind w:left="960"/>
        <w:rPr>
          <w:rFonts w:hint="default" w:ascii="Times New Roman" w:hAnsi="Times New Roman"/>
          <w:lang w:val="en-US"/>
        </w:rPr>
      </w:pPr>
      <w:r>
        <w:rPr>
          <w:rFonts w:ascii="Times New Roman" w:hAnsi="Times New Roman"/>
        </w:rPr>
        <w:t>Need for this Research</w:t>
      </w:r>
      <w:r>
        <w:rPr>
          <w:rFonts w:ascii="Times New Roman" w:hAnsi="Times New Roman"/>
        </w:rPr>
        <w:tab/>
      </w:r>
      <w:r>
        <w:rPr>
          <w:rFonts w:hint="default" w:ascii="Times New Roman" w:hAnsi="Times New Roman"/>
          <w:lang w:val="en-US"/>
        </w:rPr>
        <w:t>7</w:t>
      </w:r>
    </w:p>
    <w:p w14:paraId="5DD3BAB9">
      <w:pPr>
        <w:pStyle w:val="13"/>
        <w:tabs>
          <w:tab w:val="right" w:leader="dot" w:pos="9790"/>
        </w:tabs>
        <w:ind w:left="960"/>
        <w:rPr>
          <w:rFonts w:hint="default" w:ascii="Times New Roman" w:hAnsi="Times New Roman"/>
          <w:lang w:val="en-US"/>
        </w:rPr>
      </w:pPr>
      <w:r>
        <w:rPr>
          <w:rFonts w:ascii="Times New Roman" w:hAnsi="Times New Roman"/>
        </w:rPr>
        <w:t>Bridging the Research Gap</w:t>
      </w:r>
      <w:r>
        <w:rPr>
          <w:rFonts w:ascii="Times New Roman" w:hAnsi="Times New Roman"/>
        </w:rPr>
        <w:tab/>
      </w:r>
      <w:r>
        <w:rPr>
          <w:rFonts w:hint="default" w:ascii="Times New Roman" w:hAnsi="Times New Roman"/>
          <w:lang w:val="en-US"/>
        </w:rPr>
        <w:t>7</w:t>
      </w:r>
    </w:p>
    <w:p w14:paraId="519A7E4E">
      <w:pPr>
        <w:pStyle w:val="12"/>
        <w:tabs>
          <w:tab w:val="right" w:leader="dot" w:pos="9790"/>
        </w:tabs>
        <w:ind w:left="480"/>
        <w:rPr>
          <w:rFonts w:hint="default" w:ascii="Times New Roman" w:hAnsi="Times New Roman"/>
          <w:lang w:val="en-US"/>
        </w:rPr>
      </w:pPr>
      <w:r>
        <w:rPr>
          <w:rFonts w:ascii="Times New Roman" w:hAnsi="Times New Roman"/>
        </w:rPr>
        <w:t>Kuhn’s Paradigm – The Kuhn Cycle In Higher  Education AI Integration</w:t>
      </w:r>
      <w:r>
        <w:rPr>
          <w:rFonts w:ascii="Times New Roman" w:hAnsi="Times New Roman"/>
        </w:rPr>
        <w:tab/>
      </w:r>
      <w:r>
        <w:rPr>
          <w:rFonts w:hint="default" w:ascii="Times New Roman" w:hAnsi="Times New Roman"/>
          <w:lang w:val="en-US"/>
        </w:rPr>
        <w:t>8</w:t>
      </w:r>
    </w:p>
    <w:p w14:paraId="7C50E89B">
      <w:pPr>
        <w:pStyle w:val="13"/>
        <w:tabs>
          <w:tab w:val="right" w:leader="dot" w:pos="9790"/>
        </w:tabs>
        <w:ind w:left="960"/>
        <w:rPr>
          <w:rFonts w:hint="default" w:ascii="Times New Roman" w:hAnsi="Times New Roman"/>
          <w:lang w:val="en-US"/>
        </w:rPr>
      </w:pPr>
      <w:r>
        <w:rPr>
          <w:rFonts w:ascii="Times New Roman" w:hAnsi="Times New Roman"/>
        </w:rPr>
        <w:t>A. Implications of the Paradigm Shift in Higher Education</w:t>
      </w:r>
      <w:r>
        <w:rPr>
          <w:rFonts w:ascii="Times New Roman" w:hAnsi="Times New Roman"/>
        </w:rPr>
        <w:tab/>
      </w:r>
      <w:r>
        <w:rPr>
          <w:rFonts w:hint="default" w:ascii="Times New Roman" w:hAnsi="Times New Roman"/>
          <w:lang w:val="en-US"/>
        </w:rPr>
        <w:t>8</w:t>
      </w:r>
    </w:p>
    <w:p w14:paraId="746D2E8D">
      <w:pPr>
        <w:pStyle w:val="13"/>
        <w:tabs>
          <w:tab w:val="right" w:leader="dot" w:pos="9790"/>
        </w:tabs>
        <w:ind w:left="960"/>
        <w:rPr>
          <w:rFonts w:hint="default" w:ascii="Times New Roman" w:hAnsi="Times New Roman"/>
          <w:lang w:val="en-US"/>
        </w:rPr>
      </w:pPr>
      <w:r>
        <w:rPr>
          <w:rFonts w:ascii="Times New Roman" w:hAnsi="Times New Roman"/>
        </w:rPr>
        <w:t>B. Challenges in Implementing the New Paradigm of AI in Higher Education</w:t>
      </w:r>
      <w:r>
        <w:rPr>
          <w:rFonts w:ascii="Times New Roman" w:hAnsi="Times New Roman"/>
        </w:rPr>
        <w:tab/>
      </w:r>
      <w:r>
        <w:rPr>
          <w:rFonts w:hint="default" w:ascii="Times New Roman" w:hAnsi="Times New Roman"/>
          <w:lang w:val="en-US"/>
        </w:rPr>
        <w:t>9</w:t>
      </w:r>
    </w:p>
    <w:p w14:paraId="47341D38">
      <w:pPr>
        <w:pStyle w:val="13"/>
        <w:tabs>
          <w:tab w:val="right" w:leader="dot" w:pos="9790"/>
        </w:tabs>
        <w:ind w:left="960"/>
        <w:rPr>
          <w:rFonts w:hint="default" w:ascii="Times New Roman" w:hAnsi="Times New Roman"/>
          <w:lang w:val="en-US"/>
        </w:rPr>
      </w:pPr>
      <w:r>
        <w:rPr>
          <w:rFonts w:ascii="Times New Roman" w:hAnsi="Times New Roman"/>
        </w:rPr>
        <w:t>C. Relevance of Kuhn’s Paradigm – The Kuhn Cycle to the Context of Research</w:t>
      </w:r>
      <w:r>
        <w:rPr>
          <w:rFonts w:ascii="Times New Roman" w:hAnsi="Times New Roman"/>
        </w:rPr>
        <w:tab/>
      </w:r>
      <w:r>
        <w:rPr>
          <w:rFonts w:hint="default" w:ascii="Times New Roman" w:hAnsi="Times New Roman"/>
          <w:lang w:val="en-US"/>
        </w:rPr>
        <w:t>10</w:t>
      </w:r>
    </w:p>
    <w:p w14:paraId="09C544C6">
      <w:pPr>
        <w:pStyle w:val="12"/>
        <w:tabs>
          <w:tab w:val="right" w:leader="dot" w:pos="9790"/>
        </w:tabs>
        <w:ind w:left="480"/>
        <w:rPr>
          <w:rFonts w:hint="default" w:ascii="Times New Roman" w:hAnsi="Times New Roman"/>
          <w:lang w:val="en-US"/>
        </w:rPr>
      </w:pPr>
      <w:r>
        <w:rPr>
          <w:rFonts w:ascii="Times New Roman" w:hAnsi="Times New Roman"/>
        </w:rPr>
        <w:t>RISING ACTION</w:t>
      </w:r>
      <w:r>
        <w:rPr>
          <w:rFonts w:ascii="Times New Roman" w:hAnsi="Times New Roman"/>
        </w:rPr>
        <w:tab/>
      </w:r>
      <w:r>
        <w:rPr>
          <w:rFonts w:hint="default" w:ascii="Times New Roman" w:hAnsi="Times New Roman"/>
          <w:lang w:val="en-US"/>
        </w:rPr>
        <w:t>12</w:t>
      </w:r>
    </w:p>
    <w:p w14:paraId="15DCD3AB">
      <w:pPr>
        <w:pStyle w:val="13"/>
        <w:tabs>
          <w:tab w:val="right" w:leader="dot" w:pos="9790"/>
        </w:tabs>
        <w:ind w:left="960"/>
        <w:rPr>
          <w:rFonts w:hint="default" w:ascii="Times New Roman" w:hAnsi="Times New Roman"/>
          <w:lang w:val="en-US"/>
        </w:rPr>
      </w:pPr>
      <w:r>
        <w:rPr>
          <w:rFonts w:ascii="Times New Roman" w:hAnsi="Times New Roman"/>
        </w:rPr>
        <w:t>A. Research Approach</w:t>
      </w:r>
      <w:r>
        <w:rPr>
          <w:rFonts w:ascii="Times New Roman" w:hAnsi="Times New Roman"/>
        </w:rPr>
        <w:tab/>
      </w:r>
      <w:r>
        <w:rPr>
          <w:rFonts w:hint="default" w:ascii="Times New Roman" w:hAnsi="Times New Roman"/>
          <w:lang w:val="en-US"/>
        </w:rPr>
        <w:t>12</w:t>
      </w:r>
    </w:p>
    <w:p w14:paraId="18A9A3F8">
      <w:pPr>
        <w:pStyle w:val="13"/>
        <w:tabs>
          <w:tab w:val="right" w:leader="dot" w:pos="9790"/>
        </w:tabs>
        <w:ind w:left="960"/>
        <w:rPr>
          <w:rFonts w:hint="default" w:ascii="Times New Roman" w:hAnsi="Times New Roman"/>
          <w:lang w:val="en-US"/>
        </w:rPr>
      </w:pPr>
      <w:r>
        <w:rPr>
          <w:rFonts w:ascii="Times New Roman" w:hAnsi="Times New Roman"/>
        </w:rPr>
        <w:t>B. Methodological Strategies</w:t>
      </w:r>
      <w:r>
        <w:rPr>
          <w:rFonts w:ascii="Times New Roman" w:hAnsi="Times New Roman"/>
        </w:rPr>
        <w:tab/>
      </w:r>
      <w:r>
        <w:rPr>
          <w:rFonts w:hint="default" w:ascii="Times New Roman" w:hAnsi="Times New Roman"/>
          <w:lang w:val="en-US"/>
        </w:rPr>
        <w:t>12</w:t>
      </w:r>
    </w:p>
    <w:p w14:paraId="7FDFE2BD">
      <w:pPr>
        <w:pStyle w:val="13"/>
        <w:tabs>
          <w:tab w:val="right" w:leader="dot" w:pos="9790"/>
        </w:tabs>
        <w:ind w:left="960"/>
        <w:rPr>
          <w:rFonts w:hint="default" w:ascii="Times New Roman" w:hAnsi="Times New Roman"/>
          <w:lang w:val="en-US"/>
        </w:rPr>
      </w:pPr>
      <w:r>
        <w:rPr>
          <w:rFonts w:ascii="Times New Roman" w:hAnsi="Times New Roman"/>
        </w:rPr>
        <w:t>C. Sample Population and Sample Frame</w:t>
      </w:r>
      <w:r>
        <w:rPr>
          <w:rFonts w:ascii="Times New Roman" w:hAnsi="Times New Roman"/>
        </w:rPr>
        <w:tab/>
      </w:r>
      <w:r>
        <w:rPr>
          <w:rFonts w:hint="default" w:ascii="Times New Roman" w:hAnsi="Times New Roman"/>
          <w:lang w:val="en-US"/>
        </w:rPr>
        <w:t>13</w:t>
      </w:r>
    </w:p>
    <w:p w14:paraId="53CD84C8">
      <w:pPr>
        <w:pStyle w:val="13"/>
        <w:tabs>
          <w:tab w:val="right" w:leader="dot" w:pos="9790"/>
        </w:tabs>
        <w:ind w:left="960"/>
        <w:rPr>
          <w:rFonts w:hint="default" w:ascii="Times New Roman" w:hAnsi="Times New Roman"/>
          <w:lang w:val="en-US"/>
        </w:rPr>
      </w:pPr>
      <w:r>
        <w:rPr>
          <w:rFonts w:ascii="Times New Roman" w:hAnsi="Times New Roman"/>
        </w:rPr>
        <w:t>D. Sampling Method</w:t>
      </w:r>
      <w:r>
        <w:rPr>
          <w:rFonts w:ascii="Times New Roman" w:hAnsi="Times New Roman"/>
        </w:rPr>
        <w:tab/>
      </w:r>
      <w:r>
        <w:rPr>
          <w:rFonts w:hint="default" w:ascii="Times New Roman" w:hAnsi="Times New Roman"/>
          <w:lang w:val="en-US"/>
        </w:rPr>
        <w:t>14</w:t>
      </w:r>
    </w:p>
    <w:p w14:paraId="3CC6331E">
      <w:pPr>
        <w:pStyle w:val="12"/>
        <w:tabs>
          <w:tab w:val="right" w:leader="dot" w:pos="9790"/>
        </w:tabs>
        <w:ind w:left="480"/>
        <w:rPr>
          <w:rFonts w:hint="default" w:ascii="Times New Roman" w:hAnsi="Times New Roman"/>
          <w:lang w:val="en-US"/>
        </w:rPr>
      </w:pPr>
      <w:r>
        <w:rPr>
          <w:rFonts w:ascii="Times New Roman" w:hAnsi="Times New Roman"/>
        </w:rPr>
        <w:t>CLIMAX</w:t>
      </w:r>
      <w:r>
        <w:rPr>
          <w:rFonts w:ascii="Times New Roman" w:hAnsi="Times New Roman"/>
        </w:rPr>
        <w:tab/>
      </w:r>
      <w:r>
        <w:rPr>
          <w:rFonts w:hint="default" w:ascii="Times New Roman" w:hAnsi="Times New Roman"/>
          <w:lang w:val="en-US"/>
        </w:rPr>
        <w:t>15</w:t>
      </w:r>
    </w:p>
    <w:p w14:paraId="044230B1">
      <w:pPr>
        <w:pStyle w:val="13"/>
        <w:tabs>
          <w:tab w:val="right" w:leader="dot" w:pos="9790"/>
        </w:tabs>
        <w:ind w:left="960"/>
        <w:rPr>
          <w:rFonts w:hint="default" w:ascii="Times New Roman" w:hAnsi="Times New Roman"/>
          <w:lang w:val="en-US"/>
        </w:rPr>
      </w:pPr>
      <w:r>
        <w:rPr>
          <w:rFonts w:ascii="Times New Roman" w:hAnsi="Times New Roman"/>
        </w:rPr>
        <w:t>A. Personal Reflection on Preparation</w:t>
      </w:r>
      <w:r>
        <w:rPr>
          <w:rFonts w:ascii="Times New Roman" w:hAnsi="Times New Roman"/>
        </w:rPr>
        <w:tab/>
      </w:r>
      <w:r>
        <w:rPr>
          <w:rFonts w:hint="default" w:ascii="Times New Roman" w:hAnsi="Times New Roman"/>
          <w:lang w:val="en-US"/>
        </w:rPr>
        <w:t>15</w:t>
      </w:r>
    </w:p>
    <w:p w14:paraId="6A9C9ACD">
      <w:pPr>
        <w:pStyle w:val="13"/>
        <w:tabs>
          <w:tab w:val="right" w:leader="dot" w:pos="9790"/>
        </w:tabs>
        <w:ind w:left="960"/>
        <w:rPr>
          <w:rFonts w:hint="default" w:ascii="Times New Roman" w:hAnsi="Times New Roman"/>
          <w:lang w:val="en-US"/>
        </w:rPr>
      </w:pPr>
      <w:r>
        <w:rPr>
          <w:rFonts w:ascii="Times New Roman" w:hAnsi="Times New Roman"/>
        </w:rPr>
        <w:t>B. Evaluation of Portfolio Content</w:t>
      </w:r>
      <w:r>
        <w:rPr>
          <w:rFonts w:ascii="Times New Roman" w:hAnsi="Times New Roman"/>
        </w:rPr>
        <w:tab/>
      </w:r>
      <w:r>
        <w:rPr>
          <w:rFonts w:hint="default" w:ascii="Times New Roman" w:hAnsi="Times New Roman"/>
          <w:lang w:val="en-US"/>
        </w:rPr>
        <w:t>16</w:t>
      </w:r>
    </w:p>
    <w:p w14:paraId="130DF738">
      <w:pPr>
        <w:pStyle w:val="12"/>
        <w:tabs>
          <w:tab w:val="right" w:leader="dot" w:pos="9790"/>
        </w:tabs>
        <w:ind w:left="480"/>
        <w:rPr>
          <w:rFonts w:hint="default" w:ascii="Times New Roman" w:hAnsi="Times New Roman"/>
          <w:lang w:val="en-US"/>
        </w:rPr>
      </w:pPr>
      <w:r>
        <w:rPr>
          <w:rFonts w:ascii="Times New Roman" w:hAnsi="Times New Roman"/>
        </w:rPr>
        <w:t>DENOUEMENT</w:t>
      </w:r>
      <w:r>
        <w:rPr>
          <w:rFonts w:ascii="Times New Roman" w:hAnsi="Times New Roman"/>
        </w:rPr>
        <w:tab/>
      </w:r>
      <w:r>
        <w:rPr>
          <w:rFonts w:hint="default" w:ascii="Times New Roman" w:hAnsi="Times New Roman"/>
          <w:lang w:val="en-US"/>
        </w:rPr>
        <w:t>17</w:t>
      </w:r>
    </w:p>
    <w:p w14:paraId="261F3735">
      <w:pPr>
        <w:pStyle w:val="13"/>
        <w:tabs>
          <w:tab w:val="right" w:leader="dot" w:pos="9790"/>
        </w:tabs>
        <w:ind w:left="960"/>
        <w:rPr>
          <w:rFonts w:hint="default" w:ascii="Times New Roman" w:hAnsi="Times New Roman"/>
          <w:lang w:val="en-US"/>
        </w:rPr>
      </w:pPr>
      <w:r>
        <w:rPr>
          <w:rFonts w:ascii="Times New Roman" w:hAnsi="Times New Roman"/>
          <w:bCs/>
        </w:rPr>
        <w:t>Impact on the Ultimate Research Proposal</w:t>
      </w:r>
      <w:r>
        <w:rPr>
          <w:rFonts w:ascii="Times New Roman" w:hAnsi="Times New Roman"/>
        </w:rPr>
        <w:tab/>
      </w:r>
      <w:r>
        <w:rPr>
          <w:rFonts w:hint="default" w:ascii="Times New Roman" w:hAnsi="Times New Roman"/>
          <w:lang w:val="en-US"/>
        </w:rPr>
        <w:t>17</w:t>
      </w:r>
    </w:p>
    <w:p w14:paraId="20532720">
      <w:pPr>
        <w:pStyle w:val="13"/>
        <w:tabs>
          <w:tab w:val="right" w:leader="dot" w:pos="9790"/>
        </w:tabs>
        <w:ind w:left="960"/>
        <w:rPr>
          <w:rFonts w:hint="default" w:ascii="Times New Roman" w:hAnsi="Times New Roman"/>
          <w:lang w:val="en-US"/>
        </w:rPr>
      </w:pPr>
      <w:r>
        <w:rPr>
          <w:rFonts w:ascii="Times New Roman" w:hAnsi="Times New Roman"/>
          <w:bCs/>
        </w:rPr>
        <w:t>Resolution of Contradictions and Challenges</w:t>
      </w:r>
      <w:r>
        <w:rPr>
          <w:rFonts w:ascii="Times New Roman" w:hAnsi="Times New Roman"/>
        </w:rPr>
        <w:tab/>
      </w:r>
      <w:r>
        <w:rPr>
          <w:rFonts w:hint="default" w:ascii="Times New Roman" w:hAnsi="Times New Roman"/>
          <w:lang w:val="en-US"/>
        </w:rPr>
        <w:t>18</w:t>
      </w:r>
    </w:p>
    <w:p w14:paraId="60A23E52">
      <w:pPr>
        <w:pStyle w:val="12"/>
        <w:tabs>
          <w:tab w:val="right" w:leader="dot" w:pos="9790"/>
        </w:tabs>
        <w:ind w:left="480"/>
        <w:rPr>
          <w:rFonts w:hint="default" w:ascii="Times New Roman" w:hAnsi="Times New Roman"/>
          <w:lang w:val="en-US"/>
        </w:rPr>
      </w:pPr>
      <w:r>
        <w:rPr>
          <w:rFonts w:ascii="Times New Roman" w:hAnsi="Times New Roman"/>
        </w:rPr>
        <w:t>NEXT STEPS</w:t>
      </w:r>
      <w:r>
        <w:rPr>
          <w:rFonts w:ascii="Times New Roman" w:hAnsi="Times New Roman"/>
        </w:rPr>
        <w:tab/>
      </w:r>
      <w:r>
        <w:rPr>
          <w:rFonts w:hint="default" w:ascii="Times New Roman" w:hAnsi="Times New Roman"/>
          <w:lang w:val="en-US"/>
        </w:rPr>
        <w:t>18</w:t>
      </w:r>
    </w:p>
    <w:p w14:paraId="6DD14CFE">
      <w:pPr>
        <w:pStyle w:val="13"/>
        <w:tabs>
          <w:tab w:val="right" w:leader="dot" w:pos="9790"/>
        </w:tabs>
        <w:ind w:left="960"/>
        <w:rPr>
          <w:rFonts w:hint="default" w:ascii="Times New Roman" w:hAnsi="Times New Roman"/>
          <w:lang w:val="en-US"/>
        </w:rPr>
      </w:pPr>
      <w:r>
        <w:rPr>
          <w:rFonts w:ascii="Times New Roman" w:hAnsi="Times New Roman"/>
          <w:bCs/>
        </w:rPr>
        <w:t>Final Thoughts</w:t>
      </w:r>
      <w:r>
        <w:rPr>
          <w:rFonts w:ascii="Times New Roman" w:hAnsi="Times New Roman"/>
        </w:rPr>
        <w:tab/>
      </w:r>
      <w:r>
        <w:rPr>
          <w:rFonts w:hint="default" w:ascii="Times New Roman" w:hAnsi="Times New Roman"/>
          <w:lang w:val="en-US"/>
        </w:rPr>
        <w:t>18</w:t>
      </w:r>
    </w:p>
    <w:p w14:paraId="14EE9359">
      <w:pPr>
        <w:pStyle w:val="12"/>
        <w:tabs>
          <w:tab w:val="right" w:leader="dot" w:pos="9790"/>
        </w:tabs>
        <w:ind w:left="480"/>
        <w:rPr>
          <w:rFonts w:hint="default" w:ascii="Times New Roman" w:hAnsi="Times New Roman"/>
          <w:lang w:val="en-US"/>
        </w:rPr>
      </w:pPr>
      <w:r>
        <w:rPr>
          <w:rFonts w:ascii="Times New Roman" w:hAnsi="Times New Roman"/>
        </w:rPr>
        <w:t>References</w:t>
      </w:r>
      <w:r>
        <w:rPr>
          <w:rFonts w:ascii="Times New Roman" w:hAnsi="Times New Roman"/>
        </w:rPr>
        <w:tab/>
      </w:r>
      <w:r>
        <w:rPr>
          <w:rFonts w:hint="default" w:ascii="Times New Roman" w:hAnsi="Times New Roman"/>
          <w:lang w:val="en-US"/>
        </w:rPr>
        <w:t>20</w:t>
      </w:r>
      <w:bookmarkStart w:id="129" w:name="_GoBack"/>
      <w:bookmarkEnd w:id="129"/>
    </w:p>
    <w:p w14:paraId="4FD2C97D">
      <w:pPr>
        <w:outlineLvl w:val="2"/>
        <w:rPr>
          <w:rFonts w:ascii="Times New Roman" w:hAnsi="Times New Roman"/>
        </w:rPr>
      </w:pPr>
      <w:r>
        <w:rPr>
          <w:rFonts w:ascii="Times New Roman" w:hAnsi="Times New Roman"/>
        </w:rPr>
        <w:t xml:space="preserve"> </w:t>
      </w:r>
    </w:p>
    <w:p w14:paraId="3A1CE3CC">
      <w:pPr>
        <w:rPr>
          <w:rFonts w:ascii="Times New Roman" w:hAnsi="Times New Roman" w:eastAsia="SimSun"/>
          <w:b/>
          <w:bCs/>
          <w:kern w:val="44"/>
        </w:rPr>
        <w:sectPr>
          <w:headerReference r:id="rId7" w:type="first"/>
          <w:footerReference r:id="rId10" w:type="first"/>
          <w:headerReference r:id="rId5" w:type="default"/>
          <w:footerReference r:id="rId8" w:type="default"/>
          <w:headerReference r:id="rId6" w:type="even"/>
          <w:footerReference r:id="rId9" w:type="even"/>
          <w:pgSz w:w="11906" w:h="16838"/>
          <w:pgMar w:top="1440" w:right="1310" w:bottom="1440" w:left="806" w:header="720" w:footer="720" w:gutter="0"/>
          <w:cols w:space="720" w:num="1"/>
          <w:docGrid w:type="lines" w:linePitch="360" w:charSpace="0"/>
        </w:sectPr>
      </w:pPr>
    </w:p>
    <w:p w14:paraId="097F2DB7">
      <w:pPr>
        <w:pStyle w:val="2"/>
        <w:jc w:val="both"/>
        <w:rPr>
          <w:rFonts w:ascii="Times New Roman" w:hAnsi="Times New Roman"/>
          <w:sz w:val="40"/>
          <w:szCs w:val="40"/>
        </w:rPr>
      </w:pPr>
      <w:bookmarkStart w:id="16" w:name="_Toc17159"/>
      <w:bookmarkEnd w:id="16"/>
      <w:bookmarkStart w:id="17" w:name="_Toc13949"/>
      <w:bookmarkEnd w:id="17"/>
      <w:bookmarkStart w:id="18" w:name="_Toc8509"/>
      <w:r>
        <w:rPr>
          <w:rFonts w:ascii="Times New Roman" w:hAnsi="Times New Roman"/>
          <w:sz w:val="40"/>
          <w:szCs w:val="40"/>
        </w:rPr>
        <w:t>Exploring the Role and Extent of AI in Addressing Diversity, Inclusion and Attainment Gap Concerns in Tertiary Level Education: The Case of UWTSD</w:t>
      </w:r>
      <w:bookmarkEnd w:id="18"/>
      <w:r>
        <w:rPr>
          <w:rFonts w:ascii="Times New Roman" w:hAnsi="Times New Roman"/>
          <w:sz w:val="40"/>
          <w:szCs w:val="40"/>
        </w:rPr>
        <w:t>(University of Wales Trinity Saint David).</w:t>
      </w:r>
    </w:p>
    <w:p w14:paraId="2BC7926B">
      <w:pPr>
        <w:pStyle w:val="3"/>
        <w:autoSpaceDE w:val="0"/>
        <w:jc w:val="both"/>
        <w:rPr>
          <w:rFonts w:ascii="Times New Roman" w:hAnsi="Times New Roman"/>
          <w:sz w:val="32"/>
          <w:szCs w:val="32"/>
        </w:rPr>
      </w:pPr>
      <w:bookmarkStart w:id="19" w:name="_Toc6795"/>
      <w:bookmarkEnd w:id="19"/>
      <w:r>
        <w:rPr>
          <w:rFonts w:ascii="Times New Roman" w:hAnsi="Times New Roman"/>
          <w:sz w:val="32"/>
          <w:szCs w:val="32"/>
        </w:rPr>
        <w:t xml:space="preserve"> </w:t>
      </w:r>
    </w:p>
    <w:p w14:paraId="1DA6A5D8">
      <w:pPr>
        <w:pStyle w:val="3"/>
        <w:autoSpaceDE w:val="0"/>
        <w:jc w:val="both"/>
        <w:rPr>
          <w:rFonts w:ascii="Times New Roman" w:hAnsi="Times New Roman"/>
          <w:sz w:val="32"/>
          <w:szCs w:val="32"/>
        </w:rPr>
      </w:pPr>
      <w:bookmarkStart w:id="20" w:name="_Toc16301"/>
      <w:bookmarkEnd w:id="20"/>
      <w:r>
        <w:rPr>
          <w:rFonts w:ascii="Times New Roman" w:hAnsi="Times New Roman"/>
          <w:sz w:val="32"/>
          <w:szCs w:val="32"/>
        </w:rPr>
        <w:t>Introduction</w:t>
      </w:r>
    </w:p>
    <w:p w14:paraId="739D5BF8">
      <w:pPr>
        <w:pStyle w:val="4"/>
        <w:autoSpaceDE w:val="0"/>
        <w:jc w:val="both"/>
        <w:rPr>
          <w:rFonts w:ascii="Times New Roman" w:hAnsi="Times New Roman"/>
          <w:sz w:val="28"/>
          <w:szCs w:val="28"/>
        </w:rPr>
      </w:pPr>
      <w:bookmarkStart w:id="21" w:name="_Toc1249"/>
      <w:bookmarkEnd w:id="21"/>
      <w:bookmarkStart w:id="22" w:name="_Toc2054"/>
      <w:bookmarkEnd w:id="22"/>
      <w:r>
        <w:rPr>
          <w:rFonts w:ascii="Times New Roman" w:hAnsi="Times New Roman"/>
          <w:sz w:val="28"/>
          <w:szCs w:val="28"/>
        </w:rPr>
        <w:t>Justification for the Study</w:t>
      </w:r>
    </w:p>
    <w:p w14:paraId="1497AD8E">
      <w:pPr>
        <w:pStyle w:val="10"/>
        <w:autoSpaceDE w:val="0"/>
        <w:jc w:val="both"/>
      </w:pPr>
      <w:r>
        <w:t>AI is becoming a major influence on higher education, and it is used in the form of personalised learning, as well as in administrative decision support (Holmes and Tuomi, 2022; Zawacki-Richter et al. 2019). Nevertheless, the extent to which AI affects diversity, inclusion, and attainment gaps among diverse students is not well studied, especially in higher institutions in the UK (Arslan, Youssef and Ghandour, 2025; Cotilla Conceicao and Stappen, 2025). Knowledge of how AI is viewed and used by different stakeholders such as students, academic staff, learning support assistants, IT facilitators and  institutional policymakers,  is critical for developing  equitable and scalable interventions (Shams, Zowghi and Bano, 2025;  Intezari et al., 2021). This study fills this gap by discussing the role and the scope of AI in enhancing inclusivity and reducing attainment gaps in the case of University of Wales Trinity Saint David (UWTSD).</w:t>
      </w:r>
      <w:bookmarkStart w:id="23" w:name="_Toc23528"/>
      <w:bookmarkEnd w:id="23"/>
    </w:p>
    <w:p w14:paraId="72932501">
      <w:pPr>
        <w:pStyle w:val="4"/>
        <w:autoSpaceDE w:val="0"/>
        <w:jc w:val="both"/>
        <w:rPr>
          <w:rFonts w:ascii="Times New Roman" w:hAnsi="Times New Roman"/>
          <w:sz w:val="28"/>
          <w:szCs w:val="28"/>
        </w:rPr>
      </w:pPr>
      <w:bookmarkStart w:id="24" w:name="_Toc9583"/>
      <w:bookmarkEnd w:id="24"/>
      <w:r>
        <w:rPr>
          <w:rFonts w:ascii="Times New Roman" w:hAnsi="Times New Roman"/>
          <w:sz w:val="28"/>
          <w:szCs w:val="28"/>
        </w:rPr>
        <w:t>Theoretical and Practical Contributions</w:t>
      </w:r>
    </w:p>
    <w:p w14:paraId="23EADFD0">
      <w:pPr>
        <w:pStyle w:val="10"/>
        <w:autoSpaceDE w:val="0"/>
        <w:jc w:val="both"/>
      </w:pPr>
      <w:r>
        <w:t>Theoretically, the research contributes to the body of knowledge on AI adoption in higher education through the lens of technological affordances, human-computer interaction, and educational equity frameworks (Luckin and Cukurova, 2019; Song et al., 2024). In practice, the research informs institutional strategies for  implementing AI-oriented platforms, ensuring that technological adoption does not unintentionally strengthen the status quo, and provides evidence-based guidance for curriculum development and teaching practices (Bayer et al., 2024; Drydakis, 2025).</w:t>
      </w:r>
      <w:bookmarkStart w:id="25" w:name="_Toc6826"/>
      <w:bookmarkEnd w:id="25"/>
      <w:r>
        <w:rPr>
          <w:sz w:val="28"/>
          <w:szCs w:val="28"/>
        </w:rPr>
        <w:t xml:space="preserve"> </w:t>
      </w:r>
    </w:p>
    <w:p w14:paraId="155895E1">
      <w:pPr>
        <w:pStyle w:val="4"/>
        <w:autoSpaceDE w:val="0"/>
        <w:jc w:val="both"/>
        <w:rPr>
          <w:rFonts w:ascii="Times New Roman" w:hAnsi="Times New Roman"/>
          <w:sz w:val="28"/>
          <w:szCs w:val="28"/>
        </w:rPr>
      </w:pPr>
      <w:bookmarkStart w:id="26" w:name="_Toc1419"/>
      <w:bookmarkEnd w:id="26"/>
      <w:r>
        <w:rPr>
          <w:rFonts w:ascii="Times New Roman" w:hAnsi="Times New Roman"/>
          <w:sz w:val="28"/>
          <w:szCs w:val="28"/>
        </w:rPr>
        <w:t>Objectives of the Study</w:t>
      </w:r>
    </w:p>
    <w:p w14:paraId="0B9EFEA5">
      <w:pPr>
        <w:pStyle w:val="10"/>
        <w:numPr>
          <w:ilvl w:val="0"/>
          <w:numId w:val="1"/>
        </w:numPr>
        <w:autoSpaceDE w:val="0"/>
        <w:ind w:left="0" w:firstLine="0"/>
        <w:jc w:val="both"/>
      </w:pPr>
      <w:r>
        <w:t xml:space="preserve">To explore the perceptions of AI-based educational platforms among key stakeholders in tertiary education. </w:t>
      </w:r>
    </w:p>
    <w:p w14:paraId="3646BBE7">
      <w:pPr>
        <w:pStyle w:val="10"/>
        <w:numPr>
          <w:ilvl w:val="0"/>
          <w:numId w:val="1"/>
        </w:numPr>
        <w:autoSpaceDE w:val="0"/>
        <w:ind w:left="0" w:firstLine="0"/>
        <w:jc w:val="both"/>
      </w:pPr>
      <w:r>
        <w:t>To explore how AI can facilitate pedagogical experiences in diverse classrooms.</w:t>
      </w:r>
    </w:p>
    <w:p w14:paraId="55306FDF">
      <w:pPr>
        <w:pStyle w:val="10"/>
        <w:numPr>
          <w:ilvl w:val="0"/>
          <w:numId w:val="1"/>
        </w:numPr>
        <w:autoSpaceDE w:val="0"/>
        <w:ind w:left="0" w:firstLine="0"/>
        <w:jc w:val="both"/>
      </w:pPr>
      <w:r>
        <w:t>To examine AI ability to detect and adapt to students needs and emotions.</w:t>
      </w:r>
    </w:p>
    <w:p w14:paraId="2AF6F64E">
      <w:pPr>
        <w:pStyle w:val="10"/>
        <w:numPr>
          <w:ilvl w:val="0"/>
          <w:numId w:val="1"/>
        </w:numPr>
        <w:autoSpaceDE w:val="0"/>
        <w:ind w:left="0" w:firstLine="0"/>
        <w:jc w:val="both"/>
      </w:pPr>
      <w:r>
        <w:t>To identify the opportunities and challenges of using AI-assisted learning to address attainment gaps.</w:t>
      </w:r>
    </w:p>
    <w:p w14:paraId="778D168F">
      <w:pPr>
        <w:pStyle w:val="10"/>
        <w:numPr>
          <w:ilvl w:val="0"/>
          <w:numId w:val="1"/>
        </w:numPr>
        <w:autoSpaceDE w:val="0"/>
        <w:ind w:left="0" w:firstLine="0"/>
        <w:jc w:val="both"/>
      </w:pPr>
      <w:r>
        <w:t>To draw inferences about scalable and inclusive AI implementations in higher education.</w:t>
      </w:r>
      <w:bookmarkStart w:id="27" w:name="_Toc16658"/>
      <w:bookmarkEnd w:id="27"/>
      <w:r>
        <w:rPr>
          <w:sz w:val="28"/>
          <w:szCs w:val="28"/>
        </w:rPr>
        <w:t xml:space="preserve"> </w:t>
      </w:r>
    </w:p>
    <w:p w14:paraId="2A7E7CDC">
      <w:pPr>
        <w:pStyle w:val="4"/>
        <w:autoSpaceDE w:val="0"/>
        <w:jc w:val="both"/>
        <w:rPr>
          <w:rFonts w:ascii="Times New Roman" w:hAnsi="Times New Roman"/>
          <w:sz w:val="28"/>
          <w:szCs w:val="28"/>
        </w:rPr>
      </w:pPr>
      <w:bookmarkStart w:id="28" w:name="_Toc10531"/>
      <w:bookmarkEnd w:id="28"/>
      <w:r>
        <w:rPr>
          <w:rFonts w:ascii="Times New Roman" w:hAnsi="Times New Roman"/>
          <w:sz w:val="28"/>
          <w:szCs w:val="28"/>
        </w:rPr>
        <w:t>Research Questions</w:t>
      </w:r>
    </w:p>
    <w:p w14:paraId="6CD12E46">
      <w:pPr>
        <w:pStyle w:val="10"/>
        <w:numPr>
          <w:ilvl w:val="0"/>
          <w:numId w:val="2"/>
        </w:numPr>
        <w:autoSpaceDE w:val="0"/>
        <w:ind w:left="0" w:firstLine="0"/>
        <w:jc w:val="both"/>
      </w:pPr>
      <w:r>
        <w:t>How are AI-driven educational platforms perceived by main stakeholders?</w:t>
      </w:r>
    </w:p>
    <w:p w14:paraId="7C5D0ABA">
      <w:pPr>
        <w:pStyle w:val="10"/>
        <w:numPr>
          <w:ilvl w:val="0"/>
          <w:numId w:val="2"/>
        </w:numPr>
        <w:autoSpaceDE w:val="0"/>
        <w:ind w:left="0" w:firstLine="0"/>
        <w:jc w:val="both"/>
      </w:pPr>
      <w:r>
        <w:t>How is AI used to support pedagogical experiences within the classroom?</w:t>
      </w:r>
    </w:p>
    <w:p w14:paraId="26CB2544">
      <w:pPr>
        <w:pStyle w:val="10"/>
        <w:numPr>
          <w:ilvl w:val="0"/>
          <w:numId w:val="2"/>
        </w:numPr>
        <w:autoSpaceDE w:val="0"/>
        <w:ind w:left="0" w:firstLine="0"/>
        <w:jc w:val="both"/>
      </w:pPr>
      <w:r>
        <w:t>How is AI employed to sense and respond to diverse learners’ needs and emotions?</w:t>
      </w:r>
    </w:p>
    <w:p w14:paraId="04CCDC28">
      <w:pPr>
        <w:pStyle w:val="10"/>
        <w:numPr>
          <w:ilvl w:val="0"/>
          <w:numId w:val="2"/>
        </w:numPr>
        <w:autoSpaceDE w:val="0"/>
        <w:ind w:left="0" w:firstLine="0"/>
        <w:jc w:val="both"/>
      </w:pPr>
      <w:r>
        <w:t>What opportunities does AI-assisted learning offer for addressing learning gaps?</w:t>
      </w:r>
    </w:p>
    <w:p w14:paraId="2AA9841D">
      <w:pPr>
        <w:pStyle w:val="10"/>
        <w:numPr>
          <w:ilvl w:val="0"/>
          <w:numId w:val="2"/>
        </w:numPr>
        <w:autoSpaceDE w:val="0"/>
        <w:ind w:left="0" w:firstLine="0"/>
        <w:jc w:val="both"/>
      </w:pPr>
      <w:r>
        <w:t>What lessons can be learned from AI-supported learning environments to inform scalable practices?</w:t>
      </w:r>
    </w:p>
    <w:p w14:paraId="2BE8098F">
      <w:pPr>
        <w:pStyle w:val="4"/>
        <w:autoSpaceDE w:val="0"/>
        <w:jc w:val="both"/>
        <w:rPr>
          <w:rFonts w:ascii="Times New Roman" w:hAnsi="Times New Roman"/>
          <w:sz w:val="28"/>
          <w:szCs w:val="28"/>
        </w:rPr>
      </w:pPr>
      <w:bookmarkStart w:id="29" w:name="_Toc27589"/>
      <w:bookmarkEnd w:id="29"/>
      <w:bookmarkStart w:id="30" w:name="_Toc23359"/>
      <w:r>
        <w:rPr>
          <w:rFonts w:ascii="Times New Roman" w:hAnsi="Times New Roman"/>
          <w:sz w:val="28"/>
          <w:szCs w:val="28"/>
        </w:rPr>
        <w:t>Hypothesis</w:t>
      </w:r>
      <w:bookmarkEnd w:id="30"/>
    </w:p>
    <w:p w14:paraId="58C8136D">
      <w:pPr>
        <w:autoSpaceDE w:val="0"/>
        <w:jc w:val="both"/>
        <w:rPr>
          <w:rFonts w:ascii="Times New Roman" w:hAnsi="Times New Roman"/>
        </w:rPr>
      </w:pPr>
      <w:r>
        <w:rPr>
          <w:rFonts w:ascii="Times New Roman" w:hAnsi="Times New Roman"/>
        </w:rPr>
        <w:t>This research, guided by an interpretivist paradaigm based on  critical realist philosophy, posits that AI tools and institutional systems significantly, yet not deterministically, impact teaching methods in higher education. It is proposed that the application and scope of AI at UWTSD are potentially influenced by social and contextual factors, especially concerning diversity and inclusion initiatives. Variations in AI usage are anticipated to correlate with students' existing knowledge, digital skills, and study behaviors, potentially affecting how AI enhances learning experiences and helps bridge achievement gaps. Nonetheless, AI driven learning is not presumed to solely dictate educational results, as these are shaped by broader institutional, social, and personal elements. When viewed through a human rights and ethical perspective, it is further suggested that the frequency, accessibility, and deployment of AI in education present significant considerations about equity, inclusion, autonomy, and fairness in efforts to minimize achievement disparities.</w:t>
      </w:r>
    </w:p>
    <w:p w14:paraId="56946E27">
      <w:pPr>
        <w:pStyle w:val="4"/>
        <w:autoSpaceDE w:val="0"/>
        <w:jc w:val="both"/>
        <w:rPr>
          <w:rFonts w:ascii="Times New Roman" w:hAnsi="Times New Roman"/>
          <w:sz w:val="28"/>
          <w:szCs w:val="28"/>
        </w:rPr>
      </w:pPr>
      <w:bookmarkStart w:id="31" w:name="_Toc938"/>
      <w:bookmarkEnd w:id="31"/>
    </w:p>
    <w:p w14:paraId="366FF363">
      <w:pPr>
        <w:pStyle w:val="4"/>
        <w:autoSpaceDE w:val="0"/>
        <w:jc w:val="both"/>
        <w:rPr>
          <w:rFonts w:ascii="Times New Roman" w:hAnsi="Times New Roman"/>
          <w:sz w:val="28"/>
          <w:szCs w:val="28"/>
        </w:rPr>
      </w:pPr>
      <w:bookmarkStart w:id="32" w:name="_Toc28689"/>
      <w:bookmarkEnd w:id="32"/>
      <w:r>
        <w:rPr>
          <w:rFonts w:ascii="Times New Roman" w:hAnsi="Times New Roman"/>
          <w:sz w:val="28"/>
          <w:szCs w:val="28"/>
        </w:rPr>
        <w:t>Business / Societal Problems Addressed</w:t>
      </w:r>
    </w:p>
    <w:p w14:paraId="706C6A3E">
      <w:pPr>
        <w:pStyle w:val="2"/>
        <w:autoSpaceDE w:val="0"/>
        <w:jc w:val="both"/>
        <w:rPr>
          <w:rFonts w:ascii="Times New Roman" w:hAnsi="Times New Roman"/>
          <w:b w:val="0"/>
          <w:bCs w:val="0"/>
          <w:sz w:val="24"/>
          <w:szCs w:val="24"/>
        </w:rPr>
      </w:pPr>
      <w:bookmarkStart w:id="33" w:name="_Toc18112"/>
      <w:bookmarkEnd w:id="33"/>
      <w:bookmarkStart w:id="34" w:name="_Toc16714"/>
      <w:bookmarkEnd w:id="34"/>
      <w:bookmarkStart w:id="35" w:name="_Toc13153"/>
      <w:r>
        <w:rPr>
          <w:rFonts w:ascii="Times New Roman" w:hAnsi="Times New Roman"/>
          <w:b w:val="0"/>
          <w:bCs w:val="0"/>
          <w:sz w:val="24"/>
          <w:szCs w:val="24"/>
        </w:rPr>
        <w:t>By a</w:t>
      </w:r>
      <w:bookmarkEnd w:id="35"/>
      <w:r>
        <w:rPr>
          <w:rFonts w:ascii="Times New Roman" w:hAnsi="Times New Roman"/>
          <w:b w:val="0"/>
          <w:bCs w:val="0"/>
          <w:sz w:val="24"/>
          <w:szCs w:val="24"/>
        </w:rPr>
        <w:t xml:space="preserve">ssessing AI  relevance among diverse stakeholders, it will aim to inform policy and practice to enhance inclusivity and equity in education. </w:t>
      </w:r>
      <w:bookmarkStart w:id="36" w:name="_Toc685"/>
      <w:bookmarkEnd w:id="36"/>
    </w:p>
    <w:p w14:paraId="1304FC77"/>
    <w:p w14:paraId="0BB603E3">
      <w:pPr>
        <w:pStyle w:val="4"/>
        <w:autoSpaceDE w:val="0"/>
        <w:jc w:val="both"/>
        <w:rPr>
          <w:rFonts w:ascii="Times New Roman" w:hAnsi="Times New Roman"/>
          <w:sz w:val="32"/>
          <w:szCs w:val="32"/>
        </w:rPr>
      </w:pPr>
      <w:bookmarkStart w:id="37" w:name="_Toc11063"/>
      <w:bookmarkEnd w:id="37"/>
      <w:r>
        <w:rPr>
          <w:rFonts w:ascii="Times New Roman" w:hAnsi="Times New Roman"/>
          <w:sz w:val="32"/>
          <w:szCs w:val="32"/>
        </w:rPr>
        <w:t>Background to the Research</w:t>
      </w:r>
    </w:p>
    <w:p w14:paraId="39486621">
      <w:pPr>
        <w:pStyle w:val="4"/>
        <w:autoSpaceDE w:val="0"/>
        <w:jc w:val="both"/>
        <w:rPr>
          <w:rFonts w:ascii="Times New Roman" w:hAnsi="Times New Roman"/>
          <w:sz w:val="28"/>
          <w:szCs w:val="28"/>
        </w:rPr>
      </w:pPr>
      <w:bookmarkStart w:id="38" w:name="_Toc35"/>
      <w:bookmarkEnd w:id="38"/>
      <w:bookmarkStart w:id="39" w:name="_Toc11479"/>
      <w:r>
        <w:rPr>
          <w:rFonts w:ascii="Times New Roman" w:hAnsi="Times New Roman"/>
          <w:sz w:val="28"/>
          <w:szCs w:val="28"/>
        </w:rPr>
        <w:t>The Role of AI in Higher Education</w:t>
      </w:r>
      <w:bookmarkEnd w:id="39"/>
    </w:p>
    <w:p w14:paraId="4229A132">
      <w:pPr>
        <w:autoSpaceDE w:val="0"/>
        <w:jc w:val="both"/>
        <w:rPr>
          <w:rFonts w:ascii="Times New Roman" w:hAnsi="Times New Roman"/>
        </w:rPr>
      </w:pPr>
      <w:r>
        <w:rPr>
          <w:rFonts w:ascii="Times New Roman" w:hAnsi="Times New Roman"/>
        </w:rPr>
        <w:t>Artificial Intelligence (AI) has progressed through various stages, transitioning from initial symbolic, rule-based frameworks to modern data driven and generative models, each phase influenced by the technological capabilities and societal expectations of its time (Beta, 2024). Early AI systems depended on explicitly programmed logical rules, which were effective in limited domains but faced challenges in addressing the complexity and contextual variability found in educational environments (Sasikala and Ravichandran, 2024). Later developments in machine learning allowed systems to discern patterns in data, enabling some degree of personalisation in education. However, its adoption in higher education remained largely experimental due to limitations in infrastructure and data (O’Dea et al., 2024a). The advent of deep learning and natural language processing marked a pivotal change, enabling more adaptive and interactive learning technologies and sparking policy-level discussions about AI’s potential to transform curriculum design beyond merely automating existing practices (O’Dea et al, 2024). Nonetheless, historical cycles of optimism followed by disappointment, often referred to as “AI winters,” emphasise the dangers of exaggerating impact without solid long-term evidence, especially concerning equity and achievement outcomes (Eltahir and Babiker, 2024). Additionally, concerns about biases in training data highlight the necessity for critical and context-aware implementation in diverse educational settings (Cotilla Conceição and Stappen, 2025).</w:t>
      </w:r>
    </w:p>
    <w:p w14:paraId="4A7CEA4B">
      <w:pPr>
        <w:pStyle w:val="4"/>
        <w:autoSpaceDE w:val="0"/>
        <w:jc w:val="both"/>
        <w:rPr>
          <w:rFonts w:ascii="Times New Roman" w:hAnsi="Times New Roman"/>
          <w:sz w:val="28"/>
          <w:szCs w:val="28"/>
        </w:rPr>
      </w:pPr>
      <w:bookmarkStart w:id="40" w:name="_Toc29091"/>
      <w:bookmarkEnd w:id="40"/>
      <w:r>
        <w:rPr>
          <w:rFonts w:ascii="Times New Roman" w:hAnsi="Times New Roman"/>
          <w:sz w:val="28"/>
          <w:szCs w:val="28"/>
        </w:rPr>
        <w:t xml:space="preserve"> </w:t>
      </w:r>
    </w:p>
    <w:p w14:paraId="6080E04D">
      <w:pPr>
        <w:pStyle w:val="4"/>
        <w:autoSpaceDE w:val="0"/>
        <w:jc w:val="both"/>
        <w:rPr>
          <w:rFonts w:ascii="Times New Roman" w:hAnsi="Times New Roman"/>
          <w:sz w:val="28"/>
          <w:szCs w:val="28"/>
        </w:rPr>
      </w:pPr>
      <w:bookmarkStart w:id="41" w:name="_Toc8498"/>
      <w:bookmarkEnd w:id="41"/>
      <w:r>
        <w:rPr>
          <w:rFonts w:ascii="Times New Roman" w:hAnsi="Times New Roman"/>
          <w:sz w:val="28"/>
          <w:szCs w:val="28"/>
        </w:rPr>
        <w:t>Challenges Facing AI Integration</w:t>
      </w:r>
    </w:p>
    <w:p w14:paraId="38A4C758">
      <w:pPr>
        <w:pStyle w:val="3"/>
        <w:autoSpaceDE w:val="0"/>
        <w:jc w:val="both"/>
        <w:rPr>
          <w:rFonts w:ascii="Times New Roman" w:hAnsi="Times New Roman"/>
          <w:sz w:val="28"/>
          <w:szCs w:val="28"/>
        </w:rPr>
      </w:pPr>
      <w:bookmarkStart w:id="42" w:name="_Toc7085"/>
      <w:bookmarkEnd w:id="42"/>
      <w:bookmarkStart w:id="43" w:name="_Toc8719"/>
      <w:bookmarkEnd w:id="43"/>
      <w:bookmarkStart w:id="44" w:name="_Toc29216"/>
      <w:r>
        <w:rPr>
          <w:rFonts w:ascii="Times New Roman" w:hAnsi="Times New Roman"/>
          <w:b w:val="0"/>
          <w:bCs w:val="0"/>
          <w:sz w:val="24"/>
          <w:szCs w:val="24"/>
        </w:rPr>
        <w:t xml:space="preserve">There are </w:t>
      </w:r>
      <w:bookmarkEnd w:id="44"/>
      <w:r>
        <w:rPr>
          <w:rFonts w:ascii="Times New Roman" w:hAnsi="Times New Roman"/>
          <w:b w:val="0"/>
          <w:bCs w:val="0"/>
          <w:sz w:val="24"/>
          <w:szCs w:val="24"/>
        </w:rPr>
        <w:t>several obstacles to overcome while implementing AI, even though it holds potential  for  future applications. Several ethical concerns regarding algorithms bias,  data privacy, and unfair access to resources powered by AI (Shams, Zowghi and Bano, 2025; Berendt, Littlejohn and Blakemore, 2020; Intezari et al., 2021). From a technical standpoint, there are challenges, like validating its compatibility with existing  LMSs, transparency in decision making, infrastructure limitations, particularly with limited resources (Crompton and Burke, 2025; Sasikala and Ravichandran, 2024). Teachers lack of knowledge or confidence in AI  technologies for differentiated instructions, might hinder pedagogical integration (Whitbread et al., 2025; Zong and Yang, 2025).</w:t>
      </w:r>
      <w:bookmarkStart w:id="45" w:name="_Toc11610"/>
      <w:bookmarkEnd w:id="45"/>
    </w:p>
    <w:p w14:paraId="0279075D">
      <w:pPr>
        <w:pStyle w:val="4"/>
        <w:autoSpaceDE w:val="0"/>
        <w:jc w:val="both"/>
        <w:rPr>
          <w:rFonts w:ascii="Times New Roman" w:hAnsi="Times New Roman"/>
          <w:sz w:val="28"/>
          <w:szCs w:val="28"/>
        </w:rPr>
      </w:pPr>
      <w:bookmarkStart w:id="46" w:name="_Toc26693"/>
      <w:bookmarkEnd w:id="46"/>
      <w:r>
        <w:rPr>
          <w:rFonts w:ascii="Times New Roman" w:hAnsi="Times New Roman"/>
          <w:sz w:val="28"/>
          <w:szCs w:val="28"/>
        </w:rPr>
        <w:t>Need for this Research</w:t>
      </w:r>
    </w:p>
    <w:p w14:paraId="21D9AA69">
      <w:pPr>
        <w:pStyle w:val="10"/>
        <w:autoSpaceDE w:val="0"/>
        <w:jc w:val="both"/>
      </w:pPr>
      <w:r>
        <w:t xml:space="preserve">In recent years, AI has become increasingly embedded in higher education, from personalised learning systems to institutional decision-support tools.However, despite widespread adoption, </w:t>
      </w:r>
      <w:r>
        <w:rPr>
          <w:rStyle w:val="17"/>
          <w:b w:val="0"/>
          <w:bCs w:val="0"/>
        </w:rPr>
        <w:t>there is limited research on how AI is actually perceived by key stakeholders</w:t>
      </w:r>
      <w:r>
        <w:t xml:space="preserve"> students, academic staff, support teams, and policymakers.</w:t>
      </w:r>
      <w:r>
        <w:br w:type="textWrapping"/>
      </w:r>
      <w:r>
        <w:t>Existing studies, such as Cotilla Conceição and Stappen (2025) and Shams, Zowghi and Bano (2025), highlight potential benefits but also emphasis uncertainty around fairness, bias, and equitable outcomes.</w:t>
      </w:r>
      <w:r>
        <w:br w:type="textWrapping"/>
      </w:r>
      <w:r>
        <w:t>This gap creates a tension, while AI promises personalised, inclusive, and efficient learning environments, we do not yet know whether it truly supports diverse learners or reinforces existing inequalities.</w:t>
      </w:r>
      <w:r>
        <w:br w:type="textWrapping"/>
      </w:r>
      <w:r>
        <w:t>My research aims to explore this gap in the context of UWTSD.</w:t>
      </w:r>
      <w:bookmarkStart w:id="47" w:name="_Toc26273"/>
      <w:bookmarkEnd w:id="47"/>
    </w:p>
    <w:p w14:paraId="5D3837C1">
      <w:pPr>
        <w:pStyle w:val="4"/>
        <w:autoSpaceDE w:val="0"/>
        <w:jc w:val="both"/>
        <w:rPr>
          <w:rFonts w:ascii="Times New Roman" w:hAnsi="Times New Roman"/>
          <w:sz w:val="28"/>
          <w:szCs w:val="28"/>
        </w:rPr>
      </w:pPr>
      <w:bookmarkStart w:id="48" w:name="_Toc12855"/>
      <w:bookmarkEnd w:id="48"/>
      <w:r>
        <w:rPr>
          <w:rFonts w:ascii="Times New Roman" w:hAnsi="Times New Roman"/>
          <w:sz w:val="28"/>
          <w:szCs w:val="28"/>
        </w:rPr>
        <w:t>Bridging the Research Gap</w:t>
      </w:r>
    </w:p>
    <w:p w14:paraId="5270222F">
      <w:pPr>
        <w:pStyle w:val="10"/>
        <w:autoSpaceDE w:val="0"/>
        <w:jc w:val="both"/>
        <w:rPr>
          <w:rFonts w:ascii="Times New Roman" w:hAnsi="Times New Roman"/>
          <w:sz w:val="32"/>
          <w:szCs w:val="32"/>
        </w:rPr>
      </w:pPr>
      <w:r>
        <w:t>The literature on artificial intelligence in higher education highlights both the potential benefits and risks of this technology. Dara, Vann, and Sok (2024) and Kovari (2025) cite research that suggests AI may support collaborative efforts, deliver real-time feedback, and enable personalised learning. The study by Shams, Zowghi and Bano (2025), Cotilla Conceição and Stappen (2025), and  Beaur et al (2025) highlights the potential risks of perpetuating bias, ignoring the socio-emotional aspects of learning, and providing unequal access to various groups of people. Using a planned quantitative survey  of students across levels and qualitative  semi-structured interviews with faculty, administrators, and  policy makers, this study  will aim to  provide a comprehensive assessment of AI's potential to address attainment gaps, diversity, and inclusion at UWTSD.</w:t>
      </w:r>
      <w:bookmarkStart w:id="49" w:name="_Toc22230"/>
      <w:bookmarkEnd w:id="49"/>
    </w:p>
    <w:p w14:paraId="6A12199B">
      <w:pPr>
        <w:pStyle w:val="3"/>
        <w:autoSpaceDE w:val="0"/>
        <w:jc w:val="both"/>
        <w:rPr>
          <w:rFonts w:ascii="Times New Roman" w:hAnsi="Times New Roman"/>
          <w:sz w:val="28"/>
          <w:szCs w:val="28"/>
        </w:rPr>
      </w:pPr>
      <w:bookmarkStart w:id="50" w:name="_Toc22960"/>
      <w:bookmarkEnd w:id="50"/>
      <w:r>
        <w:rPr>
          <w:rFonts w:ascii="Times New Roman" w:hAnsi="Times New Roman"/>
          <w:sz w:val="32"/>
          <w:szCs w:val="32"/>
        </w:rPr>
        <w:t>Kuhn’s Paradigm – The Kuhn Cycle In Higher  Education AI Integration</w:t>
      </w:r>
      <w:bookmarkStart w:id="51" w:name="_Toc15690"/>
      <w:bookmarkEnd w:id="51"/>
    </w:p>
    <w:p w14:paraId="4FBF5583">
      <w:pPr>
        <w:pStyle w:val="4"/>
        <w:autoSpaceDE w:val="0"/>
        <w:jc w:val="both"/>
        <w:rPr>
          <w:rFonts w:ascii="Times New Roman" w:hAnsi="Times New Roman"/>
          <w:sz w:val="28"/>
          <w:szCs w:val="28"/>
        </w:rPr>
      </w:pPr>
      <w:bookmarkStart w:id="52" w:name="_Toc29699"/>
      <w:bookmarkEnd w:id="52"/>
      <w:r>
        <w:rPr>
          <w:rFonts w:ascii="Times New Roman" w:hAnsi="Times New Roman"/>
          <w:sz w:val="28"/>
          <w:szCs w:val="28"/>
        </w:rPr>
        <w:t>A. Implications of the Paradigm Shift in Higher Education</w:t>
      </w:r>
    </w:p>
    <w:p w14:paraId="7E52B79A">
      <w:pPr>
        <w:autoSpaceDE w:val="0"/>
        <w:jc w:val="both"/>
        <w:rPr>
          <w:rFonts w:ascii="Times New Roman" w:hAnsi="Times New Roman"/>
          <w:b/>
          <w:bCs/>
        </w:rPr>
      </w:pPr>
      <w:r>
        <w:rPr>
          <w:rFonts w:ascii="Times New Roman" w:hAnsi="Times New Roman"/>
          <w:b/>
          <w:bCs/>
        </w:rPr>
        <w:t>Normal Science: The Traditional Educational Paradigm</w:t>
      </w:r>
    </w:p>
    <w:p w14:paraId="6B1921A5">
      <w:pPr>
        <w:pStyle w:val="10"/>
        <w:autoSpaceDE w:val="0"/>
        <w:jc w:val="both"/>
      </w:pPr>
      <w:r>
        <w:t>Traditional methods of teaching in higher education  have included teacher-led classrooms, standardised testing, and lecture-based learning (Luckin and Cukurova, 2019; Zawacki-Richter et al., 2019). Teaching practices largely assumed uniformity among students, with limited differentiation to address diverse learning needs. While this normal science approach provided structure, it often failed to accommodate variability in learner backgrounds, disciplines, and socio-demographic characteristics (Berendt, Littlejohn and Blakemore, 2020).</w:t>
      </w:r>
    </w:p>
    <w:p w14:paraId="2BBCDDD7">
      <w:pPr>
        <w:autoSpaceDE w:val="0"/>
        <w:jc w:val="both"/>
        <w:rPr>
          <w:rFonts w:ascii="Times New Roman" w:hAnsi="Times New Roman"/>
          <w:b/>
          <w:bCs/>
        </w:rPr>
      </w:pPr>
      <w:r>
        <w:rPr>
          <w:rFonts w:ascii="Times New Roman" w:hAnsi="Times New Roman"/>
          <w:b/>
          <w:bCs/>
        </w:rPr>
        <w:t xml:space="preserve"> </w:t>
      </w:r>
    </w:p>
    <w:p w14:paraId="50783897">
      <w:pPr>
        <w:autoSpaceDE w:val="0"/>
        <w:jc w:val="both"/>
        <w:rPr>
          <w:rFonts w:ascii="Times New Roman" w:hAnsi="Times New Roman"/>
          <w:b/>
          <w:bCs/>
        </w:rPr>
      </w:pPr>
      <w:r>
        <w:rPr>
          <w:rFonts w:ascii="Times New Roman" w:hAnsi="Times New Roman"/>
          <w:b/>
          <w:bCs/>
        </w:rPr>
        <w:t>Emergence of Anomalies: Challenges to the Traditional Model</w:t>
      </w:r>
    </w:p>
    <w:p w14:paraId="2C1A6B78">
      <w:pPr>
        <w:pStyle w:val="10"/>
        <w:autoSpaceDE w:val="0"/>
        <w:jc w:val="both"/>
      </w:pPr>
      <w:r>
        <w:t>Disruptions arose when educational institutions noted disparities in performance based on gender, age, and subject area, and when students exhibited greater progress in personalised and inclusive educational environments (Shams, Zowghi and Bano, 2025; Cotilla Conceição and Stappen, 2025).  According to Ali Intezari, (2021) and Arslan, Youssef and Ghandour (2025), traditional educational frameworks faced challenges when confronted with AI-generated insights and real classroom performance.</w:t>
      </w:r>
    </w:p>
    <w:p w14:paraId="4947D6C3">
      <w:pPr>
        <w:autoSpaceDE w:val="0"/>
        <w:jc w:val="both"/>
        <w:rPr>
          <w:rFonts w:ascii="Times New Roman" w:hAnsi="Times New Roman"/>
          <w:b/>
          <w:bCs/>
        </w:rPr>
      </w:pPr>
      <w:r>
        <w:rPr>
          <w:rFonts w:ascii="Times New Roman" w:hAnsi="Times New Roman"/>
          <w:b/>
          <w:bCs/>
        </w:rPr>
        <w:t>Crisis Stage: The Demand for Adaptive Pedagogy</w:t>
      </w:r>
    </w:p>
    <w:p w14:paraId="2F4B4AA5">
      <w:pPr>
        <w:pStyle w:val="10"/>
        <w:autoSpaceDE w:val="0"/>
        <w:jc w:val="both"/>
      </w:pPr>
      <w:r>
        <w:t>As the irregularities persisted, this created a crisis in the traditional paradigm of higher education. The importance of adaptive systems in meeting the demands of diverse learners and their socio-emotional situations has been recognised by both teachers and policymakers (Zong and Yang, 2025; Song et al., 2024). The consideration of AI-based interventions as a pedagogical technique was accelerated after recognising that traditional approaches did not help to address the learning gaps, meet inclusiveness demands, and address engagement roles (Yu et al., 2025; Jiali et al., 2024).</w:t>
      </w:r>
    </w:p>
    <w:p w14:paraId="6150BC48">
      <w:pPr>
        <w:autoSpaceDE w:val="0"/>
        <w:jc w:val="both"/>
        <w:rPr>
          <w:rFonts w:ascii="Times New Roman" w:hAnsi="Times New Roman"/>
          <w:b/>
          <w:bCs/>
        </w:rPr>
      </w:pPr>
      <w:r>
        <w:rPr>
          <w:rFonts w:ascii="Times New Roman" w:hAnsi="Times New Roman"/>
          <w:b/>
          <w:bCs/>
        </w:rPr>
        <w:t xml:space="preserve"> </w:t>
      </w:r>
    </w:p>
    <w:p w14:paraId="7219C724">
      <w:pPr>
        <w:autoSpaceDE w:val="0"/>
        <w:jc w:val="both"/>
        <w:rPr>
          <w:rFonts w:ascii="Times New Roman" w:hAnsi="Times New Roman"/>
          <w:b/>
          <w:bCs/>
        </w:rPr>
      </w:pPr>
    </w:p>
    <w:p w14:paraId="45558132">
      <w:pPr>
        <w:autoSpaceDE w:val="0"/>
        <w:jc w:val="both"/>
        <w:rPr>
          <w:rFonts w:ascii="Times New Roman" w:hAnsi="Times New Roman"/>
          <w:b/>
          <w:bCs/>
        </w:rPr>
      </w:pPr>
    </w:p>
    <w:p w14:paraId="06B505CE">
      <w:pPr>
        <w:autoSpaceDE w:val="0"/>
        <w:jc w:val="both"/>
        <w:rPr>
          <w:rFonts w:ascii="Times New Roman" w:hAnsi="Times New Roman"/>
          <w:b/>
          <w:bCs/>
        </w:rPr>
      </w:pPr>
      <w:r>
        <w:rPr>
          <w:rFonts w:ascii="Times New Roman" w:hAnsi="Times New Roman"/>
          <w:b/>
          <w:bCs/>
        </w:rPr>
        <w:t>Scientific Revolution: Integration of AI Tools</w:t>
      </w:r>
    </w:p>
    <w:p w14:paraId="79400BA5">
      <w:pPr>
        <w:pStyle w:val="10"/>
        <w:autoSpaceDE w:val="0"/>
        <w:jc w:val="both"/>
      </w:pPr>
      <w:r>
        <w:t xml:space="preserve">The integration of AI into higher education may represent a scientific revolution according to the Kuhnian paradigm. AI-powered platforms provide adaptive learning, predictive analytics, and automated feedback challenging assumptions of uniform instructions  and static assessment  models(Drydakis, 2025; Kovari, 2025).Hybrid AI approaches, such as neuro-symbolic models, combine interpretable reasoning with data-driven reasoning, allowing more nuanced responses to varying student demands (Holmes and Tuomi, 2022; Cotilla Conceicao and Stappen, 2025). </w:t>
      </w:r>
    </w:p>
    <w:p w14:paraId="076190DB">
      <w:pPr>
        <w:autoSpaceDE w:val="0"/>
        <w:jc w:val="both"/>
        <w:rPr>
          <w:rFonts w:ascii="Times New Roman" w:hAnsi="Times New Roman"/>
          <w:b/>
          <w:bCs/>
        </w:rPr>
      </w:pPr>
      <w:r>
        <w:rPr>
          <w:rFonts w:ascii="Times New Roman" w:hAnsi="Times New Roman"/>
          <w:b/>
          <w:bCs/>
        </w:rPr>
        <w:t xml:space="preserve"> </w:t>
      </w:r>
    </w:p>
    <w:p w14:paraId="53E3AD5B">
      <w:pPr>
        <w:autoSpaceDE w:val="0"/>
        <w:jc w:val="both"/>
        <w:rPr>
          <w:rFonts w:ascii="Times New Roman" w:hAnsi="Times New Roman"/>
          <w:b/>
          <w:bCs/>
        </w:rPr>
      </w:pPr>
      <w:r>
        <w:rPr>
          <w:rFonts w:ascii="Times New Roman" w:hAnsi="Times New Roman"/>
          <w:b/>
          <w:bCs/>
        </w:rPr>
        <w:t>New Normal: AI-Assisted Inclusive Education</w:t>
      </w:r>
    </w:p>
    <w:p w14:paraId="6A502C06">
      <w:pPr>
        <w:pStyle w:val="10"/>
        <w:autoSpaceDE w:val="0"/>
        <w:jc w:val="both"/>
      </w:pPr>
      <w:r>
        <w:t xml:space="preserve"> AI has the potential to enable personalised, inclusive, and responsive learning experiences in  higher education forming a   new normal (Masih et al., 2025; O'Dea et al., 2024).In order to achieve the goals of diversity and inclusion in the institution, systems can track and adjust to students' emotions, levels of engagement, and disciplinary problems (Tapalova and Zhiyenbayeva, 2022; Shams, Zowghi and Bano, 2025). To ensure the ethical, transparent, and effective deployment of AI, it is crucial that stakeholders such as students, staff, learning support assistants, IT facilitators, and policy makers actively participate throughout the transition (Bayer et al., 2024; Whitbread et al., 2025).</w:t>
      </w:r>
    </w:p>
    <w:p w14:paraId="4DA239B0">
      <w:pPr>
        <w:autoSpaceDE w:val="0"/>
        <w:jc w:val="both"/>
        <w:rPr>
          <w:rFonts w:ascii="Times New Roman" w:hAnsi="Times New Roman"/>
          <w:b/>
          <w:bCs/>
        </w:rPr>
      </w:pPr>
      <w:r>
        <w:rPr>
          <w:rFonts w:ascii="Times New Roman" w:hAnsi="Times New Roman"/>
          <w:b/>
          <w:bCs/>
        </w:rPr>
        <w:t xml:space="preserve"> </w:t>
      </w:r>
    </w:p>
    <w:p w14:paraId="54C9E14D">
      <w:pPr>
        <w:autoSpaceDE w:val="0"/>
        <w:jc w:val="both"/>
        <w:rPr>
          <w:rFonts w:ascii="Times New Roman" w:hAnsi="Times New Roman"/>
          <w:b/>
          <w:bCs/>
        </w:rPr>
      </w:pPr>
      <w:r>
        <w:rPr>
          <w:rFonts w:ascii="Times New Roman" w:hAnsi="Times New Roman"/>
          <w:b/>
          <w:bCs/>
        </w:rPr>
        <w:t xml:space="preserve"> Significance of the Paradigm Shift</w:t>
      </w:r>
    </w:p>
    <w:p w14:paraId="393D79BD">
      <w:pPr>
        <w:pStyle w:val="10"/>
        <w:autoSpaceDE w:val="0"/>
        <w:jc w:val="both"/>
        <w:rPr>
          <w:rFonts w:ascii="Times New Roman" w:hAnsi="Times New Roman"/>
          <w:sz w:val="28"/>
          <w:szCs w:val="28"/>
        </w:rPr>
      </w:pPr>
      <w:r>
        <w:t>Applying the Kuhn cycle highlights how  AI represents a paradigmatic shift  in pedagogy, assessment, and learning rather than merely a technical improvement. Higher education can be made more equitable by responding quickly to the demands of various student populations through the detection of anomalies, the resolution of crises, and the implementation of novel AI applications ( Beaur et al., 2025; Crompton and Burke, 2025).</w:t>
      </w:r>
      <w:bookmarkStart w:id="53" w:name="_Toc800"/>
      <w:bookmarkEnd w:id="53"/>
    </w:p>
    <w:p w14:paraId="0B1A9768">
      <w:pPr>
        <w:pStyle w:val="4"/>
        <w:autoSpaceDE w:val="0"/>
        <w:jc w:val="both"/>
        <w:rPr>
          <w:rFonts w:ascii="Times New Roman" w:hAnsi="Times New Roman"/>
          <w:sz w:val="28"/>
          <w:szCs w:val="28"/>
        </w:rPr>
      </w:pPr>
      <w:bookmarkStart w:id="54" w:name="_Toc20671"/>
      <w:bookmarkEnd w:id="54"/>
      <w:r>
        <w:rPr>
          <w:rFonts w:ascii="Times New Roman" w:hAnsi="Times New Roman"/>
          <w:sz w:val="28"/>
          <w:szCs w:val="28"/>
        </w:rPr>
        <w:t>B. Challenges in Implementing the New Paradigm of AI in Higher Education</w:t>
      </w:r>
    </w:p>
    <w:p w14:paraId="6AAA00DB">
      <w:pPr>
        <w:pStyle w:val="10"/>
        <w:autoSpaceDE w:val="0"/>
        <w:jc w:val="both"/>
      </w:pPr>
      <w:r>
        <w:t>There is a complex web of interconnected technological, organisational, ethical, and pedagogical challenges surrounding the use of artificial intelligence (AI) in higher education and the fight against diversity, inclusion, and achievement gaps.</w:t>
      </w:r>
    </w:p>
    <w:p w14:paraId="347042A4">
      <w:pPr>
        <w:autoSpaceDE w:val="0"/>
        <w:jc w:val="both"/>
        <w:rPr>
          <w:rFonts w:ascii="Times New Roman" w:hAnsi="Times New Roman"/>
          <w:b/>
          <w:bCs/>
        </w:rPr>
      </w:pPr>
      <w:r>
        <w:rPr>
          <w:rFonts w:ascii="Times New Roman" w:hAnsi="Times New Roman"/>
          <w:b/>
          <w:bCs/>
        </w:rPr>
        <w:t xml:space="preserve"> </w:t>
      </w:r>
    </w:p>
    <w:p w14:paraId="3DCDBA50">
      <w:pPr>
        <w:autoSpaceDE w:val="0"/>
        <w:jc w:val="both"/>
        <w:rPr>
          <w:rFonts w:ascii="Times New Roman" w:hAnsi="Times New Roman"/>
          <w:b/>
          <w:bCs/>
        </w:rPr>
      </w:pPr>
      <w:r>
        <w:rPr>
          <w:rFonts w:ascii="Times New Roman" w:hAnsi="Times New Roman"/>
          <w:b/>
          <w:bCs/>
        </w:rPr>
        <w:t>1. Technological Challenges</w:t>
      </w:r>
    </w:p>
    <w:p w14:paraId="2C38401B">
      <w:pPr>
        <w:pStyle w:val="10"/>
        <w:autoSpaceDE w:val="0"/>
        <w:jc w:val="both"/>
      </w:pPr>
      <w:r>
        <w:t>Asikala and Ravichandran (2024) and Luketopham et al. (2025) point out, using AI systems requires substantial  infrastructure, high-quality data, and the ability to work together. Many universities, including UWTSD, have limitations in computational resources, data standardisation, and system integration when attempting to offer AI-enabled learning across various programs and disciplines. While hybrid methods such as neuro-symbolic AI show promise, they can be difficult to adopt due to their technical nature and the experience needed from an institution's IT team (Holmes and Tuomi, 2022; Cotilla Conceição and Stappen, 2025).</w:t>
      </w:r>
    </w:p>
    <w:p w14:paraId="5F1D08B7">
      <w:pPr>
        <w:autoSpaceDE w:val="0"/>
        <w:jc w:val="both"/>
        <w:rPr>
          <w:rFonts w:ascii="Times New Roman" w:hAnsi="Times New Roman"/>
          <w:b/>
          <w:bCs/>
        </w:rPr>
      </w:pPr>
      <w:r>
        <w:rPr>
          <w:rFonts w:ascii="Times New Roman" w:hAnsi="Times New Roman"/>
          <w:b/>
          <w:bCs/>
        </w:rPr>
        <w:t>2. Organisational and Cultural Challenges</w:t>
      </w:r>
    </w:p>
    <w:p w14:paraId="1F6C8DB1">
      <w:pPr>
        <w:pStyle w:val="10"/>
        <w:autoSpaceDE w:val="0"/>
        <w:jc w:val="both"/>
      </w:pPr>
      <w:r>
        <w:t>Professors' pedagogical methods, administrative procedures, and approaches to student involvement will all undergo shifts as a result of AI implementation (Luckin and Cukurova, 2019; O'Dea et al., 2024). It is common for workers to be opposed to AI if they are unaware of or do not support the potential deskilling consequences.</w:t>
      </w:r>
    </w:p>
    <w:p w14:paraId="4CB6C866">
      <w:pPr>
        <w:autoSpaceDE w:val="0"/>
        <w:jc w:val="both"/>
        <w:rPr>
          <w:rFonts w:ascii="Times New Roman" w:hAnsi="Times New Roman"/>
          <w:b/>
          <w:bCs/>
        </w:rPr>
      </w:pPr>
      <w:r>
        <w:rPr>
          <w:rFonts w:ascii="Times New Roman" w:hAnsi="Times New Roman"/>
          <w:b/>
          <w:bCs/>
        </w:rPr>
        <w:t xml:space="preserve"> </w:t>
      </w:r>
    </w:p>
    <w:p w14:paraId="187DF0F4">
      <w:pPr>
        <w:autoSpaceDE w:val="0"/>
        <w:jc w:val="both"/>
        <w:rPr>
          <w:rFonts w:ascii="Times New Roman" w:hAnsi="Times New Roman"/>
          <w:b/>
          <w:bCs/>
        </w:rPr>
      </w:pPr>
      <w:r>
        <w:rPr>
          <w:rFonts w:ascii="Times New Roman" w:hAnsi="Times New Roman"/>
          <w:b/>
          <w:bCs/>
        </w:rPr>
        <w:t>3. Ethical and Bias-Related Challenges</w:t>
      </w:r>
    </w:p>
    <w:p w14:paraId="04313D5A">
      <w:pPr>
        <w:pStyle w:val="10"/>
        <w:autoSpaceDE w:val="0"/>
        <w:jc w:val="both"/>
      </w:pPr>
      <w:r>
        <w:t>The administrative procedures, student engagement initiatives, and faculty practices are all affected by the structural and cultural changes brought about by the use of AI (Luckin and Cukurova, 2019; O'Dea et al., 2024). Workers who are unaware of or opposed to the dangers of deskilling are likely to be the most vocal in their opposition to AI. Students, LSAs, IT facilitators, and legislators are all involved, and it could be challenging to coordinate their efforts due to political and practical considerations (Bayer et al., 2024; Whitbread et al., 2025).</w:t>
      </w:r>
    </w:p>
    <w:p w14:paraId="26BDD272">
      <w:pPr>
        <w:autoSpaceDE w:val="0"/>
        <w:jc w:val="both"/>
        <w:rPr>
          <w:rFonts w:ascii="Times New Roman" w:hAnsi="Times New Roman"/>
          <w:b/>
          <w:bCs/>
        </w:rPr>
      </w:pPr>
      <w:r>
        <w:rPr>
          <w:rFonts w:ascii="Times New Roman" w:hAnsi="Times New Roman"/>
          <w:b/>
          <w:bCs/>
        </w:rPr>
        <w:t xml:space="preserve"> </w:t>
      </w:r>
    </w:p>
    <w:p w14:paraId="480B907F">
      <w:pPr>
        <w:autoSpaceDE w:val="0"/>
        <w:jc w:val="both"/>
        <w:rPr>
          <w:rFonts w:ascii="Times New Roman" w:hAnsi="Times New Roman"/>
          <w:b/>
          <w:bCs/>
        </w:rPr>
      </w:pPr>
      <w:r>
        <w:rPr>
          <w:rFonts w:ascii="Times New Roman" w:hAnsi="Times New Roman"/>
          <w:b/>
          <w:bCs/>
        </w:rPr>
        <w:t>4. Pedagogical Challenges</w:t>
      </w:r>
    </w:p>
    <w:p w14:paraId="2F39A19F">
      <w:pPr>
        <w:pStyle w:val="10"/>
        <w:autoSpaceDE w:val="0"/>
        <w:jc w:val="both"/>
      </w:pPr>
      <w:r>
        <w:t>The evaluation demands, educational principles, and curriculum results should all be met by the AI-based learning platforms (Song et al., 2024; Masih et al., 2025). It is crucial to teach the faculty, develop and evaluate adaptive AI tools, and ensure that they greatly aid in personalised learning without replacing crucial human judgement (Drydakis, 2025; Crompton and Burke, 2025). Zong and Yang (2025) and Tapalova and Zhiyenbayeva (2022) both emphasise the need of taking into account students' ages, genders, and academic backgrounds while designing lessons.</w:t>
      </w:r>
    </w:p>
    <w:p w14:paraId="45222891">
      <w:pPr>
        <w:pStyle w:val="4"/>
        <w:autoSpaceDE w:val="0"/>
        <w:jc w:val="both"/>
        <w:rPr>
          <w:rFonts w:ascii="Times New Roman" w:hAnsi="Times New Roman"/>
          <w:sz w:val="28"/>
          <w:szCs w:val="28"/>
        </w:rPr>
      </w:pPr>
      <w:bookmarkStart w:id="55" w:name="_Toc10939"/>
      <w:bookmarkEnd w:id="55"/>
      <w:r>
        <w:rPr>
          <w:rFonts w:ascii="Times New Roman" w:hAnsi="Times New Roman"/>
          <w:sz w:val="28"/>
          <w:szCs w:val="28"/>
        </w:rPr>
        <w:t xml:space="preserve"> </w:t>
      </w:r>
    </w:p>
    <w:p w14:paraId="578C3815">
      <w:pPr>
        <w:pStyle w:val="4"/>
        <w:autoSpaceDE w:val="0"/>
        <w:jc w:val="both"/>
        <w:rPr>
          <w:rFonts w:ascii="Times New Roman" w:hAnsi="Times New Roman"/>
          <w:sz w:val="28"/>
          <w:szCs w:val="28"/>
        </w:rPr>
      </w:pPr>
      <w:bookmarkStart w:id="56" w:name="_Toc23970"/>
      <w:bookmarkEnd w:id="56"/>
      <w:r>
        <w:rPr>
          <w:rFonts w:ascii="Times New Roman" w:hAnsi="Times New Roman"/>
          <w:sz w:val="28"/>
          <w:szCs w:val="28"/>
        </w:rPr>
        <w:t>C. Relevance of Kuhn’s Paradigm – The Kuhn Cycle to the Context of Research</w:t>
      </w:r>
    </w:p>
    <w:p w14:paraId="26A6283E">
      <w:pPr>
        <w:pStyle w:val="10"/>
        <w:autoSpaceDE w:val="0"/>
        <w:jc w:val="both"/>
      </w:pPr>
      <w:r>
        <w:t>The scientific paradigm shift and its accompanying cycle, as proposed by Thomas Kuhn, consists of the following steps: normal science, emergence of anomalies, crisis, scientific revolution, and new normal. Examining the integration of AI in higher education through the lens of diversity, inclusion, and attainment gaps can be facilitated by applying Thomas Kuhn's theory of scientific paradigms and the subsequent cycle (Kuhn, 1962; Holmes and Tuomi,  2022).</w:t>
      </w:r>
    </w:p>
    <w:p w14:paraId="504C2257">
      <w:pPr>
        <w:autoSpaceDE w:val="0"/>
        <w:jc w:val="both"/>
        <w:rPr>
          <w:rFonts w:ascii="Times New Roman" w:hAnsi="Times New Roman"/>
          <w:b/>
          <w:bCs/>
        </w:rPr>
      </w:pPr>
      <w:r>
        <w:rPr>
          <w:rFonts w:ascii="Times New Roman" w:hAnsi="Times New Roman"/>
          <w:b/>
          <w:bCs/>
        </w:rPr>
        <w:t xml:space="preserve"> </w:t>
      </w:r>
    </w:p>
    <w:p w14:paraId="75B817C8">
      <w:pPr>
        <w:autoSpaceDE w:val="0"/>
        <w:jc w:val="both"/>
        <w:rPr>
          <w:rFonts w:ascii="Times New Roman" w:hAnsi="Times New Roman"/>
          <w:b/>
          <w:bCs/>
        </w:rPr>
      </w:pPr>
      <w:r>
        <w:rPr>
          <w:rFonts w:ascii="Times New Roman" w:hAnsi="Times New Roman"/>
          <w:b/>
          <w:bCs/>
        </w:rPr>
        <w:t>1. Normal Science: The Dominance of Traditional Pedagogical Models</w:t>
      </w:r>
    </w:p>
    <w:p w14:paraId="04C1A9FA">
      <w:pPr>
        <w:pStyle w:val="10"/>
        <w:autoSpaceDE w:val="0"/>
        <w:jc w:val="both"/>
      </w:pPr>
      <w:r>
        <w:t>Historically, higher education has relied on lecture-based instructions, standardised assessments, and instructor-centered pedagogy (Luckin and Cukurova, 2019; Zawacki-Richter et al, 2019). Individualised learning and adaptive treatments received less attention during this phase, while equity and inclusion were given only peripheral consideration. In this stage of research, known as " normal science," existing practices are generally acknowledged and new ideas are introduced gradually rather than systematically.</w:t>
      </w:r>
    </w:p>
    <w:p w14:paraId="03D0C5B3">
      <w:pPr>
        <w:autoSpaceDE w:val="0"/>
        <w:jc w:val="both"/>
        <w:rPr>
          <w:rFonts w:ascii="Times New Roman" w:hAnsi="Times New Roman"/>
          <w:b/>
          <w:bCs/>
        </w:rPr>
      </w:pPr>
      <w:r>
        <w:rPr>
          <w:rFonts w:ascii="Times New Roman" w:hAnsi="Times New Roman"/>
          <w:b/>
          <w:bCs/>
        </w:rPr>
        <w:t>2. Emergence of Anomalies: Recognition of Inefficiencies</w:t>
      </w:r>
    </w:p>
    <w:p w14:paraId="17650917">
      <w:pPr>
        <w:pStyle w:val="10"/>
        <w:autoSpaceDE w:val="0"/>
        <w:jc w:val="both"/>
      </w:pPr>
      <w:r>
        <w:t>A new anomaly in the classical models has emerged with the advent of AI in educational settings. According to Shams, Zowghi, and Bano (2025), Cotilla Conceicao and Stappen (2025), and Arslan, Youssef, and Ghandour (2025), the existing pedagogical frameworks are ineffective at addressing  differences in student engagement, gender, age, or discipline, and fail to capture real-time learning needs. This calls for a reevaluation of the present and past learning practices since these outliers point to gaps where conventional wisdom fails to adequately address the needs of diverse student populations.</w:t>
      </w:r>
    </w:p>
    <w:p w14:paraId="3DAA785B">
      <w:pPr>
        <w:autoSpaceDE w:val="0"/>
        <w:jc w:val="both"/>
        <w:rPr>
          <w:rFonts w:ascii="Times New Roman" w:hAnsi="Times New Roman"/>
          <w:b/>
          <w:bCs/>
        </w:rPr>
      </w:pPr>
      <w:r>
        <w:rPr>
          <w:rFonts w:ascii="Times New Roman" w:hAnsi="Times New Roman"/>
          <w:b/>
          <w:bCs/>
        </w:rPr>
        <w:t xml:space="preserve"> </w:t>
      </w:r>
    </w:p>
    <w:p w14:paraId="1C51D951">
      <w:pPr>
        <w:autoSpaceDE w:val="0"/>
        <w:jc w:val="both"/>
        <w:rPr>
          <w:rFonts w:ascii="Times New Roman" w:hAnsi="Times New Roman"/>
          <w:b/>
          <w:bCs/>
        </w:rPr>
      </w:pPr>
      <w:r>
        <w:rPr>
          <w:rFonts w:ascii="Times New Roman" w:hAnsi="Times New Roman"/>
          <w:b/>
          <w:bCs/>
        </w:rPr>
        <w:t>3. Crisis Stage: A Shift in Research Focus</w:t>
      </w:r>
    </w:p>
    <w:p w14:paraId="5AF6FB23">
      <w:pPr>
        <w:pStyle w:val="10"/>
        <w:autoSpaceDE w:val="0"/>
        <w:jc w:val="both"/>
      </w:pPr>
      <w:r>
        <w:t>As these anomalies deepen in understanding, a crisis will ensue, highlighting the need for new approaches. AI can analyse student data,  inform pedagogical strategies and provide actionable insight for educators (Drydakis, 2025; Song et al, 2024). Researchers must critically examines  AI's role within the Kuhnian paradigm crisis, considering  both opportunities and limitations rather than assuming inherit benefit or harm.</w:t>
      </w:r>
    </w:p>
    <w:p w14:paraId="3793080D">
      <w:pPr>
        <w:autoSpaceDE w:val="0"/>
        <w:jc w:val="both"/>
        <w:rPr>
          <w:rFonts w:ascii="Times New Roman" w:hAnsi="Times New Roman"/>
          <w:b/>
          <w:bCs/>
        </w:rPr>
      </w:pPr>
      <w:r>
        <w:rPr>
          <w:rFonts w:ascii="Times New Roman" w:hAnsi="Times New Roman"/>
          <w:b/>
          <w:bCs/>
        </w:rPr>
        <w:t xml:space="preserve"> </w:t>
      </w:r>
    </w:p>
    <w:p w14:paraId="3363B52A">
      <w:pPr>
        <w:autoSpaceDE w:val="0"/>
        <w:jc w:val="both"/>
        <w:rPr>
          <w:rFonts w:ascii="Times New Roman" w:hAnsi="Times New Roman"/>
          <w:b/>
          <w:bCs/>
        </w:rPr>
      </w:pPr>
      <w:r>
        <w:rPr>
          <w:rFonts w:ascii="Times New Roman" w:hAnsi="Times New Roman"/>
          <w:b/>
          <w:bCs/>
        </w:rPr>
        <w:t>4. Scientific Revolution: Development of a New Research Paradigm</w:t>
      </w:r>
    </w:p>
    <w:p w14:paraId="6BE7D3BA">
      <w:pPr>
        <w:pStyle w:val="10"/>
        <w:autoSpaceDE w:val="0"/>
        <w:jc w:val="both"/>
      </w:pPr>
      <w:r>
        <w:t xml:space="preserve">As AI integration becomes a primary focus, a new paradigm in research is established.This includes  rethinking curriculum, assessment and stakeholders engagemnt (Bayer et al, 2024; Yu et al, 2025). This study introduces a new approach to research by combining mixed-method evaluations, stakeholder consultations and continuous ethical oversight to investigate AI  impact on inclusion and attainment.  The scientific revolution phase embodies a methodological breakthrough  required to explore AI potential comprehensively. </w:t>
      </w:r>
    </w:p>
    <w:p w14:paraId="37F6F2FF">
      <w:pPr>
        <w:autoSpaceDE w:val="0"/>
        <w:jc w:val="both"/>
        <w:rPr>
          <w:rFonts w:ascii="Times New Roman" w:hAnsi="Times New Roman"/>
          <w:b/>
          <w:bCs/>
        </w:rPr>
      </w:pPr>
      <w:r>
        <w:rPr>
          <w:rFonts w:ascii="Times New Roman" w:hAnsi="Times New Roman"/>
          <w:b/>
          <w:bCs/>
        </w:rPr>
        <w:t xml:space="preserve"> </w:t>
      </w:r>
    </w:p>
    <w:p w14:paraId="4842AB45">
      <w:pPr>
        <w:autoSpaceDE w:val="0"/>
        <w:jc w:val="both"/>
        <w:rPr>
          <w:rFonts w:ascii="Times New Roman" w:hAnsi="Times New Roman"/>
          <w:b/>
          <w:bCs/>
        </w:rPr>
      </w:pPr>
      <w:r>
        <w:rPr>
          <w:rFonts w:ascii="Times New Roman" w:hAnsi="Times New Roman"/>
          <w:b/>
          <w:bCs/>
        </w:rPr>
        <w:t>5. New Normal: Establishing AI-Informed Pedagogical Practices</w:t>
      </w:r>
    </w:p>
    <w:p w14:paraId="2BE8F332">
      <w:pPr>
        <w:pStyle w:val="10"/>
        <w:autoSpaceDE w:val="0"/>
        <w:jc w:val="both"/>
      </w:pPr>
      <w:r>
        <w:t xml:space="preserve">The  new normal represents the  consolidation of  AI  informed policies in higher education  which research insights informing  curriculum assessment and involving stakeholders (Bayer et al, 2024; Yu et al, 2025).  </w:t>
      </w:r>
    </w:p>
    <w:p w14:paraId="3E201FED">
      <w:pPr>
        <w:autoSpaceDE w:val="0"/>
        <w:jc w:val="both"/>
        <w:rPr>
          <w:rFonts w:ascii="Times New Roman" w:hAnsi="Times New Roman"/>
          <w:b/>
          <w:bCs/>
        </w:rPr>
      </w:pPr>
      <w:r>
        <w:rPr>
          <w:rFonts w:ascii="Times New Roman" w:hAnsi="Times New Roman"/>
          <w:b/>
          <w:bCs/>
        </w:rPr>
        <w:t>Implications for Research</w:t>
      </w:r>
    </w:p>
    <w:p w14:paraId="1D27E2C0">
      <w:pPr>
        <w:pStyle w:val="10"/>
        <w:autoSpaceDE w:val="0"/>
        <w:jc w:val="both"/>
      </w:pPr>
      <w:r>
        <w:t xml:space="preserve">Applying Kuhn’s paradigm to AI in higher education emphasises the need for systematic exploration of stakeholder perceptions, pedagogical adjustments, and equity outcomes. Research must be designed to capture diverse perspectives, from undergraduate to postgraduate students, faculty, IT facilitators, learning support staff, and policymakers. This approach ensures that findings are robust, contextually grounded, and capable of informing practical and theoretical advances in AI-driven education. </w:t>
      </w:r>
      <w:bookmarkStart w:id="57" w:name="_Toc23176"/>
      <w:bookmarkEnd w:id="57"/>
      <w:r>
        <w:rPr>
          <w:sz w:val="32"/>
          <w:szCs w:val="32"/>
        </w:rPr>
        <w:t xml:space="preserve"> </w:t>
      </w:r>
    </w:p>
    <w:p w14:paraId="6C7E2868">
      <w:pPr>
        <w:pStyle w:val="3"/>
        <w:autoSpaceDE w:val="0"/>
        <w:jc w:val="both"/>
        <w:rPr>
          <w:rFonts w:ascii="Times New Roman" w:hAnsi="Times New Roman"/>
          <w:sz w:val="32"/>
          <w:szCs w:val="32"/>
        </w:rPr>
      </w:pPr>
      <w:bookmarkStart w:id="58" w:name="_Toc6954"/>
      <w:bookmarkEnd w:id="58"/>
      <w:r>
        <w:rPr>
          <w:rFonts w:ascii="Times New Roman" w:hAnsi="Times New Roman"/>
          <w:sz w:val="32"/>
          <w:szCs w:val="32"/>
        </w:rPr>
        <w:t>RISING ACTION</w:t>
      </w:r>
    </w:p>
    <w:p w14:paraId="3E32A964">
      <w:pPr>
        <w:pStyle w:val="4"/>
        <w:autoSpaceDE w:val="0"/>
        <w:jc w:val="both"/>
        <w:rPr>
          <w:rFonts w:ascii="Times New Roman" w:hAnsi="Times New Roman"/>
          <w:sz w:val="28"/>
          <w:szCs w:val="28"/>
        </w:rPr>
      </w:pPr>
      <w:bookmarkStart w:id="59" w:name="_Toc24954"/>
      <w:bookmarkEnd w:id="59"/>
      <w:bookmarkStart w:id="60" w:name="_Toc3498"/>
      <w:r>
        <w:rPr>
          <w:rFonts w:ascii="Times New Roman" w:hAnsi="Times New Roman"/>
          <w:sz w:val="28"/>
          <w:szCs w:val="28"/>
        </w:rPr>
        <w:t>A. Research Approach</w:t>
      </w:r>
      <w:bookmarkEnd w:id="60"/>
    </w:p>
    <w:p w14:paraId="764FFE1C">
      <w:pPr>
        <w:pStyle w:val="10"/>
        <w:autoSpaceDE w:val="0"/>
        <w:jc w:val="both"/>
      </w:pPr>
      <w:r>
        <w:t>Using UWTSD as an example, this project will use a mixed-methods approach to talk about AI and how it could help with diversity, inclusiveness, and the achievement gap at the university level. Student populations (undergraduate, graduate, and postgraduate) will constitute the primary focus of quantitative data collection efforts. Because of this breadth, we can be sure that students of all ages, genders, and academic backgrounds will be able to participate. Surveys will be employed  to assess students' engagement with AI-powered learning platforms, perceptions of  personalised learning assistance, and measure equity and accomplishment results.</w:t>
      </w:r>
    </w:p>
    <w:p w14:paraId="5717CB49">
      <w:pPr>
        <w:pStyle w:val="10"/>
        <w:autoSpaceDE w:val="0"/>
        <w:jc w:val="both"/>
      </w:pPr>
      <w:r>
        <w:t>Semi structured interviews shall be used to gather qualitative data by interviewing staff, learning support assistants, IT facilitators and the university policymakers. The approach will enable in-depth  analysis of stakeholders attitudes towards the operational, ethical, and pedagogical aspects of AI integration. Such types of interviewing as semi-structured interviews are especially appropriate to capture contextual naunces, challenges  and perceptions of inclusivity that cannot be fully quantified.</w:t>
      </w:r>
    </w:p>
    <w:p w14:paraId="691D234E">
      <w:pPr>
        <w:autoSpaceDE w:val="0"/>
        <w:jc w:val="both"/>
        <w:rPr>
          <w:rFonts w:ascii="Times New Roman" w:hAnsi="Times New Roman"/>
          <w:b/>
          <w:bCs/>
        </w:rPr>
      </w:pPr>
      <w:r>
        <w:rPr>
          <w:rFonts w:ascii="Times New Roman" w:hAnsi="Times New Roman"/>
          <w:b/>
          <w:bCs/>
        </w:rPr>
        <w:t xml:space="preserve"> </w:t>
      </w:r>
    </w:p>
    <w:p w14:paraId="60C06359">
      <w:pPr>
        <w:autoSpaceDE w:val="0"/>
        <w:jc w:val="both"/>
        <w:rPr>
          <w:rFonts w:ascii="Times New Roman" w:hAnsi="Times New Roman"/>
          <w:b/>
          <w:bCs/>
        </w:rPr>
      </w:pPr>
      <w:r>
        <w:rPr>
          <w:rFonts w:ascii="Times New Roman" w:hAnsi="Times New Roman"/>
          <w:b/>
          <w:bCs/>
        </w:rPr>
        <w:t>Justification for the Mixed-Methods Approach</w:t>
      </w:r>
    </w:p>
    <w:p w14:paraId="02E61821">
      <w:pPr>
        <w:pStyle w:val="10"/>
        <w:autoSpaceDE w:val="0"/>
        <w:jc w:val="both"/>
        <w:rPr>
          <w:sz w:val="28"/>
          <w:szCs w:val="28"/>
        </w:rPr>
      </w:pPr>
      <w:r>
        <w:t>The mixed-methods design is justified for several reasons. First, it enables triangulation of findings, ensuring that patterns observed in survey data are corroborated and contextualized through interviews. Second, it accommodates the complexity of investigating AI interventions across heterogeneous student populations and multi-level institutional stakeholders. Third, it facilitates the identification of both opportunities and limitations of AI use, maintaining neutrality by focusing on descriptive, analytical, and interpretive evidence rather than presupposing benefit or harm.</w:t>
      </w:r>
      <w:bookmarkStart w:id="61" w:name="_Toc11015"/>
      <w:bookmarkEnd w:id="61"/>
    </w:p>
    <w:p w14:paraId="48FDC58E">
      <w:pPr>
        <w:pStyle w:val="4"/>
        <w:autoSpaceDE w:val="0"/>
        <w:jc w:val="both"/>
        <w:rPr>
          <w:rFonts w:ascii="Times New Roman" w:hAnsi="Times New Roman"/>
          <w:sz w:val="28"/>
          <w:szCs w:val="28"/>
        </w:rPr>
      </w:pPr>
      <w:bookmarkStart w:id="62" w:name="_Toc28111"/>
      <w:bookmarkEnd w:id="62"/>
      <w:r>
        <w:rPr>
          <w:rFonts w:ascii="Times New Roman" w:hAnsi="Times New Roman"/>
          <w:sz w:val="28"/>
          <w:szCs w:val="28"/>
        </w:rPr>
        <w:t>B. Methodological Strategies</w:t>
      </w:r>
    </w:p>
    <w:p w14:paraId="28B8AFCA">
      <w:pPr>
        <w:pStyle w:val="4"/>
        <w:autoSpaceDE w:val="0"/>
        <w:jc w:val="both"/>
        <w:rPr>
          <w:rFonts w:ascii="Times New Roman" w:hAnsi="Times New Roman"/>
          <w:sz w:val="24"/>
          <w:szCs w:val="24"/>
        </w:rPr>
      </w:pPr>
      <w:bookmarkStart w:id="63" w:name="_Toc3814"/>
      <w:bookmarkEnd w:id="63"/>
      <w:bookmarkStart w:id="64" w:name="_Toc15270"/>
      <w:bookmarkEnd w:id="64"/>
      <w:bookmarkStart w:id="65" w:name="_Toc14453"/>
      <w:r>
        <w:rPr>
          <w:rStyle w:val="17"/>
          <w:b/>
          <w:bCs/>
          <w:sz w:val="24"/>
          <w:szCs w:val="24"/>
        </w:rPr>
        <w:t>1. Quantitative Methodological Strategy</w:t>
      </w:r>
      <w:bookmarkEnd w:id="65"/>
    </w:p>
    <w:p w14:paraId="34510ED7">
      <w:pPr>
        <w:pStyle w:val="4"/>
        <w:autoSpaceDE w:val="0"/>
        <w:jc w:val="both"/>
        <w:rPr>
          <w:rFonts w:ascii="Times New Roman" w:hAnsi="Times New Roman"/>
          <w:b w:val="0"/>
          <w:bCs w:val="0"/>
          <w:sz w:val="24"/>
          <w:szCs w:val="24"/>
        </w:rPr>
      </w:pPr>
      <w:bookmarkStart w:id="66" w:name="_Toc1984"/>
      <w:bookmarkEnd w:id="66"/>
      <w:bookmarkStart w:id="67" w:name="_Toc20133"/>
      <w:bookmarkEnd w:id="67"/>
      <w:bookmarkStart w:id="68" w:name="_Toc2881"/>
      <w:r>
        <w:rPr>
          <w:rFonts w:ascii="Times New Roman" w:hAnsi="Times New Roman"/>
          <w:b w:val="0"/>
          <w:bCs w:val="0"/>
          <w:sz w:val="24"/>
          <w:szCs w:val="24"/>
        </w:rPr>
        <w:t xml:space="preserve">Assuming a quantitative methodology based on survey data, the study </w:t>
      </w:r>
      <w:bookmarkEnd w:id="68"/>
      <w:r>
        <w:rPr>
          <w:rFonts w:ascii="Times New Roman" w:hAnsi="Times New Roman"/>
          <w:b w:val="0"/>
          <w:bCs w:val="0"/>
          <w:sz w:val="24"/>
          <w:szCs w:val="24"/>
        </w:rPr>
        <w:t xml:space="preserve"> will examines the student population. Based on previous research (Arslan, Youssef and Ghandour, 2025; O'Dea et al, 2024), the surveys will be structured to measure attitudes towards AI-based educational platforms. These platforms can detect the needs of different learners, generate pedagogical experiences, and help close the achievement gap. </w:t>
      </w:r>
      <w:r>
        <w:rPr>
          <w:rFonts w:ascii="Times New Roman" w:hAnsi="Times New Roman"/>
          <w:b w:val="0"/>
          <w:bCs w:val="0"/>
          <w:sz w:val="24"/>
          <w:szCs w:val="24"/>
        </w:rPr>
        <w:br w:type="textWrapping"/>
      </w:r>
      <w:r>
        <w:rPr>
          <w:rFonts w:ascii="Times New Roman" w:hAnsi="Times New Roman"/>
          <w:b w:val="0"/>
          <w:bCs w:val="0"/>
          <w:sz w:val="24"/>
          <w:szCs w:val="24"/>
        </w:rPr>
        <w:t xml:space="preserve">The survey tools will be designed to gather data on attitudes, behaviours, and experiences through the use of scenario-based assessments and Likert scale questions. I will be asking questions about, Perceived value of AI in meeting the demands of personalised learning across disciplines, age groups, and genders. </w:t>
      </w:r>
    </w:p>
    <w:p w14:paraId="52D2A514">
      <w:pPr>
        <w:pStyle w:val="4"/>
        <w:autoSpaceDE w:val="0"/>
        <w:jc w:val="both"/>
        <w:rPr>
          <w:rStyle w:val="17"/>
          <w:b w:val="0"/>
          <w:bCs w:val="0"/>
          <w:sz w:val="24"/>
          <w:szCs w:val="24"/>
        </w:rPr>
      </w:pPr>
      <w:bookmarkStart w:id="69" w:name="_Toc12935"/>
      <w:bookmarkEnd w:id="69"/>
      <w:bookmarkStart w:id="70" w:name="_Toc16705"/>
      <w:bookmarkEnd w:id="70"/>
      <w:bookmarkStart w:id="71" w:name="_Toc1667"/>
      <w:r>
        <w:rPr>
          <w:rFonts w:ascii="Times New Roman" w:hAnsi="Times New Roman"/>
          <w:b w:val="0"/>
          <w:bCs w:val="0"/>
          <w:sz w:val="24"/>
          <w:szCs w:val="24"/>
        </w:rPr>
        <w:t xml:space="preserve">Statistical methods such as descriptive statistics, correlation, and comparative group analyses will be employed to examine the quantitative data associated with demographic factors. In doing so, we can identify patterns and potential </w:t>
      </w:r>
      <w:bookmarkEnd w:id="71"/>
      <w:r>
        <w:rPr>
          <w:rFonts w:ascii="Times New Roman" w:hAnsi="Times New Roman"/>
          <w:b w:val="0"/>
          <w:bCs w:val="0"/>
          <w:sz w:val="24"/>
          <w:szCs w:val="24"/>
        </w:rPr>
        <w:t xml:space="preserve"> inequities  in the use of AI and the outcomes of learning.</w:t>
      </w:r>
      <w:bookmarkStart w:id="72" w:name="_Toc3595"/>
      <w:bookmarkEnd w:id="72"/>
    </w:p>
    <w:p w14:paraId="615503EC">
      <w:pPr>
        <w:pStyle w:val="4"/>
        <w:autoSpaceDE w:val="0"/>
        <w:jc w:val="both"/>
        <w:rPr>
          <w:rFonts w:ascii="Times New Roman" w:hAnsi="Times New Roman"/>
        </w:rPr>
      </w:pPr>
      <w:bookmarkStart w:id="73" w:name="_Toc16189"/>
      <w:bookmarkEnd w:id="73"/>
      <w:r>
        <w:rPr>
          <w:rStyle w:val="17"/>
          <w:b/>
          <w:bCs/>
          <w:sz w:val="24"/>
          <w:szCs w:val="24"/>
        </w:rPr>
        <w:t>2. Qualitative Methodological Strategy</w:t>
      </w:r>
    </w:p>
    <w:p w14:paraId="52391149">
      <w:pPr>
        <w:pStyle w:val="10"/>
        <w:autoSpaceDE w:val="0"/>
        <w:jc w:val="both"/>
      </w:pPr>
      <w:r>
        <w:t xml:space="preserve">Participants in the semi-structured interviews will include members of the staff, LSAs, IT facilitators, and University policymakers. The operational, pedagogical, and policy aspects impacting the AI deployment at UWTSD can be better understood with the use of a qualitative method.The following will be the focus of the interview guides: </w:t>
      </w:r>
    </w:p>
    <w:p w14:paraId="7D94A56A">
      <w:pPr>
        <w:pStyle w:val="10"/>
        <w:numPr>
          <w:ilvl w:val="0"/>
          <w:numId w:val="3"/>
        </w:numPr>
        <w:autoSpaceDE w:val="0"/>
        <w:ind w:left="0" w:firstLine="0"/>
        <w:jc w:val="both"/>
      </w:pPr>
      <w:r>
        <w:t>The stakeholders' views on AI's potential to address attainment gaps and foster inclusion.</w:t>
      </w:r>
    </w:p>
    <w:p w14:paraId="5A9BE372">
      <w:pPr>
        <w:pStyle w:val="10"/>
        <w:numPr>
          <w:ilvl w:val="0"/>
          <w:numId w:val="3"/>
        </w:numPr>
        <w:autoSpaceDE w:val="0"/>
        <w:ind w:left="0" w:firstLine="0"/>
        <w:jc w:val="both"/>
      </w:pPr>
      <w:r>
        <w:t>Identifing role and extent of  AI in educational activities.</w:t>
      </w:r>
    </w:p>
    <w:p w14:paraId="3FC87307">
      <w:pPr>
        <w:pStyle w:val="10"/>
        <w:autoSpaceDE w:val="0"/>
        <w:jc w:val="both"/>
        <w:rPr>
          <w:rStyle w:val="17"/>
          <w:b w:val="0"/>
          <w:bCs w:val="0"/>
        </w:rPr>
      </w:pPr>
      <w:r>
        <w:t>Such moral concerns including algorithmic transparency and bias Lessons learnt from AI's previous applications that can inform scalable methods. To uncover recurring themes, inconsistencies, and stakeholder insights, the data gathered from interviews will be subjected to thematic analysis. For qualitative analysis tools like SPSS will be used to systematically organise, code, and  analyse data in a way that ensures rigour and transparency.</w:t>
      </w:r>
      <w:bookmarkStart w:id="74" w:name="_Toc19382"/>
      <w:bookmarkEnd w:id="74"/>
    </w:p>
    <w:p w14:paraId="238D287D">
      <w:pPr>
        <w:pStyle w:val="4"/>
        <w:autoSpaceDE w:val="0"/>
        <w:jc w:val="both"/>
        <w:rPr>
          <w:rFonts w:ascii="Times New Roman" w:hAnsi="Times New Roman"/>
        </w:rPr>
      </w:pPr>
      <w:bookmarkStart w:id="75" w:name="_Toc31228"/>
      <w:bookmarkEnd w:id="75"/>
      <w:r>
        <w:rPr>
          <w:rStyle w:val="17"/>
          <w:b/>
          <w:bCs/>
          <w:sz w:val="24"/>
          <w:szCs w:val="24"/>
        </w:rPr>
        <w:t>3. Justification for Methodological Strategies</w:t>
      </w:r>
    </w:p>
    <w:p w14:paraId="68F46A7C">
      <w:pPr>
        <w:pStyle w:val="10"/>
        <w:autoSpaceDE w:val="0"/>
        <w:jc w:val="both"/>
      </w:pPr>
      <w:r>
        <w:t xml:space="preserve">Incorporating both quantitative and qualitative perspectives, the research will use a combination of semi-structured interviews and surveys. Surveys enable a generalisable data on the demographics of students, whereas interviews provides a deeper contextual understanding of institutional processes, operation limits, and policy implications. </w:t>
      </w:r>
      <w:r>
        <w:br w:type="textWrapping"/>
      </w:r>
      <w:r>
        <w:t>The study's neutrality objective is likewise met by this plan. Collecting the views of various stakeholders, the research will not presuppose the advantages or disadvantages of AI and will examine its impact empirically.</w:t>
      </w:r>
      <w:bookmarkStart w:id="76" w:name="_Toc10409"/>
      <w:bookmarkEnd w:id="76"/>
    </w:p>
    <w:p w14:paraId="4A9F76BB">
      <w:pPr>
        <w:pStyle w:val="4"/>
        <w:autoSpaceDE w:val="0"/>
        <w:jc w:val="both"/>
        <w:rPr>
          <w:rFonts w:ascii="Times New Roman" w:hAnsi="Times New Roman"/>
          <w:b w:val="0"/>
          <w:bCs w:val="0"/>
          <w:sz w:val="28"/>
          <w:szCs w:val="28"/>
        </w:rPr>
      </w:pPr>
      <w:bookmarkStart w:id="77" w:name="_Toc20250"/>
      <w:bookmarkEnd w:id="77"/>
      <w:r>
        <w:rPr>
          <w:rFonts w:ascii="Times New Roman" w:hAnsi="Times New Roman"/>
          <w:sz w:val="28"/>
          <w:szCs w:val="28"/>
        </w:rPr>
        <w:t>C. Sample Population and Sample Frame</w:t>
      </w:r>
    </w:p>
    <w:p w14:paraId="53B34016">
      <w:pPr>
        <w:pStyle w:val="10"/>
        <w:autoSpaceDE w:val="0"/>
        <w:jc w:val="both"/>
      </w:pPr>
      <w:r>
        <w:t>This study  will seeks to investigate how AI may contribute to reduce attainment  gaps while promoting diversity and inclusion at the University of Wales Trinity Saint David (UWTSD). The research will concentrate on core stakeholder groups who either actively engage with AI technologies or are influenced by their implementation within the institution. The sample will include five distinct categories of participants.</w:t>
      </w:r>
    </w:p>
    <w:p w14:paraId="6A94494D">
      <w:pPr>
        <w:pStyle w:val="10"/>
        <w:autoSpaceDE w:val="0"/>
        <w:jc w:val="both"/>
      </w:pPr>
      <w:r>
        <w:t>Undergraduate students will be included to reflect experiences at the initial stages of higher education across varied demographic profiles. Graduate and postgraduate students will also be involved to enable comparison of AI-related experiences at more advanced academic levels.</w:t>
      </w:r>
    </w:p>
    <w:p w14:paraId="19AFFDA3">
      <w:pPr>
        <w:pStyle w:val="10"/>
        <w:autoSpaceDE w:val="0"/>
        <w:jc w:val="both"/>
      </w:pPr>
      <w:r>
        <w:t>Academic staff, such as lecturers and Professors, will form another group, as they are directly involved in integrating AI-supported tools into teaching and assessment activities. Learning support assistants and IT facilitators will be included due to their role in providing technical assistance and ensuring the effective operation of AI systems.</w:t>
      </w:r>
    </w:p>
    <w:p w14:paraId="69565458">
      <w:pPr>
        <w:pStyle w:val="10"/>
        <w:autoSpaceDE w:val="0"/>
        <w:jc w:val="both"/>
        <w:rPr>
          <w:rStyle w:val="17"/>
        </w:rPr>
      </w:pPr>
      <w:r>
        <w:rPr>
          <w:rStyle w:val="17"/>
        </w:rPr>
        <w:t xml:space="preserve"> </w:t>
      </w:r>
    </w:p>
    <w:p w14:paraId="4DB01541">
      <w:pPr>
        <w:pStyle w:val="10"/>
        <w:autoSpaceDE w:val="0"/>
        <w:jc w:val="both"/>
        <w:rPr>
          <w:rStyle w:val="17"/>
        </w:rPr>
      </w:pPr>
      <w:r>
        <w:rPr>
          <w:rStyle w:val="17"/>
        </w:rPr>
        <w:t>Sample Frame</w:t>
      </w:r>
    </w:p>
    <w:p w14:paraId="1EB89933">
      <w:pPr>
        <w:pStyle w:val="10"/>
        <w:autoSpaceDE w:val="0"/>
        <w:jc w:val="both"/>
      </w:pPr>
      <w:r>
        <w:t>Institutional records, program enrolment lists, and department directories will be used to set up the sample frame for accurate representation. Students will be categorised according to their gender, age, level of study, and academic speciality using a stratified approach.This approach is intended to capture variation in learning experiences and engagement with AI across the student population.</w:t>
      </w:r>
    </w:p>
    <w:p w14:paraId="116D794F">
      <w:pPr>
        <w:pStyle w:val="10"/>
        <w:autoSpaceDE w:val="0"/>
        <w:jc w:val="both"/>
        <w:rPr>
          <w:rStyle w:val="17"/>
          <w:b w:val="0"/>
          <w:bCs w:val="0"/>
        </w:rPr>
      </w:pPr>
      <w:r>
        <w:t>Policymakers and staff members actively involved in AI governance and deployment will be selected through purposeful sampling process. In order to provide operational and technical insights to the contextual understanding of the practical impact of AI, the group   will also comprise of  learning support assistants and IT facilitators who can provide practical insight into the operational and institutional implications of AI use</w:t>
      </w:r>
      <w:bookmarkStart w:id="78" w:name="_Toc1284"/>
      <w:bookmarkEnd w:id="78"/>
    </w:p>
    <w:p w14:paraId="47F6551A">
      <w:pPr>
        <w:pStyle w:val="4"/>
        <w:autoSpaceDE w:val="0"/>
        <w:jc w:val="both"/>
        <w:rPr>
          <w:rFonts w:ascii="Times New Roman" w:hAnsi="Times New Roman"/>
        </w:rPr>
      </w:pPr>
      <w:bookmarkStart w:id="79" w:name="_Toc5473"/>
      <w:bookmarkEnd w:id="79"/>
      <w:r>
        <w:rPr>
          <w:rStyle w:val="17"/>
          <w:b/>
          <w:bCs/>
          <w:sz w:val="24"/>
          <w:szCs w:val="24"/>
        </w:rPr>
        <w:t>Rationale</w:t>
      </w:r>
    </w:p>
    <w:p w14:paraId="761F4BAE">
      <w:pPr>
        <w:pStyle w:val="10"/>
        <w:autoSpaceDE w:val="0"/>
        <w:jc w:val="both"/>
      </w:pPr>
      <w:r>
        <w:t xml:space="preserve"> The research will  adopt stratified sampling of students and purposive sampling of other stakeholders to achieve a balance between inclusivity and relevance.. It enables the researcher to gather a diverse range of experiences while honing down on the most relevant individuals for the subject of artificial intelligence in educational innovation and equity. </w:t>
      </w:r>
    </w:p>
    <w:p w14:paraId="7F542D08">
      <w:pPr>
        <w:pStyle w:val="10"/>
        <w:autoSpaceDE w:val="0"/>
        <w:jc w:val="both"/>
      </w:pPr>
      <w:r>
        <w:t xml:space="preserve">By involving </w:t>
      </w:r>
      <w:r>
        <w:rPr>
          <w:rStyle w:val="17"/>
          <w:b w:val="0"/>
          <w:bCs w:val="0"/>
        </w:rPr>
        <w:t>undergraduate, graduate, and postgraduate students</w:t>
      </w:r>
      <w:r>
        <w:t xml:space="preserve">, the study is designed to capture variation in learning pathways, academic progression, and levels of technological engagement. This approach supports the collection of data that reflects </w:t>
      </w:r>
      <w:r>
        <w:rPr>
          <w:rStyle w:val="17"/>
          <w:b w:val="0"/>
          <w:bCs w:val="0"/>
        </w:rPr>
        <w:t>real-world diversity within tertiary education</w:t>
      </w:r>
      <w:r>
        <w:t xml:space="preserve"> and strengthens the relevance and applicability of the findings.</w:t>
      </w:r>
      <w:r>
        <w:br w:type="textWrapping"/>
      </w:r>
    </w:p>
    <w:p w14:paraId="0446F077">
      <w:pPr>
        <w:pStyle w:val="4"/>
        <w:numPr>
          <w:ilvl w:val="0"/>
          <w:numId w:val="4"/>
        </w:numPr>
        <w:autoSpaceDE w:val="0"/>
        <w:jc w:val="both"/>
        <w:rPr>
          <w:rFonts w:ascii="Times New Roman" w:hAnsi="Times New Roman"/>
          <w:sz w:val="28"/>
          <w:szCs w:val="28"/>
        </w:rPr>
      </w:pPr>
      <w:bookmarkStart w:id="80" w:name="_Toc14111"/>
      <w:bookmarkEnd w:id="80"/>
      <w:bookmarkStart w:id="81" w:name="_Toc12436"/>
      <w:r>
        <w:rPr>
          <w:rFonts w:ascii="Times New Roman" w:hAnsi="Times New Roman"/>
          <w:sz w:val="28"/>
          <w:szCs w:val="28"/>
        </w:rPr>
        <w:t>Sampling Method</w:t>
      </w:r>
      <w:bookmarkEnd w:id="81"/>
    </w:p>
    <w:p w14:paraId="4EEDAAE5">
      <w:pPr>
        <w:pStyle w:val="10"/>
        <w:autoSpaceDE w:val="0"/>
        <w:jc w:val="both"/>
        <w:rPr>
          <w:rStyle w:val="17"/>
          <w:b w:val="0"/>
          <w:bCs w:val="0"/>
        </w:rPr>
      </w:pPr>
      <w:r>
        <w:t>As research involves  several stakeholder groups and address  several research questions, the sampling strategy incorporates both quantitative and qualitative approaches. This technique will ensure that the information is sound and up-to-date while also maintaining methodological rigour.</w:t>
      </w:r>
      <w:bookmarkStart w:id="82" w:name="_Toc9470"/>
      <w:bookmarkEnd w:id="82"/>
    </w:p>
    <w:p w14:paraId="225D27E2">
      <w:pPr>
        <w:pStyle w:val="4"/>
        <w:autoSpaceDE w:val="0"/>
        <w:jc w:val="both"/>
        <w:rPr>
          <w:rFonts w:ascii="Times New Roman" w:hAnsi="Times New Roman"/>
        </w:rPr>
      </w:pPr>
      <w:bookmarkStart w:id="83" w:name="_Toc6167"/>
      <w:bookmarkEnd w:id="83"/>
      <w:r>
        <w:rPr>
          <w:rStyle w:val="17"/>
          <w:b/>
          <w:bCs/>
          <w:sz w:val="24"/>
          <w:szCs w:val="24"/>
        </w:rPr>
        <w:t xml:space="preserve">1. Quantitative Sampling </w:t>
      </w:r>
    </w:p>
    <w:p w14:paraId="340090E7">
      <w:pPr>
        <w:pStyle w:val="10"/>
        <w:autoSpaceDE w:val="0"/>
        <w:jc w:val="both"/>
      </w:pPr>
      <w:r>
        <w:t>Stratified random sampling will be used for undergraduate, graduate, and postgraduate students. With this method, we can divide up the student body into several groups based on:</w:t>
      </w:r>
    </w:p>
    <w:p w14:paraId="7673D012">
      <w:pPr>
        <w:pStyle w:val="10"/>
        <w:autoSpaceDE w:val="0"/>
        <w:jc w:val="both"/>
      </w:pPr>
      <w:r>
        <w:rPr>
          <w:rStyle w:val="17"/>
        </w:rPr>
        <w:t>Level of study:</w:t>
      </w:r>
      <w:r>
        <w:rPr>
          <w:rStyle w:val="17"/>
          <w:b w:val="0"/>
          <w:bCs w:val="0"/>
        </w:rPr>
        <w:t xml:space="preserve"> Postgraduate, Undergraduate, Graduate.</w:t>
      </w:r>
    </w:p>
    <w:p w14:paraId="0485284B">
      <w:pPr>
        <w:pStyle w:val="10"/>
        <w:autoSpaceDE w:val="0"/>
        <w:jc w:val="both"/>
      </w:pPr>
      <w:r>
        <w:rPr>
          <w:rStyle w:val="17"/>
        </w:rPr>
        <w:t>Discipline:</w:t>
      </w:r>
      <w:r>
        <w:t xml:space="preserve"> Education in the fields of Business management, Computing and Technology, Health and Social Care</w:t>
      </w:r>
    </w:p>
    <w:p w14:paraId="1BB4D559">
      <w:pPr>
        <w:pStyle w:val="10"/>
        <w:autoSpaceDE w:val="0"/>
        <w:jc w:val="both"/>
        <w:rPr>
          <w:rStyle w:val="17"/>
          <w:b w:val="0"/>
          <w:bCs w:val="0"/>
        </w:rPr>
      </w:pPr>
      <w:r>
        <w:rPr>
          <w:rStyle w:val="17"/>
        </w:rPr>
        <w:t>Demographic :</w:t>
      </w:r>
      <w:r>
        <w:rPr>
          <w:rStyle w:val="17"/>
          <w:b w:val="0"/>
          <w:bCs w:val="0"/>
        </w:rPr>
        <w:t xml:space="preserve"> </w:t>
      </w:r>
      <w:r>
        <w:t xml:space="preserve">gender, ethnic group and age. </w:t>
      </w:r>
      <w:r>
        <w:br w:type="textWrapping"/>
      </w:r>
      <w:r>
        <w:t>A random selection of individuals will be made from each stratum to participate in the online survey. Using this method has the advantage of avoiding sampling bias and enabling quantitative examination of how students in very diverse learning environments view, use, and experience AI.</w:t>
      </w:r>
    </w:p>
    <w:p w14:paraId="0F39F326">
      <w:pPr>
        <w:pStyle w:val="10"/>
        <w:autoSpaceDE w:val="0"/>
        <w:jc w:val="both"/>
      </w:pPr>
      <w:r>
        <w:rPr>
          <w:rStyle w:val="17"/>
        </w:rPr>
        <w:t xml:space="preserve">2. Qualitative Sampling </w:t>
      </w:r>
    </w:p>
    <w:p w14:paraId="316DE2CD">
      <w:pPr>
        <w:pStyle w:val="10"/>
        <w:autoSpaceDE w:val="0"/>
        <w:jc w:val="both"/>
      </w:pPr>
      <w:r>
        <w:t>When it comes to stakeholders who aren't students, purposive sampling will be employed. This method allows  the selection  of individuals actively involved in AI deployment, governance, or pedagogy:</w:t>
      </w:r>
    </w:p>
    <w:p w14:paraId="69F61DF3">
      <w:pPr>
        <w:pStyle w:val="10"/>
        <w:autoSpaceDE w:val="0"/>
        <w:jc w:val="both"/>
      </w:pPr>
      <w:r>
        <w:rPr>
          <w:rStyle w:val="17"/>
        </w:rPr>
        <w:t>Academic staff :</w:t>
      </w:r>
      <w:r>
        <w:t>Educators who  make use of AI tools in the classroom.</w:t>
      </w:r>
    </w:p>
    <w:p w14:paraId="21B27E78">
      <w:pPr>
        <w:pStyle w:val="10"/>
        <w:autoSpaceDE w:val="0"/>
        <w:jc w:val="both"/>
      </w:pPr>
      <w:r>
        <w:rPr>
          <w:rStyle w:val="17"/>
        </w:rPr>
        <w:t>Learning support assistants &amp; IT facilitators:</w:t>
      </w:r>
      <w:r>
        <w:t xml:space="preserve"> individuals in charge of AI tools and providing assistance to students. </w:t>
      </w:r>
      <w:r>
        <w:br w:type="textWrapping"/>
      </w:r>
      <w:r>
        <w:rPr>
          <w:b/>
          <w:bCs/>
        </w:rPr>
        <w:t>Academics and University Policymakers</w:t>
      </w:r>
      <w:r>
        <w:t xml:space="preserve">: Those  tasked with developing and enforcing regulations pertaining to  AI and equity. </w:t>
      </w:r>
    </w:p>
    <w:p w14:paraId="19FFE277">
      <w:pPr>
        <w:pStyle w:val="4"/>
        <w:autoSpaceDE w:val="0"/>
        <w:jc w:val="both"/>
        <w:rPr>
          <w:rFonts w:ascii="Times New Roman" w:hAnsi="Times New Roman"/>
          <w:b w:val="0"/>
          <w:bCs w:val="0"/>
          <w:sz w:val="24"/>
          <w:szCs w:val="24"/>
        </w:rPr>
      </w:pPr>
      <w:bookmarkStart w:id="84" w:name="_Toc1536"/>
      <w:bookmarkEnd w:id="84"/>
      <w:bookmarkStart w:id="85" w:name="_Toc27820"/>
      <w:bookmarkEnd w:id="85"/>
      <w:bookmarkStart w:id="86" w:name="_Toc448"/>
      <w:r>
        <w:rPr>
          <w:rFonts w:ascii="Times New Roman" w:hAnsi="Times New Roman"/>
          <w:b w:val="0"/>
          <w:bCs w:val="0"/>
          <w:sz w:val="24"/>
          <w:szCs w:val="24"/>
        </w:rPr>
        <w:t xml:space="preserve">This qualitative sampling approach is </w:t>
      </w:r>
      <w:bookmarkEnd w:id="86"/>
      <w:r>
        <w:rPr>
          <w:rStyle w:val="17"/>
          <w:b w:val="0"/>
          <w:bCs w:val="0"/>
          <w:sz w:val="24"/>
          <w:szCs w:val="24"/>
        </w:rPr>
        <w:t>intentionally designed</w:t>
      </w:r>
      <w:r>
        <w:rPr>
          <w:rFonts w:ascii="Times New Roman" w:hAnsi="Times New Roman"/>
          <w:b w:val="0"/>
          <w:bCs w:val="0"/>
          <w:sz w:val="24"/>
          <w:szCs w:val="24"/>
        </w:rPr>
        <w:t xml:space="preserve"> to ensure that relevant experiences and perspectives are captured, allowing the research questions to be fully addressed.</w:t>
      </w:r>
      <w:r>
        <w:rPr>
          <w:rFonts w:ascii="Times New Roman" w:hAnsi="Times New Roman"/>
          <w:b w:val="0"/>
          <w:bCs w:val="0"/>
          <w:sz w:val="24"/>
          <w:szCs w:val="24"/>
        </w:rPr>
        <w:br w:type="textWrapping"/>
      </w:r>
    </w:p>
    <w:p w14:paraId="0747C64B">
      <w:pPr>
        <w:pStyle w:val="4"/>
        <w:autoSpaceDE w:val="0"/>
        <w:jc w:val="both"/>
        <w:rPr>
          <w:rFonts w:ascii="Times New Roman" w:hAnsi="Times New Roman"/>
          <w:b w:val="0"/>
          <w:bCs w:val="0"/>
          <w:sz w:val="24"/>
          <w:szCs w:val="24"/>
        </w:rPr>
      </w:pPr>
      <w:bookmarkStart w:id="87" w:name="_Toc27199"/>
      <w:bookmarkEnd w:id="87"/>
      <w:bookmarkStart w:id="88" w:name="_Toc8072"/>
      <w:bookmarkEnd w:id="88"/>
      <w:bookmarkStart w:id="89" w:name="_Toc10845"/>
      <w:r>
        <w:rPr>
          <w:rStyle w:val="17"/>
          <w:b/>
          <w:bCs/>
          <w:sz w:val="24"/>
          <w:szCs w:val="24"/>
        </w:rPr>
        <w:t>3. Justification</w:t>
      </w:r>
      <w:bookmarkEnd w:id="89"/>
    </w:p>
    <w:p w14:paraId="7F4C0919">
      <w:pPr>
        <w:pStyle w:val="10"/>
        <w:autoSpaceDE w:val="0"/>
        <w:jc w:val="both"/>
        <w:rPr>
          <w:rFonts w:ascii="Times New Roman" w:hAnsi="Times New Roman"/>
          <w:sz w:val="32"/>
          <w:szCs w:val="32"/>
        </w:rPr>
      </w:pPr>
      <w:r>
        <w:t xml:space="preserve">To ensure  methodological rigour,  a combination of stratified random sampling and purposive sampling will be used  to: Guarantee quantitative data that is representative of various student groups and it captures </w:t>
      </w:r>
      <w:r>
        <w:rPr>
          <w:rStyle w:val="17"/>
          <w:b w:val="0"/>
          <w:bCs w:val="0"/>
        </w:rPr>
        <w:t xml:space="preserve">the rich insights of those </w:t>
      </w:r>
      <w:r>
        <w:t xml:space="preserve">directly influencing AI  integration  in educational settings and policy making . </w:t>
      </w:r>
      <w:r>
        <w:br w:type="textWrapping"/>
      </w:r>
      <w:r>
        <w:t xml:space="preserve">This combined approach </w:t>
      </w:r>
      <w:r>
        <w:rPr>
          <w:rStyle w:val="17"/>
          <w:b w:val="0"/>
          <w:bCs w:val="0"/>
        </w:rPr>
        <w:t xml:space="preserve">enhances </w:t>
      </w:r>
      <w:r>
        <w:t xml:space="preserve"> the validity of the findings, strengthens triangulation, and learning more about how AI can help address attainment gaps, inclusion, and diversity.</w:t>
      </w:r>
      <w:bookmarkStart w:id="90" w:name="_Toc29809"/>
      <w:bookmarkEnd w:id="90"/>
    </w:p>
    <w:p w14:paraId="0270BC21">
      <w:pPr>
        <w:pStyle w:val="3"/>
        <w:autoSpaceDE w:val="0"/>
        <w:jc w:val="both"/>
        <w:rPr>
          <w:rFonts w:ascii="Times New Roman" w:hAnsi="Times New Roman"/>
          <w:sz w:val="32"/>
          <w:szCs w:val="32"/>
        </w:rPr>
      </w:pPr>
      <w:bookmarkStart w:id="91" w:name="_Toc27008"/>
      <w:bookmarkEnd w:id="91"/>
      <w:r>
        <w:rPr>
          <w:rFonts w:ascii="Times New Roman" w:hAnsi="Times New Roman"/>
          <w:sz w:val="32"/>
          <w:szCs w:val="32"/>
        </w:rPr>
        <w:t>CLIMAX</w:t>
      </w:r>
      <w:bookmarkStart w:id="92" w:name="_Toc19365"/>
      <w:bookmarkEnd w:id="92"/>
      <w:r>
        <w:rPr>
          <w:rFonts w:ascii="Times New Roman" w:hAnsi="Times New Roman"/>
          <w:sz w:val="28"/>
          <w:szCs w:val="28"/>
        </w:rPr>
        <w:t xml:space="preserve"> </w:t>
      </w:r>
    </w:p>
    <w:p w14:paraId="409459DD">
      <w:pPr>
        <w:pStyle w:val="4"/>
        <w:autoSpaceDE w:val="0"/>
        <w:jc w:val="both"/>
        <w:rPr>
          <w:rFonts w:ascii="Times New Roman" w:hAnsi="Times New Roman"/>
          <w:sz w:val="28"/>
          <w:szCs w:val="28"/>
        </w:rPr>
      </w:pPr>
      <w:bookmarkStart w:id="93" w:name="_Toc1533"/>
      <w:bookmarkEnd w:id="93"/>
      <w:r>
        <w:rPr>
          <w:rFonts w:ascii="Times New Roman" w:hAnsi="Times New Roman"/>
          <w:sz w:val="28"/>
          <w:szCs w:val="28"/>
        </w:rPr>
        <w:t>A. Personal Reflection on Preparation</w:t>
      </w:r>
    </w:p>
    <w:p w14:paraId="0B1A7958">
      <w:pPr>
        <w:autoSpaceDE w:val="0"/>
        <w:jc w:val="both"/>
        <w:rPr>
          <w:rFonts w:ascii="Times New Roman" w:hAnsi="Times New Roman"/>
        </w:rPr>
      </w:pPr>
      <w:r>
        <w:rPr>
          <w:rFonts w:ascii="Times New Roman" w:hAnsi="Times New Roman"/>
        </w:rPr>
        <w:t xml:space="preserve">In order to develop this portfolio together, I engaged systematically with  both  the theoretically and in practical aspects of AI in higher education. First, it was challenging to come up with a research topic that balanced technological innovation with equitable educational outcomes across age groups, genders, and disciplines while also promoting technological innovation. </w:t>
      </w:r>
    </w:p>
    <w:p w14:paraId="6B3EA25A">
      <w:pPr>
        <w:pStyle w:val="10"/>
        <w:autoSpaceDE w:val="0"/>
        <w:jc w:val="both"/>
      </w:pPr>
      <w:r>
        <w:t xml:space="preserve">Engagement with academic literature was central to shaping the direction of the research. Studies by Beaur </w:t>
      </w:r>
      <w:r>
        <w:rPr>
          <w:rStyle w:val="18"/>
          <w:i w:val="0"/>
          <w:iCs w:val="0"/>
        </w:rPr>
        <w:t>et al.</w:t>
      </w:r>
      <w:r>
        <w:t xml:space="preserve"> (2025) and Intazari (2021) highlighted key issues surrounding AI adoption, including ethical concerns, potential bias and the varied perspectives of stakeholders. Reviewing this literature encouraged me to consider not only the benefits of AI but also its broader social and educational implications.</w:t>
      </w:r>
    </w:p>
    <w:p w14:paraId="48D8479B">
      <w:pPr>
        <w:pStyle w:val="10"/>
        <w:autoSpaceDE w:val="0"/>
        <w:jc w:val="both"/>
      </w:pPr>
      <w:r>
        <w:t>Through an  iterative process of reflection, I was  able to  continuously refine  my  research  questions and methodological approach. To ensure  relevance, inclusivity and methodological rigour, the portfolio is shaped shaped by considering the perspective of  students, academic staff, and  institutional policymakers . Consistant with the arguments of  Elizabeth Beaur et al, (2025) and Crompton and Burke (2025), it is important to maintain objectivity when studying AI's impacts, which means acknowledging the technology's potential benefits while also carefully assessing its problems, ethical implications, and limitations.</w:t>
      </w:r>
    </w:p>
    <w:p w14:paraId="07D16556">
      <w:pPr>
        <w:pStyle w:val="10"/>
        <w:autoSpaceDE w:val="0"/>
        <w:jc w:val="both"/>
      </w:pPr>
      <w:r>
        <w:t>I am also grateful for the consistent support and constructive feedback provided by my Professor throughout this process. From the initial selection of the research title to the later stages of refining the proposal, he consistently offered constructive feedback and patiently reviewed the materials I shared. His encouragement and guidance were instrumental in strengthening both the focus and quality of this work.</w:t>
      </w:r>
      <w:bookmarkStart w:id="94" w:name="_Toc25132"/>
      <w:bookmarkEnd w:id="94"/>
    </w:p>
    <w:p w14:paraId="75CAF92A">
      <w:pPr>
        <w:pStyle w:val="4"/>
        <w:autoSpaceDE w:val="0"/>
        <w:jc w:val="both"/>
        <w:rPr>
          <w:rFonts w:ascii="Times New Roman" w:hAnsi="Times New Roman"/>
          <w:sz w:val="28"/>
          <w:szCs w:val="28"/>
        </w:rPr>
      </w:pPr>
      <w:bookmarkStart w:id="95" w:name="_Toc6968"/>
      <w:bookmarkEnd w:id="95"/>
      <w:r>
        <w:rPr>
          <w:rFonts w:ascii="Times New Roman" w:hAnsi="Times New Roman"/>
          <w:sz w:val="28"/>
          <w:szCs w:val="28"/>
        </w:rPr>
        <w:t>B. Evaluation of Portfolio Content</w:t>
      </w:r>
    </w:p>
    <w:p w14:paraId="46284E69">
      <w:pPr>
        <w:pStyle w:val="10"/>
        <w:autoSpaceDE w:val="0"/>
        <w:jc w:val="both"/>
      </w:pPr>
      <w:r>
        <w:t>Research on artificial intelligence (AI) in higher education has been extensively studied and summarised in the literature (Luckin and Cukurova, 2019; Holmes and Tuomi, 2022; Cotilla Conceicao and Stappen, 2025), highlighting both the potential of AI as a tool for instruction and concerns over equity. Sources will be evaluated based on relevance, methodological rigour, and applicability to diverse student groups.  Understanding of the contextual variation in AI adoption and equity outcomes will be informed by findings from international studies (Yu et al, 2025; Arslan, Youssef and Ghandour, 2025; Zawacki-Richter et al, 2019).</w:t>
      </w:r>
    </w:p>
    <w:p w14:paraId="5A774DAB">
      <w:pPr>
        <w:pStyle w:val="10"/>
        <w:autoSpaceDE w:val="0"/>
        <w:jc w:val="both"/>
      </w:pPr>
      <w:r>
        <w:t>Drawing  Kuhn's paradigm theory, the adoption of AI may represent a paradigm shift in which anomalies of previous teaching approaches allow for the prospect of innovation (Kuhn, 1962; Shams, Zowghi and Bano, 2025). The literature review and methodlogical design is  connected through the framework, which   aids in the interpretation of stakeholder views and institutional practices.</w:t>
      </w:r>
    </w:p>
    <w:p w14:paraId="0F07FCEA">
      <w:pPr>
        <w:pStyle w:val="10"/>
        <w:autoSpaceDE w:val="0"/>
        <w:jc w:val="both"/>
      </w:pPr>
      <w:r>
        <w:t>The mixed-methods design (the combination of student surveys and semi-structured interviews with  staff and policymakers) is considered appropriate to answer the research questions in a comprehensive manner. Stratified random sampling ensured  representative student views, whereas purposive sampling will help to obtain in-depth qualitative information about familiar stakeholders.</w:t>
      </w:r>
    </w:p>
    <w:p w14:paraId="2B83EA86">
      <w:pPr>
        <w:pStyle w:val="10"/>
        <w:autoSpaceDE w:val="0"/>
        <w:jc w:val="both"/>
      </w:pPr>
      <w:r>
        <w:t xml:space="preserve">Included in the portfolio are the blueprints for the data analysis frameworks, interview guides, and survey instruments. To find patterns in stakeholder views and institutional practices, </w:t>
      </w:r>
      <w:r>
        <w:rPr>
          <w:rStyle w:val="17"/>
          <w:b w:val="0"/>
          <w:bCs w:val="0"/>
        </w:rPr>
        <w:t>qualitative data will be thematically coded</w:t>
      </w:r>
      <w:r>
        <w:t xml:space="preserve">, and trends and correlations </w:t>
      </w:r>
      <w:r>
        <w:rPr>
          <w:rStyle w:val="17"/>
          <w:b w:val="0"/>
          <w:bCs w:val="0"/>
        </w:rPr>
        <w:t>will be examined</w:t>
      </w:r>
      <w:r>
        <w:t xml:space="preserve"> in the quantitative data. High validity and comprehensive interpretation will be  provided through triangulation.</w:t>
      </w:r>
    </w:p>
    <w:p w14:paraId="585E8A27">
      <w:pPr>
        <w:pStyle w:val="10"/>
        <w:autoSpaceDE w:val="0"/>
        <w:jc w:val="both"/>
      </w:pPr>
      <w:r>
        <w:t>Ethical considerations, including informed consent, cultural sensitivity and data privacy, will be prioritised throughout the study. Qualitative data will be thematically analysed, while quantitative data will be examined for trends, with triangulation enhancing validity.</w:t>
      </w:r>
    </w:p>
    <w:p w14:paraId="403CEC4F">
      <w:pPr>
        <w:pStyle w:val="10"/>
        <w:autoSpaceDE w:val="0"/>
        <w:jc w:val="both"/>
      </w:pPr>
      <w:r>
        <w:t>Potential challenges include respondent fatigue, access to policymakers and maintaining objectivity . Overall, the portfolio contributes to understanding AI’s role in addressing diversity, inclusion and attainment gaps and supports future research and policy development at UWTSD.</w:t>
      </w:r>
      <w:bookmarkStart w:id="96" w:name="_Toc12380"/>
      <w:bookmarkEnd w:id="96"/>
    </w:p>
    <w:p w14:paraId="162CF6E9">
      <w:pPr>
        <w:pStyle w:val="3"/>
        <w:autoSpaceDE w:val="0"/>
        <w:jc w:val="both"/>
        <w:rPr>
          <w:rStyle w:val="17"/>
          <w:b/>
          <w:bCs/>
          <w:sz w:val="32"/>
          <w:szCs w:val="32"/>
        </w:rPr>
      </w:pPr>
      <w:bookmarkStart w:id="97" w:name="_Toc12068"/>
      <w:bookmarkEnd w:id="97"/>
      <w:r>
        <w:rPr>
          <w:rFonts w:ascii="Times New Roman" w:hAnsi="Times New Roman"/>
          <w:sz w:val="32"/>
          <w:szCs w:val="32"/>
        </w:rPr>
        <w:t>DENOUEMENT</w:t>
      </w:r>
      <w:bookmarkStart w:id="98" w:name="_Toc7664"/>
      <w:bookmarkEnd w:id="98"/>
    </w:p>
    <w:p w14:paraId="2C46D504">
      <w:pPr>
        <w:pStyle w:val="4"/>
        <w:autoSpaceDE w:val="0"/>
        <w:jc w:val="both"/>
        <w:rPr>
          <w:rFonts w:ascii="Times New Roman" w:hAnsi="Times New Roman"/>
        </w:rPr>
      </w:pPr>
      <w:bookmarkStart w:id="99" w:name="_Toc32123"/>
      <w:bookmarkEnd w:id="99"/>
      <w:r>
        <w:rPr>
          <w:rStyle w:val="17"/>
          <w:b/>
          <w:bCs/>
          <w:sz w:val="24"/>
          <w:szCs w:val="24"/>
        </w:rPr>
        <w:t>Impact on the Ultimate Research Proposal</w:t>
      </w:r>
    </w:p>
    <w:p w14:paraId="301A08B3">
      <w:pPr>
        <w:pStyle w:val="10"/>
        <w:autoSpaceDE w:val="0"/>
        <w:jc w:val="both"/>
      </w:pPr>
      <w:r>
        <w:t xml:space="preserve">The portfolio process will have a direct impact on  final research. Studying the literature, stakeholder perspectives, and methodological plans will set the expectations for the research's scope, aims, and contributions. Incorporating the findings of Beaur et al. (2025), Ali Intezari (2021), Cotilla Conceicao and Stappen (2025), and Shams, the research  will provide  an unbiased, evidence-based prediction about the role of AI in addressing diversity, inclusion, and attainment gaps in  higher education. </w:t>
      </w:r>
    </w:p>
    <w:p w14:paraId="54876C12">
      <w:pPr>
        <w:pStyle w:val="10"/>
        <w:autoSpaceDE w:val="0"/>
        <w:jc w:val="both"/>
      </w:pPr>
      <w:r>
        <w:t xml:space="preserve">Guided by </w:t>
      </w:r>
      <w:r>
        <w:rPr>
          <w:rStyle w:val="17"/>
          <w:b w:val="0"/>
          <w:bCs w:val="0"/>
        </w:rPr>
        <w:t>TAM2</w:t>
      </w:r>
      <w:r>
        <w:t xml:space="preserve">, the research will examine perceived usefulness, ease of use and social influence as key factors shaping stakeholder engagement with AI systems, while </w:t>
      </w:r>
      <w:r>
        <w:rPr>
          <w:rStyle w:val="17"/>
          <w:b w:val="0"/>
          <w:bCs w:val="0"/>
        </w:rPr>
        <w:t>constructivist learning theory</w:t>
      </w:r>
      <w:r>
        <w:t xml:space="preserve"> will inform analysis of how AI supports active, learner-centred knowledge construction. The inclusion of undergraduate, postgraduate students, academic staff, learning support assistants, IT facilitators and policymakers through surveys and semi-structured interviews will ensure methodological rigour and comprehensive data capture.</w:t>
      </w:r>
    </w:p>
    <w:p w14:paraId="6227CCF6">
      <w:pPr>
        <w:pStyle w:val="4"/>
        <w:autoSpaceDE w:val="0"/>
        <w:jc w:val="both"/>
        <w:rPr>
          <w:rFonts w:ascii="Times New Roman" w:hAnsi="Times New Roman"/>
          <w:sz w:val="24"/>
          <w:szCs w:val="24"/>
        </w:rPr>
      </w:pPr>
      <w:bookmarkStart w:id="100" w:name="_Toc9558"/>
      <w:bookmarkEnd w:id="100"/>
      <w:bookmarkStart w:id="101" w:name="_Toc25726"/>
      <w:r>
        <w:rPr>
          <w:rStyle w:val="17"/>
          <w:b/>
          <w:bCs/>
          <w:sz w:val="24"/>
          <w:szCs w:val="24"/>
        </w:rPr>
        <w:t>Resolution of Contradictions and Challenges</w:t>
      </w:r>
      <w:bookmarkEnd w:id="101"/>
    </w:p>
    <w:p w14:paraId="1BAB17AE">
      <w:pPr>
        <w:pStyle w:val="10"/>
        <w:autoSpaceDE w:val="0"/>
        <w:jc w:val="both"/>
      </w:pPr>
      <w:r>
        <w:rPr>
          <w:rStyle w:val="17"/>
          <w:b w:val="0"/>
          <w:bCs w:val="0"/>
        </w:rPr>
        <w:t>Research Paradigm (Qualitative vs. Quantitative):</w:t>
      </w:r>
      <w:r>
        <w:br w:type="textWrapping"/>
      </w:r>
      <w:r>
        <w:t xml:space="preserve">The portfolio process </w:t>
      </w:r>
      <w:r>
        <w:rPr>
          <w:rStyle w:val="17"/>
          <w:b w:val="0"/>
          <w:bCs w:val="0"/>
        </w:rPr>
        <w:t>will demonstrate</w:t>
      </w:r>
      <w:r>
        <w:t xml:space="preserve"> a consistent mixed-methods approach that resolves the tension between quantitative transferability and qualitative depth. Student surveys will capture patterns of AI acceptance and use (TAM2), while interviews will explore pedagogical and institutional practices aligned with constructivist principles (Kizilcec and Nixon, 2023; Dara, Vann and Sok, 2024).</w:t>
      </w:r>
    </w:p>
    <w:p w14:paraId="3D53A9F3">
      <w:pPr>
        <w:pStyle w:val="10"/>
        <w:autoSpaceDE w:val="0"/>
        <w:jc w:val="both"/>
        <w:rPr>
          <w:rStyle w:val="17"/>
        </w:rPr>
      </w:pPr>
      <w:r>
        <w:rPr>
          <w:rStyle w:val="17"/>
        </w:rPr>
        <w:t xml:space="preserve"> </w:t>
      </w:r>
    </w:p>
    <w:p w14:paraId="638D8C7C">
      <w:pPr>
        <w:pStyle w:val="10"/>
        <w:autoSpaceDE w:val="0"/>
        <w:jc w:val="both"/>
      </w:pPr>
      <w:r>
        <w:rPr>
          <w:rStyle w:val="17"/>
        </w:rPr>
        <w:t>Defining Key Concepts:</w:t>
      </w:r>
      <w:r>
        <w:br w:type="textWrapping"/>
      </w:r>
      <w:r>
        <w:t>Using frameworks such as Shams, Zowghi and Bano (2025), Cotilla Conceicao and Stappen (2025), and Drydakis (2025) and Beaur  (2025), the literature  will help to illustrate the primary ideas, which included AI-assisted learning, diversity, inclusion, and attainment gaps .  This approach will ensure Conceptual clarity and alignment  with the research objectives.</w:t>
      </w:r>
    </w:p>
    <w:p w14:paraId="177BBC6A">
      <w:pPr>
        <w:pStyle w:val="10"/>
        <w:autoSpaceDE w:val="0"/>
        <w:jc w:val="both"/>
        <w:rPr>
          <w:rStyle w:val="17"/>
        </w:rPr>
      </w:pPr>
      <w:r>
        <w:rPr>
          <w:rStyle w:val="17"/>
        </w:rPr>
        <w:t xml:space="preserve"> </w:t>
      </w:r>
    </w:p>
    <w:p w14:paraId="0407879C">
      <w:pPr>
        <w:pStyle w:val="10"/>
        <w:autoSpaceDE w:val="0"/>
        <w:jc w:val="both"/>
      </w:pPr>
      <w:r>
        <w:rPr>
          <w:rStyle w:val="17"/>
        </w:rPr>
        <w:t>Ethical Considerations and Research Biases:</w:t>
      </w:r>
      <w:r>
        <w:br w:type="textWrapping"/>
      </w:r>
      <w:r>
        <w:t>Issues of cultural representation, stakeholder consent, algorithmic bias, and other potential ethical concerns will be identified and considered throughout the research. Compliance with the suggestions made by Elisabeth Beaur et al,(2025), Crompton and Burke (2025), and Berendt, Littlejohn and Blakemore (2020) in order to acknowledge the potential benefits and drawbacks of AI-aided learning is essential for ensuring independence.</w:t>
      </w:r>
    </w:p>
    <w:p w14:paraId="5AED8BF2">
      <w:pPr>
        <w:pStyle w:val="10"/>
        <w:autoSpaceDE w:val="0"/>
        <w:jc w:val="both"/>
      </w:pPr>
      <w:r>
        <w:rPr>
          <w:rStyle w:val="17"/>
          <w:b w:val="0"/>
          <w:bCs w:val="0"/>
        </w:rPr>
        <w:t>Data Collection and Access:</w:t>
      </w:r>
      <w:r>
        <w:br w:type="textWrapping"/>
      </w:r>
      <w:r>
        <w:t>The research will acknowledges the difficulty of getting broad-based stakeholder engagement, especially among institutional policymakers and support staff. The strategies will include  flexible interview  scheduling  and stratified random sampling (student survey) to ensure that the participation is maximized and the sampling stays representative (O’Dea et al., 2024a; Song et al., 2024).</w:t>
      </w:r>
    </w:p>
    <w:p w14:paraId="08BDD4A8">
      <w:pPr>
        <w:pStyle w:val="10"/>
        <w:autoSpaceDE w:val="0"/>
        <w:jc w:val="both"/>
        <w:rPr>
          <w:rStyle w:val="17"/>
        </w:rPr>
      </w:pPr>
      <w:r>
        <w:rPr>
          <w:rStyle w:val="17"/>
        </w:rPr>
        <w:t xml:space="preserve"> </w:t>
      </w:r>
    </w:p>
    <w:p w14:paraId="4922FF84">
      <w:pPr>
        <w:pStyle w:val="10"/>
        <w:autoSpaceDE w:val="0"/>
        <w:jc w:val="both"/>
        <w:rPr>
          <w:rStyle w:val="17"/>
        </w:rPr>
      </w:pPr>
      <w:r>
        <w:rPr>
          <w:rStyle w:val="17"/>
        </w:rPr>
        <w:t>Institutional and Societal Relevance:</w:t>
      </w:r>
      <w:r>
        <w:br w:type="textWrapping"/>
      </w:r>
      <w:r>
        <w:t>The proposed research will align with  UWTSD's strategic priorities of widening participation and enhancing  equity in educational outcomes. Portfolio will contribute to understand AI's potential applications in inclusive education by drawing attention to its applicability outside the local population.</w:t>
      </w:r>
      <w:r>
        <w:rPr>
          <w:rStyle w:val="17"/>
        </w:rPr>
        <w:t xml:space="preserve"> </w:t>
      </w:r>
    </w:p>
    <w:p w14:paraId="3C06020C">
      <w:pPr>
        <w:pStyle w:val="10"/>
        <w:autoSpaceDE w:val="0"/>
        <w:jc w:val="both"/>
        <w:rPr>
          <w:rFonts w:ascii="Times New Roman" w:hAnsi="Times New Roman"/>
          <w:sz w:val="32"/>
          <w:szCs w:val="32"/>
        </w:rPr>
      </w:pPr>
      <w:r>
        <w:rPr>
          <w:rStyle w:val="17"/>
        </w:rPr>
        <w:t>Research Design and Analysis Strengthening:</w:t>
      </w:r>
      <w:r>
        <w:br w:type="textWrapping"/>
      </w:r>
      <w:r>
        <w:t xml:space="preserve">Technical and contextual biases, as well as variability between disciplines, will be identified early on with the help of the research.  The data analysis plans will incorporate triangulation, longitudinal monitoring of AI adoption patterns, and theme coding to ensure robust, credible , and ethically sound  findings. </w:t>
      </w:r>
    </w:p>
    <w:p w14:paraId="6359C2DF">
      <w:pPr>
        <w:pStyle w:val="3"/>
        <w:autoSpaceDE w:val="0"/>
        <w:jc w:val="both"/>
        <w:rPr>
          <w:rFonts w:ascii="Times New Roman" w:hAnsi="Times New Roman"/>
          <w:sz w:val="32"/>
          <w:szCs w:val="32"/>
        </w:rPr>
      </w:pPr>
      <w:bookmarkStart w:id="102" w:name="_Toc27038"/>
      <w:bookmarkEnd w:id="102"/>
      <w:bookmarkStart w:id="103" w:name="_Toc8596"/>
      <w:r>
        <w:rPr>
          <w:rFonts w:ascii="Times New Roman" w:hAnsi="Times New Roman"/>
          <w:sz w:val="32"/>
          <w:szCs w:val="32"/>
        </w:rPr>
        <w:t>NEXT STEPS</w:t>
      </w:r>
      <w:bookmarkEnd w:id="103"/>
    </w:p>
    <w:p w14:paraId="7FD71A4A">
      <w:pPr>
        <w:autoSpaceDE w:val="0"/>
        <w:jc w:val="both"/>
        <w:rPr>
          <w:rFonts w:ascii="Times New Roman" w:hAnsi="Times New Roman"/>
        </w:rPr>
      </w:pPr>
      <w:r>
        <w:rPr>
          <w:rFonts w:ascii="Times New Roman" w:hAnsi="Times New Roman"/>
        </w:rPr>
        <w:t>The next steps of the research will follow a structured but flexible timeline of next two years. During the first 0-2 months, the focus will be on obtaining ethics and research proposal approval,finalising data agreements, and refining the survey design. Between months 3-4, fieldwork activities willm take place, followed by months 4-7,which will be dedicated to interviews and wider data  collection. From months 7-10, the emphasis will shift to data analysis and integration of quantitative and qualitative findings. Finally, Months 10-12 will be devoted to writing up the study, refining the discussion, and preparing the thesis for submission.</w:t>
      </w:r>
    </w:p>
    <w:p w14:paraId="76F8618A">
      <w:pPr>
        <w:autoSpaceDE w:val="0"/>
        <w:rPr>
          <w:rFonts w:ascii="Times New Roman" w:hAnsi="Times New Roman"/>
        </w:rPr>
      </w:pPr>
      <w:r>
        <w:rPr>
          <w:rFonts w:ascii="Times New Roman" w:hAnsi="Times New Roman"/>
        </w:rPr>
        <w:t xml:space="preserve"> </w:t>
      </w:r>
      <w:bookmarkStart w:id="104" w:name="_Toc3101"/>
      <w:bookmarkEnd w:id="104"/>
      <w:bookmarkStart w:id="105" w:name="_Toc9484"/>
    </w:p>
    <w:p w14:paraId="6D915B3F">
      <w:pPr>
        <w:autoSpaceDE w:val="0"/>
        <w:rPr>
          <w:rFonts w:ascii="Times New Roman" w:hAnsi="Times New Roman"/>
          <w:sz w:val="24"/>
          <w:szCs w:val="24"/>
        </w:rPr>
      </w:pPr>
      <w:r>
        <w:rPr>
          <w:rStyle w:val="17"/>
          <w:b/>
          <w:bCs/>
          <w:sz w:val="24"/>
          <w:szCs w:val="24"/>
        </w:rPr>
        <w:t>Final Thoughts</w:t>
      </w:r>
      <w:bookmarkEnd w:id="105"/>
    </w:p>
    <w:p w14:paraId="0FC7C51B">
      <w:pPr>
        <w:pStyle w:val="10"/>
        <w:autoSpaceDE w:val="0"/>
        <w:jc w:val="both"/>
      </w:pPr>
      <w:r>
        <w:t xml:space="preserve">A foundational component of the research process will be the DBA research proposal on artificial intelligence (AI)  that aims to address   inclusion, diversity and attainment  gaps at UWTSD. Without ignoring the potential benefits or drawbacks, it will encourage the reader to maintain an impartial stance towards AI adoption. To ensure comprehensive data collection, a multi-stakeholder approach will be adopted. </w:t>
      </w:r>
      <w:r>
        <w:rPr>
          <w:rStyle w:val="17"/>
          <w:b w:val="0"/>
          <w:bCs w:val="0"/>
        </w:rPr>
        <w:t>Through this approach, the research will seek to explore not only technical implementation but also the socio pedagogical perceptions, experiences, and expectations of stakeholders within the learning ecosystem.</w:t>
      </w:r>
      <w:r>
        <w:t xml:space="preserve"> </w:t>
      </w:r>
    </w:p>
    <w:p w14:paraId="71395DCF">
      <w:pPr>
        <w:pStyle w:val="10"/>
        <w:autoSpaceDE w:val="0"/>
        <w:jc w:val="both"/>
      </w:pPr>
      <w:r>
        <w:t>Recent statements from AI industry heavyweights like Sundar Pichai suggest that even cutting-edge AI systems can make mistakes and  therefore, users should not put all their faith in their outputs (The Guardian, 2025). These cautions add weight to the argument that AI cannot be relied upon alone during learning but must be supplemented by human intervention and oversight.</w:t>
      </w:r>
      <w:r>
        <w:br w:type="textWrapping"/>
      </w:r>
      <w:r>
        <w:t>Personalised learning, expanded access, and data-informed approaches to address attainment inequalities are all areas where AI shows potential within the context of higher education. However, its impact is influenced by institutional culture, governance, and stakeholder engagement. It is therefore necessary to adopt a cautious, evidence-based approach. This requires transparent participation from all relevant stakeholders, including students, staff, learning support assistants (LSAs), IT facilitators, and policymakers, alongside robust data management practices and continuous evaluation of equity impacts.</w:t>
      </w:r>
    </w:p>
    <w:p w14:paraId="765A200D">
      <w:pPr>
        <w:pStyle w:val="10"/>
        <w:autoSpaceDE w:val="0"/>
        <w:jc w:val="both"/>
      </w:pPr>
      <w:r>
        <w:t>Finally, AI is best viewed as a conditional tool rather than a panacea. Effectively supporting diverse learners and reducing inequalities will require reflective implementation, critical oversight, and alignment with broader educational principles. To ensure that technology does not replace human accountability but instead enhances it, the future of AI in higher education lies in measured experimentation, contextual awareness, and ongoing evaluation.</w:t>
      </w:r>
    </w:p>
    <w:p w14:paraId="1D3C0D0A">
      <w:pPr>
        <w:pStyle w:val="10"/>
        <w:ind w:right="-1070" w:rightChars="-446"/>
        <w:jc w:val="both"/>
      </w:pPr>
      <w:r>
        <w:t xml:space="preserve"> </w:t>
      </w:r>
    </w:p>
    <w:p w14:paraId="3A58406F">
      <w:pPr>
        <w:pStyle w:val="10"/>
        <w:ind w:right="-1070" w:rightChars="-446"/>
        <w:jc w:val="both"/>
      </w:pPr>
      <w:r>
        <w:t xml:space="preserve"> </w:t>
      </w:r>
    </w:p>
    <w:p w14:paraId="205ED8D4">
      <w:pPr>
        <w:pStyle w:val="10"/>
        <w:ind w:right="-1070" w:rightChars="-446"/>
        <w:jc w:val="both"/>
      </w:pPr>
      <w:r>
        <w:t xml:space="preserve"> </w:t>
      </w:r>
    </w:p>
    <w:p w14:paraId="7E0029B3">
      <w:pPr>
        <w:pStyle w:val="10"/>
        <w:ind w:right="-1070" w:rightChars="-446"/>
        <w:jc w:val="both"/>
      </w:pPr>
      <w:r>
        <w:t xml:space="preserve"> </w:t>
      </w:r>
    </w:p>
    <w:p w14:paraId="54C93D84">
      <w:pPr>
        <w:pStyle w:val="10"/>
        <w:ind w:right="-1070" w:rightChars="-446"/>
        <w:jc w:val="both"/>
      </w:pPr>
      <w:r>
        <w:t xml:space="preserve"> </w:t>
      </w:r>
    </w:p>
    <w:p w14:paraId="24C32A8A">
      <w:pPr>
        <w:pStyle w:val="3"/>
        <w:rPr>
          <w:rFonts w:ascii="Times New Roman" w:hAnsi="Times New Roman"/>
        </w:rPr>
      </w:pPr>
      <w:r>
        <w:rPr>
          <w:rFonts w:ascii="Times New Roman" w:hAnsi="Times New Roman"/>
        </w:rPr>
        <w:t xml:space="preserve"> </w:t>
      </w:r>
    </w:p>
    <w:p w14:paraId="2BF85375">
      <w:pPr>
        <w:pStyle w:val="3"/>
        <w:rPr>
          <w:rFonts w:ascii="Times New Roman" w:hAnsi="Times New Roman"/>
        </w:rPr>
      </w:pPr>
      <w:r>
        <w:rPr>
          <w:rFonts w:ascii="Times New Roman" w:hAnsi="Times New Roman"/>
        </w:rPr>
        <w:t xml:space="preserve"> </w:t>
      </w:r>
    </w:p>
    <w:p w14:paraId="2B754774">
      <w:pPr>
        <w:pStyle w:val="3"/>
        <w:rPr>
          <w:rFonts w:ascii="Times New Roman" w:hAnsi="Times New Roman"/>
        </w:rPr>
      </w:pPr>
      <w:r>
        <w:rPr>
          <w:rFonts w:ascii="Times New Roman" w:hAnsi="Times New Roman"/>
        </w:rPr>
        <w:t xml:space="preserve"> </w:t>
      </w:r>
    </w:p>
    <w:p w14:paraId="4C428BA8">
      <w:pPr>
        <w:pStyle w:val="3"/>
        <w:rPr>
          <w:rFonts w:ascii="Times New Roman" w:hAnsi="Times New Roman"/>
        </w:rPr>
      </w:pPr>
      <w:r>
        <w:rPr>
          <w:rFonts w:ascii="Times New Roman" w:hAnsi="Times New Roman"/>
        </w:rPr>
        <w:t xml:space="preserve"> </w:t>
      </w:r>
    </w:p>
    <w:p w14:paraId="10668693">
      <w:pPr>
        <w:pStyle w:val="3"/>
        <w:rPr>
          <w:rFonts w:ascii="Times New Roman" w:hAnsi="Times New Roman"/>
        </w:rPr>
      </w:pPr>
      <w:r>
        <w:rPr>
          <w:rFonts w:ascii="Times New Roman" w:hAnsi="Times New Roman"/>
        </w:rPr>
        <w:t xml:space="preserve"> </w:t>
      </w:r>
    </w:p>
    <w:p w14:paraId="22AF8B74">
      <w:pPr>
        <w:pStyle w:val="3"/>
        <w:rPr>
          <w:rFonts w:ascii="Times New Roman" w:hAnsi="Times New Roman"/>
        </w:rPr>
      </w:pPr>
      <w:r>
        <w:rPr>
          <w:rFonts w:ascii="Times New Roman" w:hAnsi="Times New Roman"/>
        </w:rPr>
        <w:t xml:space="preserve"> </w:t>
      </w:r>
    </w:p>
    <w:p w14:paraId="1FC65D73">
      <w:pPr>
        <w:pStyle w:val="3"/>
        <w:rPr>
          <w:rFonts w:ascii="Times New Roman" w:hAnsi="Times New Roman"/>
        </w:rPr>
      </w:pPr>
      <w:r>
        <w:rPr>
          <w:rFonts w:ascii="Times New Roman" w:hAnsi="Times New Roman"/>
        </w:rPr>
        <w:t xml:space="preserve"> </w:t>
      </w:r>
    </w:p>
    <w:p w14:paraId="22EBFD72">
      <w:pPr>
        <w:pStyle w:val="3"/>
        <w:rPr>
          <w:rFonts w:ascii="Times New Roman" w:hAnsi="Times New Roman"/>
        </w:rPr>
      </w:pPr>
      <w:bookmarkStart w:id="106" w:name="_Toc16040"/>
      <w:bookmarkEnd w:id="106"/>
      <w:r>
        <w:rPr>
          <w:rFonts w:ascii="Times New Roman" w:hAnsi="Times New Roman"/>
        </w:rPr>
        <w:t>References</w:t>
      </w:r>
    </w:p>
    <w:p w14:paraId="71946BB4">
      <w:pPr>
        <w:numPr>
          <w:ilvl w:val="0"/>
          <w:numId w:val="5"/>
        </w:numPr>
        <w:jc w:val="both"/>
        <w:rPr>
          <w:rFonts w:ascii="Times New Roman" w:hAnsi="Times New Roman"/>
        </w:rPr>
      </w:pPr>
      <w:r>
        <w:rPr>
          <w:rFonts w:ascii="Times New Roman" w:hAnsi="Times New Roman" w:eastAsia="SimSun"/>
        </w:rPr>
        <w:t xml:space="preserve">Soleimani, M., Intezari, A., Taskin, N. and Pauleen, D.J., 2021. </w:t>
      </w:r>
      <w:r>
        <w:rPr>
          <w:rStyle w:val="18"/>
          <w:rFonts w:eastAsia="SimSun"/>
          <w:i w:val="0"/>
          <w:iCs w:val="0"/>
        </w:rPr>
        <w:t>Cognitive biases in developing biased Artificial Intelligence recruitment system</w:t>
      </w:r>
      <w:r>
        <w:rPr>
          <w:rFonts w:ascii="Times New Roman" w:hAnsi="Times New Roman" w:eastAsia="SimSun"/>
        </w:rPr>
        <w:t>. .  Available at:</w:t>
      </w:r>
      <w:r>
        <w:rPr>
          <w:rFonts w:ascii="Times New Roman" w:hAnsi="Times New Roman" w:eastAsia="SourceSansPro"/>
        </w:rPr>
        <w:t xml:space="preserve">: </w:t>
      </w:r>
      <w:r>
        <w:fldChar w:fldCharType="begin"/>
      </w:r>
      <w:r>
        <w:instrText xml:space="preserve"> HYPERLINK "https://www.researchgate.net/publication/350850297" </w:instrText>
      </w:r>
      <w:r>
        <w:fldChar w:fldCharType="separate"/>
      </w:r>
      <w:r>
        <w:rPr>
          <w:rStyle w:val="19"/>
          <w:rFonts w:eastAsia="SourceSansPro"/>
          <w:color w:val="auto"/>
          <w:u w:val="none"/>
        </w:rPr>
        <w:t>https://www.researchgate.net/publication/350850297</w:t>
      </w:r>
      <w:r>
        <w:rPr>
          <w:rStyle w:val="19"/>
          <w:rFonts w:eastAsia="SourceSansPro"/>
          <w:color w:val="auto"/>
          <w:u w:val="none"/>
        </w:rPr>
        <w:fldChar w:fldCharType="end"/>
      </w:r>
    </w:p>
    <w:p w14:paraId="445C6BD4">
      <w:pPr>
        <w:numPr>
          <w:ilvl w:val="0"/>
          <w:numId w:val="5"/>
        </w:numPr>
        <w:jc w:val="both"/>
        <w:rPr>
          <w:rFonts w:ascii="Times New Roman" w:hAnsi="Times New Roman"/>
        </w:rPr>
      </w:pPr>
      <w:r>
        <w:rPr>
          <w:rFonts w:ascii="Times New Roman" w:hAnsi="Times New Roman"/>
        </w:rPr>
        <w:t xml:space="preserve">Arslan, N., Youssef, M.H. and Ghandour, R. (2025) ‘AI and learning experiences of international students studying in the UK: An exploratory case study’, Artificial Intelligence in Education, pp. 1–23. Available at: </w:t>
      </w:r>
      <w:r>
        <w:fldChar w:fldCharType="begin"/>
      </w:r>
      <w:r>
        <w:instrText xml:space="preserve"> HYPERLINK "https://doi.org/10.1108/AIIE-10-2024-0019" </w:instrText>
      </w:r>
      <w:r>
        <w:fldChar w:fldCharType="separate"/>
      </w:r>
      <w:r>
        <w:rPr>
          <w:rStyle w:val="19"/>
          <w:color w:val="auto"/>
          <w:u w:val="none"/>
        </w:rPr>
        <w:t>https://doi.org/10.1108/AIIE-10-2024-0019</w:t>
      </w:r>
      <w:r>
        <w:rPr>
          <w:rStyle w:val="19"/>
          <w:color w:val="auto"/>
          <w:u w:val="none"/>
        </w:rPr>
        <w:fldChar w:fldCharType="end"/>
      </w:r>
      <w:r>
        <w:rPr>
          <w:rFonts w:ascii="Times New Roman" w:hAnsi="Times New Roman"/>
        </w:rPr>
        <w:t>.</w:t>
      </w:r>
    </w:p>
    <w:p w14:paraId="55889507">
      <w:pPr>
        <w:numPr>
          <w:ilvl w:val="0"/>
          <w:numId w:val="5"/>
        </w:numPr>
        <w:jc w:val="both"/>
        <w:rPr>
          <w:rFonts w:ascii="Times New Roman" w:hAnsi="Times New Roman"/>
        </w:rPr>
      </w:pPr>
      <w:r>
        <w:rPr>
          <w:rFonts w:ascii="Times New Roman" w:hAnsi="Times New Roman"/>
        </w:rPr>
        <w:t xml:space="preserve">Asekere, O.O.F.A. et al. (2024) ‘Exploring the impact of artificial intelligence on student learning outcomes’, OGITECH Journal of Communication and Innovation (OJCI), 1(1). Available at: </w:t>
      </w:r>
      <w:r>
        <w:fldChar w:fldCharType="begin"/>
      </w:r>
      <w:r>
        <w:instrText xml:space="preserve"> HYPERLINK "http://www.ojci.org.ng" </w:instrText>
      </w:r>
      <w:r>
        <w:fldChar w:fldCharType="separate"/>
      </w:r>
      <w:r>
        <w:rPr>
          <w:rStyle w:val="19"/>
          <w:color w:val="auto"/>
          <w:u w:val="none"/>
        </w:rPr>
        <w:t>http://www.ojci.org.ng</w:t>
      </w:r>
      <w:r>
        <w:rPr>
          <w:rStyle w:val="19"/>
          <w:color w:val="auto"/>
          <w:u w:val="none"/>
        </w:rPr>
        <w:fldChar w:fldCharType="end"/>
      </w:r>
      <w:r>
        <w:rPr>
          <w:rFonts w:ascii="Times New Roman" w:hAnsi="Times New Roman"/>
        </w:rPr>
        <w:t>.</w:t>
      </w:r>
    </w:p>
    <w:p w14:paraId="47697CE4">
      <w:pPr>
        <w:numPr>
          <w:ilvl w:val="0"/>
          <w:numId w:val="5"/>
        </w:numPr>
        <w:jc w:val="both"/>
        <w:rPr>
          <w:rFonts w:ascii="Times New Roman" w:hAnsi="Times New Roman"/>
        </w:rPr>
      </w:pPr>
      <w:r>
        <w:rPr>
          <w:rFonts w:ascii="Times New Roman" w:hAnsi="Times New Roman" w:eastAsia="SimSun"/>
        </w:rPr>
        <w:t xml:space="preserve">Bauer, E., Greiff, S., Graesser, A.C., Scheiter, K. and Sailer, M., 2025. </w:t>
      </w:r>
      <w:r>
        <w:rPr>
          <w:rStyle w:val="18"/>
          <w:rFonts w:eastAsia="SimSun"/>
          <w:i w:val="0"/>
          <w:iCs w:val="0"/>
        </w:rPr>
        <w:t>Looking beyond the hype: Understanding the effects of AI on learning</w:t>
      </w:r>
      <w:r>
        <w:rPr>
          <w:rFonts w:ascii="Times New Roman" w:hAnsi="Times New Roman" w:eastAsia="SimSun"/>
        </w:rPr>
        <w:t xml:space="preserve">. </w:t>
      </w:r>
      <w:r>
        <w:rPr>
          <w:rStyle w:val="17"/>
          <w:rFonts w:eastAsia="SimSun"/>
          <w:b w:val="0"/>
          <w:bCs w:val="0"/>
        </w:rPr>
        <w:t>Educational Psychology Review</w:t>
      </w:r>
      <w:r>
        <w:rPr>
          <w:rFonts w:ascii="Times New Roman" w:hAnsi="Times New Roman" w:eastAsia="SimSun"/>
        </w:rPr>
        <w:t xml:space="preserve">, 37(2), Article 45.  Available at: </w:t>
      </w:r>
      <w:r>
        <w:fldChar w:fldCharType="begin"/>
      </w:r>
      <w:r>
        <w:instrText xml:space="preserve"> HYPERLINK "https://doi.org/10.1007/s10648-025-10020-8" </w:instrText>
      </w:r>
      <w:r>
        <w:fldChar w:fldCharType="separate"/>
      </w:r>
      <w:r>
        <w:rPr>
          <w:rStyle w:val="19"/>
          <w:rFonts w:eastAsia="SimSun"/>
          <w:color w:val="auto"/>
          <w:u w:val="none"/>
        </w:rPr>
        <w:t>https://doi.org/10.1007/s10648-025-10020-8</w:t>
      </w:r>
      <w:r>
        <w:rPr>
          <w:rStyle w:val="19"/>
          <w:rFonts w:eastAsia="SimSun"/>
          <w:color w:val="auto"/>
          <w:u w:val="none"/>
        </w:rPr>
        <w:fldChar w:fldCharType="end"/>
      </w:r>
      <w:bookmarkStart w:id="107" w:name="ref-8841834"/>
      <w:bookmarkEnd w:id="107"/>
    </w:p>
    <w:p w14:paraId="4F37E649">
      <w:pPr>
        <w:numPr>
          <w:ilvl w:val="0"/>
          <w:numId w:val="5"/>
        </w:numPr>
        <w:jc w:val="both"/>
        <w:rPr>
          <w:rFonts w:ascii="Times New Roman" w:hAnsi="Times New Roman"/>
        </w:rPr>
      </w:pPr>
      <w:r>
        <w:rPr>
          <w:rFonts w:ascii="Times New Roman" w:hAnsi="Times New Roman"/>
        </w:rPr>
        <w:t xml:space="preserve">Bayer, V. et al. (2024) ‘Co-creating an equality diversity and inclusion learning analytics dashboard for addressing awarding gaps in higher education’, British Journal of Educational Technology, 55, pp. 2058–2074. Available at: </w:t>
      </w:r>
      <w:r>
        <w:fldChar w:fldCharType="begin"/>
      </w:r>
      <w:r>
        <w:instrText xml:space="preserve"> HYPERLINK "https://doi.org/10.1111/bjet.13509" </w:instrText>
      </w:r>
      <w:r>
        <w:fldChar w:fldCharType="separate"/>
      </w:r>
      <w:r>
        <w:rPr>
          <w:rStyle w:val="19"/>
          <w:color w:val="auto"/>
          <w:u w:val="none"/>
        </w:rPr>
        <w:t>https://doi.org/10.1111/bjet.13509</w:t>
      </w:r>
      <w:r>
        <w:rPr>
          <w:rStyle w:val="19"/>
          <w:color w:val="auto"/>
          <w:u w:val="none"/>
        </w:rPr>
        <w:fldChar w:fldCharType="end"/>
      </w:r>
      <w:r>
        <w:rPr>
          <w:rFonts w:ascii="Times New Roman" w:hAnsi="Times New Roman"/>
        </w:rPr>
        <w:t>.</w:t>
      </w:r>
    </w:p>
    <w:p w14:paraId="1BBE919F">
      <w:pPr>
        <w:numPr>
          <w:ilvl w:val="0"/>
          <w:numId w:val="5"/>
        </w:numPr>
        <w:jc w:val="both"/>
        <w:rPr>
          <w:rFonts w:ascii="Times New Roman" w:hAnsi="Times New Roman"/>
        </w:rPr>
      </w:pPr>
      <w:r>
        <w:rPr>
          <w:rFonts w:ascii="Times New Roman" w:hAnsi="Times New Roman"/>
        </w:rPr>
        <w:t xml:space="preserve">Berendt, B., Littlejohn, A. and Blakemore, M. (2020) ‘AI in education: Learner choice and fundamental rights’, Learning, Media and Technology, 45(3), pp. 312–324. Available at: </w:t>
      </w:r>
      <w:r>
        <w:fldChar w:fldCharType="begin"/>
      </w:r>
      <w:r>
        <w:instrText xml:space="preserve"> HYPERLINK "https://doi.org/10.1080/17439884.2020.1786399" </w:instrText>
      </w:r>
      <w:r>
        <w:fldChar w:fldCharType="separate"/>
      </w:r>
      <w:r>
        <w:rPr>
          <w:rStyle w:val="19"/>
          <w:color w:val="auto"/>
          <w:u w:val="none"/>
        </w:rPr>
        <w:t>https://doi.org/10.1080/17439884.2020.1786399</w:t>
      </w:r>
      <w:r>
        <w:rPr>
          <w:rStyle w:val="19"/>
          <w:color w:val="auto"/>
          <w:u w:val="none"/>
        </w:rPr>
        <w:fldChar w:fldCharType="end"/>
      </w:r>
      <w:bookmarkStart w:id="108" w:name="ref-5494529"/>
      <w:bookmarkEnd w:id="108"/>
    </w:p>
    <w:p w14:paraId="03CE85B5">
      <w:pPr>
        <w:numPr>
          <w:ilvl w:val="0"/>
          <w:numId w:val="5"/>
        </w:numPr>
        <w:jc w:val="both"/>
        <w:rPr>
          <w:rFonts w:ascii="Times New Roman" w:hAnsi="Times New Roman"/>
        </w:rPr>
      </w:pPr>
      <w:r>
        <w:rPr>
          <w:rFonts w:ascii="Times New Roman" w:hAnsi="Times New Roman"/>
        </w:rPr>
        <w:t>Beta, K. (2024) ‘</w:t>
      </w:r>
      <w:r>
        <w:rPr>
          <w:rStyle w:val="19"/>
          <w:color w:val="auto"/>
          <w:u w:val="none"/>
        </w:rPr>
        <w:t>The impact of artificial intelligence on students learning in higher education institutions in the UK</w:t>
      </w:r>
      <w:r>
        <w:rPr>
          <w:rFonts w:ascii="Times New Roman" w:hAnsi="Times New Roman"/>
        </w:rPr>
        <w:t>’.</w:t>
      </w:r>
      <w:bookmarkStart w:id="109" w:name="ref-7536863"/>
      <w:bookmarkEnd w:id="109"/>
    </w:p>
    <w:p w14:paraId="2B0F0A26">
      <w:pPr>
        <w:numPr>
          <w:ilvl w:val="0"/>
          <w:numId w:val="5"/>
        </w:numPr>
        <w:jc w:val="both"/>
        <w:rPr>
          <w:rFonts w:ascii="Times New Roman" w:hAnsi="Times New Roman"/>
        </w:rPr>
      </w:pPr>
      <w:r>
        <w:rPr>
          <w:rFonts w:ascii="Times New Roman" w:hAnsi="Times New Roman"/>
        </w:rPr>
        <w:t>Chaudhry, M.A., Cukurova, M. and Luckin, R. (2023) ‘</w:t>
      </w:r>
      <w:r>
        <w:rPr>
          <w:rStyle w:val="19"/>
          <w:color w:val="auto"/>
          <w:u w:val="none"/>
        </w:rPr>
        <w:t>A transparency index framework for AI in education</w:t>
      </w:r>
      <w:r>
        <w:rPr>
          <w:rFonts w:ascii="Times New Roman" w:hAnsi="Times New Roman"/>
        </w:rPr>
        <w:t>’.</w:t>
      </w:r>
      <w:bookmarkStart w:id="110" w:name="ref-3446223"/>
      <w:bookmarkEnd w:id="110"/>
    </w:p>
    <w:p w14:paraId="2D91ED47">
      <w:pPr>
        <w:numPr>
          <w:ilvl w:val="0"/>
          <w:numId w:val="5"/>
        </w:numPr>
        <w:jc w:val="both"/>
        <w:rPr>
          <w:rFonts w:ascii="Times New Roman" w:hAnsi="Times New Roman"/>
        </w:rPr>
      </w:pPr>
      <w:r>
        <w:rPr>
          <w:rFonts w:ascii="Times New Roman" w:hAnsi="Times New Roman"/>
        </w:rPr>
        <w:t xml:space="preserve">Cotilla Conceição, J.M. and Stappen, E. van der (2025) ‘The impact of AI on inclusivity in higher education: A rapid review’, Education Sciences, 15(9), p. 1255. Available at: </w:t>
      </w:r>
      <w:r>
        <w:fldChar w:fldCharType="begin"/>
      </w:r>
      <w:r>
        <w:instrText xml:space="preserve"> HYPERLINK "https://doi.org/10.3390/educsci15091255" </w:instrText>
      </w:r>
      <w:r>
        <w:fldChar w:fldCharType="separate"/>
      </w:r>
      <w:r>
        <w:rPr>
          <w:rStyle w:val="19"/>
          <w:color w:val="auto"/>
          <w:u w:val="none"/>
        </w:rPr>
        <w:t>https://doi.org/10.3390/educsci15091255</w:t>
      </w:r>
      <w:r>
        <w:rPr>
          <w:rStyle w:val="19"/>
          <w:color w:val="auto"/>
          <w:u w:val="none"/>
        </w:rPr>
        <w:fldChar w:fldCharType="end"/>
      </w:r>
      <w:r>
        <w:rPr>
          <w:rFonts w:ascii="Times New Roman" w:hAnsi="Times New Roman"/>
        </w:rPr>
        <w:t>.</w:t>
      </w:r>
      <w:bookmarkStart w:id="111" w:name="ref-8024394"/>
      <w:bookmarkEnd w:id="111"/>
    </w:p>
    <w:p w14:paraId="31049ABF">
      <w:pPr>
        <w:numPr>
          <w:ilvl w:val="0"/>
          <w:numId w:val="5"/>
        </w:numPr>
        <w:jc w:val="both"/>
        <w:rPr>
          <w:rFonts w:ascii="Times New Roman" w:hAnsi="Times New Roman"/>
        </w:rPr>
      </w:pPr>
      <w:r>
        <w:rPr>
          <w:rFonts w:ascii="Times New Roman" w:hAnsi="Times New Roman" w:eastAsia="SimSun"/>
        </w:rPr>
        <w:t xml:space="preserve">Crompton, H. and Burke, D., 2023. </w:t>
      </w:r>
      <w:r>
        <w:rPr>
          <w:rStyle w:val="18"/>
          <w:rFonts w:eastAsia="SimSun"/>
          <w:i w:val="0"/>
          <w:iCs w:val="0"/>
        </w:rPr>
        <w:t>Artificial intelligence in higher education: The state of the field</w:t>
      </w:r>
      <w:r>
        <w:rPr>
          <w:rFonts w:ascii="Times New Roman" w:hAnsi="Times New Roman" w:eastAsia="SimSun"/>
        </w:rPr>
        <w:t xml:space="preserve">. </w:t>
      </w:r>
      <w:r>
        <w:rPr>
          <w:rStyle w:val="17"/>
          <w:rFonts w:eastAsia="SimSun"/>
          <w:b w:val="0"/>
          <w:bCs w:val="0"/>
        </w:rPr>
        <w:t>International Journal of Educational Technology in Higher Education</w:t>
      </w:r>
      <w:r>
        <w:rPr>
          <w:rFonts w:ascii="Times New Roman" w:hAnsi="Times New Roman" w:eastAsia="SimSun"/>
        </w:rPr>
        <w:t xml:space="preserve">, 20(1), Article 22. Available at: </w:t>
      </w:r>
      <w:r>
        <w:fldChar w:fldCharType="begin"/>
      </w:r>
      <w:r>
        <w:instrText xml:space="preserve"> HYPERLINK "https://doi.org/10.1186/s41239-023-00392-8" </w:instrText>
      </w:r>
      <w:r>
        <w:fldChar w:fldCharType="separate"/>
      </w:r>
      <w:r>
        <w:rPr>
          <w:rStyle w:val="19"/>
          <w:rFonts w:eastAsia="SimSun"/>
          <w:color w:val="auto"/>
          <w:u w:val="none"/>
        </w:rPr>
        <w:t>https://doi.org/10.1186/s41239-023-00392-8</w:t>
      </w:r>
      <w:r>
        <w:rPr>
          <w:rStyle w:val="19"/>
          <w:rFonts w:eastAsia="SimSun"/>
          <w:color w:val="auto"/>
          <w:u w:val="none"/>
        </w:rPr>
        <w:fldChar w:fldCharType="end"/>
      </w:r>
    </w:p>
    <w:p w14:paraId="380C5F37">
      <w:pPr>
        <w:numPr>
          <w:ilvl w:val="0"/>
          <w:numId w:val="5"/>
        </w:numPr>
        <w:jc w:val="both"/>
        <w:rPr>
          <w:rFonts w:ascii="Times New Roman" w:hAnsi="Times New Roman"/>
        </w:rPr>
      </w:pPr>
      <w:r>
        <w:rPr>
          <w:rFonts w:ascii="Times New Roman" w:hAnsi="Times New Roman"/>
        </w:rPr>
        <w:t xml:space="preserve">Dara, C., Vann, R. and Sok, V. (2024) ‘The role of chatgpt as a virtual assistant in increasing student learning collaboration’, Al-Hijr: Journal of Adulearn World, 3(4), pp. 505–516. Available at: </w:t>
      </w:r>
      <w:r>
        <w:fldChar w:fldCharType="begin"/>
      </w:r>
      <w:r>
        <w:instrText xml:space="preserve"> HYPERLINK "https://doi.org/10.55849/alhijr.v3i4.847" </w:instrText>
      </w:r>
      <w:r>
        <w:fldChar w:fldCharType="separate"/>
      </w:r>
      <w:r>
        <w:rPr>
          <w:rStyle w:val="19"/>
          <w:color w:val="auto"/>
          <w:u w:val="none"/>
        </w:rPr>
        <w:t>https://doi.org/10.55849/alhijr.v3i4.847</w:t>
      </w:r>
      <w:r>
        <w:rPr>
          <w:rStyle w:val="19"/>
          <w:color w:val="auto"/>
          <w:u w:val="none"/>
        </w:rPr>
        <w:fldChar w:fldCharType="end"/>
      </w:r>
      <w:r>
        <w:rPr>
          <w:rFonts w:ascii="Times New Roman" w:hAnsi="Times New Roman"/>
        </w:rPr>
        <w:t>.</w:t>
      </w:r>
      <w:bookmarkStart w:id="112" w:name="ref-8127900"/>
      <w:bookmarkEnd w:id="112"/>
    </w:p>
    <w:p w14:paraId="13506CA4">
      <w:pPr>
        <w:numPr>
          <w:ilvl w:val="0"/>
          <w:numId w:val="5"/>
        </w:numPr>
        <w:jc w:val="both"/>
        <w:rPr>
          <w:rFonts w:ascii="Times New Roman" w:hAnsi="Times New Roman"/>
        </w:rPr>
      </w:pPr>
      <w:r>
        <w:rPr>
          <w:rFonts w:ascii="Times New Roman" w:hAnsi="Times New Roman"/>
        </w:rPr>
        <w:t xml:space="preserve">Drydakis, N. (2025) ‘The formation of AI capital in higher education: Enhancing students ’ academic performance and employment rates’, Computers and Education: Artificial Intelligence. Available at: </w:t>
      </w:r>
      <w:r>
        <w:fldChar w:fldCharType="begin"/>
      </w:r>
      <w:r>
        <w:instrText xml:space="preserve"> HYPERLINK "https://doi.org/10.1016/j.caeai.2025.100476" </w:instrText>
      </w:r>
      <w:r>
        <w:fldChar w:fldCharType="separate"/>
      </w:r>
      <w:r>
        <w:rPr>
          <w:rStyle w:val="19"/>
          <w:color w:val="auto"/>
          <w:u w:val="none"/>
        </w:rPr>
        <w:t>https://doi.org/10.1016/j.caeai.2025.100476</w:t>
      </w:r>
      <w:r>
        <w:rPr>
          <w:rStyle w:val="19"/>
          <w:color w:val="auto"/>
          <w:u w:val="none"/>
        </w:rPr>
        <w:fldChar w:fldCharType="end"/>
      </w:r>
      <w:r>
        <w:rPr>
          <w:rFonts w:ascii="Times New Roman" w:hAnsi="Times New Roman"/>
        </w:rPr>
        <w:t>.</w:t>
      </w:r>
      <w:bookmarkStart w:id="113" w:name="ref-6344472"/>
      <w:bookmarkEnd w:id="113"/>
    </w:p>
    <w:p w14:paraId="2975294B">
      <w:pPr>
        <w:numPr>
          <w:ilvl w:val="0"/>
          <w:numId w:val="5"/>
        </w:numPr>
        <w:jc w:val="both"/>
        <w:rPr>
          <w:rFonts w:ascii="Times New Roman" w:hAnsi="Times New Roman"/>
        </w:rPr>
      </w:pPr>
      <w:r>
        <w:rPr>
          <w:rFonts w:ascii="Times New Roman" w:hAnsi="Times New Roman"/>
        </w:rPr>
        <w:t xml:space="preserve">Eltahir, M.E. and Babiker, F.M.E. (2024) ‘The influence of artificial intelligence tools on student performance in e-learning environments: Case study’, Electronic Journal of e-Learning, 22(9), pp. 91–110. Available at: </w:t>
      </w:r>
      <w:r>
        <w:fldChar w:fldCharType="begin"/>
      </w:r>
      <w:r>
        <w:instrText xml:space="preserve"> HYPERLINK "https://doi.org/10.34190/ejel.22.9.3639" </w:instrText>
      </w:r>
      <w:r>
        <w:fldChar w:fldCharType="separate"/>
      </w:r>
      <w:r>
        <w:rPr>
          <w:rStyle w:val="19"/>
          <w:color w:val="auto"/>
          <w:u w:val="none"/>
        </w:rPr>
        <w:t>https://doi.org/10.34190/ejel.22.9.3639</w:t>
      </w:r>
      <w:r>
        <w:rPr>
          <w:rStyle w:val="19"/>
          <w:color w:val="auto"/>
          <w:u w:val="none"/>
        </w:rPr>
        <w:fldChar w:fldCharType="end"/>
      </w:r>
      <w:r>
        <w:rPr>
          <w:rFonts w:ascii="Times New Roman" w:hAnsi="Times New Roman"/>
        </w:rPr>
        <w:t>.</w:t>
      </w:r>
      <w:bookmarkStart w:id="114" w:name="ref-1636357"/>
      <w:bookmarkEnd w:id="114"/>
    </w:p>
    <w:p w14:paraId="2C9EA095">
      <w:pPr>
        <w:numPr>
          <w:ilvl w:val="0"/>
          <w:numId w:val="5"/>
        </w:numPr>
        <w:jc w:val="both"/>
        <w:rPr>
          <w:rFonts w:ascii="Times New Roman" w:hAnsi="Times New Roman"/>
        </w:rPr>
      </w:pPr>
      <w:r>
        <w:rPr>
          <w:rFonts w:ascii="Times New Roman" w:hAnsi="Times New Roman" w:eastAsia="SimSun"/>
        </w:rPr>
        <w:t xml:space="preserve">Grierson, J., 2025. </w:t>
      </w:r>
      <w:r>
        <w:rPr>
          <w:rStyle w:val="18"/>
          <w:rFonts w:eastAsia="SimSun"/>
          <w:i w:val="0"/>
          <w:iCs w:val="0"/>
        </w:rPr>
        <w:t>Don’t blindly trust everything AI tools tell you, warns Alphabet boss</w:t>
      </w:r>
      <w:r>
        <w:rPr>
          <w:rFonts w:ascii="Times New Roman" w:hAnsi="Times New Roman" w:eastAsia="SimSun"/>
        </w:rPr>
        <w:t xml:space="preserve">. </w:t>
      </w:r>
      <w:r>
        <w:rPr>
          <w:rStyle w:val="17"/>
          <w:rFonts w:eastAsia="SimSun"/>
          <w:b w:val="0"/>
          <w:bCs w:val="0"/>
        </w:rPr>
        <w:t>The Guardian</w:t>
      </w:r>
      <w:r>
        <w:rPr>
          <w:rFonts w:ascii="Times New Roman" w:hAnsi="Times New Roman" w:eastAsia="SimSun"/>
        </w:rPr>
        <w:t xml:space="preserve">, 18 November. Available at: </w:t>
      </w:r>
      <w:r>
        <w:fldChar w:fldCharType="begin"/>
      </w:r>
      <w:r>
        <w:instrText xml:space="preserve"> HYPERLINK "https://www.theguardian.com/technology/2025/nov/18/alphabet-boss-sundar-pichai-ai-artificial-intelligence-trust?utm_source=chatgpt.com" </w:instrText>
      </w:r>
      <w:r>
        <w:fldChar w:fldCharType="separate"/>
      </w:r>
      <w:r>
        <w:rPr>
          <w:rStyle w:val="19"/>
          <w:rFonts w:eastAsia="SimSun"/>
          <w:color w:val="auto"/>
          <w:u w:val="none"/>
        </w:rPr>
        <w:t>https://www.theguardian.com/technology/2025/nov/18/alphabet-boss-sundar-pichai-ai-artificial-intelligence-trust</w:t>
      </w:r>
      <w:r>
        <w:rPr>
          <w:rStyle w:val="19"/>
          <w:rFonts w:eastAsia="SimSun"/>
          <w:color w:val="auto"/>
          <w:u w:val="none"/>
        </w:rPr>
        <w:fldChar w:fldCharType="end"/>
      </w:r>
    </w:p>
    <w:p w14:paraId="224249A8">
      <w:pPr>
        <w:numPr>
          <w:ilvl w:val="0"/>
          <w:numId w:val="5"/>
        </w:numPr>
        <w:jc w:val="both"/>
        <w:rPr>
          <w:rFonts w:ascii="Times New Roman" w:hAnsi="Times New Roman"/>
        </w:rPr>
      </w:pPr>
      <w:r>
        <w:rPr>
          <w:rFonts w:ascii="Times New Roman" w:hAnsi="Times New Roman"/>
        </w:rPr>
        <w:t xml:space="preserve">Holmes, W. and Tuomi, I. (2022) ‘State of the art and practice in AI in education’, Eur J Educ, 57, pp. 542–570. Available at: </w:t>
      </w:r>
      <w:r>
        <w:fldChar w:fldCharType="begin"/>
      </w:r>
      <w:r>
        <w:instrText xml:space="preserve"> HYPERLINK "https://doi.org/10.1111/ejed.12533" </w:instrText>
      </w:r>
      <w:r>
        <w:fldChar w:fldCharType="separate"/>
      </w:r>
      <w:r>
        <w:rPr>
          <w:rStyle w:val="19"/>
          <w:color w:val="auto"/>
          <w:u w:val="none"/>
        </w:rPr>
        <w:t>https://doi.org/10.1111/ejed.12533</w:t>
      </w:r>
      <w:r>
        <w:rPr>
          <w:rStyle w:val="19"/>
          <w:color w:val="auto"/>
          <w:u w:val="none"/>
        </w:rPr>
        <w:fldChar w:fldCharType="end"/>
      </w:r>
      <w:r>
        <w:rPr>
          <w:rFonts w:ascii="Times New Roman" w:hAnsi="Times New Roman"/>
        </w:rPr>
        <w:t>.</w:t>
      </w:r>
      <w:bookmarkStart w:id="115" w:name="ref-2328595"/>
      <w:bookmarkEnd w:id="115"/>
    </w:p>
    <w:p w14:paraId="3F036FC1">
      <w:pPr>
        <w:numPr>
          <w:ilvl w:val="0"/>
          <w:numId w:val="5"/>
        </w:numPr>
        <w:jc w:val="both"/>
        <w:rPr>
          <w:rFonts w:ascii="Times New Roman" w:hAnsi="Times New Roman"/>
        </w:rPr>
      </w:pPr>
      <w:r>
        <w:rPr>
          <w:rFonts w:ascii="Times New Roman" w:hAnsi="Times New Roman" w:eastAsia="SimSun"/>
        </w:rPr>
        <w:t xml:space="preserve">Kuhn, T.S., 1962. </w:t>
      </w:r>
      <w:r>
        <w:rPr>
          <w:rStyle w:val="18"/>
          <w:rFonts w:eastAsia="SimSun"/>
          <w:i w:val="0"/>
          <w:iCs w:val="0"/>
        </w:rPr>
        <w:t>The Structure of Scientific Revolutions</w:t>
      </w:r>
      <w:r>
        <w:rPr>
          <w:rFonts w:ascii="Times New Roman" w:hAnsi="Times New Roman" w:eastAsia="SimSun"/>
        </w:rPr>
        <w:t>. 1st ed. Chicago: University of Chicago Press.</w:t>
      </w:r>
    </w:p>
    <w:p w14:paraId="7725E2D3">
      <w:pPr>
        <w:numPr>
          <w:ilvl w:val="0"/>
          <w:numId w:val="5"/>
        </w:numPr>
        <w:jc w:val="both"/>
        <w:rPr>
          <w:rFonts w:ascii="Times New Roman" w:hAnsi="Times New Roman"/>
        </w:rPr>
      </w:pPr>
      <w:r>
        <w:rPr>
          <w:rFonts w:ascii="Times New Roman" w:hAnsi="Times New Roman"/>
        </w:rPr>
        <w:t xml:space="preserve">Jiali, S. et al. (2024) ‘The impact of artificial intelligence on personalized learning in education: A systematic review’, Pakistan Journal of Life and Social Sciences, p. 7412. Available at: </w:t>
      </w:r>
      <w:r>
        <w:fldChar w:fldCharType="begin"/>
      </w:r>
      <w:r>
        <w:instrText xml:space="preserve"> HYPERLINK "https://doi.org/10.57239/PJLSS-2024-22.2.00560" </w:instrText>
      </w:r>
      <w:r>
        <w:fldChar w:fldCharType="separate"/>
      </w:r>
      <w:r>
        <w:rPr>
          <w:rStyle w:val="19"/>
          <w:color w:val="auto"/>
          <w:u w:val="none"/>
        </w:rPr>
        <w:t>https://doi.org/10.57239/PJLSS-2024-22.2.00560</w:t>
      </w:r>
      <w:r>
        <w:rPr>
          <w:rStyle w:val="19"/>
          <w:color w:val="auto"/>
          <w:u w:val="none"/>
        </w:rPr>
        <w:fldChar w:fldCharType="end"/>
      </w:r>
      <w:bookmarkStart w:id="116" w:name="ref-9992306"/>
      <w:bookmarkEnd w:id="116"/>
      <w:bookmarkStart w:id="117" w:name="ref-8524285"/>
      <w:bookmarkEnd w:id="117"/>
    </w:p>
    <w:p w14:paraId="3CE25977">
      <w:pPr>
        <w:numPr>
          <w:ilvl w:val="0"/>
          <w:numId w:val="5"/>
        </w:numPr>
        <w:jc w:val="both"/>
        <w:rPr>
          <w:rFonts w:ascii="Times New Roman" w:hAnsi="Times New Roman"/>
        </w:rPr>
      </w:pPr>
      <w:r>
        <w:rPr>
          <w:rFonts w:ascii="Times New Roman" w:hAnsi="Times New Roman"/>
        </w:rPr>
        <w:t xml:space="preserve">Kizilcec, R.F. and Nixon, N. (2023) ‘Advancing equity and inclusion in educational practices with AI -powered educational decision support systems (AI -EDSS)’, British Journal of Educational Technology. Available at: </w:t>
      </w:r>
      <w:r>
        <w:fldChar w:fldCharType="begin"/>
      </w:r>
      <w:r>
        <w:instrText xml:space="preserve"> HYPERLINK "https://doi.org/10.1111/bjet.13507" </w:instrText>
      </w:r>
      <w:r>
        <w:fldChar w:fldCharType="separate"/>
      </w:r>
      <w:r>
        <w:rPr>
          <w:rStyle w:val="19"/>
          <w:color w:val="auto"/>
          <w:u w:val="none"/>
        </w:rPr>
        <w:t>https://doi.org/10.1111/bjet.13507</w:t>
      </w:r>
      <w:r>
        <w:rPr>
          <w:rStyle w:val="19"/>
          <w:color w:val="auto"/>
          <w:u w:val="none"/>
        </w:rPr>
        <w:fldChar w:fldCharType="end"/>
      </w:r>
      <w:r>
        <w:rPr>
          <w:rFonts w:ascii="Times New Roman" w:hAnsi="Times New Roman"/>
        </w:rPr>
        <w:t>.</w:t>
      </w:r>
    </w:p>
    <w:p w14:paraId="4723665D">
      <w:pPr>
        <w:numPr>
          <w:ilvl w:val="0"/>
          <w:numId w:val="5"/>
        </w:numPr>
        <w:jc w:val="both"/>
        <w:rPr>
          <w:rFonts w:ascii="Times New Roman" w:hAnsi="Times New Roman"/>
        </w:rPr>
      </w:pPr>
      <w:r>
        <w:rPr>
          <w:rFonts w:ascii="Times New Roman" w:hAnsi="Times New Roman" w:eastAsia="SimSun"/>
        </w:rPr>
        <w:t xml:space="preserve">Kővári, A., 2025. </w:t>
      </w:r>
      <w:r>
        <w:rPr>
          <w:rStyle w:val="18"/>
          <w:rFonts w:eastAsia="SimSun"/>
          <w:i w:val="0"/>
          <w:iCs w:val="0"/>
        </w:rPr>
        <w:t>Ethical use of ChatGPT in education—best practices to combat AI-induced plagiarism</w:t>
      </w:r>
      <w:r>
        <w:rPr>
          <w:rFonts w:ascii="Times New Roman" w:hAnsi="Times New Roman" w:eastAsia="SimSun"/>
        </w:rPr>
        <w:t xml:space="preserve">. </w:t>
      </w:r>
      <w:r>
        <w:rPr>
          <w:rStyle w:val="17"/>
          <w:rFonts w:eastAsia="SimSun"/>
          <w:b w:val="0"/>
          <w:bCs w:val="0"/>
        </w:rPr>
        <w:t>Frontiers in Education</w:t>
      </w:r>
      <w:r>
        <w:rPr>
          <w:rFonts w:ascii="Times New Roman" w:hAnsi="Times New Roman" w:eastAsia="SimSun"/>
        </w:rPr>
        <w:t xml:space="preserve">, 9, p.1465703.Available at: </w:t>
      </w:r>
      <w:r>
        <w:fldChar w:fldCharType="begin"/>
      </w:r>
      <w:r>
        <w:instrText xml:space="preserve"> HYPERLINK "https://doi.org/10.3389/feduc.2024.1465703" </w:instrText>
      </w:r>
      <w:r>
        <w:fldChar w:fldCharType="separate"/>
      </w:r>
      <w:r>
        <w:rPr>
          <w:rStyle w:val="19"/>
          <w:rFonts w:eastAsia="SimSun"/>
          <w:color w:val="auto"/>
          <w:u w:val="none"/>
        </w:rPr>
        <w:t>https://doi.org/10.3389/feduc.2024.1465703</w:t>
      </w:r>
      <w:r>
        <w:rPr>
          <w:rStyle w:val="19"/>
          <w:rFonts w:eastAsia="SimSun"/>
          <w:color w:val="auto"/>
          <w:u w:val="none"/>
        </w:rPr>
        <w:fldChar w:fldCharType="end"/>
      </w:r>
    </w:p>
    <w:p w14:paraId="51FF8582">
      <w:pPr>
        <w:numPr>
          <w:ilvl w:val="0"/>
          <w:numId w:val="5"/>
        </w:numPr>
        <w:jc w:val="both"/>
        <w:rPr>
          <w:rFonts w:ascii="Times New Roman" w:hAnsi="Times New Roman"/>
        </w:rPr>
      </w:pPr>
      <w:r>
        <w:rPr>
          <w:rFonts w:ascii="Times New Roman" w:hAnsi="Times New Roman"/>
        </w:rPr>
        <w:t xml:space="preserve">Luckin, R. and Cukurova, M. (2019) ‘Designing educational technologies in the age of AI: A learning sciences-driven approach’, British Journal of Educational Technology, 50(6), pp. 2824–2838. Available at: </w:t>
      </w:r>
      <w:r>
        <w:fldChar w:fldCharType="begin"/>
      </w:r>
      <w:r>
        <w:instrText xml:space="preserve"> HYPERLINK "https://doi.org/10.1111/bjet.12861" </w:instrText>
      </w:r>
      <w:r>
        <w:fldChar w:fldCharType="separate"/>
      </w:r>
      <w:r>
        <w:rPr>
          <w:rStyle w:val="19"/>
          <w:color w:val="auto"/>
          <w:u w:val="none"/>
        </w:rPr>
        <w:t>https://doi.org/10.1111/bjet.12861</w:t>
      </w:r>
      <w:r>
        <w:rPr>
          <w:rStyle w:val="19"/>
          <w:color w:val="auto"/>
          <w:u w:val="none"/>
        </w:rPr>
        <w:fldChar w:fldCharType="end"/>
      </w:r>
      <w:r>
        <w:rPr>
          <w:rFonts w:ascii="Times New Roman" w:hAnsi="Times New Roman"/>
        </w:rPr>
        <w:t>.</w:t>
      </w:r>
      <w:bookmarkStart w:id="118" w:name="ref-3140749"/>
      <w:bookmarkEnd w:id="118"/>
    </w:p>
    <w:p w14:paraId="7BC6818F">
      <w:pPr>
        <w:numPr>
          <w:ilvl w:val="0"/>
          <w:numId w:val="5"/>
        </w:numPr>
        <w:jc w:val="both"/>
        <w:rPr>
          <w:rFonts w:ascii="Times New Roman" w:hAnsi="Times New Roman"/>
        </w:rPr>
      </w:pPr>
      <w:r>
        <w:rPr>
          <w:rFonts w:ascii="Times New Roman" w:hAnsi="Times New Roman"/>
        </w:rPr>
        <w:t xml:space="preserve">Luketopham et al. (2025) ‘Artificial intelligence in educational technology: A systematic review of datasets and applications’. Available at: </w:t>
      </w:r>
      <w:r>
        <w:fldChar w:fldCharType="begin"/>
      </w:r>
      <w:r>
        <w:instrText xml:space="preserve"> HYPERLINK "https://doi.org/10.1145/3768312" </w:instrText>
      </w:r>
      <w:r>
        <w:fldChar w:fldCharType="separate"/>
      </w:r>
      <w:r>
        <w:rPr>
          <w:rStyle w:val="19"/>
          <w:color w:val="auto"/>
          <w:u w:val="none"/>
        </w:rPr>
        <w:t>https://doi.org/10.1145/3768312</w:t>
      </w:r>
      <w:r>
        <w:rPr>
          <w:rStyle w:val="19"/>
          <w:color w:val="auto"/>
          <w:u w:val="none"/>
        </w:rPr>
        <w:fldChar w:fldCharType="end"/>
      </w:r>
      <w:r>
        <w:rPr>
          <w:rFonts w:ascii="Times New Roman" w:hAnsi="Times New Roman"/>
        </w:rPr>
        <w:t>.</w:t>
      </w:r>
      <w:bookmarkStart w:id="119" w:name="ref-4823316"/>
      <w:bookmarkEnd w:id="119"/>
    </w:p>
    <w:p w14:paraId="35D04025">
      <w:pPr>
        <w:numPr>
          <w:ilvl w:val="0"/>
          <w:numId w:val="5"/>
        </w:numPr>
        <w:jc w:val="both"/>
        <w:rPr>
          <w:rFonts w:ascii="Times New Roman" w:hAnsi="Times New Roman"/>
        </w:rPr>
      </w:pPr>
      <w:r>
        <w:rPr>
          <w:rFonts w:ascii="Times New Roman" w:hAnsi="Times New Roman"/>
        </w:rPr>
        <w:t xml:space="preserve">Masih, M. et al. (2025) ‘The future classroom: Integrating AI and social media for adaptive learning’, INVERGE JOURNAL OF SOCIAL SCIENCES, 4(3), p. 98. Available at: </w:t>
      </w:r>
      <w:r>
        <w:fldChar w:fldCharType="begin"/>
      </w:r>
      <w:r>
        <w:instrText xml:space="preserve"> HYPERLINK "https://invergejournals.com/" </w:instrText>
      </w:r>
      <w:r>
        <w:fldChar w:fldCharType="separate"/>
      </w:r>
      <w:r>
        <w:rPr>
          <w:rStyle w:val="19"/>
          <w:color w:val="auto"/>
          <w:u w:val="none"/>
        </w:rPr>
        <w:t>https://invergejournals.com/</w:t>
      </w:r>
      <w:r>
        <w:rPr>
          <w:rStyle w:val="19"/>
          <w:color w:val="auto"/>
          <w:u w:val="none"/>
        </w:rPr>
        <w:fldChar w:fldCharType="end"/>
      </w:r>
      <w:r>
        <w:rPr>
          <w:rFonts w:ascii="Times New Roman" w:hAnsi="Times New Roman"/>
        </w:rPr>
        <w:t>.</w:t>
      </w:r>
      <w:bookmarkStart w:id="120" w:name="ref-3217819"/>
      <w:bookmarkEnd w:id="120"/>
    </w:p>
    <w:p w14:paraId="1618F4B3">
      <w:pPr>
        <w:numPr>
          <w:ilvl w:val="0"/>
          <w:numId w:val="5"/>
        </w:numPr>
        <w:jc w:val="both"/>
        <w:rPr>
          <w:rFonts w:ascii="Times New Roman" w:hAnsi="Times New Roman"/>
        </w:rPr>
      </w:pPr>
      <w:r>
        <w:rPr>
          <w:rFonts w:ascii="Times New Roman" w:hAnsi="Times New Roman"/>
        </w:rPr>
        <w:t xml:space="preserve">O’Dea, X. et al. (2024) ‘Factors affecting university students’ generative AI literacy: Evidence and evaluation in the UK and hong kong contexts’, Policy Futures in Education, 0(0), pp. 1–22. Available at: </w:t>
      </w:r>
      <w:r>
        <w:fldChar w:fldCharType="begin"/>
      </w:r>
      <w:r>
        <w:instrText xml:space="preserve"> HYPERLINK "https://doi.org/10.1177/14782103241287401" </w:instrText>
      </w:r>
      <w:r>
        <w:fldChar w:fldCharType="separate"/>
      </w:r>
      <w:r>
        <w:rPr>
          <w:rStyle w:val="19"/>
          <w:color w:val="auto"/>
          <w:u w:val="none"/>
        </w:rPr>
        <w:t>https://doi.org/10.1177/14782103241287401</w:t>
      </w:r>
      <w:r>
        <w:rPr>
          <w:rStyle w:val="19"/>
          <w:color w:val="auto"/>
          <w:u w:val="none"/>
        </w:rPr>
        <w:fldChar w:fldCharType="end"/>
      </w:r>
      <w:r>
        <w:rPr>
          <w:rFonts w:ascii="Times New Roman" w:hAnsi="Times New Roman"/>
        </w:rPr>
        <w:t>.</w:t>
      </w:r>
      <w:bookmarkStart w:id="121" w:name="ref-5105981"/>
      <w:bookmarkEnd w:id="121"/>
    </w:p>
    <w:p w14:paraId="7C7175F2">
      <w:pPr>
        <w:numPr>
          <w:ilvl w:val="0"/>
          <w:numId w:val="5"/>
        </w:numPr>
        <w:jc w:val="both"/>
        <w:rPr>
          <w:rFonts w:ascii="Times New Roman" w:hAnsi="Times New Roman"/>
        </w:rPr>
      </w:pPr>
      <w:r>
        <w:rPr>
          <w:rFonts w:ascii="Times New Roman" w:hAnsi="Times New Roman"/>
        </w:rPr>
        <w:t xml:space="preserve">Sasikala, P. and Ravichandran, R. (2024) ‘Study on the impact of artificial intelligence on student learning outcomes’, Journal of Digital Learning and Education, 04(2), pp. 145–155. Available at: </w:t>
      </w:r>
      <w:r>
        <w:fldChar w:fldCharType="begin"/>
      </w:r>
      <w:r>
        <w:instrText xml:space="preserve"> HYPERLINK "https://doi.org/10.52562/jdle.v4i2.1234" </w:instrText>
      </w:r>
      <w:r>
        <w:fldChar w:fldCharType="separate"/>
      </w:r>
      <w:r>
        <w:rPr>
          <w:rStyle w:val="19"/>
          <w:color w:val="auto"/>
          <w:u w:val="none"/>
        </w:rPr>
        <w:t>https://doi.org/10.52562/jdle.v4i2.1234</w:t>
      </w:r>
      <w:r>
        <w:rPr>
          <w:rStyle w:val="19"/>
          <w:color w:val="auto"/>
          <w:u w:val="none"/>
        </w:rPr>
        <w:fldChar w:fldCharType="end"/>
      </w:r>
      <w:r>
        <w:rPr>
          <w:rFonts w:ascii="Times New Roman" w:hAnsi="Times New Roman"/>
        </w:rPr>
        <w:t>.</w:t>
      </w:r>
      <w:bookmarkStart w:id="122" w:name="ref-1092473"/>
      <w:bookmarkEnd w:id="122"/>
    </w:p>
    <w:p w14:paraId="7F03BA56">
      <w:pPr>
        <w:numPr>
          <w:ilvl w:val="0"/>
          <w:numId w:val="5"/>
        </w:numPr>
        <w:jc w:val="both"/>
        <w:rPr>
          <w:rFonts w:ascii="Times New Roman" w:hAnsi="Times New Roman"/>
        </w:rPr>
      </w:pPr>
      <w:r>
        <w:rPr>
          <w:rFonts w:ascii="Times New Roman" w:hAnsi="Times New Roman"/>
        </w:rPr>
        <w:t xml:space="preserve">Shams, R.A., Zowghi, D. and Bano, M. (2025) ‘AI and the quest for diversity and inclusion: A systematic literature review’, AI and Ethics, 5, pp. 411–438. Available at: </w:t>
      </w:r>
      <w:r>
        <w:fldChar w:fldCharType="begin"/>
      </w:r>
      <w:r>
        <w:instrText xml:space="preserve"> HYPERLINK "https://doi.org/10.1007/s43681-023-00362-w" </w:instrText>
      </w:r>
      <w:r>
        <w:fldChar w:fldCharType="separate"/>
      </w:r>
      <w:r>
        <w:rPr>
          <w:rStyle w:val="19"/>
          <w:color w:val="auto"/>
          <w:u w:val="none"/>
        </w:rPr>
        <w:t>https://doi.org/10.1007/s43681-023-00362-w</w:t>
      </w:r>
      <w:r>
        <w:rPr>
          <w:rStyle w:val="19"/>
          <w:color w:val="auto"/>
          <w:u w:val="none"/>
        </w:rPr>
        <w:fldChar w:fldCharType="end"/>
      </w:r>
      <w:r>
        <w:rPr>
          <w:rFonts w:ascii="Times New Roman" w:hAnsi="Times New Roman"/>
        </w:rPr>
        <w:t>.</w:t>
      </w:r>
      <w:bookmarkStart w:id="123" w:name="ref-0274719"/>
      <w:bookmarkEnd w:id="123"/>
    </w:p>
    <w:p w14:paraId="7706F808">
      <w:pPr>
        <w:numPr>
          <w:ilvl w:val="0"/>
          <w:numId w:val="5"/>
        </w:numPr>
        <w:jc w:val="both"/>
        <w:rPr>
          <w:rFonts w:ascii="Times New Roman" w:hAnsi="Times New Roman"/>
        </w:rPr>
      </w:pPr>
      <w:r>
        <w:rPr>
          <w:rFonts w:ascii="Times New Roman" w:hAnsi="Times New Roman"/>
        </w:rPr>
        <w:t xml:space="preserve">Song, Y. et al. (2024) ‘A framework for inclusive AI learning design for diverse learners’, Computers and Education: Artificial Intelligence, 6, p. 100212. Available at: </w:t>
      </w:r>
      <w:r>
        <w:fldChar w:fldCharType="begin"/>
      </w:r>
      <w:r>
        <w:instrText xml:space="preserve"> HYPERLINK "https://doi.org/10.1016/j.caeai.2024.100212" </w:instrText>
      </w:r>
      <w:r>
        <w:fldChar w:fldCharType="separate"/>
      </w:r>
      <w:r>
        <w:rPr>
          <w:rStyle w:val="19"/>
          <w:color w:val="auto"/>
          <w:u w:val="none"/>
        </w:rPr>
        <w:t>https://doi.org/10.1016/j.caeai.2024.100212</w:t>
      </w:r>
      <w:r>
        <w:rPr>
          <w:rStyle w:val="19"/>
          <w:color w:val="auto"/>
          <w:u w:val="none"/>
        </w:rPr>
        <w:fldChar w:fldCharType="end"/>
      </w:r>
      <w:r>
        <w:rPr>
          <w:rFonts w:ascii="Times New Roman" w:hAnsi="Times New Roman"/>
        </w:rPr>
        <w:t>.</w:t>
      </w:r>
      <w:bookmarkStart w:id="124" w:name="ref-1510139"/>
      <w:bookmarkEnd w:id="124"/>
    </w:p>
    <w:p w14:paraId="4516D262">
      <w:pPr>
        <w:numPr>
          <w:ilvl w:val="0"/>
          <w:numId w:val="5"/>
        </w:numPr>
        <w:jc w:val="both"/>
        <w:rPr>
          <w:rFonts w:ascii="Times New Roman" w:hAnsi="Times New Roman"/>
        </w:rPr>
      </w:pPr>
      <w:r>
        <w:rPr>
          <w:rFonts w:ascii="Times New Roman" w:hAnsi="Times New Roman"/>
        </w:rPr>
        <w:t xml:space="preserve">Tapalova, O. and Zhiyenbayeva, N. (2022) ‘Artificial intelligence in education: AIEd for personalised learning pathways’, The Electronic Journal of e-Learning, 20(5), pp. 639–653. Available at: </w:t>
      </w:r>
      <w:r>
        <w:fldChar w:fldCharType="begin"/>
      </w:r>
      <w:r>
        <w:instrText xml:space="preserve"> HYPERLINK "https://www.ejel.org" </w:instrText>
      </w:r>
      <w:r>
        <w:fldChar w:fldCharType="separate"/>
      </w:r>
      <w:r>
        <w:rPr>
          <w:rStyle w:val="19"/>
          <w:color w:val="auto"/>
          <w:u w:val="none"/>
        </w:rPr>
        <w:t>www.ejel.org</w:t>
      </w:r>
      <w:r>
        <w:rPr>
          <w:rStyle w:val="19"/>
          <w:color w:val="auto"/>
          <w:u w:val="none"/>
        </w:rPr>
        <w:fldChar w:fldCharType="end"/>
      </w:r>
      <w:r>
        <w:rPr>
          <w:rFonts w:ascii="Times New Roman" w:hAnsi="Times New Roman"/>
        </w:rPr>
        <w:t>.</w:t>
      </w:r>
      <w:bookmarkStart w:id="125" w:name="ref-7102003"/>
      <w:bookmarkEnd w:id="125"/>
    </w:p>
    <w:p w14:paraId="36FC1834">
      <w:pPr>
        <w:numPr>
          <w:ilvl w:val="0"/>
          <w:numId w:val="5"/>
        </w:numPr>
        <w:jc w:val="both"/>
        <w:rPr>
          <w:rFonts w:ascii="Times New Roman" w:hAnsi="Times New Roman"/>
        </w:rPr>
      </w:pPr>
      <w:r>
        <w:rPr>
          <w:rFonts w:ascii="Times New Roman" w:hAnsi="Times New Roman"/>
        </w:rPr>
        <w:t xml:space="preserve">Whitbread, M. et al. (2025) ‘Exploring university staff’s perceptions of using generative artificial intelligence at university’. Available at: </w:t>
      </w:r>
      <w:r>
        <w:fldChar w:fldCharType="begin"/>
      </w:r>
      <w:r>
        <w:instrText xml:space="preserve"> HYPERLINK "https://doi.org/10.3390/educsci15030367" </w:instrText>
      </w:r>
      <w:r>
        <w:fldChar w:fldCharType="separate"/>
      </w:r>
      <w:r>
        <w:rPr>
          <w:rStyle w:val="19"/>
          <w:color w:val="auto"/>
          <w:u w:val="none"/>
        </w:rPr>
        <w:t>https://doi.org/10.3390/educsci15030367</w:t>
      </w:r>
      <w:r>
        <w:rPr>
          <w:rStyle w:val="19"/>
          <w:color w:val="auto"/>
          <w:u w:val="none"/>
        </w:rPr>
        <w:fldChar w:fldCharType="end"/>
      </w:r>
      <w:r>
        <w:rPr>
          <w:rFonts w:ascii="Times New Roman" w:hAnsi="Times New Roman"/>
        </w:rPr>
        <w:t>.</w:t>
      </w:r>
      <w:bookmarkStart w:id="126" w:name="ref-1894603"/>
      <w:bookmarkEnd w:id="126"/>
    </w:p>
    <w:p w14:paraId="6EB34A32">
      <w:pPr>
        <w:numPr>
          <w:ilvl w:val="0"/>
          <w:numId w:val="5"/>
        </w:numPr>
        <w:jc w:val="both"/>
        <w:rPr>
          <w:rFonts w:ascii="Times New Roman" w:hAnsi="Times New Roman"/>
        </w:rPr>
      </w:pPr>
      <w:r>
        <w:rPr>
          <w:rFonts w:ascii="Times New Roman" w:hAnsi="Times New Roman"/>
        </w:rPr>
        <w:t xml:space="preserve">Yu, H. et al. (2025) ‘Can ChatGPT revolutionize language learning? Unveiling the power of AI in multilingual education through user insights and pedagogical impact’, European Journal of Education, 60, p. e12749. Available at: </w:t>
      </w:r>
      <w:r>
        <w:fldChar w:fldCharType="begin"/>
      </w:r>
      <w:r>
        <w:instrText xml:space="preserve"> HYPERLINK "https://doi.org/10.1111/ejed.12749" </w:instrText>
      </w:r>
      <w:r>
        <w:fldChar w:fldCharType="separate"/>
      </w:r>
      <w:r>
        <w:rPr>
          <w:rStyle w:val="19"/>
          <w:color w:val="auto"/>
          <w:u w:val="none"/>
        </w:rPr>
        <w:t>https://doi.org/10.1111/ejed.12749</w:t>
      </w:r>
      <w:r>
        <w:rPr>
          <w:rStyle w:val="19"/>
          <w:color w:val="auto"/>
          <w:u w:val="none"/>
        </w:rPr>
        <w:fldChar w:fldCharType="end"/>
      </w:r>
      <w:r>
        <w:rPr>
          <w:rFonts w:ascii="Times New Roman" w:hAnsi="Times New Roman"/>
        </w:rPr>
        <w:t>.</w:t>
      </w:r>
      <w:bookmarkStart w:id="127" w:name="ref-4378512"/>
      <w:bookmarkEnd w:id="127"/>
    </w:p>
    <w:p w14:paraId="789779F5">
      <w:pPr>
        <w:numPr>
          <w:ilvl w:val="0"/>
          <w:numId w:val="5"/>
        </w:numPr>
        <w:jc w:val="both"/>
        <w:rPr>
          <w:rFonts w:ascii="Times New Roman" w:hAnsi="Times New Roman"/>
        </w:rPr>
      </w:pPr>
      <w:r>
        <w:rPr>
          <w:rFonts w:ascii="Times New Roman" w:hAnsi="Times New Roman"/>
        </w:rPr>
        <w:t xml:space="preserve">Zawacki-Richter, O. et al. (2019) ‘Systematic review of research on artificial intelligence applications in higher education –where are the educators?’, International Journal of Educational Technology in Higher Education . Available at: </w:t>
      </w:r>
      <w:r>
        <w:fldChar w:fldCharType="begin"/>
      </w:r>
      <w:r>
        <w:instrText xml:space="preserve"> HYPERLINK "https://doi.org/10.1186/s41239-019-0171-0" </w:instrText>
      </w:r>
      <w:r>
        <w:fldChar w:fldCharType="separate"/>
      </w:r>
      <w:r>
        <w:rPr>
          <w:rStyle w:val="19"/>
          <w:color w:val="auto"/>
          <w:u w:val="none"/>
        </w:rPr>
        <w:t>https://doi.org/10.1186/s41239-019-0171-0</w:t>
      </w:r>
      <w:r>
        <w:rPr>
          <w:rStyle w:val="19"/>
          <w:color w:val="auto"/>
          <w:u w:val="none"/>
        </w:rPr>
        <w:fldChar w:fldCharType="end"/>
      </w:r>
      <w:r>
        <w:rPr>
          <w:rFonts w:ascii="Times New Roman" w:hAnsi="Times New Roman"/>
        </w:rPr>
        <w:t>.</w:t>
      </w:r>
      <w:bookmarkStart w:id="128" w:name="ref-7553628"/>
      <w:bookmarkEnd w:id="128"/>
    </w:p>
    <w:p w14:paraId="0EC96AF6">
      <w:pPr>
        <w:numPr>
          <w:ilvl w:val="0"/>
          <w:numId w:val="5"/>
        </w:numPr>
        <w:jc w:val="both"/>
        <w:rPr>
          <w:rFonts w:ascii="Times New Roman" w:hAnsi="Times New Roman"/>
        </w:rPr>
      </w:pPr>
      <w:r>
        <w:rPr>
          <w:rFonts w:ascii="Times New Roman" w:hAnsi="Times New Roman"/>
        </w:rPr>
        <w:t xml:space="preserve">Zong, Y. and Yang, L. (2025) ‘How AI-enhanced social–emotional learning framework transforms EFL students’ engagement and emotional well-being’, European Journal of Education, 60(e12925). Available at: </w:t>
      </w:r>
      <w:r>
        <w:fldChar w:fldCharType="begin"/>
      </w:r>
      <w:r>
        <w:instrText xml:space="preserve"> HYPERLINK "https://doi.org/10.1111/ejed.12925" </w:instrText>
      </w:r>
      <w:r>
        <w:fldChar w:fldCharType="separate"/>
      </w:r>
      <w:r>
        <w:rPr>
          <w:rStyle w:val="19"/>
          <w:color w:val="auto"/>
          <w:u w:val="none"/>
        </w:rPr>
        <w:t>https://doi.org/10.1111/ejed.12925</w:t>
      </w:r>
      <w:r>
        <w:rPr>
          <w:rStyle w:val="19"/>
          <w:color w:val="auto"/>
          <w:u w:val="none"/>
        </w:rPr>
        <w:fldChar w:fldCharType="end"/>
      </w:r>
      <w:r>
        <w:rPr>
          <w:rFonts w:ascii="Times New Roman" w:hAnsi="Times New Roman"/>
        </w:rPr>
        <w:t>.</w:t>
      </w:r>
    </w:p>
    <w:p w14:paraId="43ED6296">
      <w:pPr>
        <w:jc w:val="both"/>
        <w:rPr>
          <w:rFonts w:ascii="Times New Roman" w:hAnsi="Times New Roman"/>
          <w:iCs/>
        </w:rPr>
      </w:pPr>
      <w:r>
        <w:rPr>
          <w:rFonts w:ascii="Times New Roman" w:hAnsi="Times New Roman"/>
          <w:iCs/>
        </w:rPr>
        <w:t xml:space="preserve"> </w:t>
      </w:r>
    </w:p>
    <w:p w14:paraId="46BA0CFD">
      <w:pPr>
        <w:ind w:left="240" w:leftChars="100" w:right="-240" w:rightChars="-100"/>
        <w:jc w:val="both"/>
        <w:rPr>
          <w:rFonts w:ascii="Times New Roman" w:hAnsi="Times New Roman"/>
          <w:iCs/>
        </w:rPr>
      </w:pPr>
      <w:r>
        <w:rPr>
          <w:rFonts w:ascii="Times New Roman" w:hAnsi="Times New Roman"/>
          <w:iCs/>
        </w:rPr>
        <w:t xml:space="preserve"> </w:t>
      </w:r>
    </w:p>
    <w:p w14:paraId="64A900D2">
      <w:pPr>
        <w:rPr>
          <w:rFonts w:ascii="Times New Roman" w:hAnsi="Times New Roman"/>
        </w:rPr>
      </w:pP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SourceSansPro">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86873345"/>
      <w:docPartObj>
        <w:docPartGallery w:val="AutoText"/>
      </w:docPartObj>
    </w:sdtPr>
    <w:sdtContent>
      <w:p w14:paraId="4F65B55D">
        <w:pPr>
          <w:pStyle w:val="7"/>
          <w:jc w:val="right"/>
        </w:pPr>
        <w:r>
          <w:fldChar w:fldCharType="begin"/>
        </w:r>
        <w:r>
          <w:instrText xml:space="preserve"> PAGE   \* MERGEFORMAT </w:instrText>
        </w:r>
        <w:r>
          <w:fldChar w:fldCharType="separate"/>
        </w:r>
        <w:r>
          <w:t>3</w:t>
        </w:r>
        <w:r>
          <w:fldChar w:fldCharType="end"/>
        </w:r>
      </w:p>
    </w:sdtContent>
  </w:sdt>
  <w:p w14:paraId="21111297">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4D48AF">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988BD0">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A40321">
    <w:pPr>
      <w:pStyle w:val="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348B67">
    <w:pPr>
      <w:pStyle w:val="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CE9D52">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42185D"/>
    <w:multiLevelType w:val="multilevel"/>
    <w:tmpl w:val="0F42185D"/>
    <w:lvl w:ilvl="0" w:tentative="0">
      <w:start w:val="1"/>
      <w:numFmt w:val="decimal"/>
      <w:lvlText w:val="%1."/>
      <w:lvlJc w:val="left"/>
      <w:pPr>
        <w:tabs>
          <w:tab w:val="left" w:pos="425"/>
        </w:tabs>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60183281"/>
    <w:multiLevelType w:val="multilevel"/>
    <w:tmpl w:val="60183281"/>
    <w:lvl w:ilvl="0" w:tentative="0">
      <w:start w:val="4"/>
      <w:numFmt w:val="upperLetter"/>
      <w:suff w:val="space"/>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68DA44AE"/>
    <w:multiLevelType w:val="multilevel"/>
    <w:tmpl w:val="68DA44AE"/>
    <w:lvl w:ilvl="0" w:tentative="0">
      <w:start w:val="1"/>
      <w:numFmt w:val="decimal"/>
      <w:lvlText w:val="%1."/>
      <w:lvlJc w:val="left"/>
      <w:pPr>
        <w:tabs>
          <w:tab w:val="left" w:pos="425"/>
        </w:tabs>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6E0D34C9"/>
    <w:multiLevelType w:val="multilevel"/>
    <w:tmpl w:val="6E0D34C9"/>
    <w:lvl w:ilvl="0" w:tentative="0">
      <w:start w:val="1"/>
      <w:numFmt w:val="bullet"/>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6F0A12C9"/>
    <w:multiLevelType w:val="multilevel"/>
    <w:tmpl w:val="6F0A12C9"/>
    <w:lvl w:ilvl="0" w:tentative="0">
      <w:start w:val="1"/>
      <w:numFmt w:val="bullet"/>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4"/>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6"/>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635D"/>
    <w:rsid w:val="002B1EAB"/>
    <w:rsid w:val="003F69EC"/>
    <w:rsid w:val="008C40BA"/>
    <w:rsid w:val="00C050F6"/>
    <w:rsid w:val="00D2635D"/>
    <w:rsid w:val="00FB600B"/>
    <w:rsid w:val="54B212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Calibri" w:hAnsi="Calibri" w:eastAsia="Times New Roman" w:cs="Times New Roman"/>
      <w:sz w:val="24"/>
      <w:szCs w:val="24"/>
      <w:lang w:val="en-US" w:eastAsia="en-US" w:bidi="ar-SA"/>
    </w:rPr>
  </w:style>
  <w:style w:type="paragraph" w:styleId="2">
    <w:name w:val="heading 1"/>
    <w:basedOn w:val="1"/>
    <w:next w:val="1"/>
    <w:link w:val="14"/>
    <w:qFormat/>
    <w:uiPriority w:val="99"/>
    <w:pPr>
      <w:spacing w:before="100" w:beforeAutospacing="1" w:after="100" w:afterAutospacing="1"/>
      <w:outlineLvl w:val="0"/>
    </w:pPr>
    <w:rPr>
      <w:rFonts w:ascii="SimSun" w:hAnsi="SimSun" w:eastAsia="SimSun"/>
      <w:b/>
      <w:bCs/>
      <w:kern w:val="44"/>
      <w:sz w:val="48"/>
      <w:szCs w:val="48"/>
    </w:rPr>
  </w:style>
  <w:style w:type="paragraph" w:styleId="3">
    <w:name w:val="heading 2"/>
    <w:basedOn w:val="1"/>
    <w:next w:val="1"/>
    <w:link w:val="15"/>
    <w:qFormat/>
    <w:uiPriority w:val="99"/>
    <w:pPr>
      <w:spacing w:before="100" w:beforeAutospacing="1" w:after="100" w:afterAutospacing="1"/>
      <w:outlineLvl w:val="1"/>
    </w:pPr>
    <w:rPr>
      <w:rFonts w:ascii="SimSun" w:hAnsi="SimSun" w:eastAsia="SimSun"/>
      <w:b/>
      <w:bCs/>
      <w:sz w:val="36"/>
      <w:szCs w:val="36"/>
    </w:rPr>
  </w:style>
  <w:style w:type="paragraph" w:styleId="4">
    <w:name w:val="heading 3"/>
    <w:basedOn w:val="1"/>
    <w:next w:val="1"/>
    <w:link w:val="16"/>
    <w:qFormat/>
    <w:uiPriority w:val="99"/>
    <w:pPr>
      <w:spacing w:before="100" w:beforeAutospacing="1" w:after="100" w:afterAutospacing="1"/>
      <w:outlineLvl w:val="2"/>
    </w:pPr>
    <w:rPr>
      <w:rFonts w:ascii="SimSun" w:hAnsi="SimSun" w:eastAsia="SimSun"/>
      <w:b/>
      <w:bCs/>
      <w:sz w:val="27"/>
      <w:szCs w:val="27"/>
    </w:rPr>
  </w:style>
  <w:style w:type="character" w:default="1" w:styleId="5">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7">
    <w:name w:val="footer"/>
    <w:basedOn w:val="1"/>
    <w:link w:val="21"/>
    <w:unhideWhenUsed/>
    <w:qFormat/>
    <w:uiPriority w:val="99"/>
    <w:pPr>
      <w:tabs>
        <w:tab w:val="center" w:pos="4680"/>
        <w:tab w:val="right" w:pos="9360"/>
      </w:tabs>
    </w:pPr>
  </w:style>
  <w:style w:type="paragraph" w:styleId="8">
    <w:name w:val="header"/>
    <w:basedOn w:val="1"/>
    <w:link w:val="20"/>
    <w:unhideWhenUsed/>
    <w:qFormat/>
    <w:uiPriority w:val="99"/>
    <w:pPr>
      <w:tabs>
        <w:tab w:val="center" w:pos="4680"/>
        <w:tab w:val="right" w:pos="9360"/>
      </w:tabs>
    </w:pPr>
  </w:style>
  <w:style w:type="character" w:styleId="9">
    <w:name w:val="Hyperlink"/>
    <w:basedOn w:val="5"/>
    <w:unhideWhenUsed/>
    <w:qFormat/>
    <w:uiPriority w:val="99"/>
    <w:rPr>
      <w:color w:val="0563C1" w:themeColor="hyperlink"/>
      <w:u w:val="single"/>
      <w14:textFill>
        <w14:solidFill>
          <w14:schemeClr w14:val="hlink"/>
        </w14:solidFill>
      </w14:textFill>
    </w:rPr>
  </w:style>
  <w:style w:type="paragraph" w:styleId="10">
    <w:name w:val="Normal (Web)"/>
    <w:basedOn w:val="1"/>
    <w:unhideWhenUsed/>
    <w:qFormat/>
    <w:uiPriority w:val="99"/>
    <w:pPr>
      <w:spacing w:before="100" w:beforeAutospacing="1" w:after="100" w:afterAutospacing="1"/>
    </w:pPr>
    <w:rPr>
      <w:rFonts w:ascii="Times New Roman" w:hAnsi="Times New Roman" w:eastAsia="SimSun"/>
    </w:rPr>
  </w:style>
  <w:style w:type="paragraph" w:styleId="11">
    <w:name w:val="toc 1"/>
    <w:basedOn w:val="1"/>
    <w:next w:val="1"/>
    <w:autoRedefine/>
    <w:unhideWhenUsed/>
    <w:qFormat/>
    <w:uiPriority w:val="39"/>
  </w:style>
  <w:style w:type="paragraph" w:styleId="12">
    <w:name w:val="toc 2"/>
    <w:basedOn w:val="1"/>
    <w:next w:val="1"/>
    <w:autoRedefine/>
    <w:unhideWhenUsed/>
    <w:qFormat/>
    <w:uiPriority w:val="39"/>
    <w:pPr>
      <w:spacing w:before="100" w:beforeAutospacing="1" w:after="100" w:afterAutospacing="1"/>
      <w:ind w:left="420" w:leftChars="200"/>
    </w:pPr>
  </w:style>
  <w:style w:type="paragraph" w:styleId="13">
    <w:name w:val="toc 3"/>
    <w:basedOn w:val="1"/>
    <w:next w:val="1"/>
    <w:autoRedefine/>
    <w:unhideWhenUsed/>
    <w:qFormat/>
    <w:uiPriority w:val="39"/>
    <w:pPr>
      <w:spacing w:before="100" w:beforeAutospacing="1" w:after="100" w:afterAutospacing="1"/>
      <w:ind w:left="840" w:leftChars="400"/>
    </w:pPr>
  </w:style>
  <w:style w:type="character" w:customStyle="1" w:styleId="14">
    <w:name w:val="Heading 1 Char"/>
    <w:basedOn w:val="5"/>
    <w:link w:val="2"/>
    <w:qFormat/>
    <w:uiPriority w:val="99"/>
    <w:rPr>
      <w:rFonts w:ascii="SimSun" w:hAnsi="SimSun" w:eastAsia="SimSun" w:cs="Times New Roman"/>
      <w:b/>
      <w:bCs/>
      <w:kern w:val="44"/>
      <w:sz w:val="48"/>
      <w:szCs w:val="48"/>
    </w:rPr>
  </w:style>
  <w:style w:type="character" w:customStyle="1" w:styleId="15">
    <w:name w:val="Heading 2 Char"/>
    <w:basedOn w:val="5"/>
    <w:link w:val="3"/>
    <w:qFormat/>
    <w:uiPriority w:val="99"/>
    <w:rPr>
      <w:rFonts w:ascii="SimSun" w:hAnsi="SimSun" w:eastAsia="SimSun" w:cs="Times New Roman"/>
      <w:b/>
      <w:bCs/>
      <w:sz w:val="36"/>
      <w:szCs w:val="36"/>
    </w:rPr>
  </w:style>
  <w:style w:type="character" w:customStyle="1" w:styleId="16">
    <w:name w:val="Heading 3 Char"/>
    <w:basedOn w:val="5"/>
    <w:link w:val="4"/>
    <w:qFormat/>
    <w:uiPriority w:val="99"/>
    <w:rPr>
      <w:rFonts w:ascii="SimSun" w:hAnsi="SimSun" w:eastAsia="SimSun" w:cs="Times New Roman"/>
      <w:b/>
      <w:bCs/>
      <w:sz w:val="27"/>
      <w:szCs w:val="27"/>
    </w:rPr>
  </w:style>
  <w:style w:type="character" w:customStyle="1" w:styleId="17">
    <w:name w:val="15"/>
    <w:basedOn w:val="5"/>
    <w:qFormat/>
    <w:uiPriority w:val="0"/>
    <w:rPr>
      <w:rFonts w:hint="default" w:ascii="Times New Roman" w:hAnsi="Times New Roman" w:cs="Times New Roman"/>
      <w:b/>
      <w:bCs/>
    </w:rPr>
  </w:style>
  <w:style w:type="character" w:customStyle="1" w:styleId="18">
    <w:name w:val="16"/>
    <w:basedOn w:val="5"/>
    <w:qFormat/>
    <w:uiPriority w:val="0"/>
    <w:rPr>
      <w:rFonts w:hint="default" w:ascii="Times New Roman" w:hAnsi="Times New Roman" w:cs="Times New Roman"/>
      <w:i/>
      <w:iCs/>
    </w:rPr>
  </w:style>
  <w:style w:type="character" w:customStyle="1" w:styleId="19">
    <w:name w:val="17"/>
    <w:basedOn w:val="5"/>
    <w:qFormat/>
    <w:uiPriority w:val="0"/>
    <w:rPr>
      <w:rFonts w:hint="default" w:ascii="Times New Roman" w:hAnsi="Times New Roman" w:cs="Times New Roman"/>
      <w:color w:val="0000FF"/>
      <w:u w:val="single"/>
    </w:rPr>
  </w:style>
  <w:style w:type="character" w:customStyle="1" w:styleId="20">
    <w:name w:val="Header Char"/>
    <w:basedOn w:val="5"/>
    <w:link w:val="8"/>
    <w:qFormat/>
    <w:uiPriority w:val="99"/>
    <w:rPr>
      <w:rFonts w:ascii="Calibri" w:hAnsi="Calibri" w:eastAsia="Times New Roman" w:cs="Times New Roman"/>
      <w:sz w:val="24"/>
      <w:szCs w:val="24"/>
    </w:rPr>
  </w:style>
  <w:style w:type="character" w:customStyle="1" w:styleId="21">
    <w:name w:val="Footer Char"/>
    <w:basedOn w:val="5"/>
    <w:link w:val="7"/>
    <w:qFormat/>
    <w:uiPriority w:val="99"/>
    <w:rPr>
      <w:rFonts w:ascii="Calibri" w:hAnsi="Calibri" w:eastAsia="Times New Roman" w:cs="Times New Roman"/>
      <w:sz w:val="24"/>
      <w:szCs w:val="24"/>
    </w:rPr>
  </w:style>
  <w:style w:type="paragraph" w:customStyle="1" w:styleId="22">
    <w:name w:val="TOC Heading"/>
    <w:basedOn w:val="2"/>
    <w:next w:val="1"/>
    <w:unhideWhenUsed/>
    <w:qFormat/>
    <w:uiPriority w:val="39"/>
    <w:pPr>
      <w:keepNext/>
      <w:keepLines/>
      <w:spacing w:before="240" w:beforeAutospacing="0" w:after="0" w:afterAutospacing="0" w:line="259" w:lineRule="auto"/>
      <w:outlineLvl w:val="9"/>
    </w:pPr>
    <w:rPr>
      <w:rFonts w:asciiTheme="majorHAnsi" w:hAnsiTheme="majorHAnsi" w:eastAsiaTheme="majorEastAsia" w:cstheme="majorBidi"/>
      <w:b w:val="0"/>
      <w:bCs w:val="0"/>
      <w:color w:val="2E75B6" w:themeColor="accent1" w:themeShade="BF"/>
      <w:kern w:val="0"/>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04D69D-0BD5-4B24-BA63-D87A26ECCE2F}">
  <ds:schemaRefs/>
</ds:datastoreItem>
</file>

<file path=docProps/app.xml><?xml version="1.0" encoding="utf-8"?>
<Properties xmlns="http://schemas.openxmlformats.org/officeDocument/2006/extended-properties" xmlns:vt="http://schemas.openxmlformats.org/officeDocument/2006/docPropsVTypes">
  <Template>Normal</Template>
  <Pages>22</Pages>
  <Words>7449</Words>
  <Characters>42463</Characters>
  <Lines>353</Lines>
  <Paragraphs>99</Paragraphs>
  <TotalTime>27</TotalTime>
  <ScaleCrop>false</ScaleCrop>
  <LinksUpToDate>false</LinksUpToDate>
  <CharactersWithSpaces>49813</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2026-01-10T23:08:00Z</dcterms:created>
  <dc:creator>Admin</dc:creator>
  <cp:lastModifiedBy>kashmala hussain</cp:lastModifiedBy>
  <dcterms:modified xsi:type="dcterms:W3CDTF">2026-01-10T23:35:53Z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106a9740-728b-4b94-9eb3-17bb4630322d</vt:lpwstr>
  </property>
  <property fmtid="{D5CDD505-2E9C-101B-9397-08002B2CF9AE}" pid="3" name="KSOProductBuildVer">
    <vt:lpwstr>1033-12.2.0.23196</vt:lpwstr>
  </property>
  <property fmtid="{D5CDD505-2E9C-101B-9397-08002B2CF9AE}" pid="4" name="ICV">
    <vt:lpwstr>4300248280D143EB9230ADDFD148126D_12</vt:lpwstr>
  </property>
</Properties>
</file>