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0DC8F" w14:textId="72F38481" w:rsidR="002C5782" w:rsidRDefault="00321CBE">
      <w:pPr>
        <w:rPr>
          <w:sz w:val="32"/>
          <w:szCs w:val="32"/>
        </w:rPr>
      </w:pPr>
      <w:r w:rsidRPr="00321CBE">
        <w:rPr>
          <w:sz w:val="32"/>
          <w:szCs w:val="32"/>
        </w:rPr>
        <w:t>Gobbet on lines 1 – 42 of Ausonius’ Moselle</w:t>
      </w:r>
      <w:r>
        <w:rPr>
          <w:sz w:val="32"/>
          <w:szCs w:val="32"/>
        </w:rPr>
        <w:t xml:space="preserve"> </w:t>
      </w:r>
    </w:p>
    <w:p w14:paraId="6E6AE5FC" w14:textId="3B8DD71A" w:rsidR="00F979B2" w:rsidRDefault="00C80B33">
      <w:r>
        <w:t>Ausonius was a roman poet who</w:t>
      </w:r>
      <w:r w:rsidR="00E62386">
        <w:t xml:space="preserve"> possibly</w:t>
      </w:r>
      <w:r>
        <w:t xml:space="preserve"> wrote the Moselle around the year 3</w:t>
      </w:r>
      <w:r w:rsidR="00B07199">
        <w:t>7</w:t>
      </w:r>
      <w:r>
        <w:t>1</w:t>
      </w:r>
      <w:r w:rsidR="00D85CAE">
        <w:t xml:space="preserve"> AD</w:t>
      </w:r>
      <w:r>
        <w:t>, this has been disputed as the language used within the poem can be suggestive of it being written at different times</w:t>
      </w:r>
      <w:r w:rsidR="00E62386">
        <w:t>. Green’s theory on the poems dating through Ausonius’ usage of future tense and reference to recent events</w:t>
      </w:r>
      <w:r w:rsidR="00492780">
        <w:t xml:space="preserve"> (Green, 1991)</w:t>
      </w:r>
      <w:r w:rsidR="00E62386">
        <w:t xml:space="preserve"> seems to be more plausible than that of the argument posited by Sivan that it was</w:t>
      </w:r>
      <w:r w:rsidR="00492780">
        <w:t xml:space="preserve"> written</w:t>
      </w:r>
      <w:r w:rsidR="00E62386">
        <w:t xml:space="preserve"> earlier but</w:t>
      </w:r>
      <w:r w:rsidR="00492780">
        <w:t xml:space="preserve"> then</w:t>
      </w:r>
      <w:r w:rsidR="00E62386">
        <w:t xml:space="preserve"> redrafted</w:t>
      </w:r>
      <w:r w:rsidR="00492780">
        <w:t xml:space="preserve"> (Sivan, 1990)</w:t>
      </w:r>
      <w:r w:rsidR="00E62386">
        <w:t xml:space="preserve"> or that of a much later composition in 275 AD that is suggested by Drinkwater and Strouse </w:t>
      </w:r>
      <w:r w:rsidR="00D85CAE">
        <w:t>(</w:t>
      </w:r>
      <w:r w:rsidR="00492780">
        <w:t xml:space="preserve">Drinkwater, 1999. Strouse, 2014). </w:t>
      </w:r>
      <w:r w:rsidR="00AD58A9">
        <w:t xml:space="preserve">Although it </w:t>
      </w:r>
      <w:r w:rsidR="00D85CAE">
        <w:t xml:space="preserve">is </w:t>
      </w:r>
      <w:r w:rsidR="00AD58A9">
        <w:t xml:space="preserve">agreed that it was written after he had toured the construction of fortifications with the emperor Valentinian I and most likely performed it to him </w:t>
      </w:r>
      <w:r w:rsidR="00492780">
        <w:t>along with other members of the societal elite (Sivan, 1993)</w:t>
      </w:r>
      <w:r w:rsidR="00AD58A9">
        <w:t>.</w:t>
      </w:r>
      <w:r w:rsidR="00D85CAE">
        <w:t xml:space="preserve"> In the Moselle Ausonius </w:t>
      </w:r>
      <w:r w:rsidR="00F979B2">
        <w:t xml:space="preserve">describes the river and praises it while brining in an imperial voice and </w:t>
      </w:r>
      <w:r w:rsidR="00492780">
        <w:t>interweaving it with political and geographical references</w:t>
      </w:r>
      <w:r w:rsidR="00F979B2">
        <w:t xml:space="preserve">. In this extract from line 1 -42 he describes some of his </w:t>
      </w:r>
      <w:proofErr w:type="gramStart"/>
      <w:r w:rsidR="00F979B2">
        <w:t>first hand</w:t>
      </w:r>
      <w:proofErr w:type="gramEnd"/>
      <w:r w:rsidR="00F979B2">
        <w:t xml:space="preserve"> experience and begins his </w:t>
      </w:r>
      <w:r w:rsidR="00492780">
        <w:t>journey down and along the</w:t>
      </w:r>
      <w:r w:rsidR="00F979B2">
        <w:t xml:space="preserve"> river Moselle. </w:t>
      </w:r>
    </w:p>
    <w:p w14:paraId="4B81CB39" w14:textId="2A17593E" w:rsidR="00492780" w:rsidRDefault="007F1581">
      <w:r>
        <w:t xml:space="preserve">Ausonius uses this opening passage to bring the reader into a memorable route towards the river as he lists places </w:t>
      </w:r>
      <w:r w:rsidR="004C7A7F">
        <w:t>that he went past on his way, which were</w:t>
      </w:r>
      <w:r>
        <w:t xml:space="preserve"> “</w:t>
      </w:r>
      <w:proofErr w:type="spellStart"/>
      <w:r>
        <w:t>Vincum</w:t>
      </w:r>
      <w:proofErr w:type="spellEnd"/>
      <w:r>
        <w:t>”, “</w:t>
      </w:r>
      <w:proofErr w:type="spellStart"/>
      <w:r>
        <w:t>Dumnissus</w:t>
      </w:r>
      <w:proofErr w:type="spellEnd"/>
      <w:r>
        <w:t>”, “</w:t>
      </w:r>
      <w:proofErr w:type="spellStart"/>
      <w:r>
        <w:t>Tabernae</w:t>
      </w:r>
      <w:proofErr w:type="spellEnd"/>
      <w:r>
        <w:t xml:space="preserve">”, </w:t>
      </w:r>
      <w:r w:rsidR="004C7A7F">
        <w:t>and finally “</w:t>
      </w:r>
      <w:proofErr w:type="spellStart"/>
      <w:r w:rsidR="004C7A7F">
        <w:t>Noiomagus</w:t>
      </w:r>
      <w:proofErr w:type="spellEnd"/>
      <w:r w:rsidR="004C7A7F">
        <w:t xml:space="preserve">”. This usage of </w:t>
      </w:r>
      <w:r w:rsidR="007B262A">
        <w:t xml:space="preserve">familiar places would have meant that listeners would most likely have been able to follow along with the journey and know the area of the Moselle that he is starting his description from. This would further resonate with local people and any local landowners and other local elite who would personally know these places or have a deeper connection to them. </w:t>
      </w:r>
      <w:r w:rsidR="008736DE">
        <w:t xml:space="preserve">This then may have been done in part for the first audience of the poem if he did perform it for the emperor and the local aristocrats of the region when they were there. There then could even be the possibility of some pressure to mention some of those places to please certain people who may have been receiving this poem. </w:t>
      </w:r>
      <w:r w:rsidR="000B5040">
        <w:t xml:space="preserve">Another reason for this short personal journey to be mentioned could be to allow the reader to feel as though they were the one at the </w:t>
      </w:r>
      <w:r w:rsidR="00506D4E">
        <w:t>Moselle River</w:t>
      </w:r>
      <w:r w:rsidR="000B5040">
        <w:t xml:space="preserve"> and seeing this sight for themselves</w:t>
      </w:r>
      <w:r w:rsidR="00506D4E">
        <w:t xml:space="preserve">. The reality of this journey can also have an effect on this since, as </w:t>
      </w:r>
      <w:proofErr w:type="gramStart"/>
      <w:r w:rsidR="00506D4E">
        <w:t>Green</w:t>
      </w:r>
      <w:proofErr w:type="gramEnd"/>
      <w:r w:rsidR="00506D4E">
        <w:t xml:space="preserve"> points out, it is highly unlikely that someone like Ausonius would travel alone as he is stating since that would be very dangerous especially in a frontier region (Green, 1991)</w:t>
      </w:r>
      <w:r w:rsidR="00B054CD">
        <w:t xml:space="preserve"> although it is possible he did do some version of this journey at an earlier date when traveling with emperor Valentinian I (Fisher, 1981)</w:t>
      </w:r>
      <w:r w:rsidR="00506D4E">
        <w:t xml:space="preserve">. </w:t>
      </w:r>
      <w:r w:rsidR="005F6F1A">
        <w:t>This further enforces that the journey has been framed in this way to enhance the effect of the single person walking and coming out to find the river by themselves</w:t>
      </w:r>
      <w:r w:rsidR="00B054CD">
        <w:t xml:space="preserve"> and so creates more of an ease for the reader to put themselves there.</w:t>
      </w:r>
      <w:r w:rsidR="005F6F1A">
        <w:t xml:space="preserve"> </w:t>
      </w:r>
      <w:r w:rsidR="0020676F">
        <w:t xml:space="preserve">The fact that he has said that his travels were solitary could also be of a political nature as it may give a suggestion of safety that has been created within the empire by Valentinian I. </w:t>
      </w:r>
    </w:p>
    <w:p w14:paraId="159D221F" w14:textId="7F77D624" w:rsidR="00B054CD" w:rsidRDefault="00B054CD">
      <w:r>
        <w:t>In this opening travel Ausonius describes the areas as devoid</w:t>
      </w:r>
      <w:r w:rsidR="008048D4" w:rsidRPr="008048D4">
        <w:t xml:space="preserve"> </w:t>
      </w:r>
      <w:r w:rsidR="008048D4">
        <w:t xml:space="preserve">“any trace of human inhabitants”, a “pathless forest”, and that it was “sweltering amid its parched fields”. This range of language creates a very negative image of the land on the way to Moselle and </w:t>
      </w:r>
      <w:proofErr w:type="gramStart"/>
      <w:r w:rsidR="008048D4">
        <w:t>brings to mind</w:t>
      </w:r>
      <w:proofErr w:type="gramEnd"/>
      <w:r w:rsidR="008048D4">
        <w:t xml:space="preserve"> a lack of civilisation. This repetition of negative language only increases </w:t>
      </w:r>
      <w:r w:rsidR="0020676F">
        <w:t xml:space="preserve">the image that he is trying to create which then enhances the contrast of the later mentioned beauty of the river when he reaches it (Fisher, 1981: 60). </w:t>
      </w:r>
      <w:r w:rsidR="00AB5E62">
        <w:t xml:space="preserve">The first contrast to this is when he reaches the </w:t>
      </w:r>
      <w:proofErr w:type="spellStart"/>
      <w:r w:rsidR="00AB5E62">
        <w:t>Noiomagus</w:t>
      </w:r>
      <w:proofErr w:type="spellEnd"/>
      <w:r w:rsidR="00AB5E62">
        <w:t xml:space="preserve"> the camp of Constantine. Here his phrasing immediately gives the impression that this place is superior and nicer than what he has just walked through. He says that it has “Clearer the air” and that the sun “discloses glowing heaven” creating a sense of wonder and purity. The fact that this is now happening gives this area a divine feeling as heaven has appeared to them only from this location (Fisher, 1981: 60). This feeling of the divine could also be used by Ausonius to further boost the glory of the river Moselle and his own </w:t>
      </w:r>
      <w:r w:rsidR="0081276D">
        <w:t>birthplace oof Bordeaux as he creates a connection by using this to reminisce while transitioning into talking about the river.</w:t>
      </w:r>
      <w:r w:rsidR="00906D16">
        <w:t xml:space="preserve"> The juxtaposition</w:t>
      </w:r>
      <w:r w:rsidR="00401B6A">
        <w:t xml:space="preserve"> continues into his account of the area at the river as he describes it as having “</w:t>
      </w:r>
      <w:r w:rsidR="00401B6A">
        <w:t xml:space="preserve">the roofs of country-houses, perched high upon the overhanging </w:t>
      </w:r>
      <w:proofErr w:type="gramStart"/>
      <w:r w:rsidR="00401B6A">
        <w:t>river-banks</w:t>
      </w:r>
      <w:proofErr w:type="gramEnd"/>
      <w:r w:rsidR="00401B6A">
        <w:t xml:space="preserve">, </w:t>
      </w:r>
      <w:r w:rsidR="00401B6A">
        <w:lastRenderedPageBreak/>
        <w:t>the hill-sides green with vines, and the pleasant stream of Moselle gliding below with subdued murmuring. Hail, river, blessed by the fields, blessed by the husbandmen</w:t>
      </w:r>
      <w:r w:rsidR="00401B6A">
        <w:t>”. This completes of this area that has had the Roman influence and building to be feeling as though it is greater and more civilised than the rest of this frontier region that used to be under the control of barbarians.</w:t>
      </w:r>
      <w:r w:rsidR="001A62ED">
        <w:t xml:space="preserve"> These suggestions may be more than just for effect within the literature as they could be used as a form of complimenting the work of the emperor since he would be seen as responsible for making areas prosper and this was a region in which he had been building his fortifications. </w:t>
      </w:r>
    </w:p>
    <w:p w14:paraId="1F95C700" w14:textId="77777777" w:rsidR="007605D5" w:rsidRDefault="001D12EB">
      <w:r>
        <w:t>Ausonius gives clear mention of these fortifications as in line 1 he states that he “</w:t>
      </w:r>
      <w:r>
        <w:t xml:space="preserve">gazed with awe upon the ramparts lately thrown round ancient </w:t>
      </w:r>
      <w:proofErr w:type="spellStart"/>
      <w:r>
        <w:t>Vincum</w:t>
      </w:r>
      <w:proofErr w:type="spellEnd"/>
      <w:r>
        <w:t>”. This is clear reference to the current imperial works that are being conducted by Valentinian I at this time and give</w:t>
      </w:r>
      <w:r w:rsidR="006607AB">
        <w:t>s</w:t>
      </w:r>
      <w:r>
        <w:t xml:space="preserve"> a clear indication</w:t>
      </w:r>
      <w:r w:rsidR="006607AB">
        <w:t xml:space="preserve"> of from the start that this poem is not simply just him giving praise to a river but also has some political capacity.</w:t>
      </w:r>
      <w:r>
        <w:t xml:space="preserve"> </w:t>
      </w:r>
      <w:r w:rsidR="006607AB">
        <w:t>The fact that he has several potential political references at the beginning of the poem could be due to the emperor being in the audience and so he would need to ensure that there is a clarity of engagement and compliment to the imperial actions. This would be to create a more favourable reaction to the poem and to not displease the person that he works for, which would be the emperor himself.</w:t>
      </w:r>
      <w:r w:rsidR="007605D5">
        <w:t xml:space="preserve"> These references also stand out as they are the only </w:t>
      </w:r>
      <w:proofErr w:type="gramStart"/>
      <w:r w:rsidR="007605D5">
        <w:t>clear cut</w:t>
      </w:r>
      <w:proofErr w:type="gramEnd"/>
      <w:r w:rsidR="007605D5">
        <w:t xml:space="preserve"> ones other than at the end of the poem when Ausonius mention the consulship and children of Valentinian I. this may well be suggestive of that they were placed here to make it seem like he engage the imperial voice while he would have rather just told his fantastical description of the Moselle. </w:t>
      </w:r>
    </w:p>
    <w:p w14:paraId="335F23E2" w14:textId="402BB258" w:rsidR="001D12EB" w:rsidRDefault="007605D5">
      <w:r>
        <w:t>The description given to the Moselle almost immediately becomes that of</w:t>
      </w:r>
      <w:r w:rsidR="004F4B39">
        <w:t xml:space="preserve"> a</w:t>
      </w:r>
      <w:r>
        <w:t xml:space="preserve"> slight fantasy with</w:t>
      </w:r>
      <w:r w:rsidR="004F4B39">
        <w:t xml:space="preserve"> Ausonius giving it the features “</w:t>
      </w:r>
      <w:r w:rsidR="004F4B39">
        <w:t>ship-bearing as the sea, with sloping waters gliding as a river, and with thy crystal depths the peer of lakes, brooks thou canst match for hurrying flow, cool springs surpass for limpid draughts; one, thou hast all that belongs to springs, brooks, rivers, lakes, and tidal Ocean with his ebb and flow</w:t>
      </w:r>
      <w:r w:rsidR="004F4B39">
        <w:t>”</w:t>
      </w:r>
      <w:r w:rsidR="0060618C">
        <w:t>.</w:t>
      </w:r>
      <w:r w:rsidR="004F4B39">
        <w:t xml:space="preserve"> </w:t>
      </w:r>
      <w:r w:rsidR="0060618C">
        <w:t>This is a feature of almost every normal type of body of water and so it is making the Moselle into something greater than what it is. He is increasing the glory and value of this river to be above and inclusive of the glory that the other bodies of water a due. The boosting of glory for the Moselle continues with the fact that nothing can stop it, “</w:t>
      </w:r>
      <w:r w:rsidR="0060618C">
        <w:t>not any murmurs of the wind nor check from hidden rocks; nor by foaming shallows art thou forced to hurry on in swirling rapids, no eyots hast thou jutting in midstream to thwart thy course—lest the glory of thy due title be impaired, if any isle sunder and stem thy flow</w:t>
      </w:r>
      <w:r w:rsidR="0060618C">
        <w:t>”. Ausonius makes the river into an unstoppable flow that is not affected by any type of obstruction that may occur in normal rivers. This creates it into a sort of perfect river that has no troubles and flows as it pleases</w:t>
      </w:r>
      <w:r w:rsidR="00A824F8">
        <w:t>.</w:t>
      </w:r>
      <w:r w:rsidR="0060618C">
        <w:t xml:space="preserve"> </w:t>
      </w:r>
      <w:r>
        <w:t xml:space="preserve"> </w:t>
      </w:r>
      <w:r w:rsidR="006607AB">
        <w:t xml:space="preserve"> </w:t>
      </w:r>
    </w:p>
    <w:p w14:paraId="237264BA" w14:textId="768EE8C4" w:rsidR="000142D8" w:rsidRDefault="000142D8"/>
    <w:p w14:paraId="6384A60E" w14:textId="6B1BC080" w:rsidR="000142D8" w:rsidRPr="000142D8" w:rsidRDefault="000142D8">
      <w:pPr>
        <w:rPr>
          <w:sz w:val="32"/>
          <w:szCs w:val="32"/>
        </w:rPr>
      </w:pPr>
      <w:r w:rsidRPr="000142D8">
        <w:rPr>
          <w:sz w:val="32"/>
          <w:szCs w:val="32"/>
        </w:rPr>
        <w:t>Bibliography:</w:t>
      </w:r>
    </w:p>
    <w:p w14:paraId="2E14EAD2" w14:textId="1067A2EF" w:rsidR="00906D16" w:rsidRPr="00906D16" w:rsidRDefault="00906D16">
      <w:pPr>
        <w:rPr>
          <w:rStyle w:val="activitytitle"/>
          <w:rFonts w:cstheme="minorHAnsi"/>
          <w:sz w:val="28"/>
          <w:szCs w:val="28"/>
          <w:shd w:val="clear" w:color="auto" w:fill="FFFFFF"/>
        </w:rPr>
      </w:pPr>
      <w:r w:rsidRPr="00906D16">
        <w:rPr>
          <w:rStyle w:val="activitytitle"/>
          <w:rFonts w:cstheme="minorHAnsi"/>
          <w:sz w:val="28"/>
          <w:szCs w:val="28"/>
          <w:shd w:val="clear" w:color="auto" w:fill="FFFFFF"/>
        </w:rPr>
        <w:t>Primary:</w:t>
      </w:r>
    </w:p>
    <w:p w14:paraId="271806B3" w14:textId="6097794A" w:rsidR="00906D16" w:rsidRDefault="00906D16">
      <w:pPr>
        <w:rPr>
          <w:rStyle w:val="activitytitle"/>
          <w:rFonts w:cstheme="minorHAnsi"/>
          <w:shd w:val="clear" w:color="auto" w:fill="FFFFFF"/>
        </w:rPr>
      </w:pPr>
      <w:r>
        <w:rPr>
          <w:rStyle w:val="activitytitle"/>
          <w:rFonts w:cstheme="minorHAnsi"/>
          <w:shd w:val="clear" w:color="auto" w:fill="FFFFFF"/>
        </w:rPr>
        <w:t>Ausonius, Moselle. LOEB Classical Library translation</w:t>
      </w:r>
    </w:p>
    <w:p w14:paraId="2EDEC8C3" w14:textId="77777777" w:rsidR="00906D16" w:rsidRDefault="00906D16">
      <w:pPr>
        <w:rPr>
          <w:rStyle w:val="activitytitle"/>
          <w:rFonts w:cstheme="minorHAnsi"/>
          <w:sz w:val="28"/>
          <w:szCs w:val="28"/>
          <w:shd w:val="clear" w:color="auto" w:fill="FFFFFF"/>
        </w:rPr>
      </w:pPr>
    </w:p>
    <w:p w14:paraId="14DCE773" w14:textId="5BD2539E" w:rsidR="00906D16" w:rsidRPr="00906D16" w:rsidRDefault="00906D16">
      <w:pPr>
        <w:rPr>
          <w:rStyle w:val="activitytitle"/>
          <w:rFonts w:cstheme="minorHAnsi"/>
          <w:sz w:val="28"/>
          <w:szCs w:val="28"/>
          <w:shd w:val="clear" w:color="auto" w:fill="FFFFFF"/>
        </w:rPr>
      </w:pPr>
      <w:r w:rsidRPr="00906D16">
        <w:rPr>
          <w:rStyle w:val="activitytitle"/>
          <w:rFonts w:cstheme="minorHAnsi"/>
          <w:sz w:val="28"/>
          <w:szCs w:val="28"/>
          <w:shd w:val="clear" w:color="auto" w:fill="FFFFFF"/>
        </w:rPr>
        <w:t>Secondary:</w:t>
      </w:r>
    </w:p>
    <w:p w14:paraId="63ABE08D" w14:textId="1E21E1B7" w:rsidR="000142D8" w:rsidRPr="000142D8" w:rsidRDefault="000142D8">
      <w:pPr>
        <w:rPr>
          <w:rFonts w:cstheme="minorHAnsi"/>
        </w:rPr>
      </w:pPr>
      <w:r w:rsidRPr="000142D8">
        <w:rPr>
          <w:rStyle w:val="activitytitle"/>
          <w:rFonts w:cstheme="minorHAnsi"/>
          <w:shd w:val="clear" w:color="auto" w:fill="FFFFFF"/>
        </w:rPr>
        <w:t>Drinkwater, J. F. 1999. “Re-dating Ausonius’ War Poetry.” American Journal of Philology 120(3): 443–452</w:t>
      </w:r>
      <w:r w:rsidR="00F979B2" w:rsidRPr="000142D8">
        <w:rPr>
          <w:rFonts w:cstheme="minorHAnsi"/>
        </w:rPr>
        <w:t xml:space="preserve"> </w:t>
      </w:r>
    </w:p>
    <w:p w14:paraId="032F355D" w14:textId="1AE169FD" w:rsidR="00321CBE" w:rsidRDefault="000142D8">
      <w:r w:rsidRPr="000142D8">
        <w:lastRenderedPageBreak/>
        <w:t>Strouse, A. W. 2014 ‘</w:t>
      </w:r>
      <w:r w:rsidRPr="000142D8">
        <w:rPr>
          <w:i/>
          <w:iCs/>
        </w:rPr>
        <w:t xml:space="preserve">In </w:t>
      </w:r>
      <w:proofErr w:type="spellStart"/>
      <w:r w:rsidRPr="000142D8">
        <w:rPr>
          <w:i/>
          <w:iCs/>
        </w:rPr>
        <w:t>te</w:t>
      </w:r>
      <w:proofErr w:type="spellEnd"/>
      <w:r w:rsidRPr="000142D8">
        <w:rPr>
          <w:i/>
          <w:iCs/>
        </w:rPr>
        <w:t xml:space="preserve"> </w:t>
      </w:r>
      <w:proofErr w:type="spellStart"/>
      <w:r w:rsidRPr="000142D8">
        <w:rPr>
          <w:i/>
          <w:iCs/>
        </w:rPr>
        <w:t>consumere</w:t>
      </w:r>
      <w:proofErr w:type="spellEnd"/>
      <w:r w:rsidRPr="000142D8">
        <w:rPr>
          <w:i/>
          <w:iCs/>
        </w:rPr>
        <w:t xml:space="preserve"> </w:t>
      </w:r>
      <w:proofErr w:type="spellStart"/>
      <w:r w:rsidRPr="000142D8">
        <w:rPr>
          <w:i/>
          <w:iCs/>
        </w:rPr>
        <w:t>nomen</w:t>
      </w:r>
      <w:proofErr w:type="spellEnd"/>
      <w:r w:rsidRPr="000142D8">
        <w:t xml:space="preserve">: The Politics of Naming in Ausonius’s </w:t>
      </w:r>
      <w:proofErr w:type="spellStart"/>
      <w:r w:rsidRPr="000142D8">
        <w:rPr>
          <w:i/>
          <w:iCs/>
        </w:rPr>
        <w:t>Mosella</w:t>
      </w:r>
      <w:proofErr w:type="spellEnd"/>
      <w:r w:rsidRPr="000142D8">
        <w:rPr>
          <w:i/>
          <w:iCs/>
        </w:rPr>
        <w:t xml:space="preserve">’ Journal of </w:t>
      </w:r>
      <w:proofErr w:type="gramStart"/>
      <w:r w:rsidRPr="000142D8">
        <w:rPr>
          <w:i/>
          <w:iCs/>
        </w:rPr>
        <w:t xml:space="preserve">onomastics </w:t>
      </w:r>
      <w:r w:rsidRPr="000142D8">
        <w:t xml:space="preserve"> 62.4</w:t>
      </w:r>
      <w:proofErr w:type="gramEnd"/>
      <w:r w:rsidRPr="000142D8">
        <w:t>: 189-201</w:t>
      </w:r>
      <w:r w:rsidR="00D85CAE">
        <w:t xml:space="preserve">  </w:t>
      </w:r>
      <w:r w:rsidR="00AD58A9">
        <w:t xml:space="preserve"> </w:t>
      </w:r>
    </w:p>
    <w:p w14:paraId="2186CACD" w14:textId="77777777" w:rsidR="005F6F1A" w:rsidRDefault="000142D8">
      <w:r>
        <w:t>Green</w:t>
      </w:r>
      <w:r w:rsidR="005F6F1A">
        <w:t>, 1991, commentary notes on Ausonius’ The Moselle</w:t>
      </w:r>
    </w:p>
    <w:p w14:paraId="6080F583" w14:textId="77777777" w:rsidR="005F6F1A" w:rsidRDefault="005F6F1A">
      <w:r w:rsidRPr="005F6F1A">
        <w:t xml:space="preserve">Sivan 1993 </w:t>
      </w:r>
      <w:r w:rsidRPr="005F6F1A">
        <w:rPr>
          <w:i/>
          <w:iCs/>
        </w:rPr>
        <w:t>Ausonius of Bordeaux</w:t>
      </w:r>
      <w:r w:rsidRPr="005F6F1A">
        <w:t>: 107</w:t>
      </w:r>
    </w:p>
    <w:p w14:paraId="5712F08D" w14:textId="77777777" w:rsidR="005F6F1A" w:rsidRPr="005F6F1A" w:rsidRDefault="005F6F1A" w:rsidP="005F6F1A">
      <w:pPr>
        <w:spacing w:after="0" w:line="240" w:lineRule="auto"/>
        <w:rPr>
          <w:rFonts w:eastAsia="Times New Roman" w:cstheme="minorHAnsi"/>
          <w:lang w:eastAsia="en-GB"/>
        </w:rPr>
      </w:pPr>
      <w:r w:rsidRPr="005F6F1A">
        <w:rPr>
          <w:rFonts w:eastAsia="Times New Roman" w:cstheme="minorHAnsi"/>
          <w:lang w:eastAsia="en-GB"/>
        </w:rPr>
        <w:t xml:space="preserve">Sivan, H. S. (1990). Redating Ausonius’ Moselle. </w:t>
      </w:r>
      <w:r w:rsidRPr="005F6F1A">
        <w:rPr>
          <w:rFonts w:eastAsia="Times New Roman" w:cstheme="minorHAnsi"/>
          <w:i/>
          <w:iCs/>
          <w:lang w:eastAsia="en-GB"/>
        </w:rPr>
        <w:t>The American Journal of Philology</w:t>
      </w:r>
      <w:r w:rsidRPr="005F6F1A">
        <w:rPr>
          <w:rFonts w:eastAsia="Times New Roman" w:cstheme="minorHAnsi"/>
          <w:lang w:eastAsia="en-GB"/>
        </w:rPr>
        <w:t xml:space="preserve">, </w:t>
      </w:r>
      <w:r w:rsidRPr="005F6F1A">
        <w:rPr>
          <w:rFonts w:eastAsia="Times New Roman" w:cstheme="minorHAnsi"/>
          <w:i/>
          <w:iCs/>
          <w:lang w:eastAsia="en-GB"/>
        </w:rPr>
        <w:t>111</w:t>
      </w:r>
      <w:r w:rsidRPr="005F6F1A">
        <w:rPr>
          <w:rFonts w:eastAsia="Times New Roman" w:cstheme="minorHAnsi"/>
          <w:lang w:eastAsia="en-GB"/>
        </w:rPr>
        <w:t>(3), 383–394. https://doi.org/10.2307/295159</w:t>
      </w:r>
    </w:p>
    <w:p w14:paraId="66E9157B" w14:textId="77777777" w:rsidR="00906D16" w:rsidRDefault="00906D16">
      <w:pPr>
        <w:rPr>
          <w:rStyle w:val="activitytitle"/>
          <w:rFonts w:cstheme="minorHAnsi"/>
          <w:shd w:val="clear" w:color="auto" w:fill="FFFFFF"/>
        </w:rPr>
      </w:pPr>
    </w:p>
    <w:p w14:paraId="54ABC575" w14:textId="74D33D71" w:rsidR="000142D8" w:rsidRPr="00B054CD" w:rsidRDefault="00B054CD">
      <w:pPr>
        <w:rPr>
          <w:rFonts w:cstheme="minorHAnsi"/>
        </w:rPr>
      </w:pPr>
      <w:r w:rsidRPr="00B054CD">
        <w:rPr>
          <w:rStyle w:val="activitytitle"/>
          <w:rFonts w:cstheme="minorHAnsi"/>
          <w:shd w:val="clear" w:color="auto" w:fill="FFFFFF"/>
        </w:rPr>
        <w:t xml:space="preserve">Fisher, Geoffrey John (1981) Studies in fourth and fifth century Latin literature with </w:t>
      </w:r>
      <w:proofErr w:type="gramStart"/>
      <w:r w:rsidRPr="00B054CD">
        <w:rPr>
          <w:rStyle w:val="activitytitle"/>
          <w:rFonts w:cstheme="minorHAnsi"/>
          <w:shd w:val="clear" w:color="auto" w:fill="FFFFFF"/>
        </w:rPr>
        <w:t>particular reference</w:t>
      </w:r>
      <w:proofErr w:type="gramEnd"/>
      <w:r w:rsidRPr="00B054CD">
        <w:rPr>
          <w:rStyle w:val="activitytitle"/>
          <w:rFonts w:cstheme="minorHAnsi"/>
          <w:shd w:val="clear" w:color="auto" w:fill="FFFFFF"/>
        </w:rPr>
        <w:t xml:space="preserve"> to Ausonius. (</w:t>
      </w:r>
      <w:proofErr w:type="gramStart"/>
      <w:r w:rsidRPr="00B054CD">
        <w:rPr>
          <w:rStyle w:val="activitytitle"/>
          <w:rFonts w:cstheme="minorHAnsi"/>
          <w:shd w:val="clear" w:color="auto" w:fill="FFFFFF"/>
        </w:rPr>
        <w:t>diss</w:t>
      </w:r>
      <w:proofErr w:type="gramEnd"/>
      <w:r w:rsidRPr="00B054CD">
        <w:rPr>
          <w:rStyle w:val="activitytitle"/>
          <w:rFonts w:cstheme="minorHAnsi"/>
          <w:shd w:val="clear" w:color="auto" w:fill="FFFFFF"/>
        </w:rPr>
        <w:t>, University of Southampton)</w:t>
      </w:r>
      <w:r w:rsidR="005F6F1A" w:rsidRPr="00B054CD">
        <w:rPr>
          <w:rFonts w:cstheme="minorHAnsi"/>
        </w:rPr>
        <w:t xml:space="preserve"> </w:t>
      </w:r>
    </w:p>
    <w:sectPr w:rsidR="000142D8" w:rsidRPr="00B05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782"/>
    <w:rsid w:val="000142D8"/>
    <w:rsid w:val="0009023C"/>
    <w:rsid w:val="000B5040"/>
    <w:rsid w:val="001A62ED"/>
    <w:rsid w:val="001D12EB"/>
    <w:rsid w:val="0020676F"/>
    <w:rsid w:val="002C5782"/>
    <w:rsid w:val="00321CBE"/>
    <w:rsid w:val="00401B6A"/>
    <w:rsid w:val="00492780"/>
    <w:rsid w:val="004C7A7F"/>
    <w:rsid w:val="004F4B39"/>
    <w:rsid w:val="00506D4E"/>
    <w:rsid w:val="005F6F1A"/>
    <w:rsid w:val="0060618C"/>
    <w:rsid w:val="006607AB"/>
    <w:rsid w:val="007605D5"/>
    <w:rsid w:val="007B262A"/>
    <w:rsid w:val="007F1581"/>
    <w:rsid w:val="008048D4"/>
    <w:rsid w:val="0081276D"/>
    <w:rsid w:val="008736DE"/>
    <w:rsid w:val="008A41D1"/>
    <w:rsid w:val="00906D16"/>
    <w:rsid w:val="009654A1"/>
    <w:rsid w:val="00A824F8"/>
    <w:rsid w:val="00AB5E62"/>
    <w:rsid w:val="00AD58A9"/>
    <w:rsid w:val="00B054CD"/>
    <w:rsid w:val="00B07199"/>
    <w:rsid w:val="00BA6AD8"/>
    <w:rsid w:val="00C80B33"/>
    <w:rsid w:val="00D85CAE"/>
    <w:rsid w:val="00E62386"/>
    <w:rsid w:val="00F979B2"/>
    <w:rsid w:val="00FE3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587B3"/>
  <w15:chartTrackingRefBased/>
  <w15:docId w15:val="{A2F25F1D-2283-416B-9F54-199BD2B6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ctivitytitle">
    <w:name w:val="activitytitle"/>
    <w:basedOn w:val="DefaultParagraphFont"/>
    <w:rsid w:val="000142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098145">
      <w:bodyDiv w:val="1"/>
      <w:marLeft w:val="0"/>
      <w:marRight w:val="0"/>
      <w:marTop w:val="0"/>
      <w:marBottom w:val="0"/>
      <w:divBdr>
        <w:top w:val="none" w:sz="0" w:space="0" w:color="auto"/>
        <w:left w:val="none" w:sz="0" w:space="0" w:color="auto"/>
        <w:bottom w:val="none" w:sz="0" w:space="0" w:color="auto"/>
        <w:right w:val="none" w:sz="0" w:space="0" w:color="auto"/>
      </w:divBdr>
      <w:divsChild>
        <w:div w:id="1821725176">
          <w:marLeft w:val="0"/>
          <w:marRight w:val="0"/>
          <w:marTop w:val="0"/>
          <w:marBottom w:val="0"/>
          <w:divBdr>
            <w:top w:val="none" w:sz="0" w:space="0" w:color="auto"/>
            <w:left w:val="none" w:sz="0" w:space="0" w:color="auto"/>
            <w:bottom w:val="none" w:sz="0" w:space="0" w:color="auto"/>
            <w:right w:val="none" w:sz="0" w:space="0" w:color="auto"/>
          </w:divBdr>
          <w:divsChild>
            <w:div w:id="9364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3</Pages>
  <Words>1237</Words>
  <Characters>7057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10</cp:revision>
  <dcterms:created xsi:type="dcterms:W3CDTF">2022-12-08T00:25:00Z</dcterms:created>
  <dcterms:modified xsi:type="dcterms:W3CDTF">2022-12-09T16:50:00Z</dcterms:modified>
</cp:coreProperties>
</file>