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8F36F" w14:textId="77777777" w:rsidR="00875986" w:rsidRDefault="00000000">
      <w:pPr>
        <w:spacing w:line="278" w:lineRule="auto"/>
        <w:jc w:val="center"/>
        <w:rPr>
          <w:color w:val="2F5496"/>
        </w:rPr>
      </w:pPr>
      <w:r>
        <w:rPr>
          <w:noProof/>
        </w:rPr>
        <w:drawing>
          <wp:inline distT="0" distB="0" distL="0" distR="0" wp14:anchorId="329CCE48" wp14:editId="44A25E32">
            <wp:extent cx="3268980" cy="1634490"/>
            <wp:effectExtent l="0" t="0" r="0" b="0"/>
            <wp:docPr id="1" name="image1.png"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0" name="image1.png" descr="Prifysgol Cymru Y Drindod Dewi Sant | University of Wales Trinity Saint  David - NPLD"/>
                    <pic:cNvPicPr preferRelativeResize="0"/>
                  </pic:nvPicPr>
                  <pic:blipFill>
                    <a:blip r:embed="rId6"/>
                    <a:srcRect/>
                    <a:stretch>
                      <a:fillRect/>
                    </a:stretch>
                  </pic:blipFill>
                  <pic:spPr>
                    <a:xfrm>
                      <a:off x="0" y="0"/>
                      <a:ext cx="3268980" cy="1634490"/>
                    </a:xfrm>
                    <a:prstGeom prst="rect">
                      <a:avLst/>
                    </a:prstGeom>
                    <a:ln/>
                  </pic:spPr>
                </pic:pic>
              </a:graphicData>
            </a:graphic>
          </wp:inline>
        </w:drawing>
      </w:r>
    </w:p>
    <w:p w14:paraId="47EFD585" w14:textId="77777777" w:rsidR="00875986" w:rsidRDefault="00875986">
      <w:pPr>
        <w:spacing w:line="278" w:lineRule="auto"/>
        <w:jc w:val="center"/>
        <w:rPr>
          <w:color w:val="2F5496"/>
        </w:rPr>
      </w:pPr>
    </w:p>
    <w:p w14:paraId="56DF343E" w14:textId="77777777" w:rsidR="00875986" w:rsidRDefault="00875986">
      <w:pPr>
        <w:spacing w:line="278" w:lineRule="auto"/>
        <w:jc w:val="center"/>
        <w:rPr>
          <w:color w:val="2F5496"/>
        </w:rPr>
      </w:pPr>
    </w:p>
    <w:p w14:paraId="4BE42210" w14:textId="77777777" w:rsidR="00875986" w:rsidRDefault="00875986">
      <w:pPr>
        <w:spacing w:line="278" w:lineRule="auto"/>
        <w:jc w:val="center"/>
        <w:rPr>
          <w:color w:val="2F5496"/>
        </w:rPr>
      </w:pPr>
    </w:p>
    <w:p w14:paraId="09FB9D1A" w14:textId="77777777" w:rsidR="00875986" w:rsidRDefault="00875986">
      <w:pPr>
        <w:spacing w:line="278" w:lineRule="auto"/>
        <w:jc w:val="center"/>
        <w:rPr>
          <w:color w:val="2F5496"/>
        </w:rPr>
      </w:pPr>
    </w:p>
    <w:p w14:paraId="14C6A765" w14:textId="77777777" w:rsidR="00875986" w:rsidRDefault="00000000">
      <w:pPr>
        <w:jc w:val="center"/>
        <w:rPr>
          <w:b/>
          <w:bCs/>
          <w:sz w:val="28"/>
          <w:szCs w:val="28"/>
        </w:rPr>
      </w:pPr>
      <w:r>
        <w:rPr>
          <w:b/>
          <w:bCs/>
          <w:sz w:val="28"/>
          <w:szCs w:val="28"/>
        </w:rPr>
        <w:t>Master of Business Administration</w:t>
      </w:r>
    </w:p>
    <w:p w14:paraId="241082F8" w14:textId="77777777" w:rsidR="00875986" w:rsidRDefault="00875986">
      <w:pPr>
        <w:jc w:val="center"/>
        <w:rPr>
          <w:b/>
          <w:bCs/>
          <w:sz w:val="28"/>
          <w:szCs w:val="28"/>
        </w:rPr>
      </w:pPr>
    </w:p>
    <w:p w14:paraId="287D1D31" w14:textId="77777777" w:rsidR="00875986" w:rsidRDefault="00000000">
      <w:pPr>
        <w:jc w:val="center"/>
        <w:rPr>
          <w:b/>
          <w:bCs/>
          <w:sz w:val="28"/>
          <w:szCs w:val="28"/>
        </w:rPr>
      </w:pPr>
      <w:r>
        <w:rPr>
          <w:b/>
          <w:bCs/>
          <w:sz w:val="28"/>
          <w:szCs w:val="28"/>
        </w:rPr>
        <w:t>Marketing Management (LCMB7024)</w:t>
      </w:r>
    </w:p>
    <w:p w14:paraId="62D5A402" w14:textId="77777777" w:rsidR="00875986" w:rsidRDefault="00875986">
      <w:pPr>
        <w:jc w:val="center"/>
        <w:rPr>
          <w:b/>
          <w:bCs/>
          <w:sz w:val="28"/>
          <w:szCs w:val="28"/>
        </w:rPr>
      </w:pPr>
    </w:p>
    <w:p w14:paraId="3901DE4F" w14:textId="77777777" w:rsidR="00875986" w:rsidRDefault="00000000">
      <w:pPr>
        <w:jc w:val="center"/>
        <w:rPr>
          <w:b/>
          <w:bCs/>
          <w:sz w:val="28"/>
          <w:szCs w:val="28"/>
        </w:rPr>
      </w:pPr>
      <w:r>
        <w:rPr>
          <w:b/>
          <w:bCs/>
          <w:sz w:val="28"/>
          <w:szCs w:val="28"/>
        </w:rPr>
        <w:t>Assessment Component 1: Marketing Environment Analysis</w:t>
      </w:r>
    </w:p>
    <w:p w14:paraId="17BA40A9" w14:textId="77777777" w:rsidR="00875986" w:rsidRDefault="00875986">
      <w:pPr>
        <w:jc w:val="center"/>
        <w:rPr>
          <w:b/>
          <w:bCs/>
        </w:rPr>
      </w:pPr>
    </w:p>
    <w:p w14:paraId="5F4F6391" w14:textId="77777777" w:rsidR="00875986" w:rsidRDefault="00000000">
      <w:pPr>
        <w:jc w:val="center"/>
        <w:rPr>
          <w:b/>
          <w:bCs/>
        </w:rPr>
      </w:pPr>
      <w:r>
        <w:rPr>
          <w:b/>
          <w:bCs/>
        </w:rPr>
        <w:t xml:space="preserve">Taonga Kaonga </w:t>
      </w:r>
      <w:proofErr w:type="spellStart"/>
      <w:r>
        <w:rPr>
          <w:b/>
          <w:bCs/>
        </w:rPr>
        <w:t>Sobere-Snithers</w:t>
      </w:r>
      <w:proofErr w:type="spellEnd"/>
    </w:p>
    <w:p w14:paraId="03AB9928" w14:textId="77777777" w:rsidR="00875986" w:rsidRDefault="00875986">
      <w:pPr>
        <w:jc w:val="center"/>
        <w:rPr>
          <w:b/>
          <w:bCs/>
        </w:rPr>
      </w:pPr>
    </w:p>
    <w:p w14:paraId="691F4116" w14:textId="77777777" w:rsidR="00875986" w:rsidRDefault="00875986">
      <w:pPr>
        <w:jc w:val="center"/>
      </w:pPr>
    </w:p>
    <w:p w14:paraId="6F10D39D" w14:textId="77777777" w:rsidR="00875986" w:rsidRDefault="00875986" w:rsidP="00BE3350">
      <w:pPr>
        <w:jc w:val="center"/>
        <w:rPr>
          <w:b/>
          <w:bCs/>
        </w:rPr>
      </w:pPr>
    </w:p>
    <w:p w14:paraId="73931A14" w14:textId="60616757" w:rsidR="00875986" w:rsidRDefault="00000000" w:rsidP="00BE3350">
      <w:pPr>
        <w:jc w:val="center"/>
        <w:rPr>
          <w:b/>
          <w:bCs/>
        </w:rPr>
      </w:pPr>
      <w:r>
        <w:rPr>
          <w:b/>
          <w:bCs/>
        </w:rPr>
        <w:t xml:space="preserve">Student Name: Sujal </w:t>
      </w:r>
      <w:proofErr w:type="spellStart"/>
      <w:r>
        <w:rPr>
          <w:b/>
          <w:bCs/>
        </w:rPr>
        <w:t>joshi</w:t>
      </w:r>
      <w:proofErr w:type="spellEnd"/>
    </w:p>
    <w:p w14:paraId="6D5C6EC5" w14:textId="77777777" w:rsidR="00875986" w:rsidRDefault="00000000" w:rsidP="00BE3350">
      <w:pPr>
        <w:jc w:val="center"/>
        <w:rPr>
          <w:b/>
          <w:bCs/>
        </w:rPr>
      </w:pPr>
      <w:r>
        <w:rPr>
          <w:b/>
          <w:bCs/>
        </w:rPr>
        <w:t>Student ID: 2616040</w:t>
      </w:r>
    </w:p>
    <w:p w14:paraId="0E125F00" w14:textId="77777777" w:rsidR="00875986" w:rsidRDefault="00000000" w:rsidP="00BE3350">
      <w:pPr>
        <w:jc w:val="center"/>
      </w:pPr>
      <w:r>
        <w:rPr>
          <w:b/>
          <w:bCs/>
        </w:rPr>
        <w:t>Word Count:</w:t>
      </w:r>
      <w:r>
        <w:t xml:space="preserve"> 2647</w:t>
      </w:r>
    </w:p>
    <w:p w14:paraId="71D337F9" w14:textId="77777777" w:rsidR="00875986" w:rsidRDefault="00000000" w:rsidP="00BE3350">
      <w:pPr>
        <w:jc w:val="center"/>
        <w:rPr>
          <w:b/>
          <w:bCs/>
        </w:rPr>
      </w:pPr>
      <w:r>
        <w:rPr>
          <w:b/>
          <w:bCs/>
        </w:rPr>
        <w:t>Submission Date: 22/10/2026</w:t>
      </w:r>
    </w:p>
    <w:p w14:paraId="4F173568" w14:textId="77777777" w:rsidR="00875986" w:rsidRDefault="00000000">
      <w:pPr>
        <w:spacing w:line="278" w:lineRule="auto"/>
        <w:jc w:val="left"/>
      </w:pPr>
      <w:r>
        <w:br w:type="page"/>
      </w:r>
    </w:p>
    <w:p w14:paraId="4868AAA0" w14:textId="77777777" w:rsidR="00875986" w:rsidRDefault="00875986"/>
    <w:p w14:paraId="72669FC7" w14:textId="77777777" w:rsidR="00875986" w:rsidRDefault="00000000">
      <w:pPr>
        <w:keepNext/>
        <w:keepLines/>
        <w:pBdr>
          <w:top w:val="nil"/>
          <w:left w:val="nil"/>
          <w:bottom w:val="nil"/>
          <w:right w:val="nil"/>
          <w:between w:val="nil"/>
        </w:pBdr>
        <w:spacing w:before="240" w:after="0" w:line="259" w:lineRule="auto"/>
        <w:jc w:val="center"/>
        <w:rPr>
          <w:rFonts w:ascii="Calibri" w:eastAsia="Calibri" w:hAnsi="Calibri" w:cs="Calibri"/>
          <w:color w:val="2F5496"/>
        </w:rPr>
      </w:pPr>
      <w:r>
        <w:rPr>
          <w:rFonts w:ascii="Calibri" w:eastAsia="Calibri" w:hAnsi="Calibri" w:cs="Calibri"/>
          <w:color w:val="2F5496"/>
        </w:rPr>
        <w:t>Table of Contents</w:t>
      </w:r>
    </w:p>
    <w:sdt>
      <w:sdtPr>
        <w:id w:val="-1519246349"/>
        <w:docPartObj>
          <w:docPartGallery w:val="Table of Contents"/>
          <w:docPartUnique/>
        </w:docPartObj>
      </w:sdtPr>
      <w:sdtContent>
        <w:p w14:paraId="660C8575"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mpzeza0mhuj">
            <w:r>
              <w:rPr>
                <w:color w:val="000000"/>
              </w:rPr>
              <w:t>1. Introduction</w:t>
            </w:r>
            <w:r>
              <w:rPr>
                <w:color w:val="000000"/>
              </w:rPr>
              <w:tab/>
              <w:t>3</w:t>
            </w:r>
          </w:hyperlink>
        </w:p>
        <w:p w14:paraId="0968D690"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evky4xs7rik9">
            <w:r>
              <w:rPr>
                <w:color w:val="000000"/>
              </w:rPr>
              <w:t>2. Marketing Environment Analysis</w:t>
            </w:r>
            <w:r>
              <w:rPr>
                <w:color w:val="000000"/>
              </w:rPr>
              <w:tab/>
              <w:t>3</w:t>
            </w:r>
          </w:hyperlink>
        </w:p>
        <w:p w14:paraId="15FC0BDC" w14:textId="77777777" w:rsidR="00875986"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kfg45d9rtkhn">
            <w:r>
              <w:rPr>
                <w:color w:val="000000"/>
              </w:rPr>
              <w:t>2.1 Political Actor</w:t>
            </w:r>
            <w:r>
              <w:rPr>
                <w:color w:val="000000"/>
              </w:rPr>
              <w:tab/>
              <w:t>3</w:t>
            </w:r>
          </w:hyperlink>
        </w:p>
        <w:p w14:paraId="015FBD95" w14:textId="77777777" w:rsidR="00875986"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yaly3difuqno">
            <w:r>
              <w:rPr>
                <w:color w:val="000000"/>
              </w:rPr>
              <w:t>2.2 Technological Actor</w:t>
            </w:r>
            <w:r>
              <w:rPr>
                <w:color w:val="000000"/>
              </w:rPr>
              <w:tab/>
              <w:t>4</w:t>
            </w:r>
          </w:hyperlink>
        </w:p>
        <w:p w14:paraId="50F8BB9E" w14:textId="77777777" w:rsidR="00875986"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i4cxm5tpjzd">
            <w:r>
              <w:rPr>
                <w:color w:val="000000"/>
              </w:rPr>
              <w:t>2.3 Environmental Actor</w:t>
            </w:r>
            <w:r>
              <w:rPr>
                <w:color w:val="000000"/>
              </w:rPr>
              <w:tab/>
              <w:t>6</w:t>
            </w:r>
          </w:hyperlink>
        </w:p>
        <w:p w14:paraId="714288F8"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3hsjce8kuvy2">
            <w:r>
              <w:rPr>
                <w:color w:val="000000"/>
              </w:rPr>
              <w:t>3. Strategic Growth and Competitive Positioning</w:t>
            </w:r>
            <w:r>
              <w:rPr>
                <w:color w:val="000000"/>
              </w:rPr>
              <w:tab/>
              <w:t>7</w:t>
            </w:r>
          </w:hyperlink>
        </w:p>
        <w:p w14:paraId="208D7EF8" w14:textId="77777777" w:rsidR="00875986"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dkaal1y2z4b">
            <w:r>
              <w:rPr>
                <w:color w:val="000000"/>
              </w:rPr>
              <w:t>3.1. Ansoff Matrix</w:t>
            </w:r>
            <w:r>
              <w:rPr>
                <w:color w:val="000000"/>
              </w:rPr>
              <w:tab/>
              <w:t>7</w:t>
            </w:r>
          </w:hyperlink>
        </w:p>
        <w:p w14:paraId="6F4CA0B8" w14:textId="77777777" w:rsidR="00875986" w:rsidRDefault="00000000">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c85uapgcu60t">
            <w:r>
              <w:rPr>
                <w:color w:val="000000"/>
              </w:rPr>
              <w:t>3.2. Porter’s Generic Strategies</w:t>
            </w:r>
            <w:r>
              <w:rPr>
                <w:color w:val="000000"/>
              </w:rPr>
              <w:tab/>
              <w:t>8</w:t>
            </w:r>
          </w:hyperlink>
        </w:p>
        <w:p w14:paraId="69BEAEA0"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kadpbc6b50yz">
            <w:r>
              <w:rPr>
                <w:color w:val="000000"/>
              </w:rPr>
              <w:t>4. Managerial and Professional Reflection</w:t>
            </w:r>
            <w:r>
              <w:rPr>
                <w:color w:val="000000"/>
              </w:rPr>
              <w:tab/>
              <w:t>9</w:t>
            </w:r>
          </w:hyperlink>
        </w:p>
        <w:p w14:paraId="533E0CA9"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o4md5b4bf51n">
            <w:r>
              <w:rPr>
                <w:color w:val="000000"/>
              </w:rPr>
              <w:t>5. Conclusion</w:t>
            </w:r>
            <w:r>
              <w:rPr>
                <w:color w:val="000000"/>
              </w:rPr>
              <w:tab/>
              <w:t>10</w:t>
            </w:r>
          </w:hyperlink>
        </w:p>
        <w:p w14:paraId="0E7895C0" w14:textId="77777777" w:rsidR="00875986" w:rsidRDefault="00000000">
          <w:pPr>
            <w:pBdr>
              <w:top w:val="nil"/>
              <w:left w:val="nil"/>
              <w:bottom w:val="nil"/>
              <w:right w:val="nil"/>
              <w:between w:val="nil"/>
            </w:pBdr>
            <w:tabs>
              <w:tab w:val="right" w:leader="dot" w:pos="9016"/>
            </w:tabs>
            <w:spacing w:after="100"/>
            <w:rPr>
              <w:rFonts w:ascii="Calibri" w:eastAsia="Calibri" w:hAnsi="Calibri" w:cs="Calibri"/>
              <w:color w:val="000000"/>
            </w:rPr>
          </w:pPr>
          <w:hyperlink w:anchor="_4oigmi53pn0e">
            <w:r>
              <w:rPr>
                <w:color w:val="000000"/>
              </w:rPr>
              <w:t>6. References</w:t>
            </w:r>
            <w:r>
              <w:rPr>
                <w:color w:val="000000"/>
              </w:rPr>
              <w:tab/>
              <w:t>12</w:t>
            </w:r>
          </w:hyperlink>
        </w:p>
        <w:p w14:paraId="43159EDF" w14:textId="77777777" w:rsidR="00875986" w:rsidRDefault="00000000">
          <w:r>
            <w:fldChar w:fldCharType="end"/>
          </w:r>
        </w:p>
      </w:sdtContent>
    </w:sdt>
    <w:p w14:paraId="2F7CACBA" w14:textId="77777777" w:rsidR="00875986" w:rsidRDefault="00875986">
      <w:pPr>
        <w:spacing w:line="278" w:lineRule="auto"/>
        <w:jc w:val="left"/>
        <w:rPr>
          <w:b/>
          <w:bCs/>
        </w:rPr>
      </w:pPr>
    </w:p>
    <w:p w14:paraId="5CFB1BA2" w14:textId="77777777" w:rsidR="00875986" w:rsidRDefault="00000000">
      <w:pPr>
        <w:spacing w:line="278" w:lineRule="auto"/>
        <w:jc w:val="left"/>
        <w:rPr>
          <w:b/>
          <w:bCs/>
        </w:rPr>
      </w:pPr>
      <w:r>
        <w:br w:type="page"/>
      </w:r>
    </w:p>
    <w:p w14:paraId="285FFB4E" w14:textId="77777777" w:rsidR="00875986" w:rsidRDefault="00000000">
      <w:pPr>
        <w:pStyle w:val="Heading1"/>
      </w:pPr>
      <w:bookmarkStart w:id="0" w:name="_mpzeza0mhuj" w:colFirst="0" w:colLast="0"/>
      <w:bookmarkEnd w:id="0"/>
      <w:r>
        <w:lastRenderedPageBreak/>
        <w:t>1. Introduction</w:t>
      </w:r>
    </w:p>
    <w:p w14:paraId="0538B6EE" w14:textId="77777777" w:rsidR="00875986" w:rsidRDefault="00000000">
      <w:r>
        <w:t>Tata Steel Limited is a steel manufacturing company with its headquarters in Mumbai, India. It is a part of the Tata Group. With a crude steel capacity of more than 35 million tonnes per annum, it is one of the most geographically diversified steel producers in the world, spread across five continents with more than 78,000 employees (Tata Steel, 2026). This report analyses the factors driving its shift towards low-carbon products, along with recommendations for growth.</w:t>
      </w:r>
    </w:p>
    <w:p w14:paraId="6BCE88E6" w14:textId="77777777" w:rsidR="00875986" w:rsidRDefault="00000000">
      <w:pPr>
        <w:pStyle w:val="Heading1"/>
      </w:pPr>
      <w:bookmarkStart w:id="1" w:name="_evky4xs7rik9" w:colFirst="0" w:colLast="0"/>
      <w:bookmarkEnd w:id="1"/>
      <w:r>
        <w:t>2. Marketing Environment Analysis</w:t>
      </w:r>
    </w:p>
    <w:p w14:paraId="6D66C17C" w14:textId="77777777" w:rsidR="00875986" w:rsidRDefault="00000000">
      <w:r>
        <w:t>Political, technological, and environmental factors affect the organisation in its adoption of sustainability.</w:t>
      </w:r>
    </w:p>
    <w:p w14:paraId="1A199B79" w14:textId="77777777" w:rsidR="00875986" w:rsidRDefault="00000000">
      <w:pPr>
        <w:pStyle w:val="Heading2"/>
      </w:pPr>
      <w:bookmarkStart w:id="2" w:name="_kfg45d9rtkhn" w:colFirst="0" w:colLast="0"/>
      <w:bookmarkEnd w:id="2"/>
      <w:r>
        <w:t>2.1 Political Actor</w:t>
      </w:r>
    </w:p>
    <w:p w14:paraId="636E3A4F" w14:textId="77777777" w:rsidR="00875986" w:rsidRDefault="00000000">
      <w:r>
        <w:t xml:space="preserve">The regulatory environment plays a significant role in Tata Steel's business and strategy in foreign markets. The European Union (EU) Carbon Border Adjustment Mechanism (CBAM) places carbon costs on imports and thus incentivizes steel producers to lower emissions and increase transparency (Yadav, 2026). As a result, Tata Steel has invested in reducing carbon emissions, such as the use of Electric Arc Furnaces (EAFs) and Direct Reduced Iron (DRI) with hydrogen. </w:t>
      </w:r>
    </w:p>
    <w:p w14:paraId="16BFE23C" w14:textId="77777777" w:rsidR="00875986" w:rsidRDefault="00000000">
      <w:r>
        <w:t xml:space="preserve">Regulatory compliance has come into the spotlight as a critical aspect of the UK's decarbonisation strategy, with changes underway in its production facilities in the UK and Netherlands, showcasing the increasing significance of this issue (Kumawat and </w:t>
      </w:r>
      <w:proofErr w:type="spellStart"/>
      <w:r>
        <w:t>Bhanawat</w:t>
      </w:r>
      <w:proofErr w:type="spellEnd"/>
      <w:r>
        <w:t xml:space="preserve">, 2025). </w:t>
      </w:r>
    </w:p>
    <w:p w14:paraId="5A56E319" w14:textId="77777777" w:rsidR="00875986" w:rsidRDefault="00000000">
      <w:r>
        <w:t>Its furnace at Ludhiana in Punjab, which burns scrap, could help to cut emissions from steel production for export. But its capacity is still lower than the level of exports to the EU which is around 0.9 million tonnes, suggesting a supply gap. Monitoring, reporting and verification is therefore critical to showing emissions performance, and to controlling risk of regulatory failure (Sandbag, 2026).</w:t>
      </w:r>
    </w:p>
    <w:p w14:paraId="525324FA" w14:textId="77777777" w:rsidR="00875986" w:rsidRDefault="00000000">
      <w:r>
        <w:t xml:space="preserve">Tata Steel has improved its circular production potential with the installation of a 0.5-million-tonne steel recycling plant in Rohtak, Haryana, in 2021 (Yadav, 2026). It is also implementing carbon governance with green procurement, biochar and carbon capture pilots and internal carbon pricing to emphasise investments with lower carbon impacts. The Internet of Things and blockchain technology and artificial intelligence </w:t>
      </w:r>
      <w:r>
        <w:lastRenderedPageBreak/>
        <w:t xml:space="preserve">(AI) could further enhance emissions monitoring and transparency and prepare for regulatory audit (Kumawat and </w:t>
      </w:r>
      <w:proofErr w:type="spellStart"/>
      <w:r>
        <w:t>Bhanawat</w:t>
      </w:r>
      <w:proofErr w:type="spellEnd"/>
      <w:r>
        <w:t>, 2025).</w:t>
      </w:r>
    </w:p>
    <w:p w14:paraId="5ABE5E10" w14:textId="77777777" w:rsidR="00875986" w:rsidRDefault="00000000">
      <w:r>
        <w:t xml:space="preserve">In addition, Tata Steel raised its internal carbon price from US$15 to US$ 40 per tonne of CO₂ to help quantify the impacts of climate change on investments, and prepare for the emerging carbon market in India. It has a Marginal Abatement Cost Curve which aids prioritisation of emissions-reduction projects. The firm has also installed a carbon capture plant at Jamshedpur, which will capture 5 tonnes of CO₂ from blast furnace gas (BFT) every day (Economic Times, 2021). Its Ferro Alloys and Minerals Division has taken steps to minimize emissions resulting from Ferrochrome production at its </w:t>
      </w:r>
      <w:proofErr w:type="spellStart"/>
      <w:r>
        <w:t>Bamnipal</w:t>
      </w:r>
      <w:proofErr w:type="spellEnd"/>
      <w:r>
        <w:t xml:space="preserve"> facility (Argus Media, 2024).</w:t>
      </w:r>
    </w:p>
    <w:p w14:paraId="542B8472" w14:textId="77777777" w:rsidR="00875986" w:rsidRDefault="00000000">
      <w:r>
        <w:t xml:space="preserve">In the Netherlands, these environmental regulations have put a demand on replacing carbon-intensive production processes (Banka and </w:t>
      </w:r>
      <w:proofErr w:type="spellStart"/>
      <w:r>
        <w:t>Chaliawala</w:t>
      </w:r>
      <w:proofErr w:type="spellEnd"/>
      <w:r>
        <w:t xml:space="preserve">, 2026). Natural gas-based production, which uses carbon capture and storage, and a potential shift to biomethane and green hydrogen (Press Insider, 2026) are proposed alternatives. But there are financial issues to consider with compliance. Tata Steel Netherlands's operating profit for the first three quarters of FY2026 is estimated to be €210 million, with €150 million already being incurred on carbon and €50 million on tariffs (Zachariah, 2026). </w:t>
      </w:r>
    </w:p>
    <w:p w14:paraId="2484F430" w14:textId="77777777" w:rsidR="00875986" w:rsidRDefault="00000000">
      <w:r>
        <w:t>These costs could decrease profit margins for a short time, but successful decarbonisation could provide environmental credibility and product differentiation. Ultimately, competitive advantage will be determined by whether or not reductions in emissions are cost-effective and the resulting customer demand.</w:t>
      </w:r>
    </w:p>
    <w:p w14:paraId="1B98A90F" w14:textId="77777777" w:rsidR="00875986" w:rsidRDefault="00000000">
      <w:pPr>
        <w:pStyle w:val="Heading2"/>
      </w:pPr>
      <w:bookmarkStart w:id="3" w:name="_yaly3difuqno" w:colFirst="0" w:colLast="0"/>
      <w:bookmarkEnd w:id="3"/>
      <w:r>
        <w:t>2.2 Technological Actor</w:t>
      </w:r>
    </w:p>
    <w:p w14:paraId="4A9A7333" w14:textId="77777777" w:rsidR="00875986" w:rsidRDefault="00000000">
      <w:r>
        <w:t>According to Choudhury et al. (2023), steel manufacturing is a water-intensive process. The mean water intake per tonne of steel manufactured is between 2 and 20 m</w:t>
      </w:r>
      <w:r>
        <w:rPr>
          <w:vertAlign w:val="superscript"/>
        </w:rPr>
        <w:t>3</w:t>
      </w:r>
      <w:r>
        <w:t xml:space="preserve">. Therefore, water scarcity has been a problem to the industry. Tata Steel could be heavily affected without access to sufficient water. 11 of 15 major river basins in the country are expected to experience water stress by 2025, while the major power grids of the country depend on 14 major river basins, all of which have been marked for high water stress (Pillai 2024). </w:t>
      </w:r>
    </w:p>
    <w:p w14:paraId="224241B2" w14:textId="77777777" w:rsidR="00875986" w:rsidRDefault="00000000">
      <w:r>
        <w:lastRenderedPageBreak/>
        <w:t>To reduce dependence on water, Tata Steel started using dry processing technologies and recycling loops. The coke dry quenching (CDQ) process substitutes for the traditional wet quenching (water-based cooling) of hot coke with inert nitrogen gas. This process captures sensible heat to generate steam for power generation, reduces CO</w:t>
      </w:r>
      <w:r>
        <w:rPr>
          <w:vertAlign w:val="subscript"/>
        </w:rPr>
        <w:t>2</w:t>
      </w:r>
      <w:r>
        <w:t xml:space="preserve"> emissions by 0.11-0.14 tonnes per tonne of coke, reduces dust emissions, and saves water. Tata Steel </w:t>
      </w:r>
      <w:proofErr w:type="spellStart"/>
      <w:r>
        <w:t>Kalinganagar</w:t>
      </w:r>
      <w:proofErr w:type="spellEnd"/>
      <w:r>
        <w:t xml:space="preserve"> has the largest CDQ facility in the country with a capacity of 200 metric tonnes per hour (The Hindu 2017). </w:t>
      </w:r>
    </w:p>
    <w:p w14:paraId="62DF1F28" w14:textId="77777777" w:rsidR="00875986" w:rsidRDefault="00000000">
      <w:r>
        <w:t>However, the usage of CDQ has been questioned recently, according to Lu et al. (2025), with the finding that approximately 8.9% of the total energy used for and the emissions from the steelmaking process is attributed to the use of CDQ. This poses a limitation for the environmental strategies adopted currently by Tata Steel. But the technologies can support decarbonisation and other non-energy benefits for the organisation. While addressing the challenge posed by water scarcity, therefore, Tata Steel has been able to contribute to its decarbonisation efforts as well.</w:t>
      </w:r>
    </w:p>
    <w:p w14:paraId="24BB250A" w14:textId="77777777" w:rsidR="00875986" w:rsidRDefault="00000000">
      <w:r>
        <w:t>Furthermore, Tata Steel Nederland has also launched an innovative can-making machine at its research and development facilities that uses a waterless dry forming process to produce food cans, thus reducing the need for cooling water, while increasing the speed of production by 25% (Nishith 2025). This technology also reduces energy usage and investment costs for customers (Packaging Europe 2025). By removing volatile organic compound heavy lacquering steps at the backend and reducing huge external wash lines at the front end, a setup that can significantly decrease carbon emissions (Wang et al. 2023; 2024), conserve water, and contribute to optimised utilisation of factory floor space (Tata Steel Nederland 2026a).</w:t>
      </w:r>
    </w:p>
    <w:p w14:paraId="3A88AC80" w14:textId="77777777" w:rsidR="00875986" w:rsidRDefault="00000000">
      <w:r>
        <w:t xml:space="preserve">Furthermore, the use of Ansys </w:t>
      </w:r>
      <w:proofErr w:type="spellStart"/>
      <w:r>
        <w:t>TwinAI</w:t>
      </w:r>
      <w:proofErr w:type="spellEnd"/>
      <w:r>
        <w:t xml:space="preserve"> simulations, data analytics and Artificial Intelligence in Tata Steel Nederland can optimise production and reduce thermal stress (Alves, 2022), and simulation-based decision making can aid in process optimisation and decarbonisation (</w:t>
      </w:r>
      <w:proofErr w:type="spellStart"/>
      <w:r>
        <w:t>Omigbodun</w:t>
      </w:r>
      <w:proofErr w:type="spellEnd"/>
      <w:r>
        <w:t>, 2026). Also, its Jamshedpur waste-heat project delivers re-using of the heat generated by the sinter cooler to heat water and increase sintering speed, thereby reducing CO</w:t>
      </w:r>
      <w:r>
        <w:rPr>
          <w:rFonts w:ascii="Cambria Math" w:eastAsia="Cambria Math" w:hAnsi="Cambria Math" w:cs="Cambria Math"/>
        </w:rPr>
        <w:t>₂</w:t>
      </w:r>
      <w:r>
        <w:t xml:space="preserve"> emissions by 22,000 tonnes (</w:t>
      </w:r>
      <w:proofErr w:type="spellStart"/>
      <w:r>
        <w:t>Kraftblock</w:t>
      </w:r>
      <w:proofErr w:type="spellEnd"/>
      <w:r>
        <w:t>, 2025).</w:t>
      </w:r>
    </w:p>
    <w:p w14:paraId="284E895C" w14:textId="77777777" w:rsidR="00875986" w:rsidRDefault="00000000">
      <w:pPr>
        <w:spacing w:line="278" w:lineRule="auto"/>
        <w:jc w:val="left"/>
        <w:rPr>
          <w:b/>
          <w:bCs/>
        </w:rPr>
      </w:pPr>
      <w:r>
        <w:br w:type="page"/>
      </w:r>
    </w:p>
    <w:p w14:paraId="67F8669C" w14:textId="77777777" w:rsidR="00875986" w:rsidRDefault="00000000">
      <w:pPr>
        <w:pStyle w:val="Heading2"/>
      </w:pPr>
      <w:bookmarkStart w:id="4" w:name="_hi4cxm5tpjzd" w:colFirst="0" w:colLast="0"/>
      <w:bookmarkEnd w:id="4"/>
      <w:r>
        <w:lastRenderedPageBreak/>
        <w:t>2.3 Environmental Actor</w:t>
      </w:r>
    </w:p>
    <w:p w14:paraId="3F8566DB" w14:textId="77777777" w:rsidR="00875986" w:rsidRDefault="00000000">
      <w:r>
        <w:t xml:space="preserve">Tata Steel has also been affected by the climate change which have threatened the sustainability of its operations. According to </w:t>
      </w:r>
      <w:proofErr w:type="spellStart"/>
      <w:r>
        <w:t>Hasanbeigi</w:t>
      </w:r>
      <w:proofErr w:type="spellEnd"/>
      <w:r>
        <w:t xml:space="preserve"> (2025), the global iron and steel industry is responsible for around 11% of the global CO</w:t>
      </w:r>
      <w:r>
        <w:rPr>
          <w:vertAlign w:val="subscript"/>
        </w:rPr>
        <w:t>2</w:t>
      </w:r>
      <w:r>
        <w:t xml:space="preserve"> emissions and over 8% of the total GHG emissions, which make it the largest single industrial source of emissions globally. In 2023, the global steel industry emitted around 4.43 Gt CO</w:t>
      </w:r>
      <w:r>
        <w:rPr>
          <w:vertAlign w:val="subscript"/>
        </w:rPr>
        <w:t>2</w:t>
      </w:r>
      <w:r>
        <w:t xml:space="preserve">. The massive impact led to this industry being the primary focus of climate policies. </w:t>
      </w:r>
    </w:p>
    <w:p w14:paraId="7BC7C6E2" w14:textId="77777777" w:rsidR="00875986" w:rsidRDefault="00000000">
      <w:r>
        <w:t>However, despite there being extensive discourse regarding the decarbonisation potential at global and national levels, plant-specific mitigation potential and data driven pathways have not been made clear, potentially hindering the progress of the net zero transition of the sector. Research on the mitigation strategies have been restricted primarily to estimating the capacity for reducing energy consumption and associated CO</w:t>
      </w:r>
      <w:r>
        <w:rPr>
          <w:vertAlign w:val="subscript"/>
        </w:rPr>
        <w:t>2</w:t>
      </w:r>
      <w:r>
        <w:t xml:space="preserve"> emissions, along with cost, fuel change, and technological advancement (Lei et al. 2023). </w:t>
      </w:r>
    </w:p>
    <w:p w14:paraId="3A25B873" w14:textId="77777777" w:rsidR="00875986" w:rsidRDefault="00000000">
      <w:r>
        <w:t xml:space="preserve">Motivated by the need to change its operations to support the environment, Tata Steel has practically shown how operational innovation can contribute to decarbonisation through research. A memorandum was signed with SMS Group to showcase the </w:t>
      </w:r>
      <w:proofErr w:type="spellStart"/>
      <w:r>
        <w:t>EASyMelt</w:t>
      </w:r>
      <w:proofErr w:type="spellEnd"/>
      <w:r>
        <w:t xml:space="preserve"> technology for greener steel production (2026) It also features a dry reforming process to minimize carbon monoxide emissions and blast furnace coke usage, which contributes to environmental sustainability (Blanck et al., 2024). </w:t>
      </w:r>
      <w:proofErr w:type="spellStart"/>
      <w:r>
        <w:t>HIsarna</w:t>
      </w:r>
      <w:proofErr w:type="spellEnd"/>
      <w:r>
        <w:t xml:space="preserve"> is a patented low-carbon iron making technology which can directly produce liquid iron from iron ore and coal without using coke oven, sintering and pelletising plant. Tata Steel has committed INR 7,000 crore to scale-up </w:t>
      </w:r>
      <w:proofErr w:type="spellStart"/>
      <w:r>
        <w:t>HIsarna</w:t>
      </w:r>
      <w:proofErr w:type="spellEnd"/>
      <w:r>
        <w:t xml:space="preserve"> and </w:t>
      </w:r>
      <w:proofErr w:type="spellStart"/>
      <w:r>
        <w:t>EASyMelt</w:t>
      </w:r>
      <w:proofErr w:type="spellEnd"/>
      <w:r>
        <w:t xml:space="preserve"> in a proposed 1-million-tonne-per-annum demonstration in Jamshedpur, where the company's Netherlands plant started to use </w:t>
      </w:r>
      <w:proofErr w:type="spellStart"/>
      <w:r>
        <w:t>HIsarna</w:t>
      </w:r>
      <w:proofErr w:type="spellEnd"/>
      <w:r>
        <w:t xml:space="preserve"> in 2018 (Tata Steel, 2020). Thermal stress on machinery and cooling systems can also cause decreases in capacity and/or shutdowns due to climate change. </w:t>
      </w:r>
    </w:p>
    <w:p w14:paraId="5421E06E" w14:textId="77777777" w:rsidR="00875986" w:rsidRDefault="00000000">
      <w:pPr>
        <w:spacing w:line="278" w:lineRule="auto"/>
        <w:jc w:val="left"/>
        <w:rPr>
          <w:b/>
          <w:bCs/>
        </w:rPr>
      </w:pPr>
      <w:r>
        <w:br w:type="page"/>
      </w:r>
    </w:p>
    <w:p w14:paraId="32ABAED5" w14:textId="77777777" w:rsidR="00875986" w:rsidRDefault="00000000">
      <w:pPr>
        <w:pStyle w:val="Heading1"/>
      </w:pPr>
      <w:bookmarkStart w:id="5" w:name="_3hsjce8kuvy2" w:colFirst="0" w:colLast="0"/>
      <w:bookmarkEnd w:id="5"/>
      <w:r>
        <w:lastRenderedPageBreak/>
        <w:t>3. Strategic Growth and Competitive Positioning</w:t>
      </w:r>
    </w:p>
    <w:p w14:paraId="7F5EF72B" w14:textId="77777777" w:rsidR="00875986" w:rsidRDefault="00000000">
      <w:pPr>
        <w:pStyle w:val="Heading2"/>
      </w:pPr>
      <w:bookmarkStart w:id="6" w:name="_hdkaal1y2z4b" w:colFirst="0" w:colLast="0"/>
      <w:bookmarkEnd w:id="6"/>
      <w:r>
        <w:t>3.1. Ansoff Matrix</w:t>
      </w:r>
    </w:p>
    <w:p w14:paraId="793D2BFF" w14:textId="77777777" w:rsidR="00875986" w:rsidRDefault="00000000">
      <w:r>
        <w:t>The Ansoff Matrix shows strategies that the organisation can adopt for strategic growth.</w:t>
      </w:r>
    </w:p>
    <w:tbl>
      <w:tblPr>
        <w:tblStyle w:val="a"/>
        <w:tblW w:w="8197"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648"/>
        <w:gridCol w:w="1646"/>
        <w:gridCol w:w="2918"/>
        <w:gridCol w:w="2985"/>
      </w:tblGrid>
      <w:tr w:rsidR="00875986" w14:paraId="793AD893" w14:textId="77777777" w:rsidTr="00875986">
        <w:trPr>
          <w:cnfStyle w:val="100000000000" w:firstRow="1" w:lastRow="0" w:firstColumn="0" w:lastColumn="0" w:oddVBand="0" w:evenVBand="0" w:oddHBand="0"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648" w:type="dxa"/>
            <w:vMerge w:val="restart"/>
          </w:tcPr>
          <w:p w14:paraId="3ACDCDBF" w14:textId="77777777" w:rsidR="00875986" w:rsidRDefault="00000000">
            <w:pPr>
              <w:ind w:left="113" w:right="113"/>
              <w:jc w:val="right"/>
            </w:pPr>
            <w:r>
              <w:t>Markets</w:t>
            </w:r>
          </w:p>
        </w:tc>
        <w:tc>
          <w:tcPr>
            <w:tcW w:w="1646" w:type="dxa"/>
          </w:tcPr>
          <w:p w14:paraId="045AF8D3" w14:textId="77777777" w:rsidR="00875986" w:rsidRDefault="00000000">
            <w:pPr>
              <w:jc w:val="center"/>
              <w:cnfStyle w:val="100000000000" w:firstRow="1" w:lastRow="0" w:firstColumn="0" w:lastColumn="0" w:oddVBand="0" w:evenVBand="0" w:oddHBand="0" w:evenHBand="0" w:firstRowFirstColumn="0" w:firstRowLastColumn="0" w:lastRowFirstColumn="0" w:lastRowLastColumn="0"/>
            </w:pPr>
            <w:r>
              <w:t>New</w:t>
            </w:r>
          </w:p>
        </w:tc>
        <w:tc>
          <w:tcPr>
            <w:tcW w:w="2918" w:type="dxa"/>
          </w:tcPr>
          <w:p w14:paraId="3108615D" w14:textId="77777777" w:rsidR="00875986" w:rsidRDefault="00000000">
            <w:pPr>
              <w:jc w:val="center"/>
              <w:cnfStyle w:val="100000000000" w:firstRow="1" w:lastRow="0" w:firstColumn="0" w:lastColumn="0" w:oddVBand="0" w:evenVBand="0" w:oddHBand="0" w:evenHBand="0" w:firstRowFirstColumn="0" w:firstRowLastColumn="0" w:lastRowFirstColumn="0" w:lastRowLastColumn="0"/>
            </w:pPr>
            <w:r>
              <w:t>Market Development</w:t>
            </w:r>
          </w:p>
        </w:tc>
        <w:tc>
          <w:tcPr>
            <w:tcW w:w="2985" w:type="dxa"/>
          </w:tcPr>
          <w:p w14:paraId="298BF4CB" w14:textId="77777777" w:rsidR="00875986" w:rsidRDefault="00000000">
            <w:pPr>
              <w:jc w:val="center"/>
              <w:cnfStyle w:val="100000000000" w:firstRow="1" w:lastRow="0" w:firstColumn="0" w:lastColumn="0" w:oddVBand="0" w:evenVBand="0" w:oddHBand="0" w:evenHBand="0" w:firstRowFirstColumn="0" w:firstRowLastColumn="0" w:lastRowFirstColumn="0" w:lastRowLastColumn="0"/>
            </w:pPr>
            <w:r>
              <w:t>Diversification</w:t>
            </w:r>
          </w:p>
        </w:tc>
      </w:tr>
      <w:tr w:rsidR="00875986" w14:paraId="0709190F" w14:textId="77777777" w:rsidTr="00875986">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648" w:type="dxa"/>
            <w:vMerge/>
          </w:tcPr>
          <w:p w14:paraId="61936E85" w14:textId="77777777" w:rsidR="00875986" w:rsidRDefault="00875986">
            <w:pPr>
              <w:widowControl w:val="0"/>
              <w:pBdr>
                <w:top w:val="nil"/>
                <w:left w:val="nil"/>
                <w:bottom w:val="nil"/>
                <w:right w:val="nil"/>
                <w:between w:val="nil"/>
              </w:pBdr>
              <w:spacing w:line="276" w:lineRule="auto"/>
              <w:jc w:val="left"/>
            </w:pPr>
          </w:p>
        </w:tc>
        <w:tc>
          <w:tcPr>
            <w:tcW w:w="1646" w:type="dxa"/>
          </w:tcPr>
          <w:p w14:paraId="7003CC8A" w14:textId="77777777" w:rsidR="00875986" w:rsidRDefault="00000000">
            <w:pPr>
              <w:jc w:val="center"/>
              <w:cnfStyle w:val="000000100000" w:firstRow="0" w:lastRow="0" w:firstColumn="0" w:lastColumn="0" w:oddVBand="0" w:evenVBand="0" w:oddHBand="1" w:evenHBand="0" w:firstRowFirstColumn="0" w:firstRowLastColumn="0" w:lastRowFirstColumn="0" w:lastRowLastColumn="0"/>
              <w:rPr>
                <w:b/>
                <w:bCs/>
              </w:rPr>
            </w:pPr>
            <w:r>
              <w:rPr>
                <w:b/>
                <w:bCs/>
              </w:rPr>
              <w:t>Existing</w:t>
            </w:r>
          </w:p>
        </w:tc>
        <w:tc>
          <w:tcPr>
            <w:tcW w:w="2918" w:type="dxa"/>
          </w:tcPr>
          <w:p w14:paraId="5CCABD5F" w14:textId="77777777" w:rsidR="00875986" w:rsidRDefault="00000000">
            <w:pPr>
              <w:jc w:val="center"/>
              <w:cnfStyle w:val="000000100000" w:firstRow="0" w:lastRow="0" w:firstColumn="0" w:lastColumn="0" w:oddVBand="0" w:evenVBand="0" w:oddHBand="1" w:evenHBand="0" w:firstRowFirstColumn="0" w:firstRowLastColumn="0" w:lastRowFirstColumn="0" w:lastRowLastColumn="0"/>
            </w:pPr>
            <w:r>
              <w:t>Market Penetration</w:t>
            </w:r>
          </w:p>
        </w:tc>
        <w:tc>
          <w:tcPr>
            <w:tcW w:w="2985" w:type="dxa"/>
          </w:tcPr>
          <w:p w14:paraId="68CFCD6F" w14:textId="77777777" w:rsidR="00875986" w:rsidRDefault="00000000">
            <w:pPr>
              <w:jc w:val="center"/>
              <w:cnfStyle w:val="000000100000" w:firstRow="0" w:lastRow="0" w:firstColumn="0" w:lastColumn="0" w:oddVBand="0" w:evenVBand="0" w:oddHBand="1" w:evenHBand="0" w:firstRowFirstColumn="0" w:firstRowLastColumn="0" w:lastRowFirstColumn="0" w:lastRowLastColumn="0"/>
            </w:pPr>
            <w:r>
              <w:rPr>
                <w:color w:val="1F4E79"/>
              </w:rPr>
              <w:t>Product Development</w:t>
            </w:r>
          </w:p>
        </w:tc>
      </w:tr>
      <w:tr w:rsidR="00875986" w14:paraId="3C071165" w14:textId="77777777" w:rsidTr="00875986">
        <w:trPr>
          <w:trHeight w:val="146"/>
        </w:trPr>
        <w:tc>
          <w:tcPr>
            <w:cnfStyle w:val="001000000000" w:firstRow="0" w:lastRow="0" w:firstColumn="1" w:lastColumn="0" w:oddVBand="0" w:evenVBand="0" w:oddHBand="0" w:evenHBand="0" w:firstRowFirstColumn="0" w:firstRowLastColumn="0" w:lastRowFirstColumn="0" w:lastRowLastColumn="0"/>
            <w:tcW w:w="648" w:type="dxa"/>
            <w:vMerge/>
          </w:tcPr>
          <w:p w14:paraId="0312FFFD" w14:textId="77777777" w:rsidR="00875986" w:rsidRDefault="00875986">
            <w:pPr>
              <w:widowControl w:val="0"/>
              <w:pBdr>
                <w:top w:val="nil"/>
                <w:left w:val="nil"/>
                <w:bottom w:val="nil"/>
                <w:right w:val="nil"/>
                <w:between w:val="nil"/>
              </w:pBdr>
              <w:spacing w:line="276" w:lineRule="auto"/>
              <w:jc w:val="left"/>
            </w:pPr>
          </w:p>
        </w:tc>
        <w:tc>
          <w:tcPr>
            <w:tcW w:w="1646" w:type="dxa"/>
          </w:tcPr>
          <w:p w14:paraId="0AF32E7B" w14:textId="77777777" w:rsidR="00875986" w:rsidRDefault="00875986">
            <w:pPr>
              <w:cnfStyle w:val="000000000000" w:firstRow="0" w:lastRow="0" w:firstColumn="0" w:lastColumn="0" w:oddVBand="0" w:evenVBand="0" w:oddHBand="0" w:evenHBand="0" w:firstRowFirstColumn="0" w:firstRowLastColumn="0" w:lastRowFirstColumn="0" w:lastRowLastColumn="0"/>
            </w:pPr>
          </w:p>
        </w:tc>
        <w:tc>
          <w:tcPr>
            <w:tcW w:w="2918" w:type="dxa"/>
          </w:tcPr>
          <w:p w14:paraId="2E4AE68D" w14:textId="77777777" w:rsidR="00875986" w:rsidRDefault="00000000">
            <w:pPr>
              <w:jc w:val="center"/>
              <w:cnfStyle w:val="000000000000" w:firstRow="0" w:lastRow="0" w:firstColumn="0" w:lastColumn="0" w:oddVBand="0" w:evenVBand="0" w:oddHBand="0" w:evenHBand="0" w:firstRowFirstColumn="0" w:firstRowLastColumn="0" w:lastRowFirstColumn="0" w:lastRowLastColumn="0"/>
              <w:rPr>
                <w:b/>
                <w:bCs/>
              </w:rPr>
            </w:pPr>
            <w:r>
              <w:rPr>
                <w:b/>
                <w:bCs/>
              </w:rPr>
              <w:t>Existing</w:t>
            </w:r>
          </w:p>
        </w:tc>
        <w:tc>
          <w:tcPr>
            <w:tcW w:w="2985" w:type="dxa"/>
          </w:tcPr>
          <w:p w14:paraId="0A7B6CBC" w14:textId="77777777" w:rsidR="00875986" w:rsidRDefault="00000000">
            <w:pPr>
              <w:jc w:val="center"/>
              <w:cnfStyle w:val="000000000000" w:firstRow="0" w:lastRow="0" w:firstColumn="0" w:lastColumn="0" w:oddVBand="0" w:evenVBand="0" w:oddHBand="0" w:evenHBand="0" w:firstRowFirstColumn="0" w:firstRowLastColumn="0" w:lastRowFirstColumn="0" w:lastRowLastColumn="0"/>
              <w:rPr>
                <w:b/>
                <w:bCs/>
              </w:rPr>
            </w:pPr>
            <w:r>
              <w:rPr>
                <w:b/>
                <w:bCs/>
              </w:rPr>
              <w:t>New</w:t>
            </w:r>
          </w:p>
        </w:tc>
      </w:tr>
      <w:tr w:rsidR="00875986" w14:paraId="336AA29A" w14:textId="77777777" w:rsidTr="00875986">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648" w:type="dxa"/>
            <w:vMerge/>
          </w:tcPr>
          <w:p w14:paraId="76332E83" w14:textId="77777777" w:rsidR="00875986" w:rsidRDefault="00875986">
            <w:pPr>
              <w:widowControl w:val="0"/>
              <w:pBdr>
                <w:top w:val="nil"/>
                <w:left w:val="nil"/>
                <w:bottom w:val="nil"/>
                <w:right w:val="nil"/>
                <w:between w:val="nil"/>
              </w:pBdr>
              <w:spacing w:line="276" w:lineRule="auto"/>
              <w:jc w:val="left"/>
              <w:rPr>
                <w:b w:val="0"/>
                <w:bCs w:val="0"/>
              </w:rPr>
            </w:pPr>
          </w:p>
        </w:tc>
        <w:tc>
          <w:tcPr>
            <w:tcW w:w="7549" w:type="dxa"/>
            <w:gridSpan w:val="3"/>
          </w:tcPr>
          <w:p w14:paraId="248C3F71" w14:textId="77777777" w:rsidR="00875986" w:rsidRDefault="00000000">
            <w:pPr>
              <w:keepNext/>
              <w:jc w:val="center"/>
              <w:cnfStyle w:val="000000100000" w:firstRow="0" w:lastRow="0" w:firstColumn="0" w:lastColumn="0" w:oddVBand="0" w:evenVBand="0" w:oddHBand="1" w:evenHBand="0" w:firstRowFirstColumn="0" w:firstRowLastColumn="0" w:lastRowFirstColumn="0" w:lastRowLastColumn="0"/>
              <w:rPr>
                <w:b/>
                <w:bCs/>
              </w:rPr>
            </w:pPr>
            <w:r>
              <w:rPr>
                <w:b/>
                <w:bCs/>
              </w:rPr>
              <w:t>Products</w:t>
            </w:r>
          </w:p>
        </w:tc>
      </w:tr>
    </w:tbl>
    <w:p w14:paraId="1CECAB8A" w14:textId="77777777" w:rsidR="00875986" w:rsidRDefault="00000000">
      <w:pPr>
        <w:pBdr>
          <w:top w:val="nil"/>
          <w:left w:val="nil"/>
          <w:bottom w:val="nil"/>
          <w:right w:val="nil"/>
          <w:between w:val="nil"/>
        </w:pBdr>
        <w:spacing w:after="200" w:line="240" w:lineRule="auto"/>
        <w:jc w:val="center"/>
        <w:rPr>
          <w:i/>
          <w:iCs/>
          <w:color w:val="44546A"/>
        </w:rPr>
      </w:pPr>
      <w:r>
        <w:rPr>
          <w:i/>
          <w:iCs/>
          <w:color w:val="44546A"/>
        </w:rPr>
        <w:t>Figure 1: Ansoff Matrix</w:t>
      </w:r>
    </w:p>
    <w:p w14:paraId="3E7D8C73" w14:textId="77777777" w:rsidR="00875986" w:rsidRDefault="00000000">
      <w:pPr>
        <w:jc w:val="center"/>
      </w:pPr>
      <w:r>
        <w:t>(Source: Created by Author; adapted from Kotler et al. 2024)</w:t>
      </w:r>
    </w:p>
    <w:p w14:paraId="7181DDE8" w14:textId="77777777" w:rsidR="00875986" w:rsidRDefault="00000000">
      <w:r>
        <w:t xml:space="preserve">According to the Ansoff matrix, the organisation could continue improving within the same markets, expand into new markets, develop new products, or introduce new products in new markets. From the analysis, with changing carbon taxes, it could be resource-intensive and risky for Tata Steel to enter new markets currently. However, it could introduce new sustainable products that would differentiate it from its competitors (Product Development). This will allow it to deploy its existing manufacturing expertise, research capabilities, and customer relationships to develop lower carbon steel products. It already has initiatives like </w:t>
      </w:r>
      <w:proofErr w:type="spellStart"/>
      <w:r>
        <w:t>Zeremis</w:t>
      </w:r>
      <w:proofErr w:type="spellEnd"/>
      <w:r>
        <w:t xml:space="preserve"> Carbon Lite, </w:t>
      </w:r>
      <w:proofErr w:type="spellStart"/>
      <w:r>
        <w:t>Zeremis</w:t>
      </w:r>
      <w:proofErr w:type="spellEnd"/>
      <w:r>
        <w:t xml:space="preserve"> Recycled, and </w:t>
      </w:r>
      <w:proofErr w:type="spellStart"/>
      <w:r>
        <w:t>Zeremis</w:t>
      </w:r>
      <w:proofErr w:type="spellEnd"/>
      <w:r>
        <w:t xml:space="preserve"> Delivered in the Netherlands, along with investments in electric arc furnace production and recycling infrastructure. The initiatives allow Tata Steel to reduce supply chain emissions for their customers (Tata Steel Nederland 2026b). Carbon pricing mechanisms and increasing demand for green steel support these initiatives, as the organisation can move towards its near zero carbon goals (Zhang </w:t>
      </w:r>
      <w:r>
        <w:rPr>
          <w:i/>
          <w:iCs/>
        </w:rPr>
        <w:t>et al.</w:t>
      </w:r>
      <w:r>
        <w:t xml:space="preserve"> 2025). </w:t>
      </w:r>
    </w:p>
    <w:p w14:paraId="1E2B0E16" w14:textId="77777777" w:rsidR="00875986" w:rsidRDefault="00000000">
      <w:r>
        <w:t>Demand for steel is expected to increase, so decarbonisation becomes even more important in alignment with the Paris Agreement target of global net zero emissions by 2050. For carbon emissions reduction, advanced technologies need to be used, including carbon capture, use, and storage, using hydrogen or biomass as reducing agents, or electrolysis (</w:t>
      </w:r>
      <w:proofErr w:type="spellStart"/>
      <w:r>
        <w:t>Muslemani</w:t>
      </w:r>
      <w:proofErr w:type="spellEnd"/>
      <w:r>
        <w:t xml:space="preserve"> </w:t>
      </w:r>
      <w:r>
        <w:rPr>
          <w:i/>
          <w:iCs/>
        </w:rPr>
        <w:t>et al.</w:t>
      </w:r>
      <w:r>
        <w:t xml:space="preserve"> 2021). This justifies the organisation using new technologies for reducing its carbon emissions. </w:t>
      </w:r>
    </w:p>
    <w:p w14:paraId="74C81EC2" w14:textId="77777777" w:rsidR="00875986" w:rsidRDefault="00000000">
      <w:r>
        <w:lastRenderedPageBreak/>
        <w:t xml:space="preserve">However, according to Wu et al. (2025), the existing pathways to decarbonisation are not holistically researched, as they are heterogeneous and financially constrained. Energy efficiency improvements and scrap reuse could be used in the short term, but in the long term, smelt reduction with carbon capture is expected to become more technologically mature and economically feasible. These can support the decarbonisation strategies of Tata Steel. According to Renforth </w:t>
      </w:r>
      <w:r>
        <w:rPr>
          <w:i/>
          <w:iCs/>
        </w:rPr>
        <w:t>et al.</w:t>
      </w:r>
      <w:r>
        <w:t xml:space="preserve"> (2024), Tata Steel can monetise its massive reserves of lower grade Indian iron ore by going beyond expensive purification processes and diverting the ore into advanced smelting setups like the </w:t>
      </w:r>
      <w:proofErr w:type="spellStart"/>
      <w:r>
        <w:t>HIsarna</w:t>
      </w:r>
      <w:proofErr w:type="spellEnd"/>
      <w:r>
        <w:t xml:space="preserve"> technology. </w:t>
      </w:r>
    </w:p>
    <w:p w14:paraId="3C50DE3B" w14:textId="77777777" w:rsidR="00875986" w:rsidRDefault="00000000">
      <w:r>
        <w:t xml:space="preserve">The ores will generate more slag and introduce impurities like zinc and copper. However, Tata Steel can use its R&amp;D expertise to separate these elements safely while protecting the mechanical strength of its products. It can use its existing cement company partnerships, to convert the slag into carbon-absorbing building materials, generating revenues. This could earn the organisation voluntary carbon removal credits (Renforth </w:t>
      </w:r>
      <w:r>
        <w:rPr>
          <w:i/>
          <w:iCs/>
        </w:rPr>
        <w:t>et al.</w:t>
      </w:r>
      <w:r>
        <w:t xml:space="preserve"> 2024).</w:t>
      </w:r>
    </w:p>
    <w:p w14:paraId="056A4AB0" w14:textId="77777777" w:rsidR="00875986" w:rsidRDefault="00000000">
      <w:r>
        <w:t xml:space="preserve">Tata Steel can expand its existing low carbon programs by creating niche carbon steel grades that meet specific customer needs and sustainability goals in industries such as automotive, construction, and engineering. The company's product innovation and verified emissions data, consistent product quality and reliable supply can all help them to better satisfy their customers, differentiate in the market and develop their competitive edge. The grades will be tailored to customer categories. </w:t>
      </w:r>
    </w:p>
    <w:p w14:paraId="59BFFFD4" w14:textId="77777777" w:rsidR="00875986" w:rsidRDefault="00000000">
      <w:r>
        <w:t xml:space="preserve">However, long-term supply agreements could also include product specifications, verified emissions performance, and delivery commitments that could be used for the clients’ sustainability reports and transparency commitments. This would allow the organisation to differentiate its offerings. </w:t>
      </w:r>
    </w:p>
    <w:p w14:paraId="35C64334" w14:textId="77777777" w:rsidR="00875986" w:rsidRDefault="00000000">
      <w:pPr>
        <w:pStyle w:val="Heading2"/>
      </w:pPr>
      <w:bookmarkStart w:id="7" w:name="_c85uapgcu60t" w:colFirst="0" w:colLast="0"/>
      <w:bookmarkEnd w:id="7"/>
      <w:r>
        <w:t>3.2. Porter’s Generic Strategies</w:t>
      </w:r>
    </w:p>
    <w:p w14:paraId="120CFDE8" w14:textId="77777777" w:rsidR="00875986" w:rsidRDefault="00000000">
      <w:r>
        <w:t xml:space="preserve">According to Porter’s generic strategies, differentiation may contribute to competitive advantage (Kotler et al. 2024) when customers recognise the differentiated product attributes and their value. Lower carbon steel could support strong customer relationships and higher margins, but a price premium could be challenging, especially as customers may prioritise affordability, technical performance, and reliable supply over environmental performance. This will require the organisation to reduce its costs, </w:t>
      </w:r>
      <w:r>
        <w:lastRenderedPageBreak/>
        <w:t xml:space="preserve">to offset the prices. According to Pyshyev </w:t>
      </w:r>
      <w:r>
        <w:rPr>
          <w:i/>
          <w:iCs/>
        </w:rPr>
        <w:t>et al.</w:t>
      </w:r>
      <w:r>
        <w:t xml:space="preserve"> (2023), the CDQ could lead to major capital investment requirements, loss of a part of the coke due to gasification in the chambers, increased coke dust, and increased emissions with the excess gas. </w:t>
      </w:r>
    </w:p>
    <w:p w14:paraId="177562DC" w14:textId="77777777" w:rsidR="00875986" w:rsidRDefault="00000000">
      <w:r>
        <w:t xml:space="preserve">Advancing the hydrogen metallurgy and EAF scrap smelting supports reducing the quantity of BF-BOF steelmaking and the total CDQ consumption. The capital expenditure needs to be aligned with the regional availability of scrap, scaling up the circular EAF models to exploit their energy efficiency advantage as supply chains mature and grid carbon intensity reduces, protecting against CBAM penalties. Furthermore, the company has to choose hydrogen-DRI hybrid systems, using hydrogen metallurgy as a tool to decarbonise the remaining primary iron production, instead of challenging the existing EAF infrastructure (Lu et al. 2025). </w:t>
      </w:r>
    </w:p>
    <w:p w14:paraId="0D5E4088" w14:textId="77777777" w:rsidR="00875986" w:rsidRDefault="00000000">
      <w:r>
        <w:t>By optimising its expenditures, Tata Steel has to show tangible reductions in emissions while maintaining its product quality and establish credibility. This will help it differentiate without increasing costs.</w:t>
      </w:r>
    </w:p>
    <w:p w14:paraId="73DE5421" w14:textId="77777777" w:rsidR="00875986" w:rsidRDefault="00000000">
      <w:pPr>
        <w:pStyle w:val="Heading1"/>
      </w:pPr>
      <w:bookmarkStart w:id="8" w:name="_kadpbc6b50yz" w:colFirst="0" w:colLast="0"/>
      <w:bookmarkEnd w:id="8"/>
      <w:r>
        <w:t>4. Managerial and Professional Reflection</w:t>
      </w:r>
    </w:p>
    <w:p w14:paraId="334E7511" w14:textId="77777777" w:rsidR="00875986" w:rsidRDefault="00000000">
      <w:r>
        <w:t>I chose Tata Steel because it is one of the biggest steel manufacturing organisations in the world. Choosing this organisation, I could use it as an example linking environmental sustainability, regulatory pressure, and strategic growth at a global scale in a carbon-intensive industry. Its international presence allows an investigation of the impact of different environmental conditions on business decisions. Additionally, its initiatives in aspects like recycling, process innovation, and low-carbon steel production could be used for applying the marketing and strategic management theories that I learned. However, I recognise that the massive size and financial resources of the organisation may support investments that may not be replicated by smaller manufacturers.</w:t>
      </w:r>
    </w:p>
    <w:p w14:paraId="63EDE969" w14:textId="77777777" w:rsidR="00875986" w:rsidRDefault="00000000">
      <w:r>
        <w:t xml:space="preserve">In choosing the environmental actors, I focused on political, technological, and environmental pressures. Through research, I found that climate change, regulatory pressures, and changes in technological innovation influence the manufacturing processes of Tata Steel. The technological innovation affects operations, climate change creates emissions reduction issues and physical risks, while political pressures affect the economic viability of the production technologies. I also found </w:t>
      </w:r>
      <w:r>
        <w:lastRenderedPageBreak/>
        <w:t>interlinks between the actors, like climate regulation increasing technology investment, while water scarcity and extreme temperatures increase operating costs.</w:t>
      </w:r>
    </w:p>
    <w:p w14:paraId="392051FD" w14:textId="77777777" w:rsidR="00875986" w:rsidRDefault="00000000">
      <w:r>
        <w:t>I used the Ansoff matrix interspersed with Porter’s Generic Strategies for structured strategy development. I prioritised product development since Tata Steel has the financial and operational resources to develop its manufacturing capacity, invest in innovation, and develop customer relationships. Porter’s differentiation strategy enables understanding how the organisation can use new technologies to distinguish its products, while also maintaining prices.</w:t>
      </w:r>
    </w:p>
    <w:p w14:paraId="27F61F84" w14:textId="77777777" w:rsidR="00875986" w:rsidRDefault="00000000">
      <w:r>
        <w:t>This report is dependent on secondary data, including corporate reports that might be biased, along with academic and industrial publications. I also considered proposed investments and demonstration projects, but they are still not operational and their project benefits are still not recognised. Due to time and space constraints, the analysis also does not include detailed financial data, plant-level emissions comparisons, and customer insights. Thus, the costs of individual decarbonisation pathways or the willingness of customers to pay for low carbon steel may not have not been researched in this study. Some of the environmental initiatives may also cause trade-offs between the goals of water conservation, energy efficiency, and emissions reduction which require more investigation. The analytical limitations could affect confidence in the recommendations, as the costs and trade-offs cannot be addressed without practical research.</w:t>
      </w:r>
    </w:p>
    <w:p w14:paraId="2823E52B" w14:textId="77777777" w:rsidR="00875986" w:rsidRDefault="00000000">
      <w:r>
        <w:t xml:space="preserve">More studies are required to evaluate the true emissions figures, the investment requirements, customer requirements, and the availability of electricity and scrap in the region (Sandbag, 2026; Kumawat and </w:t>
      </w:r>
      <w:proofErr w:type="spellStart"/>
      <w:r>
        <w:t>Bhanawat</w:t>
      </w:r>
      <w:proofErr w:type="spellEnd"/>
      <w:r>
        <w:t>, 2025). The impact of varying carbon prices, energy prices, regulations and demand could be assessed through interviews with stakeholders and scenario analysis. The tools and concepts of net present value and sensitivity analysis would facilitate comparisons between decarbonisation technologies and the indicators of emissions intensity, resource use, profitability and customer retention would aid in performance monitoring.</w:t>
      </w:r>
    </w:p>
    <w:p w14:paraId="041B70C6" w14:textId="77777777" w:rsidR="00875986" w:rsidRDefault="00000000">
      <w:pPr>
        <w:pStyle w:val="Heading1"/>
      </w:pPr>
      <w:bookmarkStart w:id="9" w:name="_o4md5b4bf51n" w:colFirst="0" w:colLast="0"/>
      <w:bookmarkEnd w:id="9"/>
      <w:r>
        <w:t>5. Conclusion</w:t>
      </w:r>
    </w:p>
    <w:p w14:paraId="2BC220B7" w14:textId="77777777" w:rsidR="00875986" w:rsidRDefault="00000000">
      <w:r>
        <w:t xml:space="preserve">Tata Steel has the potential to build its competitiveness in the long run by low-carbon innovation, operational efficiency and circular economy. While challenges from regulation, technological innovation, and climate change are present, opportunities for </w:t>
      </w:r>
      <w:r>
        <w:lastRenderedPageBreak/>
        <w:t>differentiation exist as well. Technological feasibility and the availability of resources are key to strategic success, as are the needs of customers and reliable emission data for informed decision making and sustainable growth.</w:t>
      </w:r>
    </w:p>
    <w:p w14:paraId="516DDC94" w14:textId="77777777" w:rsidR="00875986" w:rsidRDefault="00000000">
      <w:pPr>
        <w:spacing w:line="278" w:lineRule="auto"/>
        <w:jc w:val="left"/>
        <w:rPr>
          <w:b/>
          <w:bCs/>
        </w:rPr>
      </w:pPr>
      <w:r>
        <w:br w:type="page"/>
      </w:r>
    </w:p>
    <w:p w14:paraId="7EB3FA45" w14:textId="77777777" w:rsidR="00875986" w:rsidRDefault="00000000">
      <w:pPr>
        <w:pStyle w:val="Heading1"/>
      </w:pPr>
      <w:bookmarkStart w:id="10" w:name="_4oigmi53pn0e" w:colFirst="0" w:colLast="0"/>
      <w:bookmarkEnd w:id="10"/>
      <w:r>
        <w:lastRenderedPageBreak/>
        <w:t>6. References</w:t>
      </w:r>
    </w:p>
    <w:p w14:paraId="59952778" w14:textId="77777777" w:rsidR="00875986" w:rsidRDefault="00000000">
      <w:r>
        <w:t xml:space="preserve">Alves, G. (2022), </w:t>
      </w:r>
      <w:r>
        <w:rPr>
          <w:i/>
          <w:iCs/>
        </w:rPr>
        <w:t>Simulation Takes the Heat off Tata Steel During Production</w:t>
      </w:r>
      <w:r>
        <w:t xml:space="preserve">, Available at: </w:t>
      </w:r>
      <w:hyperlink r:id="rId7">
        <w:r>
          <w:rPr>
            <w:color w:val="0563C1"/>
            <w:u w:val="single"/>
          </w:rPr>
          <w:t>https://ansys.synopsys.com/en-in/blog/simulation-takes-heat-off-tata-steel-during-production</w:t>
        </w:r>
      </w:hyperlink>
      <w:r>
        <w:t xml:space="preserve"> [Accessed 7 October 2026]</w:t>
      </w:r>
    </w:p>
    <w:p w14:paraId="4A1810EB" w14:textId="77777777" w:rsidR="00875986" w:rsidRDefault="00000000">
      <w:r>
        <w:t xml:space="preserve">Argus Media (2024), </w:t>
      </w:r>
      <w:r>
        <w:rPr>
          <w:i/>
          <w:iCs/>
        </w:rPr>
        <w:t>India’s Tata Steel tests biomass at ferro-chrome plant</w:t>
      </w:r>
      <w:r>
        <w:t xml:space="preserve">, Available at: </w:t>
      </w:r>
      <w:hyperlink r:id="rId8">
        <w:r>
          <w:rPr>
            <w:color w:val="0563C1"/>
            <w:u w:val="single"/>
          </w:rPr>
          <w:t>http://argusmedia.com/en/news-and-insights/latest-market-news/2592300-india-s-tata-steel-tests-biomass-at-ferro-chrome-plant</w:t>
        </w:r>
      </w:hyperlink>
      <w:r>
        <w:t xml:space="preserve"> [Accessed 11 October 2026]</w:t>
      </w:r>
    </w:p>
    <w:p w14:paraId="184DD78C" w14:textId="77777777" w:rsidR="00875986" w:rsidRDefault="00000000">
      <w:r>
        <w:t xml:space="preserve">Banka, D. and </w:t>
      </w:r>
      <w:proofErr w:type="spellStart"/>
      <w:r>
        <w:t>Chaliawala</w:t>
      </w:r>
      <w:proofErr w:type="spellEnd"/>
      <w:r>
        <w:t xml:space="preserve">, N. (2026), </w:t>
      </w:r>
      <w:r>
        <w:rPr>
          <w:i/>
          <w:iCs/>
        </w:rPr>
        <w:t>Netherlands wants Tata Steel to stay, but demands cleaner steelmaking</w:t>
      </w:r>
      <w:r>
        <w:t xml:space="preserve">, Available at: </w:t>
      </w:r>
      <w:hyperlink r:id="rId9">
        <w:r>
          <w:rPr>
            <w:color w:val="0563C1"/>
            <w:u w:val="single"/>
          </w:rPr>
          <w:t>https://www.livemint.com/companies/tata-steel-netherlands-ijmuiden-green-steel-steelmaking-decarbonization-electric-arc-furnaces-government-aid-11791215933836.html</w:t>
        </w:r>
      </w:hyperlink>
      <w:r>
        <w:t xml:space="preserve"> [Accessed 9 October 2026]</w:t>
      </w:r>
    </w:p>
    <w:p w14:paraId="7D52D6F8" w14:textId="77777777" w:rsidR="00875986" w:rsidRDefault="00000000">
      <w:r>
        <w:t xml:space="preserve">Blanck, P., Kass, G., Kinzel, K.P. and Deutschmann, O., 2024. Dry reforming of steelworks off-gases in a pilot plant integrated into a steel mill: influence of operating parameters. </w:t>
      </w:r>
      <w:r>
        <w:rPr>
          <w:i/>
          <w:iCs/>
        </w:rPr>
        <w:t>Energy Advances</w:t>
      </w:r>
      <w:r>
        <w:t xml:space="preserve">, vol. </w:t>
      </w:r>
      <w:r>
        <w:rPr>
          <w:i/>
          <w:iCs/>
        </w:rPr>
        <w:t>3</w:t>
      </w:r>
      <w:r>
        <w:t>, no. 1, pp.123-130.</w:t>
      </w:r>
    </w:p>
    <w:p w14:paraId="6E0DE260" w14:textId="77777777" w:rsidR="00875986" w:rsidRDefault="00000000">
      <w:r>
        <w:t>Choudhury, A.R., Singh, N., Veeraraghavan, A., Gupta, A., Palani, S.G., Mehdizadeh, M., Omidi, A. and Al-</w:t>
      </w:r>
      <w:proofErr w:type="spellStart"/>
      <w:r>
        <w:t>Taey</w:t>
      </w:r>
      <w:proofErr w:type="spellEnd"/>
      <w:r>
        <w:t xml:space="preserve">, D.K., 2023. Ascertaining and optimizing the water footprint and sludge management practice in steel industries. </w:t>
      </w:r>
      <w:r>
        <w:rPr>
          <w:i/>
          <w:iCs/>
        </w:rPr>
        <w:t>Water</w:t>
      </w:r>
      <w:r>
        <w:t xml:space="preserve">, </w:t>
      </w:r>
      <w:r>
        <w:rPr>
          <w:i/>
          <w:iCs/>
        </w:rPr>
        <w:t>15</w:t>
      </w:r>
      <w:r>
        <w:t xml:space="preserve">(12), p.2177. </w:t>
      </w:r>
      <w:hyperlink r:id="rId10">
        <w:r>
          <w:rPr>
            <w:color w:val="0563C1"/>
            <w:u w:val="single"/>
          </w:rPr>
          <w:t>https://doi.org/10.3390/w15122177</w:t>
        </w:r>
      </w:hyperlink>
    </w:p>
    <w:p w14:paraId="25B26780" w14:textId="77777777" w:rsidR="00875986" w:rsidRDefault="00000000">
      <w:r>
        <w:t xml:space="preserve">Economic Times (2021), </w:t>
      </w:r>
      <w:r>
        <w:rPr>
          <w:i/>
          <w:iCs/>
        </w:rPr>
        <w:t>Tata Steel commissions India's first plant for CO2 capture from blast furnace gas</w:t>
      </w:r>
      <w:r>
        <w:t xml:space="preserve">, Available at: </w:t>
      </w:r>
      <w:hyperlink r:id="rId11">
        <w:r>
          <w:rPr>
            <w:color w:val="0563C1"/>
            <w:u w:val="single"/>
          </w:rPr>
          <w:t>https://energy.economictimes.indiatimes.com/news/power/tata-steel-commissions-indias-first-plant-for-co2-capture-from-blast-furnace-gas/86219103</w:t>
        </w:r>
      </w:hyperlink>
      <w:r>
        <w:t xml:space="preserve"> [Accessed 4 October 2026]</w:t>
      </w:r>
    </w:p>
    <w:p w14:paraId="48395F42" w14:textId="77777777" w:rsidR="00875986" w:rsidRDefault="00000000">
      <w:proofErr w:type="spellStart"/>
      <w:r>
        <w:t>Hasanbeigi</w:t>
      </w:r>
      <w:proofErr w:type="spellEnd"/>
      <w:r>
        <w:t xml:space="preserve">, A. (2025), </w:t>
      </w:r>
      <w:r>
        <w:rPr>
          <w:i/>
          <w:iCs/>
        </w:rPr>
        <w:t>Steel Climate Impact 2025</w:t>
      </w:r>
      <w:r>
        <w:t xml:space="preserve">, Available at: </w:t>
      </w:r>
      <w:hyperlink r:id="rId12">
        <w:r>
          <w:rPr>
            <w:color w:val="0563C1"/>
            <w:u w:val="single"/>
          </w:rPr>
          <w:t>https://www.globalefficiencyintel.com/steel-climate-impact-international-benchmarking-energy-co2-intensities</w:t>
        </w:r>
      </w:hyperlink>
      <w:r>
        <w:t xml:space="preserve"> [Accessed 7 October 2026]</w:t>
      </w:r>
    </w:p>
    <w:p w14:paraId="5C0844EF" w14:textId="77777777" w:rsidR="00875986" w:rsidRDefault="00000000">
      <w:r>
        <w:t xml:space="preserve">Kotler, P., Armstrong, G., Harris, L.C. and He, H., 2024. </w:t>
      </w:r>
      <w:r>
        <w:rPr>
          <w:i/>
          <w:iCs/>
        </w:rPr>
        <w:t>Principles of marketing</w:t>
      </w:r>
      <w:r>
        <w:t xml:space="preserve">. 19th </w:t>
      </w:r>
      <w:proofErr w:type="spellStart"/>
      <w:r>
        <w:t>edn</w:t>
      </w:r>
      <w:proofErr w:type="spellEnd"/>
      <w:r>
        <w:t>. Harlow: Pearson.</w:t>
      </w:r>
    </w:p>
    <w:p w14:paraId="44497C7C" w14:textId="77777777" w:rsidR="00875986" w:rsidRDefault="00000000">
      <w:proofErr w:type="spellStart"/>
      <w:r>
        <w:lastRenderedPageBreak/>
        <w:t>Kraftblock</w:t>
      </w:r>
      <w:proofErr w:type="spellEnd"/>
      <w:r>
        <w:t xml:space="preserve"> (2025), </w:t>
      </w:r>
      <w:r>
        <w:rPr>
          <w:i/>
          <w:iCs/>
        </w:rPr>
        <w:t>Tata Steel</w:t>
      </w:r>
      <w:r>
        <w:t xml:space="preserve">, Available at: </w:t>
      </w:r>
      <w:hyperlink r:id="rId13">
        <w:r>
          <w:rPr>
            <w:color w:val="0563C1"/>
            <w:u w:val="single"/>
          </w:rPr>
          <w:t>https://www.kraftblock.com/projects/tata-steel-sinter-plant-3</w:t>
        </w:r>
      </w:hyperlink>
      <w:r>
        <w:t xml:space="preserve"> [Accessed 8 October 2026]</w:t>
      </w:r>
    </w:p>
    <w:p w14:paraId="52397DF5" w14:textId="77777777" w:rsidR="00875986" w:rsidRDefault="00000000">
      <w:r>
        <w:t xml:space="preserve">Kumawat, E. and </w:t>
      </w:r>
      <w:proofErr w:type="spellStart"/>
      <w:r>
        <w:t>Bhanawat</w:t>
      </w:r>
      <w:proofErr w:type="spellEnd"/>
      <w:r>
        <w:t xml:space="preserve">, S.S. 2025. Strategic Adaptation to Carbon Border Adjustments Mechanism: A Case Study of Tata Steel. </w:t>
      </w:r>
      <w:r>
        <w:rPr>
          <w:i/>
          <w:iCs/>
        </w:rPr>
        <w:t>International Journal of Innovations &amp; Research Analysis</w:t>
      </w:r>
      <w:r>
        <w:t xml:space="preserve">, vol </w:t>
      </w:r>
      <w:r>
        <w:rPr>
          <w:i/>
          <w:iCs/>
        </w:rPr>
        <w:t>05</w:t>
      </w:r>
      <w:r>
        <w:t xml:space="preserve"> (no. 04 (1)), pp. 159-164.</w:t>
      </w:r>
    </w:p>
    <w:p w14:paraId="02A202D7" w14:textId="77777777" w:rsidR="00875986" w:rsidRDefault="00000000">
      <w:r>
        <w:t xml:space="preserve">Lei, T., Wang, D., Yu, X., Ma, S., Zhao, W., Cui, C., Meng, J., Tao, S. and Guan, D., 2023. Global iron and steel plant CO2 emissions and carbon-neutrality pathways. </w:t>
      </w:r>
      <w:r>
        <w:rPr>
          <w:i/>
          <w:iCs/>
        </w:rPr>
        <w:t>Nature</w:t>
      </w:r>
      <w:r>
        <w:t xml:space="preserve">, vol. </w:t>
      </w:r>
      <w:r>
        <w:rPr>
          <w:i/>
          <w:iCs/>
        </w:rPr>
        <w:t xml:space="preserve">622, no. </w:t>
      </w:r>
      <w:r>
        <w:t>7983, pp.514-520.</w:t>
      </w:r>
    </w:p>
    <w:p w14:paraId="1C5395A0" w14:textId="77777777" w:rsidR="00875986" w:rsidRDefault="00000000">
      <w:r>
        <w:t xml:space="preserve">Lu, L., Yan, Z., Yao, X. and Han, Y., 2025. An Investigation into the Effects of Coke Dry Quenching Waste Heat Production on the Cost of the Steel Manufacturing Process. </w:t>
      </w:r>
      <w:r>
        <w:rPr>
          <w:i/>
          <w:iCs/>
        </w:rPr>
        <w:t>Sustainability</w:t>
      </w:r>
      <w:r>
        <w:t xml:space="preserve">, vol. </w:t>
      </w:r>
      <w:r>
        <w:rPr>
          <w:i/>
          <w:iCs/>
        </w:rPr>
        <w:t>17</w:t>
      </w:r>
      <w:r>
        <w:t>, no. 10, p.4402.</w:t>
      </w:r>
    </w:p>
    <w:p w14:paraId="4D9FD259" w14:textId="77777777" w:rsidR="00875986" w:rsidRDefault="00000000">
      <w:proofErr w:type="spellStart"/>
      <w:r>
        <w:t>Muslemani</w:t>
      </w:r>
      <w:proofErr w:type="spellEnd"/>
      <w:r>
        <w:t xml:space="preserve">, H., Liang, X., </w:t>
      </w:r>
      <w:proofErr w:type="spellStart"/>
      <w:r>
        <w:t>Kaesehage</w:t>
      </w:r>
      <w:proofErr w:type="spellEnd"/>
      <w:r>
        <w:t xml:space="preserve">, K., </w:t>
      </w:r>
      <w:proofErr w:type="spellStart"/>
      <w:r>
        <w:t>Ascui</w:t>
      </w:r>
      <w:proofErr w:type="spellEnd"/>
      <w:r>
        <w:t xml:space="preserve">, F. and Wilson, J., 2021. Opportunities and challenges for decarbonizing steel production by creating markets for ‘green steel’ products. </w:t>
      </w:r>
      <w:r>
        <w:rPr>
          <w:i/>
          <w:iCs/>
        </w:rPr>
        <w:t>Journal of Cleaner Production</w:t>
      </w:r>
      <w:r>
        <w:t xml:space="preserve">, vol. </w:t>
      </w:r>
      <w:r>
        <w:rPr>
          <w:i/>
          <w:iCs/>
        </w:rPr>
        <w:t>315</w:t>
      </w:r>
      <w:r>
        <w:t>, p.128127.</w:t>
      </w:r>
    </w:p>
    <w:p w14:paraId="07558C28" w14:textId="77777777" w:rsidR="00875986" w:rsidRDefault="00000000">
      <w:r>
        <w:t xml:space="preserve">Nishith (2025), </w:t>
      </w:r>
      <w:r>
        <w:rPr>
          <w:i/>
          <w:iCs/>
        </w:rPr>
        <w:t>Tata Steel's Revolutionary Dry-Forming Technology Reimagines Can Production</w:t>
      </w:r>
      <w:r>
        <w:t xml:space="preserve">, Available at: </w:t>
      </w:r>
      <w:hyperlink r:id="rId14">
        <w:r>
          <w:rPr>
            <w:color w:val="0563C1"/>
            <w:u w:val="single"/>
          </w:rPr>
          <w:t>https://www.oreaco.com/news/english/ferrumfortis/tata-steel's-revolutionary-dry-forming-technology-reimagines-can-production</w:t>
        </w:r>
      </w:hyperlink>
      <w:r>
        <w:t xml:space="preserve"> [Accessed 9 October 2026]</w:t>
      </w:r>
    </w:p>
    <w:p w14:paraId="77EE9C9D" w14:textId="77777777" w:rsidR="00875986" w:rsidRDefault="00000000">
      <w:proofErr w:type="spellStart"/>
      <w:r>
        <w:t>Omigbodun</w:t>
      </w:r>
      <w:proofErr w:type="spellEnd"/>
      <w:r>
        <w:t xml:space="preserve">, F.T., 2026. AI-Driven Digital Twins in Sustainable Manufacturing: A Critical Review. </w:t>
      </w:r>
      <w:r>
        <w:rPr>
          <w:i/>
          <w:iCs/>
        </w:rPr>
        <w:t>Sustainability</w:t>
      </w:r>
      <w:r>
        <w:t xml:space="preserve">, vol. </w:t>
      </w:r>
      <w:r>
        <w:rPr>
          <w:i/>
          <w:iCs/>
        </w:rPr>
        <w:t>18</w:t>
      </w:r>
      <w:r>
        <w:t>, no.11, p.5785.</w:t>
      </w:r>
    </w:p>
    <w:p w14:paraId="17FB3B2F" w14:textId="77777777" w:rsidR="00875986" w:rsidRDefault="00000000">
      <w:r>
        <w:t xml:space="preserve">Packaging Europe (2025), </w:t>
      </w:r>
      <w:r>
        <w:rPr>
          <w:i/>
          <w:iCs/>
        </w:rPr>
        <w:t>Tata Steel introduces dry forming process for food cans</w:t>
      </w:r>
      <w:r>
        <w:t xml:space="preserve">, Available at: </w:t>
      </w:r>
      <w:hyperlink r:id="rId15">
        <w:r>
          <w:rPr>
            <w:color w:val="0563C1"/>
            <w:u w:val="single"/>
          </w:rPr>
          <w:t>https://www.packagingeurope.com/tata-steel-introduces-dry-forming-process-for-food-cans/</w:t>
        </w:r>
      </w:hyperlink>
      <w:r>
        <w:t xml:space="preserve"> [Accessed 4 October 2026]</w:t>
      </w:r>
    </w:p>
    <w:p w14:paraId="1C1A2F33" w14:textId="77777777" w:rsidR="00875986" w:rsidRDefault="00000000">
      <w:r>
        <w:t xml:space="preserve">Pillai, S. (2024), </w:t>
      </w:r>
      <w:r>
        <w:rPr>
          <w:i/>
          <w:iCs/>
        </w:rPr>
        <w:t>Water stress inevitable, what steel &amp; coal sectors can do to avoid looming crisis</w:t>
      </w:r>
      <w:r>
        <w:t xml:space="preserve">, Available at: </w:t>
      </w:r>
      <w:hyperlink r:id="rId16">
        <w:r>
          <w:rPr>
            <w:color w:val="0563C1"/>
            <w:u w:val="single"/>
          </w:rPr>
          <w:t>https://theprint.in/environment/water-stress-inevitable-what-steel-coal-sectors-can-do-to-avoid-looming-crisis/2160107/</w:t>
        </w:r>
      </w:hyperlink>
      <w:r>
        <w:t xml:space="preserve"> [Accessed 11 October 2026]</w:t>
      </w:r>
    </w:p>
    <w:p w14:paraId="3391890D" w14:textId="77777777" w:rsidR="00875986" w:rsidRDefault="00000000">
      <w:r>
        <w:t xml:space="preserve">Press Insider (2026), </w:t>
      </w:r>
      <w:r>
        <w:rPr>
          <w:i/>
          <w:iCs/>
        </w:rPr>
        <w:t>Tata Steel seeks Dutch deal as emission rules squeeze Ijmuiden</w:t>
      </w:r>
      <w:r>
        <w:t xml:space="preserve">, Available at: </w:t>
      </w:r>
      <w:hyperlink r:id="rId17">
        <w:r>
          <w:rPr>
            <w:color w:val="0563C1"/>
            <w:u w:val="single"/>
          </w:rPr>
          <w:t>https://pressinsider.com/business/tata-steel-seeks-dutch-deal-as-emission-rules-squeeze-ijmuiden/</w:t>
        </w:r>
      </w:hyperlink>
      <w:r>
        <w:t xml:space="preserve"> [Accessed 8 October 2026]</w:t>
      </w:r>
    </w:p>
    <w:p w14:paraId="7143832C" w14:textId="77777777" w:rsidR="00875986" w:rsidRDefault="00000000">
      <w:r>
        <w:lastRenderedPageBreak/>
        <w:t xml:space="preserve">Pyshyev, S., </w:t>
      </w:r>
      <w:proofErr w:type="spellStart"/>
      <w:r>
        <w:t>Zbykovskyy</w:t>
      </w:r>
      <w:proofErr w:type="spellEnd"/>
      <w:r>
        <w:t xml:space="preserve">, Y., Shvets, I., Miroshnichenko, D., Kravchenko, S., Stelmachenko, S., Demchuk, Y. and Vytrykush, N., 2023. </w:t>
      </w:r>
      <w:proofErr w:type="spellStart"/>
      <w:r>
        <w:t>Modeling</w:t>
      </w:r>
      <w:proofErr w:type="spellEnd"/>
      <w:r>
        <w:t xml:space="preserve"> of coke distribution in a dry quenching zone. </w:t>
      </w:r>
      <w:r>
        <w:rPr>
          <w:i/>
          <w:iCs/>
        </w:rPr>
        <w:t>ACS omega</w:t>
      </w:r>
      <w:r>
        <w:t xml:space="preserve">, vol. </w:t>
      </w:r>
      <w:r>
        <w:rPr>
          <w:i/>
          <w:iCs/>
        </w:rPr>
        <w:t>8</w:t>
      </w:r>
      <w:r>
        <w:t>, no. 22, p.19464.</w:t>
      </w:r>
    </w:p>
    <w:p w14:paraId="460C2BD1" w14:textId="77777777" w:rsidR="00875986" w:rsidRDefault="00000000">
      <w:r>
        <w:t xml:space="preserve">Ramesh, M. (2026), </w:t>
      </w:r>
      <w:r>
        <w:rPr>
          <w:i/>
          <w:iCs/>
        </w:rPr>
        <w:t xml:space="preserve">Tata Steel’s </w:t>
      </w:r>
      <w:proofErr w:type="spellStart"/>
      <w:r>
        <w:rPr>
          <w:i/>
          <w:iCs/>
        </w:rPr>
        <w:t>EASyMelt</w:t>
      </w:r>
      <w:proofErr w:type="spellEnd"/>
      <w:r>
        <w:rPr>
          <w:i/>
          <w:iCs/>
        </w:rPr>
        <w:t xml:space="preserve"> technology aims to halve coke use in blast furnaces</w:t>
      </w:r>
      <w:r>
        <w:t xml:space="preserve">, Available at: </w:t>
      </w:r>
      <w:hyperlink r:id="rId18">
        <w:r>
          <w:rPr>
            <w:color w:val="0563C1"/>
            <w:u w:val="single"/>
          </w:rPr>
          <w:t>https://www.thehindubusinessline.com/business-tech/tata-steels-easymelt-technology-aims-to-halve-coke-use-in-blast-furnaces/article71270482.ece</w:t>
        </w:r>
      </w:hyperlink>
      <w:r>
        <w:t xml:space="preserve"> [Accessed 12 October 2026]</w:t>
      </w:r>
    </w:p>
    <w:p w14:paraId="5BF9BC14" w14:textId="77777777" w:rsidR="00875986" w:rsidRDefault="00000000">
      <w:r>
        <w:t xml:space="preserve">Renforth, P., Campbell, J., </w:t>
      </w:r>
      <w:proofErr w:type="spellStart"/>
      <w:r>
        <w:t>Foteinis</w:t>
      </w:r>
      <w:proofErr w:type="spellEnd"/>
      <w:r>
        <w:t xml:space="preserve">, S., </w:t>
      </w:r>
      <w:proofErr w:type="spellStart"/>
      <w:r>
        <w:t>Cosgun</w:t>
      </w:r>
      <w:proofErr w:type="spellEnd"/>
      <w:r>
        <w:t xml:space="preserve">, E., Young, J., Strunge, T., Riley, A.L., Mayes, W.M. and Van der Spek, M.W., 2024. Carbon dioxide removal could result in the use of lower-grade iron ore in a decarbonized net-negative emission steel industry. </w:t>
      </w:r>
      <w:r>
        <w:rPr>
          <w:i/>
          <w:iCs/>
        </w:rPr>
        <w:t>Journal of Cleaner Production</w:t>
      </w:r>
      <w:r>
        <w:t xml:space="preserve">, vol. </w:t>
      </w:r>
      <w:r>
        <w:rPr>
          <w:i/>
          <w:iCs/>
        </w:rPr>
        <w:t>468</w:t>
      </w:r>
      <w:r>
        <w:t>, p.142987.</w:t>
      </w:r>
    </w:p>
    <w:p w14:paraId="16B12C3A" w14:textId="77777777" w:rsidR="00875986" w:rsidRDefault="00000000">
      <w:r>
        <w:t xml:space="preserve">Sandbag (2026), </w:t>
      </w:r>
      <w:r>
        <w:rPr>
          <w:i/>
          <w:iCs/>
        </w:rPr>
        <w:t>The EU CBAM’s real impact on India</w:t>
      </w:r>
      <w:r>
        <w:t xml:space="preserve">, Available at: </w:t>
      </w:r>
      <w:hyperlink r:id="rId19">
        <w:r>
          <w:rPr>
            <w:color w:val="0563C1"/>
            <w:u w:val="single"/>
          </w:rPr>
          <w:t>https://sandbag.be/2026/08/04/report-cbam-impact-india/</w:t>
        </w:r>
      </w:hyperlink>
      <w:r>
        <w:t xml:space="preserve"> [Accessed 3 October 2026]</w:t>
      </w:r>
    </w:p>
    <w:p w14:paraId="25FA6232" w14:textId="77777777" w:rsidR="00875986" w:rsidRDefault="00000000">
      <w:r>
        <w:t xml:space="preserve">SMS Group (2026), </w:t>
      </w:r>
      <w:r>
        <w:rPr>
          <w:i/>
          <w:iCs/>
        </w:rPr>
        <w:t>SMS group and Tata Steel join forces to showcase decarbonization technology on industrial scale</w:t>
      </w:r>
      <w:r>
        <w:t xml:space="preserve">, Available at: </w:t>
      </w:r>
      <w:hyperlink r:id="rId20">
        <w:r>
          <w:rPr>
            <w:color w:val="0563C1"/>
            <w:u w:val="single"/>
          </w:rPr>
          <w:t>https://www.sms-group.com/plants/reference-detail/easymelt-tata-steel-india-89</w:t>
        </w:r>
      </w:hyperlink>
      <w:r>
        <w:t xml:space="preserve"> [Accessed 6 October 2026]</w:t>
      </w:r>
    </w:p>
    <w:p w14:paraId="1195E9B0" w14:textId="77777777" w:rsidR="00875986" w:rsidRDefault="00000000">
      <w:r>
        <w:t xml:space="preserve">Tata Steel (2020), </w:t>
      </w:r>
      <w:r>
        <w:rPr>
          <w:i/>
          <w:iCs/>
        </w:rPr>
        <w:t>HISARNA: Building a sustainable steel industry</w:t>
      </w:r>
      <w:r>
        <w:t xml:space="preserve">, Available at: </w:t>
      </w:r>
      <w:hyperlink r:id="rId21">
        <w:r>
          <w:rPr>
            <w:color w:val="0563C1"/>
            <w:u w:val="single"/>
          </w:rPr>
          <w:t>https://products.tatasteelnederland.com/sites/producttsn/files/tata-steel-europe-factsheet-hisarna.pdf</w:t>
        </w:r>
      </w:hyperlink>
      <w:r>
        <w:t xml:space="preserve"> [Accessed 10 October 2026]</w:t>
      </w:r>
    </w:p>
    <w:p w14:paraId="3F32D064" w14:textId="77777777" w:rsidR="00875986" w:rsidRDefault="00000000">
      <w:r>
        <w:t xml:space="preserve">Tata Steel (2026), </w:t>
      </w:r>
      <w:r>
        <w:rPr>
          <w:i/>
          <w:iCs/>
        </w:rPr>
        <w:t>Company Profile</w:t>
      </w:r>
      <w:r>
        <w:t xml:space="preserve">, Available at: </w:t>
      </w:r>
      <w:hyperlink r:id="rId22">
        <w:r>
          <w:rPr>
            <w:color w:val="0563C1"/>
            <w:u w:val="single"/>
          </w:rPr>
          <w:t>https://www.tatasteel.com/corporate/our-organisation/company-profile/</w:t>
        </w:r>
      </w:hyperlink>
      <w:r>
        <w:t xml:space="preserve"> [Accessed 9 October 2026]</w:t>
      </w:r>
    </w:p>
    <w:p w14:paraId="1B7162CC" w14:textId="77777777" w:rsidR="00875986" w:rsidRDefault="00000000">
      <w:r>
        <w:t xml:space="preserve">Tata Steel Nederland (2026a), </w:t>
      </w:r>
      <w:proofErr w:type="spellStart"/>
      <w:r>
        <w:rPr>
          <w:i/>
          <w:iCs/>
        </w:rPr>
        <w:t>Protact</w:t>
      </w:r>
      <w:proofErr w:type="spellEnd"/>
      <w:r>
        <w:rPr>
          <w:i/>
          <w:iCs/>
        </w:rPr>
        <w:t>® benefits</w:t>
      </w:r>
      <w:r>
        <w:t xml:space="preserve">, Available at: </w:t>
      </w:r>
      <w:hyperlink r:id="rId23">
        <w:r>
          <w:rPr>
            <w:color w:val="0563C1"/>
            <w:u w:val="single"/>
          </w:rPr>
          <w:t>https://products.tatasteelnederland.com/brands/protact-benefits</w:t>
        </w:r>
      </w:hyperlink>
      <w:r>
        <w:t xml:space="preserve"> [Accessed 11 October 2026]</w:t>
      </w:r>
    </w:p>
    <w:p w14:paraId="67E7F71C" w14:textId="77777777" w:rsidR="00875986" w:rsidRDefault="00000000">
      <w:r>
        <w:t xml:space="preserve">Tata Steel Nederland (2026b), </w:t>
      </w:r>
      <w:proofErr w:type="spellStart"/>
      <w:r>
        <w:rPr>
          <w:i/>
          <w:iCs/>
        </w:rPr>
        <w:t>Zeremis</w:t>
      </w:r>
      <w:proofErr w:type="spellEnd"/>
      <w:r>
        <w:rPr>
          <w:i/>
          <w:iCs/>
        </w:rPr>
        <w:t>® sustainable solutions</w:t>
      </w:r>
      <w:r>
        <w:t xml:space="preserve">, Available at: </w:t>
      </w:r>
      <w:hyperlink r:id="rId24">
        <w:r>
          <w:rPr>
            <w:color w:val="0563C1"/>
            <w:u w:val="single"/>
          </w:rPr>
          <w:t>https://products.tatasteelnederland.com/services/sustainable-solutions/zeremis</w:t>
        </w:r>
      </w:hyperlink>
      <w:r>
        <w:t xml:space="preserve"> [Accessed 7 October 2026]</w:t>
      </w:r>
    </w:p>
    <w:p w14:paraId="48FFE68E" w14:textId="77777777" w:rsidR="00875986" w:rsidRDefault="00000000">
      <w:r>
        <w:lastRenderedPageBreak/>
        <w:t xml:space="preserve">The Hindu (2017), </w:t>
      </w:r>
      <w:r>
        <w:rPr>
          <w:i/>
          <w:iCs/>
        </w:rPr>
        <w:t xml:space="preserve">India’s largest CDQ facility at Tata Steel </w:t>
      </w:r>
      <w:proofErr w:type="spellStart"/>
      <w:r>
        <w:rPr>
          <w:i/>
          <w:iCs/>
        </w:rPr>
        <w:t>Kalinganagar</w:t>
      </w:r>
      <w:proofErr w:type="spellEnd"/>
      <w:r>
        <w:t xml:space="preserve">, Available at: </w:t>
      </w:r>
      <w:hyperlink r:id="rId25">
        <w:r>
          <w:rPr>
            <w:color w:val="0563C1"/>
            <w:u w:val="single"/>
          </w:rPr>
          <w:t>https://www.thehindu.com/business/Industry/indias-largest-cdq-facility-at-tata-steel-kalinganagar/article19991816.ece</w:t>
        </w:r>
      </w:hyperlink>
      <w:r>
        <w:t xml:space="preserve"> [Accessed 4 October 2026]</w:t>
      </w:r>
    </w:p>
    <w:p w14:paraId="1C3CB951" w14:textId="77777777" w:rsidR="00875986" w:rsidRDefault="00000000">
      <w:r>
        <w:t xml:space="preserve">Wang, D., Zhao, W., Nie, L., Shao, X., Zhang, W., Ying, N., Hu, J. and Zhang, X., 2023. Increasing volatile organic compounds emission from massive industrial coating consumption require more comprehensive prevention. </w:t>
      </w:r>
      <w:r>
        <w:rPr>
          <w:i/>
          <w:iCs/>
        </w:rPr>
        <w:t>Journal of Cleaner Production</w:t>
      </w:r>
      <w:r>
        <w:t xml:space="preserve">, vol. </w:t>
      </w:r>
      <w:r>
        <w:rPr>
          <w:i/>
          <w:iCs/>
        </w:rPr>
        <w:t>414</w:t>
      </w:r>
      <w:r>
        <w:t>, p.137459.</w:t>
      </w:r>
    </w:p>
    <w:p w14:paraId="609E2932" w14:textId="77777777" w:rsidR="00875986" w:rsidRDefault="00000000">
      <w:r>
        <w:t xml:space="preserve">Wang, W., Shen, J., Chen, Y., Zheng, D. and Li, L., 2024. Identification and analysis of volatile organic compound and very volatile organic compound of MDF coated with different lacquers and their health risks to humans. </w:t>
      </w:r>
      <w:r>
        <w:rPr>
          <w:i/>
          <w:iCs/>
        </w:rPr>
        <w:t>Journal of Environmental Chemical Engineering</w:t>
      </w:r>
      <w:r>
        <w:t xml:space="preserve">, vol. </w:t>
      </w:r>
      <w:r>
        <w:rPr>
          <w:i/>
          <w:iCs/>
        </w:rPr>
        <w:t>12</w:t>
      </w:r>
      <w:r>
        <w:t>. No. 2, p.112120.</w:t>
      </w:r>
    </w:p>
    <w:p w14:paraId="2E9F5C06" w14:textId="77777777" w:rsidR="00875986" w:rsidRDefault="00000000">
      <w:r>
        <w:t xml:space="preserve">Wu, X., Meng, J., Liang, X., Sun, L., Coffman, D.M., </w:t>
      </w:r>
      <w:proofErr w:type="spellStart"/>
      <w:r>
        <w:t>Kontoleon</w:t>
      </w:r>
      <w:proofErr w:type="spellEnd"/>
      <w:r>
        <w:t xml:space="preserve">, A. and Guan, D., 2025. Technological pathways for cost-effective steel decarbonization. </w:t>
      </w:r>
      <w:r>
        <w:rPr>
          <w:i/>
          <w:iCs/>
        </w:rPr>
        <w:t>Nature</w:t>
      </w:r>
      <w:r>
        <w:t xml:space="preserve">, vol. </w:t>
      </w:r>
      <w:r>
        <w:rPr>
          <w:i/>
          <w:iCs/>
        </w:rPr>
        <w:t>647</w:t>
      </w:r>
      <w:r>
        <w:t>. No. 8088, pp.93-101.</w:t>
      </w:r>
    </w:p>
    <w:p w14:paraId="329A2B7F" w14:textId="77777777" w:rsidR="00875986" w:rsidRDefault="00000000">
      <w:r>
        <w:t xml:space="preserve">Yadav, M. (2026), </w:t>
      </w:r>
      <w:r>
        <w:rPr>
          <w:i/>
          <w:iCs/>
        </w:rPr>
        <w:t>Inside Ludhiana's decarbonisation plant-what it tells Indian exporters about surviving Europe's carbon border tax</w:t>
      </w:r>
      <w:r>
        <w:t xml:space="preserve">, Available at: </w:t>
      </w:r>
      <w:hyperlink r:id="rId26">
        <w:r>
          <w:rPr>
            <w:color w:val="0563C1"/>
            <w:u w:val="single"/>
          </w:rPr>
          <w:t>https://ecopreneur.timesofindia.com/stories/impact-stories/inside-tata-steels-ludhiana-bet-on-decarbonisation-what-it-tells-indian-exporters-about-surviving-europes-carbon-border-tax/articleshow/132207640.cms</w:t>
        </w:r>
      </w:hyperlink>
      <w:r>
        <w:t xml:space="preserve"> [Accessed 11 October 2026]</w:t>
      </w:r>
    </w:p>
    <w:p w14:paraId="5F836E64" w14:textId="77777777" w:rsidR="00875986" w:rsidRDefault="00000000">
      <w:r>
        <w:t xml:space="preserve">Zachariah, R. (2026), </w:t>
      </w:r>
      <w:r>
        <w:rPr>
          <w:i/>
          <w:iCs/>
        </w:rPr>
        <w:t xml:space="preserve">Compliance takes </w:t>
      </w:r>
      <w:proofErr w:type="spellStart"/>
      <w:r>
        <w:rPr>
          <w:i/>
          <w:iCs/>
        </w:rPr>
        <w:t>centrestage</w:t>
      </w:r>
      <w:proofErr w:type="spellEnd"/>
      <w:r>
        <w:rPr>
          <w:i/>
          <w:iCs/>
        </w:rPr>
        <w:t xml:space="preserve"> in boardrooms</w:t>
      </w:r>
      <w:r>
        <w:t xml:space="preserve">, Available at: </w:t>
      </w:r>
      <w:hyperlink r:id="rId27">
        <w:r>
          <w:rPr>
            <w:color w:val="0563C1"/>
            <w:u w:val="single"/>
          </w:rPr>
          <w:t>https://timesofindia.indiatimes.com/business/india-business/compliance-takes-centrestage-in-boardrooms/articleshow/128175011.cms</w:t>
        </w:r>
      </w:hyperlink>
      <w:r>
        <w:t xml:space="preserve"> [Accessed 7 October 2026]</w:t>
      </w:r>
    </w:p>
    <w:p w14:paraId="502EE890" w14:textId="77777777" w:rsidR="00875986" w:rsidRDefault="00000000">
      <w:r>
        <w:t xml:space="preserve">Zhang, J., Guo, H., Yang, G., Wang, Y. and Chen, W., 2025. Sustainable transition pathways for steel manufacturing: Low-carbon steelmaking technologies in enterprises. </w:t>
      </w:r>
      <w:r>
        <w:rPr>
          <w:i/>
          <w:iCs/>
        </w:rPr>
        <w:t>Sustainability</w:t>
      </w:r>
      <w:r>
        <w:t xml:space="preserve">, vol. </w:t>
      </w:r>
      <w:r>
        <w:rPr>
          <w:i/>
          <w:iCs/>
        </w:rPr>
        <w:t>17</w:t>
      </w:r>
      <w:r>
        <w:t>, no. 12, p.5329.</w:t>
      </w:r>
    </w:p>
    <w:sectPr w:rsidR="00875986">
      <w:headerReference w:type="default" r:id="rId2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B977D" w14:textId="77777777" w:rsidR="00804106" w:rsidRDefault="00804106">
      <w:pPr>
        <w:spacing w:after="0" w:line="240" w:lineRule="auto"/>
      </w:pPr>
      <w:r>
        <w:separator/>
      </w:r>
    </w:p>
  </w:endnote>
  <w:endnote w:type="continuationSeparator" w:id="0">
    <w:p w14:paraId="4460A3C9" w14:textId="77777777" w:rsidR="00804106" w:rsidRDefault="00804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embedBold r:id="rId1" w:fontKey="{BB69E47E-DC44-41E6-9BBF-A6E3D6CC6B18}"/>
  </w:font>
  <w:font w:name="Calibri">
    <w:panose1 w:val="020F0502020204030204"/>
    <w:charset w:val="00"/>
    <w:family w:val="swiss"/>
    <w:pitch w:val="variable"/>
    <w:sig w:usb0="E4002EFF" w:usb1="C200247B" w:usb2="00000009" w:usb3="00000000" w:csb0="000001FF" w:csb1="00000000"/>
    <w:embedRegular r:id="rId2" w:fontKey="{0519C661-B072-4605-A440-F835DD7B4D24}"/>
    <w:embedItalic r:id="rId3" w:fontKey="{47A0F162-0B42-4FC6-A5FF-C15ED19864A5}"/>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4" w:fontKey="{0DE1A523-0E91-41BD-83CD-D4690CB47447}"/>
  </w:font>
  <w:font w:name="Shruti">
    <w:panose1 w:val="02000500000000000000"/>
    <w:charset w:val="00"/>
    <w:family w:val="swiss"/>
    <w:pitch w:val="variable"/>
    <w:sig w:usb0="00040003" w:usb1="00000000" w:usb2="00000000" w:usb3="00000000" w:csb0="00000001" w:csb1="00000000"/>
    <w:embedRegular r:id="rId5" w:fontKey="{B2A9205D-96D8-4664-930D-9CAD8961A5A4}"/>
  </w:font>
  <w:font w:name="Cambria">
    <w:panose1 w:val="02040503050406030204"/>
    <w:charset w:val="00"/>
    <w:family w:val="roman"/>
    <w:pitch w:val="variable"/>
    <w:sig w:usb0="E00006FF" w:usb1="420024FF" w:usb2="02000000" w:usb3="00000000" w:csb0="0000019F" w:csb1="00000000"/>
    <w:embedRegular r:id="rId6" w:fontKey="{B111E661-98BC-48E1-A216-09A3B02A3EE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E002E" w14:textId="77777777" w:rsidR="00804106" w:rsidRDefault="00804106">
      <w:pPr>
        <w:spacing w:after="0" w:line="240" w:lineRule="auto"/>
      </w:pPr>
      <w:r>
        <w:separator/>
      </w:r>
    </w:p>
  </w:footnote>
  <w:footnote w:type="continuationSeparator" w:id="0">
    <w:p w14:paraId="566AFBFF" w14:textId="77777777" w:rsidR="00804106" w:rsidRDefault="00804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AB048E" w14:textId="77777777" w:rsidR="00875986"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E3350">
      <w:rPr>
        <w:noProof/>
        <w:color w:val="000000"/>
      </w:rPr>
      <w:t>1</w:t>
    </w:r>
    <w:r>
      <w:rPr>
        <w:color w:val="000000"/>
      </w:rPr>
      <w:fldChar w:fldCharType="end"/>
    </w:r>
  </w:p>
  <w:p w14:paraId="37DA883D" w14:textId="77777777" w:rsidR="00875986" w:rsidRDefault="00875986">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986"/>
    <w:rsid w:val="004C2152"/>
    <w:rsid w:val="00804106"/>
    <w:rsid w:val="00875986"/>
    <w:rsid w:val="00BE335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14B5"/>
  <w15:docId w15:val="{3F610672-F154-4DA6-90CE-7CF3D4296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gu-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bCs/>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rFonts w:ascii="Libre Baskerville" w:eastAsia="Libre Baskerville" w:hAnsi="Libre Baskerville" w:cs="Libre Baskerville"/>
      <w:b/>
      <w:bCs/>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argusmedia.com/en/news-and-insights/latest-market-news/2592300-india-s-tata-steel-tests-biomass-at-ferro-chrome-plant" TargetMode="External"/><Relationship Id="rId13" Type="http://schemas.openxmlformats.org/officeDocument/2006/relationships/hyperlink" Target="https://www.kraftblock.com/projects/tata-steel-sinter-plant-3" TargetMode="External"/><Relationship Id="rId18" Type="http://schemas.openxmlformats.org/officeDocument/2006/relationships/hyperlink" Target="https://www.thehindubusinessline.com/business-tech/tata-steels-easymelt-technology-aims-to-halve-coke-use-in-blast-furnaces/article71270482.ece" TargetMode="External"/><Relationship Id="rId26" Type="http://schemas.openxmlformats.org/officeDocument/2006/relationships/hyperlink" Target="https://ecopreneur.timesofindia.com/stories/impact-stories/inside-tata-steels-ludhiana-bet-on-decarbonisation-what-it-tells-indian-exporters-about-surviving-europes-carbon-border-tax/articleshow/132207640.cms" TargetMode="External"/><Relationship Id="rId3" Type="http://schemas.openxmlformats.org/officeDocument/2006/relationships/webSettings" Target="webSettings.xml"/><Relationship Id="rId21" Type="http://schemas.openxmlformats.org/officeDocument/2006/relationships/hyperlink" Target="https://products.tatasteelnederland.com/sites/producttsn/files/tata-steel-europe-factsheet-hisarna.pdf" TargetMode="External"/><Relationship Id="rId7" Type="http://schemas.openxmlformats.org/officeDocument/2006/relationships/hyperlink" Target="https://ansys.synopsys.com/en-in/blog/simulation-takes-heat-off-tata-steel-during-production" TargetMode="External"/><Relationship Id="rId12" Type="http://schemas.openxmlformats.org/officeDocument/2006/relationships/hyperlink" Target="https://www.globalefficiencyintel.com/steel-climate-impact-international-benchmarking-energy-co2-intensities" TargetMode="External"/><Relationship Id="rId17" Type="http://schemas.openxmlformats.org/officeDocument/2006/relationships/hyperlink" Target="https://pressinsider.com/business/tata-steel-seeks-dutch-deal-as-emission-rules-squeeze-ijmuiden/" TargetMode="External"/><Relationship Id="rId25" Type="http://schemas.openxmlformats.org/officeDocument/2006/relationships/hyperlink" Target="https://www.thehindu.com/business/Industry/indias-largest-cdq-facility-at-tata-steel-kalinganagar/article19991816.ece" TargetMode="External"/><Relationship Id="rId2" Type="http://schemas.openxmlformats.org/officeDocument/2006/relationships/settings" Target="settings.xml"/><Relationship Id="rId16" Type="http://schemas.openxmlformats.org/officeDocument/2006/relationships/hyperlink" Target="https://theprint.in/environment/water-stress-inevitable-what-steel-coal-sectors-can-do-to-avoid-looming-crisis/2160107/" TargetMode="External"/><Relationship Id="rId20" Type="http://schemas.openxmlformats.org/officeDocument/2006/relationships/hyperlink" Target="https://www.sms-group.com/plants/reference-detail/easymelt-tata-steel-india-89"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nergy.economictimes.indiatimes.com/news/power/tata-steel-commissions-indias-first-plant-for-co2-capture-from-blast-furnace-gas/86219103" TargetMode="External"/><Relationship Id="rId24" Type="http://schemas.openxmlformats.org/officeDocument/2006/relationships/hyperlink" Target="https://products.tatasteelnederland.com/services/sustainable-solutions/zeremis" TargetMode="External"/><Relationship Id="rId5" Type="http://schemas.openxmlformats.org/officeDocument/2006/relationships/endnotes" Target="endnotes.xml"/><Relationship Id="rId15" Type="http://schemas.openxmlformats.org/officeDocument/2006/relationships/hyperlink" Target="https://www.packagingeurope.com/tata-steel-introduces-dry-forming-process-for-food-cans/" TargetMode="External"/><Relationship Id="rId23" Type="http://schemas.openxmlformats.org/officeDocument/2006/relationships/hyperlink" Target="https://products.tatasteelnederland.com/brands/protact-benefits" TargetMode="External"/><Relationship Id="rId28" Type="http://schemas.openxmlformats.org/officeDocument/2006/relationships/header" Target="header1.xml"/><Relationship Id="rId10" Type="http://schemas.openxmlformats.org/officeDocument/2006/relationships/hyperlink" Target="https://doi.org/10.3390/w15122177" TargetMode="External"/><Relationship Id="rId19" Type="http://schemas.openxmlformats.org/officeDocument/2006/relationships/hyperlink" Target="https://sandbag.be/2026/08/04/report-cbam-impact-india/" TargetMode="External"/><Relationship Id="rId4" Type="http://schemas.openxmlformats.org/officeDocument/2006/relationships/footnotes" Target="footnotes.xml"/><Relationship Id="rId9" Type="http://schemas.openxmlformats.org/officeDocument/2006/relationships/hyperlink" Target="https://www.livemint.com/companies/tata-steel-netherlands-ijmuiden-green-steel-steelmaking-decarbonization-electric-arc-furnaces-government-aid-11791215933836.html" TargetMode="External"/><Relationship Id="rId14" Type="http://schemas.openxmlformats.org/officeDocument/2006/relationships/hyperlink" Target="https://www.oreaco.com/news/english/ferrumfortis/tata-steel's-revolutionary-dry-forming-technology-reimagines-can-production" TargetMode="External"/><Relationship Id="rId22" Type="http://schemas.openxmlformats.org/officeDocument/2006/relationships/hyperlink" Target="https://www.tatasteel.com/corporate/our-organisation/company-profile/" TargetMode="External"/><Relationship Id="rId27" Type="http://schemas.openxmlformats.org/officeDocument/2006/relationships/hyperlink" Target="https://timesofindia.indiatimes.com/business/india-business/compliance-takes-centrestage-in-boardrooms/articleshow/128175011.cms"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4432</Words>
  <Characters>25265</Characters>
  <Application>Microsoft Office Word</Application>
  <DocSecurity>0</DocSecurity>
  <Lines>210</Lines>
  <Paragraphs>59</Paragraphs>
  <ScaleCrop>false</ScaleCrop>
  <Company/>
  <LinksUpToDate>false</LinksUpToDate>
  <CharactersWithSpaces>29638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Joshi Sujal</cp:lastModifiedBy>
  <cp:revision>2</cp:revision>
  <dcterms:created xsi:type="dcterms:W3CDTF">2026-10-22T11:08:00Z</dcterms:created>
  <dcterms:modified xsi:type="dcterms:W3CDTF">2026-10-22T11:09:00Z</dcterms:modified>
</cp:coreProperties>
</file>