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6504FC" w14:textId="7F922CC3" w:rsidR="007D2EBB" w:rsidRDefault="007D2EBB" w:rsidP="001A2CAF">
      <w:pPr>
        <w:rPr>
          <w:b/>
          <w:bCs/>
        </w:rPr>
      </w:pPr>
      <w:r>
        <w:rPr>
          <w:noProof/>
        </w:rPr>
        <w:drawing>
          <wp:inline distT="0" distB="0" distL="0" distR="0" wp14:anchorId="25CC429B" wp14:editId="28240143">
            <wp:extent cx="3639820" cy="1816735"/>
            <wp:effectExtent l="0" t="0" r="0" b="0"/>
            <wp:docPr id="12299093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093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52A42F64" w14:textId="77777777" w:rsidR="007D2EBB" w:rsidRDefault="007D2EBB" w:rsidP="001A2CAF">
      <w:pPr>
        <w:rPr>
          <w:b/>
          <w:bCs/>
        </w:rPr>
      </w:pPr>
    </w:p>
    <w:p w14:paraId="068FA370" w14:textId="4B5BD33B" w:rsidR="007D2EBB" w:rsidRPr="00C7172C" w:rsidRDefault="007D2EBB" w:rsidP="007D2EBB">
      <w:pPr>
        <w:ind w:left="1440" w:firstLine="720"/>
        <w:rPr>
          <w:rFonts w:ascii="Times New Roman" w:hAnsi="Times New Roman" w:cs="Times New Roman"/>
          <w:sz w:val="40"/>
          <w:szCs w:val="40"/>
        </w:rPr>
      </w:pPr>
      <w:r w:rsidRPr="00C7172C">
        <w:rPr>
          <w:rFonts w:ascii="Times New Roman" w:hAnsi="Times New Roman" w:cs="Times New Roman"/>
          <w:sz w:val="40"/>
          <w:szCs w:val="40"/>
        </w:rPr>
        <w:t xml:space="preserve">Assessment </w:t>
      </w:r>
      <w:r w:rsidR="00CF241B">
        <w:rPr>
          <w:rFonts w:ascii="Times New Roman" w:hAnsi="Times New Roman" w:cs="Times New Roman"/>
          <w:sz w:val="40"/>
          <w:szCs w:val="40"/>
        </w:rPr>
        <w:t>2</w:t>
      </w:r>
    </w:p>
    <w:p w14:paraId="4F7DC2E6" w14:textId="77777777" w:rsidR="007D2EBB" w:rsidRPr="00C7172C" w:rsidRDefault="007D2EBB" w:rsidP="007D2EBB">
      <w:pPr>
        <w:rPr>
          <w:rFonts w:ascii="Times New Roman" w:hAnsi="Times New Roman" w:cs="Times New Roman"/>
          <w:sz w:val="40"/>
          <w:szCs w:val="40"/>
        </w:rPr>
      </w:pPr>
    </w:p>
    <w:p w14:paraId="26AAC8C6" w14:textId="77777777" w:rsidR="007D2EBB" w:rsidRPr="006F695A" w:rsidRDefault="007D2EBB" w:rsidP="007D2EBB">
      <w:pPr>
        <w:rPr>
          <w:rFonts w:ascii="Times New Roman" w:hAnsi="Times New Roman" w:cs="Times New Roman"/>
        </w:rPr>
      </w:pPr>
    </w:p>
    <w:p w14:paraId="00E517E5" w14:textId="77777777" w:rsidR="007D2EBB" w:rsidRPr="00DA3455" w:rsidRDefault="007D2EBB" w:rsidP="007D2EBB">
      <w:pPr>
        <w:spacing w:line="360" w:lineRule="auto"/>
        <w:rPr>
          <w:rFonts w:ascii="Arial" w:hAnsi="Arial" w:cs="Arial"/>
        </w:rPr>
      </w:pPr>
    </w:p>
    <w:p w14:paraId="6FD25600" w14:textId="77777777" w:rsidR="007D2EBB" w:rsidRPr="00DA3455" w:rsidRDefault="007D2EBB" w:rsidP="007D2EBB">
      <w:pPr>
        <w:spacing w:line="360" w:lineRule="auto"/>
        <w:rPr>
          <w:rFonts w:ascii="Arial" w:hAnsi="Arial" w:cs="Arial"/>
        </w:rPr>
      </w:pPr>
      <w:r w:rsidRPr="00DA3455">
        <w:rPr>
          <w:rFonts w:ascii="Arial" w:hAnsi="Arial" w:cs="Arial"/>
        </w:rPr>
        <w:t>Name: Sorin Daniel Dascalu</w:t>
      </w:r>
    </w:p>
    <w:p w14:paraId="733A2579" w14:textId="77777777" w:rsidR="007D2EBB" w:rsidRPr="00DA3455" w:rsidRDefault="007D2EBB" w:rsidP="007D2EBB">
      <w:pPr>
        <w:spacing w:line="360" w:lineRule="auto"/>
        <w:rPr>
          <w:rFonts w:ascii="Arial" w:hAnsi="Arial" w:cs="Arial"/>
        </w:rPr>
      </w:pPr>
      <w:r w:rsidRPr="00DA3455">
        <w:rPr>
          <w:rFonts w:ascii="Arial" w:hAnsi="Arial" w:cs="Arial"/>
        </w:rPr>
        <w:t>Student ID: 2237755</w:t>
      </w:r>
    </w:p>
    <w:p w14:paraId="18BC98DB" w14:textId="77777777" w:rsidR="007D2EBB" w:rsidRPr="00DA3455" w:rsidRDefault="007D2EBB" w:rsidP="007D2EBB">
      <w:pPr>
        <w:spacing w:line="360" w:lineRule="auto"/>
        <w:rPr>
          <w:rFonts w:ascii="Arial" w:hAnsi="Arial" w:cs="Arial"/>
        </w:rPr>
      </w:pPr>
      <w:r w:rsidRPr="00DA3455">
        <w:rPr>
          <w:rFonts w:ascii="Arial" w:hAnsi="Arial" w:cs="Arial"/>
        </w:rPr>
        <w:t>Module code: LCBB6015</w:t>
      </w:r>
    </w:p>
    <w:p w14:paraId="1640D3D1" w14:textId="77777777" w:rsidR="007D2EBB" w:rsidRPr="00DA3455" w:rsidRDefault="007D2EBB" w:rsidP="007D2EBB">
      <w:pPr>
        <w:spacing w:line="360" w:lineRule="auto"/>
        <w:rPr>
          <w:rFonts w:ascii="Arial" w:hAnsi="Arial" w:cs="Arial"/>
        </w:rPr>
      </w:pPr>
      <w:r w:rsidRPr="00DA3455">
        <w:rPr>
          <w:rFonts w:ascii="Arial" w:hAnsi="Arial" w:cs="Arial"/>
        </w:rPr>
        <w:t>Module name: Strategic Management and Sustainability</w:t>
      </w:r>
    </w:p>
    <w:p w14:paraId="500AACA0" w14:textId="77777777" w:rsidR="007D2EBB" w:rsidRPr="00DA3455" w:rsidRDefault="007D2EBB" w:rsidP="007D2EBB">
      <w:pPr>
        <w:spacing w:line="360" w:lineRule="auto"/>
        <w:rPr>
          <w:rFonts w:ascii="Arial" w:hAnsi="Arial" w:cs="Arial"/>
        </w:rPr>
      </w:pPr>
      <w:r w:rsidRPr="00DA3455">
        <w:rPr>
          <w:rFonts w:ascii="Arial" w:hAnsi="Arial" w:cs="Arial"/>
        </w:rPr>
        <w:t>Lecturer: Nadeem Mirza</w:t>
      </w:r>
    </w:p>
    <w:p w14:paraId="448D5CB4" w14:textId="77777777" w:rsidR="007D2EBB" w:rsidRDefault="007D2EBB" w:rsidP="007D2EBB">
      <w:pPr>
        <w:rPr>
          <w:b/>
          <w:bCs/>
        </w:rPr>
      </w:pPr>
    </w:p>
    <w:p w14:paraId="3F735519" w14:textId="77777777" w:rsidR="007D2EBB" w:rsidRDefault="007D2EBB" w:rsidP="007D2EBB">
      <w:pPr>
        <w:jc w:val="center"/>
        <w:rPr>
          <w:b/>
          <w:bCs/>
        </w:rPr>
      </w:pPr>
    </w:p>
    <w:p w14:paraId="4CFF71E7" w14:textId="77777777" w:rsidR="007D2EBB" w:rsidRDefault="007D2EBB" w:rsidP="007D2EBB">
      <w:pPr>
        <w:jc w:val="center"/>
        <w:rPr>
          <w:b/>
          <w:bCs/>
        </w:rPr>
      </w:pPr>
    </w:p>
    <w:p w14:paraId="609EBD31" w14:textId="77777777" w:rsidR="007D2EBB" w:rsidRDefault="007D2EBB" w:rsidP="007D2EBB">
      <w:pPr>
        <w:jc w:val="center"/>
        <w:rPr>
          <w:b/>
          <w:bCs/>
        </w:rPr>
      </w:pPr>
    </w:p>
    <w:p w14:paraId="01A22EC6" w14:textId="77777777" w:rsidR="007D2EBB" w:rsidRDefault="007D2EBB" w:rsidP="007D2EBB">
      <w:pPr>
        <w:jc w:val="center"/>
        <w:rPr>
          <w:b/>
          <w:bCs/>
        </w:rPr>
      </w:pPr>
    </w:p>
    <w:p w14:paraId="191AF1A4" w14:textId="77777777" w:rsidR="007D2EBB" w:rsidRDefault="007D2EBB" w:rsidP="007D2EBB">
      <w:pPr>
        <w:jc w:val="center"/>
        <w:rPr>
          <w:b/>
          <w:bCs/>
        </w:rPr>
      </w:pPr>
    </w:p>
    <w:p w14:paraId="31335316" w14:textId="77777777" w:rsidR="007D2EBB" w:rsidRDefault="007D2EBB" w:rsidP="00A3379C">
      <w:pPr>
        <w:jc w:val="both"/>
        <w:rPr>
          <w:b/>
          <w:bCs/>
        </w:rPr>
      </w:pPr>
    </w:p>
    <w:p w14:paraId="4660ACF8" w14:textId="77777777" w:rsidR="007D2EBB" w:rsidRDefault="007D2EBB" w:rsidP="001A2CAF">
      <w:pPr>
        <w:rPr>
          <w:b/>
          <w:bCs/>
        </w:rPr>
      </w:pPr>
    </w:p>
    <w:p w14:paraId="5AFEE488" w14:textId="77777777" w:rsidR="007D2EBB" w:rsidRDefault="007D2EBB" w:rsidP="001A2CAF">
      <w:pPr>
        <w:rPr>
          <w:b/>
          <w:bCs/>
        </w:rPr>
      </w:pPr>
    </w:p>
    <w:p w14:paraId="14531236" w14:textId="77777777" w:rsidR="00A3379C" w:rsidRDefault="00A3379C" w:rsidP="00A3379C">
      <w:pPr>
        <w:pStyle w:val="Title"/>
        <w:spacing w:line="360" w:lineRule="auto"/>
        <w:jc w:val="both"/>
        <w:rPr>
          <w:rFonts w:ascii="Arial" w:hAnsi="Arial" w:cs="Arial"/>
          <w:sz w:val="44"/>
          <w:szCs w:val="44"/>
        </w:rPr>
      </w:pPr>
    </w:p>
    <w:sdt>
      <w:sdtPr>
        <w:rPr>
          <w:rFonts w:asciiTheme="minorHAnsi" w:eastAsiaTheme="minorHAnsi" w:hAnsiTheme="minorHAnsi" w:cstheme="minorBidi"/>
          <w:color w:val="auto"/>
          <w:kern w:val="2"/>
          <w:sz w:val="24"/>
          <w:szCs w:val="24"/>
          <w:lang w:val="en-GB"/>
          <w14:ligatures w14:val="standardContextual"/>
        </w:rPr>
        <w:id w:val="-727530222"/>
        <w:docPartObj>
          <w:docPartGallery w:val="Table of Contents"/>
          <w:docPartUnique/>
        </w:docPartObj>
      </w:sdtPr>
      <w:sdtEndPr>
        <w:rPr>
          <w:b/>
          <w:bCs/>
          <w:noProof/>
        </w:rPr>
      </w:sdtEndPr>
      <w:sdtContent>
        <w:p w14:paraId="07FF5B8D" w14:textId="0CBE87E0" w:rsidR="00A3379C" w:rsidRDefault="00A3379C">
          <w:pPr>
            <w:pStyle w:val="TOCHeading"/>
          </w:pPr>
          <w:r>
            <w:t>Contents</w:t>
          </w:r>
        </w:p>
        <w:p w14:paraId="3161381E" w14:textId="3684D211" w:rsidR="00A3379C" w:rsidRDefault="00A3379C">
          <w:pPr>
            <w:pStyle w:val="TOC1"/>
            <w:tabs>
              <w:tab w:val="right" w:leader="dot" w:pos="9016"/>
            </w:tabs>
            <w:rPr>
              <w:noProof/>
            </w:rPr>
          </w:pPr>
          <w:r>
            <w:fldChar w:fldCharType="begin"/>
          </w:r>
          <w:r>
            <w:instrText xml:space="preserve"> TOC \o "1-3" \h \z \u </w:instrText>
          </w:r>
          <w:r>
            <w:fldChar w:fldCharType="separate"/>
          </w:r>
          <w:hyperlink w:anchor="_Toc237616720" w:history="1">
            <w:r w:rsidRPr="00B76728">
              <w:rPr>
                <w:rStyle w:val="Hyperlink"/>
                <w:rFonts w:ascii="Arial" w:hAnsi="Arial" w:cs="Arial"/>
                <w:noProof/>
              </w:rPr>
              <w:t>1.Executive Summary</w:t>
            </w:r>
            <w:r>
              <w:rPr>
                <w:noProof/>
                <w:webHidden/>
              </w:rPr>
              <w:tab/>
            </w:r>
            <w:r>
              <w:rPr>
                <w:noProof/>
                <w:webHidden/>
              </w:rPr>
              <w:fldChar w:fldCharType="begin"/>
            </w:r>
            <w:r>
              <w:rPr>
                <w:noProof/>
                <w:webHidden/>
              </w:rPr>
              <w:instrText xml:space="preserve"> PAGEREF _Toc237616720 \h </w:instrText>
            </w:r>
            <w:r>
              <w:rPr>
                <w:noProof/>
                <w:webHidden/>
              </w:rPr>
            </w:r>
            <w:r>
              <w:rPr>
                <w:noProof/>
                <w:webHidden/>
              </w:rPr>
              <w:fldChar w:fldCharType="separate"/>
            </w:r>
            <w:r>
              <w:rPr>
                <w:noProof/>
                <w:webHidden/>
              </w:rPr>
              <w:t>2</w:t>
            </w:r>
            <w:r>
              <w:rPr>
                <w:noProof/>
                <w:webHidden/>
              </w:rPr>
              <w:fldChar w:fldCharType="end"/>
            </w:r>
          </w:hyperlink>
        </w:p>
        <w:p w14:paraId="79B2ACB0" w14:textId="40596673" w:rsidR="00A3379C" w:rsidRDefault="00A3379C">
          <w:pPr>
            <w:pStyle w:val="TOC1"/>
            <w:tabs>
              <w:tab w:val="right" w:leader="dot" w:pos="9016"/>
            </w:tabs>
            <w:rPr>
              <w:noProof/>
            </w:rPr>
          </w:pPr>
          <w:hyperlink w:anchor="_Toc237616721" w:history="1">
            <w:r w:rsidRPr="00B76728">
              <w:rPr>
                <w:rStyle w:val="Hyperlink"/>
                <w:rFonts w:ascii="Arial" w:hAnsi="Arial" w:cs="Arial"/>
                <w:noProof/>
              </w:rPr>
              <w:t>2. Introduction to the Strategy</w:t>
            </w:r>
            <w:r>
              <w:rPr>
                <w:noProof/>
                <w:webHidden/>
              </w:rPr>
              <w:tab/>
            </w:r>
            <w:r>
              <w:rPr>
                <w:noProof/>
                <w:webHidden/>
              </w:rPr>
              <w:fldChar w:fldCharType="begin"/>
            </w:r>
            <w:r>
              <w:rPr>
                <w:noProof/>
                <w:webHidden/>
              </w:rPr>
              <w:instrText xml:space="preserve"> PAGEREF _Toc237616721 \h </w:instrText>
            </w:r>
            <w:r>
              <w:rPr>
                <w:noProof/>
                <w:webHidden/>
              </w:rPr>
            </w:r>
            <w:r>
              <w:rPr>
                <w:noProof/>
                <w:webHidden/>
              </w:rPr>
              <w:fldChar w:fldCharType="separate"/>
            </w:r>
            <w:r>
              <w:rPr>
                <w:noProof/>
                <w:webHidden/>
              </w:rPr>
              <w:t>3</w:t>
            </w:r>
            <w:r>
              <w:rPr>
                <w:noProof/>
                <w:webHidden/>
              </w:rPr>
              <w:fldChar w:fldCharType="end"/>
            </w:r>
          </w:hyperlink>
        </w:p>
        <w:p w14:paraId="5697DB51" w14:textId="0C89D7C1" w:rsidR="00A3379C" w:rsidRDefault="00A3379C">
          <w:pPr>
            <w:pStyle w:val="TOC1"/>
            <w:tabs>
              <w:tab w:val="right" w:leader="dot" w:pos="9016"/>
            </w:tabs>
            <w:rPr>
              <w:noProof/>
            </w:rPr>
          </w:pPr>
          <w:hyperlink w:anchor="_Toc237616722" w:history="1">
            <w:r w:rsidRPr="00B76728">
              <w:rPr>
                <w:rStyle w:val="Hyperlink"/>
                <w:rFonts w:ascii="Arial" w:hAnsi="Arial" w:cs="Arial"/>
                <w:noProof/>
              </w:rPr>
              <w:t>3. Overview / Background of the Firm</w:t>
            </w:r>
            <w:r>
              <w:rPr>
                <w:noProof/>
                <w:webHidden/>
              </w:rPr>
              <w:tab/>
            </w:r>
            <w:r>
              <w:rPr>
                <w:noProof/>
                <w:webHidden/>
              </w:rPr>
              <w:fldChar w:fldCharType="begin"/>
            </w:r>
            <w:r>
              <w:rPr>
                <w:noProof/>
                <w:webHidden/>
              </w:rPr>
              <w:instrText xml:space="preserve"> PAGEREF _Toc237616722 \h </w:instrText>
            </w:r>
            <w:r>
              <w:rPr>
                <w:noProof/>
                <w:webHidden/>
              </w:rPr>
            </w:r>
            <w:r>
              <w:rPr>
                <w:noProof/>
                <w:webHidden/>
              </w:rPr>
              <w:fldChar w:fldCharType="separate"/>
            </w:r>
            <w:r>
              <w:rPr>
                <w:noProof/>
                <w:webHidden/>
              </w:rPr>
              <w:t>3</w:t>
            </w:r>
            <w:r>
              <w:rPr>
                <w:noProof/>
                <w:webHidden/>
              </w:rPr>
              <w:fldChar w:fldCharType="end"/>
            </w:r>
          </w:hyperlink>
        </w:p>
        <w:p w14:paraId="1AC5842D" w14:textId="2E074B0D" w:rsidR="00A3379C" w:rsidRDefault="00A3379C">
          <w:pPr>
            <w:pStyle w:val="TOC1"/>
            <w:tabs>
              <w:tab w:val="right" w:leader="dot" w:pos="9016"/>
            </w:tabs>
            <w:rPr>
              <w:noProof/>
            </w:rPr>
          </w:pPr>
          <w:hyperlink w:anchor="_Toc237616723" w:history="1">
            <w:r w:rsidRPr="00B76728">
              <w:rPr>
                <w:rStyle w:val="Hyperlink"/>
                <w:rFonts w:ascii="Arial" w:hAnsi="Arial" w:cs="Arial"/>
                <w:noProof/>
              </w:rPr>
              <w:t>4. Strategic Intent</w:t>
            </w:r>
            <w:r>
              <w:rPr>
                <w:noProof/>
                <w:webHidden/>
              </w:rPr>
              <w:tab/>
            </w:r>
            <w:r>
              <w:rPr>
                <w:noProof/>
                <w:webHidden/>
              </w:rPr>
              <w:fldChar w:fldCharType="begin"/>
            </w:r>
            <w:r>
              <w:rPr>
                <w:noProof/>
                <w:webHidden/>
              </w:rPr>
              <w:instrText xml:space="preserve"> PAGEREF _Toc237616723 \h </w:instrText>
            </w:r>
            <w:r>
              <w:rPr>
                <w:noProof/>
                <w:webHidden/>
              </w:rPr>
            </w:r>
            <w:r>
              <w:rPr>
                <w:noProof/>
                <w:webHidden/>
              </w:rPr>
              <w:fldChar w:fldCharType="separate"/>
            </w:r>
            <w:r>
              <w:rPr>
                <w:noProof/>
                <w:webHidden/>
              </w:rPr>
              <w:t>4</w:t>
            </w:r>
            <w:r>
              <w:rPr>
                <w:noProof/>
                <w:webHidden/>
              </w:rPr>
              <w:fldChar w:fldCharType="end"/>
            </w:r>
          </w:hyperlink>
        </w:p>
        <w:p w14:paraId="266C6C58" w14:textId="1BE3907F" w:rsidR="00A3379C" w:rsidRDefault="00A3379C">
          <w:pPr>
            <w:pStyle w:val="TOC1"/>
            <w:tabs>
              <w:tab w:val="right" w:leader="dot" w:pos="9016"/>
            </w:tabs>
            <w:rPr>
              <w:noProof/>
            </w:rPr>
          </w:pPr>
          <w:hyperlink w:anchor="_Toc237616724" w:history="1">
            <w:r w:rsidRPr="00B76728">
              <w:rPr>
                <w:rStyle w:val="Hyperlink"/>
                <w:rFonts w:ascii="Arial" w:hAnsi="Arial" w:cs="Arial"/>
                <w:noProof/>
              </w:rPr>
              <w:t>5. The Company’s Current Performance</w:t>
            </w:r>
            <w:r>
              <w:rPr>
                <w:noProof/>
                <w:webHidden/>
              </w:rPr>
              <w:tab/>
            </w:r>
            <w:r>
              <w:rPr>
                <w:noProof/>
                <w:webHidden/>
              </w:rPr>
              <w:fldChar w:fldCharType="begin"/>
            </w:r>
            <w:r>
              <w:rPr>
                <w:noProof/>
                <w:webHidden/>
              </w:rPr>
              <w:instrText xml:space="preserve"> PAGEREF _Toc237616724 \h </w:instrText>
            </w:r>
            <w:r>
              <w:rPr>
                <w:noProof/>
                <w:webHidden/>
              </w:rPr>
            </w:r>
            <w:r>
              <w:rPr>
                <w:noProof/>
                <w:webHidden/>
              </w:rPr>
              <w:fldChar w:fldCharType="separate"/>
            </w:r>
            <w:r>
              <w:rPr>
                <w:noProof/>
                <w:webHidden/>
              </w:rPr>
              <w:t>5</w:t>
            </w:r>
            <w:r>
              <w:rPr>
                <w:noProof/>
                <w:webHidden/>
              </w:rPr>
              <w:fldChar w:fldCharType="end"/>
            </w:r>
          </w:hyperlink>
        </w:p>
        <w:p w14:paraId="28853613" w14:textId="0591135F" w:rsidR="00A3379C" w:rsidRDefault="00A3379C">
          <w:pPr>
            <w:pStyle w:val="TOC1"/>
            <w:tabs>
              <w:tab w:val="right" w:leader="dot" w:pos="9016"/>
            </w:tabs>
            <w:rPr>
              <w:noProof/>
            </w:rPr>
          </w:pPr>
          <w:hyperlink w:anchor="_Toc237616725" w:history="1">
            <w:r w:rsidRPr="00B76728">
              <w:rPr>
                <w:rStyle w:val="Hyperlink"/>
                <w:rFonts w:ascii="Arial" w:hAnsi="Arial" w:cs="Arial"/>
                <w:noProof/>
              </w:rPr>
              <w:t>6. Strategy Analysis</w:t>
            </w:r>
            <w:r>
              <w:rPr>
                <w:noProof/>
                <w:webHidden/>
              </w:rPr>
              <w:tab/>
            </w:r>
            <w:r>
              <w:rPr>
                <w:noProof/>
                <w:webHidden/>
              </w:rPr>
              <w:fldChar w:fldCharType="begin"/>
            </w:r>
            <w:r>
              <w:rPr>
                <w:noProof/>
                <w:webHidden/>
              </w:rPr>
              <w:instrText xml:space="preserve"> PAGEREF _Toc237616725 \h </w:instrText>
            </w:r>
            <w:r>
              <w:rPr>
                <w:noProof/>
                <w:webHidden/>
              </w:rPr>
            </w:r>
            <w:r>
              <w:rPr>
                <w:noProof/>
                <w:webHidden/>
              </w:rPr>
              <w:fldChar w:fldCharType="separate"/>
            </w:r>
            <w:r>
              <w:rPr>
                <w:noProof/>
                <w:webHidden/>
              </w:rPr>
              <w:t>5</w:t>
            </w:r>
            <w:r>
              <w:rPr>
                <w:noProof/>
                <w:webHidden/>
              </w:rPr>
              <w:fldChar w:fldCharType="end"/>
            </w:r>
          </w:hyperlink>
        </w:p>
        <w:p w14:paraId="19784308" w14:textId="194226A6" w:rsidR="00A3379C" w:rsidRDefault="00A3379C">
          <w:pPr>
            <w:pStyle w:val="TOC2"/>
            <w:tabs>
              <w:tab w:val="right" w:leader="dot" w:pos="9016"/>
            </w:tabs>
            <w:rPr>
              <w:noProof/>
            </w:rPr>
          </w:pPr>
          <w:hyperlink w:anchor="_Toc237616726" w:history="1">
            <w:r w:rsidRPr="00B76728">
              <w:rPr>
                <w:rStyle w:val="Hyperlink"/>
                <w:rFonts w:ascii="Arial" w:hAnsi="Arial" w:cs="Arial"/>
                <w:noProof/>
              </w:rPr>
              <w:t>6.1 External Environmental Audit: PESTEL and Porter’s Five Forces</w:t>
            </w:r>
            <w:r>
              <w:rPr>
                <w:noProof/>
                <w:webHidden/>
              </w:rPr>
              <w:tab/>
            </w:r>
            <w:r>
              <w:rPr>
                <w:noProof/>
                <w:webHidden/>
              </w:rPr>
              <w:fldChar w:fldCharType="begin"/>
            </w:r>
            <w:r>
              <w:rPr>
                <w:noProof/>
                <w:webHidden/>
              </w:rPr>
              <w:instrText xml:space="preserve"> PAGEREF _Toc237616726 \h </w:instrText>
            </w:r>
            <w:r>
              <w:rPr>
                <w:noProof/>
                <w:webHidden/>
              </w:rPr>
            </w:r>
            <w:r>
              <w:rPr>
                <w:noProof/>
                <w:webHidden/>
              </w:rPr>
              <w:fldChar w:fldCharType="separate"/>
            </w:r>
            <w:r>
              <w:rPr>
                <w:noProof/>
                <w:webHidden/>
              </w:rPr>
              <w:t>5</w:t>
            </w:r>
            <w:r>
              <w:rPr>
                <w:noProof/>
                <w:webHidden/>
              </w:rPr>
              <w:fldChar w:fldCharType="end"/>
            </w:r>
          </w:hyperlink>
        </w:p>
        <w:p w14:paraId="35B0525D" w14:textId="0FB27211" w:rsidR="00A3379C" w:rsidRDefault="00A3379C">
          <w:pPr>
            <w:pStyle w:val="TOC2"/>
            <w:tabs>
              <w:tab w:val="right" w:leader="dot" w:pos="9016"/>
            </w:tabs>
            <w:rPr>
              <w:noProof/>
            </w:rPr>
          </w:pPr>
          <w:hyperlink w:anchor="_Toc237616727" w:history="1">
            <w:r w:rsidRPr="00B76728">
              <w:rPr>
                <w:rStyle w:val="Hyperlink"/>
                <w:rFonts w:ascii="Arial" w:hAnsi="Arial" w:cs="Arial"/>
                <w:noProof/>
              </w:rPr>
              <w:t>6.2 Internal Environmental Audit: Value Chain, VRIO, SWOT and BCG</w:t>
            </w:r>
            <w:r>
              <w:rPr>
                <w:noProof/>
                <w:webHidden/>
              </w:rPr>
              <w:tab/>
            </w:r>
            <w:r>
              <w:rPr>
                <w:noProof/>
                <w:webHidden/>
              </w:rPr>
              <w:fldChar w:fldCharType="begin"/>
            </w:r>
            <w:r>
              <w:rPr>
                <w:noProof/>
                <w:webHidden/>
              </w:rPr>
              <w:instrText xml:space="preserve"> PAGEREF _Toc237616727 \h </w:instrText>
            </w:r>
            <w:r>
              <w:rPr>
                <w:noProof/>
                <w:webHidden/>
              </w:rPr>
            </w:r>
            <w:r>
              <w:rPr>
                <w:noProof/>
                <w:webHidden/>
              </w:rPr>
              <w:fldChar w:fldCharType="separate"/>
            </w:r>
            <w:r>
              <w:rPr>
                <w:noProof/>
                <w:webHidden/>
              </w:rPr>
              <w:t>7</w:t>
            </w:r>
            <w:r>
              <w:rPr>
                <w:noProof/>
                <w:webHidden/>
              </w:rPr>
              <w:fldChar w:fldCharType="end"/>
            </w:r>
          </w:hyperlink>
        </w:p>
        <w:p w14:paraId="48548610" w14:textId="51C263AD" w:rsidR="00A3379C" w:rsidRDefault="00A3379C">
          <w:pPr>
            <w:pStyle w:val="TOC1"/>
            <w:tabs>
              <w:tab w:val="right" w:leader="dot" w:pos="9016"/>
            </w:tabs>
            <w:rPr>
              <w:noProof/>
            </w:rPr>
          </w:pPr>
          <w:hyperlink w:anchor="_Toc237616728" w:history="1">
            <w:r w:rsidRPr="00B76728">
              <w:rPr>
                <w:rStyle w:val="Hyperlink"/>
                <w:rFonts w:ascii="Arial" w:hAnsi="Arial" w:cs="Arial"/>
                <w:noProof/>
              </w:rPr>
              <w:t>7. Strategy Formulation</w:t>
            </w:r>
            <w:r>
              <w:rPr>
                <w:noProof/>
                <w:webHidden/>
              </w:rPr>
              <w:tab/>
            </w:r>
            <w:r>
              <w:rPr>
                <w:noProof/>
                <w:webHidden/>
              </w:rPr>
              <w:fldChar w:fldCharType="begin"/>
            </w:r>
            <w:r>
              <w:rPr>
                <w:noProof/>
                <w:webHidden/>
              </w:rPr>
              <w:instrText xml:space="preserve"> PAGEREF _Toc237616728 \h </w:instrText>
            </w:r>
            <w:r>
              <w:rPr>
                <w:noProof/>
                <w:webHidden/>
              </w:rPr>
            </w:r>
            <w:r>
              <w:rPr>
                <w:noProof/>
                <w:webHidden/>
              </w:rPr>
              <w:fldChar w:fldCharType="separate"/>
            </w:r>
            <w:r>
              <w:rPr>
                <w:noProof/>
                <w:webHidden/>
              </w:rPr>
              <w:t>8</w:t>
            </w:r>
            <w:r>
              <w:rPr>
                <w:noProof/>
                <w:webHidden/>
              </w:rPr>
              <w:fldChar w:fldCharType="end"/>
            </w:r>
          </w:hyperlink>
        </w:p>
        <w:p w14:paraId="6DA7EA34" w14:textId="4CCAA9ED" w:rsidR="00A3379C" w:rsidRDefault="00A3379C">
          <w:pPr>
            <w:pStyle w:val="TOC1"/>
            <w:tabs>
              <w:tab w:val="right" w:leader="dot" w:pos="9016"/>
            </w:tabs>
            <w:rPr>
              <w:noProof/>
            </w:rPr>
          </w:pPr>
          <w:hyperlink w:anchor="_Toc237616729" w:history="1">
            <w:r w:rsidRPr="00B76728">
              <w:rPr>
                <w:rStyle w:val="Hyperlink"/>
                <w:rFonts w:ascii="Arial" w:hAnsi="Arial" w:cs="Arial"/>
                <w:noProof/>
              </w:rPr>
              <w:t>8.</w:t>
            </w:r>
            <w:r w:rsidRPr="00B76728">
              <w:rPr>
                <w:rStyle w:val="Hyperlink"/>
                <w:rFonts w:ascii="Arial" w:hAnsi="Arial" w:cs="Arial"/>
                <w:b/>
                <w:bCs/>
                <w:noProof/>
              </w:rPr>
              <w:t xml:space="preserve"> </w:t>
            </w:r>
            <w:r w:rsidRPr="00B76728">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_Toc237616729 \h </w:instrText>
            </w:r>
            <w:r>
              <w:rPr>
                <w:noProof/>
                <w:webHidden/>
              </w:rPr>
            </w:r>
            <w:r>
              <w:rPr>
                <w:noProof/>
                <w:webHidden/>
              </w:rPr>
              <w:fldChar w:fldCharType="separate"/>
            </w:r>
            <w:r>
              <w:rPr>
                <w:noProof/>
                <w:webHidden/>
              </w:rPr>
              <w:t>9</w:t>
            </w:r>
            <w:r>
              <w:rPr>
                <w:noProof/>
                <w:webHidden/>
              </w:rPr>
              <w:fldChar w:fldCharType="end"/>
            </w:r>
          </w:hyperlink>
        </w:p>
        <w:p w14:paraId="5DD0B74A" w14:textId="2B34DA32" w:rsidR="00A3379C" w:rsidRDefault="00A3379C">
          <w:pPr>
            <w:pStyle w:val="TOC1"/>
            <w:tabs>
              <w:tab w:val="right" w:leader="dot" w:pos="9016"/>
            </w:tabs>
            <w:rPr>
              <w:noProof/>
            </w:rPr>
          </w:pPr>
          <w:hyperlink w:anchor="_Toc237616730" w:history="1">
            <w:r w:rsidRPr="00B76728">
              <w:rPr>
                <w:rStyle w:val="Hyperlink"/>
                <w:rFonts w:ascii="Arial" w:hAnsi="Arial" w:cs="Arial"/>
                <w:noProof/>
              </w:rPr>
              <w:t>9. Reference List</w:t>
            </w:r>
            <w:r>
              <w:rPr>
                <w:noProof/>
                <w:webHidden/>
              </w:rPr>
              <w:tab/>
            </w:r>
            <w:r>
              <w:rPr>
                <w:noProof/>
                <w:webHidden/>
              </w:rPr>
              <w:fldChar w:fldCharType="begin"/>
            </w:r>
            <w:r>
              <w:rPr>
                <w:noProof/>
                <w:webHidden/>
              </w:rPr>
              <w:instrText xml:space="preserve"> PAGEREF _Toc237616730 \h </w:instrText>
            </w:r>
            <w:r>
              <w:rPr>
                <w:noProof/>
                <w:webHidden/>
              </w:rPr>
            </w:r>
            <w:r>
              <w:rPr>
                <w:noProof/>
                <w:webHidden/>
              </w:rPr>
              <w:fldChar w:fldCharType="separate"/>
            </w:r>
            <w:r>
              <w:rPr>
                <w:noProof/>
                <w:webHidden/>
              </w:rPr>
              <w:t>10</w:t>
            </w:r>
            <w:r>
              <w:rPr>
                <w:noProof/>
                <w:webHidden/>
              </w:rPr>
              <w:fldChar w:fldCharType="end"/>
            </w:r>
          </w:hyperlink>
        </w:p>
        <w:p w14:paraId="6A67D60F" w14:textId="25A381FD" w:rsidR="00A3379C" w:rsidRDefault="00A3379C">
          <w:r>
            <w:rPr>
              <w:b/>
              <w:bCs/>
              <w:noProof/>
            </w:rPr>
            <w:fldChar w:fldCharType="end"/>
          </w:r>
        </w:p>
      </w:sdtContent>
    </w:sdt>
    <w:p w14:paraId="4325DEA5" w14:textId="77777777" w:rsidR="00A3379C" w:rsidRDefault="00A3379C" w:rsidP="00A3379C">
      <w:pPr>
        <w:pStyle w:val="Title"/>
        <w:spacing w:line="360" w:lineRule="auto"/>
        <w:jc w:val="both"/>
        <w:rPr>
          <w:rFonts w:ascii="Arial" w:hAnsi="Arial" w:cs="Arial"/>
          <w:sz w:val="44"/>
          <w:szCs w:val="44"/>
        </w:rPr>
      </w:pPr>
    </w:p>
    <w:p w14:paraId="30DA079E" w14:textId="77777777" w:rsidR="00A3379C" w:rsidRDefault="00A3379C" w:rsidP="00A3379C"/>
    <w:p w14:paraId="6FBC7473" w14:textId="77777777" w:rsidR="00A3379C" w:rsidRDefault="00A3379C" w:rsidP="00A3379C"/>
    <w:p w14:paraId="57DED0B5" w14:textId="77777777" w:rsidR="00A3379C" w:rsidRDefault="00A3379C" w:rsidP="00A3379C"/>
    <w:p w14:paraId="195C0D23" w14:textId="77777777" w:rsidR="00A3379C" w:rsidRDefault="00A3379C" w:rsidP="00A3379C"/>
    <w:p w14:paraId="2F35C803" w14:textId="77777777" w:rsidR="00A3379C" w:rsidRDefault="00A3379C" w:rsidP="00A3379C"/>
    <w:p w14:paraId="66575E52" w14:textId="77777777" w:rsidR="00A3379C" w:rsidRDefault="00A3379C" w:rsidP="00A3379C"/>
    <w:p w14:paraId="2E405717" w14:textId="77777777" w:rsidR="00A3379C" w:rsidRDefault="00A3379C" w:rsidP="00A3379C"/>
    <w:p w14:paraId="11472609" w14:textId="77777777" w:rsidR="00A3379C" w:rsidRDefault="00A3379C" w:rsidP="00A3379C"/>
    <w:p w14:paraId="76332BDA" w14:textId="77777777" w:rsidR="00A3379C" w:rsidRDefault="00A3379C" w:rsidP="00A3379C"/>
    <w:p w14:paraId="67F62B5B" w14:textId="77777777" w:rsidR="00A3379C" w:rsidRDefault="00A3379C" w:rsidP="00A3379C"/>
    <w:p w14:paraId="5A14007C" w14:textId="77777777" w:rsidR="00A3379C" w:rsidRDefault="00A3379C" w:rsidP="00A3379C"/>
    <w:p w14:paraId="21987E7D" w14:textId="77777777" w:rsidR="00A3379C" w:rsidRPr="00A3379C" w:rsidRDefault="00A3379C" w:rsidP="00A3379C"/>
    <w:p w14:paraId="7F349D75" w14:textId="51EE6F04" w:rsidR="001A2CAF" w:rsidRPr="00A3379C" w:rsidRDefault="001A2CAF" w:rsidP="00A3379C">
      <w:pPr>
        <w:pStyle w:val="Title"/>
        <w:spacing w:line="360" w:lineRule="auto"/>
        <w:jc w:val="both"/>
        <w:rPr>
          <w:rFonts w:ascii="Arial" w:hAnsi="Arial" w:cs="Arial"/>
          <w:sz w:val="44"/>
          <w:szCs w:val="44"/>
        </w:rPr>
      </w:pPr>
      <w:r w:rsidRPr="00A3379C">
        <w:rPr>
          <w:rFonts w:ascii="Arial" w:hAnsi="Arial" w:cs="Arial"/>
          <w:sz w:val="44"/>
          <w:szCs w:val="44"/>
        </w:rPr>
        <w:lastRenderedPageBreak/>
        <w:t>Strategy Formulation Plan for Jaguar Land Rover: Building Adaptive Software-Defined Luxury</w:t>
      </w:r>
    </w:p>
    <w:p w14:paraId="6381EE19" w14:textId="77777777" w:rsidR="007D2EBB" w:rsidRPr="00A3379C" w:rsidRDefault="007D2EBB" w:rsidP="00A3379C">
      <w:pPr>
        <w:spacing w:line="360" w:lineRule="auto"/>
        <w:jc w:val="both"/>
        <w:rPr>
          <w:rFonts w:ascii="Arial" w:hAnsi="Arial" w:cs="Arial"/>
        </w:rPr>
      </w:pPr>
    </w:p>
    <w:p w14:paraId="20898472" w14:textId="29109756" w:rsidR="001A2CAF" w:rsidRPr="00A3379C" w:rsidRDefault="007D2EBB" w:rsidP="00A3379C">
      <w:pPr>
        <w:pStyle w:val="Heading1"/>
        <w:spacing w:line="360" w:lineRule="auto"/>
        <w:jc w:val="both"/>
        <w:rPr>
          <w:rFonts w:ascii="Arial" w:hAnsi="Arial" w:cs="Arial"/>
        </w:rPr>
      </w:pPr>
      <w:bookmarkStart w:id="0" w:name="_Toc237616720"/>
      <w:r w:rsidRPr="00A3379C">
        <w:rPr>
          <w:rFonts w:ascii="Arial" w:hAnsi="Arial" w:cs="Arial"/>
        </w:rPr>
        <w:t>1.</w:t>
      </w:r>
      <w:r w:rsidR="001A2CAF" w:rsidRPr="00A3379C">
        <w:rPr>
          <w:rFonts w:ascii="Arial" w:hAnsi="Arial" w:cs="Arial"/>
        </w:rPr>
        <w:t>Executive Summary</w:t>
      </w:r>
      <w:bookmarkEnd w:id="0"/>
    </w:p>
    <w:p w14:paraId="56AAD577" w14:textId="77777777" w:rsidR="001A2CAF" w:rsidRPr="00A3379C" w:rsidRDefault="001A2CAF" w:rsidP="00A3379C">
      <w:pPr>
        <w:spacing w:line="360" w:lineRule="auto"/>
        <w:jc w:val="both"/>
        <w:rPr>
          <w:rFonts w:ascii="Arial" w:hAnsi="Arial" w:cs="Arial"/>
        </w:rPr>
      </w:pPr>
      <w:r w:rsidRPr="00A3379C">
        <w:rPr>
          <w:rFonts w:ascii="Arial" w:hAnsi="Arial" w:cs="Arial"/>
        </w:rPr>
        <w:t>This report develops a strategy formulation plan for Jaguar Land Rover (JLR) in response to the automotive industry’s transition towards electrification, software-defined vehicles, connected services and more resilient supply networks. JLR possesses strong intangible resources, particularly the Range Rover and Defender brands, British design heritage and engineering capability, but these advantages are being challenged by rapid technological change, uneven electric-vehicle adoption, supply-chain exposure and intense competition. FY2025/26 performance deteriorated sharply after US tariffs and a major cyber incident, while Q1 FY2026/27 remained profitable but weak, demonstrating that brand desirability alone cannot protect performance from operational and market shocks.</w:t>
      </w:r>
    </w:p>
    <w:p w14:paraId="72CC1E14"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The report therefore proposes an </w:t>
      </w:r>
      <w:r w:rsidRPr="00A3379C">
        <w:rPr>
          <w:rFonts w:ascii="Arial" w:hAnsi="Arial" w:cs="Arial"/>
          <w:b/>
          <w:bCs/>
        </w:rPr>
        <w:t>Adaptive Software-Defined Luxury strategy</w:t>
      </w:r>
      <w:r w:rsidRPr="00A3379C">
        <w:rPr>
          <w:rFonts w:ascii="Arial" w:hAnsi="Arial" w:cs="Arial"/>
        </w:rPr>
        <w:t>. Rather than competing on EV volume, JLR should convert its existing luxury differentiation into a digitally enabled ownership ecosystem, combining flexible electrification, software and data-driven customer services, selective technology partnerships, cybersecurity and differentiated supply-chain resilience. This strategy builds on JLR’s Reimagine direction but strengthens the capabilities needed to create value throughout the vehicle lifecycle. The report concludes that JLR should preserve control over brand-defining software and customer experience, collaborate selectively for complementary technologies, and apply resilience investments according to component criticality and geopolitical exposure.</w:t>
      </w:r>
    </w:p>
    <w:p w14:paraId="1BAADC08" w14:textId="20AA1A68" w:rsidR="001A2CAF" w:rsidRPr="00A3379C" w:rsidRDefault="00A3379C" w:rsidP="00A3379C">
      <w:pPr>
        <w:pStyle w:val="Heading1"/>
        <w:spacing w:line="360" w:lineRule="auto"/>
        <w:jc w:val="both"/>
        <w:rPr>
          <w:rFonts w:ascii="Arial" w:hAnsi="Arial" w:cs="Arial"/>
        </w:rPr>
      </w:pPr>
      <w:bookmarkStart w:id="1" w:name="_Toc237616721"/>
      <w:r w:rsidRPr="00A3379C">
        <w:rPr>
          <w:rFonts w:ascii="Arial" w:hAnsi="Arial" w:cs="Arial"/>
        </w:rPr>
        <w:lastRenderedPageBreak/>
        <w:t>2</w:t>
      </w:r>
      <w:r w:rsidR="001A2CAF" w:rsidRPr="00A3379C">
        <w:rPr>
          <w:rFonts w:ascii="Arial" w:hAnsi="Arial" w:cs="Arial"/>
        </w:rPr>
        <w:t>. Introduction to the Strategy</w:t>
      </w:r>
      <w:bookmarkEnd w:id="1"/>
    </w:p>
    <w:p w14:paraId="04C7CEA4" w14:textId="77777777" w:rsidR="001A2CAF" w:rsidRPr="00A3379C" w:rsidRDefault="001A2CAF" w:rsidP="00A3379C">
      <w:pPr>
        <w:spacing w:line="360" w:lineRule="auto"/>
        <w:jc w:val="both"/>
        <w:rPr>
          <w:rFonts w:ascii="Arial" w:hAnsi="Arial" w:cs="Arial"/>
        </w:rPr>
      </w:pPr>
      <w:r w:rsidRPr="00A3379C">
        <w:rPr>
          <w:rFonts w:ascii="Arial" w:hAnsi="Arial" w:cs="Arial"/>
        </w:rPr>
        <w:t>Strategic management concerns the long-term direction of an organisation and the alignment of external opportunities and threats with internal resources and capabilities (Whittington et al., 2023; Grant, 2024). It provides a basis for prioritising investment, allocating resources and deciding where and how a firm should compete. Its importance increases when industry boundaries and sources of competitive advantage are changing rapidly. In automotive markets, electrification, software, regulation, digital services and supply-chain volatility are simultaneously altering products, value chains and competitive relationships.</w:t>
      </w:r>
    </w:p>
    <w:p w14:paraId="004F11BE" w14:textId="77777777" w:rsidR="001A2CAF" w:rsidRPr="00A3379C" w:rsidRDefault="001A2CAF" w:rsidP="00A3379C">
      <w:pPr>
        <w:spacing w:line="360" w:lineRule="auto"/>
        <w:jc w:val="both"/>
        <w:rPr>
          <w:rFonts w:ascii="Arial" w:hAnsi="Arial" w:cs="Arial"/>
        </w:rPr>
      </w:pPr>
      <w:r w:rsidRPr="00A3379C">
        <w:rPr>
          <w:rFonts w:ascii="Arial" w:hAnsi="Arial" w:cs="Arial"/>
        </w:rPr>
        <w:t>Dynamic-capabilities theory is therefore especially relevant because sustainable advantage depends not only on possessing valuable resources, but also on sensing change, seizing opportunities and reconfiguring capabilities as conditions evolve (Teece, 2007). Murmann and Vogt (2023) further argue that incumbents must transform quickly enough to prevent entrants from building the ordinary capabilities required to compete at scale. However, strategic management does not eliminate uncertainty; its benefit lies in improving the quality and coherence of choices under uncertainty. This report evaluates JLR’s strategic intent and current performance, analyses its external and internal competitive position, and formulates a new strategy designed to strengthen long-term competitive advantage while supporting sustainability, resilience and profitable growth.</w:t>
      </w:r>
    </w:p>
    <w:p w14:paraId="74686748" w14:textId="4D2F2862" w:rsidR="001A2CAF" w:rsidRPr="00A3379C" w:rsidRDefault="00A3379C" w:rsidP="00A3379C">
      <w:pPr>
        <w:pStyle w:val="Heading1"/>
        <w:spacing w:line="360" w:lineRule="auto"/>
        <w:jc w:val="both"/>
        <w:rPr>
          <w:rFonts w:ascii="Arial" w:hAnsi="Arial" w:cs="Arial"/>
        </w:rPr>
      </w:pPr>
      <w:bookmarkStart w:id="2" w:name="_Toc237616722"/>
      <w:r w:rsidRPr="00A3379C">
        <w:rPr>
          <w:rFonts w:ascii="Arial" w:hAnsi="Arial" w:cs="Arial"/>
        </w:rPr>
        <w:t>3</w:t>
      </w:r>
      <w:r w:rsidR="001A2CAF" w:rsidRPr="00A3379C">
        <w:rPr>
          <w:rFonts w:ascii="Arial" w:hAnsi="Arial" w:cs="Arial"/>
        </w:rPr>
        <w:t>. Overview / Background of the Firm</w:t>
      </w:r>
      <w:bookmarkEnd w:id="2"/>
    </w:p>
    <w:p w14:paraId="644F3D60" w14:textId="77777777" w:rsidR="001A2CAF" w:rsidRPr="00A3379C" w:rsidRDefault="001A2CAF" w:rsidP="00A3379C">
      <w:pPr>
        <w:spacing w:line="360" w:lineRule="auto"/>
        <w:jc w:val="both"/>
        <w:rPr>
          <w:rFonts w:ascii="Arial" w:hAnsi="Arial" w:cs="Arial"/>
        </w:rPr>
      </w:pPr>
      <w:r w:rsidRPr="00A3379C">
        <w:rPr>
          <w:rFonts w:ascii="Arial" w:hAnsi="Arial" w:cs="Arial"/>
        </w:rPr>
        <w:t>Jaguar Land Rover Automotive plc is a UK-based luxury automotive manufacturer and part of Tata Motors. Its principal global brands are Range Rover, Defender, Discovery and Jaguar, each positioned with a distinct identity within JLR’s House of Brands. The company designs, engineers, manufactures and sells premium and luxury vehicles and increasingly complements the physical product with connected, digital and ownership services. JLR’s registered office is in Coventry, while major UK manufacturing operations include Solihull and Halewood, supported by engineering, design and commercial functions in the UK and international markets.</w:t>
      </w:r>
    </w:p>
    <w:p w14:paraId="4EF27CA4" w14:textId="77777777" w:rsidR="001A2CAF" w:rsidRPr="00A3379C" w:rsidRDefault="001A2CAF" w:rsidP="00A3379C">
      <w:pPr>
        <w:spacing w:line="360" w:lineRule="auto"/>
        <w:jc w:val="both"/>
        <w:rPr>
          <w:rFonts w:ascii="Arial" w:hAnsi="Arial" w:cs="Arial"/>
        </w:rPr>
      </w:pPr>
      <w:r w:rsidRPr="00A3379C">
        <w:rPr>
          <w:rFonts w:ascii="Arial" w:hAnsi="Arial" w:cs="Arial"/>
        </w:rPr>
        <w:lastRenderedPageBreak/>
        <w:t>JLR’s Reimagine strategy positions the organisation around modern luxury, electrification, sustainability and enterprise transformation. Its 2026 strategy update increased emphasis on propulsion flexibility, North American growth, cost reduction and organisational resilience, while retaining an £18 billion five-year commitment to future technologies, vehicle platforms and transformation (JLR, 2026b). This positioning differentiates JLR from high-volume manufacturers: it does not require industry-leading production scale to compete effectively, but premium prices must be justified by distinctive design, technology, quality and client experience. Consequently, future competitiveness depends on renewing its traditional brand and engineering strengths rather than relying on heritage alone.</w:t>
      </w:r>
    </w:p>
    <w:p w14:paraId="47A48794" w14:textId="4C9B7261" w:rsidR="001A2CAF" w:rsidRPr="00A3379C" w:rsidRDefault="00A3379C" w:rsidP="00A3379C">
      <w:pPr>
        <w:pStyle w:val="Heading1"/>
        <w:spacing w:line="360" w:lineRule="auto"/>
        <w:jc w:val="both"/>
        <w:rPr>
          <w:rFonts w:ascii="Arial" w:hAnsi="Arial" w:cs="Arial"/>
        </w:rPr>
      </w:pPr>
      <w:bookmarkStart w:id="3" w:name="_Toc237616723"/>
      <w:r w:rsidRPr="00A3379C">
        <w:rPr>
          <w:rFonts w:ascii="Arial" w:hAnsi="Arial" w:cs="Arial"/>
        </w:rPr>
        <w:t>4</w:t>
      </w:r>
      <w:r w:rsidR="001A2CAF" w:rsidRPr="00A3379C">
        <w:rPr>
          <w:rFonts w:ascii="Arial" w:hAnsi="Arial" w:cs="Arial"/>
        </w:rPr>
        <w:t>. Strategic Intent</w:t>
      </w:r>
      <w:bookmarkEnd w:id="3"/>
    </w:p>
    <w:p w14:paraId="0DF2171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JLR’s stated purpose is </w:t>
      </w:r>
      <w:r w:rsidRPr="00A3379C">
        <w:rPr>
          <w:rFonts w:ascii="Arial" w:hAnsi="Arial" w:cs="Arial"/>
          <w:b/>
          <w:bCs/>
        </w:rPr>
        <w:t>“live the exceptional with soul”</w:t>
      </w:r>
      <w:r w:rsidRPr="00A3379C">
        <w:rPr>
          <w:rFonts w:ascii="Arial" w:hAnsi="Arial" w:cs="Arial"/>
        </w:rPr>
        <w:t>, while its current vision is to become the creator of highly desirable brands for discerning clients (JLR, 2026c). Reimagine translates this intent into modern luxury, electrification, sustainability and enterprise priorities. JLR also targets carbon net zero across products, operations and supply chains by 2039, while its June 2026 update set an ambition for medium-term double-digit revenue growth, £1.7 billion of cost reductions and a breakeven volume approaching 300,000 vehicles (JLR, 2026b; JLR, 2026d).</w:t>
      </w:r>
    </w:p>
    <w:p w14:paraId="1B6D0E39" w14:textId="77777777" w:rsidR="001A2CAF" w:rsidRPr="00A3379C" w:rsidRDefault="001A2CAF" w:rsidP="00A3379C">
      <w:pPr>
        <w:spacing w:line="360" w:lineRule="auto"/>
        <w:jc w:val="both"/>
        <w:rPr>
          <w:rFonts w:ascii="Arial" w:hAnsi="Arial" w:cs="Arial"/>
        </w:rPr>
      </w:pPr>
      <w:r w:rsidRPr="00A3379C">
        <w:rPr>
          <w:rFonts w:ascii="Arial" w:hAnsi="Arial" w:cs="Arial"/>
        </w:rPr>
        <w:t>Strategically, these objectives are broadly coherent: stronger brand differentiation supports premium margins, while electrification and decarbonisation respond to regulatory and societal pressures. However, an important tension exists between long-term electrification and the renewed emphasis on multiple propulsion technologies. Flexibility can reduce exposure to uneven EV adoption, but it can also increase engineering complexity and dilute investment if maintained too broadly for too long. Loder, Rinscheid and Wüstenhagen (2024) show that automotive electrification requires incumbents to renew capabilities as well as recognise technological opportunities. JLR’s intent is therefore credible only if propulsion flexibility acts as a transition mechanism while software, EV and organisational capabilities continue to strengthen.</w:t>
      </w:r>
    </w:p>
    <w:p w14:paraId="41C76903" w14:textId="7D0F7604" w:rsidR="001A2CAF" w:rsidRPr="00A3379C" w:rsidRDefault="00A3379C" w:rsidP="00A3379C">
      <w:pPr>
        <w:pStyle w:val="Heading1"/>
        <w:spacing w:line="360" w:lineRule="auto"/>
        <w:jc w:val="both"/>
        <w:rPr>
          <w:rFonts w:ascii="Arial" w:hAnsi="Arial" w:cs="Arial"/>
        </w:rPr>
      </w:pPr>
      <w:bookmarkStart w:id="4" w:name="_Toc237616724"/>
      <w:r w:rsidRPr="00A3379C">
        <w:rPr>
          <w:rFonts w:ascii="Arial" w:hAnsi="Arial" w:cs="Arial"/>
        </w:rPr>
        <w:lastRenderedPageBreak/>
        <w:t>5</w:t>
      </w:r>
      <w:r w:rsidR="001A2CAF" w:rsidRPr="00A3379C">
        <w:rPr>
          <w:rFonts w:ascii="Arial" w:hAnsi="Arial" w:cs="Arial"/>
        </w:rPr>
        <w:t>. The Company’s Current Performance</w:t>
      </w:r>
      <w:bookmarkEnd w:id="4"/>
    </w:p>
    <w:p w14:paraId="1A147CCC" w14:textId="77777777" w:rsidR="001A2CAF" w:rsidRPr="00A3379C" w:rsidRDefault="001A2CAF" w:rsidP="00A3379C">
      <w:pPr>
        <w:spacing w:line="360" w:lineRule="auto"/>
        <w:jc w:val="both"/>
        <w:rPr>
          <w:rFonts w:ascii="Arial" w:hAnsi="Arial" w:cs="Arial"/>
        </w:rPr>
      </w:pPr>
      <w:r w:rsidRPr="00A3379C">
        <w:rPr>
          <w:rFonts w:ascii="Arial" w:hAnsi="Arial" w:cs="Arial"/>
        </w:rPr>
        <w:t>JLR’s recent performance demonstrates both the strength and fragility of its premium strategy. In FY2024/25, the company generated £29.0 billion of revenue and an adjusted EBIT margin of 8.5%, representing its highest full-year profit in a decade; it also became net cash positive for the first time in seven years (JLR, 2025). This suggested that premium mix, pricing and cost discipline had restored financial resilience. However, the following year exposed how quickly external and operational shocks could reverse that progress. FY2025/26 revenue fell to £22.9 billion and adjusted EBIT margin declined to 0.7%, while free cash flow was negative £2.229 billion. JLR attributed the deterioration to higher US tariffs, a major cyber incident that interrupted production, cost pressures and weaker conditions in China (JLR, 2026a). Nevertheless, the fourth quarter recovered to an EBIT margin of 9.2%, indicating that underlying product economics and pricing power were stronger than the full-year figure alone implies.</w:t>
      </w:r>
    </w:p>
    <w:p w14:paraId="1F045662" w14:textId="77777777" w:rsidR="001A2CAF" w:rsidRPr="00A3379C" w:rsidRDefault="001A2CAF" w:rsidP="00A3379C">
      <w:pPr>
        <w:spacing w:line="360" w:lineRule="auto"/>
        <w:jc w:val="both"/>
        <w:rPr>
          <w:rFonts w:ascii="Arial" w:hAnsi="Arial" w:cs="Arial"/>
        </w:rPr>
      </w:pPr>
      <w:r w:rsidRPr="00A3379C">
        <w:rPr>
          <w:rFonts w:ascii="Arial" w:hAnsi="Arial" w:cs="Arial"/>
        </w:rPr>
        <w:t>The most recent Q1 FY2026/27 results reinforce this mixed picture. Revenue was £5.973 billion, 9.6% lower year-on-year, wholesales fell 9.2% to 79,288 vehicles and adjusted EBIT margin was 2.8%; JLR remained profitable with £109 million profit before tax and exceptional items, although free cash flow was negative £998 million (JLR, 2026e). These results suggest that the core luxury proposition remains commercially viable, but volatility in volumes, cash generation and margins creates a strategic constraint while the company must finance major product and technology transitions. The implication is not simply that JLR needs more demand; it needs a business model and operating system capable of converting brand desirability into more predictable value despite cyber, supply and geopolitical disruption.</w:t>
      </w:r>
    </w:p>
    <w:p w14:paraId="0472B0E4" w14:textId="0D4BDB11" w:rsidR="001A2CAF" w:rsidRPr="00A3379C" w:rsidRDefault="00A3379C" w:rsidP="00A3379C">
      <w:pPr>
        <w:pStyle w:val="Heading1"/>
        <w:spacing w:line="360" w:lineRule="auto"/>
        <w:jc w:val="both"/>
        <w:rPr>
          <w:rFonts w:ascii="Arial" w:hAnsi="Arial" w:cs="Arial"/>
        </w:rPr>
      </w:pPr>
      <w:bookmarkStart w:id="5" w:name="_Toc237616725"/>
      <w:r w:rsidRPr="00A3379C">
        <w:rPr>
          <w:rFonts w:ascii="Arial" w:hAnsi="Arial" w:cs="Arial"/>
        </w:rPr>
        <w:t>6</w:t>
      </w:r>
      <w:r w:rsidR="001A2CAF" w:rsidRPr="00A3379C">
        <w:rPr>
          <w:rFonts w:ascii="Arial" w:hAnsi="Arial" w:cs="Arial"/>
        </w:rPr>
        <w:t>. Strategy Analysis</w:t>
      </w:r>
      <w:bookmarkEnd w:id="5"/>
    </w:p>
    <w:p w14:paraId="3EF8D2A6" w14:textId="52FE6EE0" w:rsidR="001A2CAF" w:rsidRPr="00A3379C" w:rsidRDefault="00A3379C" w:rsidP="00A3379C">
      <w:pPr>
        <w:pStyle w:val="Heading2"/>
        <w:spacing w:line="360" w:lineRule="auto"/>
        <w:jc w:val="both"/>
        <w:rPr>
          <w:rFonts w:ascii="Arial" w:hAnsi="Arial" w:cs="Arial"/>
        </w:rPr>
      </w:pPr>
      <w:bookmarkStart w:id="6" w:name="_Toc237616726"/>
      <w:r w:rsidRPr="00A3379C">
        <w:rPr>
          <w:rFonts w:ascii="Arial" w:hAnsi="Arial" w:cs="Arial"/>
        </w:rPr>
        <w:t>6</w:t>
      </w:r>
      <w:r w:rsidR="001A2CAF" w:rsidRPr="00A3379C">
        <w:rPr>
          <w:rFonts w:ascii="Arial" w:hAnsi="Arial" w:cs="Arial"/>
        </w:rPr>
        <w:t>.1 External Environmental Audit: PESTEL and Porter’s Five Forces</w:t>
      </w:r>
      <w:bookmarkEnd w:id="6"/>
    </w:p>
    <w:p w14:paraId="6AB6108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Political and legal pressures strongly favour electrification. The UK ZEV framework increases the required share of zero-emission car registrations towards 80% by 2030 (Department for Transport, 2025), making continued EV investment unavoidable. </w:t>
      </w:r>
      <w:r w:rsidRPr="00A3379C">
        <w:rPr>
          <w:rFonts w:ascii="Arial" w:hAnsi="Arial" w:cs="Arial"/>
        </w:rPr>
        <w:lastRenderedPageBreak/>
        <w:t>However, demand remains geographically uneven. The IEA (2026) reports strong global EV growth but material differences between China, Europe and the United States, while EU registrations in Q1 2026 show hybrids at 38.6% of the market compared with 19.4% for battery-electric vehicles (ACEA, 2026). JLR’s propulsion flexibility is therefore commercially defensible in the short term, but regulation means flexibility cannot become a substitute for long-term EV capability.</w:t>
      </w:r>
    </w:p>
    <w:p w14:paraId="65A41BC6" w14:textId="79A18F56" w:rsidR="001A2CAF" w:rsidRPr="00A3379C" w:rsidRDefault="001A2CAF" w:rsidP="00A3379C">
      <w:pPr>
        <w:spacing w:line="360" w:lineRule="auto"/>
        <w:jc w:val="both"/>
        <w:rPr>
          <w:rFonts w:ascii="Arial" w:hAnsi="Arial" w:cs="Arial"/>
        </w:rPr>
      </w:pPr>
      <w:r w:rsidRPr="00A3379C">
        <w:rPr>
          <w:rFonts w:ascii="Arial" w:hAnsi="Arial" w:cs="Arial"/>
        </w:rPr>
        <w:t xml:space="preserve">Economic and geopolitical conditions also </w:t>
      </w:r>
      <w:r w:rsidR="00A3379C" w:rsidRPr="00A3379C">
        <w:rPr>
          <w:rFonts w:ascii="Arial" w:hAnsi="Arial" w:cs="Arial"/>
        </w:rPr>
        <w:t xml:space="preserve">increased </w:t>
      </w:r>
      <w:r w:rsidRPr="00A3379C">
        <w:rPr>
          <w:rFonts w:ascii="Arial" w:hAnsi="Arial" w:cs="Arial"/>
        </w:rPr>
        <w:t>risk because JLR is internationally exposed and premium demand in China has weakened. Trade tariffs can affect margins directly, while electrification increases dependency on batteries, semiconductors and critical minerals. JLR itself identified tariffs, Chinese market deterioration and wider cost pressures among FY2025/26 headwinds. Research on automotive resilience shows that firms value supplier proximity and inter-organisational relationships, but resilience measures also have economic and sustainability consequences (Singh, Hamid and Garza-Reyes, 2023). Qamar et al. (2025) further show that buffering approaches differ across automotive supply-chain positions, suggesting that a single resilience policy is inefficient.</w:t>
      </w:r>
    </w:p>
    <w:p w14:paraId="63CA5EE2" w14:textId="77777777" w:rsidR="001A2CAF" w:rsidRPr="00A3379C" w:rsidRDefault="001A2CAF" w:rsidP="00A3379C">
      <w:pPr>
        <w:spacing w:line="360" w:lineRule="auto"/>
        <w:jc w:val="both"/>
        <w:rPr>
          <w:rFonts w:ascii="Arial" w:hAnsi="Arial" w:cs="Arial"/>
        </w:rPr>
      </w:pPr>
      <w:r w:rsidRPr="00A3379C">
        <w:rPr>
          <w:rFonts w:ascii="Arial" w:hAnsi="Arial" w:cs="Arial"/>
        </w:rPr>
        <w:t>Technologically, software-defined vehicles shift value from mechanical hardware towards software architecture, data, updates and services (Liu, Zhang and Zhao, 2022). Sterk et al. (2024) identify connected-car business models involving diagnostics, analytics, infotainment and other lifecycle services, creating opportunities for JLR to extend luxury differentiation after the initial sale. Socially and environmentally, customers and regulators increasingly expect lower-emission products, but willingness to adopt BEVs differs across markets, reinforcing the need for timing as well as technological capability.</w:t>
      </w:r>
    </w:p>
    <w:p w14:paraId="65A6E9C7" w14:textId="1F4E32CF" w:rsidR="001A2CAF" w:rsidRPr="00A3379C" w:rsidRDefault="001A2CAF" w:rsidP="00A3379C">
      <w:pPr>
        <w:spacing w:line="360" w:lineRule="auto"/>
        <w:jc w:val="both"/>
        <w:rPr>
          <w:rFonts w:ascii="Arial" w:hAnsi="Arial" w:cs="Arial"/>
        </w:rPr>
      </w:pPr>
      <w:r w:rsidRPr="00A3379C">
        <w:rPr>
          <w:rFonts w:ascii="Arial" w:hAnsi="Arial" w:cs="Arial"/>
        </w:rPr>
        <w:t xml:space="preserve">Porter’s (1980) Five Forces therefore indicate </w:t>
      </w:r>
      <w:r w:rsidR="00A3379C" w:rsidRPr="00A3379C">
        <w:rPr>
          <w:rFonts w:ascii="Arial" w:hAnsi="Arial" w:cs="Arial"/>
          <w:b/>
          <w:bCs/>
        </w:rPr>
        <w:t>highly</w:t>
      </w:r>
      <w:r w:rsidRPr="00A3379C">
        <w:rPr>
          <w:rFonts w:ascii="Arial" w:hAnsi="Arial" w:cs="Arial"/>
          <w:b/>
          <w:bCs/>
        </w:rPr>
        <w:t xml:space="preserve"> competitive rivalry</w:t>
      </w:r>
      <w:r w:rsidRPr="00A3379C">
        <w:rPr>
          <w:rFonts w:ascii="Arial" w:hAnsi="Arial" w:cs="Arial"/>
        </w:rPr>
        <w:t xml:space="preserve">, </w:t>
      </w:r>
      <w:r w:rsidRPr="00A3379C">
        <w:rPr>
          <w:rFonts w:ascii="Arial" w:hAnsi="Arial" w:cs="Arial"/>
          <w:b/>
          <w:bCs/>
        </w:rPr>
        <w:t>moderate-to-high supplier power</w:t>
      </w:r>
      <w:r w:rsidRPr="00A3379C">
        <w:rPr>
          <w:rFonts w:ascii="Arial" w:hAnsi="Arial" w:cs="Arial"/>
        </w:rPr>
        <w:t xml:space="preserve">, </w:t>
      </w:r>
      <w:r w:rsidRPr="00A3379C">
        <w:rPr>
          <w:rFonts w:ascii="Arial" w:hAnsi="Arial" w:cs="Arial"/>
          <w:b/>
          <w:bCs/>
        </w:rPr>
        <w:t>moderate buyer power</w:t>
      </w:r>
      <w:r w:rsidRPr="00A3379C">
        <w:rPr>
          <w:rFonts w:ascii="Arial" w:hAnsi="Arial" w:cs="Arial"/>
        </w:rPr>
        <w:t xml:space="preserve"> and a growing threat from technology-enabled entrants; substitutes remain moderate because luxury vehicles also provide status, design and experiential value. Yet Porter’s model is relatively static. Dynamic-capabilities analysis is necessary because competitive boundaries are changing as software firms, battery specialists and new EV manufacturers enter parts of the value system. Murmann and Vogt (2023) similarly emphasise that incumbents’ </w:t>
      </w:r>
      <w:r w:rsidRPr="00A3379C">
        <w:rPr>
          <w:rFonts w:ascii="Arial" w:hAnsi="Arial" w:cs="Arial"/>
        </w:rPr>
        <w:lastRenderedPageBreak/>
        <w:t>competitiveness depends partly on how rapidly new entrants build the capabilities necessary to compete.</w:t>
      </w:r>
    </w:p>
    <w:p w14:paraId="4F6363CA" w14:textId="5803E4EA" w:rsidR="001A2CAF" w:rsidRPr="00A3379C" w:rsidRDefault="00A3379C" w:rsidP="00A3379C">
      <w:pPr>
        <w:pStyle w:val="Heading2"/>
        <w:spacing w:line="360" w:lineRule="auto"/>
        <w:jc w:val="both"/>
        <w:rPr>
          <w:rFonts w:ascii="Arial" w:hAnsi="Arial" w:cs="Arial"/>
        </w:rPr>
      </w:pPr>
      <w:bookmarkStart w:id="7" w:name="_Toc237616727"/>
      <w:r w:rsidRPr="00A3379C">
        <w:rPr>
          <w:rFonts w:ascii="Arial" w:hAnsi="Arial" w:cs="Arial"/>
        </w:rPr>
        <w:t>6</w:t>
      </w:r>
      <w:r w:rsidR="001A2CAF" w:rsidRPr="00A3379C">
        <w:rPr>
          <w:rFonts w:ascii="Arial" w:hAnsi="Arial" w:cs="Arial"/>
        </w:rPr>
        <w:t>.2 Internal Environmental Audit: Value Chain, VRIO, SWOT and BCG</w:t>
      </w:r>
      <w:bookmarkEnd w:id="7"/>
    </w:p>
    <w:p w14:paraId="32F816D3" w14:textId="77777777" w:rsidR="001A2CAF" w:rsidRPr="00A3379C" w:rsidRDefault="001A2CAF" w:rsidP="00A3379C">
      <w:pPr>
        <w:spacing w:line="360" w:lineRule="auto"/>
        <w:jc w:val="both"/>
        <w:rPr>
          <w:rFonts w:ascii="Arial" w:hAnsi="Arial" w:cs="Arial"/>
        </w:rPr>
      </w:pPr>
      <w:r w:rsidRPr="00A3379C">
        <w:rPr>
          <w:rFonts w:ascii="Arial" w:hAnsi="Arial" w:cs="Arial"/>
        </w:rPr>
        <w:t>From a resource-based perspective, JLR’s strongest resources remain intangible. Range Rover and Defender brand equity, British design, luxury positioning and engineering knowledge are valuable and difficult to reproduce; Tata ownership provides financial and strategic support but is less rare. A VRIO interpretation therefore suggests that brand equity can support sustained advantage, whereas software, cyber resilience and EV capabilities are currently necessary capabilities rather than distinctive advantages (Barney, 1991). This distinction matters because Murmann and Vogt (2023) argue that incumbents can lose leadership when entrants build new ordinary capabilities faster than established firms reconfigure their legacy strengths.</w:t>
      </w:r>
    </w:p>
    <w:p w14:paraId="72905957" w14:textId="77777777" w:rsidR="001A2CAF" w:rsidRPr="00A3379C" w:rsidRDefault="001A2CAF" w:rsidP="00A3379C">
      <w:pPr>
        <w:spacing w:line="360" w:lineRule="auto"/>
        <w:jc w:val="both"/>
        <w:rPr>
          <w:rFonts w:ascii="Arial" w:hAnsi="Arial" w:cs="Arial"/>
        </w:rPr>
      </w:pPr>
      <w:r w:rsidRPr="00A3379C">
        <w:rPr>
          <w:rFonts w:ascii="Arial" w:hAnsi="Arial" w:cs="Arial"/>
        </w:rPr>
        <w:t>Value-chain analysis (Porter, 1985) shows the same tension. Design, engineering, brand management and premium client experience create differentiation, but the 2025 cyber incident demonstrated that weakness in a support activity can interrupt manufacturing and distribution across the chain. Digital transformation may improve automotive performance and stakeholder value (Llopis-Albert, Rubio and Valero, 2021), yet greater connectivity also increases cyber, privacy and technology-dependency risks.</w:t>
      </w:r>
    </w:p>
    <w:p w14:paraId="26C063C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A SWOT synthesis therefore identifies </w:t>
      </w:r>
      <w:r w:rsidRPr="00A3379C">
        <w:rPr>
          <w:rFonts w:ascii="Arial" w:hAnsi="Arial" w:cs="Arial"/>
          <w:b/>
          <w:bCs/>
        </w:rPr>
        <w:t>strong brands, engineering capability and Tata support</w:t>
      </w:r>
      <w:r w:rsidRPr="00A3379C">
        <w:rPr>
          <w:rFonts w:ascii="Arial" w:hAnsi="Arial" w:cs="Arial"/>
        </w:rPr>
        <w:t xml:space="preserve"> against weaknesses in </w:t>
      </w:r>
      <w:r w:rsidRPr="00A3379C">
        <w:rPr>
          <w:rFonts w:ascii="Arial" w:hAnsi="Arial" w:cs="Arial"/>
          <w:b/>
          <w:bCs/>
        </w:rPr>
        <w:t>scale, transformation complexity and operational resilience</w:t>
      </w:r>
      <w:r w:rsidRPr="00A3379C">
        <w:rPr>
          <w:rFonts w:ascii="Arial" w:hAnsi="Arial" w:cs="Arial"/>
        </w:rPr>
        <w:t xml:space="preserve">. Opportunities lie in </w:t>
      </w:r>
      <w:r w:rsidRPr="00A3379C">
        <w:rPr>
          <w:rFonts w:ascii="Arial" w:hAnsi="Arial" w:cs="Arial"/>
          <w:b/>
          <w:bCs/>
        </w:rPr>
        <w:t>luxury electrification, connected services, partnerships and North American growth</w:t>
      </w:r>
      <w:r w:rsidRPr="00A3379C">
        <w:rPr>
          <w:rFonts w:ascii="Arial" w:hAnsi="Arial" w:cs="Arial"/>
        </w:rPr>
        <w:t xml:space="preserve">, while threats include </w:t>
      </w:r>
      <w:r w:rsidRPr="00A3379C">
        <w:rPr>
          <w:rFonts w:ascii="Arial" w:hAnsi="Arial" w:cs="Arial"/>
          <w:b/>
          <w:bCs/>
        </w:rPr>
        <w:t>tariffs, Chinese competition, cyber risk and critical-component dependency</w:t>
      </w:r>
      <w:r w:rsidRPr="00A3379C">
        <w:rPr>
          <w:rFonts w:ascii="Arial" w:hAnsi="Arial" w:cs="Arial"/>
        </w:rPr>
        <w:t>. JLR’s current strategic update confirms an increased emphasis on North America, propulsion flexibility and resilience.</w:t>
      </w:r>
    </w:p>
    <w:p w14:paraId="3DBFB469" w14:textId="76414EE9" w:rsidR="001A2CAF" w:rsidRPr="00A3379C" w:rsidRDefault="001A2CAF" w:rsidP="00A3379C">
      <w:pPr>
        <w:spacing w:line="360" w:lineRule="auto"/>
        <w:jc w:val="both"/>
        <w:rPr>
          <w:rFonts w:ascii="Arial" w:hAnsi="Arial" w:cs="Arial"/>
        </w:rPr>
      </w:pPr>
      <w:r w:rsidRPr="00A3379C">
        <w:rPr>
          <w:rFonts w:ascii="Arial" w:hAnsi="Arial" w:cs="Arial"/>
        </w:rPr>
        <w:t xml:space="preserve">An indicative BCG lens would place Range Rover and Defender as priority growth/earnings brands, Jaguar as a </w:t>
      </w:r>
      <w:r w:rsidR="00A3379C" w:rsidRPr="00A3379C">
        <w:rPr>
          <w:rFonts w:ascii="Arial" w:hAnsi="Arial" w:cs="Arial"/>
        </w:rPr>
        <w:t>high investment</w:t>
      </w:r>
      <w:r w:rsidRPr="00A3379C">
        <w:rPr>
          <w:rFonts w:ascii="Arial" w:hAnsi="Arial" w:cs="Arial"/>
        </w:rPr>
        <w:t xml:space="preserve"> </w:t>
      </w:r>
      <w:r w:rsidRPr="00A3379C">
        <w:rPr>
          <w:rFonts w:ascii="Arial" w:hAnsi="Arial" w:cs="Arial"/>
          <w:b/>
          <w:bCs/>
        </w:rPr>
        <w:t>“question mark”</w:t>
      </w:r>
      <w:r w:rsidRPr="00A3379C">
        <w:rPr>
          <w:rFonts w:ascii="Arial" w:hAnsi="Arial" w:cs="Arial"/>
        </w:rPr>
        <w:t xml:space="preserve"> during its relaunch, and Discovery as a selectively managed portfolio brand. However, this is directional rather than a rigorous BCG matrix because public brand-level relative </w:t>
      </w:r>
      <w:r w:rsidRPr="00A3379C">
        <w:rPr>
          <w:rFonts w:ascii="Arial" w:hAnsi="Arial" w:cs="Arial"/>
        </w:rPr>
        <w:lastRenderedPageBreak/>
        <w:t>market-share and growth data are insufficient for defensible quantitative classification. The internal conclusion is therefore clear: JLR should exploit its rare brand assets while reconfiguring software, resilience and ecosystem capabilities around them.</w:t>
      </w:r>
    </w:p>
    <w:p w14:paraId="7E78FD0D" w14:textId="5B7CD4A2" w:rsidR="001A2CAF" w:rsidRPr="00A3379C" w:rsidRDefault="00A3379C" w:rsidP="00A3379C">
      <w:pPr>
        <w:pStyle w:val="Heading1"/>
        <w:spacing w:line="360" w:lineRule="auto"/>
        <w:jc w:val="both"/>
        <w:rPr>
          <w:rFonts w:ascii="Arial" w:hAnsi="Arial" w:cs="Arial"/>
        </w:rPr>
      </w:pPr>
      <w:bookmarkStart w:id="8" w:name="_Toc237616728"/>
      <w:r w:rsidRPr="00A3379C">
        <w:rPr>
          <w:rFonts w:ascii="Arial" w:hAnsi="Arial" w:cs="Arial"/>
        </w:rPr>
        <w:t>7</w:t>
      </w:r>
      <w:r w:rsidR="001A2CAF" w:rsidRPr="00A3379C">
        <w:rPr>
          <w:rFonts w:ascii="Arial" w:hAnsi="Arial" w:cs="Arial"/>
        </w:rPr>
        <w:t>. Strategy Formulation</w:t>
      </w:r>
      <w:bookmarkEnd w:id="8"/>
    </w:p>
    <w:p w14:paraId="0290E4EC"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Three strategic choices are available. First, JLR could accelerate towards a predominantly BEV portfolio. This would strengthen regulatory alignment and simplify the long-term technology direction, but it would increase exposure to uneven EV adoption and intensify direct competition with larger EV manufacturers. Second, JLR could prioritise propulsion flexibility and existing luxury differentiation. This reduces near-term market risk but may preserve excessive engineering complexity and could become strategic delay. Third, JLR could adopt an </w:t>
      </w:r>
      <w:r w:rsidRPr="00A3379C">
        <w:rPr>
          <w:rFonts w:ascii="Arial" w:hAnsi="Arial" w:cs="Arial"/>
          <w:b/>
          <w:bCs/>
        </w:rPr>
        <w:t>Adaptive Software-Defined Luxury (ASDL) strategy</w:t>
      </w:r>
      <w:r w:rsidRPr="00A3379C">
        <w:rPr>
          <w:rFonts w:ascii="Arial" w:hAnsi="Arial" w:cs="Arial"/>
        </w:rPr>
        <w:t>, which offers the strongest fit with its resources and the industry’s changing basis of value creation.</w:t>
      </w:r>
    </w:p>
    <w:p w14:paraId="0BAAD554" w14:textId="77777777" w:rsidR="001A2CAF" w:rsidRPr="00A3379C" w:rsidRDefault="001A2CAF" w:rsidP="00A3379C">
      <w:pPr>
        <w:spacing w:line="360" w:lineRule="auto"/>
        <w:jc w:val="both"/>
        <w:rPr>
          <w:rFonts w:ascii="Arial" w:hAnsi="Arial" w:cs="Arial"/>
        </w:rPr>
      </w:pPr>
      <w:r w:rsidRPr="00A3379C">
        <w:rPr>
          <w:rFonts w:ascii="Arial" w:hAnsi="Arial" w:cs="Arial"/>
        </w:rPr>
        <w:t>The proposed strategy would retain flexible electrification during the transition but shift the centre of differentiation towards software-enabled luxury. JLR should create a common digital architecture across brands while using connected services and data to personalise ownership, support predictive maintenance, enable over-the-air improvement and develop premium lifecycle services. Sterk et al. (2024) demonstrate that connected-car data enables multiple business-model archetypes beyond the initial vehicle sale, while Liu, Zhang and Zhao (2022) show that software-defined vehicles require changes in R&amp;D models and organisational capabilities.</w:t>
      </w:r>
    </w:p>
    <w:p w14:paraId="33C6B5B6" w14:textId="77777777" w:rsidR="001A2CAF" w:rsidRPr="00A3379C" w:rsidRDefault="001A2CAF" w:rsidP="00A3379C">
      <w:pPr>
        <w:spacing w:line="360" w:lineRule="auto"/>
        <w:jc w:val="both"/>
        <w:rPr>
          <w:rFonts w:ascii="Arial" w:hAnsi="Arial" w:cs="Arial"/>
        </w:rPr>
      </w:pPr>
      <w:r w:rsidRPr="00A3379C">
        <w:rPr>
          <w:rFonts w:ascii="Arial" w:hAnsi="Arial" w:cs="Arial"/>
        </w:rPr>
        <w:t>JLR should not attempt to develop every technology internally. Pushpananthan and Elmquist (2022) show that alliances can provide complementary resources and enable innovation ecosystems, particularly under technological discontinuity. However, Cabigiosu (2022) indicates that strategically important EV capabilities may later require greater internalisation. JLR should therefore partner for scale-intensive or non-differentiating technologies while retaining control of brand-defining software, customer-data governance and experience design.</w:t>
      </w:r>
    </w:p>
    <w:p w14:paraId="6935C87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Supply-chain resilience should also be differentiated by criticality: supplier diversification, strategic buffers, localisation and digital visibility should target </w:t>
      </w:r>
      <w:r w:rsidRPr="00A3379C">
        <w:rPr>
          <w:rFonts w:ascii="Arial" w:hAnsi="Arial" w:cs="Arial"/>
        </w:rPr>
        <w:lastRenderedPageBreak/>
        <w:t>components with high disruption or geopolitical exposure rather than increasing inventory universally (Qamar et al., 2025; Singh, Hamid and Garza-Reyes, 2023).</w:t>
      </w:r>
    </w:p>
    <w:p w14:paraId="4F5796FD"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Implementation should be measured through </w:t>
      </w:r>
      <w:r w:rsidRPr="00A3379C">
        <w:rPr>
          <w:rFonts w:ascii="Arial" w:hAnsi="Arial" w:cs="Arial"/>
          <w:b/>
          <w:bCs/>
        </w:rPr>
        <w:t>software/service revenue per vehicle, digital-service adoption, cyber-recovery time, critical-component dual-sourcing, EV launch milestones, EBIT margin and lifecycle customer-retention indicators</w:t>
      </w:r>
      <w:r w:rsidRPr="00A3379C">
        <w:rPr>
          <w:rFonts w:ascii="Arial" w:hAnsi="Arial" w:cs="Arial"/>
        </w:rPr>
        <w:t>. These measures connect the new strategy to both competitive differentiation and operational resilience.</w:t>
      </w:r>
    </w:p>
    <w:p w14:paraId="6E485AB3" w14:textId="136560F8" w:rsidR="001A2CAF" w:rsidRPr="00A3379C" w:rsidRDefault="00A3379C" w:rsidP="00A3379C">
      <w:pPr>
        <w:pStyle w:val="Heading1"/>
        <w:spacing w:line="360" w:lineRule="auto"/>
        <w:jc w:val="both"/>
        <w:rPr>
          <w:rStyle w:val="Heading1Char"/>
          <w:rFonts w:ascii="Arial" w:hAnsi="Arial" w:cs="Arial"/>
        </w:rPr>
      </w:pPr>
      <w:bookmarkStart w:id="9" w:name="_Toc237616729"/>
      <w:r w:rsidRPr="00A3379C">
        <w:rPr>
          <w:rFonts w:ascii="Arial" w:hAnsi="Arial" w:cs="Arial"/>
        </w:rPr>
        <w:t>8.</w:t>
      </w:r>
      <w:r w:rsidR="001A2CAF" w:rsidRPr="00A3379C">
        <w:rPr>
          <w:rFonts w:ascii="Arial" w:hAnsi="Arial" w:cs="Arial"/>
          <w:b/>
          <w:bCs/>
        </w:rPr>
        <w:t xml:space="preserve"> </w:t>
      </w:r>
      <w:r w:rsidR="001A2CAF" w:rsidRPr="00A3379C">
        <w:rPr>
          <w:rStyle w:val="Heading1Char"/>
          <w:rFonts w:ascii="Arial" w:hAnsi="Arial" w:cs="Arial"/>
        </w:rPr>
        <w:t>Conclusion and Recommendations</w:t>
      </w:r>
      <w:bookmarkEnd w:id="9"/>
    </w:p>
    <w:p w14:paraId="68CC695B" w14:textId="77777777" w:rsidR="001A2CAF" w:rsidRPr="00A3379C" w:rsidRDefault="001A2CAF" w:rsidP="00A3379C">
      <w:pPr>
        <w:spacing w:line="360" w:lineRule="auto"/>
        <w:jc w:val="both"/>
        <w:rPr>
          <w:rFonts w:ascii="Arial" w:hAnsi="Arial" w:cs="Arial"/>
        </w:rPr>
      </w:pPr>
      <w:r w:rsidRPr="00A3379C">
        <w:rPr>
          <w:rFonts w:ascii="Arial" w:hAnsi="Arial" w:cs="Arial"/>
        </w:rPr>
        <w:t>JLR remains strategically viable because its strongest brands, design heritage and engineering capabilities provide differentiation that new entrants cannot easily reproduce. However, recent financial volatility shows that these resources are insufficient when operations, software and supply networks lack equivalent resilience. At the same time, software-defined vehicles and connected services are shifting automotive value creation beyond the physical vehicle, requiring JLR to renew rather than merely defend its historic advantages.</w:t>
      </w:r>
    </w:p>
    <w:p w14:paraId="04F2AA4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The recommended </w:t>
      </w:r>
      <w:r w:rsidRPr="00A3379C">
        <w:rPr>
          <w:rFonts w:ascii="Arial" w:hAnsi="Arial" w:cs="Arial"/>
          <w:b/>
          <w:bCs/>
        </w:rPr>
        <w:t>Adaptive Software-Defined Luxury strategy</w:t>
      </w:r>
      <w:r w:rsidRPr="00A3379C">
        <w:rPr>
          <w:rFonts w:ascii="Arial" w:hAnsi="Arial" w:cs="Arial"/>
        </w:rPr>
        <w:t xml:space="preserve"> therefore combines four priorities. First, JLR should preserve propulsion flexibility only as a transitional response while continuing to build competitive EV capability. Second, it should create a common software and data architecture that enables differentiated digital services and premium lifecycle customer experiences. Third, technology partnerships should be selective: external collaboration should accelerate complementary capabilities without surrendering control of brand-defining software, customer experience or strategically important knowledge. Finally, supply-chain resilience should be risk-based, using diversification, visibility, localisation or buffers according to component criticality rather than applying expensive resilience measures universally.</w:t>
      </w:r>
    </w:p>
    <w:p w14:paraId="6C7BB7BD" w14:textId="77777777" w:rsidR="001A2CAF" w:rsidRPr="00A3379C" w:rsidRDefault="001A2CAF" w:rsidP="00A3379C">
      <w:pPr>
        <w:spacing w:line="360" w:lineRule="auto"/>
        <w:jc w:val="both"/>
        <w:rPr>
          <w:rFonts w:ascii="Arial" w:hAnsi="Arial" w:cs="Arial"/>
        </w:rPr>
      </w:pPr>
      <w:r w:rsidRPr="00A3379C">
        <w:rPr>
          <w:rFonts w:ascii="Arial" w:hAnsi="Arial" w:cs="Arial"/>
        </w:rPr>
        <w:t>Progress should be monitored through financial, digital-adoption, resilience and customer-retention indicators. Together, these actions would align JLR’s modern-luxury positioning with the technological and sustainability requirements of future automotive competition while reducing dependence on any single technology, supplier or market assumption.</w:t>
      </w:r>
    </w:p>
    <w:p w14:paraId="4C1D264A" w14:textId="77777777" w:rsidR="00A3379C" w:rsidRPr="00A3379C" w:rsidRDefault="00A3379C" w:rsidP="00A3379C">
      <w:pPr>
        <w:pStyle w:val="Heading1"/>
        <w:spacing w:line="360" w:lineRule="auto"/>
        <w:jc w:val="both"/>
        <w:rPr>
          <w:rFonts w:ascii="Arial" w:hAnsi="Arial" w:cs="Arial"/>
        </w:rPr>
      </w:pPr>
    </w:p>
    <w:p w14:paraId="237CA498" w14:textId="77777777" w:rsidR="00A3379C" w:rsidRPr="00A3379C" w:rsidRDefault="00A3379C" w:rsidP="00A3379C">
      <w:pPr>
        <w:pStyle w:val="Heading1"/>
        <w:spacing w:line="360" w:lineRule="auto"/>
        <w:jc w:val="both"/>
        <w:rPr>
          <w:rFonts w:ascii="Arial" w:hAnsi="Arial" w:cs="Arial"/>
        </w:rPr>
      </w:pPr>
    </w:p>
    <w:p w14:paraId="7D984079" w14:textId="77777777" w:rsidR="00A3379C" w:rsidRPr="00A3379C" w:rsidRDefault="00A3379C" w:rsidP="00A3379C">
      <w:pPr>
        <w:pStyle w:val="Heading1"/>
        <w:spacing w:line="360" w:lineRule="auto"/>
        <w:jc w:val="both"/>
        <w:rPr>
          <w:rFonts w:ascii="Arial" w:hAnsi="Arial" w:cs="Arial"/>
        </w:rPr>
      </w:pPr>
    </w:p>
    <w:p w14:paraId="57BA1655" w14:textId="77777777" w:rsidR="00A3379C" w:rsidRPr="00A3379C" w:rsidRDefault="00A3379C" w:rsidP="00A3379C">
      <w:pPr>
        <w:pStyle w:val="Heading1"/>
        <w:spacing w:line="360" w:lineRule="auto"/>
        <w:jc w:val="both"/>
        <w:rPr>
          <w:rFonts w:ascii="Arial" w:hAnsi="Arial" w:cs="Arial"/>
        </w:rPr>
      </w:pPr>
    </w:p>
    <w:p w14:paraId="6C78CF5E" w14:textId="77777777" w:rsidR="00A3379C" w:rsidRPr="00A3379C" w:rsidRDefault="00A3379C" w:rsidP="00A3379C">
      <w:pPr>
        <w:pStyle w:val="Heading1"/>
        <w:spacing w:line="360" w:lineRule="auto"/>
        <w:jc w:val="both"/>
        <w:rPr>
          <w:rFonts w:ascii="Arial" w:hAnsi="Arial" w:cs="Arial"/>
        </w:rPr>
      </w:pPr>
    </w:p>
    <w:p w14:paraId="27B4C0A3" w14:textId="77777777" w:rsidR="00A3379C" w:rsidRPr="00A3379C" w:rsidRDefault="00A3379C" w:rsidP="00A3379C">
      <w:pPr>
        <w:pStyle w:val="Heading1"/>
        <w:spacing w:line="360" w:lineRule="auto"/>
        <w:jc w:val="both"/>
        <w:rPr>
          <w:rFonts w:ascii="Arial" w:hAnsi="Arial" w:cs="Arial"/>
        </w:rPr>
      </w:pPr>
    </w:p>
    <w:p w14:paraId="5BEE96DD" w14:textId="77777777" w:rsidR="00A3379C" w:rsidRPr="00A3379C" w:rsidRDefault="00A3379C" w:rsidP="00A3379C">
      <w:pPr>
        <w:spacing w:line="360" w:lineRule="auto"/>
        <w:jc w:val="both"/>
        <w:rPr>
          <w:rFonts w:ascii="Arial" w:hAnsi="Arial" w:cs="Arial"/>
        </w:rPr>
      </w:pPr>
    </w:p>
    <w:p w14:paraId="1EAB1F9E" w14:textId="77777777" w:rsidR="00A3379C" w:rsidRPr="00A3379C" w:rsidRDefault="00A3379C" w:rsidP="00A3379C">
      <w:pPr>
        <w:spacing w:line="360" w:lineRule="auto"/>
        <w:jc w:val="both"/>
        <w:rPr>
          <w:rFonts w:ascii="Arial" w:hAnsi="Arial" w:cs="Arial"/>
        </w:rPr>
      </w:pPr>
    </w:p>
    <w:p w14:paraId="6B44FEA1" w14:textId="77777777" w:rsidR="00A3379C" w:rsidRPr="00A3379C" w:rsidRDefault="00A3379C" w:rsidP="00A3379C">
      <w:pPr>
        <w:spacing w:line="360" w:lineRule="auto"/>
        <w:jc w:val="both"/>
        <w:rPr>
          <w:rFonts w:ascii="Arial" w:hAnsi="Arial" w:cs="Arial"/>
        </w:rPr>
      </w:pPr>
    </w:p>
    <w:p w14:paraId="2091DA0A" w14:textId="77777777" w:rsidR="00A3379C" w:rsidRPr="00A3379C" w:rsidRDefault="00A3379C" w:rsidP="00A3379C">
      <w:pPr>
        <w:spacing w:line="360" w:lineRule="auto"/>
        <w:jc w:val="both"/>
        <w:rPr>
          <w:rFonts w:ascii="Arial" w:hAnsi="Arial" w:cs="Arial"/>
        </w:rPr>
      </w:pPr>
    </w:p>
    <w:p w14:paraId="7349FD6F" w14:textId="77777777" w:rsidR="00A3379C" w:rsidRPr="00A3379C" w:rsidRDefault="00A3379C" w:rsidP="00A3379C">
      <w:pPr>
        <w:spacing w:line="360" w:lineRule="auto"/>
        <w:jc w:val="both"/>
        <w:rPr>
          <w:rFonts w:ascii="Arial" w:hAnsi="Arial" w:cs="Arial"/>
        </w:rPr>
      </w:pPr>
    </w:p>
    <w:p w14:paraId="0D751AF8" w14:textId="77777777" w:rsidR="00A3379C" w:rsidRPr="00A3379C" w:rsidRDefault="00A3379C" w:rsidP="00A3379C">
      <w:pPr>
        <w:spacing w:line="360" w:lineRule="auto"/>
        <w:jc w:val="both"/>
        <w:rPr>
          <w:rFonts w:ascii="Arial" w:hAnsi="Arial" w:cs="Arial"/>
        </w:rPr>
      </w:pPr>
    </w:p>
    <w:p w14:paraId="6144CC36" w14:textId="5B24A402" w:rsidR="001A2CAF" w:rsidRPr="00A3379C" w:rsidRDefault="00A3379C" w:rsidP="00A3379C">
      <w:pPr>
        <w:pStyle w:val="Heading1"/>
        <w:spacing w:line="360" w:lineRule="auto"/>
        <w:jc w:val="both"/>
        <w:rPr>
          <w:rFonts w:ascii="Arial" w:hAnsi="Arial" w:cs="Arial"/>
        </w:rPr>
      </w:pPr>
      <w:bookmarkStart w:id="10" w:name="_Toc237616730"/>
      <w:r w:rsidRPr="00A3379C">
        <w:rPr>
          <w:rFonts w:ascii="Arial" w:hAnsi="Arial" w:cs="Arial"/>
        </w:rPr>
        <w:t xml:space="preserve">9. </w:t>
      </w:r>
      <w:r w:rsidR="001A2CAF" w:rsidRPr="00A3379C">
        <w:rPr>
          <w:rFonts w:ascii="Arial" w:hAnsi="Arial" w:cs="Arial"/>
        </w:rPr>
        <w:t>Reference List</w:t>
      </w:r>
      <w:bookmarkEnd w:id="10"/>
    </w:p>
    <w:p w14:paraId="275B2BE1" w14:textId="77777777" w:rsidR="001A2CAF" w:rsidRPr="00A3379C" w:rsidRDefault="001A2CAF" w:rsidP="00A3379C">
      <w:pPr>
        <w:spacing w:line="360" w:lineRule="auto"/>
        <w:jc w:val="both"/>
        <w:rPr>
          <w:rFonts w:ascii="Arial" w:hAnsi="Arial" w:cs="Arial"/>
        </w:rPr>
      </w:pPr>
      <w:r w:rsidRPr="00A3379C">
        <w:rPr>
          <w:rFonts w:ascii="Arial" w:hAnsi="Arial" w:cs="Arial"/>
        </w:rPr>
        <w:t>ACEA – European Automobile Manufacturers’ Association (2026) ‘New car registrations: +4% in Q1 2026; battery-electric 19.4% market share’, 23 April.</w:t>
      </w:r>
    </w:p>
    <w:p w14:paraId="6FAF1EA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Barney, J.B. (1991) ‘Firm resources and sustained competitive advantage’, </w:t>
      </w:r>
      <w:r w:rsidRPr="00A3379C">
        <w:rPr>
          <w:rFonts w:ascii="Arial" w:hAnsi="Arial" w:cs="Arial"/>
          <w:i/>
          <w:iCs/>
        </w:rPr>
        <w:t>Journal of Management</w:t>
      </w:r>
      <w:r w:rsidRPr="00A3379C">
        <w:rPr>
          <w:rFonts w:ascii="Arial" w:hAnsi="Arial" w:cs="Arial"/>
        </w:rPr>
        <w:t>, 17(1), pp. 99–120.</w:t>
      </w:r>
    </w:p>
    <w:p w14:paraId="2C386E59"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Cabigiosu, A. (2022) ‘Sustainable development and incumbents’ open innovation strategies for a greener competence-destroying technology: The case of electric vehicles’, </w:t>
      </w:r>
      <w:r w:rsidRPr="00A3379C">
        <w:rPr>
          <w:rFonts w:ascii="Arial" w:hAnsi="Arial" w:cs="Arial"/>
          <w:i/>
          <w:iCs/>
        </w:rPr>
        <w:t>Business Strategy and the Environment</w:t>
      </w:r>
      <w:r w:rsidRPr="00A3379C">
        <w:rPr>
          <w:rFonts w:ascii="Arial" w:hAnsi="Arial" w:cs="Arial"/>
        </w:rPr>
        <w:t>, 31(5), pp. 2315–2336. doi: 10.1002/bse.3023.</w:t>
      </w:r>
    </w:p>
    <w:p w14:paraId="0BEE1949" w14:textId="77777777" w:rsidR="001A2CAF" w:rsidRPr="00A3379C" w:rsidRDefault="001A2CAF" w:rsidP="00A3379C">
      <w:pPr>
        <w:spacing w:line="360" w:lineRule="auto"/>
        <w:jc w:val="both"/>
        <w:rPr>
          <w:rFonts w:ascii="Arial" w:hAnsi="Arial" w:cs="Arial"/>
        </w:rPr>
      </w:pPr>
      <w:r w:rsidRPr="00A3379C">
        <w:rPr>
          <w:rFonts w:ascii="Arial" w:hAnsi="Arial" w:cs="Arial"/>
        </w:rPr>
        <w:lastRenderedPageBreak/>
        <w:t xml:space="preserve">Department for Transport (2025) </w:t>
      </w:r>
      <w:r w:rsidRPr="00A3379C">
        <w:rPr>
          <w:rFonts w:ascii="Arial" w:hAnsi="Arial" w:cs="Arial"/>
          <w:i/>
          <w:iCs/>
        </w:rPr>
        <w:t>Updates to the Vehicle Emissions Trading Schemes (VETS) Order 2023</w:t>
      </w:r>
      <w:r w:rsidRPr="00A3379C">
        <w:rPr>
          <w:rFonts w:ascii="Arial" w:hAnsi="Arial" w:cs="Arial"/>
        </w:rPr>
        <w:t>. London: Department for Transport.</w:t>
      </w:r>
    </w:p>
    <w:p w14:paraId="484CCDE6"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Grant, R.M. (2024) </w:t>
      </w:r>
      <w:r w:rsidRPr="00A3379C">
        <w:rPr>
          <w:rFonts w:ascii="Arial" w:hAnsi="Arial" w:cs="Arial"/>
          <w:i/>
          <w:iCs/>
        </w:rPr>
        <w:t>Contemporary Strategy Analysis</w:t>
      </w:r>
      <w:r w:rsidRPr="00A3379C">
        <w:rPr>
          <w:rFonts w:ascii="Arial" w:hAnsi="Arial" w:cs="Arial"/>
        </w:rPr>
        <w:t>. 12th edn. Hoboken, NJ: Wiley.</w:t>
      </w:r>
    </w:p>
    <w:p w14:paraId="4583DC3A"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International Energy Agency (IEA) (2026) </w:t>
      </w:r>
      <w:r w:rsidRPr="00A3379C">
        <w:rPr>
          <w:rFonts w:ascii="Arial" w:hAnsi="Arial" w:cs="Arial"/>
          <w:i/>
          <w:iCs/>
        </w:rPr>
        <w:t>Global EV Outlook 2026</w:t>
      </w:r>
      <w:r w:rsidRPr="00A3379C">
        <w:rPr>
          <w:rFonts w:ascii="Arial" w:hAnsi="Arial" w:cs="Arial"/>
        </w:rPr>
        <w:t>. Paris: IEA.</w:t>
      </w:r>
    </w:p>
    <w:p w14:paraId="6EA47795"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Jaguar Land Rover Automotive plc (JLR) (2025) </w:t>
      </w:r>
      <w:r w:rsidRPr="00A3379C">
        <w:rPr>
          <w:rFonts w:ascii="Arial" w:hAnsi="Arial" w:cs="Arial"/>
          <w:i/>
          <w:iCs/>
        </w:rPr>
        <w:t>Annual Report 2025</w:t>
      </w:r>
      <w:r w:rsidRPr="00A3379C">
        <w:rPr>
          <w:rFonts w:ascii="Arial" w:hAnsi="Arial" w:cs="Arial"/>
        </w:rPr>
        <w:t>. Gaydon: Jaguar Land Rover Automotive plc.</w:t>
      </w:r>
    </w:p>
    <w:p w14:paraId="368C7927"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Jaguar Land Rover Automotive plc (JLR) (2026a) </w:t>
      </w:r>
      <w:r w:rsidRPr="00A3379C">
        <w:rPr>
          <w:rFonts w:ascii="Arial" w:hAnsi="Arial" w:cs="Arial"/>
          <w:i/>
          <w:iCs/>
        </w:rPr>
        <w:t>Annual Report 2026</w:t>
      </w:r>
      <w:r w:rsidRPr="00A3379C">
        <w:rPr>
          <w:rFonts w:ascii="Arial" w:hAnsi="Arial" w:cs="Arial"/>
        </w:rPr>
        <w:t>. Gaydon: Jaguar Land Rover Automotive plc.</w:t>
      </w:r>
    </w:p>
    <w:p w14:paraId="4610A7E8" w14:textId="77777777" w:rsidR="001A2CAF" w:rsidRPr="00A3379C" w:rsidRDefault="001A2CAF" w:rsidP="00A3379C">
      <w:pPr>
        <w:spacing w:line="360" w:lineRule="auto"/>
        <w:jc w:val="both"/>
        <w:rPr>
          <w:rFonts w:ascii="Arial" w:hAnsi="Arial" w:cs="Arial"/>
        </w:rPr>
      </w:pPr>
      <w:r w:rsidRPr="00A3379C">
        <w:rPr>
          <w:rFonts w:ascii="Arial" w:hAnsi="Arial" w:cs="Arial"/>
        </w:rPr>
        <w:t>Jaguar Land Rover Automotive plc (JLR) (2026b) ‘JLR sets out path to double digit revenue growth through greater propulsion flexibility and increased focus on North America’, 17 June.</w:t>
      </w:r>
    </w:p>
    <w:p w14:paraId="080647DA"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Jaguar Land Rover Automotive plc (JLR) (2026c) </w:t>
      </w:r>
      <w:r w:rsidRPr="00A3379C">
        <w:rPr>
          <w:rFonts w:ascii="Arial" w:hAnsi="Arial" w:cs="Arial"/>
          <w:i/>
          <w:iCs/>
        </w:rPr>
        <w:t>Our Purpose</w:t>
      </w:r>
      <w:r w:rsidRPr="00A3379C">
        <w:rPr>
          <w:rFonts w:ascii="Arial" w:hAnsi="Arial" w:cs="Arial"/>
        </w:rPr>
        <w:t>.</w:t>
      </w:r>
    </w:p>
    <w:p w14:paraId="73FF1E2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Jaguar Land Rover Automotive plc (JLR) (2026d) </w:t>
      </w:r>
      <w:r w:rsidRPr="00A3379C">
        <w:rPr>
          <w:rFonts w:ascii="Arial" w:hAnsi="Arial" w:cs="Arial"/>
          <w:i/>
          <w:iCs/>
        </w:rPr>
        <w:t>Sustainability</w:t>
      </w:r>
      <w:r w:rsidRPr="00A3379C">
        <w:rPr>
          <w:rFonts w:ascii="Arial" w:hAnsi="Arial" w:cs="Arial"/>
        </w:rPr>
        <w:t>.</w:t>
      </w:r>
    </w:p>
    <w:p w14:paraId="1D33D113" w14:textId="77777777" w:rsidR="001A2CAF" w:rsidRPr="00A3379C" w:rsidRDefault="001A2CAF" w:rsidP="00A3379C">
      <w:pPr>
        <w:spacing w:line="360" w:lineRule="auto"/>
        <w:jc w:val="both"/>
        <w:rPr>
          <w:rFonts w:ascii="Arial" w:hAnsi="Arial" w:cs="Arial"/>
        </w:rPr>
      </w:pPr>
      <w:r w:rsidRPr="00A3379C">
        <w:rPr>
          <w:rFonts w:ascii="Arial" w:hAnsi="Arial" w:cs="Arial"/>
        </w:rPr>
        <w:t>Jaguar Land Rover Automotive plc (JLR) (2026e) ‘JLR delivers profitable quarter despite supply and market challenges’, 13 August.</w:t>
      </w:r>
    </w:p>
    <w:p w14:paraId="67E88DC2"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Liu, Z., Zhang, W. and Zhao, F. (2022) ‘Impact, challenges and prospect of software-defined vehicles’, </w:t>
      </w:r>
      <w:r w:rsidRPr="00A3379C">
        <w:rPr>
          <w:rFonts w:ascii="Arial" w:hAnsi="Arial" w:cs="Arial"/>
          <w:i/>
          <w:iCs/>
        </w:rPr>
        <w:t>Automotive Innovation</w:t>
      </w:r>
      <w:r w:rsidRPr="00A3379C">
        <w:rPr>
          <w:rFonts w:ascii="Arial" w:hAnsi="Arial" w:cs="Arial"/>
        </w:rPr>
        <w:t>, 5(2), pp. 180–194. doi: 10.1007/s42154-022-00179-z.</w:t>
      </w:r>
    </w:p>
    <w:p w14:paraId="5F932CB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Llopis-Albert, C., Rubio, F. and Valero, F. (2021) ‘Impact of digital transformation on the automotive industry’, </w:t>
      </w:r>
      <w:r w:rsidRPr="00A3379C">
        <w:rPr>
          <w:rFonts w:ascii="Arial" w:hAnsi="Arial" w:cs="Arial"/>
          <w:i/>
          <w:iCs/>
        </w:rPr>
        <w:t>Technological Forecasting and Social Change</w:t>
      </w:r>
      <w:r w:rsidRPr="00A3379C">
        <w:rPr>
          <w:rFonts w:ascii="Arial" w:hAnsi="Arial" w:cs="Arial"/>
        </w:rPr>
        <w:t>, 162, Article 120343. doi: 10.1016/j.techfore.2020.120343.</w:t>
      </w:r>
    </w:p>
    <w:p w14:paraId="2C27F94C"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Loder, J., Rinscheid, A. and Wüstenhagen, R. (2024) ‘Why do (some) German car manufacturers go electric? The role of dynamic capabilities and cognitive frames’, </w:t>
      </w:r>
      <w:r w:rsidRPr="00A3379C">
        <w:rPr>
          <w:rFonts w:ascii="Arial" w:hAnsi="Arial" w:cs="Arial"/>
          <w:i/>
          <w:iCs/>
        </w:rPr>
        <w:t>Business Strategy and the Environment</w:t>
      </w:r>
      <w:r w:rsidRPr="00A3379C">
        <w:rPr>
          <w:rFonts w:ascii="Arial" w:hAnsi="Arial" w:cs="Arial"/>
        </w:rPr>
        <w:t>, 33(2), pp. 1129–1143. doi: 10.1002/bse.3538.</w:t>
      </w:r>
    </w:p>
    <w:p w14:paraId="149399A6"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Murmann, J.P. and Vogt, F. (2023) ‘A capabilities framework for dynamic competition: Assessing the relative chances of incumbents, start-ups, and diversifying entrants’, </w:t>
      </w:r>
      <w:r w:rsidRPr="00A3379C">
        <w:rPr>
          <w:rFonts w:ascii="Arial" w:hAnsi="Arial" w:cs="Arial"/>
          <w:i/>
          <w:iCs/>
        </w:rPr>
        <w:t>Management and Organization Review</w:t>
      </w:r>
      <w:r w:rsidRPr="00A3379C">
        <w:rPr>
          <w:rFonts w:ascii="Arial" w:hAnsi="Arial" w:cs="Arial"/>
        </w:rPr>
        <w:t>, 19(1), pp. 141–156. doi: 10.1017/mor.2022.37.</w:t>
      </w:r>
    </w:p>
    <w:p w14:paraId="7D7A4241" w14:textId="77777777" w:rsidR="001A2CAF" w:rsidRPr="00A3379C" w:rsidRDefault="001A2CAF" w:rsidP="00A3379C">
      <w:pPr>
        <w:spacing w:line="360" w:lineRule="auto"/>
        <w:jc w:val="both"/>
        <w:rPr>
          <w:rFonts w:ascii="Arial" w:hAnsi="Arial" w:cs="Arial"/>
        </w:rPr>
      </w:pPr>
      <w:r w:rsidRPr="00A3379C">
        <w:rPr>
          <w:rFonts w:ascii="Arial" w:hAnsi="Arial" w:cs="Arial"/>
        </w:rPr>
        <w:lastRenderedPageBreak/>
        <w:t xml:space="preserve">Porter, M.E. (1980) </w:t>
      </w:r>
      <w:r w:rsidRPr="00A3379C">
        <w:rPr>
          <w:rFonts w:ascii="Arial" w:hAnsi="Arial" w:cs="Arial"/>
          <w:i/>
          <w:iCs/>
        </w:rPr>
        <w:t>Competitive Strategy: Techniques for Analyzing Industries and Competitors</w:t>
      </w:r>
      <w:r w:rsidRPr="00A3379C">
        <w:rPr>
          <w:rFonts w:ascii="Arial" w:hAnsi="Arial" w:cs="Arial"/>
        </w:rPr>
        <w:t>. New York: Free Press.</w:t>
      </w:r>
    </w:p>
    <w:p w14:paraId="564CA65B"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Porter, M.E. (1985) </w:t>
      </w:r>
      <w:r w:rsidRPr="00A3379C">
        <w:rPr>
          <w:rFonts w:ascii="Arial" w:hAnsi="Arial" w:cs="Arial"/>
          <w:i/>
          <w:iCs/>
        </w:rPr>
        <w:t>Competitive Advantage: Creating and Sustaining Superior Performance</w:t>
      </w:r>
      <w:r w:rsidRPr="00A3379C">
        <w:rPr>
          <w:rFonts w:ascii="Arial" w:hAnsi="Arial" w:cs="Arial"/>
        </w:rPr>
        <w:t>. New York: Free Press.</w:t>
      </w:r>
    </w:p>
    <w:p w14:paraId="5596DCE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Pushpananthan, G. and Elmquist, M. (2022) ‘Joining forces to create value: The emergence of an innovation ecosystem’, </w:t>
      </w:r>
      <w:r w:rsidRPr="00A3379C">
        <w:rPr>
          <w:rFonts w:ascii="Arial" w:hAnsi="Arial" w:cs="Arial"/>
          <w:i/>
          <w:iCs/>
        </w:rPr>
        <w:t>Technovation</w:t>
      </w:r>
      <w:r w:rsidRPr="00A3379C">
        <w:rPr>
          <w:rFonts w:ascii="Arial" w:hAnsi="Arial" w:cs="Arial"/>
        </w:rPr>
        <w:t>, 115, Article 102453. doi: 10.1016/j.technovation.2021.102453.</w:t>
      </w:r>
    </w:p>
    <w:p w14:paraId="17A48C3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Qamar, A., Clegg, B., Bryson, J.R. and Du, B. (2025) ‘Risk mitigation, adaptability and sectoral resilience: Buffering in automotive supply chains prior &amp; post disruption’, </w:t>
      </w:r>
      <w:r w:rsidRPr="00A3379C">
        <w:rPr>
          <w:rFonts w:ascii="Arial" w:hAnsi="Arial" w:cs="Arial"/>
          <w:i/>
          <w:iCs/>
        </w:rPr>
        <w:t>Transportation Research Part E: Logistics and Transportation Review</w:t>
      </w:r>
      <w:r w:rsidRPr="00A3379C">
        <w:rPr>
          <w:rFonts w:ascii="Arial" w:hAnsi="Arial" w:cs="Arial"/>
        </w:rPr>
        <w:t>, 201, Article 104263. doi: 10.1016/j.tre.2025.104263.</w:t>
      </w:r>
    </w:p>
    <w:p w14:paraId="1EA2EF39"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Singh, J., Hamid, A.B.A. and Garza-Reyes, J.A. (2023) ‘Supply chain resilience strategies and their impact on sustainability: An investigation from the automobile sector’, </w:t>
      </w:r>
      <w:r w:rsidRPr="00A3379C">
        <w:rPr>
          <w:rFonts w:ascii="Arial" w:hAnsi="Arial" w:cs="Arial"/>
          <w:i/>
          <w:iCs/>
        </w:rPr>
        <w:t>Supply Chain Management: An International Journal</w:t>
      </w:r>
      <w:r w:rsidRPr="00A3379C">
        <w:rPr>
          <w:rFonts w:ascii="Arial" w:hAnsi="Arial" w:cs="Arial"/>
        </w:rPr>
        <w:t>, 28(4), pp. 787–802. doi: 10.1108/SCM-06-2022-0225.</w:t>
      </w:r>
    </w:p>
    <w:p w14:paraId="6BC012C1"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Sterk, F., Stocker, A., Heinz, D. and Weinhardt, C. (2024) ‘Unlocking the value from car data: A taxonomy and archetypes of connected car business models’, </w:t>
      </w:r>
      <w:r w:rsidRPr="00A3379C">
        <w:rPr>
          <w:rFonts w:ascii="Arial" w:hAnsi="Arial" w:cs="Arial"/>
          <w:i/>
          <w:iCs/>
        </w:rPr>
        <w:t>Electronic Markets</w:t>
      </w:r>
      <w:r w:rsidRPr="00A3379C">
        <w:rPr>
          <w:rFonts w:ascii="Arial" w:hAnsi="Arial" w:cs="Arial"/>
        </w:rPr>
        <w:t>, 34, Article 13. doi: 10.1007/s12525-024-00692-5.</w:t>
      </w:r>
    </w:p>
    <w:p w14:paraId="429C6708"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Teece, D.J. (2007) ‘Explicating dynamic capabilities: The nature and microfoundations of (sustainable) enterprise performance’, </w:t>
      </w:r>
      <w:r w:rsidRPr="00A3379C">
        <w:rPr>
          <w:rFonts w:ascii="Arial" w:hAnsi="Arial" w:cs="Arial"/>
          <w:i/>
          <w:iCs/>
        </w:rPr>
        <w:t>Strategic Management Journal</w:t>
      </w:r>
      <w:r w:rsidRPr="00A3379C">
        <w:rPr>
          <w:rFonts w:ascii="Arial" w:hAnsi="Arial" w:cs="Arial"/>
        </w:rPr>
        <w:t>, 28(13), pp. 1319–1350.</w:t>
      </w:r>
    </w:p>
    <w:p w14:paraId="05296D8F" w14:textId="77777777" w:rsidR="001A2CAF" w:rsidRPr="00A3379C" w:rsidRDefault="001A2CAF" w:rsidP="00A3379C">
      <w:pPr>
        <w:spacing w:line="360" w:lineRule="auto"/>
        <w:jc w:val="both"/>
        <w:rPr>
          <w:rFonts w:ascii="Arial" w:hAnsi="Arial" w:cs="Arial"/>
        </w:rPr>
      </w:pPr>
      <w:r w:rsidRPr="00A3379C">
        <w:rPr>
          <w:rFonts w:ascii="Arial" w:hAnsi="Arial" w:cs="Arial"/>
        </w:rPr>
        <w:t xml:space="preserve">Whittington, R., Regnér, P., Angwin, D., Johnson, G. and Scholes, K. (2023) </w:t>
      </w:r>
      <w:r w:rsidRPr="00A3379C">
        <w:rPr>
          <w:rFonts w:ascii="Arial" w:hAnsi="Arial" w:cs="Arial"/>
          <w:i/>
          <w:iCs/>
        </w:rPr>
        <w:t>Exploring Strategy: Text and Cases</w:t>
      </w:r>
      <w:r w:rsidRPr="00A3379C">
        <w:rPr>
          <w:rFonts w:ascii="Arial" w:hAnsi="Arial" w:cs="Arial"/>
        </w:rPr>
        <w:t>. 13th edn. Harlow: Pearson.</w:t>
      </w:r>
    </w:p>
    <w:p w14:paraId="72AFEF87" w14:textId="77777777" w:rsidR="001A2CAF" w:rsidRDefault="001A2CAF" w:rsidP="00A3379C">
      <w:pPr>
        <w:spacing w:line="360" w:lineRule="auto"/>
        <w:jc w:val="both"/>
      </w:pPr>
    </w:p>
    <w:sectPr w:rsidR="001A2CA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9C31E" w14:textId="77777777" w:rsidR="009E34C6" w:rsidRDefault="009E34C6" w:rsidP="00C278D1">
      <w:pPr>
        <w:spacing w:after="0" w:line="240" w:lineRule="auto"/>
      </w:pPr>
      <w:r>
        <w:separator/>
      </w:r>
    </w:p>
  </w:endnote>
  <w:endnote w:type="continuationSeparator" w:id="0">
    <w:p w14:paraId="48091A31" w14:textId="77777777" w:rsidR="009E34C6" w:rsidRDefault="009E34C6" w:rsidP="00C278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3206764"/>
      <w:docPartObj>
        <w:docPartGallery w:val="Page Numbers (Bottom of Page)"/>
        <w:docPartUnique/>
      </w:docPartObj>
    </w:sdtPr>
    <w:sdtEndPr>
      <w:rPr>
        <w:noProof/>
      </w:rPr>
    </w:sdtEndPr>
    <w:sdtContent>
      <w:p w14:paraId="64076B2E" w14:textId="3B1A0997" w:rsidR="00C278D1" w:rsidRDefault="00C278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6687C2" w14:textId="77777777" w:rsidR="00C278D1" w:rsidRDefault="00C278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BDBF3" w14:textId="77777777" w:rsidR="009E34C6" w:rsidRDefault="009E34C6" w:rsidP="00C278D1">
      <w:pPr>
        <w:spacing w:after="0" w:line="240" w:lineRule="auto"/>
      </w:pPr>
      <w:r>
        <w:separator/>
      </w:r>
    </w:p>
  </w:footnote>
  <w:footnote w:type="continuationSeparator" w:id="0">
    <w:p w14:paraId="7733D12C" w14:textId="77777777" w:rsidR="009E34C6" w:rsidRDefault="009E34C6" w:rsidP="00C278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AF"/>
    <w:rsid w:val="001A2CAF"/>
    <w:rsid w:val="003708AA"/>
    <w:rsid w:val="00385594"/>
    <w:rsid w:val="007D2EBB"/>
    <w:rsid w:val="0087373F"/>
    <w:rsid w:val="009E34C6"/>
    <w:rsid w:val="00A3379C"/>
    <w:rsid w:val="00C278D1"/>
    <w:rsid w:val="00C64A0C"/>
    <w:rsid w:val="00CF2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7C6E8"/>
  <w15:chartTrackingRefBased/>
  <w15:docId w15:val="{52D06669-BEC8-4C6A-9C47-982CD9999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C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2C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2C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C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C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C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C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C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C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C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2C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C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C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C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C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C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C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CAF"/>
    <w:rPr>
      <w:rFonts w:eastAsiaTheme="majorEastAsia" w:cstheme="majorBidi"/>
      <w:color w:val="272727" w:themeColor="text1" w:themeTint="D8"/>
    </w:rPr>
  </w:style>
  <w:style w:type="paragraph" w:styleId="Title">
    <w:name w:val="Title"/>
    <w:basedOn w:val="Normal"/>
    <w:next w:val="Normal"/>
    <w:link w:val="TitleChar"/>
    <w:uiPriority w:val="10"/>
    <w:qFormat/>
    <w:rsid w:val="001A2C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C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C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C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CAF"/>
    <w:pPr>
      <w:spacing w:before="160"/>
      <w:jc w:val="center"/>
    </w:pPr>
    <w:rPr>
      <w:i/>
      <w:iCs/>
      <w:color w:val="404040" w:themeColor="text1" w:themeTint="BF"/>
    </w:rPr>
  </w:style>
  <w:style w:type="character" w:customStyle="1" w:styleId="QuoteChar">
    <w:name w:val="Quote Char"/>
    <w:basedOn w:val="DefaultParagraphFont"/>
    <w:link w:val="Quote"/>
    <w:uiPriority w:val="29"/>
    <w:rsid w:val="001A2CAF"/>
    <w:rPr>
      <w:i/>
      <w:iCs/>
      <w:color w:val="404040" w:themeColor="text1" w:themeTint="BF"/>
    </w:rPr>
  </w:style>
  <w:style w:type="paragraph" w:styleId="ListParagraph">
    <w:name w:val="List Paragraph"/>
    <w:basedOn w:val="Normal"/>
    <w:uiPriority w:val="34"/>
    <w:qFormat/>
    <w:rsid w:val="001A2CAF"/>
    <w:pPr>
      <w:ind w:left="720"/>
      <w:contextualSpacing/>
    </w:pPr>
  </w:style>
  <w:style w:type="character" w:styleId="IntenseEmphasis">
    <w:name w:val="Intense Emphasis"/>
    <w:basedOn w:val="DefaultParagraphFont"/>
    <w:uiPriority w:val="21"/>
    <w:qFormat/>
    <w:rsid w:val="001A2CAF"/>
    <w:rPr>
      <w:i/>
      <w:iCs/>
      <w:color w:val="0F4761" w:themeColor="accent1" w:themeShade="BF"/>
    </w:rPr>
  </w:style>
  <w:style w:type="paragraph" w:styleId="IntenseQuote">
    <w:name w:val="Intense Quote"/>
    <w:basedOn w:val="Normal"/>
    <w:next w:val="Normal"/>
    <w:link w:val="IntenseQuoteChar"/>
    <w:uiPriority w:val="30"/>
    <w:qFormat/>
    <w:rsid w:val="001A2C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CAF"/>
    <w:rPr>
      <w:i/>
      <w:iCs/>
      <w:color w:val="0F4761" w:themeColor="accent1" w:themeShade="BF"/>
    </w:rPr>
  </w:style>
  <w:style w:type="character" w:styleId="IntenseReference">
    <w:name w:val="Intense Reference"/>
    <w:basedOn w:val="DefaultParagraphFont"/>
    <w:uiPriority w:val="32"/>
    <w:qFormat/>
    <w:rsid w:val="001A2CAF"/>
    <w:rPr>
      <w:b/>
      <w:bCs/>
      <w:smallCaps/>
      <w:color w:val="0F4761" w:themeColor="accent1" w:themeShade="BF"/>
      <w:spacing w:val="5"/>
    </w:rPr>
  </w:style>
  <w:style w:type="paragraph" w:styleId="TOCHeading">
    <w:name w:val="TOC Heading"/>
    <w:basedOn w:val="Heading1"/>
    <w:next w:val="Normal"/>
    <w:uiPriority w:val="39"/>
    <w:unhideWhenUsed/>
    <w:qFormat/>
    <w:rsid w:val="00A3379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3379C"/>
    <w:pPr>
      <w:spacing w:after="100"/>
    </w:pPr>
  </w:style>
  <w:style w:type="paragraph" w:styleId="TOC2">
    <w:name w:val="toc 2"/>
    <w:basedOn w:val="Normal"/>
    <w:next w:val="Normal"/>
    <w:autoRedefine/>
    <w:uiPriority w:val="39"/>
    <w:unhideWhenUsed/>
    <w:rsid w:val="00A3379C"/>
    <w:pPr>
      <w:spacing w:after="100"/>
      <w:ind w:left="240"/>
    </w:pPr>
  </w:style>
  <w:style w:type="character" w:styleId="Hyperlink">
    <w:name w:val="Hyperlink"/>
    <w:basedOn w:val="DefaultParagraphFont"/>
    <w:uiPriority w:val="99"/>
    <w:unhideWhenUsed/>
    <w:rsid w:val="00A3379C"/>
    <w:rPr>
      <w:color w:val="467886" w:themeColor="hyperlink"/>
      <w:u w:val="single"/>
    </w:rPr>
  </w:style>
  <w:style w:type="paragraph" w:styleId="Header">
    <w:name w:val="header"/>
    <w:basedOn w:val="Normal"/>
    <w:link w:val="HeaderChar"/>
    <w:uiPriority w:val="99"/>
    <w:unhideWhenUsed/>
    <w:rsid w:val="00C278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8D1"/>
  </w:style>
  <w:style w:type="paragraph" w:styleId="Footer">
    <w:name w:val="footer"/>
    <w:basedOn w:val="Normal"/>
    <w:link w:val="FooterChar"/>
    <w:uiPriority w:val="99"/>
    <w:unhideWhenUsed/>
    <w:rsid w:val="00C278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8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8841A-5461-4CE9-98B5-4379A8C7D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3402</Words>
  <Characters>19394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VPAV Ltd</Company>
  <LinksUpToDate>false</LinksUpToDate>
  <CharactersWithSpaces>22751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5</cp:revision>
  <dcterms:created xsi:type="dcterms:W3CDTF">2026-08-14T15:19:00Z</dcterms:created>
  <dcterms:modified xsi:type="dcterms:W3CDTF">2026-08-15T10:36:00Z</dcterms:modified>
</cp:coreProperties>
</file>