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9EF9C6" w14:textId="75C39378" w:rsidR="00AA3263" w:rsidRPr="00C26AB2" w:rsidRDefault="00354A80" w:rsidP="00AA3263">
      <w:pPr>
        <w:jc w:val="center"/>
        <w:rPr>
          <w:sz w:val="28"/>
          <w:szCs w:val="28"/>
        </w:rPr>
      </w:pPr>
      <w:r>
        <w:rPr>
          <w:b/>
          <w:bCs/>
          <w:sz w:val="28"/>
          <w:szCs w:val="28"/>
          <w:u w:val="single"/>
        </w:rPr>
        <w:t>What are the main characteristics that define ‘Genocide’</w:t>
      </w:r>
      <w:r w:rsidR="00C26AB2">
        <w:rPr>
          <w:b/>
          <w:bCs/>
          <w:sz w:val="28"/>
          <w:szCs w:val="28"/>
          <w:u w:val="single"/>
        </w:rPr>
        <w:t>?</w:t>
      </w:r>
    </w:p>
    <w:p w14:paraId="72436E28" w14:textId="0B391F82" w:rsidR="00AA74BC" w:rsidRDefault="00AA3263" w:rsidP="00AA3263">
      <w:r>
        <w:t>The term genocide was coined in the 1940s by a Polish Jewish juror by the name Raphael Lemkin who fled Poland in 1939 to avoid persecution by the invading Nazi forces.</w:t>
      </w:r>
      <w:bookmarkStart w:id="0" w:name="_Hlk52627335"/>
      <w:r>
        <w:rPr>
          <w:rStyle w:val="FootnoteReference"/>
        </w:rPr>
        <w:footnoteReference w:id="1"/>
      </w:r>
      <w:r>
        <w:t xml:space="preserve"> </w:t>
      </w:r>
      <w:bookmarkEnd w:id="0"/>
      <w:r>
        <w:t xml:space="preserve">In </w:t>
      </w:r>
      <w:r w:rsidR="00D443FE">
        <w:t>its</w:t>
      </w:r>
      <w:r>
        <w:t xml:space="preserve"> initial usage by </w:t>
      </w:r>
      <w:r w:rsidR="00223DF1">
        <w:t>Lemkin</w:t>
      </w:r>
      <w:r>
        <w:t xml:space="preserve"> it was used as a general term to encompass all of the atrocities committed by the Nazis in Poland at the time</w:t>
      </w:r>
      <w:r w:rsidR="00D75069">
        <w:t>.</w:t>
      </w:r>
      <w:r w:rsidR="00D75069" w:rsidRPr="00D75069">
        <w:rPr>
          <w:rStyle w:val="FootnoteReference"/>
        </w:rPr>
        <w:t xml:space="preserve"> </w:t>
      </w:r>
      <w:r w:rsidR="00D75069">
        <w:rPr>
          <w:rStyle w:val="FootnoteReference"/>
        </w:rPr>
        <w:footnoteReference w:id="2"/>
      </w:r>
      <w:r w:rsidR="00D75069">
        <w:t xml:space="preserve"> It was in the UN Convention of 1948</w:t>
      </w:r>
      <w:r w:rsidR="000B3323">
        <w:t>, a convention dedicated to the prevention of genocide,</w:t>
      </w:r>
      <w:r w:rsidR="00D75069">
        <w:t xml:space="preserve"> where the term was given a legal definition as ‘</w:t>
      </w:r>
      <w:r w:rsidR="00223DF1">
        <w:t>A</w:t>
      </w:r>
      <w:r w:rsidR="00D75069">
        <w:t xml:space="preserve">cts with the intent to destroy in whole or in part a </w:t>
      </w:r>
      <w:r w:rsidR="00106945">
        <w:t>national, ethnical or religious group as such.’</w:t>
      </w:r>
      <w:r w:rsidR="00106945">
        <w:rPr>
          <w:rStyle w:val="FootnoteReference"/>
        </w:rPr>
        <w:footnoteReference w:id="3"/>
      </w:r>
      <w:r w:rsidR="000B3323">
        <w:t xml:space="preserve"> The acts contained within the legal definition go beyond mass extermination</w:t>
      </w:r>
      <w:r w:rsidR="00BF0D82">
        <w:t>. They also entail any purposeful act that impedes the l</w:t>
      </w:r>
      <w:r w:rsidR="00FC1127">
        <w:t>ongevity of those groups</w:t>
      </w:r>
      <w:r w:rsidR="00223DF1">
        <w:t>,</w:t>
      </w:r>
      <w:r w:rsidR="00FC1127">
        <w:t xml:space="preserve"> such as restriction of supplies or removal of children. However, cultural destruction and political extermination are not included</w:t>
      </w:r>
      <w:r w:rsidR="00786BD8">
        <w:t xml:space="preserve"> within the parameters for genocide set by the convention</w:t>
      </w:r>
      <w:r w:rsidR="00223DF1">
        <w:t>,</w:t>
      </w:r>
      <w:r w:rsidR="00786BD8">
        <w:t xml:space="preserve"> despite being pushed for by Lemkin.</w:t>
      </w:r>
      <w:r w:rsidR="00786BD8" w:rsidRPr="00786BD8">
        <w:rPr>
          <w:rStyle w:val="FootnoteReference"/>
        </w:rPr>
        <w:t xml:space="preserve"> </w:t>
      </w:r>
      <w:r w:rsidR="00786BD8">
        <w:rPr>
          <w:rStyle w:val="FootnoteReference"/>
        </w:rPr>
        <w:footnoteReference w:id="4"/>
      </w:r>
      <w:r w:rsidR="008026DE">
        <w:t xml:space="preserve"> </w:t>
      </w:r>
      <w:r w:rsidR="008026DE" w:rsidRPr="00382100">
        <w:t xml:space="preserve">For the purposes of simplicity I will be breaking down </w:t>
      </w:r>
      <w:r w:rsidR="00DE4199" w:rsidRPr="00382100">
        <w:t xml:space="preserve">the characteristics of </w:t>
      </w:r>
      <w:r w:rsidR="007B7820" w:rsidRPr="00382100">
        <w:t xml:space="preserve">genocide into </w:t>
      </w:r>
      <w:r w:rsidR="00382100" w:rsidRPr="00382100">
        <w:t>four</w:t>
      </w:r>
      <w:r w:rsidR="007B7820" w:rsidRPr="00382100">
        <w:t xml:space="preserve"> categories: physical genocide, biological genocide</w:t>
      </w:r>
      <w:r w:rsidR="00382100" w:rsidRPr="00382100">
        <w:t>, genocidal actions that do not fit within those categories</w:t>
      </w:r>
      <w:r w:rsidR="007B7820" w:rsidRPr="00382100">
        <w:t xml:space="preserve"> and acts that were not covered under the 1948 UN convention</w:t>
      </w:r>
      <w:r w:rsidR="007B7820">
        <w:t xml:space="preserve">. Within these categories I will be evaluating why some acts are and why some acts </w:t>
      </w:r>
      <w:r w:rsidR="00C06327">
        <w:t>are not</w:t>
      </w:r>
      <w:r w:rsidR="007B7820">
        <w:t xml:space="preserve"> classified as genocidal as well as giving examples of said acts.</w:t>
      </w:r>
      <w:r w:rsidR="00805417">
        <w:t xml:space="preserve"> I will also be going over the common themes that trigger genocide such as otherism, racism and anti-Semitism. </w:t>
      </w:r>
      <w:r w:rsidR="00AA74BC">
        <w:t>I will be predominantly looking at sources that outline the specifications set by the UN convention to show what does and does</w:t>
      </w:r>
      <w:r w:rsidR="00223DF1">
        <w:t xml:space="preserve"> </w:t>
      </w:r>
      <w:r w:rsidR="00AA74BC">
        <w:t>n</w:t>
      </w:r>
      <w:r w:rsidR="00223DF1">
        <w:t>o</w:t>
      </w:r>
      <w:r w:rsidR="00AA74BC">
        <w:t>t constitute genocide while using sources that outline the situation in 1948 to attempt to show why there may have been outliers.</w:t>
      </w:r>
    </w:p>
    <w:p w14:paraId="1888C5B1" w14:textId="50D92BC9" w:rsidR="00AA3263" w:rsidRDefault="00AF0E2E" w:rsidP="00AA3263">
      <w:r>
        <w:t>In the UN convention</w:t>
      </w:r>
      <w:r w:rsidR="008F4A19">
        <w:t xml:space="preserve"> the term </w:t>
      </w:r>
      <w:r w:rsidR="00223DF1">
        <w:t>‘</w:t>
      </w:r>
      <w:r w:rsidR="008F4A19">
        <w:t>p</w:t>
      </w:r>
      <w:r w:rsidR="00AA74BC">
        <w:t>hysical genocide</w:t>
      </w:r>
      <w:r w:rsidR="00223DF1">
        <w:t>’</w:t>
      </w:r>
      <w:r w:rsidR="00AA74BC">
        <w:t xml:space="preserve"> encompasses </w:t>
      </w:r>
      <w:r w:rsidR="00C330AA">
        <w:t xml:space="preserve">forceful acts that negatively </w:t>
      </w:r>
      <w:r w:rsidR="008079D1">
        <w:t>impact</w:t>
      </w:r>
      <w:r>
        <w:t xml:space="preserve"> specific groups.</w:t>
      </w:r>
      <w:r w:rsidRPr="00AF0E2E">
        <w:rPr>
          <w:rStyle w:val="FootnoteReference"/>
        </w:rPr>
        <w:t xml:space="preserve"> </w:t>
      </w:r>
      <w:r>
        <w:rPr>
          <w:rStyle w:val="FootnoteReference"/>
        </w:rPr>
        <w:footnoteReference w:id="5"/>
      </w:r>
      <w:r w:rsidR="008F4A19">
        <w:t xml:space="preserve"> This includes</w:t>
      </w:r>
      <w:r w:rsidR="000143D7">
        <w:t xml:space="preserve"> the</w:t>
      </w:r>
      <w:r w:rsidR="008F4A19">
        <w:t xml:space="preserve"> mass extermination </w:t>
      </w:r>
      <w:r w:rsidR="000143D7">
        <w:t xml:space="preserve">of groups such as </w:t>
      </w:r>
      <w:r w:rsidR="000A0198">
        <w:t>in the case of the Final Solution carried out by the Nazis against the Jews</w:t>
      </w:r>
      <w:r w:rsidR="00223DF1">
        <w:t>,</w:t>
      </w:r>
      <w:r w:rsidR="006B2F29">
        <w:rPr>
          <w:rStyle w:val="FootnoteReference"/>
        </w:rPr>
        <w:footnoteReference w:id="6"/>
      </w:r>
      <w:r w:rsidR="006B2F29">
        <w:t xml:space="preserve"> </w:t>
      </w:r>
      <w:r w:rsidR="000A0198">
        <w:t xml:space="preserve"> or the various </w:t>
      </w:r>
      <w:r w:rsidR="006B2F29">
        <w:t>massacres committed on native groups during the colonial period of Europe,</w:t>
      </w:r>
      <w:r w:rsidR="006B2F29" w:rsidRPr="006B2F29">
        <w:rPr>
          <w:rStyle w:val="FootnoteReference"/>
        </w:rPr>
        <w:t xml:space="preserve"> </w:t>
      </w:r>
      <w:r w:rsidR="006B2F29">
        <w:rPr>
          <w:rStyle w:val="FootnoteReference"/>
        </w:rPr>
        <w:footnoteReference w:id="7"/>
      </w:r>
      <w:r w:rsidR="006B2F29">
        <w:t xml:space="preserve"> </w:t>
      </w:r>
      <w:r w:rsidR="001F7CF6">
        <w:t xml:space="preserve">forcing a subsistence diet and </w:t>
      </w:r>
      <w:r w:rsidR="00223DF1">
        <w:t>redu</w:t>
      </w:r>
      <w:r w:rsidR="001F7CF6">
        <w:t>cing medical supplies to a minimum</w:t>
      </w:r>
      <w:r w:rsidR="00223DF1">
        <w:t>.</w:t>
      </w:r>
      <w:r w:rsidR="001F7CF6">
        <w:t xml:space="preserve"> </w:t>
      </w:r>
      <w:r w:rsidR="00223DF1">
        <w:t>For example,</w:t>
      </w:r>
      <w:r w:rsidR="001F7CF6">
        <w:t xml:space="preserve"> the Nazis prevented supplies from reaching the ethnic Slavic populations within the Soviet Union </w:t>
      </w:r>
      <w:r w:rsidR="00C21A5E">
        <w:t>in an attempt to force them into st</w:t>
      </w:r>
      <w:r w:rsidR="0068724D">
        <w:t>arving to death</w:t>
      </w:r>
      <w:r w:rsidR="00C21A5E">
        <w:rPr>
          <w:rStyle w:val="FootnoteReference"/>
        </w:rPr>
        <w:footnoteReference w:id="8"/>
      </w:r>
      <w:r w:rsidR="00384A9A">
        <w:t xml:space="preserve"> and causing serious physical or mental harm to groups</w:t>
      </w:r>
      <w:r w:rsidR="001A3233">
        <w:t>,</w:t>
      </w:r>
      <w:r w:rsidR="00384A9A">
        <w:t xml:space="preserve"> which encompasse</w:t>
      </w:r>
      <w:r w:rsidR="001A3233">
        <w:t>s</w:t>
      </w:r>
      <w:r w:rsidR="00384A9A">
        <w:t xml:space="preserve"> the </w:t>
      </w:r>
      <w:r w:rsidR="001A3233">
        <w:t>actions previously mentioned</w:t>
      </w:r>
      <w:r w:rsidR="00384A9A">
        <w:t>.</w:t>
      </w:r>
      <w:r w:rsidR="00384A9A">
        <w:rPr>
          <w:rStyle w:val="FootnoteReference"/>
        </w:rPr>
        <w:footnoteReference w:id="9"/>
      </w:r>
      <w:r w:rsidR="00384A9A">
        <w:t xml:space="preserve"> Despite the broadness of this description it does not </w:t>
      </w:r>
      <w:r w:rsidR="00382100">
        <w:t>include</w:t>
      </w:r>
      <w:r w:rsidR="00384A9A">
        <w:t xml:space="preserve"> all acts of this</w:t>
      </w:r>
      <w:r w:rsidR="009A5476">
        <w:t xml:space="preserve"> nature. Some key examples of this are the purges ordered by Stalin due to their perceived political nature</w:t>
      </w:r>
      <w:r w:rsidR="001A3233">
        <w:t>,</w:t>
      </w:r>
      <w:r w:rsidR="009A5476">
        <w:t xml:space="preserve"> and the Irish potato famine</w:t>
      </w:r>
      <w:r w:rsidR="001A3233">
        <w:t>,</w:t>
      </w:r>
      <w:r w:rsidR="009A5476">
        <w:t xml:space="preserve"> </w:t>
      </w:r>
      <w:r w:rsidR="00E935F2">
        <w:t>due to the most significant factor in the</w:t>
      </w:r>
      <w:r w:rsidR="009A5476">
        <w:t xml:space="preserve"> caus</w:t>
      </w:r>
      <w:r w:rsidR="00E935F2">
        <w:t>ation of the famine</w:t>
      </w:r>
      <w:r w:rsidR="009A5476">
        <w:t xml:space="preserve"> being the blight that fell upon the potato plant.</w:t>
      </w:r>
      <w:r w:rsidR="009A5476">
        <w:rPr>
          <w:rStyle w:val="FootnoteReference"/>
        </w:rPr>
        <w:footnoteReference w:id="10"/>
      </w:r>
      <w:r w:rsidR="00507A22">
        <w:t xml:space="preserve"> </w:t>
      </w:r>
      <w:r w:rsidR="002A71BE">
        <w:t>The acts that physical genocide encompass</w:t>
      </w:r>
      <w:r w:rsidR="00D17ACE">
        <w:t>es</w:t>
      </w:r>
      <w:r w:rsidR="002A71BE">
        <w:t xml:space="preserve"> are often what most people stereotypically attribute as genocidal acts</w:t>
      </w:r>
      <w:r w:rsidR="00D17ACE">
        <w:t>. This is</w:t>
      </w:r>
      <w:r w:rsidR="002A71BE">
        <w:t xml:space="preserve"> mostly due to their abundant use during the Holocaust. They are also the easiest attributes to identify due to their direct and </w:t>
      </w:r>
      <w:r w:rsidR="00CE2285">
        <w:t>short-term</w:t>
      </w:r>
      <w:r w:rsidR="002A71BE">
        <w:t xml:space="preserve"> nature</w:t>
      </w:r>
      <w:r w:rsidR="00CE2285">
        <w:t>. However,</w:t>
      </w:r>
      <w:r w:rsidR="002A71BE">
        <w:t xml:space="preserve"> </w:t>
      </w:r>
      <w:r w:rsidR="00CE2285">
        <w:t>physical genocide only encompasses part of what was covered in the 1948 UN convention. The other main part was biological genocide.</w:t>
      </w:r>
      <w:r w:rsidR="00CE2285" w:rsidRPr="00CE2285">
        <w:rPr>
          <w:rStyle w:val="FootnoteReference"/>
        </w:rPr>
        <w:t xml:space="preserve"> </w:t>
      </w:r>
      <w:r w:rsidR="00CE2285">
        <w:rPr>
          <w:rStyle w:val="FootnoteReference"/>
        </w:rPr>
        <w:footnoteReference w:id="11"/>
      </w:r>
    </w:p>
    <w:p w14:paraId="60420665" w14:textId="3DCE64EF" w:rsidR="007F748C" w:rsidRDefault="00E935F2" w:rsidP="00AA3263">
      <w:r>
        <w:lastRenderedPageBreak/>
        <w:t xml:space="preserve">The term </w:t>
      </w:r>
      <w:r w:rsidR="00D17ACE">
        <w:t>‘</w:t>
      </w:r>
      <w:r>
        <w:t>biological genocide</w:t>
      </w:r>
      <w:r w:rsidR="00D17ACE">
        <w:t>’</w:t>
      </w:r>
      <w:r>
        <w:t xml:space="preserve"> in the UN convention of 1948 refers to the act of impeding a group’s ability to reproduce.</w:t>
      </w:r>
      <w:r w:rsidRPr="00E935F2">
        <w:rPr>
          <w:rStyle w:val="FootnoteReference"/>
        </w:rPr>
        <w:t xml:space="preserve"> </w:t>
      </w:r>
      <w:r>
        <w:rPr>
          <w:rStyle w:val="FootnoteReference"/>
        </w:rPr>
        <w:footnoteReference w:id="12"/>
      </w:r>
      <w:r>
        <w:t xml:space="preserve"> </w:t>
      </w:r>
      <w:r w:rsidR="00D45FC0">
        <w:t xml:space="preserve">This type of genocide has a majority of </w:t>
      </w:r>
      <w:r w:rsidR="00D443FE">
        <w:t>its</w:t>
      </w:r>
      <w:r w:rsidR="00D45FC0">
        <w:t xml:space="preserve"> basis in eugenics, the belief that there are certain groups of people who should not have the right to reproduce either due to mental or physical deficiencies</w:t>
      </w:r>
      <w:r w:rsidR="00D17ACE">
        <w:t>,</w:t>
      </w:r>
      <w:r w:rsidR="00D45FC0">
        <w:t xml:space="preserve"> or due to wanting to breed out traits perceived as </w:t>
      </w:r>
      <w:r w:rsidR="004719C7">
        <w:t>undesirable</w:t>
      </w:r>
      <w:r w:rsidR="00D45FC0">
        <w:t>.</w:t>
      </w:r>
      <w:r w:rsidR="00D45FC0">
        <w:rPr>
          <w:rStyle w:val="FootnoteReference"/>
        </w:rPr>
        <w:footnoteReference w:id="13"/>
      </w:r>
      <w:r w:rsidR="004719C7">
        <w:t xml:space="preserve"> The most notable example of this kind of genocide is the Nazi programme of euthanasia for unfit persons. This was a programme that targeted people with mental or physical disabilities, regardless of reason, and called for them to be euthanised en masse to both grant them a merciful death and to free the German economy from having to support them.</w:t>
      </w:r>
      <w:r w:rsidR="004719C7">
        <w:rPr>
          <w:rStyle w:val="FootnoteReference"/>
        </w:rPr>
        <w:footnoteReference w:id="14"/>
      </w:r>
      <w:r w:rsidR="004719C7">
        <w:t xml:space="preserve"> </w:t>
      </w:r>
      <w:r w:rsidR="009B28D6">
        <w:t>T</w:t>
      </w:r>
      <w:r w:rsidR="000D07CD">
        <w:t xml:space="preserve">he </w:t>
      </w:r>
      <w:r w:rsidR="00543B58">
        <w:t xml:space="preserve">extent of the German </w:t>
      </w:r>
      <w:r w:rsidR="00181B2C">
        <w:t>euthanasia programmes was undoubtedly a major factor for the inclusion of biological genocide in the 1948 convention</w:t>
      </w:r>
      <w:r w:rsidR="00796575">
        <w:t>. However, despite eu</w:t>
      </w:r>
      <w:r w:rsidR="009064F6">
        <w:t xml:space="preserve">genics being a major cause for the mass euthanasia programmes within the Nazi regime it </w:t>
      </w:r>
      <w:r w:rsidR="00D17ACE">
        <w:t>was</w:t>
      </w:r>
      <w:r w:rsidR="009064F6">
        <w:t xml:space="preserve"> still used in some form as late as 2013</w:t>
      </w:r>
      <w:r w:rsidR="00D17ACE">
        <w:t xml:space="preserve">, </w:t>
      </w:r>
      <w:r w:rsidR="00D17ACE" w:rsidRPr="00F17DA0">
        <w:t>although</w:t>
      </w:r>
      <w:r w:rsidR="009064F6" w:rsidRPr="00F17DA0">
        <w:t xml:space="preserve"> on a much smaller sc</w:t>
      </w:r>
      <w:r w:rsidR="00F17DA0" w:rsidRPr="00F17DA0">
        <w:t>ale</w:t>
      </w:r>
      <w:r w:rsidR="00F17DA0">
        <w:t>.</w:t>
      </w:r>
      <w:r w:rsidR="00F17DA0">
        <w:rPr>
          <w:rStyle w:val="FootnoteReference"/>
        </w:rPr>
        <w:footnoteReference w:id="15"/>
      </w:r>
      <w:r w:rsidR="00F17DA0">
        <w:t xml:space="preserve"> A more recent example of this was a programme of sterilisation performed</w:t>
      </w:r>
      <w:r w:rsidR="009064F6" w:rsidRPr="00F17DA0">
        <w:t xml:space="preserve"> by 144 female inmates</w:t>
      </w:r>
      <w:r w:rsidR="00F17DA0">
        <w:t xml:space="preserve"> in a California state prison under the guise of </w:t>
      </w:r>
      <w:r w:rsidR="00976F3D">
        <w:t>a medically informed voluntary procedure. However, later investigations found that the informed decision was ‘improper’ resulting  in 39 of the sterilisations being unlawful</w:t>
      </w:r>
      <w:r w:rsidR="009064F6">
        <w:t>.</w:t>
      </w:r>
      <w:r w:rsidR="009064F6">
        <w:rPr>
          <w:rStyle w:val="FootnoteReference"/>
        </w:rPr>
        <w:footnoteReference w:id="16"/>
      </w:r>
      <w:r w:rsidR="009064F6">
        <w:t xml:space="preserve"> </w:t>
      </w:r>
      <w:r w:rsidR="00976F3D">
        <w:t>The results of the investigation make it clear that the programme was carried out with the intention of stopping convicts from being able to reproduce rather than granting any health benefits.</w:t>
      </w:r>
      <w:r w:rsidR="00976F3D">
        <w:rPr>
          <w:rStyle w:val="FootnoteReference"/>
        </w:rPr>
        <w:footnoteReference w:id="17"/>
      </w:r>
      <w:r w:rsidR="00976F3D">
        <w:t xml:space="preserve"> </w:t>
      </w:r>
      <w:r w:rsidR="009064F6">
        <w:t xml:space="preserve">From this it can be extrapolated that for eugenics to facilitate a genocidal act it must </w:t>
      </w:r>
      <w:r w:rsidR="00031433">
        <w:t>lead to a wide scale operation</w:t>
      </w:r>
      <w:r w:rsidR="009064F6">
        <w:t xml:space="preserve"> </w:t>
      </w:r>
      <w:r w:rsidR="00031433">
        <w:t>targeted at a specified group that imposes restrictions upon their ability to reproduce</w:t>
      </w:r>
      <w:r w:rsidR="00544492">
        <w:t>,</w:t>
      </w:r>
      <w:r w:rsidR="00031433">
        <w:t xml:space="preserve"> without any form of consent. This encompasses both euthanasia and forced sterilisation.</w:t>
      </w:r>
    </w:p>
    <w:p w14:paraId="74CA9D94" w14:textId="760A5C44" w:rsidR="00797DCE" w:rsidRDefault="00797DCE" w:rsidP="00AA3263">
      <w:r>
        <w:t>Within the 1948 UN convention there is another category that deals with acts that in themselves do</w:t>
      </w:r>
      <w:r w:rsidR="00544492">
        <w:t xml:space="preserve"> </w:t>
      </w:r>
      <w:r>
        <w:t>n</w:t>
      </w:r>
      <w:r w:rsidR="00544492">
        <w:t>o</w:t>
      </w:r>
      <w:r>
        <w:t>t fall into the remit of genocide but instead fall into genocidal intent</w:t>
      </w:r>
      <w:r w:rsidR="00544492">
        <w:t>,</w:t>
      </w:r>
      <w:r>
        <w:t xml:space="preserve"> such as conspiring, inciting or attempting genocide and complicity in genocide.</w:t>
      </w:r>
      <w:r>
        <w:rPr>
          <w:rStyle w:val="FootnoteReference"/>
        </w:rPr>
        <w:footnoteReference w:id="18"/>
      </w:r>
      <w:r>
        <w:t xml:space="preserve"> Although the former was mainly added to ensure that even if a genocide failed the perpetrators would still be punished under the convention</w:t>
      </w:r>
      <w:r w:rsidR="00544492">
        <w:t>,</w:t>
      </w:r>
      <w:r>
        <w:t xml:space="preserve"> the latter adds an extra dimension as to what could be seen as a genocidal act. It meant that if someone had the power to stop a mass death but did</w:t>
      </w:r>
      <w:r w:rsidR="00544492">
        <w:t xml:space="preserve"> </w:t>
      </w:r>
      <w:r>
        <w:t>n</w:t>
      </w:r>
      <w:r w:rsidR="00544492">
        <w:t>o</w:t>
      </w:r>
      <w:r>
        <w:t xml:space="preserve">t, they were viewed as complicit. </w:t>
      </w:r>
      <w:r w:rsidRPr="00976F3D">
        <w:t>As a result of the convention</w:t>
      </w:r>
      <w:r w:rsidR="00544492" w:rsidRPr="00976F3D">
        <w:t>,</w:t>
      </w:r>
      <w:r w:rsidRPr="00976F3D">
        <w:t xml:space="preserve"> act</w:t>
      </w:r>
      <w:r w:rsidR="00544492" w:rsidRPr="00976F3D">
        <w:t>ion</w:t>
      </w:r>
      <w:r w:rsidRPr="00976F3D">
        <w:t xml:space="preserve">s that </w:t>
      </w:r>
      <w:r w:rsidR="00B4644A">
        <w:t xml:space="preserve">were </w:t>
      </w:r>
      <w:r w:rsidRPr="00976F3D">
        <w:t>previously</w:t>
      </w:r>
      <w:r w:rsidR="00AF2803" w:rsidRPr="00976F3D">
        <w:t xml:space="preserve"> seen as acts of neglect, were now seen as genocidal act</w:t>
      </w:r>
      <w:r w:rsidR="00B4644A">
        <w:t>ion</w:t>
      </w:r>
      <w:r w:rsidR="00AF2803" w:rsidRPr="00976F3D">
        <w:t>s regardless of the intentions of the governments at the time.</w:t>
      </w:r>
      <w:r w:rsidR="00976F3D">
        <w:t xml:space="preserve"> An example of this was the </w:t>
      </w:r>
      <w:r w:rsidR="00B4644A">
        <w:t>laws passed by the US and Australia preventing native peoples from testifying in court. This stopped them from being granted protection against acts of violence being carried out by bounty hunters, military officials and even state governments.</w:t>
      </w:r>
      <w:r w:rsidR="00B4644A">
        <w:rPr>
          <w:rStyle w:val="FootnoteReference"/>
        </w:rPr>
        <w:footnoteReference w:id="19"/>
      </w:r>
      <w:r w:rsidR="00AF2803">
        <w:t xml:space="preserve"> </w:t>
      </w:r>
      <w:r w:rsidR="00B4644A">
        <w:t>The reclassification</w:t>
      </w:r>
      <w:r w:rsidR="00AF2803">
        <w:t xml:space="preserve"> was due to the deaths coming from the fact that the natives could</w:t>
      </w:r>
      <w:r w:rsidR="006318F1">
        <w:t xml:space="preserve"> </w:t>
      </w:r>
      <w:r w:rsidR="00AF2803">
        <w:t>n</w:t>
      </w:r>
      <w:r w:rsidR="006318F1">
        <w:t>o</w:t>
      </w:r>
      <w:r w:rsidR="00AF2803">
        <w:t xml:space="preserve">t defend themselves </w:t>
      </w:r>
      <w:r w:rsidR="00B4644A">
        <w:t>because</w:t>
      </w:r>
      <w:r w:rsidR="00AF2803">
        <w:t xml:space="preserve"> </w:t>
      </w:r>
      <w:r w:rsidR="00D15D83">
        <w:t>of</w:t>
      </w:r>
      <w:r w:rsidR="00AF2803">
        <w:t xml:space="preserve"> these laws.</w:t>
      </w:r>
      <w:r w:rsidR="00AF2803">
        <w:rPr>
          <w:rStyle w:val="FootnoteReference"/>
        </w:rPr>
        <w:footnoteReference w:id="20"/>
      </w:r>
      <w:r w:rsidR="00AF2803">
        <w:t xml:space="preserve"> Curiously</w:t>
      </w:r>
      <w:r w:rsidR="006318F1">
        <w:t>,</w:t>
      </w:r>
      <w:r w:rsidR="0029314F">
        <w:t xml:space="preserve"> as mentioned above the famine that befell Ireland at the hands of a potato blight was not classified as a genocidal </w:t>
      </w:r>
      <w:r w:rsidR="0029314F">
        <w:lastRenderedPageBreak/>
        <w:t>act despite England being complicit in the famine by refusing to grant aid to the farmers while still exporting vital foodstuffs from the country.</w:t>
      </w:r>
    </w:p>
    <w:p w14:paraId="7D0C3A6C" w14:textId="592A3466" w:rsidR="0029314F" w:rsidRDefault="0029314F" w:rsidP="00AA3263"/>
    <w:p w14:paraId="43290DF0" w14:textId="76A27FD7" w:rsidR="0029314F" w:rsidRDefault="0029314F" w:rsidP="00AA3263">
      <w:r>
        <w:t>The 1948 convention provided a baseline for the legal definition of genocide for many countries. However there have been some subsequent acts that have been added to the legal definition of genocide in some places</w:t>
      </w:r>
      <w:r w:rsidR="006318F1">
        <w:t>,</w:t>
      </w:r>
      <w:r>
        <w:t xml:space="preserve"> chief among them being </w:t>
      </w:r>
      <w:r w:rsidR="00D12638">
        <w:t>g</w:t>
      </w:r>
      <w:r>
        <w:t>endercide</w:t>
      </w:r>
      <w:r w:rsidR="006318F1">
        <w:t>:</w:t>
      </w:r>
      <w:r>
        <w:t xml:space="preserve"> acts of mass violence and rape targeted towards women, and genocidal massacres.</w:t>
      </w:r>
      <w:r w:rsidR="004A7D38">
        <w:rPr>
          <w:rStyle w:val="FootnoteReference"/>
        </w:rPr>
        <w:footnoteReference w:id="21"/>
      </w:r>
      <w:r>
        <w:t xml:space="preserve"> </w:t>
      </w:r>
      <w:r w:rsidR="006318F1">
        <w:t>‘</w:t>
      </w:r>
      <w:r>
        <w:t xml:space="preserve">Genocidal </w:t>
      </w:r>
      <w:r w:rsidR="004A7D38">
        <w:t>massacres</w:t>
      </w:r>
      <w:r w:rsidR="006318F1">
        <w:t>’</w:t>
      </w:r>
      <w:r>
        <w:t xml:space="preserve"> </w:t>
      </w:r>
      <w:r w:rsidR="004A7D38">
        <w:t>was a term coined by Leo Kuper, a sociologist of genocide, who classified them as smaller, shorter episodes of killing targeted at a community with an affiliation with an ethnic or religious group.</w:t>
      </w:r>
      <w:r w:rsidR="004A7D38">
        <w:rPr>
          <w:rStyle w:val="FootnoteReference"/>
        </w:rPr>
        <w:footnoteReference w:id="22"/>
      </w:r>
      <w:r w:rsidR="004A7D38">
        <w:t xml:space="preserve"> The killings themselves fall below the threshold that would classify them as a genocide</w:t>
      </w:r>
      <w:r w:rsidR="006318F1">
        <w:t>.</w:t>
      </w:r>
      <w:r w:rsidR="004A7D38">
        <w:t xml:space="preserve"> </w:t>
      </w:r>
      <w:r w:rsidR="006318F1">
        <w:t>H</w:t>
      </w:r>
      <w:r w:rsidR="004A7D38">
        <w:t>owever, they would be done in rapid succession resulting in just as much destruction.</w:t>
      </w:r>
      <w:r w:rsidR="004A7D38">
        <w:rPr>
          <w:rStyle w:val="FootnoteReference"/>
        </w:rPr>
        <w:footnoteReference w:id="23"/>
      </w:r>
      <w:r w:rsidR="004A7D38">
        <w:t xml:space="preserve"> An example of this kind of attack can be seen in the 68</w:t>
      </w:r>
      <w:r w:rsidR="00880C97">
        <w:t>C</w:t>
      </w:r>
      <w:r w:rsidR="004A7D38">
        <w:t>.</w:t>
      </w:r>
      <w:r w:rsidR="00880C97">
        <w:t>E Jewish revolt in Alexandria where in an attempt to stop the rebellion the governor, Tiberius Julius Alexander</w:t>
      </w:r>
      <w:r w:rsidR="006318F1">
        <w:t>,</w:t>
      </w:r>
      <w:r w:rsidR="00880C97">
        <w:t xml:space="preserve"> ordered that the 3</w:t>
      </w:r>
      <w:r w:rsidR="00880C97" w:rsidRPr="00880C97">
        <w:rPr>
          <w:vertAlign w:val="superscript"/>
        </w:rPr>
        <w:t>rd</w:t>
      </w:r>
      <w:r w:rsidR="00880C97">
        <w:t xml:space="preserve"> and 22</w:t>
      </w:r>
      <w:r w:rsidR="00880C97" w:rsidRPr="00880C97">
        <w:rPr>
          <w:vertAlign w:val="superscript"/>
        </w:rPr>
        <w:t>nd</w:t>
      </w:r>
      <w:r w:rsidR="00880C97">
        <w:t xml:space="preserve"> legions conduct a massacre on the Jewish populations within the city.</w:t>
      </w:r>
      <w:r w:rsidR="00880C97">
        <w:rPr>
          <w:rStyle w:val="FootnoteReference"/>
        </w:rPr>
        <w:footnoteReference w:id="24"/>
      </w:r>
      <w:r w:rsidR="004A7D38">
        <w:t xml:space="preserve"> </w:t>
      </w:r>
    </w:p>
    <w:p w14:paraId="60D7E83D" w14:textId="530F4D85" w:rsidR="007E1EA4" w:rsidRDefault="00880C97" w:rsidP="00AA3263">
      <w:r w:rsidRPr="00D15D83">
        <w:t>Strangely</w:t>
      </w:r>
      <w:r>
        <w:t xml:space="preserve"> there are two </w:t>
      </w:r>
      <w:r w:rsidR="009850CF">
        <w:t>categories that do not fall under the UN convention and have not appeared in subsequent adaptations</w:t>
      </w:r>
      <w:r w:rsidR="006318F1">
        <w:t>.</w:t>
      </w:r>
      <w:r w:rsidR="009850CF">
        <w:t xml:space="preserve"> </w:t>
      </w:r>
      <w:r w:rsidR="006318F1">
        <w:t>T</w:t>
      </w:r>
      <w:r w:rsidR="009850CF">
        <w:t xml:space="preserve">hose </w:t>
      </w:r>
      <w:r w:rsidR="006318F1">
        <w:t xml:space="preserve">categories </w:t>
      </w:r>
      <w:r w:rsidR="009850CF">
        <w:t>are cultural genocide and the destruction of political groups.</w:t>
      </w:r>
      <w:r w:rsidR="009850CF">
        <w:rPr>
          <w:rStyle w:val="FootnoteReference"/>
        </w:rPr>
        <w:footnoteReference w:id="25"/>
      </w:r>
      <w:r w:rsidR="009850CF">
        <w:t xml:space="preserve"> The term </w:t>
      </w:r>
      <w:r w:rsidR="006318F1">
        <w:t>‘</w:t>
      </w:r>
      <w:r w:rsidR="009850CF">
        <w:t>cultural genocide</w:t>
      </w:r>
      <w:r w:rsidR="006318F1">
        <w:t>’</w:t>
      </w:r>
      <w:r w:rsidR="009850CF">
        <w:t xml:space="preserve"> refers to the targeted destruction of a culture either through prosecuting those that teach it, indoctrinating those that are learning it</w:t>
      </w:r>
      <w:r w:rsidR="006318F1">
        <w:t>,</w:t>
      </w:r>
      <w:r w:rsidR="009850CF">
        <w:t xml:space="preserve"> or imposing laws that restrict it such as language restrictions or education restrictions.</w:t>
      </w:r>
      <w:r w:rsidR="009850CF" w:rsidRPr="009850CF">
        <w:t xml:space="preserve"> </w:t>
      </w:r>
      <w:r w:rsidR="009850CF">
        <w:t>This is usually done so that the party perpetrating the act can impose their own culture upon the victims.</w:t>
      </w:r>
      <w:r w:rsidR="009850CF">
        <w:rPr>
          <w:rStyle w:val="FootnoteReference"/>
        </w:rPr>
        <w:footnoteReference w:id="26"/>
      </w:r>
      <w:r w:rsidR="00D70421">
        <w:t xml:space="preserve"> A key example of this can be seen in the Polish revolt of 1863-4</w:t>
      </w:r>
      <w:r w:rsidR="006318F1">
        <w:t>,</w:t>
      </w:r>
      <w:r w:rsidR="00D70421">
        <w:t xml:space="preserve"> where after the Poles were defeated</w:t>
      </w:r>
      <w:r w:rsidR="006318F1">
        <w:t>,</w:t>
      </w:r>
      <w:r w:rsidR="00D70421">
        <w:t xml:space="preserve"> Alexander </w:t>
      </w:r>
      <w:r w:rsidR="00D443FE">
        <w:t>2</w:t>
      </w:r>
      <w:r w:rsidR="00D443FE" w:rsidRPr="00D443FE">
        <w:rPr>
          <w:vertAlign w:val="superscript"/>
        </w:rPr>
        <w:t>nd</w:t>
      </w:r>
      <w:r w:rsidR="00D443FE">
        <w:t xml:space="preserve"> </w:t>
      </w:r>
      <w:r w:rsidR="00D70421">
        <w:t xml:space="preserve">of Russia imposed multiple restrictions on the Polish language and currency </w:t>
      </w:r>
      <w:r w:rsidR="006228BD">
        <w:t>in a process referred to as ‘russification’. As part of this</w:t>
      </w:r>
      <w:r w:rsidR="006318F1">
        <w:t>,</w:t>
      </w:r>
      <w:r w:rsidR="006228BD">
        <w:t xml:space="preserve"> the country was split amongst various Russian leaders to reinforce the process.</w:t>
      </w:r>
      <w:r w:rsidR="006228BD">
        <w:rPr>
          <w:rStyle w:val="FootnoteReference"/>
        </w:rPr>
        <w:footnoteReference w:id="27"/>
      </w:r>
      <w:r w:rsidR="006D161A">
        <w:t xml:space="preserve"> However despite the massive long</w:t>
      </w:r>
      <w:r w:rsidR="00073458">
        <w:t>-</w:t>
      </w:r>
      <w:r w:rsidR="006D161A">
        <w:t>term ramifications of this act it is not classified as an act of genocide</w:t>
      </w:r>
      <w:r w:rsidR="00073458">
        <w:t>,</w:t>
      </w:r>
      <w:r w:rsidR="006D161A">
        <w:t xml:space="preserve"> due to the </w:t>
      </w:r>
      <w:r w:rsidR="00954803">
        <w:t xml:space="preserve">all of the actions being targeted at </w:t>
      </w:r>
      <w:r w:rsidR="00A211ED">
        <w:t>P</w:t>
      </w:r>
      <w:r w:rsidR="00954803">
        <w:t>olish culture not at the people themselves.</w:t>
      </w:r>
      <w:r w:rsidR="006D161A">
        <w:t xml:space="preserve"> </w:t>
      </w:r>
      <w:r w:rsidR="009D62A4">
        <w:t>The destruction of a political group, as the name entails, pertains to the act of eradicating a group of people that follow a specific political view. This is most commonly done by dictators attempting to consolidate their power. A</w:t>
      </w:r>
      <w:r w:rsidR="00A255C4">
        <w:t>n example of this would be some aspects of the Great Purge performed by Stalin in 1937 in which he destroyed opposition groups within his own party.</w:t>
      </w:r>
      <w:r w:rsidR="00A255C4">
        <w:rPr>
          <w:rStyle w:val="FootnoteReference"/>
        </w:rPr>
        <w:footnoteReference w:id="28"/>
      </w:r>
      <w:r w:rsidR="00407DCD">
        <w:t xml:space="preserve"> </w:t>
      </w:r>
      <w:r w:rsidR="00DB205F">
        <w:t>This case also provides an excellent example of what facilitates a genocidal act</w:t>
      </w:r>
      <w:r w:rsidR="00407DCD">
        <w:t xml:space="preserve"> compared to what does</w:t>
      </w:r>
      <w:r w:rsidR="00073458">
        <w:t xml:space="preserve"> </w:t>
      </w:r>
      <w:r w:rsidR="00407DCD">
        <w:t>n</w:t>
      </w:r>
      <w:r w:rsidR="00073458">
        <w:t>o</w:t>
      </w:r>
      <w:r w:rsidR="00407DCD">
        <w:t>t</w:t>
      </w:r>
      <w:r w:rsidR="00073458">
        <w:t>,</w:t>
      </w:r>
      <w:r w:rsidR="00DB205F">
        <w:t xml:space="preserve"> as during the Great Terror </w:t>
      </w:r>
      <w:r w:rsidR="00F93629">
        <w:t>S</w:t>
      </w:r>
      <w:r w:rsidR="00DB205F">
        <w:t>talin</w:t>
      </w:r>
      <w:r w:rsidR="00F93629">
        <w:t xml:space="preserve"> also purged ethnic populations</w:t>
      </w:r>
      <w:r w:rsidR="00407DCD">
        <w:t xml:space="preserve"> that resided on the borders of Soviet territory such as the Poles, a policy that was later classified as a genocidal act due to the group involved being targeted for ethnicity.</w:t>
      </w:r>
      <w:r w:rsidR="00D15D83">
        <w:rPr>
          <w:rStyle w:val="FootnoteReference"/>
        </w:rPr>
        <w:footnoteReference w:id="29"/>
      </w:r>
      <w:r w:rsidR="00407DCD">
        <w:t xml:space="preserve"> </w:t>
      </w:r>
      <w:r w:rsidR="00073458">
        <w:t>However</w:t>
      </w:r>
      <w:r w:rsidR="00407DCD">
        <w:t xml:space="preserve"> the other parts of the purge</w:t>
      </w:r>
      <w:r w:rsidR="00073458">
        <w:t>,</w:t>
      </w:r>
      <w:r w:rsidR="00407DCD">
        <w:t xml:space="preserve"> as </w:t>
      </w:r>
      <w:r w:rsidR="00407DCD">
        <w:lastRenderedPageBreak/>
        <w:t>mentioned above</w:t>
      </w:r>
      <w:r w:rsidR="00073458">
        <w:t>,</w:t>
      </w:r>
      <w:r w:rsidR="00407DCD">
        <w:t xml:space="preserve"> were not classified as genocidal due to the motivation being perceived as purely political.</w:t>
      </w:r>
      <w:r w:rsidR="00407DCD">
        <w:rPr>
          <w:rStyle w:val="FootnoteReference"/>
        </w:rPr>
        <w:footnoteReference w:id="30"/>
      </w:r>
      <w:r w:rsidR="00407DCD">
        <w:t xml:space="preserve"> </w:t>
      </w:r>
    </w:p>
    <w:p w14:paraId="0D1DCF3F" w14:textId="088A2DBE" w:rsidR="00D12638" w:rsidRDefault="00354A80" w:rsidP="00AA3263">
      <w:r>
        <w:t>T</w:t>
      </w:r>
      <w:r w:rsidR="00EA3368">
        <w:t xml:space="preserve">hroughout my research </w:t>
      </w:r>
      <w:r w:rsidR="00CA2D06">
        <w:t>I f</w:t>
      </w:r>
      <w:r w:rsidR="00EA3368">
        <w:t>ound that the main characteristics that define genocide</w:t>
      </w:r>
      <w:r w:rsidR="00CF114A">
        <w:t xml:space="preserve"> within the UN convention of 1948</w:t>
      </w:r>
      <w:r w:rsidR="00EA3368">
        <w:t xml:space="preserve"> are acts that significantly impede the </w:t>
      </w:r>
      <w:r w:rsidR="009D4C02">
        <w:t>long-term</w:t>
      </w:r>
      <w:r w:rsidR="00EA3368">
        <w:t xml:space="preserve"> </w:t>
      </w:r>
      <w:r w:rsidR="009D4C02">
        <w:t>sustainability of specified groups. I also found that despite the broad-based nature of the Convention’s definition of genocide there are still significant cases where acts that resulted in a mass death are not classified as genocidal. This can be due to their origins coming from natural causes such as crop blights or disease. It can also be due to the nature of the groups targeted, such as acts that could be seen as genocidal being justified as the group being targeted is purely political.</w:t>
      </w:r>
      <w:r w:rsidR="006B3DAE">
        <w:t xml:space="preserve"> On top of that I found that an act does not have to result in mass death to be classified as genocidal, it merely has to result in the longevity of the group being negatively impacted significantly.</w:t>
      </w:r>
      <w:r w:rsidR="009D4C02">
        <w:t xml:space="preserve"> I also discovered that for an act to be genocidal it must </w:t>
      </w:r>
      <w:r w:rsidR="00CA2D06">
        <w:t>directly impact the people within the culture rather than the culture involved. This is despite culture being a common driving force in genocide. Outside of the acts themselves I found some common themes within genocide such as the creation of the idea of the other or ‘otherism’ as it has been called.</w:t>
      </w:r>
      <w:r w:rsidR="000D0867">
        <w:rPr>
          <w:rStyle w:val="FootnoteReference"/>
        </w:rPr>
        <w:footnoteReference w:id="31"/>
      </w:r>
      <w:r w:rsidR="000D0867">
        <w:t xml:space="preserve"> This usually has it’s basis in ethnicity such as in the case of a powerful dictator or party blaming the problems of the region on an ethnic minority, or a minority being hated due to the jobs they take.</w:t>
      </w:r>
      <w:r>
        <w:rPr>
          <w:rStyle w:val="FootnoteReference"/>
        </w:rPr>
        <w:footnoteReference w:id="32"/>
      </w:r>
      <w:r w:rsidR="000D0867">
        <w:t xml:space="preserve"> Regardless of the means the end is the same, the group is ostracised from regular society until the point that they are perceived as subhuman. In extreme cases this can provide the justification for genocidal acts.</w:t>
      </w:r>
      <w:r w:rsidR="000D0867">
        <w:rPr>
          <w:rStyle w:val="FootnoteReference"/>
        </w:rPr>
        <w:footnoteReference w:id="33"/>
      </w:r>
      <w:r>
        <w:t xml:space="preserve"> To conclude I found that genocide </w:t>
      </w:r>
      <w:r w:rsidR="00CF114A">
        <w:t>could be described as</w:t>
      </w:r>
      <w:r>
        <w:t xml:space="preserve"> the destruction of ethnic and religious minority groups regardless of method caused by an imbalance in power.</w:t>
      </w:r>
      <w:r w:rsidR="000D0867">
        <w:t xml:space="preserve"> </w:t>
      </w:r>
    </w:p>
    <w:p w14:paraId="6F7D84BB" w14:textId="77777777" w:rsidR="006B3DAE" w:rsidRPr="00AA3263" w:rsidRDefault="00407DCD" w:rsidP="00AA3263">
      <w:r>
        <w:t xml:space="preserve">  </w:t>
      </w:r>
      <w:r w:rsidR="00F93629">
        <w:t xml:space="preserve"> </w:t>
      </w:r>
      <w:r w:rsidR="00DB205F">
        <w:t xml:space="preserve"> </w:t>
      </w:r>
    </w:p>
    <w:sdt>
      <w:sdtPr>
        <w:rPr>
          <w:rFonts w:asciiTheme="minorHAnsi" w:eastAsiaTheme="minorHAnsi" w:hAnsiTheme="minorHAnsi" w:cstheme="minorBidi"/>
          <w:color w:val="auto"/>
          <w:sz w:val="22"/>
          <w:szCs w:val="22"/>
          <w:lang w:val="en-GB"/>
        </w:rPr>
        <w:id w:val="1000313711"/>
        <w:docPartObj>
          <w:docPartGallery w:val="Bibliographies"/>
          <w:docPartUnique/>
        </w:docPartObj>
      </w:sdtPr>
      <w:sdtEndPr/>
      <w:sdtContent>
        <w:p w14:paraId="52D133C8" w14:textId="77777777" w:rsidR="006B3DAE" w:rsidRDefault="006B3DAE" w:rsidP="006B3DAE">
          <w:pPr>
            <w:pStyle w:val="Heading1"/>
          </w:pPr>
          <w:r>
            <w:t>Bibliography</w:t>
          </w:r>
        </w:p>
        <w:p w14:paraId="3E9B4833" w14:textId="2ED5FEB9" w:rsidR="00354A80" w:rsidRPr="00354A80" w:rsidRDefault="00354A80" w:rsidP="00354A80">
          <w:pPr>
            <w:pStyle w:val="ListParagraph"/>
            <w:numPr>
              <w:ilvl w:val="0"/>
              <w:numId w:val="1"/>
            </w:numPr>
            <w:rPr>
              <w:lang w:val="en-US"/>
            </w:rPr>
          </w:pPr>
          <w:r>
            <w:t xml:space="preserve">Ben Kiernan, </w:t>
          </w:r>
          <w:r>
            <w:rPr>
              <w:i/>
              <w:iCs/>
            </w:rPr>
            <w:t>Blood and Soil a World History of Genocide and Extermination from Sparta to Darfur</w:t>
          </w:r>
          <w:r>
            <w:t>, (Yale University Press, 2007)</w:t>
          </w:r>
        </w:p>
        <w:p w14:paraId="4A458D82" w14:textId="6299C6C3" w:rsidR="00354A80" w:rsidRDefault="00354A80" w:rsidP="00354A80">
          <w:pPr>
            <w:pStyle w:val="ListParagraph"/>
            <w:numPr>
              <w:ilvl w:val="0"/>
              <w:numId w:val="1"/>
            </w:numPr>
            <w:rPr>
              <w:lang w:val="en-US"/>
            </w:rPr>
          </w:pPr>
          <w:r w:rsidRPr="00354A80">
            <w:rPr>
              <w:lang w:val="en-US"/>
            </w:rPr>
            <w:t>Laurence Rees, The Holocaust a New History, (Viking, 2017)</w:t>
          </w:r>
        </w:p>
        <w:p w14:paraId="372D75FD" w14:textId="77777777" w:rsidR="00354A80" w:rsidRDefault="00354A80" w:rsidP="00354A80">
          <w:pPr>
            <w:pStyle w:val="ListParagraph"/>
            <w:numPr>
              <w:ilvl w:val="0"/>
              <w:numId w:val="1"/>
            </w:numPr>
            <w:rPr>
              <w:lang w:val="en-US"/>
            </w:rPr>
          </w:pPr>
          <w:r>
            <w:rPr>
              <w:lang w:val="en-US"/>
            </w:rPr>
            <w:t xml:space="preserve">History.com editors, </w:t>
          </w:r>
          <w:r>
            <w:rPr>
              <w:i/>
              <w:iCs/>
              <w:lang w:val="en-US"/>
            </w:rPr>
            <w:t>Eugenics,</w:t>
          </w:r>
          <w:r>
            <w:rPr>
              <w:lang w:val="en-US"/>
            </w:rPr>
            <w:t xml:space="preserve"> History, </w:t>
          </w:r>
          <w:hyperlink r:id="rId8" w:history="1">
            <w:r w:rsidRPr="004719C7">
              <w:rPr>
                <w:rStyle w:val="Hyperlink"/>
              </w:rPr>
              <w:t>https://www.history.com/topics/germany/eugenics</w:t>
            </w:r>
          </w:hyperlink>
          <w:r>
            <w:rPr>
              <w:lang w:val="en-US"/>
            </w:rPr>
            <w:t xml:space="preserve"> (accessed 5 October 2020)</w:t>
          </w:r>
        </w:p>
        <w:p w14:paraId="66B4E5F9" w14:textId="77777777" w:rsidR="00354A80" w:rsidRDefault="00354A80" w:rsidP="00354A80">
          <w:pPr>
            <w:pStyle w:val="ListParagraph"/>
            <w:numPr>
              <w:ilvl w:val="0"/>
              <w:numId w:val="1"/>
            </w:numPr>
            <w:rPr>
              <w:lang w:val="en-US"/>
            </w:rPr>
          </w:pPr>
          <w:r>
            <w:rPr>
              <w:lang w:val="en-US"/>
            </w:rPr>
            <w:t>Michael A. Grodin, Erin L. Miller and Johnathan I. Kelly, ‘The Nazi Physicians as Leaders of Eugenics and “Euthanasia”’,</w:t>
          </w:r>
          <w:r>
            <w:rPr>
              <w:i/>
              <w:iCs/>
              <w:lang w:val="en-US"/>
            </w:rPr>
            <w:t xml:space="preserve"> American Journal for Public Health, </w:t>
          </w:r>
          <w:r w:rsidRPr="00AB633D">
            <w:rPr>
              <w:lang w:val="en-US"/>
            </w:rPr>
            <w:t>Volume 108</w:t>
          </w:r>
          <w:r>
            <w:rPr>
              <w:lang w:val="en-US"/>
            </w:rPr>
            <w:t xml:space="preserve">, Issue 1 (January 2018) pages 53-57 </w:t>
          </w:r>
        </w:p>
        <w:p w14:paraId="22CA1B7F" w14:textId="77777777" w:rsidR="00354A80" w:rsidRPr="00354A80" w:rsidRDefault="00354A80" w:rsidP="00354A80">
          <w:pPr>
            <w:pStyle w:val="ListParagraph"/>
            <w:numPr>
              <w:ilvl w:val="0"/>
              <w:numId w:val="1"/>
            </w:numPr>
            <w:rPr>
              <w:lang w:val="en-US"/>
            </w:rPr>
          </w:pPr>
          <w:r>
            <w:t xml:space="preserve">J.S Le Fanu, ‘Poland During the Insurrection of 1863-4’, </w:t>
          </w:r>
          <w:r>
            <w:rPr>
              <w:i/>
              <w:iCs/>
            </w:rPr>
            <w:t>Dublin University Magazine</w:t>
          </w:r>
          <w:r w:rsidRPr="006D161A">
            <w:t>, volume 64, issue 382 (October 1864)</w:t>
          </w:r>
        </w:p>
        <w:p w14:paraId="3EB2B71A" w14:textId="31843B49" w:rsidR="00354A80" w:rsidRPr="00354A80" w:rsidRDefault="00354A80" w:rsidP="00354A80">
          <w:pPr>
            <w:pStyle w:val="ListParagraph"/>
            <w:numPr>
              <w:ilvl w:val="0"/>
              <w:numId w:val="1"/>
            </w:numPr>
            <w:rPr>
              <w:lang w:val="en-US"/>
            </w:rPr>
          </w:pPr>
          <w:r>
            <w:t xml:space="preserve">Christopher Riches, Jan Palmowski, </w:t>
          </w:r>
          <w:r>
            <w:rPr>
              <w:i/>
              <w:iCs/>
            </w:rPr>
            <w:t>A Dictionary of Contemporary World History</w:t>
          </w:r>
          <w:r>
            <w:t xml:space="preserve"> (Oxford University Press, 2019)</w:t>
          </w:r>
        </w:p>
        <w:p w14:paraId="3D8ADD28" w14:textId="39FF4B2B" w:rsidR="006B3DAE" w:rsidRPr="00354A80" w:rsidRDefault="00354A80" w:rsidP="00354A80">
          <w:pPr>
            <w:pStyle w:val="ListParagraph"/>
            <w:numPr>
              <w:ilvl w:val="0"/>
              <w:numId w:val="1"/>
            </w:numPr>
            <w:rPr>
              <w:lang w:val="en-US"/>
            </w:rPr>
          </w:pPr>
          <w:r>
            <w:t xml:space="preserve">Norman M. Naimark, </w:t>
          </w:r>
          <w:r>
            <w:rPr>
              <w:i/>
              <w:iCs/>
            </w:rPr>
            <w:t>Genocide a World History</w:t>
          </w:r>
          <w:r>
            <w:t>, (Oxford University Press, 2017)</w:t>
          </w:r>
        </w:p>
      </w:sdtContent>
    </w:sdt>
    <w:p w14:paraId="21A7AA36" w14:textId="0F9202AE" w:rsidR="00880C97" w:rsidRPr="00AA3263" w:rsidRDefault="00880C97" w:rsidP="00AA3263"/>
    <w:sectPr w:rsidR="00880C97" w:rsidRPr="00AA32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A98FB0" w14:textId="77777777" w:rsidR="007A0CDE" w:rsidRDefault="007A0CDE" w:rsidP="00AA3263">
      <w:pPr>
        <w:spacing w:after="0" w:line="240" w:lineRule="auto"/>
      </w:pPr>
      <w:r>
        <w:separator/>
      </w:r>
    </w:p>
  </w:endnote>
  <w:endnote w:type="continuationSeparator" w:id="0">
    <w:p w14:paraId="28CB9488" w14:textId="77777777" w:rsidR="007A0CDE" w:rsidRDefault="007A0CDE" w:rsidP="00AA3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54390B" w14:textId="77777777" w:rsidR="007A0CDE" w:rsidRDefault="007A0CDE" w:rsidP="00AA3263">
      <w:pPr>
        <w:spacing w:after="0" w:line="240" w:lineRule="auto"/>
      </w:pPr>
      <w:r>
        <w:separator/>
      </w:r>
    </w:p>
  </w:footnote>
  <w:footnote w:type="continuationSeparator" w:id="0">
    <w:p w14:paraId="148BEFE1" w14:textId="77777777" w:rsidR="007A0CDE" w:rsidRDefault="007A0CDE" w:rsidP="00AA3263">
      <w:pPr>
        <w:spacing w:after="0" w:line="240" w:lineRule="auto"/>
      </w:pPr>
      <w:r>
        <w:continuationSeparator/>
      </w:r>
    </w:p>
  </w:footnote>
  <w:footnote w:id="1">
    <w:p w14:paraId="20F0D6F4" w14:textId="7B942C95" w:rsidR="00AA3263" w:rsidRPr="00AA3263" w:rsidRDefault="00AA3263">
      <w:pPr>
        <w:pStyle w:val="FootnoteText"/>
      </w:pPr>
      <w:r>
        <w:rPr>
          <w:rStyle w:val="FootnoteReference"/>
        </w:rPr>
        <w:footnoteRef/>
      </w:r>
      <w:r>
        <w:t xml:space="preserve"> </w:t>
      </w:r>
      <w:bookmarkStart w:id="1" w:name="_Hlk53146582"/>
      <w:r>
        <w:t xml:space="preserve">Ben Kiernan, </w:t>
      </w:r>
      <w:r>
        <w:rPr>
          <w:i/>
          <w:iCs/>
        </w:rPr>
        <w:t>Blood and Soil a World History of Genocide and Extermination from Sparta to Darfur</w:t>
      </w:r>
      <w:r>
        <w:t>, page 10 (Yale University Press, 2007)</w:t>
      </w:r>
      <w:bookmarkEnd w:id="1"/>
    </w:p>
  </w:footnote>
  <w:footnote w:id="2">
    <w:p w14:paraId="3886650C" w14:textId="66023350" w:rsidR="00D75069" w:rsidRPr="00AA3263" w:rsidRDefault="00D75069" w:rsidP="00D75069">
      <w:pPr>
        <w:pStyle w:val="FootnoteText"/>
      </w:pPr>
      <w:r>
        <w:rPr>
          <w:rStyle w:val="FootnoteReference"/>
        </w:rPr>
        <w:footnoteRef/>
      </w:r>
      <w:r>
        <w:t xml:space="preserve"> Kiernan, </w:t>
      </w:r>
      <w:r>
        <w:rPr>
          <w:i/>
          <w:iCs/>
        </w:rPr>
        <w:t>Blood and Soil</w:t>
      </w:r>
      <w:r>
        <w:t>, p 10 (Yale University Press, 2007)</w:t>
      </w:r>
    </w:p>
  </w:footnote>
  <w:footnote w:id="3">
    <w:p w14:paraId="3101806C" w14:textId="1C79A6AC" w:rsidR="00106945" w:rsidRPr="00AA3263" w:rsidRDefault="00106945" w:rsidP="00106945">
      <w:pPr>
        <w:pStyle w:val="FootnoteText"/>
      </w:pPr>
      <w:r>
        <w:rPr>
          <w:rStyle w:val="FootnoteReference"/>
        </w:rPr>
        <w:footnoteRef/>
      </w:r>
      <w:r>
        <w:t xml:space="preserve"> Kiernan, </w:t>
      </w:r>
      <w:r>
        <w:rPr>
          <w:i/>
          <w:iCs/>
        </w:rPr>
        <w:t>Blood and Soil</w:t>
      </w:r>
      <w:r>
        <w:t>, p 10 (Yale University Press, 2007)</w:t>
      </w:r>
    </w:p>
  </w:footnote>
  <w:footnote w:id="4">
    <w:p w14:paraId="29593827" w14:textId="11F0A892" w:rsidR="00786BD8" w:rsidRPr="00AA3263" w:rsidRDefault="00786BD8" w:rsidP="00786BD8">
      <w:pPr>
        <w:pStyle w:val="FootnoteText"/>
      </w:pPr>
      <w:r>
        <w:rPr>
          <w:rStyle w:val="FootnoteReference"/>
        </w:rPr>
        <w:footnoteRef/>
      </w:r>
      <w:r>
        <w:t xml:space="preserve"> Kiernan, </w:t>
      </w:r>
      <w:r>
        <w:rPr>
          <w:i/>
          <w:iCs/>
        </w:rPr>
        <w:t>Blood and Soil</w:t>
      </w:r>
      <w:r>
        <w:t>, p 10 (Yale University Press, 2007)</w:t>
      </w:r>
    </w:p>
  </w:footnote>
  <w:footnote w:id="5">
    <w:p w14:paraId="748469BF" w14:textId="65116A1B" w:rsidR="00AF0E2E" w:rsidRPr="00AA3263" w:rsidRDefault="00AF0E2E" w:rsidP="00AF0E2E">
      <w:pPr>
        <w:pStyle w:val="FootnoteText"/>
      </w:pPr>
      <w:r>
        <w:rPr>
          <w:rStyle w:val="FootnoteReference"/>
        </w:rPr>
        <w:footnoteRef/>
      </w:r>
      <w:r>
        <w:t xml:space="preserve"> Kiernan, </w:t>
      </w:r>
      <w:r>
        <w:rPr>
          <w:i/>
          <w:iCs/>
        </w:rPr>
        <w:t>Blood and Soil</w:t>
      </w:r>
      <w:r>
        <w:t>, p 13 (Yale University Press, 2007)</w:t>
      </w:r>
    </w:p>
  </w:footnote>
  <w:footnote w:id="6">
    <w:p w14:paraId="441552BE" w14:textId="6B931416" w:rsidR="006B2F29" w:rsidRPr="00AA3263" w:rsidRDefault="006B2F29" w:rsidP="006B2F29">
      <w:pPr>
        <w:pStyle w:val="FootnoteText"/>
      </w:pPr>
      <w:r>
        <w:rPr>
          <w:rStyle w:val="FootnoteReference"/>
        </w:rPr>
        <w:footnoteRef/>
      </w:r>
      <w:r w:rsidR="0060641A">
        <w:t xml:space="preserve"> </w:t>
      </w:r>
      <w:r>
        <w:t xml:space="preserve">Kiernan, </w:t>
      </w:r>
      <w:r>
        <w:rPr>
          <w:i/>
          <w:iCs/>
        </w:rPr>
        <w:t>Blood and Soil</w:t>
      </w:r>
      <w:r>
        <w:t>, p 416-455 (Yale University Press, 2007)</w:t>
      </w:r>
    </w:p>
  </w:footnote>
  <w:footnote w:id="7">
    <w:p w14:paraId="56C9FBAA" w14:textId="09BAC5E3" w:rsidR="006B2F29" w:rsidRPr="00AA3263" w:rsidRDefault="006B2F29" w:rsidP="006B2F29">
      <w:pPr>
        <w:pStyle w:val="FootnoteText"/>
      </w:pPr>
      <w:r>
        <w:rPr>
          <w:rStyle w:val="FootnoteReference"/>
        </w:rPr>
        <w:footnoteRef/>
      </w:r>
      <w:r>
        <w:t xml:space="preserve"> Kiernan, </w:t>
      </w:r>
      <w:r>
        <w:rPr>
          <w:i/>
          <w:iCs/>
        </w:rPr>
        <w:t>Blood and Soil</w:t>
      </w:r>
      <w:r>
        <w:t>, p 165-393 (Yale University Press, 2007)</w:t>
      </w:r>
    </w:p>
  </w:footnote>
  <w:footnote w:id="8">
    <w:p w14:paraId="5FCBB8BE" w14:textId="7C6DBF3B" w:rsidR="00C21A5E" w:rsidRPr="00384A9A" w:rsidRDefault="00C21A5E">
      <w:pPr>
        <w:pStyle w:val="FootnoteText"/>
        <w:rPr>
          <w:i/>
          <w:iCs/>
        </w:rPr>
      </w:pPr>
      <w:r>
        <w:rPr>
          <w:rStyle w:val="FootnoteReference"/>
        </w:rPr>
        <w:footnoteRef/>
      </w:r>
      <w:r>
        <w:t xml:space="preserve"> </w:t>
      </w:r>
      <w:bookmarkStart w:id="2" w:name="_Hlk53146625"/>
      <w:r w:rsidR="00384A9A">
        <w:t xml:space="preserve">Laurence Rees, </w:t>
      </w:r>
      <w:r w:rsidR="00384A9A">
        <w:rPr>
          <w:i/>
          <w:iCs/>
        </w:rPr>
        <w:t xml:space="preserve">The Holocaust a New History, </w:t>
      </w:r>
      <w:r w:rsidR="00384A9A" w:rsidRPr="00384A9A">
        <w:t>pages 205-241 (</w:t>
      </w:r>
      <w:r w:rsidR="00384A9A">
        <w:t>Viking, 2017)</w:t>
      </w:r>
    </w:p>
    <w:bookmarkEnd w:id="2"/>
  </w:footnote>
  <w:footnote w:id="9">
    <w:p w14:paraId="66686E4F" w14:textId="23C728C5" w:rsidR="00384A9A" w:rsidRPr="00AA3263" w:rsidRDefault="00384A9A" w:rsidP="00384A9A">
      <w:pPr>
        <w:pStyle w:val="FootnoteText"/>
      </w:pPr>
      <w:r>
        <w:rPr>
          <w:rStyle w:val="FootnoteReference"/>
        </w:rPr>
        <w:footnoteRef/>
      </w:r>
      <w:r>
        <w:t xml:space="preserve"> Kiernan, </w:t>
      </w:r>
      <w:r>
        <w:rPr>
          <w:i/>
          <w:iCs/>
        </w:rPr>
        <w:t>Blood and Soil</w:t>
      </w:r>
      <w:r>
        <w:t>, p 13 (Yale University Press, 2007)</w:t>
      </w:r>
    </w:p>
  </w:footnote>
  <w:footnote w:id="10">
    <w:p w14:paraId="29F6C3EA" w14:textId="4253E5E4" w:rsidR="009A5476" w:rsidRPr="00AA3263" w:rsidRDefault="009A5476" w:rsidP="009A5476">
      <w:pPr>
        <w:pStyle w:val="FootnoteText"/>
      </w:pPr>
      <w:r>
        <w:rPr>
          <w:rStyle w:val="FootnoteReference"/>
        </w:rPr>
        <w:footnoteRef/>
      </w:r>
      <w:r>
        <w:t xml:space="preserve"> Kiernan, </w:t>
      </w:r>
      <w:r>
        <w:rPr>
          <w:i/>
          <w:iCs/>
        </w:rPr>
        <w:t>Blood and Soil</w:t>
      </w:r>
      <w:r>
        <w:t>, p 38-39 (Yale University Press, 2007)</w:t>
      </w:r>
    </w:p>
  </w:footnote>
  <w:footnote w:id="11">
    <w:p w14:paraId="35398DAA" w14:textId="2C81E69F" w:rsidR="00CE2285" w:rsidRPr="00AA3263" w:rsidRDefault="00CE2285" w:rsidP="00CE2285">
      <w:pPr>
        <w:pStyle w:val="FootnoteText"/>
      </w:pPr>
      <w:r>
        <w:rPr>
          <w:rStyle w:val="FootnoteReference"/>
        </w:rPr>
        <w:footnoteRef/>
      </w:r>
      <w:r>
        <w:t xml:space="preserve"> Kiernan, </w:t>
      </w:r>
      <w:r>
        <w:rPr>
          <w:i/>
          <w:iCs/>
        </w:rPr>
        <w:t>Blood and Soil</w:t>
      </w:r>
      <w:r>
        <w:t>, p 13 (Yale University Press, 2007)</w:t>
      </w:r>
    </w:p>
  </w:footnote>
  <w:footnote w:id="12">
    <w:p w14:paraId="37903AD3" w14:textId="112BBDCD" w:rsidR="00E935F2" w:rsidRPr="00AA3263" w:rsidRDefault="00E935F2" w:rsidP="00E935F2">
      <w:pPr>
        <w:pStyle w:val="FootnoteText"/>
      </w:pPr>
      <w:r>
        <w:rPr>
          <w:rStyle w:val="FootnoteReference"/>
        </w:rPr>
        <w:footnoteRef/>
      </w:r>
      <w:r>
        <w:t xml:space="preserve"> </w:t>
      </w:r>
      <w:bookmarkStart w:id="3" w:name="_Hlk52972658"/>
      <w:r>
        <w:t xml:space="preserve">Kiernan, </w:t>
      </w:r>
      <w:r>
        <w:rPr>
          <w:i/>
          <w:iCs/>
        </w:rPr>
        <w:t>Blood and Soil</w:t>
      </w:r>
      <w:r>
        <w:t>, p 13 (Yale University Press, 2007)</w:t>
      </w:r>
      <w:bookmarkEnd w:id="3"/>
    </w:p>
  </w:footnote>
  <w:footnote w:id="13">
    <w:p w14:paraId="28291197" w14:textId="21467078" w:rsidR="00D45FC0" w:rsidRPr="004719C7" w:rsidRDefault="00D45FC0">
      <w:pPr>
        <w:pStyle w:val="FootnoteText"/>
        <w:rPr>
          <w:lang w:val="en-US"/>
        </w:rPr>
      </w:pPr>
      <w:r>
        <w:rPr>
          <w:rStyle w:val="FootnoteReference"/>
        </w:rPr>
        <w:footnoteRef/>
      </w:r>
      <w:r>
        <w:t xml:space="preserve"> </w:t>
      </w:r>
      <w:bookmarkStart w:id="4" w:name="_Hlk53146668"/>
      <w:r w:rsidR="004719C7">
        <w:rPr>
          <w:lang w:val="en-US"/>
        </w:rPr>
        <w:t xml:space="preserve">History.com editors, </w:t>
      </w:r>
      <w:r w:rsidR="004719C7">
        <w:rPr>
          <w:i/>
          <w:iCs/>
          <w:lang w:val="en-US"/>
        </w:rPr>
        <w:t>Eugenics,</w:t>
      </w:r>
      <w:r w:rsidR="004719C7">
        <w:rPr>
          <w:lang w:val="en-US"/>
        </w:rPr>
        <w:t xml:space="preserve"> History, </w:t>
      </w:r>
      <w:hyperlink r:id="rId1" w:history="1">
        <w:r w:rsidR="004719C7" w:rsidRPr="004719C7">
          <w:rPr>
            <w:rStyle w:val="Hyperlink"/>
          </w:rPr>
          <w:t>https://www.history.com/topics/germany/eugenics</w:t>
        </w:r>
      </w:hyperlink>
      <w:r w:rsidR="004719C7">
        <w:rPr>
          <w:lang w:val="en-US"/>
        </w:rPr>
        <w:t xml:space="preserve"> (accessed 5 October 2020)</w:t>
      </w:r>
      <w:bookmarkEnd w:id="4"/>
    </w:p>
  </w:footnote>
  <w:footnote w:id="14">
    <w:p w14:paraId="1421180A" w14:textId="364F32C0" w:rsidR="004719C7" w:rsidRPr="009B28D6" w:rsidRDefault="004719C7">
      <w:pPr>
        <w:pStyle w:val="FootnoteText"/>
        <w:rPr>
          <w:i/>
          <w:iCs/>
        </w:rPr>
      </w:pPr>
      <w:r>
        <w:rPr>
          <w:rStyle w:val="FootnoteReference"/>
        </w:rPr>
        <w:footnoteRef/>
      </w:r>
      <w:r>
        <w:t xml:space="preserve"> </w:t>
      </w:r>
      <w:bookmarkStart w:id="5" w:name="_Hlk52793821"/>
      <w:r w:rsidR="00AB633D">
        <w:rPr>
          <w:lang w:val="en-US"/>
        </w:rPr>
        <w:t>Michael A. Grodin, Erin L. Miller and Johnathan I. Kelly, ‘The Nazi Physicians as Leaders of Eugenics and “Euthanasia”’,</w:t>
      </w:r>
      <w:r w:rsidR="00AB633D">
        <w:rPr>
          <w:i/>
          <w:iCs/>
          <w:lang w:val="en-US"/>
        </w:rPr>
        <w:t xml:space="preserve"> American Journal for Public Health, </w:t>
      </w:r>
      <w:r w:rsidR="00AB633D" w:rsidRPr="00AB633D">
        <w:rPr>
          <w:lang w:val="en-US"/>
        </w:rPr>
        <w:t>Volume 108</w:t>
      </w:r>
      <w:r w:rsidR="00AB633D">
        <w:rPr>
          <w:lang w:val="en-US"/>
        </w:rPr>
        <w:t>, Issue 1 (January 2018) pages 53-57 (pages 53-56)</w:t>
      </w:r>
      <w:bookmarkEnd w:id="5"/>
    </w:p>
  </w:footnote>
  <w:footnote w:id="15">
    <w:p w14:paraId="68F7BA5E" w14:textId="4922E750" w:rsidR="00F17DA0" w:rsidRPr="00F17DA0" w:rsidRDefault="00F17DA0">
      <w:pPr>
        <w:pStyle w:val="FootnoteText"/>
        <w:rPr>
          <w:lang w:val="en-US"/>
        </w:rPr>
      </w:pPr>
      <w:r>
        <w:rPr>
          <w:rStyle w:val="FootnoteReference"/>
        </w:rPr>
        <w:footnoteRef/>
      </w:r>
      <w:r>
        <w:t xml:space="preserve"> </w:t>
      </w:r>
      <w:r w:rsidRPr="009064F6">
        <w:t>Grodin, Miller and Kelly, ‘The Nazi Physicians as Leaders of Eugenics and “Euthanasia”’, American Journal for Public Health, Vol 108, Iss 1 (January 2018) p 53-57 (p 53-56)</w:t>
      </w:r>
    </w:p>
  </w:footnote>
  <w:footnote w:id="16">
    <w:p w14:paraId="27E2E1C9" w14:textId="2FCE9512" w:rsidR="009064F6" w:rsidRDefault="009064F6">
      <w:pPr>
        <w:pStyle w:val="FootnoteText"/>
      </w:pPr>
      <w:r>
        <w:rPr>
          <w:rStyle w:val="FootnoteReference"/>
        </w:rPr>
        <w:footnoteRef/>
      </w:r>
      <w:r>
        <w:t xml:space="preserve"> </w:t>
      </w:r>
      <w:bookmarkStart w:id="6" w:name="_Hlk53136843"/>
      <w:r w:rsidRPr="009064F6">
        <w:t>Grodin, Miller and Kelly, ‘The Nazi Physicians as Leaders of Eugenics and “Euthanasia”’, American Journal for Public Health, Vol 108, Iss 1 (January 2018) p 53-57 (p 53-56)</w:t>
      </w:r>
      <w:bookmarkEnd w:id="6"/>
    </w:p>
  </w:footnote>
  <w:footnote w:id="17">
    <w:p w14:paraId="3202FB84" w14:textId="7AC9DC67" w:rsidR="00976F3D" w:rsidRPr="00976F3D" w:rsidRDefault="00976F3D">
      <w:pPr>
        <w:pStyle w:val="FootnoteText"/>
        <w:rPr>
          <w:lang w:val="en-US"/>
        </w:rPr>
      </w:pPr>
      <w:r>
        <w:rPr>
          <w:rStyle w:val="FootnoteReference"/>
        </w:rPr>
        <w:footnoteRef/>
      </w:r>
      <w:r>
        <w:t xml:space="preserve"> </w:t>
      </w:r>
      <w:r w:rsidRPr="009064F6">
        <w:t>Grodin, Miller and Kelly, ‘The Nazi Physicians as Leaders of Eugenics and “Euthanasia”’, American Journal for Public Health, Vol 108, Iss 1 (January 2018) p 53-57 (p 53-56)</w:t>
      </w:r>
    </w:p>
  </w:footnote>
  <w:footnote w:id="18">
    <w:p w14:paraId="74B6F914" w14:textId="48FEC686" w:rsidR="00797DCE" w:rsidRDefault="00797DCE">
      <w:pPr>
        <w:pStyle w:val="FootnoteText"/>
      </w:pPr>
      <w:r>
        <w:rPr>
          <w:rStyle w:val="FootnoteReference"/>
        </w:rPr>
        <w:footnoteRef/>
      </w:r>
      <w:r>
        <w:t xml:space="preserve"> </w:t>
      </w:r>
      <w:bookmarkStart w:id="7" w:name="_Hlk53137805"/>
      <w:r w:rsidR="004A7D38">
        <w:t xml:space="preserve">Kiernan, </w:t>
      </w:r>
      <w:r w:rsidR="004A7D38">
        <w:rPr>
          <w:i/>
          <w:iCs/>
        </w:rPr>
        <w:t>Blood and Soil</w:t>
      </w:r>
      <w:r w:rsidR="004A7D38">
        <w:t>, p 16 (Yale University Press, 2007)</w:t>
      </w:r>
      <w:bookmarkEnd w:id="7"/>
    </w:p>
  </w:footnote>
  <w:footnote w:id="19">
    <w:p w14:paraId="529225E3" w14:textId="0BAEADF9" w:rsidR="00B4644A" w:rsidRPr="00B4644A" w:rsidRDefault="00B4644A">
      <w:pPr>
        <w:pStyle w:val="FootnoteText"/>
        <w:rPr>
          <w:lang w:val="en-US"/>
        </w:rPr>
      </w:pPr>
      <w:r>
        <w:rPr>
          <w:rStyle w:val="FootnoteReference"/>
        </w:rPr>
        <w:footnoteRef/>
      </w:r>
      <w:r>
        <w:t xml:space="preserve"> Kiernan, </w:t>
      </w:r>
      <w:r>
        <w:rPr>
          <w:i/>
          <w:iCs/>
        </w:rPr>
        <w:t>Blood and Soil</w:t>
      </w:r>
      <w:r>
        <w:t>, p 16 (Yale University Press, 2007)</w:t>
      </w:r>
    </w:p>
  </w:footnote>
  <w:footnote w:id="20">
    <w:p w14:paraId="249C9C56" w14:textId="7806B7FB" w:rsidR="00AF2803" w:rsidRDefault="00AF2803">
      <w:pPr>
        <w:pStyle w:val="FootnoteText"/>
      </w:pPr>
      <w:r>
        <w:rPr>
          <w:rStyle w:val="FootnoteReference"/>
        </w:rPr>
        <w:footnoteRef/>
      </w:r>
      <w:r w:rsidRPr="00AF2803">
        <w:t xml:space="preserve"> Kiernan, </w:t>
      </w:r>
      <w:r w:rsidRPr="004A7D38">
        <w:rPr>
          <w:i/>
          <w:iCs/>
        </w:rPr>
        <w:t>Blood and Soil</w:t>
      </w:r>
      <w:r w:rsidRPr="00AF2803">
        <w:t>, p 1</w:t>
      </w:r>
      <w:r w:rsidR="004A7D38">
        <w:t>6</w:t>
      </w:r>
      <w:r w:rsidRPr="00AF2803">
        <w:t xml:space="preserve"> (Yale University Press, 2007)</w:t>
      </w:r>
    </w:p>
  </w:footnote>
  <w:footnote w:id="21">
    <w:p w14:paraId="47C90017" w14:textId="54B73951" w:rsidR="004A7D38" w:rsidRDefault="004A7D38">
      <w:pPr>
        <w:pStyle w:val="FootnoteText"/>
      </w:pPr>
      <w:r>
        <w:rPr>
          <w:rStyle w:val="FootnoteReference"/>
        </w:rPr>
        <w:footnoteRef/>
      </w:r>
      <w:r>
        <w:t xml:space="preserve"> </w:t>
      </w:r>
      <w:r w:rsidRPr="004A7D38">
        <w:t xml:space="preserve">Kiernan, </w:t>
      </w:r>
      <w:r w:rsidRPr="004A7D38">
        <w:rPr>
          <w:i/>
          <w:iCs/>
        </w:rPr>
        <w:t>Blood and Soil</w:t>
      </w:r>
      <w:r w:rsidRPr="004A7D38">
        <w:t>, p 1</w:t>
      </w:r>
      <w:r>
        <w:t>3</w:t>
      </w:r>
      <w:r w:rsidRPr="004A7D38">
        <w:t xml:space="preserve"> (Yale University Press, 2007)</w:t>
      </w:r>
    </w:p>
  </w:footnote>
  <w:footnote w:id="22">
    <w:p w14:paraId="716C3EB1" w14:textId="4AC4778B" w:rsidR="004A7D38" w:rsidRDefault="004A7D38">
      <w:pPr>
        <w:pStyle w:val="FootnoteText"/>
      </w:pPr>
      <w:r>
        <w:rPr>
          <w:rStyle w:val="FootnoteReference"/>
        </w:rPr>
        <w:footnoteRef/>
      </w:r>
      <w:r>
        <w:t xml:space="preserve"> Kiernan, </w:t>
      </w:r>
      <w:r>
        <w:rPr>
          <w:i/>
          <w:iCs/>
        </w:rPr>
        <w:t>Blood and Soil</w:t>
      </w:r>
      <w:r>
        <w:t xml:space="preserve">, p 13 (Yale University Press, 2007) </w:t>
      </w:r>
    </w:p>
  </w:footnote>
  <w:footnote w:id="23">
    <w:p w14:paraId="2466FE63" w14:textId="60B75EF7" w:rsidR="004A7D38" w:rsidRDefault="004A7D38">
      <w:pPr>
        <w:pStyle w:val="FootnoteText"/>
      </w:pPr>
      <w:r>
        <w:rPr>
          <w:rStyle w:val="FootnoteReference"/>
        </w:rPr>
        <w:footnoteRef/>
      </w:r>
      <w:r>
        <w:t xml:space="preserve"> Kiernan, </w:t>
      </w:r>
      <w:r>
        <w:rPr>
          <w:i/>
          <w:iCs/>
        </w:rPr>
        <w:t>Blood and Soil</w:t>
      </w:r>
      <w:r>
        <w:t>, p 13 (Yale University Press, 2007)</w:t>
      </w:r>
    </w:p>
  </w:footnote>
  <w:footnote w:id="24">
    <w:p w14:paraId="20728810" w14:textId="2850BB24" w:rsidR="00880C97" w:rsidRDefault="00880C97">
      <w:pPr>
        <w:pStyle w:val="FootnoteText"/>
      </w:pPr>
      <w:r>
        <w:rPr>
          <w:rStyle w:val="FootnoteReference"/>
        </w:rPr>
        <w:footnoteRef/>
      </w:r>
      <w:r>
        <w:t xml:space="preserve"> Kiernan, </w:t>
      </w:r>
      <w:r>
        <w:rPr>
          <w:i/>
          <w:iCs/>
        </w:rPr>
        <w:t>Blood and Soil</w:t>
      </w:r>
      <w:r>
        <w:t>, p 13 (Yale University Press, 2007)</w:t>
      </w:r>
    </w:p>
  </w:footnote>
  <w:footnote w:id="25">
    <w:p w14:paraId="4E70CFDC" w14:textId="7F54B2FB" w:rsidR="009850CF" w:rsidRDefault="009850CF">
      <w:pPr>
        <w:pStyle w:val="FootnoteText"/>
      </w:pPr>
      <w:r>
        <w:rPr>
          <w:rStyle w:val="FootnoteReference"/>
        </w:rPr>
        <w:footnoteRef/>
      </w:r>
      <w:r>
        <w:t xml:space="preserve"> Kiernan, </w:t>
      </w:r>
      <w:r>
        <w:rPr>
          <w:i/>
          <w:iCs/>
        </w:rPr>
        <w:t>Blood and Soil</w:t>
      </w:r>
      <w:r>
        <w:t>, p 13 (Yale University Press, 2007)</w:t>
      </w:r>
    </w:p>
  </w:footnote>
  <w:footnote w:id="26">
    <w:p w14:paraId="44AA1042" w14:textId="0FAF28AB" w:rsidR="009850CF" w:rsidRDefault="009850CF">
      <w:pPr>
        <w:pStyle w:val="FootnoteText"/>
      </w:pPr>
      <w:r>
        <w:rPr>
          <w:rStyle w:val="FootnoteReference"/>
        </w:rPr>
        <w:footnoteRef/>
      </w:r>
      <w:r>
        <w:t xml:space="preserve"> </w:t>
      </w:r>
      <w:bookmarkStart w:id="8" w:name="_Hlk53145363"/>
      <w:r>
        <w:t xml:space="preserve">Kiernan, </w:t>
      </w:r>
      <w:r>
        <w:rPr>
          <w:i/>
          <w:iCs/>
        </w:rPr>
        <w:t>Blood and Soil</w:t>
      </w:r>
      <w:r>
        <w:t>, p 13 (Yale University Press, 2007)</w:t>
      </w:r>
      <w:bookmarkEnd w:id="8"/>
    </w:p>
  </w:footnote>
  <w:footnote w:id="27">
    <w:p w14:paraId="0D597289" w14:textId="536706F0" w:rsidR="006228BD" w:rsidRPr="006D161A" w:rsidRDefault="006228BD">
      <w:pPr>
        <w:pStyle w:val="FootnoteText"/>
      </w:pPr>
      <w:r>
        <w:rPr>
          <w:rStyle w:val="FootnoteReference"/>
        </w:rPr>
        <w:footnoteRef/>
      </w:r>
      <w:r>
        <w:t xml:space="preserve"> </w:t>
      </w:r>
      <w:bookmarkStart w:id="9" w:name="_Hlk53146775"/>
      <w:r w:rsidR="006D161A">
        <w:t xml:space="preserve">J.S Le Fanu, ‘Poland During the Insurrection of 1863-4’, </w:t>
      </w:r>
      <w:r w:rsidR="006D161A">
        <w:rPr>
          <w:i/>
          <w:iCs/>
        </w:rPr>
        <w:t>Dublin University Magazine</w:t>
      </w:r>
      <w:r w:rsidR="006D161A" w:rsidRPr="006D161A">
        <w:t>, volume 64, issue 382 (October 1864)</w:t>
      </w:r>
      <w:r w:rsidR="006D161A">
        <w:t>, pages 436-446</w:t>
      </w:r>
      <w:bookmarkEnd w:id="9"/>
    </w:p>
  </w:footnote>
  <w:footnote w:id="28">
    <w:p w14:paraId="53240319" w14:textId="5E7F0CEC" w:rsidR="00A255C4" w:rsidRPr="00DB205F" w:rsidRDefault="00A255C4">
      <w:pPr>
        <w:pStyle w:val="FootnoteText"/>
      </w:pPr>
      <w:r>
        <w:rPr>
          <w:rStyle w:val="FootnoteReference"/>
        </w:rPr>
        <w:footnoteRef/>
      </w:r>
      <w:r>
        <w:t xml:space="preserve"> </w:t>
      </w:r>
      <w:bookmarkStart w:id="10" w:name="_Hlk53146823"/>
      <w:r>
        <w:t xml:space="preserve">Christopher Riches, </w:t>
      </w:r>
      <w:r w:rsidR="00DB205F">
        <w:t xml:space="preserve">Jan Palmowski, </w:t>
      </w:r>
      <w:r w:rsidR="00DB205F">
        <w:rPr>
          <w:i/>
          <w:iCs/>
        </w:rPr>
        <w:t>A Dictionary of Contemporary World History</w:t>
      </w:r>
      <w:r w:rsidR="00DB205F">
        <w:t>, page 54 (Oxford University Press, 2019)</w:t>
      </w:r>
      <w:bookmarkEnd w:id="10"/>
    </w:p>
  </w:footnote>
  <w:footnote w:id="29">
    <w:p w14:paraId="598011F1" w14:textId="1631E1AC" w:rsidR="00D15D83" w:rsidRDefault="00D15D83">
      <w:pPr>
        <w:pStyle w:val="FootnoteText"/>
      </w:pPr>
      <w:r>
        <w:rPr>
          <w:rStyle w:val="FootnoteReference"/>
        </w:rPr>
        <w:footnoteRef/>
      </w:r>
      <w:r>
        <w:t xml:space="preserve"> </w:t>
      </w:r>
      <w:bookmarkStart w:id="11" w:name="_Hlk53146848"/>
      <w:r w:rsidR="00557412">
        <w:t xml:space="preserve">Norman M. Naimark, </w:t>
      </w:r>
      <w:r w:rsidR="00557412">
        <w:rPr>
          <w:i/>
          <w:iCs/>
        </w:rPr>
        <w:t>Genocide a World History</w:t>
      </w:r>
      <w:r w:rsidR="00557412">
        <w:t>, pages 90-91 (Oxford University Press, 2017)</w:t>
      </w:r>
      <w:bookmarkEnd w:id="11"/>
    </w:p>
  </w:footnote>
  <w:footnote w:id="30">
    <w:p w14:paraId="2A35D6AB" w14:textId="0F3D70D4" w:rsidR="00407DCD" w:rsidRPr="00407DCD" w:rsidRDefault="00407DCD">
      <w:pPr>
        <w:pStyle w:val="FootnoteText"/>
        <w:rPr>
          <w:i/>
          <w:iCs/>
        </w:rPr>
      </w:pPr>
      <w:r>
        <w:rPr>
          <w:rStyle w:val="FootnoteReference"/>
        </w:rPr>
        <w:footnoteRef/>
      </w:r>
      <w:r>
        <w:t xml:space="preserve"> </w:t>
      </w:r>
      <w:bookmarkStart w:id="12" w:name="_Hlk53142056"/>
      <w:r>
        <w:t xml:space="preserve">Naimark, </w:t>
      </w:r>
      <w:r>
        <w:rPr>
          <w:i/>
          <w:iCs/>
        </w:rPr>
        <w:t>Genocide a World History</w:t>
      </w:r>
      <w:r>
        <w:t>, p 91 (Oxford University Press, 2017)</w:t>
      </w:r>
      <w:r>
        <w:rPr>
          <w:i/>
          <w:iCs/>
        </w:rPr>
        <w:t xml:space="preserve"> </w:t>
      </w:r>
      <w:bookmarkEnd w:id="12"/>
    </w:p>
  </w:footnote>
  <w:footnote w:id="31">
    <w:p w14:paraId="10204617" w14:textId="22DE23AD" w:rsidR="000D0867" w:rsidRDefault="000D0867">
      <w:pPr>
        <w:pStyle w:val="FootnoteText"/>
      </w:pPr>
      <w:r>
        <w:rPr>
          <w:rStyle w:val="FootnoteReference"/>
        </w:rPr>
        <w:footnoteRef/>
      </w:r>
      <w:r>
        <w:t xml:space="preserve"> </w:t>
      </w:r>
      <w:bookmarkStart w:id="13" w:name="_Hlk53146881"/>
      <w:r>
        <w:t xml:space="preserve">Kiernan, </w:t>
      </w:r>
      <w:r>
        <w:rPr>
          <w:i/>
          <w:iCs/>
        </w:rPr>
        <w:t>Blood and Soil</w:t>
      </w:r>
      <w:r>
        <w:t>, p 21-33 (Yale University Press, 2007)</w:t>
      </w:r>
    </w:p>
    <w:bookmarkEnd w:id="13"/>
  </w:footnote>
  <w:footnote w:id="32">
    <w:p w14:paraId="7C753869" w14:textId="586A38E7" w:rsidR="00354A80" w:rsidRDefault="00354A80">
      <w:pPr>
        <w:pStyle w:val="FootnoteText"/>
      </w:pPr>
      <w:r>
        <w:rPr>
          <w:rStyle w:val="FootnoteReference"/>
        </w:rPr>
        <w:footnoteRef/>
      </w:r>
      <w:r>
        <w:t xml:space="preserve"> Kiernan, </w:t>
      </w:r>
      <w:r>
        <w:rPr>
          <w:i/>
          <w:iCs/>
        </w:rPr>
        <w:t>Blood and Soil</w:t>
      </w:r>
      <w:r>
        <w:t>, p 21-33 (Yale University Press, 2007)</w:t>
      </w:r>
    </w:p>
  </w:footnote>
  <w:footnote w:id="33">
    <w:p w14:paraId="4EECA89B" w14:textId="7617D338" w:rsidR="000D0867" w:rsidRDefault="000D0867">
      <w:pPr>
        <w:pStyle w:val="FootnoteText"/>
      </w:pPr>
      <w:r>
        <w:rPr>
          <w:rStyle w:val="FootnoteReference"/>
        </w:rPr>
        <w:footnoteRef/>
      </w:r>
      <w:r>
        <w:t xml:space="preserve"> Kiernan, </w:t>
      </w:r>
      <w:r>
        <w:rPr>
          <w:i/>
          <w:iCs/>
        </w:rPr>
        <w:t>Blood and Soil</w:t>
      </w:r>
      <w:r>
        <w:t>, p 21-33 (Yale University Press, 2007)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BA719D"/>
    <w:multiLevelType w:val="hybridMultilevel"/>
    <w:tmpl w:val="6D2CC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263"/>
    <w:rsid w:val="000143D7"/>
    <w:rsid w:val="00031433"/>
    <w:rsid w:val="00073458"/>
    <w:rsid w:val="000A0198"/>
    <w:rsid w:val="000B3323"/>
    <w:rsid w:val="000D07CD"/>
    <w:rsid w:val="000D0867"/>
    <w:rsid w:val="000D6D74"/>
    <w:rsid w:val="00101527"/>
    <w:rsid w:val="00106945"/>
    <w:rsid w:val="00181B2C"/>
    <w:rsid w:val="001A3233"/>
    <w:rsid w:val="001F7CF6"/>
    <w:rsid w:val="00223DF1"/>
    <w:rsid w:val="0029314F"/>
    <w:rsid w:val="002A71BE"/>
    <w:rsid w:val="00354A80"/>
    <w:rsid w:val="00381C6B"/>
    <w:rsid w:val="00382100"/>
    <w:rsid w:val="00384A9A"/>
    <w:rsid w:val="00390023"/>
    <w:rsid w:val="003B218D"/>
    <w:rsid w:val="00407DCD"/>
    <w:rsid w:val="004719C7"/>
    <w:rsid w:val="004A7D38"/>
    <w:rsid w:val="00507A22"/>
    <w:rsid w:val="00543B58"/>
    <w:rsid w:val="00544492"/>
    <w:rsid w:val="00557412"/>
    <w:rsid w:val="005B59AB"/>
    <w:rsid w:val="0060641A"/>
    <w:rsid w:val="006228BD"/>
    <w:rsid w:val="006318F1"/>
    <w:rsid w:val="00635D69"/>
    <w:rsid w:val="006444C7"/>
    <w:rsid w:val="0068724D"/>
    <w:rsid w:val="006B2F29"/>
    <w:rsid w:val="006B3DAE"/>
    <w:rsid w:val="006D161A"/>
    <w:rsid w:val="006F1E72"/>
    <w:rsid w:val="00770672"/>
    <w:rsid w:val="00786BD8"/>
    <w:rsid w:val="00796575"/>
    <w:rsid w:val="00797DCE"/>
    <w:rsid w:val="007A0CDE"/>
    <w:rsid w:val="007B7820"/>
    <w:rsid w:val="007E1EA4"/>
    <w:rsid w:val="007F748C"/>
    <w:rsid w:val="008026DE"/>
    <w:rsid w:val="00805417"/>
    <w:rsid w:val="008079D1"/>
    <w:rsid w:val="00823B61"/>
    <w:rsid w:val="00857352"/>
    <w:rsid w:val="00880C97"/>
    <w:rsid w:val="008F4A19"/>
    <w:rsid w:val="009064F6"/>
    <w:rsid w:val="00912C8F"/>
    <w:rsid w:val="00954803"/>
    <w:rsid w:val="00976F3D"/>
    <w:rsid w:val="009850CF"/>
    <w:rsid w:val="009A5476"/>
    <w:rsid w:val="009A7B31"/>
    <w:rsid w:val="009B28D6"/>
    <w:rsid w:val="009D4C02"/>
    <w:rsid w:val="009D62A4"/>
    <w:rsid w:val="00A162F5"/>
    <w:rsid w:val="00A211ED"/>
    <w:rsid w:val="00A255C4"/>
    <w:rsid w:val="00AA3263"/>
    <w:rsid w:val="00AA74BC"/>
    <w:rsid w:val="00AB633D"/>
    <w:rsid w:val="00AF0E2E"/>
    <w:rsid w:val="00AF2803"/>
    <w:rsid w:val="00B4644A"/>
    <w:rsid w:val="00BF0D82"/>
    <w:rsid w:val="00C054F7"/>
    <w:rsid w:val="00C06327"/>
    <w:rsid w:val="00C21A5E"/>
    <w:rsid w:val="00C26AB2"/>
    <w:rsid w:val="00C330AA"/>
    <w:rsid w:val="00CA2D06"/>
    <w:rsid w:val="00CE2285"/>
    <w:rsid w:val="00CF114A"/>
    <w:rsid w:val="00D12638"/>
    <w:rsid w:val="00D15D83"/>
    <w:rsid w:val="00D17ACE"/>
    <w:rsid w:val="00D443FE"/>
    <w:rsid w:val="00D45FC0"/>
    <w:rsid w:val="00D70421"/>
    <w:rsid w:val="00D75069"/>
    <w:rsid w:val="00DB205F"/>
    <w:rsid w:val="00DC6886"/>
    <w:rsid w:val="00DE4199"/>
    <w:rsid w:val="00E2289D"/>
    <w:rsid w:val="00E34130"/>
    <w:rsid w:val="00E935F2"/>
    <w:rsid w:val="00EA3368"/>
    <w:rsid w:val="00F17DA0"/>
    <w:rsid w:val="00F93629"/>
    <w:rsid w:val="00FC11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11CB44"/>
  <w15:chartTrackingRefBased/>
  <w15:docId w15:val="{51569DB5-D909-473C-9C48-60DC8880B6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3DA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A326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A3263"/>
    <w:rPr>
      <w:sz w:val="20"/>
      <w:szCs w:val="20"/>
    </w:rPr>
  </w:style>
  <w:style w:type="character" w:styleId="FootnoteReference">
    <w:name w:val="footnote reference"/>
    <w:basedOn w:val="DefaultParagraphFont"/>
    <w:uiPriority w:val="99"/>
    <w:semiHidden/>
    <w:unhideWhenUsed/>
    <w:rsid w:val="00AA3263"/>
    <w:rPr>
      <w:vertAlign w:val="superscript"/>
    </w:rPr>
  </w:style>
  <w:style w:type="character" w:styleId="Hyperlink">
    <w:name w:val="Hyperlink"/>
    <w:basedOn w:val="DefaultParagraphFont"/>
    <w:uiPriority w:val="99"/>
    <w:unhideWhenUsed/>
    <w:rsid w:val="004719C7"/>
    <w:rPr>
      <w:color w:val="0563C1" w:themeColor="hyperlink"/>
      <w:u w:val="single"/>
    </w:rPr>
  </w:style>
  <w:style w:type="character" w:styleId="UnresolvedMention">
    <w:name w:val="Unresolved Mention"/>
    <w:basedOn w:val="DefaultParagraphFont"/>
    <w:uiPriority w:val="99"/>
    <w:semiHidden/>
    <w:unhideWhenUsed/>
    <w:rsid w:val="004719C7"/>
    <w:rPr>
      <w:color w:val="605E5C"/>
      <w:shd w:val="clear" w:color="auto" w:fill="E1DFDD"/>
    </w:rPr>
  </w:style>
  <w:style w:type="character" w:styleId="CommentReference">
    <w:name w:val="annotation reference"/>
    <w:basedOn w:val="DefaultParagraphFont"/>
    <w:uiPriority w:val="99"/>
    <w:semiHidden/>
    <w:unhideWhenUsed/>
    <w:rsid w:val="00073458"/>
    <w:rPr>
      <w:sz w:val="16"/>
      <w:szCs w:val="16"/>
    </w:rPr>
  </w:style>
  <w:style w:type="paragraph" w:styleId="CommentText">
    <w:name w:val="annotation text"/>
    <w:basedOn w:val="Normal"/>
    <w:link w:val="CommentTextChar"/>
    <w:uiPriority w:val="99"/>
    <w:semiHidden/>
    <w:unhideWhenUsed/>
    <w:rsid w:val="00073458"/>
    <w:pPr>
      <w:spacing w:line="240" w:lineRule="auto"/>
    </w:pPr>
    <w:rPr>
      <w:sz w:val="20"/>
      <w:szCs w:val="20"/>
    </w:rPr>
  </w:style>
  <w:style w:type="character" w:customStyle="1" w:styleId="CommentTextChar">
    <w:name w:val="Comment Text Char"/>
    <w:basedOn w:val="DefaultParagraphFont"/>
    <w:link w:val="CommentText"/>
    <w:uiPriority w:val="99"/>
    <w:semiHidden/>
    <w:rsid w:val="00073458"/>
    <w:rPr>
      <w:sz w:val="20"/>
      <w:szCs w:val="20"/>
    </w:rPr>
  </w:style>
  <w:style w:type="paragraph" w:styleId="CommentSubject">
    <w:name w:val="annotation subject"/>
    <w:basedOn w:val="CommentText"/>
    <w:next w:val="CommentText"/>
    <w:link w:val="CommentSubjectChar"/>
    <w:uiPriority w:val="99"/>
    <w:semiHidden/>
    <w:unhideWhenUsed/>
    <w:rsid w:val="00073458"/>
    <w:rPr>
      <w:b/>
      <w:bCs/>
    </w:rPr>
  </w:style>
  <w:style w:type="character" w:customStyle="1" w:styleId="CommentSubjectChar">
    <w:name w:val="Comment Subject Char"/>
    <w:basedOn w:val="CommentTextChar"/>
    <w:link w:val="CommentSubject"/>
    <w:uiPriority w:val="99"/>
    <w:semiHidden/>
    <w:rsid w:val="00073458"/>
    <w:rPr>
      <w:b/>
      <w:bCs/>
      <w:sz w:val="20"/>
      <w:szCs w:val="20"/>
    </w:rPr>
  </w:style>
  <w:style w:type="paragraph" w:styleId="BalloonText">
    <w:name w:val="Balloon Text"/>
    <w:basedOn w:val="Normal"/>
    <w:link w:val="BalloonTextChar"/>
    <w:uiPriority w:val="99"/>
    <w:semiHidden/>
    <w:unhideWhenUsed/>
    <w:rsid w:val="000734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3458"/>
    <w:rPr>
      <w:rFonts w:ascii="Segoe UI" w:hAnsi="Segoe UI" w:cs="Segoe UI"/>
      <w:sz w:val="18"/>
      <w:szCs w:val="18"/>
    </w:rPr>
  </w:style>
  <w:style w:type="character" w:customStyle="1" w:styleId="Heading1Char">
    <w:name w:val="Heading 1 Char"/>
    <w:basedOn w:val="DefaultParagraphFont"/>
    <w:link w:val="Heading1"/>
    <w:uiPriority w:val="9"/>
    <w:rsid w:val="006B3DAE"/>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354A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com/topics/germany/eugenic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history.com/topics/germany/eugen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63388C-4023-4B3E-8D0F-0B5D28880D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1828</Words>
  <Characters>10420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Priestley</dc:creator>
  <cp:keywords/>
  <dc:description/>
  <cp:lastModifiedBy>Andrew Priestley</cp:lastModifiedBy>
  <cp:revision>5</cp:revision>
  <dcterms:created xsi:type="dcterms:W3CDTF">2020-10-09T13:46:00Z</dcterms:created>
  <dcterms:modified xsi:type="dcterms:W3CDTF">2020-10-09T13:50:00Z</dcterms:modified>
</cp:coreProperties>
</file>