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47B" w:rsidRDefault="0039347B" w:rsidP="0039347B">
      <w:pPr>
        <w:jc w:val="center"/>
        <w:rPr>
          <w:rFonts w:ascii="Times New Roman" w:hAnsi="Times New Roman" w:cs="Times New Roman"/>
          <w:i/>
          <w:sz w:val="24"/>
          <w:szCs w:val="24"/>
        </w:rPr>
      </w:pPr>
    </w:p>
    <w:p w:rsidR="0039347B" w:rsidRDefault="0039347B" w:rsidP="0039347B">
      <w:pPr>
        <w:jc w:val="center"/>
        <w:rPr>
          <w:rFonts w:ascii="Times New Roman" w:hAnsi="Times New Roman" w:cs="Times New Roman"/>
          <w:i/>
          <w:sz w:val="24"/>
          <w:szCs w:val="24"/>
        </w:rPr>
      </w:pPr>
    </w:p>
    <w:p w:rsidR="0039347B" w:rsidRDefault="0039347B" w:rsidP="0039347B">
      <w:pPr>
        <w:jc w:val="center"/>
        <w:rPr>
          <w:rFonts w:ascii="Times New Roman" w:hAnsi="Times New Roman" w:cs="Times New Roman"/>
          <w:i/>
          <w:sz w:val="24"/>
          <w:szCs w:val="24"/>
        </w:rPr>
      </w:pPr>
    </w:p>
    <w:p w:rsidR="0039347B" w:rsidRDefault="0039347B" w:rsidP="0039347B">
      <w:pPr>
        <w:jc w:val="center"/>
        <w:rPr>
          <w:rFonts w:ascii="Times New Roman" w:hAnsi="Times New Roman" w:cs="Times New Roman"/>
          <w:i/>
          <w:sz w:val="24"/>
          <w:szCs w:val="24"/>
        </w:rPr>
      </w:pPr>
    </w:p>
    <w:p w:rsidR="0039347B" w:rsidRDefault="0039347B" w:rsidP="0039347B">
      <w:pPr>
        <w:jc w:val="center"/>
        <w:rPr>
          <w:rFonts w:ascii="Times New Roman" w:hAnsi="Times New Roman" w:cs="Times New Roman"/>
          <w:i/>
          <w:sz w:val="24"/>
          <w:szCs w:val="24"/>
        </w:rPr>
      </w:pPr>
    </w:p>
    <w:p w:rsidR="0039347B" w:rsidRDefault="0039347B" w:rsidP="0039347B">
      <w:pPr>
        <w:jc w:val="center"/>
        <w:rPr>
          <w:rFonts w:ascii="Times New Roman" w:hAnsi="Times New Roman" w:cs="Times New Roman"/>
          <w:sz w:val="24"/>
          <w:szCs w:val="24"/>
        </w:rPr>
      </w:pPr>
      <w:r>
        <w:rPr>
          <w:rFonts w:ascii="Times New Roman" w:hAnsi="Times New Roman" w:cs="Times New Roman"/>
          <w:i/>
          <w:sz w:val="24"/>
          <w:szCs w:val="24"/>
        </w:rPr>
        <w:t>Magician, Heal Thyself: Analyzing an Arsenal of Medico-Magical Herbs in Classical Antiquity</w:t>
      </w:r>
    </w:p>
    <w:p w:rsidR="0039347B" w:rsidRDefault="0039347B" w:rsidP="0039347B">
      <w:pPr>
        <w:jc w:val="center"/>
        <w:rPr>
          <w:rFonts w:ascii="Times New Roman" w:hAnsi="Times New Roman" w:cs="Times New Roman"/>
          <w:sz w:val="24"/>
          <w:szCs w:val="24"/>
        </w:rPr>
      </w:pPr>
    </w:p>
    <w:p w:rsidR="0039347B" w:rsidRDefault="002C1950" w:rsidP="0039347B">
      <w:pPr>
        <w:jc w:val="center"/>
        <w:rPr>
          <w:rFonts w:ascii="Times New Roman" w:hAnsi="Times New Roman" w:cs="Times New Roman"/>
          <w:sz w:val="24"/>
          <w:szCs w:val="24"/>
        </w:rPr>
      </w:pPr>
      <w:r>
        <w:rPr>
          <w:rFonts w:ascii="Times New Roman" w:hAnsi="Times New Roman" w:cs="Times New Roman"/>
          <w:sz w:val="24"/>
          <w:szCs w:val="24"/>
        </w:rPr>
        <w:t>David</w:t>
      </w:r>
      <w:r w:rsidR="0039347B">
        <w:rPr>
          <w:rFonts w:ascii="Times New Roman" w:hAnsi="Times New Roman" w:cs="Times New Roman"/>
          <w:sz w:val="24"/>
          <w:szCs w:val="24"/>
        </w:rPr>
        <w:t xml:space="preserve"> O’Neal</w:t>
      </w:r>
    </w:p>
    <w:p w:rsidR="00681724" w:rsidRDefault="00681724" w:rsidP="0039347B">
      <w:pPr>
        <w:jc w:val="center"/>
        <w:rPr>
          <w:rFonts w:ascii="Times New Roman" w:hAnsi="Times New Roman" w:cs="Times New Roman"/>
          <w:sz w:val="24"/>
          <w:szCs w:val="24"/>
        </w:rPr>
      </w:pPr>
      <w:r>
        <w:rPr>
          <w:rFonts w:ascii="Times New Roman" w:hAnsi="Times New Roman" w:cs="Times New Roman"/>
          <w:sz w:val="24"/>
          <w:szCs w:val="24"/>
        </w:rPr>
        <w:t>1402371</w:t>
      </w:r>
    </w:p>
    <w:p w:rsidR="0023446E" w:rsidRDefault="009A4A23" w:rsidP="0039347B">
      <w:pPr>
        <w:jc w:val="center"/>
        <w:rPr>
          <w:rFonts w:ascii="Times New Roman" w:hAnsi="Times New Roman" w:cs="Times New Roman"/>
          <w:sz w:val="24"/>
          <w:szCs w:val="24"/>
        </w:rPr>
      </w:pPr>
      <w:r>
        <w:rPr>
          <w:rFonts w:ascii="Times New Roman" w:hAnsi="Times New Roman" w:cs="Times New Roman"/>
          <w:sz w:val="24"/>
          <w:szCs w:val="24"/>
        </w:rPr>
        <w:t>Spring</w:t>
      </w:r>
      <w:r w:rsidR="00CA26E8">
        <w:rPr>
          <w:rFonts w:ascii="Times New Roman" w:hAnsi="Times New Roman" w:cs="Times New Roman"/>
          <w:sz w:val="24"/>
          <w:szCs w:val="24"/>
        </w:rPr>
        <w:t xml:space="preserve"> </w:t>
      </w:r>
      <w:r w:rsidR="00681724">
        <w:rPr>
          <w:rFonts w:ascii="Times New Roman" w:hAnsi="Times New Roman" w:cs="Times New Roman"/>
          <w:sz w:val="24"/>
          <w:szCs w:val="24"/>
        </w:rPr>
        <w:t>2020</w:t>
      </w:r>
    </w:p>
    <w:p w:rsidR="0023446E" w:rsidRDefault="0023446E">
      <w:pPr>
        <w:rPr>
          <w:rFonts w:ascii="Times New Roman" w:hAnsi="Times New Roman" w:cs="Times New Roman"/>
          <w:sz w:val="24"/>
          <w:szCs w:val="24"/>
        </w:rPr>
      </w:pPr>
      <w:r>
        <w:rPr>
          <w:rFonts w:ascii="Times New Roman" w:hAnsi="Times New Roman" w:cs="Times New Roman"/>
          <w:sz w:val="24"/>
          <w:szCs w:val="24"/>
        </w:rPr>
        <w:br w:type="page"/>
      </w:r>
    </w:p>
    <w:p w:rsidR="00681724" w:rsidRDefault="00681724" w:rsidP="0039347B">
      <w:pPr>
        <w:jc w:val="center"/>
        <w:rPr>
          <w:rFonts w:ascii="Times New Roman" w:hAnsi="Times New Roman" w:cs="Times New Roman"/>
          <w:sz w:val="24"/>
          <w:szCs w:val="24"/>
        </w:rPr>
      </w:pPr>
    </w:p>
    <w:p w:rsidR="0023446E" w:rsidRDefault="0023446E" w:rsidP="0039347B">
      <w:pPr>
        <w:jc w:val="center"/>
        <w:rPr>
          <w:rFonts w:ascii="Times New Roman" w:hAnsi="Times New Roman" w:cs="Times New Roman"/>
          <w:sz w:val="24"/>
          <w:szCs w:val="24"/>
        </w:rPr>
      </w:pPr>
    </w:p>
    <w:p w:rsidR="0023446E" w:rsidRDefault="0023446E" w:rsidP="0039347B">
      <w:pPr>
        <w:jc w:val="center"/>
        <w:rPr>
          <w:rFonts w:ascii="Times New Roman" w:hAnsi="Times New Roman" w:cs="Times New Roman"/>
          <w:sz w:val="24"/>
          <w:szCs w:val="24"/>
        </w:rPr>
      </w:pPr>
    </w:p>
    <w:p w:rsidR="0023446E" w:rsidRDefault="0023446E" w:rsidP="0039347B">
      <w:pPr>
        <w:jc w:val="center"/>
        <w:rPr>
          <w:rFonts w:ascii="Times New Roman" w:hAnsi="Times New Roman" w:cs="Times New Roman"/>
          <w:sz w:val="24"/>
          <w:szCs w:val="24"/>
        </w:rPr>
      </w:pPr>
    </w:p>
    <w:p w:rsidR="0023446E" w:rsidRDefault="0023446E" w:rsidP="0039347B">
      <w:pPr>
        <w:jc w:val="center"/>
        <w:rPr>
          <w:rFonts w:ascii="Times New Roman" w:hAnsi="Times New Roman" w:cs="Times New Roman"/>
          <w:sz w:val="24"/>
          <w:szCs w:val="24"/>
        </w:rPr>
      </w:pPr>
    </w:p>
    <w:p w:rsidR="0023446E" w:rsidRDefault="0023446E" w:rsidP="0039347B">
      <w:pPr>
        <w:jc w:val="center"/>
        <w:rPr>
          <w:rFonts w:ascii="Times New Roman" w:hAnsi="Times New Roman" w:cs="Times New Roman"/>
          <w:sz w:val="24"/>
          <w:szCs w:val="24"/>
        </w:rPr>
      </w:pPr>
      <w:r>
        <w:rPr>
          <w:rFonts w:ascii="Times New Roman" w:hAnsi="Times New Roman" w:cs="Times New Roman"/>
          <w:sz w:val="24"/>
          <w:szCs w:val="24"/>
          <w:u w:val="single"/>
        </w:rPr>
        <w:t>Acknowledgements</w:t>
      </w:r>
    </w:p>
    <w:p w:rsidR="0023446E" w:rsidRDefault="0023446E" w:rsidP="0039347B">
      <w:pPr>
        <w:jc w:val="center"/>
        <w:rPr>
          <w:rFonts w:ascii="Times New Roman" w:hAnsi="Times New Roman" w:cs="Times New Roman"/>
          <w:sz w:val="24"/>
          <w:szCs w:val="24"/>
        </w:rPr>
      </w:pPr>
    </w:p>
    <w:p w:rsidR="00851E5A" w:rsidRDefault="0023446E" w:rsidP="00851E5A">
      <w:pPr>
        <w:jc w:val="center"/>
        <w:rPr>
          <w:rFonts w:ascii="Times New Roman" w:hAnsi="Times New Roman" w:cs="Times New Roman"/>
          <w:i/>
          <w:sz w:val="24"/>
          <w:szCs w:val="24"/>
        </w:rPr>
      </w:pPr>
      <w:r w:rsidRPr="0023446E">
        <w:rPr>
          <w:rFonts w:ascii="Times New Roman" w:hAnsi="Times New Roman" w:cs="Times New Roman"/>
          <w:i/>
          <w:sz w:val="24"/>
          <w:szCs w:val="24"/>
        </w:rPr>
        <w:t>I would like to thank my parents, Michael and Janie O’Neal, for their immeasurable support during this dissertation process, and my colleague Elmide Méléance for her help with and insight into Haitian ethnobotany and folk healing.</w:t>
      </w:r>
    </w:p>
    <w:p w:rsidR="00851E5A" w:rsidRDefault="00851E5A" w:rsidP="00851E5A">
      <w:pPr>
        <w:jc w:val="center"/>
        <w:rPr>
          <w:rFonts w:ascii="Times New Roman" w:hAnsi="Times New Roman" w:cs="Times New Roman"/>
          <w:i/>
          <w:sz w:val="24"/>
          <w:szCs w:val="24"/>
        </w:rPr>
      </w:pPr>
    </w:p>
    <w:p w:rsidR="00851E5A" w:rsidRPr="0023446E" w:rsidRDefault="00851E5A" w:rsidP="0039347B">
      <w:pPr>
        <w:jc w:val="center"/>
        <w:rPr>
          <w:rFonts w:ascii="Times New Roman" w:hAnsi="Times New Roman" w:cs="Times New Roman"/>
          <w:i/>
          <w:sz w:val="24"/>
          <w:szCs w:val="24"/>
        </w:rPr>
      </w:pPr>
      <w:r>
        <w:rPr>
          <w:rFonts w:ascii="Times New Roman" w:hAnsi="Times New Roman" w:cs="Times New Roman"/>
          <w:i/>
          <w:sz w:val="24"/>
          <w:szCs w:val="24"/>
        </w:rPr>
        <w:t>In addition, I would like to thank my supervisor, Dr. Errietta Bissa, for her thoughtful revisions and contributions to my work, and the Faculty of the Classics Department for their valuable instruction.</w:t>
      </w:r>
    </w:p>
    <w:p w:rsidR="00681724" w:rsidRPr="00951BBF" w:rsidRDefault="00681724" w:rsidP="00681724">
      <w:pPr>
        <w:spacing w:after="120"/>
        <w:rPr>
          <w:rFonts w:ascii="Arial" w:hAnsi="Arial" w:cs="Arial"/>
        </w:rPr>
      </w:pPr>
      <w:r>
        <w:rPr>
          <w:rFonts w:ascii="Times New Roman" w:hAnsi="Times New Roman" w:cs="Times New Roman"/>
          <w:sz w:val="24"/>
          <w:szCs w:val="24"/>
        </w:rPr>
        <w:br w:type="page"/>
      </w:r>
      <w:r>
        <w:rPr>
          <w:rFonts w:ascii="Arial" w:hAnsi="Arial" w:cs="Arial"/>
          <w:noProof/>
        </w:rPr>
        <w:lastRenderedPageBreak/>
        <w:drawing>
          <wp:inline distT="0" distB="0" distL="0" distR="0">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proofErr w:type="gramStart"/>
      <w:r w:rsidRPr="00951BBF">
        <w:rPr>
          <w:rFonts w:ascii="Arial" w:hAnsi="Arial" w:cs="Arial"/>
        </w:rPr>
        <w:t>..</w:t>
      </w:r>
      <w:proofErr w:type="gramEnd"/>
      <w:r w:rsidRPr="00951BBF">
        <w:rPr>
          <w:rFonts w:ascii="Arial" w:hAnsi="Arial" w:cs="Arial"/>
        </w:rPr>
        <w:t>…</w:t>
      </w:r>
      <w:r>
        <w:rPr>
          <w:rFonts w:ascii="Arial" w:hAnsi="Arial" w:cs="Arial"/>
        </w:rPr>
        <w:t>Gwyn D. C. O’Neal….……………………………………………………………</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D15887">
        <w:rPr>
          <w:rFonts w:ascii="Arial" w:hAnsi="Arial" w:cs="Arial"/>
        </w:rPr>
        <w:t>14 APR 2020</w:t>
      </w:r>
      <w:r w:rsidRPr="00951BBF">
        <w:rPr>
          <w:rFonts w:ascii="Arial" w:hAnsi="Arial" w:cs="Arial"/>
        </w:rPr>
        <w:t>…………………………………………………………………………...</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r>
        <w:rPr>
          <w:rFonts w:ascii="Arial" w:hAnsi="Arial" w:cs="Arial"/>
        </w:rPr>
        <w:t>MA in Classical Studies</w:t>
      </w:r>
      <w:r w:rsidRPr="00951BBF">
        <w:rPr>
          <w:rFonts w:ascii="Arial" w:hAnsi="Arial" w:cs="Arial"/>
        </w:rPr>
        <w:t>…………………</w:t>
      </w:r>
      <w:r>
        <w:rPr>
          <w:rFonts w:ascii="Arial" w:hAnsi="Arial" w:cs="Arial"/>
        </w:rPr>
        <w:t>…………………………</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Pr>
          <w:rFonts w:ascii="Arial" w:hAnsi="Arial" w:cs="Arial"/>
        </w:rPr>
        <w:t>Gwyn D. C. O’Neal……………………………………………………………</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51BBF">
        <w:rPr>
          <w:rFonts w:ascii="Arial" w:hAnsi="Arial" w:cs="Arial"/>
        </w:rPr>
        <w:t>Date  …</w:t>
      </w:r>
      <w:proofErr w:type="gramEnd"/>
      <w:r w:rsidRPr="00951BBF">
        <w:rPr>
          <w:rFonts w:ascii="Arial" w:hAnsi="Arial" w:cs="Arial"/>
        </w:rPr>
        <w:t>……</w:t>
      </w:r>
      <w:r w:rsidR="00D15887">
        <w:rPr>
          <w:rFonts w:ascii="Arial" w:hAnsi="Arial" w:cs="Arial"/>
        </w:rPr>
        <w:t>.14 APR 2020</w:t>
      </w:r>
      <w:r w:rsidRPr="00951BBF">
        <w:rPr>
          <w:rFonts w:ascii="Arial" w:hAnsi="Arial" w:cs="Arial"/>
        </w:rPr>
        <w:t>……………………………………………….…………..…………...</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Gwyn D. C. O’Neal</w:t>
      </w:r>
      <w:r w:rsidRPr="00951BBF">
        <w:rPr>
          <w:rFonts w:ascii="Arial" w:hAnsi="Arial" w:cs="Arial"/>
        </w:rPr>
        <w:t>……:  ……………………………………………….……</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proofErr w:type="gramStart"/>
      <w:r w:rsidRPr="00951BBF">
        <w:rPr>
          <w:rFonts w:ascii="Arial" w:hAnsi="Arial" w:cs="Arial"/>
        </w:rPr>
        <w:t>:  ………</w:t>
      </w:r>
      <w:proofErr w:type="gramEnd"/>
      <w:r w:rsidR="00D15887">
        <w:rPr>
          <w:rFonts w:ascii="Arial" w:hAnsi="Arial" w:cs="Arial"/>
        </w:rPr>
        <w:t>14 APR 2020</w:t>
      </w:r>
      <w:r w:rsidRPr="00951BBF">
        <w:rPr>
          <w:rFonts w:ascii="Arial" w:hAnsi="Arial" w:cs="Arial"/>
        </w:rPr>
        <w:t>……………………………………………...……………………….</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Gwyn D. C. O’Neal</w:t>
      </w:r>
      <w:r w:rsidRPr="00951BBF">
        <w:rPr>
          <w:rFonts w:ascii="Arial" w:hAnsi="Arial" w:cs="Arial"/>
        </w:rPr>
        <w:t>……………………</w:t>
      </w:r>
      <w:r>
        <w:rPr>
          <w:rFonts w:ascii="Arial" w:hAnsi="Arial" w:cs="Arial"/>
        </w:rPr>
        <w:t>………………………………………</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D15887">
        <w:rPr>
          <w:rFonts w:ascii="Arial" w:hAnsi="Arial" w:cs="Arial"/>
        </w:rPr>
        <w:t>..14 APR 2020</w:t>
      </w:r>
      <w:r w:rsidRPr="00951BBF">
        <w:rPr>
          <w:rFonts w:ascii="Arial" w:hAnsi="Arial" w:cs="Arial"/>
        </w:rPr>
        <w:t>………………………………………….……………………………..</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rsidR="00681724" w:rsidRPr="00951BBF" w:rsidRDefault="00681724" w:rsidP="0068172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w:t>
      </w:r>
      <w:proofErr w:type="gramStart"/>
      <w:r w:rsidRPr="00951BBF">
        <w:rPr>
          <w:rFonts w:ascii="Arial" w:hAnsi="Arial" w:cs="Arial"/>
        </w:rPr>
        <w:t>:  …………………………………………………………………………...</w:t>
      </w:r>
      <w:proofErr w:type="gramEnd"/>
    </w:p>
    <w:p w:rsidR="0039347B" w:rsidRPr="00681724" w:rsidRDefault="00681724" w:rsidP="00681724">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bookmarkStart w:id="0" w:name="_GoBack"/>
      <w:bookmarkEnd w:id="0"/>
    </w:p>
    <w:p w:rsidR="006641B2" w:rsidRDefault="006641B2" w:rsidP="006641B2">
      <w:pPr>
        <w:jc w:val="center"/>
        <w:rPr>
          <w:rFonts w:ascii="Times New Roman" w:hAnsi="Times New Roman" w:cs="Times New Roman"/>
          <w:sz w:val="24"/>
          <w:szCs w:val="24"/>
        </w:rPr>
      </w:pPr>
      <w:r>
        <w:rPr>
          <w:rFonts w:ascii="Times New Roman" w:hAnsi="Times New Roman" w:cs="Times New Roman"/>
          <w:sz w:val="24"/>
          <w:szCs w:val="24"/>
        </w:rPr>
        <w:lastRenderedPageBreak/>
        <w:t>Table of Contents</w:t>
      </w:r>
    </w:p>
    <w:p w:rsidR="006641B2" w:rsidRDefault="006641B2" w:rsidP="006641B2">
      <w:pPr>
        <w:rPr>
          <w:rFonts w:ascii="Times New Roman" w:hAnsi="Times New Roman" w:cs="Times New Roman"/>
          <w:sz w:val="24"/>
          <w:szCs w:val="24"/>
        </w:rPr>
      </w:pPr>
    </w:p>
    <w:p w:rsidR="0039347B" w:rsidRDefault="0023446E" w:rsidP="00CE6395">
      <w:pPr>
        <w:spacing w:line="480" w:lineRule="auto"/>
        <w:rPr>
          <w:rFonts w:ascii="Times New Roman" w:hAnsi="Times New Roman" w:cs="Times New Roman"/>
          <w:sz w:val="24"/>
          <w:szCs w:val="24"/>
        </w:rPr>
      </w:pPr>
      <w:r>
        <w:rPr>
          <w:rFonts w:ascii="Times New Roman" w:hAnsi="Times New Roman" w:cs="Times New Roman"/>
          <w:sz w:val="24"/>
          <w:szCs w:val="24"/>
        </w:rPr>
        <w:t>Abstract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 5</w:t>
      </w:r>
    </w:p>
    <w:p w:rsidR="006641B2" w:rsidRDefault="006641B2" w:rsidP="00CE6395">
      <w:pPr>
        <w:spacing w:line="480" w:lineRule="auto"/>
        <w:rPr>
          <w:rFonts w:ascii="Times New Roman" w:hAnsi="Times New Roman" w:cs="Times New Roman"/>
          <w:sz w:val="24"/>
          <w:szCs w:val="24"/>
        </w:rPr>
      </w:pPr>
      <w:r>
        <w:rPr>
          <w:rFonts w:ascii="Times New Roman" w:hAnsi="Times New Roman" w:cs="Times New Roman"/>
          <w:sz w:val="24"/>
          <w:szCs w:val="24"/>
        </w:rPr>
        <w:t>Chapter 1 –</w:t>
      </w:r>
      <w:r w:rsidR="00F14866">
        <w:rPr>
          <w:rFonts w:ascii="Times New Roman" w:hAnsi="Times New Roman" w:cs="Times New Roman"/>
          <w:sz w:val="24"/>
          <w:szCs w:val="24"/>
        </w:rPr>
        <w:t xml:space="preserve"> Introduction: Methodology, and </w:t>
      </w:r>
      <w:r w:rsidR="0023446E">
        <w:rPr>
          <w:rFonts w:ascii="Times New Roman" w:hAnsi="Times New Roman" w:cs="Times New Roman"/>
          <w:sz w:val="24"/>
          <w:szCs w:val="24"/>
        </w:rPr>
        <w:t>the Pitfalls of Sources</w:t>
      </w:r>
      <w:r w:rsidR="0023446E">
        <w:rPr>
          <w:rFonts w:ascii="Times New Roman" w:hAnsi="Times New Roman" w:cs="Times New Roman"/>
          <w:sz w:val="24"/>
          <w:szCs w:val="24"/>
        </w:rPr>
        <w:tab/>
      </w:r>
      <w:r w:rsidR="0023446E">
        <w:rPr>
          <w:rFonts w:ascii="Times New Roman" w:hAnsi="Times New Roman" w:cs="Times New Roman"/>
          <w:sz w:val="24"/>
          <w:szCs w:val="24"/>
        </w:rPr>
        <w:tab/>
      </w:r>
      <w:r w:rsidR="0023446E">
        <w:rPr>
          <w:rFonts w:ascii="Times New Roman" w:hAnsi="Times New Roman" w:cs="Times New Roman"/>
          <w:sz w:val="24"/>
          <w:szCs w:val="24"/>
        </w:rPr>
        <w:tab/>
        <w:t>Page 6</w:t>
      </w:r>
    </w:p>
    <w:p w:rsidR="006641B2" w:rsidRDefault="002C1886" w:rsidP="00CE6395">
      <w:pPr>
        <w:spacing w:line="480" w:lineRule="auto"/>
        <w:rPr>
          <w:rFonts w:ascii="Times New Roman" w:hAnsi="Times New Roman" w:cs="Times New Roman"/>
          <w:sz w:val="24"/>
          <w:szCs w:val="24"/>
        </w:rPr>
      </w:pPr>
      <w:r>
        <w:rPr>
          <w:rFonts w:ascii="Times New Roman" w:hAnsi="Times New Roman" w:cs="Times New Roman"/>
          <w:sz w:val="24"/>
          <w:szCs w:val="24"/>
        </w:rPr>
        <w:t>Chapter 2</w:t>
      </w:r>
      <w:r w:rsidR="006641B2">
        <w:rPr>
          <w:rFonts w:ascii="Times New Roman" w:hAnsi="Times New Roman" w:cs="Times New Roman"/>
          <w:sz w:val="24"/>
          <w:szCs w:val="24"/>
        </w:rPr>
        <w:t xml:space="preserve"> </w:t>
      </w:r>
      <w:r w:rsidR="00CE6395">
        <w:rPr>
          <w:rFonts w:ascii="Times New Roman" w:hAnsi="Times New Roman" w:cs="Times New Roman"/>
          <w:sz w:val="24"/>
          <w:szCs w:val="24"/>
        </w:rPr>
        <w:t>–</w:t>
      </w:r>
      <w:r w:rsidR="006641B2">
        <w:rPr>
          <w:rFonts w:ascii="Times New Roman" w:hAnsi="Times New Roman" w:cs="Times New Roman"/>
          <w:sz w:val="24"/>
          <w:szCs w:val="24"/>
        </w:rPr>
        <w:t xml:space="preserve"> </w:t>
      </w:r>
      <w:r w:rsidR="006641B2" w:rsidRPr="009A06BC">
        <w:rPr>
          <w:rFonts w:ascii="Times New Roman" w:hAnsi="Times New Roman" w:cs="Times New Roman"/>
          <w:sz w:val="24"/>
          <w:szCs w:val="24"/>
        </w:rPr>
        <w:t>Case Study</w:t>
      </w:r>
      <w:r w:rsidR="006641B2">
        <w:rPr>
          <w:rFonts w:ascii="Times New Roman" w:hAnsi="Times New Roman" w:cs="Times New Roman"/>
          <w:sz w:val="24"/>
          <w:szCs w:val="24"/>
        </w:rPr>
        <w:t>, and the Hardships of the Mo</w:t>
      </w:r>
      <w:r w:rsidR="0023446E">
        <w:rPr>
          <w:rFonts w:ascii="Times New Roman" w:hAnsi="Times New Roman" w:cs="Times New Roman"/>
          <w:sz w:val="24"/>
          <w:szCs w:val="24"/>
        </w:rPr>
        <w:t>dern Botanical Historian</w:t>
      </w:r>
      <w:r w:rsidR="0023446E">
        <w:rPr>
          <w:rFonts w:ascii="Times New Roman" w:hAnsi="Times New Roman" w:cs="Times New Roman"/>
          <w:sz w:val="24"/>
          <w:szCs w:val="24"/>
        </w:rPr>
        <w:tab/>
        <w:t>Page 15</w:t>
      </w:r>
    </w:p>
    <w:p w:rsidR="006641B2" w:rsidRDefault="002C1886" w:rsidP="00CE6395">
      <w:pPr>
        <w:spacing w:line="480" w:lineRule="auto"/>
        <w:rPr>
          <w:rFonts w:ascii="Times New Roman" w:hAnsi="Times New Roman" w:cs="Times New Roman"/>
          <w:sz w:val="24"/>
          <w:szCs w:val="24"/>
        </w:rPr>
      </w:pPr>
      <w:r>
        <w:rPr>
          <w:rFonts w:ascii="Times New Roman" w:hAnsi="Times New Roman" w:cs="Times New Roman"/>
          <w:sz w:val="24"/>
          <w:szCs w:val="24"/>
        </w:rPr>
        <w:t>Chapter 3</w:t>
      </w:r>
      <w:r w:rsidR="006641B2">
        <w:rPr>
          <w:rFonts w:ascii="Times New Roman" w:hAnsi="Times New Roman" w:cs="Times New Roman"/>
          <w:sz w:val="24"/>
          <w:szCs w:val="24"/>
        </w:rPr>
        <w:t xml:space="preserve"> </w:t>
      </w:r>
      <w:r w:rsidR="00CE6395">
        <w:rPr>
          <w:rFonts w:ascii="Times New Roman" w:hAnsi="Times New Roman" w:cs="Times New Roman"/>
          <w:sz w:val="24"/>
          <w:szCs w:val="24"/>
        </w:rPr>
        <w:t>–</w:t>
      </w:r>
      <w:r w:rsidR="006641B2">
        <w:rPr>
          <w:rFonts w:ascii="Times New Roman" w:hAnsi="Times New Roman" w:cs="Times New Roman"/>
          <w:sz w:val="24"/>
          <w:szCs w:val="24"/>
        </w:rPr>
        <w:t xml:space="preserve"> </w:t>
      </w:r>
      <w:r w:rsidR="006641B2" w:rsidRPr="009A06BC">
        <w:rPr>
          <w:rFonts w:ascii="Times New Roman" w:hAnsi="Times New Roman" w:cs="Times New Roman"/>
          <w:sz w:val="24"/>
          <w:szCs w:val="24"/>
        </w:rPr>
        <w:t>Medico-Magical Herb Correlations</w:t>
      </w:r>
      <w:r w:rsidR="006641B2">
        <w:rPr>
          <w:rFonts w:ascii="Times New Roman" w:hAnsi="Times New Roman" w:cs="Times New Roman"/>
          <w:sz w:val="24"/>
          <w:szCs w:val="24"/>
        </w:rPr>
        <w:t>, As Exp</w:t>
      </w:r>
      <w:r w:rsidR="0023446E">
        <w:rPr>
          <w:rFonts w:ascii="Times New Roman" w:hAnsi="Times New Roman" w:cs="Times New Roman"/>
          <w:sz w:val="24"/>
          <w:szCs w:val="24"/>
        </w:rPr>
        <w:t>osed by Poisonous Plants</w:t>
      </w:r>
      <w:r w:rsidR="0023446E">
        <w:rPr>
          <w:rFonts w:ascii="Times New Roman" w:hAnsi="Times New Roman" w:cs="Times New Roman"/>
          <w:sz w:val="24"/>
          <w:szCs w:val="24"/>
        </w:rPr>
        <w:tab/>
        <w:t>Page 32</w:t>
      </w:r>
    </w:p>
    <w:p w:rsidR="006641B2" w:rsidRDefault="00CE6395" w:rsidP="00CE6395">
      <w:pPr>
        <w:spacing w:line="480" w:lineRule="auto"/>
        <w:rPr>
          <w:rFonts w:ascii="Times New Roman" w:hAnsi="Times New Roman" w:cs="Times New Roman"/>
          <w:sz w:val="24"/>
          <w:szCs w:val="24"/>
        </w:rPr>
      </w:pPr>
      <w:r>
        <w:rPr>
          <w:rFonts w:ascii="Times New Roman" w:hAnsi="Times New Roman" w:cs="Times New Roman"/>
          <w:sz w:val="24"/>
          <w:szCs w:val="24"/>
        </w:rPr>
        <w:t>Chapte</w:t>
      </w:r>
      <w:r w:rsidR="002C1886">
        <w:rPr>
          <w:rFonts w:ascii="Times New Roman" w:hAnsi="Times New Roman" w:cs="Times New Roman"/>
          <w:sz w:val="24"/>
          <w:szCs w:val="24"/>
        </w:rPr>
        <w:t>r 4</w:t>
      </w:r>
      <w:r>
        <w:rPr>
          <w:rFonts w:ascii="Times New Roman" w:hAnsi="Times New Roman" w:cs="Times New Roman"/>
          <w:sz w:val="24"/>
          <w:szCs w:val="24"/>
        </w:rPr>
        <w:t xml:space="preserve"> –</w:t>
      </w:r>
      <w:r w:rsidR="0023446E">
        <w:rPr>
          <w:rFonts w:ascii="Times New Roman" w:hAnsi="Times New Roman" w:cs="Times New Roman"/>
          <w:sz w:val="24"/>
          <w:szCs w:val="24"/>
        </w:rPr>
        <w:t xml:space="preserve"> Conclusion</w:t>
      </w:r>
      <w:r w:rsidR="0023446E">
        <w:rPr>
          <w:rFonts w:ascii="Times New Roman" w:hAnsi="Times New Roman" w:cs="Times New Roman"/>
          <w:sz w:val="24"/>
          <w:szCs w:val="24"/>
        </w:rPr>
        <w:tab/>
      </w:r>
      <w:r w:rsidR="0023446E">
        <w:rPr>
          <w:rFonts w:ascii="Times New Roman" w:hAnsi="Times New Roman" w:cs="Times New Roman"/>
          <w:sz w:val="24"/>
          <w:szCs w:val="24"/>
        </w:rPr>
        <w:tab/>
      </w:r>
      <w:r w:rsidR="0023446E">
        <w:rPr>
          <w:rFonts w:ascii="Times New Roman" w:hAnsi="Times New Roman" w:cs="Times New Roman"/>
          <w:sz w:val="24"/>
          <w:szCs w:val="24"/>
        </w:rPr>
        <w:tab/>
      </w:r>
      <w:r w:rsidR="0023446E">
        <w:rPr>
          <w:rFonts w:ascii="Times New Roman" w:hAnsi="Times New Roman" w:cs="Times New Roman"/>
          <w:sz w:val="24"/>
          <w:szCs w:val="24"/>
        </w:rPr>
        <w:tab/>
      </w:r>
      <w:r w:rsidR="0023446E">
        <w:rPr>
          <w:rFonts w:ascii="Times New Roman" w:hAnsi="Times New Roman" w:cs="Times New Roman"/>
          <w:sz w:val="24"/>
          <w:szCs w:val="24"/>
        </w:rPr>
        <w:tab/>
      </w:r>
      <w:r w:rsidR="0023446E">
        <w:rPr>
          <w:rFonts w:ascii="Times New Roman" w:hAnsi="Times New Roman" w:cs="Times New Roman"/>
          <w:sz w:val="24"/>
          <w:szCs w:val="24"/>
        </w:rPr>
        <w:tab/>
      </w:r>
      <w:r w:rsidR="0023446E">
        <w:rPr>
          <w:rFonts w:ascii="Times New Roman" w:hAnsi="Times New Roman" w:cs="Times New Roman"/>
          <w:sz w:val="24"/>
          <w:szCs w:val="24"/>
        </w:rPr>
        <w:tab/>
      </w:r>
      <w:r w:rsidR="0023446E">
        <w:rPr>
          <w:rFonts w:ascii="Times New Roman" w:hAnsi="Times New Roman" w:cs="Times New Roman"/>
          <w:sz w:val="24"/>
          <w:szCs w:val="24"/>
        </w:rPr>
        <w:tab/>
        <w:t>Page 61</w:t>
      </w:r>
    </w:p>
    <w:p w:rsidR="00CE6395" w:rsidRDefault="00CE6395" w:rsidP="00CE6395">
      <w:pPr>
        <w:spacing w:line="480" w:lineRule="auto"/>
        <w:rPr>
          <w:rFonts w:ascii="Times New Roman" w:hAnsi="Times New Roman" w:cs="Times New Roman"/>
          <w:sz w:val="24"/>
          <w:szCs w:val="24"/>
        </w:rPr>
      </w:pPr>
      <w:r>
        <w:rPr>
          <w:rFonts w:ascii="Times New Roman" w:hAnsi="Times New Roman" w:cs="Times New Roman"/>
          <w:sz w:val="24"/>
          <w:szCs w:val="24"/>
        </w:rPr>
        <w:t>Appendix A – Documented Medico-Magical Uses</w:t>
      </w:r>
      <w:r w:rsidRPr="00C879F5">
        <w:rPr>
          <w:rFonts w:ascii="Times New Roman" w:hAnsi="Times New Roman" w:cs="Times New Roman"/>
          <w:sz w:val="24"/>
          <w:szCs w:val="24"/>
        </w:rPr>
        <w:t xml:space="preserve"> </w:t>
      </w:r>
      <w:r w:rsidR="0023446E">
        <w:rPr>
          <w:rFonts w:ascii="Times New Roman" w:hAnsi="Times New Roman" w:cs="Times New Roman"/>
          <w:sz w:val="24"/>
          <w:szCs w:val="24"/>
        </w:rPr>
        <w:t>of the Case Study Herbs</w:t>
      </w:r>
      <w:r w:rsidR="0023446E">
        <w:rPr>
          <w:rFonts w:ascii="Times New Roman" w:hAnsi="Times New Roman" w:cs="Times New Roman"/>
          <w:sz w:val="24"/>
          <w:szCs w:val="24"/>
        </w:rPr>
        <w:tab/>
        <w:t>Page 67</w:t>
      </w:r>
    </w:p>
    <w:p w:rsidR="00CE6395" w:rsidRDefault="00CE6395" w:rsidP="00CE6395">
      <w:pPr>
        <w:spacing w:line="480" w:lineRule="auto"/>
        <w:rPr>
          <w:rFonts w:ascii="Times New Roman" w:hAnsi="Times New Roman" w:cs="Times New Roman"/>
          <w:sz w:val="24"/>
          <w:szCs w:val="24"/>
        </w:rPr>
      </w:pPr>
      <w:r>
        <w:rPr>
          <w:rFonts w:ascii="Times New Roman" w:hAnsi="Times New Roman" w:cs="Times New Roman"/>
          <w:sz w:val="24"/>
          <w:szCs w:val="24"/>
        </w:rPr>
        <w:t>Appendix B – Herb Doc</w:t>
      </w:r>
      <w:r w:rsidR="00514B81">
        <w:rPr>
          <w:rFonts w:ascii="Times New Roman" w:hAnsi="Times New Roman" w:cs="Times New Roman"/>
          <w:sz w:val="24"/>
          <w:szCs w:val="24"/>
        </w:rPr>
        <w:t>umentation Synopsis</w:t>
      </w:r>
      <w:r w:rsidR="00514B81">
        <w:rPr>
          <w:rFonts w:ascii="Times New Roman" w:hAnsi="Times New Roman" w:cs="Times New Roman"/>
          <w:sz w:val="24"/>
          <w:szCs w:val="24"/>
        </w:rPr>
        <w:tab/>
      </w:r>
      <w:r w:rsidR="00514B81">
        <w:rPr>
          <w:rFonts w:ascii="Times New Roman" w:hAnsi="Times New Roman" w:cs="Times New Roman"/>
          <w:sz w:val="24"/>
          <w:szCs w:val="24"/>
        </w:rPr>
        <w:tab/>
      </w:r>
      <w:r w:rsidR="00514B81">
        <w:rPr>
          <w:rFonts w:ascii="Times New Roman" w:hAnsi="Times New Roman" w:cs="Times New Roman"/>
          <w:sz w:val="24"/>
          <w:szCs w:val="24"/>
        </w:rPr>
        <w:tab/>
      </w:r>
      <w:r w:rsidR="00514B81">
        <w:rPr>
          <w:rFonts w:ascii="Times New Roman" w:hAnsi="Times New Roman" w:cs="Times New Roman"/>
          <w:sz w:val="24"/>
          <w:szCs w:val="24"/>
        </w:rPr>
        <w:tab/>
      </w:r>
      <w:r w:rsidR="00514B81">
        <w:rPr>
          <w:rFonts w:ascii="Times New Roman" w:hAnsi="Times New Roman" w:cs="Times New Roman"/>
          <w:sz w:val="24"/>
          <w:szCs w:val="24"/>
        </w:rPr>
        <w:tab/>
        <w:t xml:space="preserve">Page </w:t>
      </w:r>
      <w:r w:rsidR="0039347B">
        <w:rPr>
          <w:rFonts w:ascii="Times New Roman" w:hAnsi="Times New Roman" w:cs="Times New Roman"/>
          <w:sz w:val="24"/>
          <w:szCs w:val="24"/>
        </w:rPr>
        <w:t>9</w:t>
      </w:r>
      <w:r w:rsidR="0023446E">
        <w:rPr>
          <w:rFonts w:ascii="Times New Roman" w:hAnsi="Times New Roman" w:cs="Times New Roman"/>
          <w:sz w:val="24"/>
          <w:szCs w:val="24"/>
        </w:rPr>
        <w:t>9</w:t>
      </w:r>
    </w:p>
    <w:p w:rsidR="00CE6395" w:rsidRDefault="0023446E" w:rsidP="00CE6395">
      <w:pPr>
        <w:spacing w:line="480" w:lineRule="auto"/>
        <w:rPr>
          <w:rFonts w:ascii="Times New Roman" w:hAnsi="Times New Roman" w:cs="Times New Roman"/>
          <w:sz w:val="24"/>
          <w:szCs w:val="24"/>
        </w:rPr>
      </w:pPr>
      <w:r>
        <w:rPr>
          <w:rFonts w:ascii="Times New Roman" w:hAnsi="Times New Roman" w:cs="Times New Roman"/>
          <w:sz w:val="24"/>
          <w:szCs w:val="24"/>
        </w:rPr>
        <w:t>Bibliography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 108</w:t>
      </w:r>
    </w:p>
    <w:p w:rsidR="0017286D" w:rsidRDefault="0017286D">
      <w:pPr>
        <w:rPr>
          <w:rFonts w:ascii="Times New Roman" w:hAnsi="Times New Roman" w:cs="Times New Roman"/>
          <w:sz w:val="24"/>
          <w:szCs w:val="24"/>
        </w:rPr>
      </w:pPr>
      <w:r>
        <w:rPr>
          <w:rFonts w:ascii="Times New Roman" w:hAnsi="Times New Roman" w:cs="Times New Roman"/>
          <w:sz w:val="24"/>
          <w:szCs w:val="24"/>
        </w:rPr>
        <w:br w:type="page"/>
      </w:r>
    </w:p>
    <w:p w:rsidR="0039347B" w:rsidRPr="0039347B" w:rsidRDefault="00DB397E" w:rsidP="0039347B">
      <w:pPr>
        <w:spacing w:before="240" w:after="240"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Abstract</w:t>
      </w:r>
    </w:p>
    <w:p w:rsidR="0039347B" w:rsidRPr="0039347B" w:rsidRDefault="0039347B" w:rsidP="00681724">
      <w:pPr>
        <w:spacing w:before="240" w:after="240" w:line="240" w:lineRule="auto"/>
        <w:rPr>
          <w:rFonts w:ascii="Times New Roman" w:hAnsi="Times New Roman" w:cs="Times New Roman"/>
          <w:sz w:val="24"/>
          <w:szCs w:val="24"/>
        </w:rPr>
      </w:pPr>
      <w:r w:rsidRPr="0039347B">
        <w:rPr>
          <w:rFonts w:ascii="Times New Roman" w:hAnsi="Times New Roman" w:cs="Times New Roman"/>
          <w:sz w:val="24"/>
          <w:szCs w:val="24"/>
        </w:rPr>
        <w:tab/>
        <w:t xml:space="preserve">In this paper, I seek to answer three overarching questions regarding the means by which the Hippocratic model of herb categorization, which ascribed certain herbs of known medicinal benefit to bodily “Humors,” and which was regarded throughout Classical Antiquity as the physician’s quintessential guide to drug prescription, operated: how were herbs identified as candidates for categorization, how did those with multiple humoral ascriptions fit into the model, and how did those without any also fit?  </w:t>
      </w:r>
    </w:p>
    <w:p w:rsidR="0039347B" w:rsidRPr="0039347B" w:rsidRDefault="0039347B" w:rsidP="005D0A96">
      <w:pPr>
        <w:spacing w:before="240" w:after="240" w:line="240" w:lineRule="auto"/>
        <w:ind w:firstLine="720"/>
        <w:rPr>
          <w:rFonts w:ascii="Times New Roman" w:hAnsi="Times New Roman" w:cs="Times New Roman"/>
          <w:sz w:val="24"/>
          <w:szCs w:val="24"/>
        </w:rPr>
      </w:pPr>
      <w:r w:rsidRPr="0039347B">
        <w:rPr>
          <w:rFonts w:ascii="Times New Roman" w:hAnsi="Times New Roman" w:cs="Times New Roman"/>
          <w:sz w:val="24"/>
          <w:szCs w:val="24"/>
        </w:rPr>
        <w:t xml:space="preserve">I begin by looking into </w:t>
      </w:r>
      <w:r w:rsidR="005D0A96">
        <w:rPr>
          <w:rFonts w:ascii="Times New Roman" w:hAnsi="Times New Roman" w:cs="Times New Roman"/>
          <w:sz w:val="24"/>
          <w:szCs w:val="24"/>
        </w:rPr>
        <w:t>the treatment of herbs and herbalists by pre-Hippocratic authors</w:t>
      </w:r>
      <w:r w:rsidR="000F4411">
        <w:rPr>
          <w:rFonts w:ascii="Times New Roman" w:hAnsi="Times New Roman" w:cs="Times New Roman"/>
          <w:sz w:val="24"/>
          <w:szCs w:val="24"/>
        </w:rPr>
        <w:t>,</w:t>
      </w:r>
      <w:r w:rsidRPr="0039347B">
        <w:rPr>
          <w:rFonts w:ascii="Times New Roman" w:hAnsi="Times New Roman" w:cs="Times New Roman"/>
          <w:sz w:val="24"/>
          <w:szCs w:val="24"/>
        </w:rPr>
        <w:t xml:space="preserve"> attempts at justifying the model made by </w:t>
      </w:r>
      <w:r w:rsidR="000A1006">
        <w:rPr>
          <w:rFonts w:ascii="Times New Roman" w:hAnsi="Times New Roman" w:cs="Times New Roman"/>
          <w:sz w:val="24"/>
          <w:szCs w:val="24"/>
        </w:rPr>
        <w:t xml:space="preserve">Hippocratic authors, </w:t>
      </w:r>
      <w:r w:rsidR="000F4411">
        <w:rPr>
          <w:rFonts w:ascii="Times New Roman" w:hAnsi="Times New Roman" w:cs="Times New Roman"/>
          <w:sz w:val="24"/>
          <w:szCs w:val="24"/>
        </w:rPr>
        <w:t>critiques of</w:t>
      </w:r>
      <w:r w:rsidR="005D0A96">
        <w:rPr>
          <w:rFonts w:ascii="Times New Roman" w:hAnsi="Times New Roman" w:cs="Times New Roman"/>
          <w:sz w:val="24"/>
          <w:szCs w:val="24"/>
        </w:rPr>
        <w:t xml:space="preserve"> those justifications made by theorists li</w:t>
      </w:r>
      <w:r w:rsidR="000F4411">
        <w:rPr>
          <w:rFonts w:ascii="Times New Roman" w:hAnsi="Times New Roman" w:cs="Times New Roman"/>
          <w:sz w:val="24"/>
          <w:szCs w:val="24"/>
        </w:rPr>
        <w:t xml:space="preserve">ke Aristotle and Galen, and </w:t>
      </w:r>
      <w:r w:rsidR="005D0A96">
        <w:rPr>
          <w:rFonts w:ascii="Times New Roman" w:hAnsi="Times New Roman" w:cs="Times New Roman"/>
          <w:sz w:val="24"/>
          <w:szCs w:val="24"/>
        </w:rPr>
        <w:t>inferences made by herbalists like Dioscorides, Pliny the Elder</w:t>
      </w:r>
      <w:r w:rsidR="0030305E">
        <w:rPr>
          <w:rFonts w:ascii="Times New Roman" w:hAnsi="Times New Roman" w:cs="Times New Roman"/>
          <w:sz w:val="24"/>
          <w:szCs w:val="24"/>
        </w:rPr>
        <w:t>, and Theophrastus.  With this</w:t>
      </w:r>
      <w:r w:rsidR="005D0A96">
        <w:rPr>
          <w:rFonts w:ascii="Times New Roman" w:hAnsi="Times New Roman" w:cs="Times New Roman"/>
          <w:sz w:val="24"/>
          <w:szCs w:val="24"/>
        </w:rPr>
        <w:t xml:space="preserve"> </w:t>
      </w:r>
      <w:r w:rsidR="0030305E">
        <w:rPr>
          <w:rFonts w:ascii="Times New Roman" w:hAnsi="Times New Roman" w:cs="Times New Roman"/>
          <w:sz w:val="24"/>
          <w:szCs w:val="24"/>
        </w:rPr>
        <w:t>ancient source-work, I show how sufficient evidence exist</w:t>
      </w:r>
      <w:r w:rsidR="005D0A96">
        <w:rPr>
          <w:rFonts w:ascii="Times New Roman" w:hAnsi="Times New Roman" w:cs="Times New Roman"/>
          <w:sz w:val="24"/>
          <w:szCs w:val="24"/>
        </w:rPr>
        <w:t xml:space="preserve">s to </w:t>
      </w:r>
      <w:r w:rsidR="0030305E">
        <w:rPr>
          <w:rFonts w:ascii="Times New Roman" w:hAnsi="Times New Roman" w:cs="Times New Roman"/>
          <w:sz w:val="24"/>
          <w:szCs w:val="24"/>
        </w:rPr>
        <w:t xml:space="preserve">seemingly </w:t>
      </w:r>
      <w:r w:rsidR="005D0A96">
        <w:rPr>
          <w:rFonts w:ascii="Times New Roman" w:hAnsi="Times New Roman" w:cs="Times New Roman"/>
          <w:sz w:val="24"/>
          <w:szCs w:val="24"/>
        </w:rPr>
        <w:t xml:space="preserve">point to the Hippocratic </w:t>
      </w:r>
      <w:r w:rsidR="0030305E">
        <w:rPr>
          <w:rFonts w:ascii="Times New Roman" w:hAnsi="Times New Roman" w:cs="Times New Roman"/>
          <w:sz w:val="24"/>
          <w:szCs w:val="24"/>
        </w:rPr>
        <w:t>medical model not having entirely separated itself from</w:t>
      </w:r>
      <w:r w:rsidRPr="0039347B">
        <w:rPr>
          <w:rFonts w:ascii="Times New Roman" w:hAnsi="Times New Roman" w:cs="Times New Roman"/>
          <w:sz w:val="24"/>
          <w:szCs w:val="24"/>
        </w:rPr>
        <w:t xml:space="preserve"> mag</w:t>
      </w:r>
      <w:r w:rsidR="005D0A96">
        <w:rPr>
          <w:rFonts w:ascii="Times New Roman" w:hAnsi="Times New Roman" w:cs="Times New Roman"/>
          <w:sz w:val="24"/>
          <w:szCs w:val="24"/>
        </w:rPr>
        <w:t>ical herbalism</w:t>
      </w:r>
      <w:r w:rsidRPr="0039347B">
        <w:rPr>
          <w:rFonts w:ascii="Times New Roman" w:hAnsi="Times New Roman" w:cs="Times New Roman"/>
          <w:sz w:val="24"/>
          <w:szCs w:val="24"/>
        </w:rPr>
        <w:t xml:space="preserve">.  Next, a case study of thirty-one herbs with uses in both magic and medicine is examined for </w:t>
      </w:r>
      <w:r w:rsidR="0030305E">
        <w:rPr>
          <w:rFonts w:ascii="Times New Roman" w:hAnsi="Times New Roman" w:cs="Times New Roman"/>
          <w:sz w:val="24"/>
          <w:szCs w:val="24"/>
        </w:rPr>
        <w:t xml:space="preserve">concrete </w:t>
      </w:r>
      <w:r w:rsidRPr="0039347B">
        <w:rPr>
          <w:rFonts w:ascii="Times New Roman" w:hAnsi="Times New Roman" w:cs="Times New Roman"/>
          <w:sz w:val="24"/>
          <w:szCs w:val="24"/>
        </w:rPr>
        <w:t xml:space="preserve">connections between the two areas, with attention most heavily paid to the ten poisonous of their number, since these yielded the clearest medico-magical correlations.  </w:t>
      </w:r>
    </w:p>
    <w:p w:rsidR="006641B2" w:rsidRPr="0039347B" w:rsidRDefault="0039347B" w:rsidP="00681724">
      <w:pPr>
        <w:spacing w:before="240" w:after="240" w:line="240" w:lineRule="auto"/>
        <w:ind w:firstLine="720"/>
      </w:pPr>
      <w:r w:rsidRPr="0039347B">
        <w:rPr>
          <w:rFonts w:ascii="Times New Roman" w:hAnsi="Times New Roman" w:cs="Times New Roman"/>
          <w:sz w:val="24"/>
          <w:szCs w:val="24"/>
        </w:rPr>
        <w:t xml:space="preserve">The end result, and what I propose as a better explanation of the Hippocratic model, is a system wherein the humoral attribution of herbs – and, therefore, the primary medical applications of pharmaceuticals in ancient medicine – is based on four factors: what parts of each herb are useful magically, what those uses are, what those parts look like physically, and what body system (skeletal, digestive, respiratory, or neural) was being targeted by the herb.  In this way, the physician lifted what he had learnt from the magician, whose kin he had been taught to decry as phonies, and </w:t>
      </w:r>
      <w:r w:rsidR="00F17FD8" w:rsidRPr="0039347B">
        <w:rPr>
          <w:rFonts w:ascii="Times New Roman" w:hAnsi="Times New Roman" w:cs="Times New Roman"/>
          <w:sz w:val="24"/>
          <w:szCs w:val="24"/>
        </w:rPr>
        <w:t>relabeled</w:t>
      </w:r>
      <w:r w:rsidRPr="0039347B">
        <w:rPr>
          <w:rFonts w:ascii="Times New Roman" w:hAnsi="Times New Roman" w:cs="Times New Roman"/>
          <w:sz w:val="24"/>
          <w:szCs w:val="24"/>
        </w:rPr>
        <w:t xml:space="preserve"> it “medicine,” inadvertently becoming something of a shaman himself in the process.</w:t>
      </w:r>
      <w:r w:rsidR="006641B2">
        <w:rPr>
          <w:rFonts w:ascii="Times New Roman" w:hAnsi="Times New Roman" w:cs="Times New Roman"/>
          <w:sz w:val="24"/>
          <w:szCs w:val="24"/>
        </w:rPr>
        <w:br w:type="page"/>
      </w:r>
    </w:p>
    <w:p w:rsidR="00385CDE" w:rsidRDefault="00385CDE" w:rsidP="00385CDE">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Chapter 1 – Introduction: Methodology, and the Pitfalls of Sources</w:t>
      </w:r>
    </w:p>
    <w:p w:rsidR="00385CDE" w:rsidRPr="00824A65"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“[W]ithin the literate tradition, the frontiers between medicine, magic, and religion remained far from clear-cut. There was room, in mainstream medical theory, for marvelous properties of stones and plants for which the concept of elementary qualities could not account. […] As such, medical naturalism could express itself not as a tendency to dismiss magical or religious healing practices, but rather as an effort to </w:t>
      </w:r>
      <w:r>
        <w:rPr>
          <w:rFonts w:ascii="Times New Roman" w:hAnsi="Times New Roman" w:cs="Times New Roman"/>
          <w:i/>
          <w:sz w:val="24"/>
          <w:szCs w:val="24"/>
        </w:rPr>
        <w:t xml:space="preserve">integrate </w:t>
      </w:r>
      <w:r>
        <w:rPr>
          <w:rFonts w:ascii="Times New Roman" w:hAnsi="Times New Roman" w:cs="Times New Roman"/>
          <w:sz w:val="24"/>
          <w:szCs w:val="24"/>
        </w:rPr>
        <w:t>these practices into learned medicine</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The context of this quote is the Middle Ages, but it nonetheless applies perfectly to the stretch from the 5</w:t>
      </w:r>
      <w:r w:rsidRPr="00824A65">
        <w:rPr>
          <w:rFonts w:ascii="Times New Roman" w:hAnsi="Times New Roman" w:cs="Times New Roman"/>
          <w:sz w:val="24"/>
          <w:szCs w:val="24"/>
          <w:vertAlign w:val="superscript"/>
        </w:rPr>
        <w:t>th</w:t>
      </w:r>
      <w:r>
        <w:rPr>
          <w:rFonts w:ascii="Times New Roman" w:hAnsi="Times New Roman" w:cs="Times New Roman"/>
          <w:sz w:val="24"/>
          <w:szCs w:val="24"/>
        </w:rPr>
        <w:t xml:space="preserve"> c. BCE to the 2</w:t>
      </w:r>
      <w:r w:rsidRPr="00824A65">
        <w:rPr>
          <w:rFonts w:ascii="Times New Roman" w:hAnsi="Times New Roman" w:cs="Times New Roman"/>
          <w:sz w:val="24"/>
          <w:szCs w:val="24"/>
          <w:vertAlign w:val="superscript"/>
        </w:rPr>
        <w:t>nd</w:t>
      </w:r>
      <w:r>
        <w:rPr>
          <w:rFonts w:ascii="Times New Roman" w:hAnsi="Times New Roman" w:cs="Times New Roman"/>
          <w:sz w:val="24"/>
          <w:szCs w:val="24"/>
        </w:rPr>
        <w:t xml:space="preserve"> c. CE when Hippocratic theory dominated medicine: the presence of magic in the medical arts could not be ignored.  Despite the best efforts of doctors to drown it out with treatises, the public still held faith in local Asclepiad cults</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troubadour-like </w:t>
      </w:r>
      <w:r>
        <w:rPr>
          <w:rFonts w:ascii="Times New Roman" w:hAnsi="Times New Roman" w:cs="Times New Roman"/>
          <w:sz w:val="24"/>
          <w:szCs w:val="24"/>
          <w:lang w:val="el-GR"/>
        </w:rPr>
        <w:t>μάντεις</w:t>
      </w:r>
      <w:r>
        <w:rPr>
          <w:rStyle w:val="FootnoteReference"/>
          <w:rFonts w:ascii="Times New Roman" w:hAnsi="Times New Roman" w:cs="Times New Roman"/>
          <w:sz w:val="24"/>
          <w:szCs w:val="24"/>
          <w:lang w:val="el-GR"/>
        </w:rPr>
        <w:footnoteReference w:id="3"/>
      </w:r>
      <w:r w:rsidR="00133016">
        <w:rPr>
          <w:rFonts w:ascii="Times New Roman" w:hAnsi="Times New Roman" w:cs="Times New Roman"/>
          <w:sz w:val="24"/>
          <w:szCs w:val="24"/>
        </w:rPr>
        <w:t>,</w:t>
      </w:r>
      <w:r>
        <w:rPr>
          <w:rFonts w:ascii="Times New Roman" w:hAnsi="Times New Roman" w:cs="Times New Roman"/>
          <w:sz w:val="24"/>
          <w:szCs w:val="24"/>
        </w:rPr>
        <w:t xml:space="preserve"> village witches</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and the “miracle healers</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said to have given Hippocrates his start.  This being the case, that most famous Hippocratic invention – the humoral model, whereby herbs and the bodily sera (blood, phlegm, and yellow and black bile) they regulated were assigned properties (hot, cool, wet, and dry) – would likely also have some amount of magical theory behind it.  The aim of this paper is to show that it did, inasmuch as the medical and magical uses for herbs known to be prescribed by Hippocratic doctors were, to a certain extent, directly correlated.</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From the 8</w:t>
      </w:r>
      <w:r w:rsidRPr="00B93AC5">
        <w:rPr>
          <w:rFonts w:ascii="Times New Roman" w:hAnsi="Times New Roman" w:cs="Times New Roman"/>
          <w:sz w:val="24"/>
          <w:szCs w:val="24"/>
          <w:vertAlign w:val="superscript"/>
        </w:rPr>
        <w:t>th</w:t>
      </w:r>
      <w:r>
        <w:rPr>
          <w:rFonts w:ascii="Times New Roman" w:hAnsi="Times New Roman" w:cs="Times New Roman"/>
          <w:sz w:val="24"/>
          <w:szCs w:val="24"/>
        </w:rPr>
        <w:t xml:space="preserve"> c. BCE through the earlier part of the 5</w:t>
      </w:r>
      <w:r w:rsidRPr="00B93AC5">
        <w:rPr>
          <w:rFonts w:ascii="Times New Roman" w:hAnsi="Times New Roman" w:cs="Times New Roman"/>
          <w:sz w:val="24"/>
          <w:szCs w:val="24"/>
          <w:vertAlign w:val="superscript"/>
        </w:rPr>
        <w:t>th</w:t>
      </w:r>
      <w:r>
        <w:rPr>
          <w:rFonts w:ascii="Times New Roman" w:hAnsi="Times New Roman" w:cs="Times New Roman"/>
          <w:sz w:val="24"/>
          <w:szCs w:val="24"/>
        </w:rPr>
        <w:t xml:space="preserve"> c. BCE, plenty of evidence exists to support the assertion that medicine and divinity went hand-in-hand, from battlefield medics </w:t>
      </w:r>
      <w:r>
        <w:rPr>
          <w:rFonts w:ascii="Times New Roman" w:hAnsi="Times New Roman" w:cs="Times New Roman"/>
          <w:sz w:val="24"/>
          <w:szCs w:val="24"/>
        </w:rPr>
        <w:lastRenderedPageBreak/>
        <w:t>being likened to gods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to the “gentle-handed province of medicines” itself originating from the mythological teacher of heroes</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The pre-Hippocratic </w:t>
      </w:r>
      <w:r>
        <w:rPr>
          <w:rFonts w:ascii="Times New Roman" w:hAnsi="Times New Roman" w:cs="Times New Roman"/>
          <w:sz w:val="24"/>
          <w:szCs w:val="24"/>
          <w:lang w:val="el-GR"/>
        </w:rPr>
        <w:t>ἰητήρ</w:t>
      </w:r>
      <w:r w:rsidRPr="00E74859">
        <w:rPr>
          <w:rFonts w:ascii="Times New Roman" w:hAnsi="Times New Roman" w:cs="Times New Roman"/>
          <w:sz w:val="24"/>
          <w:szCs w:val="24"/>
        </w:rPr>
        <w:t xml:space="preserve"> / </w:t>
      </w:r>
      <w:r>
        <w:rPr>
          <w:rFonts w:ascii="Times New Roman" w:hAnsi="Times New Roman" w:cs="Times New Roman"/>
          <w:sz w:val="24"/>
          <w:szCs w:val="24"/>
          <w:lang w:val="el-GR"/>
        </w:rPr>
        <w:t>ἰατρός</w:t>
      </w:r>
      <w:r>
        <w:rPr>
          <w:rFonts w:ascii="Times New Roman" w:hAnsi="Times New Roman" w:cs="Times New Roman"/>
          <w:sz w:val="24"/>
          <w:szCs w:val="24"/>
        </w:rPr>
        <w:t xml:space="preserve"> </w:t>
      </w:r>
      <w:proofErr w:type="gramStart"/>
      <w:r>
        <w:rPr>
          <w:rFonts w:ascii="Times New Roman" w:hAnsi="Times New Roman" w:cs="Times New Roman"/>
          <w:sz w:val="24"/>
          <w:szCs w:val="24"/>
        </w:rPr>
        <w:t>reflects</w:t>
      </w:r>
      <w:proofErr w:type="gramEnd"/>
      <w:r>
        <w:rPr>
          <w:rFonts w:ascii="Times New Roman" w:hAnsi="Times New Roman" w:cs="Times New Roman"/>
          <w:sz w:val="24"/>
          <w:szCs w:val="24"/>
        </w:rPr>
        <w:t xml:space="preserve"> a certain idolatry of physicians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the word is also used figuratively for hope</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song</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and other spirit-lifting entities.  Likewise, the word for “herb,” </w:t>
      </w:r>
      <w:r>
        <w:rPr>
          <w:rFonts w:ascii="Times New Roman" w:hAnsi="Times New Roman" w:cs="Times New Roman"/>
          <w:sz w:val="24"/>
          <w:szCs w:val="24"/>
          <w:lang w:val="el-GR"/>
        </w:rPr>
        <w:t>φάρμακον</w:t>
      </w:r>
      <w:r w:rsidRPr="009404CA">
        <w:rPr>
          <w:rFonts w:ascii="Times New Roman" w:hAnsi="Times New Roman" w:cs="Times New Roman"/>
          <w:sz w:val="24"/>
          <w:szCs w:val="24"/>
        </w:rPr>
        <w:t xml:space="preserve">, </w:t>
      </w:r>
      <w:r>
        <w:rPr>
          <w:rFonts w:ascii="Times New Roman" w:hAnsi="Times New Roman" w:cs="Times New Roman"/>
          <w:sz w:val="24"/>
          <w:szCs w:val="24"/>
        </w:rPr>
        <w:t>could be any metaphorical “remedy</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though as a physical object, its meaning ranged from medically beneficial and “soothing herbs</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to “deadly” or “evil drugs</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and “charms</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of varying connotations.  The determining factor for the apparent “morality” of a </w:t>
      </w:r>
      <w:r>
        <w:rPr>
          <w:rFonts w:ascii="Times New Roman" w:hAnsi="Times New Roman" w:cs="Times New Roman"/>
          <w:sz w:val="24"/>
          <w:szCs w:val="24"/>
          <w:lang w:val="el-GR"/>
        </w:rPr>
        <w:t>φάρμακον</w:t>
      </w:r>
      <w:r>
        <w:rPr>
          <w:rFonts w:ascii="Times New Roman" w:hAnsi="Times New Roman" w:cs="Times New Roman"/>
          <w:sz w:val="24"/>
          <w:szCs w:val="24"/>
        </w:rPr>
        <w:t xml:space="preserve"> was the intent behind its use</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Aeschylus</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seems to suggest that since the gods supplied cures for all ailments in the form of plants, herbs are innately “good,” while Homer illustrates a difference between the “good drugs” from Egypt</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and the poisons from Ephyre</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indicating that herbs could be whatever their user wanted them to be (a point bolstered by Ulysses’ “potent herb” neutralizing Circe’s charm, since his intent is good and hers is wicked</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Sophocles, in the mid-5</w:t>
      </w:r>
      <w:r w:rsidRPr="00474B9D">
        <w:rPr>
          <w:rFonts w:ascii="Times New Roman" w:hAnsi="Times New Roman" w:cs="Times New Roman"/>
          <w:sz w:val="24"/>
          <w:szCs w:val="24"/>
          <w:vertAlign w:val="superscript"/>
        </w:rPr>
        <w:t>th</w:t>
      </w:r>
      <w:r>
        <w:rPr>
          <w:rFonts w:ascii="Times New Roman" w:hAnsi="Times New Roman" w:cs="Times New Roman"/>
          <w:sz w:val="24"/>
          <w:szCs w:val="24"/>
        </w:rPr>
        <w:t xml:space="preserve"> c. BCE, had Deianira rationalize her use of “charms” and “spells” as being done with good intent, despite the harm they did to her husband</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in an Athenian court, however, she would have been acquitted, since it was the intent that determined the guilt of a magician / physician who had committed homicide with herbs</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Indeed, the </w:t>
      </w:r>
      <w:r>
        <w:rPr>
          <w:rFonts w:ascii="Times New Roman" w:hAnsi="Times New Roman" w:cs="Times New Roman"/>
          <w:sz w:val="24"/>
          <w:szCs w:val="24"/>
          <w:lang w:val="el-GR"/>
        </w:rPr>
        <w:t>μάγος</w:t>
      </w:r>
      <w:r w:rsidRPr="0007635F">
        <w:rPr>
          <w:rFonts w:ascii="Times New Roman" w:hAnsi="Times New Roman" w:cs="Times New Roman"/>
          <w:sz w:val="24"/>
          <w:szCs w:val="24"/>
        </w:rPr>
        <w:t xml:space="preserve"> </w:t>
      </w:r>
      <w:r>
        <w:rPr>
          <w:rFonts w:ascii="Times New Roman" w:hAnsi="Times New Roman" w:cs="Times New Roman"/>
          <w:i/>
          <w:sz w:val="24"/>
          <w:szCs w:val="24"/>
        </w:rPr>
        <w:lastRenderedPageBreak/>
        <w:t xml:space="preserve">was </w:t>
      </w:r>
      <w:r>
        <w:rPr>
          <w:rFonts w:ascii="Times New Roman" w:hAnsi="Times New Roman" w:cs="Times New Roman"/>
          <w:sz w:val="24"/>
          <w:szCs w:val="24"/>
        </w:rPr>
        <w:t xml:space="preserve">the </w:t>
      </w:r>
      <w:r>
        <w:rPr>
          <w:rFonts w:ascii="Times New Roman" w:hAnsi="Times New Roman" w:cs="Times New Roman"/>
          <w:sz w:val="24"/>
          <w:szCs w:val="24"/>
          <w:lang w:val="el-GR"/>
        </w:rPr>
        <w:t>ἰατρός</w:t>
      </w:r>
      <w:r>
        <w:rPr>
          <w:rFonts w:ascii="Times New Roman" w:hAnsi="Times New Roman" w:cs="Times New Roman"/>
          <w:sz w:val="24"/>
          <w:szCs w:val="24"/>
        </w:rPr>
        <w:t>, employing the same tools (herbs, amulets, incantations, and surgery knives) and knowing how best to use each</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w:t>
      </w:r>
    </w:p>
    <w:p w:rsidR="00385CDE" w:rsidRPr="00B52F42"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mid-5</w:t>
      </w:r>
      <w:r w:rsidRPr="00BD68C3">
        <w:rPr>
          <w:rFonts w:ascii="Times New Roman" w:hAnsi="Times New Roman" w:cs="Times New Roman"/>
          <w:sz w:val="24"/>
          <w:szCs w:val="24"/>
          <w:vertAlign w:val="superscript"/>
        </w:rPr>
        <w:t>th</w:t>
      </w:r>
      <w:r>
        <w:rPr>
          <w:rFonts w:ascii="Times New Roman" w:hAnsi="Times New Roman" w:cs="Times New Roman"/>
          <w:sz w:val="24"/>
          <w:szCs w:val="24"/>
        </w:rPr>
        <w:t xml:space="preserve"> c. BCE marks a sudden shift in Greek literature.  On the one hand, Herodotus establishes the patriotic sentiment that despite Egypt having “the best-skilled physicians in </w:t>
      </w:r>
      <w:proofErr w:type="gramStart"/>
      <w:r>
        <w:rPr>
          <w:rFonts w:ascii="Times New Roman" w:hAnsi="Times New Roman" w:cs="Times New Roman"/>
          <w:sz w:val="24"/>
          <w:szCs w:val="24"/>
        </w:rPr>
        <w:t>all the</w:t>
      </w:r>
      <w:proofErr w:type="gramEnd"/>
      <w:r>
        <w:rPr>
          <w:rFonts w:ascii="Times New Roman" w:hAnsi="Times New Roman" w:cs="Times New Roman"/>
          <w:sz w:val="24"/>
          <w:szCs w:val="24"/>
        </w:rPr>
        <w:t xml:space="preserve"> world” and a fuller bounty of medicinal herbs</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Greeks make for better doctors with their gentler “remedies</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a sentiment which ultimately leads to the near-disappearance of Egypt in medical texts by Plato’s time</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According to Jouanna</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this refusal of admission of Hippocratic doctors’ influence from the Egyptians was owed to the rise of “Hellenocentrism”; that may be, but more likely, it was merely the beginning of a long effort on the Hippocratics’ part to “disentangle” medicine from magic</w:t>
      </w:r>
      <w:r>
        <w:rPr>
          <w:rStyle w:val="FootnoteReference"/>
          <w:rFonts w:ascii="Times New Roman" w:hAnsi="Times New Roman" w:cs="Times New Roman"/>
          <w:sz w:val="24"/>
          <w:szCs w:val="24"/>
        </w:rPr>
        <w:footnoteReference w:id="27"/>
      </w:r>
      <w:r w:rsidR="00E64322">
        <w:rPr>
          <w:rFonts w:ascii="Times New Roman" w:hAnsi="Times New Roman" w:cs="Times New Roman"/>
          <w:sz w:val="24"/>
          <w:szCs w:val="24"/>
        </w:rPr>
        <w:t xml:space="preserve"> and</w:t>
      </w:r>
      <w:r>
        <w:rPr>
          <w:rFonts w:ascii="Times New Roman" w:hAnsi="Times New Roman" w:cs="Times New Roman"/>
          <w:sz w:val="24"/>
          <w:szCs w:val="24"/>
        </w:rPr>
        <w:t xml:space="preserve"> condemn magic as a dangerous practice of foreign and scientifically unjustifiable origin as a means of self-promotion</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The double-definition of </w:t>
      </w:r>
      <w:r>
        <w:rPr>
          <w:rFonts w:ascii="Times New Roman" w:hAnsi="Times New Roman" w:cs="Times New Roman"/>
          <w:sz w:val="24"/>
          <w:szCs w:val="24"/>
          <w:lang w:val="el-GR"/>
        </w:rPr>
        <w:t>φάρμακον</w:t>
      </w:r>
      <w:r w:rsidRPr="005F4065">
        <w:rPr>
          <w:rFonts w:ascii="Times New Roman" w:hAnsi="Times New Roman" w:cs="Times New Roman"/>
          <w:sz w:val="24"/>
          <w:szCs w:val="24"/>
        </w:rPr>
        <w:t xml:space="preserve"> </w:t>
      </w:r>
      <w:r>
        <w:rPr>
          <w:rFonts w:ascii="Times New Roman" w:hAnsi="Times New Roman" w:cs="Times New Roman"/>
          <w:sz w:val="24"/>
          <w:szCs w:val="24"/>
        </w:rPr>
        <w:t>begins to tend toward strictly “poison” around the time of Euripides</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and also toward a woman’s tool</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leading to the spawning of the word </w:t>
      </w:r>
      <w:r>
        <w:rPr>
          <w:rFonts w:ascii="Times New Roman" w:hAnsi="Times New Roman" w:cs="Times New Roman"/>
          <w:sz w:val="24"/>
          <w:szCs w:val="24"/>
          <w:lang w:val="el-GR"/>
        </w:rPr>
        <w:t>φαρμακίς</w:t>
      </w:r>
      <w:r>
        <w:rPr>
          <w:rStyle w:val="FootnoteReference"/>
          <w:rFonts w:ascii="Times New Roman" w:hAnsi="Times New Roman" w:cs="Times New Roman"/>
          <w:sz w:val="24"/>
          <w:szCs w:val="24"/>
        </w:rPr>
        <w:footnoteReference w:id="31"/>
      </w:r>
      <w:r>
        <w:rPr>
          <w:rFonts w:ascii="Times New Roman" w:hAnsi="Times New Roman" w:cs="Times New Roman"/>
          <w:sz w:val="24"/>
          <w:szCs w:val="24"/>
        </w:rPr>
        <w:t>, a female diviner for hire</w:t>
      </w:r>
      <w:r>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who, because of the reputation of Homeric witches, came to be socially abhorred and dubbed “evil</w:t>
      </w:r>
      <w:r>
        <w:rPr>
          <w:rStyle w:val="FootnoteReference"/>
          <w:rFonts w:ascii="Times New Roman" w:hAnsi="Times New Roman" w:cs="Times New Roman"/>
          <w:sz w:val="24"/>
          <w:szCs w:val="24"/>
        </w:rPr>
        <w:footnoteReference w:id="33"/>
      </w:r>
      <w:r w:rsidR="009F32F3">
        <w:rPr>
          <w:rFonts w:ascii="Times New Roman" w:hAnsi="Times New Roman" w:cs="Times New Roman"/>
          <w:sz w:val="24"/>
          <w:szCs w:val="24"/>
        </w:rPr>
        <w:t>.</w:t>
      </w:r>
      <w:r>
        <w:rPr>
          <w:rFonts w:ascii="Times New Roman" w:hAnsi="Times New Roman" w:cs="Times New Roman"/>
          <w:sz w:val="24"/>
          <w:szCs w:val="24"/>
        </w:rPr>
        <w:t>”</w:t>
      </w:r>
      <w:r w:rsidR="009F32F3">
        <w:rPr>
          <w:rFonts w:ascii="Times New Roman" w:hAnsi="Times New Roman" w:cs="Times New Roman"/>
          <w:sz w:val="24"/>
          <w:szCs w:val="24"/>
        </w:rPr>
        <w:t xml:space="preserve"> </w:t>
      </w:r>
      <w:r>
        <w:rPr>
          <w:rFonts w:ascii="Times New Roman" w:hAnsi="Times New Roman" w:cs="Times New Roman"/>
          <w:sz w:val="24"/>
          <w:szCs w:val="24"/>
        </w:rPr>
        <w:t xml:space="preserve"> These witches nonetheless preserved the use of “herbs,” “roots,” and “ointments” purportedly used by Homer’s divine healers</w:t>
      </w:r>
      <w:r>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and </w:t>
      </w:r>
      <w:r w:rsidR="009F32F3">
        <w:rPr>
          <w:rFonts w:ascii="Times New Roman" w:hAnsi="Times New Roman" w:cs="Times New Roman"/>
          <w:sz w:val="24"/>
          <w:szCs w:val="24"/>
        </w:rPr>
        <w:t>thu</w:t>
      </w:r>
      <w:r>
        <w:rPr>
          <w:rFonts w:ascii="Times New Roman" w:hAnsi="Times New Roman" w:cs="Times New Roman"/>
          <w:sz w:val="24"/>
          <w:szCs w:val="24"/>
        </w:rPr>
        <w:t xml:space="preserve">s suggest that the Hippocratics lived in an era wherein medicine and </w:t>
      </w:r>
      <w:r>
        <w:rPr>
          <w:rFonts w:ascii="Times New Roman" w:hAnsi="Times New Roman" w:cs="Times New Roman"/>
          <w:sz w:val="24"/>
          <w:szCs w:val="24"/>
        </w:rPr>
        <w:lastRenderedPageBreak/>
        <w:t>divinity were essentially one</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Consider those prophets (</w:t>
      </w:r>
      <w:r>
        <w:rPr>
          <w:rFonts w:ascii="Times New Roman" w:hAnsi="Times New Roman" w:cs="Times New Roman"/>
          <w:sz w:val="24"/>
          <w:szCs w:val="24"/>
          <w:lang w:val="el-GR"/>
        </w:rPr>
        <w:t>μάντεις</w:t>
      </w:r>
      <w:r>
        <w:rPr>
          <w:rFonts w:ascii="Times New Roman" w:hAnsi="Times New Roman" w:cs="Times New Roman"/>
          <w:sz w:val="24"/>
          <w:szCs w:val="24"/>
        </w:rPr>
        <w:t>) who became door-to-door salesmen of healing songs (</w:t>
      </w:r>
      <w:r>
        <w:rPr>
          <w:rFonts w:ascii="Times New Roman" w:hAnsi="Times New Roman" w:cs="Times New Roman"/>
          <w:sz w:val="24"/>
          <w:szCs w:val="24"/>
          <w:lang w:val="el-GR"/>
        </w:rPr>
        <w:t>ἐποίδαι</w:t>
      </w:r>
      <w:r>
        <w:rPr>
          <w:rFonts w:ascii="Times New Roman" w:hAnsi="Times New Roman" w:cs="Times New Roman"/>
          <w:sz w:val="24"/>
          <w:szCs w:val="24"/>
        </w:rPr>
        <w:t>) for wealthy clients</w:t>
      </w:r>
      <w:r>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while the Hippocratics dismissingly referred to them as </w:t>
      </w:r>
      <w:r>
        <w:rPr>
          <w:rFonts w:ascii="Times New Roman" w:hAnsi="Times New Roman" w:cs="Times New Roman"/>
          <w:sz w:val="24"/>
          <w:szCs w:val="24"/>
          <w:lang w:val="el-GR"/>
        </w:rPr>
        <w:t>φαρμακοί</w:t>
      </w:r>
      <w:r>
        <w:rPr>
          <w:rStyle w:val="FootnoteReference"/>
          <w:rFonts w:ascii="Times New Roman" w:hAnsi="Times New Roman" w:cs="Times New Roman"/>
          <w:sz w:val="24"/>
          <w:szCs w:val="24"/>
          <w:lang w:val="el-GR"/>
        </w:rPr>
        <w:footnoteReference w:id="37"/>
      </w:r>
      <w:r>
        <w:rPr>
          <w:rFonts w:ascii="Times New Roman" w:hAnsi="Times New Roman" w:cs="Times New Roman"/>
          <w:sz w:val="24"/>
          <w:szCs w:val="24"/>
        </w:rPr>
        <w:t>, the fact remains that Homer</w:t>
      </w:r>
      <w:r>
        <w:rPr>
          <w:rStyle w:val="FootnoteReference"/>
          <w:rFonts w:ascii="Times New Roman" w:hAnsi="Times New Roman" w:cs="Times New Roman"/>
          <w:sz w:val="24"/>
          <w:szCs w:val="24"/>
        </w:rPr>
        <w:footnoteReference w:id="38"/>
      </w:r>
      <w:r>
        <w:rPr>
          <w:rFonts w:ascii="Times New Roman" w:hAnsi="Times New Roman" w:cs="Times New Roman"/>
          <w:sz w:val="24"/>
          <w:szCs w:val="24"/>
        </w:rPr>
        <w:t>, Pindar</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and others knew the potential efficacy of incantations, and that even Galen, who earned this term from his peers</w:t>
      </w:r>
      <w:r>
        <w:rPr>
          <w:rStyle w:val="FootnoteReference"/>
          <w:rFonts w:ascii="Times New Roman" w:hAnsi="Times New Roman" w:cs="Times New Roman"/>
          <w:sz w:val="24"/>
          <w:szCs w:val="24"/>
        </w:rPr>
        <w:footnoteReference w:id="40"/>
      </w:r>
      <w:r>
        <w:rPr>
          <w:rFonts w:ascii="Times New Roman" w:hAnsi="Times New Roman" w:cs="Times New Roman"/>
          <w:sz w:val="24"/>
          <w:szCs w:val="24"/>
        </w:rPr>
        <w:t xml:space="preserve">, believed that </w:t>
      </w:r>
      <w:r>
        <w:rPr>
          <w:rFonts w:ascii="Times New Roman" w:hAnsi="Times New Roman" w:cs="Times New Roman"/>
          <w:sz w:val="24"/>
          <w:szCs w:val="24"/>
          <w:lang w:val="el-GR"/>
        </w:rPr>
        <w:t>μαντική</w:t>
      </w:r>
      <w:r w:rsidRPr="001102C6">
        <w:rPr>
          <w:rFonts w:ascii="Times New Roman" w:hAnsi="Times New Roman" w:cs="Times New Roman"/>
          <w:sz w:val="24"/>
          <w:szCs w:val="24"/>
        </w:rPr>
        <w:t xml:space="preserve"> </w:t>
      </w:r>
      <w:r>
        <w:rPr>
          <w:rFonts w:ascii="Times New Roman" w:hAnsi="Times New Roman" w:cs="Times New Roman"/>
          <w:sz w:val="24"/>
          <w:szCs w:val="24"/>
        </w:rPr>
        <w:t>was a credible</w:t>
      </w:r>
      <w:r w:rsidRPr="001102C6">
        <w:rPr>
          <w:rFonts w:ascii="Times New Roman" w:hAnsi="Times New Roman" w:cs="Times New Roman"/>
          <w:sz w:val="24"/>
          <w:szCs w:val="24"/>
        </w:rPr>
        <w:t xml:space="preserve"> </w:t>
      </w:r>
      <w:r>
        <w:rPr>
          <w:rFonts w:ascii="Times New Roman" w:hAnsi="Times New Roman" w:cs="Times New Roman"/>
          <w:sz w:val="24"/>
          <w:szCs w:val="24"/>
          <w:lang w:val="el-GR"/>
        </w:rPr>
        <w:t>τεχνή</w:t>
      </w:r>
      <w:r>
        <w:rPr>
          <w:rStyle w:val="FootnoteReference"/>
          <w:rFonts w:ascii="Times New Roman" w:hAnsi="Times New Roman" w:cs="Times New Roman"/>
          <w:sz w:val="24"/>
          <w:szCs w:val="24"/>
          <w:lang w:val="el-GR"/>
        </w:rPr>
        <w:footnoteReference w:id="41"/>
      </w:r>
      <w:r w:rsidRPr="001102C6">
        <w:rPr>
          <w:rFonts w:ascii="Times New Roman" w:hAnsi="Times New Roman" w:cs="Times New Roman"/>
          <w:sz w:val="24"/>
          <w:szCs w:val="24"/>
        </w:rPr>
        <w:t xml:space="preserve">.  </w:t>
      </w:r>
      <w:r>
        <w:rPr>
          <w:rFonts w:ascii="Times New Roman" w:hAnsi="Times New Roman" w:cs="Times New Roman"/>
          <w:sz w:val="24"/>
          <w:szCs w:val="24"/>
        </w:rPr>
        <w:t>More to the point, Galen believed in a “divine origin” for the medical “craft</w:t>
      </w:r>
      <w:r>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the appearance of deity invocations in the Hippocratic </w:t>
      </w:r>
      <w:r w:rsidRPr="003527BB">
        <w:rPr>
          <w:rFonts w:ascii="Times New Roman" w:hAnsi="Times New Roman" w:cs="Times New Roman"/>
          <w:i/>
          <w:sz w:val="24"/>
          <w:szCs w:val="24"/>
        </w:rPr>
        <w:t>Oath</w:t>
      </w:r>
      <w:r>
        <w:rPr>
          <w:rFonts w:ascii="Times New Roman" w:hAnsi="Times New Roman" w:cs="Times New Roman"/>
          <w:i/>
          <w:sz w:val="24"/>
          <w:szCs w:val="24"/>
        </w:rPr>
        <w:t xml:space="preserve"> </w:t>
      </w:r>
      <w:r>
        <w:rPr>
          <w:rFonts w:ascii="Times New Roman" w:hAnsi="Times New Roman" w:cs="Times New Roman"/>
          <w:sz w:val="24"/>
          <w:szCs w:val="24"/>
        </w:rPr>
        <w:t>validates that belief</w:t>
      </w:r>
      <w:r>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While there is some dispute between modern scholars as to the implications of the </w:t>
      </w:r>
      <w:r>
        <w:rPr>
          <w:rFonts w:ascii="Times New Roman" w:hAnsi="Times New Roman" w:cs="Times New Roman"/>
          <w:i/>
          <w:sz w:val="24"/>
          <w:szCs w:val="24"/>
        </w:rPr>
        <w:t xml:space="preserve">Oath’s </w:t>
      </w:r>
      <w:r>
        <w:rPr>
          <w:rFonts w:ascii="Times New Roman" w:hAnsi="Times New Roman" w:cs="Times New Roman"/>
          <w:sz w:val="24"/>
          <w:szCs w:val="24"/>
        </w:rPr>
        <w:t>“</w:t>
      </w:r>
      <w:r>
        <w:rPr>
          <w:rFonts w:ascii="Times New Roman" w:hAnsi="Times New Roman" w:cs="Times New Roman"/>
          <w:sz w:val="24"/>
          <w:szCs w:val="24"/>
          <w:lang w:val="el-GR"/>
        </w:rPr>
        <w:t>φάρμακον</w:t>
      </w:r>
      <w:r w:rsidRPr="009B7C03">
        <w:rPr>
          <w:rFonts w:ascii="Times New Roman" w:hAnsi="Times New Roman" w:cs="Times New Roman"/>
          <w:sz w:val="24"/>
          <w:szCs w:val="24"/>
        </w:rPr>
        <w:t xml:space="preserve"> ... </w:t>
      </w:r>
      <w:r>
        <w:rPr>
          <w:rFonts w:ascii="Times New Roman" w:hAnsi="Times New Roman" w:cs="Times New Roman"/>
          <w:sz w:val="24"/>
          <w:szCs w:val="24"/>
          <w:lang w:val="el-GR"/>
        </w:rPr>
        <w:t>θανάσιμον</w:t>
      </w:r>
      <w:r>
        <w:rPr>
          <w:rStyle w:val="FootnoteReference"/>
          <w:rFonts w:ascii="Times New Roman" w:hAnsi="Times New Roman" w:cs="Times New Roman"/>
          <w:sz w:val="24"/>
          <w:szCs w:val="24"/>
          <w:lang w:val="el-GR"/>
        </w:rPr>
        <w:footnoteReference w:id="44"/>
      </w:r>
      <w:r>
        <w:rPr>
          <w:rFonts w:ascii="Times New Roman" w:hAnsi="Times New Roman" w:cs="Times New Roman"/>
          <w:sz w:val="24"/>
          <w:szCs w:val="24"/>
        </w:rPr>
        <w:t>,” the need for that modifier “</w:t>
      </w:r>
      <w:r>
        <w:rPr>
          <w:rFonts w:ascii="Times New Roman" w:hAnsi="Times New Roman" w:cs="Times New Roman"/>
          <w:sz w:val="24"/>
          <w:szCs w:val="24"/>
          <w:lang w:val="el-GR"/>
        </w:rPr>
        <w:t>θανάσιμον</w:t>
      </w:r>
      <w:r>
        <w:rPr>
          <w:rFonts w:ascii="Times New Roman" w:hAnsi="Times New Roman" w:cs="Times New Roman"/>
          <w:sz w:val="24"/>
          <w:szCs w:val="24"/>
        </w:rPr>
        <w:t>” to give “</w:t>
      </w:r>
      <w:r>
        <w:rPr>
          <w:rFonts w:ascii="Times New Roman" w:hAnsi="Times New Roman" w:cs="Times New Roman"/>
          <w:sz w:val="24"/>
          <w:szCs w:val="24"/>
          <w:lang w:val="el-GR"/>
        </w:rPr>
        <w:t>φάρμακον</w:t>
      </w:r>
      <w:r>
        <w:rPr>
          <w:rFonts w:ascii="Times New Roman" w:hAnsi="Times New Roman" w:cs="Times New Roman"/>
          <w:sz w:val="24"/>
          <w:szCs w:val="24"/>
        </w:rPr>
        <w:t xml:space="preserve">” a lethal quality when contemporaneous authors were already tending to use the word as “poison” suggests that the Hippocratics still recognized the earlier common meaning of </w:t>
      </w:r>
      <w:r>
        <w:rPr>
          <w:rFonts w:ascii="Times New Roman" w:hAnsi="Times New Roman" w:cs="Times New Roman"/>
          <w:sz w:val="24"/>
          <w:szCs w:val="24"/>
          <w:lang w:val="el-GR"/>
        </w:rPr>
        <w:t>φάρμακον</w:t>
      </w:r>
      <w:r w:rsidRPr="00B52F42">
        <w:rPr>
          <w:rFonts w:ascii="Times New Roman" w:hAnsi="Times New Roman" w:cs="Times New Roman"/>
          <w:sz w:val="24"/>
          <w:szCs w:val="24"/>
        </w:rPr>
        <w:t xml:space="preserve"> </w:t>
      </w:r>
      <w:r>
        <w:rPr>
          <w:rFonts w:ascii="Times New Roman" w:hAnsi="Times New Roman" w:cs="Times New Roman"/>
          <w:sz w:val="24"/>
          <w:szCs w:val="24"/>
        </w:rPr>
        <w:t xml:space="preserve">as a “remedy” – and that they should have recognized it as such is indicative of magic healing </w:t>
      </w:r>
      <w:r>
        <w:rPr>
          <w:rFonts w:ascii="Times New Roman" w:hAnsi="Times New Roman" w:cs="Times New Roman"/>
          <w:i/>
          <w:sz w:val="24"/>
          <w:szCs w:val="24"/>
        </w:rPr>
        <w:t xml:space="preserve">not, </w:t>
      </w:r>
      <w:r>
        <w:rPr>
          <w:rFonts w:ascii="Times New Roman" w:hAnsi="Times New Roman" w:cs="Times New Roman"/>
          <w:sz w:val="24"/>
          <w:szCs w:val="24"/>
        </w:rPr>
        <w:t>in fact, being entirely separate from medicine.</w:t>
      </w:r>
    </w:p>
    <w:p w:rsidR="00385CDE" w:rsidRPr="0035343A"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pertains to the humoral model, the groundwork has been laid to suggest a purposefully omitted magical background for it, and Galen’s remark on the intergenerational bastardization of “Hippocratic” texts</w:t>
      </w:r>
      <w:r>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may lead one to believe that the model (or its explanation) was similarly corrupted, but the preservation by herbals and papyri of the effects of herbs and amulets</w:t>
      </w:r>
      <w:r>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on humors clearly shows a medico-magical rationale for the selection of ingredients in healing </w:t>
      </w:r>
      <w:r>
        <w:rPr>
          <w:rFonts w:ascii="Times New Roman" w:hAnsi="Times New Roman" w:cs="Times New Roman"/>
          <w:sz w:val="24"/>
          <w:szCs w:val="24"/>
        </w:rPr>
        <w:lastRenderedPageBreak/>
        <w:t>spells</w:t>
      </w:r>
      <w:r>
        <w:rPr>
          <w:rStyle w:val="FootnoteReference"/>
          <w:rFonts w:ascii="Times New Roman" w:hAnsi="Times New Roman" w:cs="Times New Roman"/>
          <w:sz w:val="24"/>
          <w:szCs w:val="24"/>
        </w:rPr>
        <w:footnoteReference w:id="47"/>
      </w:r>
      <w:r>
        <w:rPr>
          <w:rFonts w:ascii="Times New Roman" w:hAnsi="Times New Roman" w:cs="Times New Roman"/>
          <w:sz w:val="24"/>
          <w:szCs w:val="24"/>
        </w:rPr>
        <w:t>.  Perhaps, then, Theophrastus’ decision to report the folklore of root-cutters in his compendium despite the Hippocratic opinion of them</w:t>
      </w:r>
      <w:r>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is not, as Longrigg asserts</w:t>
      </w:r>
      <w:r>
        <w:rPr>
          <w:rStyle w:val="FootnoteReference"/>
          <w:rFonts w:ascii="Times New Roman" w:hAnsi="Times New Roman" w:cs="Times New Roman"/>
          <w:sz w:val="24"/>
          <w:szCs w:val="24"/>
        </w:rPr>
        <w:footnoteReference w:id="49"/>
      </w:r>
      <w:r>
        <w:rPr>
          <w:rFonts w:ascii="Times New Roman" w:hAnsi="Times New Roman" w:cs="Times New Roman"/>
          <w:sz w:val="24"/>
          <w:szCs w:val="24"/>
        </w:rPr>
        <w:t>, because “they might contain at least a grain of truth,” but rather because he saw the warning-laden picking directions attached to plants of known medical use</w:t>
      </w:r>
      <w:r>
        <w:rPr>
          <w:rStyle w:val="FootnoteReference"/>
          <w:rFonts w:ascii="Times New Roman" w:hAnsi="Times New Roman" w:cs="Times New Roman"/>
          <w:sz w:val="24"/>
          <w:szCs w:val="24"/>
        </w:rPr>
        <w:footnoteReference w:id="50"/>
      </w:r>
      <w:r>
        <w:rPr>
          <w:rFonts w:ascii="Times New Roman" w:hAnsi="Times New Roman" w:cs="Times New Roman"/>
          <w:sz w:val="24"/>
          <w:szCs w:val="24"/>
        </w:rPr>
        <w:t xml:space="preserve"> as a sign that magic yet persisted in medicine – for what else can be made of his comment that “no methods of root-cutting” exist outside of that “irrelevant” folklore</w:t>
      </w:r>
      <w:r>
        <w:rPr>
          <w:rStyle w:val="FootnoteReference"/>
          <w:rFonts w:ascii="Times New Roman" w:hAnsi="Times New Roman" w:cs="Times New Roman"/>
          <w:sz w:val="24"/>
          <w:szCs w:val="24"/>
        </w:rPr>
        <w:footnoteReference w:id="51"/>
      </w:r>
      <w:r>
        <w:rPr>
          <w:rFonts w:ascii="Times New Roman" w:hAnsi="Times New Roman" w:cs="Times New Roman"/>
          <w:sz w:val="24"/>
          <w:szCs w:val="24"/>
        </w:rPr>
        <w:t>?</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Consider those ancient philosophies which fail to adequately account for the Hippocratic model, and let that consideration prove by process of elimination that a medico-magical basis is feasible.  Upon adopting Alcmaeon’s system of “Four Humors</w:t>
      </w:r>
      <w:r>
        <w:rPr>
          <w:rStyle w:val="FootnoteReference"/>
          <w:rFonts w:ascii="Times New Roman" w:hAnsi="Times New Roman" w:cs="Times New Roman"/>
          <w:sz w:val="24"/>
          <w:szCs w:val="24"/>
        </w:rPr>
        <w:footnoteReference w:id="52"/>
      </w:r>
      <w:r>
        <w:rPr>
          <w:rFonts w:ascii="Times New Roman" w:hAnsi="Times New Roman" w:cs="Times New Roman"/>
          <w:sz w:val="24"/>
          <w:szCs w:val="24"/>
        </w:rPr>
        <w:t>,” Hippocrates discarded the ascription of ailments to celestial bodies and focused instead on the human body as the cause of its own distress</w:t>
      </w:r>
      <w:r>
        <w:rPr>
          <w:rStyle w:val="FootnoteReference"/>
          <w:rFonts w:ascii="Times New Roman" w:hAnsi="Times New Roman" w:cs="Times New Roman"/>
          <w:sz w:val="24"/>
          <w:szCs w:val="24"/>
        </w:rPr>
        <w:footnoteReference w:id="53"/>
      </w:r>
      <w:r>
        <w:rPr>
          <w:rFonts w:ascii="Times New Roman" w:hAnsi="Times New Roman" w:cs="Times New Roman"/>
          <w:sz w:val="24"/>
          <w:szCs w:val="24"/>
        </w:rPr>
        <w:t>, with the proviso that one’s environment could affect one’s fluid production.  Herbs, unlike the body, seemed to have fixed humoral traits – a fact which Aristotle ascribed to them lacking souls</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  It is possible those humors were correlated to the seasons in which they flourished, given that seasons factored into the “treatment by contrary remedies</w:t>
      </w:r>
      <w:r>
        <w:rPr>
          <w:rStyle w:val="FootnoteReference"/>
          <w:rFonts w:ascii="Times New Roman" w:hAnsi="Times New Roman" w:cs="Times New Roman"/>
          <w:sz w:val="24"/>
          <w:szCs w:val="24"/>
        </w:rPr>
        <w:footnoteReference w:id="55"/>
      </w:r>
      <w:r>
        <w:rPr>
          <w:rFonts w:ascii="Times New Roman" w:hAnsi="Times New Roman" w:cs="Times New Roman"/>
          <w:sz w:val="24"/>
          <w:szCs w:val="24"/>
        </w:rPr>
        <w:t>,” but herbs’ placement in the humoral model does not substantiate that theory, and anyway, arguing amongst doctors</w:t>
      </w:r>
      <w:r>
        <w:rPr>
          <w:rStyle w:val="FootnoteReference"/>
          <w:rFonts w:ascii="Times New Roman" w:hAnsi="Times New Roman" w:cs="Times New Roman"/>
          <w:sz w:val="24"/>
          <w:szCs w:val="24"/>
        </w:rPr>
        <w:footnoteReference w:id="56"/>
      </w:r>
      <w:r>
        <w:rPr>
          <w:rFonts w:ascii="Times New Roman" w:hAnsi="Times New Roman" w:cs="Times New Roman"/>
          <w:sz w:val="24"/>
          <w:szCs w:val="24"/>
        </w:rPr>
        <w:t xml:space="preserve"> led to a disconnect of herbalism and dietetics by later Hippocratics</w:t>
      </w:r>
      <w:r>
        <w:rPr>
          <w:rStyle w:val="FootnoteReference"/>
          <w:rFonts w:ascii="Times New Roman" w:hAnsi="Times New Roman" w:cs="Times New Roman"/>
          <w:sz w:val="24"/>
          <w:szCs w:val="24"/>
        </w:rPr>
        <w:footnoteReference w:id="57"/>
      </w:r>
      <w:r>
        <w:rPr>
          <w:rFonts w:ascii="Times New Roman" w:hAnsi="Times New Roman" w:cs="Times New Roman"/>
          <w:sz w:val="24"/>
          <w:szCs w:val="24"/>
        </w:rPr>
        <w:t xml:space="preserve">.  Additionally, the humors herbs were said to contain were not always “contrary” to the ailment they were said to </w:t>
      </w:r>
      <w:r>
        <w:rPr>
          <w:rFonts w:ascii="Times New Roman" w:hAnsi="Times New Roman" w:cs="Times New Roman"/>
          <w:sz w:val="24"/>
          <w:szCs w:val="24"/>
        </w:rPr>
        <w:lastRenderedPageBreak/>
        <w:t>cure (see Fig. 1).  An instance in point is Dioscorides’ entry on olive</w:t>
      </w:r>
      <w:r>
        <w:rPr>
          <w:rStyle w:val="FootnoteReference"/>
          <w:rFonts w:ascii="Times New Roman" w:hAnsi="Times New Roman" w:cs="Times New Roman"/>
          <w:sz w:val="24"/>
          <w:szCs w:val="24"/>
        </w:rPr>
        <w:footnoteReference w:id="58"/>
      </w:r>
      <w:r>
        <w:rPr>
          <w:rFonts w:ascii="Times New Roman" w:hAnsi="Times New Roman" w:cs="Times New Roman"/>
          <w:sz w:val="24"/>
          <w:szCs w:val="24"/>
        </w:rPr>
        <w:t>, a “warming” herb useful for thinning out a “warm” humor (i.e. blood).  More on the correlation of herbs and humors with shared traits is explored in Chapters 3 and 4.</w:t>
      </w:r>
    </w:p>
    <w:p w:rsidR="00385CDE" w:rsidRDefault="00385CDE" w:rsidP="00385CDE">
      <w:pPr>
        <w:spacing w:line="480" w:lineRule="auto"/>
        <w:ind w:firstLine="720"/>
        <w:jc w:val="center"/>
        <w:rPr>
          <w:rFonts w:ascii="Times New Roman" w:hAnsi="Times New Roman" w:cs="Times New Roman"/>
          <w:sz w:val="24"/>
          <w:szCs w:val="24"/>
        </w:rPr>
      </w:pPr>
      <w:r w:rsidRPr="002F0E6F">
        <w:rPr>
          <w:rFonts w:ascii="Times New Roman" w:hAnsi="Times New Roman" w:cs="Times New Roman"/>
          <w:i/>
          <w:noProof/>
          <w:sz w:val="24"/>
          <w:szCs w:val="24"/>
        </w:rPr>
        <w:drawing>
          <wp:inline distT="0" distB="0" distL="0" distR="0">
            <wp:extent cx="5731941" cy="3781425"/>
            <wp:effectExtent l="19050" t="0" r="2109"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31941" cy="3781425"/>
                    </a:xfrm>
                    <a:prstGeom prst="rect">
                      <a:avLst/>
                    </a:prstGeom>
                    <a:noFill/>
                    <a:ln w="9525">
                      <a:noFill/>
                      <a:miter lim="800000"/>
                      <a:headEnd/>
                      <a:tailEnd/>
                    </a:ln>
                  </pic:spPr>
                </pic:pic>
              </a:graphicData>
            </a:graphic>
          </wp:inline>
        </w:drawing>
      </w:r>
    </w:p>
    <w:p w:rsidR="00385CDE" w:rsidRPr="001F1166"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Dioscorides’ data yields three questions of considerable interest:</w:t>
      </w:r>
    </w:p>
    <w:p w:rsidR="00385CDE" w:rsidRPr="009A06BC" w:rsidRDefault="00385CDE" w:rsidP="00385CDE">
      <w:pPr>
        <w:pStyle w:val="ListParagraph"/>
        <w:numPr>
          <w:ilvl w:val="0"/>
          <w:numId w:val="4"/>
        </w:numPr>
        <w:spacing w:line="480" w:lineRule="auto"/>
        <w:rPr>
          <w:rFonts w:ascii="Times New Roman" w:hAnsi="Times New Roman" w:cs="Times New Roman"/>
          <w:sz w:val="24"/>
          <w:szCs w:val="24"/>
        </w:rPr>
      </w:pPr>
      <w:r w:rsidRPr="009A06BC">
        <w:rPr>
          <w:rFonts w:ascii="Times New Roman" w:hAnsi="Times New Roman" w:cs="Times New Roman"/>
          <w:sz w:val="24"/>
          <w:szCs w:val="24"/>
        </w:rPr>
        <w:t xml:space="preserve">How did these herbs come to be identified as useful for counteracting a given humor? </w:t>
      </w:r>
    </w:p>
    <w:p w:rsidR="00385CDE" w:rsidRPr="009A06BC" w:rsidRDefault="00385CDE" w:rsidP="00385CDE">
      <w:pPr>
        <w:pStyle w:val="ListParagraph"/>
        <w:numPr>
          <w:ilvl w:val="0"/>
          <w:numId w:val="4"/>
        </w:numPr>
        <w:spacing w:line="480" w:lineRule="auto"/>
        <w:rPr>
          <w:rFonts w:ascii="Times New Roman" w:hAnsi="Times New Roman" w:cs="Times New Roman"/>
          <w:sz w:val="24"/>
          <w:szCs w:val="24"/>
        </w:rPr>
      </w:pPr>
      <w:r w:rsidRPr="009A06BC">
        <w:rPr>
          <w:rFonts w:ascii="Times New Roman" w:hAnsi="Times New Roman" w:cs="Times New Roman"/>
          <w:sz w:val="24"/>
          <w:szCs w:val="24"/>
        </w:rPr>
        <w:t>How do the ten shown in Fig. 1 as having counteracted multiple humors align with the Hippocratic model?</w:t>
      </w:r>
    </w:p>
    <w:p w:rsidR="00385CDE" w:rsidRPr="009A06BC" w:rsidRDefault="00385CDE" w:rsidP="00385CDE">
      <w:pPr>
        <w:pStyle w:val="ListParagraph"/>
        <w:numPr>
          <w:ilvl w:val="0"/>
          <w:numId w:val="4"/>
        </w:numPr>
        <w:spacing w:line="480" w:lineRule="auto"/>
        <w:rPr>
          <w:rFonts w:ascii="Times New Roman" w:hAnsi="Times New Roman" w:cs="Times New Roman"/>
          <w:sz w:val="24"/>
          <w:szCs w:val="24"/>
        </w:rPr>
      </w:pPr>
      <w:r w:rsidRPr="009A06BC">
        <w:rPr>
          <w:rFonts w:ascii="Times New Roman" w:hAnsi="Times New Roman" w:cs="Times New Roman"/>
          <w:sz w:val="24"/>
          <w:szCs w:val="24"/>
        </w:rPr>
        <w:lastRenderedPageBreak/>
        <w:t xml:space="preserve">How were the countless other herbs listed in the </w:t>
      </w:r>
      <w:r w:rsidRPr="00453191">
        <w:rPr>
          <w:rFonts w:ascii="Times New Roman" w:hAnsi="Times New Roman" w:cs="Times New Roman"/>
          <w:i/>
          <w:sz w:val="24"/>
          <w:szCs w:val="24"/>
        </w:rPr>
        <w:t>DMM</w:t>
      </w:r>
      <w:r w:rsidRPr="009A06BC">
        <w:rPr>
          <w:rFonts w:ascii="Times New Roman" w:hAnsi="Times New Roman" w:cs="Times New Roman"/>
          <w:sz w:val="24"/>
          <w:szCs w:val="24"/>
        </w:rPr>
        <w:t xml:space="preserve"> whic</w:t>
      </w:r>
      <w:r>
        <w:rPr>
          <w:rFonts w:ascii="Times New Roman" w:hAnsi="Times New Roman" w:cs="Times New Roman"/>
          <w:sz w:val="24"/>
          <w:szCs w:val="24"/>
        </w:rPr>
        <w:t>h are not assigned to specific h</w:t>
      </w:r>
      <w:r w:rsidRPr="009A06BC">
        <w:rPr>
          <w:rFonts w:ascii="Times New Roman" w:hAnsi="Times New Roman" w:cs="Times New Roman"/>
          <w:sz w:val="24"/>
          <w:szCs w:val="24"/>
        </w:rPr>
        <w:t>umors employed in medicine (e.g. henbane</w:t>
      </w:r>
      <w:r w:rsidRPr="009A06BC">
        <w:rPr>
          <w:rStyle w:val="FootnoteReference"/>
          <w:rFonts w:ascii="Times New Roman" w:hAnsi="Times New Roman" w:cs="Times New Roman"/>
          <w:sz w:val="24"/>
          <w:szCs w:val="24"/>
        </w:rPr>
        <w:footnoteReference w:id="59"/>
      </w:r>
      <w:r w:rsidRPr="009A06BC">
        <w:rPr>
          <w:rFonts w:ascii="Times New Roman" w:hAnsi="Times New Roman" w:cs="Times New Roman"/>
          <w:sz w:val="24"/>
          <w:szCs w:val="24"/>
        </w:rPr>
        <w:t xml:space="preserve">), if the Hippocratic model was the physician’s go-to guide for making new herbal remedies?  </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chief difficulty with seeking answers in Hippocratic treatises is, as Galen notes</w:t>
      </w:r>
      <w:r>
        <w:rPr>
          <w:rStyle w:val="FootnoteReference"/>
          <w:rFonts w:ascii="Times New Roman" w:hAnsi="Times New Roman" w:cs="Times New Roman"/>
          <w:sz w:val="24"/>
          <w:szCs w:val="24"/>
        </w:rPr>
        <w:footnoteReference w:id="60"/>
      </w:r>
      <w:r>
        <w:rPr>
          <w:rFonts w:ascii="Times New Roman" w:hAnsi="Times New Roman" w:cs="Times New Roman"/>
          <w:sz w:val="24"/>
          <w:szCs w:val="24"/>
        </w:rPr>
        <w:t xml:space="preserve">, a question of authenticity in a time of dissolution of the Hippocratic </w:t>
      </w:r>
      <w:proofErr w:type="gramStart"/>
      <w:r>
        <w:rPr>
          <w:rFonts w:ascii="Times New Roman" w:hAnsi="Times New Roman" w:cs="Times New Roman"/>
          <w:sz w:val="24"/>
          <w:szCs w:val="24"/>
        </w:rPr>
        <w:t>school</w:t>
      </w:r>
      <w:proofErr w:type="gramEnd"/>
      <w:r>
        <w:rPr>
          <w:rFonts w:ascii="Times New Roman" w:hAnsi="Times New Roman" w:cs="Times New Roman"/>
          <w:sz w:val="24"/>
          <w:szCs w:val="24"/>
        </w:rPr>
        <w:t xml:space="preserve"> into rival sects</w:t>
      </w:r>
      <w:r>
        <w:rPr>
          <w:rStyle w:val="FootnoteReference"/>
          <w:rFonts w:ascii="Times New Roman" w:hAnsi="Times New Roman" w:cs="Times New Roman"/>
          <w:sz w:val="24"/>
          <w:szCs w:val="24"/>
        </w:rPr>
        <w:footnoteReference w:id="61"/>
      </w:r>
      <w:r>
        <w:rPr>
          <w:rFonts w:ascii="Times New Roman" w:hAnsi="Times New Roman" w:cs="Times New Roman"/>
          <w:sz w:val="24"/>
          <w:szCs w:val="24"/>
        </w:rPr>
        <w:t>.  Was the Hippocratic author who despairingly declared all medicinal philosophers erroneous in their theories</w:t>
      </w:r>
      <w:r>
        <w:rPr>
          <w:rStyle w:val="FootnoteReference"/>
          <w:rFonts w:ascii="Times New Roman" w:hAnsi="Times New Roman" w:cs="Times New Roman"/>
          <w:sz w:val="24"/>
          <w:szCs w:val="24"/>
        </w:rPr>
        <w:footnoteReference w:id="62"/>
      </w:r>
      <w:r>
        <w:rPr>
          <w:rFonts w:ascii="Times New Roman" w:hAnsi="Times New Roman" w:cs="Times New Roman"/>
          <w:sz w:val="24"/>
          <w:szCs w:val="24"/>
        </w:rPr>
        <w:t xml:space="preserve"> a reliable source?  Aristotle’s suggestion of plant physiology as the basis for humoral labels</w:t>
      </w:r>
      <w:r>
        <w:rPr>
          <w:rStyle w:val="FootnoteReference"/>
          <w:rFonts w:ascii="Times New Roman" w:hAnsi="Times New Roman" w:cs="Times New Roman"/>
          <w:sz w:val="24"/>
          <w:szCs w:val="24"/>
        </w:rPr>
        <w:footnoteReference w:id="63"/>
      </w:r>
      <w:r>
        <w:rPr>
          <w:rFonts w:ascii="Times New Roman" w:hAnsi="Times New Roman" w:cs="Times New Roman"/>
          <w:sz w:val="24"/>
          <w:szCs w:val="24"/>
        </w:rPr>
        <w:t xml:space="preserve"> certainly correlates with Theophrastus’ “root-cutter” definition of an herb as the part or whole of a plant</w:t>
      </w:r>
      <w:r>
        <w:rPr>
          <w:rStyle w:val="FootnoteReference"/>
          <w:rFonts w:ascii="Times New Roman" w:hAnsi="Times New Roman" w:cs="Times New Roman"/>
          <w:sz w:val="24"/>
          <w:szCs w:val="24"/>
        </w:rPr>
        <w:footnoteReference w:id="64"/>
      </w:r>
      <w:r>
        <w:rPr>
          <w:rFonts w:ascii="Times New Roman" w:hAnsi="Times New Roman" w:cs="Times New Roman"/>
          <w:sz w:val="24"/>
          <w:szCs w:val="24"/>
        </w:rPr>
        <w:t>, as do many recipes found in herbals and magical papyri</w:t>
      </w:r>
      <w:r>
        <w:rPr>
          <w:rStyle w:val="FootnoteReference"/>
          <w:rFonts w:ascii="Times New Roman" w:hAnsi="Times New Roman" w:cs="Times New Roman"/>
          <w:sz w:val="24"/>
          <w:szCs w:val="24"/>
        </w:rPr>
        <w:footnoteReference w:id="65"/>
      </w:r>
      <w:r>
        <w:rPr>
          <w:rFonts w:ascii="Times New Roman" w:hAnsi="Times New Roman" w:cs="Times New Roman"/>
          <w:sz w:val="24"/>
          <w:szCs w:val="24"/>
        </w:rPr>
        <w:t>, and Galen’s attempt to assign “degrees” of humoral association to plants</w:t>
      </w:r>
      <w:r>
        <w:rPr>
          <w:rStyle w:val="FootnoteReference"/>
          <w:rFonts w:ascii="Times New Roman" w:hAnsi="Times New Roman" w:cs="Times New Roman"/>
          <w:sz w:val="24"/>
          <w:szCs w:val="24"/>
        </w:rPr>
        <w:footnoteReference w:id="66"/>
      </w:r>
      <w:r>
        <w:rPr>
          <w:rFonts w:ascii="Times New Roman" w:hAnsi="Times New Roman" w:cs="Times New Roman"/>
          <w:sz w:val="24"/>
          <w:szCs w:val="24"/>
        </w:rPr>
        <w:t xml:space="preserve"> may suggest their parts having individual humors.  At the same time, 4</w:t>
      </w:r>
      <w:r w:rsidRPr="00CC341A">
        <w:rPr>
          <w:rFonts w:ascii="Times New Roman" w:hAnsi="Times New Roman" w:cs="Times New Roman"/>
          <w:sz w:val="24"/>
          <w:szCs w:val="24"/>
          <w:vertAlign w:val="superscript"/>
        </w:rPr>
        <w:t>th</w:t>
      </w:r>
      <w:r>
        <w:rPr>
          <w:rFonts w:ascii="Times New Roman" w:hAnsi="Times New Roman" w:cs="Times New Roman"/>
          <w:sz w:val="24"/>
          <w:szCs w:val="24"/>
        </w:rPr>
        <w:t xml:space="preserve"> c. BCE Hippocratics dismissed Aristotle’s theory of plant origins as irrelevant to the 5</w:t>
      </w:r>
      <w:r w:rsidRPr="00BD0ED9">
        <w:rPr>
          <w:rFonts w:ascii="Times New Roman" w:hAnsi="Times New Roman" w:cs="Times New Roman"/>
          <w:sz w:val="24"/>
          <w:szCs w:val="24"/>
          <w:vertAlign w:val="superscript"/>
        </w:rPr>
        <w:t>th</w:t>
      </w:r>
      <w:r>
        <w:rPr>
          <w:rFonts w:ascii="Times New Roman" w:hAnsi="Times New Roman" w:cs="Times New Roman"/>
          <w:sz w:val="24"/>
          <w:szCs w:val="24"/>
        </w:rPr>
        <w:t xml:space="preserve"> c. BCE understanding of humors; Galen came a few centuries after the </w:t>
      </w:r>
      <w:r>
        <w:rPr>
          <w:rFonts w:ascii="Times New Roman" w:hAnsi="Times New Roman" w:cs="Times New Roman"/>
          <w:i/>
          <w:sz w:val="24"/>
          <w:szCs w:val="24"/>
        </w:rPr>
        <w:t xml:space="preserve">Corpus; </w:t>
      </w:r>
      <w:r>
        <w:rPr>
          <w:rFonts w:ascii="Times New Roman" w:hAnsi="Times New Roman" w:cs="Times New Roman"/>
          <w:sz w:val="24"/>
          <w:szCs w:val="24"/>
        </w:rPr>
        <w:t>and Fig. 1 shows that herbs’ useful parts do not by themselves directly correspond to humors combated, as Theophrastus implied.  That a purely scientific approach to understanding the model should prove inadequate is further indication that the model, much like its school of origin, was more than purely scientific in nature.</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same doom befell more modern scholars.  The reprisal of Hippocratic humors in medicine in the 12</w:t>
      </w:r>
      <w:r w:rsidRPr="006A68A8">
        <w:rPr>
          <w:rFonts w:ascii="Times New Roman" w:hAnsi="Times New Roman" w:cs="Times New Roman"/>
          <w:sz w:val="24"/>
          <w:szCs w:val="24"/>
          <w:vertAlign w:val="superscript"/>
        </w:rPr>
        <w:t>th</w:t>
      </w:r>
      <w:r>
        <w:rPr>
          <w:rFonts w:ascii="Times New Roman" w:hAnsi="Times New Roman" w:cs="Times New Roman"/>
          <w:sz w:val="24"/>
          <w:szCs w:val="24"/>
        </w:rPr>
        <w:t xml:space="preserve"> c. CE</w:t>
      </w:r>
      <w:r>
        <w:rPr>
          <w:rStyle w:val="FootnoteReference"/>
          <w:rFonts w:ascii="Times New Roman" w:hAnsi="Times New Roman" w:cs="Times New Roman"/>
          <w:sz w:val="24"/>
          <w:szCs w:val="24"/>
        </w:rPr>
        <w:footnoteReference w:id="67"/>
      </w:r>
      <w:r>
        <w:rPr>
          <w:rFonts w:ascii="Times New Roman" w:hAnsi="Times New Roman" w:cs="Times New Roman"/>
          <w:sz w:val="24"/>
          <w:szCs w:val="24"/>
        </w:rPr>
        <w:t xml:space="preserve"> may have inspired later ideals for “a verrey parfit practisour</w:t>
      </w:r>
      <w:r>
        <w:rPr>
          <w:rStyle w:val="FootnoteReference"/>
          <w:rFonts w:ascii="Times New Roman" w:hAnsi="Times New Roman" w:cs="Times New Roman"/>
          <w:sz w:val="24"/>
          <w:szCs w:val="24"/>
        </w:rPr>
        <w:footnoteReference w:id="68"/>
      </w:r>
      <w:r>
        <w:rPr>
          <w:rFonts w:ascii="Times New Roman" w:hAnsi="Times New Roman" w:cs="Times New Roman"/>
          <w:sz w:val="24"/>
          <w:szCs w:val="24"/>
        </w:rPr>
        <w:t xml:space="preserve">” and </w:t>
      </w:r>
      <w:r>
        <w:rPr>
          <w:rFonts w:ascii="Times New Roman" w:hAnsi="Times New Roman" w:cs="Times New Roman"/>
          <w:sz w:val="24"/>
          <w:szCs w:val="24"/>
        </w:rPr>
        <w:lastRenderedPageBreak/>
        <w:t>set the stage for a renewed interest in circumstantial effects on a patient’s disposition</w:t>
      </w:r>
      <w:r>
        <w:rPr>
          <w:rStyle w:val="FootnoteReference"/>
          <w:rFonts w:ascii="Times New Roman" w:hAnsi="Times New Roman" w:cs="Times New Roman"/>
          <w:sz w:val="24"/>
          <w:szCs w:val="24"/>
        </w:rPr>
        <w:footnoteReference w:id="69"/>
      </w:r>
      <w:r>
        <w:rPr>
          <w:rFonts w:ascii="Times New Roman" w:hAnsi="Times New Roman" w:cs="Times New Roman"/>
          <w:sz w:val="24"/>
          <w:szCs w:val="24"/>
        </w:rPr>
        <w:t>, but really it was the Catholic adaptation of pre-Hippocratic philosophy on heaven-sent afflictions and witches</w:t>
      </w:r>
      <w:r>
        <w:rPr>
          <w:rStyle w:val="FootnoteReference"/>
          <w:rFonts w:ascii="Times New Roman" w:hAnsi="Times New Roman" w:cs="Times New Roman"/>
          <w:sz w:val="24"/>
          <w:szCs w:val="24"/>
        </w:rPr>
        <w:footnoteReference w:id="70"/>
      </w:r>
      <w:r>
        <w:rPr>
          <w:rFonts w:ascii="Times New Roman" w:hAnsi="Times New Roman" w:cs="Times New Roman"/>
          <w:sz w:val="24"/>
          <w:szCs w:val="24"/>
        </w:rPr>
        <w:t xml:space="preserve"> that came closest to explaining ancient disease.  Sadly, those authors who reported on it tried to “rationalize” it away with Hippocratic jargon</w:t>
      </w:r>
      <w:r>
        <w:rPr>
          <w:rStyle w:val="FootnoteReference"/>
          <w:rFonts w:ascii="Times New Roman" w:hAnsi="Times New Roman" w:cs="Times New Roman"/>
          <w:sz w:val="24"/>
          <w:szCs w:val="24"/>
        </w:rPr>
        <w:footnoteReference w:id="71"/>
      </w:r>
      <w:r>
        <w:rPr>
          <w:rFonts w:ascii="Times New Roman" w:hAnsi="Times New Roman" w:cs="Times New Roman"/>
          <w:sz w:val="24"/>
          <w:szCs w:val="24"/>
        </w:rPr>
        <w:t>.  More contemporary efforts have been made to understand ancient herbs, but the majority of these scholars look at medical and magical herb uses separately, and so their understanding is incomplete.  Among their number are “physiomedicalists</w:t>
      </w:r>
      <w:r>
        <w:rPr>
          <w:rStyle w:val="FootnoteReference"/>
          <w:rFonts w:ascii="Times New Roman" w:hAnsi="Times New Roman" w:cs="Times New Roman"/>
          <w:sz w:val="24"/>
          <w:szCs w:val="24"/>
        </w:rPr>
        <w:footnoteReference w:id="72"/>
      </w:r>
      <w:r>
        <w:rPr>
          <w:rFonts w:ascii="Times New Roman" w:hAnsi="Times New Roman" w:cs="Times New Roman"/>
          <w:sz w:val="24"/>
          <w:szCs w:val="24"/>
        </w:rPr>
        <w:t>” who embellish the Hippocratic model with Ayurveda (see Fig. 2) with no textual basis for doing so, and self-professed “green witches</w:t>
      </w:r>
      <w:r>
        <w:rPr>
          <w:rStyle w:val="FootnoteReference"/>
          <w:rFonts w:ascii="Times New Roman" w:hAnsi="Times New Roman" w:cs="Times New Roman"/>
          <w:sz w:val="24"/>
          <w:szCs w:val="24"/>
        </w:rPr>
        <w:footnoteReference w:id="73"/>
      </w:r>
      <w:r>
        <w:rPr>
          <w:rFonts w:ascii="Times New Roman" w:hAnsi="Times New Roman" w:cs="Times New Roman"/>
          <w:sz w:val="24"/>
          <w:szCs w:val="24"/>
        </w:rPr>
        <w:t xml:space="preserve">” whose catalogues of “ancient herbs” include plants from the Americas.  Does this not justify the Hipppocratic author’s tirade above?  Worse yet are the ones who </w:t>
      </w:r>
      <w:r>
        <w:rPr>
          <w:rFonts w:ascii="Times New Roman" w:hAnsi="Times New Roman" w:cs="Times New Roman"/>
          <w:i/>
          <w:sz w:val="24"/>
          <w:szCs w:val="24"/>
        </w:rPr>
        <w:t xml:space="preserve">do </w:t>
      </w:r>
      <w:r>
        <w:rPr>
          <w:rFonts w:ascii="Times New Roman" w:hAnsi="Times New Roman" w:cs="Times New Roman"/>
          <w:sz w:val="24"/>
          <w:szCs w:val="24"/>
        </w:rPr>
        <w:t>present medicine and magic together</w:t>
      </w:r>
      <w:r>
        <w:rPr>
          <w:rStyle w:val="FootnoteReference"/>
          <w:rFonts w:ascii="Times New Roman" w:hAnsi="Times New Roman" w:cs="Times New Roman"/>
          <w:sz w:val="24"/>
          <w:szCs w:val="24"/>
        </w:rPr>
        <w:footnoteReference w:id="74"/>
      </w:r>
      <w:r>
        <w:rPr>
          <w:rFonts w:ascii="Times New Roman" w:hAnsi="Times New Roman" w:cs="Times New Roman"/>
          <w:sz w:val="24"/>
          <w:szCs w:val="24"/>
        </w:rPr>
        <w:t xml:space="preserve">, and outfit those American herbs with astrological and Greco-Roman divinity ascriptions, amongst other things.  </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is challenging enough to determine the extent to which magical papyri containing “Christian spells</w:t>
      </w:r>
      <w:r>
        <w:rPr>
          <w:rStyle w:val="FootnoteReference"/>
          <w:rFonts w:ascii="Times New Roman" w:hAnsi="Times New Roman" w:cs="Times New Roman"/>
          <w:sz w:val="24"/>
          <w:szCs w:val="24"/>
        </w:rPr>
        <w:footnoteReference w:id="75"/>
      </w:r>
      <w:r>
        <w:rPr>
          <w:rFonts w:ascii="Times New Roman" w:hAnsi="Times New Roman" w:cs="Times New Roman"/>
          <w:sz w:val="24"/>
          <w:szCs w:val="24"/>
        </w:rPr>
        <w:t>” accurately reflected 5</w:t>
      </w:r>
      <w:r w:rsidRPr="00863BF7">
        <w:rPr>
          <w:rFonts w:ascii="Times New Roman" w:hAnsi="Times New Roman" w:cs="Times New Roman"/>
          <w:sz w:val="24"/>
          <w:szCs w:val="24"/>
          <w:vertAlign w:val="superscript"/>
        </w:rPr>
        <w:t>th</w:t>
      </w:r>
      <w:r>
        <w:rPr>
          <w:rFonts w:ascii="Times New Roman" w:hAnsi="Times New Roman" w:cs="Times New Roman"/>
          <w:sz w:val="24"/>
          <w:szCs w:val="24"/>
        </w:rPr>
        <w:t xml:space="preserve"> c. BCE Asclepiad herbal beliefs; while some of the information in contemporary compendia is corroborated by ancient sources, much of it appears to be imported from elsewhere, and so has no bearing on this study.  What is needed instead, and what this paper sets out to do, is to use ancient textual evidence and a case study of herbs with known humoral traits to show positive correlations between the medical and magical uses for herbs in Classical antiquity.  Only then can our questions to Fig. 1 be satisfactorily answered, and only then can proof of a medico-magical basis for the Hippocratic model be furnished.</w:t>
      </w:r>
    </w:p>
    <w:p w:rsidR="00385CDE" w:rsidRPr="009A06BC" w:rsidRDefault="00385CDE" w:rsidP="00385CDE">
      <w:pPr>
        <w:spacing w:line="480" w:lineRule="auto"/>
        <w:jc w:val="center"/>
        <w:rPr>
          <w:rFonts w:ascii="Times New Roman" w:hAnsi="Times New Roman" w:cs="Times New Roman"/>
          <w:sz w:val="24"/>
          <w:szCs w:val="24"/>
        </w:rPr>
      </w:pPr>
      <w:r w:rsidRPr="009A06BC">
        <w:rPr>
          <w:rFonts w:ascii="Times New Roman" w:hAnsi="Times New Roman" w:cs="Times New Roman"/>
          <w:sz w:val="24"/>
          <w:szCs w:val="24"/>
        </w:rPr>
        <w:lastRenderedPageBreak/>
        <w:t xml:space="preserve">Fig. 2 – </w:t>
      </w:r>
      <w:r>
        <w:rPr>
          <w:rFonts w:ascii="Times New Roman" w:hAnsi="Times New Roman" w:cs="Times New Roman"/>
          <w:sz w:val="24"/>
          <w:szCs w:val="24"/>
        </w:rPr>
        <w:t xml:space="preserve">The </w:t>
      </w:r>
      <w:r w:rsidRPr="009A06BC">
        <w:rPr>
          <w:rFonts w:ascii="Times New Roman" w:hAnsi="Times New Roman" w:cs="Times New Roman"/>
          <w:sz w:val="24"/>
          <w:szCs w:val="24"/>
        </w:rPr>
        <w:t>Physiomedical Model</w:t>
      </w:r>
      <w:r w:rsidRPr="009A06BC">
        <w:rPr>
          <w:rStyle w:val="FootnoteReference"/>
          <w:rFonts w:ascii="Times New Roman" w:hAnsi="Times New Roman" w:cs="Times New Roman"/>
          <w:sz w:val="24"/>
          <w:szCs w:val="24"/>
        </w:rPr>
        <w:footnoteReference w:id="76"/>
      </w:r>
    </w:p>
    <w:p w:rsidR="00385CDE" w:rsidRDefault="00385CDE" w:rsidP="00385CDE">
      <w:pPr>
        <w:spacing w:line="480" w:lineRule="auto"/>
        <w:ind w:firstLine="720"/>
        <w:jc w:val="center"/>
        <w:rPr>
          <w:rFonts w:ascii="Times New Roman" w:hAnsi="Times New Roman" w:cs="Times New Roman"/>
          <w:sz w:val="24"/>
          <w:szCs w:val="24"/>
        </w:rPr>
      </w:pPr>
      <w:r w:rsidRPr="009A06BC">
        <w:rPr>
          <w:rFonts w:ascii="Times New Roman" w:hAnsi="Times New Roman" w:cs="Times New Roman"/>
          <w:noProof/>
          <w:sz w:val="24"/>
          <w:szCs w:val="24"/>
        </w:rPr>
        <w:drawing>
          <wp:inline distT="0" distB="0" distL="0" distR="0">
            <wp:extent cx="4215055" cy="4438650"/>
            <wp:effectExtent l="19050" t="0" r="0" b="0"/>
            <wp:docPr id="11" name="Picture 1" descr="C:\Users\David\Downloads\20191214_195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vid\Downloads\20191214_195150.jpg"/>
                    <pic:cNvPicPr>
                      <a:picLocks noChangeAspect="1" noChangeArrowheads="1"/>
                    </pic:cNvPicPr>
                  </pic:nvPicPr>
                  <pic:blipFill>
                    <a:blip r:embed="rId10" cstate="print"/>
                    <a:srcRect/>
                    <a:stretch>
                      <a:fillRect/>
                    </a:stretch>
                  </pic:blipFill>
                  <pic:spPr bwMode="auto">
                    <a:xfrm>
                      <a:off x="0" y="0"/>
                      <a:ext cx="4220356" cy="4444232"/>
                    </a:xfrm>
                    <a:prstGeom prst="rect">
                      <a:avLst/>
                    </a:prstGeom>
                    <a:noFill/>
                    <a:ln w="9525">
                      <a:noFill/>
                      <a:miter lim="800000"/>
                      <a:headEnd/>
                      <a:tailEnd/>
                    </a:ln>
                  </pic:spPr>
                </pic:pic>
              </a:graphicData>
            </a:graphic>
          </wp:inline>
        </w:drawing>
      </w:r>
    </w:p>
    <w:p w:rsidR="00385CDE" w:rsidRDefault="00385CDE" w:rsidP="00385CDE">
      <w:pPr>
        <w:rPr>
          <w:rFonts w:ascii="Times New Roman" w:hAnsi="Times New Roman" w:cs="Times New Roman"/>
          <w:sz w:val="24"/>
          <w:szCs w:val="24"/>
        </w:rPr>
      </w:pPr>
      <w:r>
        <w:rPr>
          <w:rFonts w:ascii="Times New Roman" w:hAnsi="Times New Roman" w:cs="Times New Roman"/>
          <w:sz w:val="24"/>
          <w:szCs w:val="24"/>
        </w:rPr>
        <w:br w:type="page"/>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Chapter 2 – Case Study, and the Hardships of the Modern Botanical Historian</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order to more effectively discuss the relationship between the magical and medical properties of herbs employed for both purposes in Classical antiquity, it is first necessary to present the herbs themselves.  Below are thirty-one from among their number, which are known to us through Dioscorides</w:t>
      </w:r>
      <w:r>
        <w:rPr>
          <w:rStyle w:val="FootnoteReference"/>
          <w:rFonts w:ascii="Times New Roman" w:hAnsi="Times New Roman" w:cs="Times New Roman"/>
          <w:sz w:val="24"/>
          <w:szCs w:val="24"/>
        </w:rPr>
        <w:footnoteReference w:id="77"/>
      </w:r>
      <w:r>
        <w:rPr>
          <w:rFonts w:ascii="Times New Roman" w:hAnsi="Times New Roman" w:cs="Times New Roman"/>
          <w:sz w:val="24"/>
          <w:szCs w:val="24"/>
        </w:rPr>
        <w:t>, Pliny the Elder</w:t>
      </w:r>
      <w:r>
        <w:rPr>
          <w:rStyle w:val="FootnoteReference"/>
          <w:rFonts w:ascii="Times New Roman" w:hAnsi="Times New Roman" w:cs="Times New Roman"/>
          <w:sz w:val="24"/>
          <w:szCs w:val="24"/>
        </w:rPr>
        <w:footnoteReference w:id="78"/>
      </w:r>
      <w:r>
        <w:rPr>
          <w:rFonts w:ascii="Times New Roman" w:hAnsi="Times New Roman" w:cs="Times New Roman"/>
          <w:sz w:val="24"/>
          <w:szCs w:val="24"/>
        </w:rPr>
        <w:t>, Theophrastus</w:t>
      </w:r>
      <w:r>
        <w:rPr>
          <w:rStyle w:val="FootnoteReference"/>
          <w:rFonts w:ascii="Times New Roman" w:hAnsi="Times New Roman" w:cs="Times New Roman"/>
          <w:sz w:val="24"/>
          <w:szCs w:val="24"/>
        </w:rPr>
        <w:footnoteReference w:id="79"/>
      </w:r>
      <w:r>
        <w:rPr>
          <w:rFonts w:ascii="Times New Roman" w:hAnsi="Times New Roman" w:cs="Times New Roman"/>
          <w:sz w:val="24"/>
          <w:szCs w:val="24"/>
        </w:rPr>
        <w:t>, Galen</w:t>
      </w:r>
      <w:r>
        <w:rPr>
          <w:rStyle w:val="FootnoteReference"/>
          <w:rFonts w:ascii="Times New Roman" w:hAnsi="Times New Roman" w:cs="Times New Roman"/>
          <w:sz w:val="24"/>
          <w:szCs w:val="24"/>
        </w:rPr>
        <w:footnoteReference w:id="80"/>
      </w:r>
      <w:r>
        <w:rPr>
          <w:rFonts w:ascii="Times New Roman" w:hAnsi="Times New Roman" w:cs="Times New Roman"/>
          <w:sz w:val="24"/>
          <w:szCs w:val="24"/>
        </w:rPr>
        <w:t>, and the extant Magical Papyri</w:t>
      </w:r>
      <w:r>
        <w:rPr>
          <w:rStyle w:val="FootnoteReference"/>
          <w:rFonts w:ascii="Times New Roman" w:hAnsi="Times New Roman" w:cs="Times New Roman"/>
          <w:sz w:val="24"/>
          <w:szCs w:val="24"/>
        </w:rPr>
        <w:footnoteReference w:id="81"/>
      </w:r>
      <w:r>
        <w:rPr>
          <w:rFonts w:ascii="Times New Roman" w:hAnsi="Times New Roman" w:cs="Times New Roman"/>
          <w:sz w:val="24"/>
          <w:szCs w:val="24"/>
        </w:rPr>
        <w:t>, and which were chosen for a case study in part because of the abundance of ancient information and in part because of their continued magical and medical usefulness today.  They are listed by their common English name, scientific name (binomial nomenclature), Latin name, and Greek name, with the latter two names being supplied by Dioscorides and by Christian Hünemörder</w:t>
      </w:r>
      <w:r>
        <w:rPr>
          <w:rStyle w:val="FootnoteReference"/>
          <w:rFonts w:ascii="Times New Roman" w:hAnsi="Times New Roman" w:cs="Times New Roman"/>
          <w:sz w:val="24"/>
          <w:szCs w:val="24"/>
        </w:rPr>
        <w:footnoteReference w:id="82"/>
      </w:r>
      <w:r>
        <w:rPr>
          <w:rFonts w:ascii="Times New Roman" w:hAnsi="Times New Roman" w:cs="Times New Roman"/>
          <w:sz w:val="24"/>
          <w:szCs w:val="24"/>
        </w:rPr>
        <w:t>.</w:t>
      </w:r>
    </w:p>
    <w:p w:rsidR="00385CDE" w:rsidRPr="00385CDE" w:rsidRDefault="00385CDE" w:rsidP="00385CDE">
      <w:pPr>
        <w:pStyle w:val="ListParagraph"/>
        <w:spacing w:after="0" w:line="480" w:lineRule="auto"/>
        <w:ind w:left="0" w:firstLine="720"/>
        <w:rPr>
          <w:rStyle w:val="IntenseEmphasis"/>
          <w:b w:val="0"/>
          <w:i w:val="0"/>
          <w:color w:val="auto"/>
        </w:rPr>
      </w:pPr>
      <w:r w:rsidRPr="00385CDE">
        <w:rPr>
          <w:rStyle w:val="IntenseEmphasis"/>
          <w:rFonts w:ascii="Times New Roman" w:hAnsi="Times New Roman" w:cs="Times New Roman"/>
          <w:b w:val="0"/>
          <w:i w:val="0"/>
          <w:color w:val="auto"/>
          <w:sz w:val="24"/>
          <w:szCs w:val="24"/>
        </w:rPr>
        <w:t xml:space="preserve">Coriander – </w:t>
      </w:r>
      <w:r w:rsidRPr="00385CDE">
        <w:rPr>
          <w:rStyle w:val="IntenseEmphasis"/>
          <w:rFonts w:ascii="Times New Roman" w:hAnsi="Times New Roman" w:cs="Times New Roman"/>
          <w:b w:val="0"/>
          <w:color w:val="auto"/>
          <w:sz w:val="24"/>
          <w:szCs w:val="24"/>
        </w:rPr>
        <w:t xml:space="preserve">Coriandrum sativum (L. coriandrum, Gk. </w:t>
      </w:r>
      <w:r w:rsidRPr="00385CDE">
        <w:rPr>
          <w:rStyle w:val="IntenseEmphasis"/>
          <w:rFonts w:ascii="Times New Roman" w:hAnsi="Times New Roman" w:cs="Times New Roman"/>
          <w:b w:val="0"/>
          <w:color w:val="auto"/>
          <w:sz w:val="24"/>
          <w:szCs w:val="24"/>
          <w:lang w:val="el-GR"/>
        </w:rPr>
        <w:t>κορίαννον</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Cucumber (wild or “squirting”) – </w:t>
      </w:r>
      <w:r w:rsidRPr="00385CDE">
        <w:rPr>
          <w:rStyle w:val="IntenseEmphasis"/>
          <w:rFonts w:ascii="Times New Roman" w:hAnsi="Times New Roman" w:cs="Times New Roman"/>
          <w:b w:val="0"/>
          <w:color w:val="auto"/>
          <w:sz w:val="24"/>
          <w:szCs w:val="24"/>
        </w:rPr>
        <w:t xml:space="preserve">Ecballium elaterium (L. elaterium, Gk. </w:t>
      </w:r>
      <w:r w:rsidRPr="00385CDE">
        <w:rPr>
          <w:rStyle w:val="IntenseEmphasis"/>
          <w:rFonts w:ascii="Times New Roman" w:hAnsi="Times New Roman" w:cs="Times New Roman"/>
          <w:b w:val="0"/>
          <w:color w:val="auto"/>
          <w:sz w:val="24"/>
          <w:szCs w:val="24"/>
          <w:lang w:val="el-GR"/>
        </w:rPr>
        <w:t>ἐλατήριον</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Cumin – </w:t>
      </w:r>
      <w:r w:rsidRPr="00385CDE">
        <w:rPr>
          <w:rStyle w:val="IntenseEmphasis"/>
          <w:rFonts w:ascii="Times New Roman" w:hAnsi="Times New Roman" w:cs="Times New Roman"/>
          <w:b w:val="0"/>
          <w:color w:val="auto"/>
          <w:sz w:val="24"/>
          <w:szCs w:val="24"/>
        </w:rPr>
        <w:t xml:space="preserve">Cuminum cyminum (L. cuminum, Gk. </w:t>
      </w:r>
      <w:r w:rsidRPr="00385CDE">
        <w:rPr>
          <w:rStyle w:val="IntenseEmphasis"/>
          <w:rFonts w:ascii="Times New Roman" w:hAnsi="Times New Roman" w:cs="Times New Roman"/>
          <w:b w:val="0"/>
          <w:color w:val="auto"/>
          <w:sz w:val="24"/>
          <w:szCs w:val="24"/>
          <w:lang w:val="el-GR"/>
        </w:rPr>
        <w:t>κύμινον</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lang w:val="es-ES"/>
        </w:rPr>
      </w:pPr>
      <w:r w:rsidRPr="00385CDE">
        <w:rPr>
          <w:rStyle w:val="IntenseEmphasis"/>
          <w:rFonts w:ascii="Times New Roman" w:hAnsi="Times New Roman" w:cs="Times New Roman"/>
          <w:b w:val="0"/>
          <w:i w:val="0"/>
          <w:color w:val="auto"/>
          <w:sz w:val="24"/>
          <w:szCs w:val="24"/>
          <w:lang w:val="es-ES"/>
        </w:rPr>
        <w:t xml:space="preserve">Datura* – </w:t>
      </w:r>
      <w:r w:rsidRPr="00385CDE">
        <w:rPr>
          <w:rStyle w:val="IntenseEmphasis"/>
          <w:rFonts w:ascii="Times New Roman" w:hAnsi="Times New Roman" w:cs="Times New Roman"/>
          <w:b w:val="0"/>
          <w:color w:val="auto"/>
          <w:sz w:val="24"/>
          <w:szCs w:val="24"/>
          <w:lang w:val="es-ES"/>
        </w:rPr>
        <w:t xml:space="preserve">Datura spp. (L. </w:t>
      </w:r>
      <w:proofErr w:type="gramStart"/>
      <w:r w:rsidRPr="00385CDE">
        <w:rPr>
          <w:rStyle w:val="IntenseEmphasis"/>
          <w:rFonts w:ascii="Times New Roman" w:hAnsi="Times New Roman" w:cs="Times New Roman"/>
          <w:b w:val="0"/>
          <w:color w:val="auto"/>
          <w:sz w:val="24"/>
          <w:szCs w:val="24"/>
          <w:lang w:val="es-ES"/>
        </w:rPr>
        <w:t>datura</w:t>
      </w:r>
      <w:proofErr w:type="gramEnd"/>
      <w:r w:rsidRPr="00385CDE">
        <w:rPr>
          <w:rStyle w:val="IntenseEmphasis"/>
          <w:rFonts w:ascii="Times New Roman" w:hAnsi="Times New Roman" w:cs="Times New Roman"/>
          <w:b w:val="0"/>
          <w:color w:val="auto"/>
          <w:sz w:val="24"/>
          <w:szCs w:val="24"/>
          <w:lang w:val="es-ES"/>
        </w:rPr>
        <w:t xml:space="preserve">, Gk. </w:t>
      </w:r>
      <w:r w:rsidRPr="00385CDE">
        <w:rPr>
          <w:rStyle w:val="IntenseEmphasis"/>
          <w:rFonts w:ascii="Times New Roman" w:hAnsi="Times New Roman" w:cs="Times New Roman"/>
          <w:b w:val="0"/>
          <w:color w:val="auto"/>
          <w:sz w:val="24"/>
          <w:szCs w:val="24"/>
          <w:lang w:val="el-GR"/>
        </w:rPr>
        <w:t>στρύχνος</w:t>
      </w:r>
      <w:r w:rsidRPr="00385CDE">
        <w:rPr>
          <w:rStyle w:val="IntenseEmphasis"/>
          <w:rFonts w:ascii="Times New Roman" w:hAnsi="Times New Roman" w:cs="Times New Roman"/>
          <w:b w:val="0"/>
          <w:color w:val="auto"/>
          <w:sz w:val="24"/>
          <w:szCs w:val="24"/>
          <w:lang w:val="es-ES"/>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Dill – </w:t>
      </w:r>
      <w:r w:rsidRPr="00385CDE">
        <w:rPr>
          <w:rStyle w:val="IntenseEmphasis"/>
          <w:rFonts w:ascii="Times New Roman" w:hAnsi="Times New Roman" w:cs="Times New Roman"/>
          <w:b w:val="0"/>
          <w:color w:val="auto"/>
          <w:sz w:val="24"/>
          <w:szCs w:val="24"/>
        </w:rPr>
        <w:t xml:space="preserve">Anethum graveolens (L. anetum or anethum, Gk. </w:t>
      </w:r>
      <w:r w:rsidRPr="00385CDE">
        <w:rPr>
          <w:rStyle w:val="IntenseEmphasis"/>
          <w:rFonts w:ascii="Times New Roman" w:hAnsi="Times New Roman" w:cs="Times New Roman"/>
          <w:b w:val="0"/>
          <w:color w:val="auto"/>
          <w:sz w:val="24"/>
          <w:szCs w:val="24"/>
          <w:lang w:val="el-GR"/>
        </w:rPr>
        <w:t>ἄνητον</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Elder – </w:t>
      </w:r>
      <w:r w:rsidRPr="00385CDE">
        <w:rPr>
          <w:rStyle w:val="IntenseEmphasis"/>
          <w:rFonts w:ascii="Times New Roman" w:hAnsi="Times New Roman" w:cs="Times New Roman"/>
          <w:b w:val="0"/>
          <w:color w:val="auto"/>
          <w:sz w:val="24"/>
          <w:szCs w:val="24"/>
        </w:rPr>
        <w:t xml:space="preserve">Sambucus spp. (L. sambucus, Gk. </w:t>
      </w:r>
      <w:r w:rsidRPr="00385CDE">
        <w:rPr>
          <w:rStyle w:val="IntenseEmphasis"/>
          <w:rFonts w:ascii="Times New Roman" w:hAnsi="Times New Roman" w:cs="Times New Roman"/>
          <w:b w:val="0"/>
          <w:color w:val="auto"/>
          <w:sz w:val="24"/>
          <w:szCs w:val="24"/>
          <w:lang w:val="el-GR"/>
        </w:rPr>
        <w:t>ακτή</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Elecampane – </w:t>
      </w:r>
      <w:r w:rsidRPr="00385CDE">
        <w:rPr>
          <w:rStyle w:val="IntenseEmphasis"/>
          <w:rFonts w:ascii="Times New Roman" w:hAnsi="Times New Roman" w:cs="Times New Roman"/>
          <w:b w:val="0"/>
          <w:color w:val="auto"/>
          <w:sz w:val="24"/>
          <w:szCs w:val="24"/>
        </w:rPr>
        <w:t xml:space="preserve">Inula helenium (L. helenium, Gk. </w:t>
      </w:r>
      <w:r w:rsidRPr="00385CDE">
        <w:rPr>
          <w:rStyle w:val="IntenseEmphasis"/>
          <w:rFonts w:ascii="Times New Roman" w:hAnsi="Times New Roman" w:cs="Times New Roman"/>
          <w:b w:val="0"/>
          <w:color w:val="auto"/>
          <w:sz w:val="24"/>
          <w:szCs w:val="24"/>
          <w:lang w:val="el-GR"/>
        </w:rPr>
        <w:t>ἑλένιον</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Fennel – </w:t>
      </w:r>
      <w:r w:rsidRPr="00385CDE">
        <w:rPr>
          <w:rStyle w:val="IntenseEmphasis"/>
          <w:rFonts w:ascii="Times New Roman" w:hAnsi="Times New Roman" w:cs="Times New Roman"/>
          <w:b w:val="0"/>
          <w:color w:val="auto"/>
          <w:sz w:val="24"/>
          <w:szCs w:val="24"/>
        </w:rPr>
        <w:t xml:space="preserve">Foeniculum vulgare (L. feniculum or ferula, Gk. </w:t>
      </w:r>
      <w:r w:rsidRPr="00385CDE">
        <w:rPr>
          <w:rStyle w:val="IntenseEmphasis"/>
          <w:rFonts w:ascii="Times New Roman" w:hAnsi="Times New Roman" w:cs="Times New Roman"/>
          <w:b w:val="0"/>
          <w:color w:val="auto"/>
          <w:sz w:val="24"/>
          <w:szCs w:val="24"/>
          <w:lang w:val="el-GR"/>
        </w:rPr>
        <w:t>μάραθον</w:t>
      </w:r>
      <w:r w:rsidRPr="00385CDE">
        <w:rPr>
          <w:rStyle w:val="IntenseEmphasis"/>
          <w:rFonts w:ascii="Times New Roman" w:hAnsi="Times New Roman" w:cs="Times New Roman"/>
          <w:b w:val="0"/>
          <w:color w:val="auto"/>
          <w:sz w:val="24"/>
          <w:szCs w:val="24"/>
        </w:rPr>
        <w:t>, -</w:t>
      </w:r>
      <w:r w:rsidRPr="00385CDE">
        <w:rPr>
          <w:rStyle w:val="IntenseEmphasis"/>
          <w:rFonts w:ascii="Times New Roman" w:hAnsi="Times New Roman" w:cs="Times New Roman"/>
          <w:b w:val="0"/>
          <w:color w:val="auto"/>
          <w:sz w:val="24"/>
          <w:szCs w:val="24"/>
          <w:lang w:val="el-GR"/>
        </w:rPr>
        <w:t>ος</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Hellebore* – [unknown] </w:t>
      </w:r>
      <w:r w:rsidRPr="00385CDE">
        <w:rPr>
          <w:rStyle w:val="IntenseEmphasis"/>
          <w:rFonts w:ascii="Times New Roman" w:hAnsi="Times New Roman" w:cs="Times New Roman"/>
          <w:b w:val="0"/>
          <w:color w:val="auto"/>
          <w:sz w:val="24"/>
          <w:szCs w:val="24"/>
        </w:rPr>
        <w:t xml:space="preserve">(L. elleborum, -us, or veratrum, Gk. </w:t>
      </w:r>
      <w:r w:rsidRPr="00385CDE">
        <w:rPr>
          <w:rStyle w:val="IntenseEmphasis"/>
          <w:rFonts w:ascii="Times New Roman" w:hAnsi="Times New Roman" w:cs="Times New Roman"/>
          <w:b w:val="0"/>
          <w:color w:val="auto"/>
          <w:sz w:val="24"/>
          <w:szCs w:val="24"/>
          <w:lang w:val="el-GR"/>
        </w:rPr>
        <w:t>ἑλλέβορος</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color w:val="auto"/>
          <w:sz w:val="24"/>
          <w:szCs w:val="24"/>
        </w:rPr>
      </w:pPr>
      <w:r w:rsidRPr="00385CDE">
        <w:rPr>
          <w:rStyle w:val="IntenseEmphasis"/>
          <w:rFonts w:ascii="Times New Roman" w:hAnsi="Times New Roman" w:cs="Times New Roman"/>
          <w:b w:val="0"/>
          <w:i w:val="0"/>
          <w:color w:val="auto"/>
          <w:sz w:val="24"/>
          <w:szCs w:val="24"/>
        </w:rPr>
        <w:t xml:space="preserve">Henbane – </w:t>
      </w:r>
      <w:r w:rsidRPr="00385CDE">
        <w:rPr>
          <w:rStyle w:val="IntenseEmphasis"/>
          <w:rFonts w:ascii="Times New Roman" w:hAnsi="Times New Roman" w:cs="Times New Roman"/>
          <w:b w:val="0"/>
          <w:color w:val="auto"/>
          <w:sz w:val="24"/>
          <w:szCs w:val="24"/>
        </w:rPr>
        <w:t xml:space="preserve">Hyoscyamus spp. (L. hyoscyamus, Gk. </w:t>
      </w:r>
      <w:r w:rsidRPr="00385CDE">
        <w:rPr>
          <w:rStyle w:val="IntenseEmphasis"/>
          <w:rFonts w:ascii="Times New Roman" w:hAnsi="Times New Roman" w:cs="Times New Roman"/>
          <w:b w:val="0"/>
          <w:color w:val="auto"/>
          <w:sz w:val="24"/>
          <w:szCs w:val="24"/>
          <w:lang w:val="el-GR"/>
        </w:rPr>
        <w:t>ὑοσκύαμος</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lastRenderedPageBreak/>
        <w:t xml:space="preserve">Mandrake – </w:t>
      </w:r>
      <w:r w:rsidRPr="00385CDE">
        <w:rPr>
          <w:rStyle w:val="IntenseEmphasis"/>
          <w:rFonts w:ascii="Times New Roman" w:hAnsi="Times New Roman" w:cs="Times New Roman"/>
          <w:b w:val="0"/>
          <w:color w:val="auto"/>
          <w:sz w:val="24"/>
          <w:szCs w:val="24"/>
        </w:rPr>
        <w:t xml:space="preserve">Mandragora spp. (L. mandragora, Gk. </w:t>
      </w:r>
      <w:r w:rsidRPr="00385CDE">
        <w:rPr>
          <w:rStyle w:val="IntenseEmphasis"/>
          <w:rFonts w:ascii="Times New Roman" w:hAnsi="Times New Roman" w:cs="Times New Roman"/>
          <w:b w:val="0"/>
          <w:color w:val="auto"/>
          <w:sz w:val="24"/>
          <w:szCs w:val="24"/>
          <w:lang w:val="el-GR"/>
        </w:rPr>
        <w:t>μανδραγόρᾱς</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proofErr w:type="gramStart"/>
      <w:r w:rsidRPr="00385CDE">
        <w:rPr>
          <w:rStyle w:val="IntenseEmphasis"/>
          <w:rFonts w:ascii="Times New Roman" w:hAnsi="Times New Roman" w:cs="Times New Roman"/>
          <w:b w:val="0"/>
          <w:i w:val="0"/>
          <w:color w:val="auto"/>
          <w:sz w:val="24"/>
          <w:szCs w:val="24"/>
        </w:rPr>
        <w:t xml:space="preserve">Mint* – </w:t>
      </w:r>
      <w:r w:rsidRPr="00385CDE">
        <w:rPr>
          <w:rStyle w:val="IntenseEmphasis"/>
          <w:rFonts w:ascii="Times New Roman" w:hAnsi="Times New Roman" w:cs="Times New Roman"/>
          <w:b w:val="0"/>
          <w:color w:val="auto"/>
          <w:sz w:val="24"/>
          <w:szCs w:val="24"/>
        </w:rPr>
        <w:t xml:space="preserve">Mentha spp. (L. menta, et al., Gk. </w:t>
      </w:r>
      <w:r w:rsidRPr="00385CDE">
        <w:rPr>
          <w:rStyle w:val="IntenseEmphasis"/>
          <w:rFonts w:ascii="Times New Roman" w:hAnsi="Times New Roman" w:cs="Times New Roman"/>
          <w:b w:val="0"/>
          <w:color w:val="auto"/>
          <w:sz w:val="24"/>
          <w:szCs w:val="24"/>
          <w:lang w:val="el-GR"/>
        </w:rPr>
        <w:t>μίνθη</w:t>
      </w:r>
      <w:r w:rsidRPr="00385CDE">
        <w:rPr>
          <w:rStyle w:val="IntenseEmphasis"/>
          <w:rFonts w:ascii="Times New Roman" w:hAnsi="Times New Roman" w:cs="Times New Roman"/>
          <w:b w:val="0"/>
          <w:color w:val="auto"/>
          <w:sz w:val="24"/>
          <w:szCs w:val="24"/>
        </w:rPr>
        <w:t>, et al.)</w:t>
      </w:r>
      <w:proofErr w:type="gramEnd"/>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Moly* – [unknown] </w:t>
      </w:r>
      <w:r w:rsidRPr="00385CDE">
        <w:rPr>
          <w:rStyle w:val="IntenseEmphasis"/>
          <w:rFonts w:ascii="Times New Roman" w:hAnsi="Times New Roman" w:cs="Times New Roman"/>
          <w:b w:val="0"/>
          <w:color w:val="auto"/>
          <w:sz w:val="24"/>
          <w:szCs w:val="24"/>
        </w:rPr>
        <w:t xml:space="preserve">(L. moly, Gk. </w:t>
      </w:r>
      <w:r w:rsidRPr="00385CDE">
        <w:rPr>
          <w:rStyle w:val="IntenseEmphasis"/>
          <w:rFonts w:ascii="Times New Roman" w:hAnsi="Times New Roman" w:cs="Times New Roman"/>
          <w:b w:val="0"/>
          <w:color w:val="auto"/>
          <w:sz w:val="24"/>
          <w:szCs w:val="24"/>
          <w:lang w:val="el-GR"/>
        </w:rPr>
        <w:t>μωλύ</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Myrrh – </w:t>
      </w:r>
      <w:r w:rsidRPr="00385CDE">
        <w:rPr>
          <w:rStyle w:val="IntenseEmphasis"/>
          <w:rFonts w:ascii="Times New Roman" w:hAnsi="Times New Roman" w:cs="Times New Roman"/>
          <w:b w:val="0"/>
          <w:color w:val="auto"/>
          <w:sz w:val="24"/>
          <w:szCs w:val="24"/>
        </w:rPr>
        <w:t xml:space="preserve">Commiphora spp. (L. balsamum or myrrha, Gk. </w:t>
      </w:r>
      <w:r w:rsidRPr="00385CDE">
        <w:rPr>
          <w:rStyle w:val="IntenseEmphasis"/>
          <w:rFonts w:ascii="Times New Roman" w:hAnsi="Times New Roman" w:cs="Times New Roman"/>
          <w:b w:val="0"/>
          <w:color w:val="auto"/>
          <w:sz w:val="24"/>
          <w:szCs w:val="24"/>
          <w:lang w:val="el-GR"/>
        </w:rPr>
        <w:t>σμύρνα</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lang w:val="es-ES"/>
        </w:rPr>
      </w:pPr>
      <w:r w:rsidRPr="00385CDE">
        <w:rPr>
          <w:rStyle w:val="IntenseEmphasis"/>
          <w:rFonts w:ascii="Times New Roman" w:hAnsi="Times New Roman" w:cs="Times New Roman"/>
          <w:b w:val="0"/>
          <w:i w:val="0"/>
          <w:color w:val="auto"/>
          <w:sz w:val="24"/>
          <w:szCs w:val="24"/>
          <w:lang w:val="es-ES"/>
        </w:rPr>
        <w:t xml:space="preserve">Olive – </w:t>
      </w:r>
      <w:r w:rsidRPr="00385CDE">
        <w:rPr>
          <w:rStyle w:val="IntenseEmphasis"/>
          <w:rFonts w:ascii="Times New Roman" w:hAnsi="Times New Roman" w:cs="Times New Roman"/>
          <w:b w:val="0"/>
          <w:color w:val="auto"/>
          <w:sz w:val="24"/>
          <w:szCs w:val="24"/>
          <w:lang w:val="es-ES"/>
        </w:rPr>
        <w:t xml:space="preserve">Olea europaea (L. olea, Gk. </w:t>
      </w:r>
      <w:r w:rsidRPr="00385CDE">
        <w:rPr>
          <w:rStyle w:val="IntenseEmphasis"/>
          <w:rFonts w:ascii="Times New Roman" w:hAnsi="Times New Roman" w:cs="Times New Roman"/>
          <w:b w:val="0"/>
          <w:color w:val="auto"/>
          <w:sz w:val="24"/>
          <w:szCs w:val="24"/>
          <w:lang w:val="el-GR"/>
        </w:rPr>
        <w:t>ελαία</w:t>
      </w:r>
      <w:r w:rsidRPr="00385CDE">
        <w:rPr>
          <w:rStyle w:val="IntenseEmphasis"/>
          <w:rFonts w:ascii="Times New Roman" w:hAnsi="Times New Roman" w:cs="Times New Roman"/>
          <w:b w:val="0"/>
          <w:color w:val="auto"/>
          <w:sz w:val="24"/>
          <w:szCs w:val="24"/>
          <w:lang w:val="es-ES"/>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lang w:val="es-ES"/>
        </w:rPr>
      </w:pPr>
      <w:r w:rsidRPr="00385CDE">
        <w:rPr>
          <w:rStyle w:val="IntenseEmphasis"/>
          <w:rFonts w:ascii="Times New Roman" w:hAnsi="Times New Roman" w:cs="Times New Roman"/>
          <w:b w:val="0"/>
          <w:i w:val="0"/>
          <w:color w:val="auto"/>
          <w:sz w:val="24"/>
          <w:szCs w:val="24"/>
          <w:lang w:val="es-ES"/>
        </w:rPr>
        <w:t xml:space="preserve">Onion (red) – </w:t>
      </w:r>
      <w:r w:rsidRPr="00385CDE">
        <w:rPr>
          <w:rStyle w:val="IntenseEmphasis"/>
          <w:rFonts w:ascii="Times New Roman" w:hAnsi="Times New Roman" w:cs="Times New Roman"/>
          <w:b w:val="0"/>
          <w:color w:val="auto"/>
          <w:sz w:val="24"/>
          <w:szCs w:val="24"/>
          <w:lang w:val="es-ES"/>
        </w:rPr>
        <w:t xml:space="preserve">Allium cepa (L. cepa, Gk. </w:t>
      </w:r>
      <w:r w:rsidRPr="00385CDE">
        <w:rPr>
          <w:rStyle w:val="IntenseEmphasis"/>
          <w:rFonts w:ascii="Times New Roman" w:hAnsi="Times New Roman" w:cs="Times New Roman"/>
          <w:b w:val="0"/>
          <w:color w:val="auto"/>
          <w:sz w:val="24"/>
          <w:szCs w:val="24"/>
          <w:lang w:val="el-GR"/>
        </w:rPr>
        <w:t>κρόμμυον</w:t>
      </w:r>
      <w:r w:rsidRPr="00385CDE">
        <w:rPr>
          <w:rStyle w:val="IntenseEmphasis"/>
          <w:rFonts w:ascii="Times New Roman" w:hAnsi="Times New Roman" w:cs="Times New Roman"/>
          <w:b w:val="0"/>
          <w:color w:val="auto"/>
          <w:sz w:val="24"/>
          <w:szCs w:val="24"/>
          <w:lang w:val="es-ES"/>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lang w:val="es-ES"/>
        </w:rPr>
      </w:pPr>
      <w:r w:rsidRPr="00385CDE">
        <w:rPr>
          <w:rStyle w:val="IntenseEmphasis"/>
          <w:rFonts w:ascii="Times New Roman" w:hAnsi="Times New Roman" w:cs="Times New Roman"/>
          <w:b w:val="0"/>
          <w:i w:val="0"/>
          <w:color w:val="auto"/>
          <w:sz w:val="24"/>
          <w:szCs w:val="24"/>
          <w:lang w:val="es-ES"/>
        </w:rPr>
        <w:t xml:space="preserve">Oregano – </w:t>
      </w:r>
      <w:r w:rsidRPr="00385CDE">
        <w:rPr>
          <w:rStyle w:val="IntenseEmphasis"/>
          <w:rFonts w:ascii="Times New Roman" w:hAnsi="Times New Roman" w:cs="Times New Roman"/>
          <w:b w:val="0"/>
          <w:color w:val="auto"/>
          <w:sz w:val="24"/>
          <w:szCs w:val="24"/>
          <w:lang w:val="es-ES"/>
        </w:rPr>
        <w:t xml:space="preserve">Origanum vulgare (L. origanum, Gk. </w:t>
      </w:r>
      <w:r w:rsidRPr="00385CDE">
        <w:rPr>
          <w:rStyle w:val="IntenseEmphasis"/>
          <w:rFonts w:ascii="Times New Roman" w:hAnsi="Times New Roman" w:cs="Times New Roman"/>
          <w:b w:val="0"/>
          <w:color w:val="auto"/>
          <w:sz w:val="24"/>
          <w:szCs w:val="24"/>
          <w:lang w:val="el-GR"/>
        </w:rPr>
        <w:t>ὀρίγανον</w:t>
      </w:r>
      <w:r w:rsidRPr="00385CDE">
        <w:rPr>
          <w:rStyle w:val="IntenseEmphasis"/>
          <w:rFonts w:ascii="Times New Roman" w:hAnsi="Times New Roman" w:cs="Times New Roman"/>
          <w:b w:val="0"/>
          <w:color w:val="auto"/>
          <w:sz w:val="24"/>
          <w:szCs w:val="24"/>
          <w:lang w:val="es-ES"/>
        </w:rPr>
        <w:t>, -</w:t>
      </w:r>
      <w:r w:rsidRPr="00385CDE">
        <w:rPr>
          <w:rStyle w:val="IntenseEmphasis"/>
          <w:rFonts w:ascii="Times New Roman" w:hAnsi="Times New Roman" w:cs="Times New Roman"/>
          <w:b w:val="0"/>
          <w:color w:val="auto"/>
          <w:sz w:val="24"/>
          <w:szCs w:val="24"/>
          <w:lang w:val="el-GR"/>
        </w:rPr>
        <w:t>ος</w:t>
      </w:r>
      <w:r w:rsidRPr="00385CDE">
        <w:rPr>
          <w:rStyle w:val="IntenseEmphasis"/>
          <w:rFonts w:ascii="Times New Roman" w:hAnsi="Times New Roman" w:cs="Times New Roman"/>
          <w:b w:val="0"/>
          <w:color w:val="auto"/>
          <w:sz w:val="24"/>
          <w:szCs w:val="24"/>
          <w:lang w:val="es-ES"/>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Pennyroyal – </w:t>
      </w:r>
      <w:r w:rsidRPr="00385CDE">
        <w:rPr>
          <w:rStyle w:val="IntenseEmphasis"/>
          <w:rFonts w:ascii="Times New Roman" w:hAnsi="Times New Roman" w:cs="Times New Roman"/>
          <w:b w:val="0"/>
          <w:color w:val="auto"/>
          <w:sz w:val="24"/>
          <w:szCs w:val="24"/>
        </w:rPr>
        <w:t xml:space="preserve">Mentha pulegium (L. pulegium, Gk. </w:t>
      </w:r>
      <w:r w:rsidRPr="00385CDE">
        <w:rPr>
          <w:rStyle w:val="IntenseEmphasis"/>
          <w:rFonts w:ascii="Times New Roman" w:hAnsi="Times New Roman" w:cs="Times New Roman"/>
          <w:b w:val="0"/>
          <w:color w:val="auto"/>
          <w:sz w:val="24"/>
          <w:szCs w:val="24"/>
          <w:lang w:val="el-GR"/>
        </w:rPr>
        <w:t>γλήχων</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Poppy – </w:t>
      </w:r>
      <w:r w:rsidRPr="00385CDE">
        <w:rPr>
          <w:rStyle w:val="IntenseEmphasis"/>
          <w:rFonts w:ascii="Times New Roman" w:hAnsi="Times New Roman" w:cs="Times New Roman"/>
          <w:b w:val="0"/>
          <w:color w:val="auto"/>
          <w:sz w:val="24"/>
          <w:szCs w:val="24"/>
        </w:rPr>
        <w:t xml:space="preserve">Papaver somniferum (L. papaver, Gk. </w:t>
      </w:r>
      <w:r w:rsidRPr="00385CDE">
        <w:rPr>
          <w:rStyle w:val="IntenseEmphasis"/>
          <w:rFonts w:ascii="Times New Roman" w:hAnsi="Times New Roman" w:cs="Times New Roman"/>
          <w:b w:val="0"/>
          <w:color w:val="auto"/>
          <w:sz w:val="24"/>
          <w:szCs w:val="24"/>
          <w:lang w:val="el-GR"/>
        </w:rPr>
        <w:t>μήκων</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Reeds* (green) – [unknown] </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Squill – </w:t>
      </w:r>
      <w:r w:rsidRPr="00385CDE">
        <w:rPr>
          <w:rStyle w:val="IntenseEmphasis"/>
          <w:rFonts w:ascii="Times New Roman" w:hAnsi="Times New Roman" w:cs="Times New Roman"/>
          <w:b w:val="0"/>
          <w:color w:val="auto"/>
          <w:sz w:val="24"/>
          <w:szCs w:val="24"/>
        </w:rPr>
        <w:t xml:space="preserve">Squilla or Urginea maritime (L. scilla, Gk. </w:t>
      </w:r>
      <w:r w:rsidRPr="00385CDE">
        <w:rPr>
          <w:rStyle w:val="IntenseEmphasis"/>
          <w:rFonts w:ascii="Times New Roman" w:hAnsi="Times New Roman" w:cs="Times New Roman"/>
          <w:b w:val="0"/>
          <w:color w:val="auto"/>
          <w:sz w:val="24"/>
          <w:szCs w:val="24"/>
          <w:lang w:val="el-GR"/>
        </w:rPr>
        <w:t>σκίλλη</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Trefoil (clover, red or white) – </w:t>
      </w:r>
      <w:r w:rsidRPr="00385CDE">
        <w:rPr>
          <w:rStyle w:val="IntenseEmphasis"/>
          <w:rFonts w:ascii="Times New Roman" w:hAnsi="Times New Roman" w:cs="Times New Roman"/>
          <w:b w:val="0"/>
          <w:color w:val="auto"/>
          <w:sz w:val="24"/>
          <w:szCs w:val="24"/>
        </w:rPr>
        <w:t xml:space="preserve">Trifolium pratense or repens (L. lotos, Gk. </w:t>
      </w:r>
      <w:r w:rsidRPr="00385CDE">
        <w:rPr>
          <w:rStyle w:val="IntenseEmphasis"/>
          <w:rFonts w:ascii="Times New Roman" w:hAnsi="Times New Roman" w:cs="Times New Roman"/>
          <w:b w:val="0"/>
          <w:color w:val="auto"/>
          <w:sz w:val="24"/>
          <w:szCs w:val="24"/>
          <w:lang w:val="el-GR"/>
        </w:rPr>
        <w:t>λωτός</w:t>
      </w:r>
      <w:r w:rsidRPr="00385CDE">
        <w:rPr>
          <w:rStyle w:val="IntenseEmphasis"/>
          <w:rFonts w:ascii="Times New Roman" w:hAnsi="Times New Roman" w:cs="Times New Roman"/>
          <w:b w:val="0"/>
          <w:color w:val="auto"/>
          <w:sz w:val="24"/>
          <w:szCs w:val="24"/>
        </w:rPr>
        <w:t>)</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t xml:space="preserve">Wormwood – </w:t>
      </w:r>
      <w:r w:rsidRPr="00385CDE">
        <w:rPr>
          <w:rStyle w:val="IntenseEmphasis"/>
          <w:rFonts w:ascii="Times New Roman" w:hAnsi="Times New Roman" w:cs="Times New Roman"/>
          <w:b w:val="0"/>
          <w:color w:val="auto"/>
          <w:sz w:val="24"/>
          <w:szCs w:val="24"/>
        </w:rPr>
        <w:t xml:space="preserve">Artemisia absinthium (L. absinthium, Gk. </w:t>
      </w:r>
      <w:r w:rsidRPr="00385CDE">
        <w:rPr>
          <w:rStyle w:val="IntenseEmphasis"/>
          <w:rFonts w:ascii="Times New Roman" w:hAnsi="Times New Roman" w:cs="Times New Roman"/>
          <w:b w:val="0"/>
          <w:color w:val="auto"/>
          <w:sz w:val="24"/>
          <w:szCs w:val="24"/>
          <w:lang w:val="el-GR"/>
        </w:rPr>
        <w:t>ἀψίνθιον</w:t>
      </w:r>
      <w:r w:rsidRPr="00385CDE">
        <w:rPr>
          <w:rStyle w:val="IntenseEmphasis"/>
          <w:rFonts w:ascii="Times New Roman" w:hAnsi="Times New Roman" w:cs="Times New Roman"/>
          <w:b w:val="0"/>
          <w:color w:val="auto"/>
          <w:sz w:val="24"/>
          <w:szCs w:val="24"/>
        </w:rPr>
        <w:t>)</w:t>
      </w:r>
    </w:p>
    <w:p w:rsidR="00385CDE" w:rsidRDefault="00385CDE" w:rsidP="00385CDE">
      <w:pPr>
        <w:spacing w:after="0" w:line="480" w:lineRule="auto"/>
      </w:pPr>
    </w:p>
    <w:p w:rsidR="00385CDE" w:rsidRDefault="00385CDE" w:rsidP="00385CDE">
      <w:pPr>
        <w:pStyle w:val="ListParagraph"/>
        <w:numPr>
          <w:ilvl w:val="0"/>
          <w:numId w:val="11"/>
        </w:numPr>
        <w:spacing w:after="0" w:line="480" w:lineRule="auto"/>
        <w:rPr>
          <w:rFonts w:ascii="Times New Roman" w:hAnsi="Times New Roman" w:cs="Times New Roman"/>
          <w:sz w:val="24"/>
          <w:szCs w:val="24"/>
        </w:rPr>
      </w:pPr>
      <w:r>
        <w:rPr>
          <w:rFonts w:ascii="Times New Roman" w:hAnsi="Times New Roman" w:cs="Times New Roman"/>
          <w:sz w:val="24"/>
          <w:szCs w:val="24"/>
        </w:rPr>
        <w:t>Difficulties in Identification</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Aristotle</w:t>
      </w:r>
      <w:r>
        <w:rPr>
          <w:rStyle w:val="FootnoteReference"/>
          <w:rFonts w:ascii="Times New Roman" w:hAnsi="Times New Roman" w:cs="Times New Roman"/>
          <w:sz w:val="24"/>
          <w:szCs w:val="24"/>
        </w:rPr>
        <w:footnoteReference w:id="83"/>
      </w:r>
      <w:r>
        <w:rPr>
          <w:rFonts w:ascii="Times New Roman" w:hAnsi="Times New Roman" w:cs="Times New Roman"/>
          <w:sz w:val="24"/>
          <w:szCs w:val="24"/>
        </w:rPr>
        <w:t xml:space="preserve"> sums up the issues which herbalists in the 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 BCE faced thusly:</w:t>
      </w:r>
    </w:p>
    <w:p w:rsidR="00385CDE" w:rsidRDefault="00385CDE" w:rsidP="00385CDE">
      <w:pPr>
        <w:spacing w:line="480" w:lineRule="auto"/>
        <w:ind w:left="2160"/>
        <w:rPr>
          <w:rFonts w:ascii="Times New Roman" w:hAnsi="Times New Roman" w:cs="Times New Roman"/>
          <w:sz w:val="24"/>
          <w:szCs w:val="24"/>
        </w:rPr>
      </w:pPr>
      <w:r>
        <w:rPr>
          <w:rFonts w:ascii="Times New Roman" w:hAnsi="Times New Roman" w:cs="Times New Roman"/>
          <w:sz w:val="24"/>
          <w:szCs w:val="24"/>
        </w:rPr>
        <w:t>[…] We must, then, when we have considered these things [about variance in plant biology and its causes]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again make a conjecture as to how we are to know the individual trees and the individual genera.  Similarly about the wild herbs, how can we recognize what the ancients have said?  How?  If we read carefully the books they have written, we could with a comprehensive inquiry investigate the gist of them, and recognize those </w:t>
      </w:r>
      <w:r>
        <w:rPr>
          <w:rFonts w:ascii="Times New Roman" w:hAnsi="Times New Roman" w:cs="Times New Roman"/>
          <w:sz w:val="24"/>
          <w:szCs w:val="24"/>
        </w:rPr>
        <w:lastRenderedPageBreak/>
        <w:t>herbs which are oily, those which have only seed, those which supply something of value, those of use in medicine, and those which are poisonous.  We shall deal with trees in the same way as with herbs.  But to understand the reasons for them [i.e. the variants] we must inquire into their origin [with regards to the changes in physiology caused by different climates and planting techniques], and we must inquire into the distinctive properties of plants and still more of their roots; why some fruits are soft and some not; and why some produce love, some sleep and some cause death, and many other differences.</w:t>
      </w:r>
    </w:p>
    <w:p w:rsidR="00385CDE" w:rsidRDefault="00385CDE" w:rsidP="00385CDE">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whole of </w:t>
      </w:r>
      <w:r>
        <w:rPr>
          <w:rFonts w:ascii="Times New Roman" w:hAnsi="Times New Roman" w:cs="Times New Roman"/>
          <w:i/>
          <w:sz w:val="24"/>
          <w:szCs w:val="24"/>
        </w:rPr>
        <w:t>On Plants</w:t>
      </w:r>
      <w:r>
        <w:rPr>
          <w:rStyle w:val="FootnoteReference"/>
          <w:rFonts w:ascii="Times New Roman" w:hAnsi="Times New Roman" w:cs="Times New Roman"/>
          <w:sz w:val="24"/>
          <w:szCs w:val="24"/>
        </w:rPr>
        <w:footnoteReference w:id="84"/>
      </w:r>
      <w:r>
        <w:rPr>
          <w:rFonts w:ascii="Times New Roman" w:hAnsi="Times New Roman" w:cs="Times New Roman"/>
          <w:sz w:val="24"/>
          <w:szCs w:val="24"/>
        </w:rPr>
        <w:t xml:space="preserve"> addresses a gamut of concerns which may have attributed to confusion amongst contemporary and later Classical authors when recommending plants for medicinal and magical use.  Namely, those concerns are unusual growth (which may have led some researchers to mistakenly believe they had found a new variant), misleading assortment into </w:t>
      </w:r>
      <w:r>
        <w:rPr>
          <w:rFonts w:ascii="Times New Roman" w:hAnsi="Times New Roman" w:cs="Times New Roman"/>
          <w:i/>
          <w:sz w:val="24"/>
          <w:szCs w:val="24"/>
        </w:rPr>
        <w:t>sativa</w:t>
      </w:r>
      <w:r>
        <w:rPr>
          <w:rFonts w:ascii="Times New Roman" w:hAnsi="Times New Roman" w:cs="Times New Roman"/>
          <w:sz w:val="24"/>
          <w:szCs w:val="24"/>
        </w:rPr>
        <w:t xml:space="preserve"> (wild) and </w:t>
      </w:r>
      <w:r>
        <w:rPr>
          <w:rFonts w:ascii="Times New Roman" w:hAnsi="Times New Roman" w:cs="Times New Roman"/>
          <w:i/>
          <w:sz w:val="24"/>
          <w:szCs w:val="24"/>
        </w:rPr>
        <w:t>comunis</w:t>
      </w:r>
      <w:r>
        <w:rPr>
          <w:rFonts w:ascii="Times New Roman" w:hAnsi="Times New Roman" w:cs="Times New Roman"/>
          <w:sz w:val="24"/>
          <w:szCs w:val="24"/>
        </w:rPr>
        <w:t xml:space="preserve"> (garden variety) sub-classifications (specifically, having multiple </w:t>
      </w:r>
      <w:r>
        <w:rPr>
          <w:rFonts w:ascii="Times New Roman" w:hAnsi="Times New Roman" w:cs="Times New Roman"/>
          <w:i/>
          <w:sz w:val="24"/>
          <w:szCs w:val="24"/>
        </w:rPr>
        <w:t>sativa</w:t>
      </w:r>
      <w:r>
        <w:rPr>
          <w:rFonts w:ascii="Times New Roman" w:hAnsi="Times New Roman" w:cs="Times New Roman"/>
          <w:sz w:val="24"/>
          <w:szCs w:val="24"/>
        </w:rPr>
        <w:t xml:space="preserve"> breeds or calling one plant by both breeds</w:t>
      </w:r>
      <w:r>
        <w:rPr>
          <w:rStyle w:val="FootnoteReference"/>
          <w:rFonts w:ascii="Times New Roman" w:hAnsi="Times New Roman" w:cs="Times New Roman"/>
          <w:sz w:val="24"/>
          <w:szCs w:val="24"/>
        </w:rPr>
        <w:footnoteReference w:id="85"/>
      </w:r>
      <w:r>
        <w:rPr>
          <w:rFonts w:ascii="Times New Roman" w:hAnsi="Times New Roman" w:cs="Times New Roman"/>
          <w:sz w:val="24"/>
          <w:szCs w:val="24"/>
        </w:rPr>
        <w:t>), “difference of district” (i.e. habitat)</w:t>
      </w:r>
      <w:r>
        <w:rPr>
          <w:rStyle w:val="FootnoteReference"/>
          <w:rFonts w:ascii="Times New Roman" w:hAnsi="Times New Roman" w:cs="Times New Roman"/>
          <w:sz w:val="24"/>
          <w:szCs w:val="24"/>
        </w:rPr>
        <w:footnoteReference w:id="86"/>
      </w:r>
      <w:r>
        <w:rPr>
          <w:rFonts w:ascii="Times New Roman" w:hAnsi="Times New Roman" w:cs="Times New Roman"/>
          <w:sz w:val="24"/>
          <w:szCs w:val="24"/>
        </w:rPr>
        <w:t>, uncanny physical similarity to unrelated herbs, variations in grafted or gardened wild herbs, transformation of physicality and notable properties over time, and differences between plant genders</w:t>
      </w:r>
      <w:r>
        <w:rPr>
          <w:rStyle w:val="FootnoteReference"/>
          <w:rFonts w:ascii="Times New Roman" w:hAnsi="Times New Roman" w:cs="Times New Roman"/>
          <w:sz w:val="24"/>
          <w:szCs w:val="24"/>
        </w:rPr>
        <w:footnoteReference w:id="87"/>
      </w:r>
      <w:r>
        <w:rPr>
          <w:rFonts w:ascii="Times New Roman" w:hAnsi="Times New Roman" w:cs="Times New Roman"/>
          <w:sz w:val="24"/>
          <w:szCs w:val="24"/>
        </w:rPr>
        <w:t xml:space="preserve">.  Certainly later authors like Dioscorides were aware of this gamut and strove to make as accurate an identification of medicinally useful herbs as resources allowed, but for the five herbs in this case study which are starred – Datura, Hellebore, Mint, Moly, and Reeds – some educated speculation as to their intended identity is still required.  </w:t>
      </w:r>
    </w:p>
    <w:p w:rsidR="00385CDE" w:rsidRPr="00385CDE" w:rsidRDefault="00385CDE" w:rsidP="00385CDE">
      <w:pPr>
        <w:pStyle w:val="ListParagraph"/>
        <w:spacing w:after="0" w:line="480" w:lineRule="auto"/>
        <w:ind w:left="0" w:firstLine="720"/>
        <w:rPr>
          <w:rStyle w:val="IntenseEmphasis"/>
          <w:b w:val="0"/>
          <w:i w:val="0"/>
          <w:color w:val="auto"/>
        </w:rPr>
      </w:pPr>
      <w:r>
        <w:rPr>
          <w:rFonts w:ascii="Times New Roman" w:hAnsi="Times New Roman" w:cs="Times New Roman"/>
          <w:sz w:val="24"/>
          <w:szCs w:val="24"/>
        </w:rPr>
        <w:lastRenderedPageBreak/>
        <w:t xml:space="preserve">Consider first </w:t>
      </w:r>
      <w:r>
        <w:rPr>
          <w:rFonts w:ascii="Times New Roman" w:hAnsi="Times New Roman" w:cs="Times New Roman"/>
          <w:b/>
          <w:sz w:val="24"/>
          <w:szCs w:val="24"/>
        </w:rPr>
        <w:t>Datura</w:t>
      </w:r>
      <w:r>
        <w:rPr>
          <w:rFonts w:ascii="Times New Roman" w:hAnsi="Times New Roman" w:cs="Times New Roman"/>
          <w:sz w:val="24"/>
          <w:szCs w:val="24"/>
        </w:rPr>
        <w:t>, for which we have from Dioscorides only the herb’s genus.  Hünemörder</w:t>
      </w:r>
      <w:r>
        <w:rPr>
          <w:rStyle w:val="FootnoteReference"/>
          <w:rFonts w:ascii="Times New Roman" w:hAnsi="Times New Roman" w:cs="Times New Roman"/>
          <w:sz w:val="24"/>
          <w:szCs w:val="24"/>
        </w:rPr>
        <w:footnoteReference w:id="88"/>
      </w:r>
      <w:r>
        <w:rPr>
          <w:rFonts w:ascii="Times New Roman" w:hAnsi="Times New Roman" w:cs="Times New Roman"/>
          <w:sz w:val="24"/>
          <w:szCs w:val="24"/>
        </w:rPr>
        <w:t xml:space="preserve">, </w:t>
      </w:r>
      <w:r w:rsidRPr="00385CDE">
        <w:rPr>
          <w:rStyle w:val="IntenseEmphasis"/>
          <w:rFonts w:ascii="Times New Roman" w:hAnsi="Times New Roman" w:cs="Times New Roman"/>
          <w:b w:val="0"/>
          <w:i w:val="0"/>
          <w:color w:val="auto"/>
          <w:sz w:val="24"/>
          <w:szCs w:val="24"/>
        </w:rPr>
        <w:t xml:space="preserve">who lumps all four </w:t>
      </w:r>
      <w:r w:rsidRPr="00316778">
        <w:rPr>
          <w:rStyle w:val="IntenseEmphasis"/>
          <w:rFonts w:ascii="Times New Roman" w:hAnsi="Times New Roman" w:cs="Times New Roman"/>
          <w:b w:val="0"/>
          <w:color w:val="auto"/>
          <w:sz w:val="24"/>
          <w:szCs w:val="24"/>
        </w:rPr>
        <w:t>Solanaceae</w:t>
      </w:r>
      <w:r w:rsidRPr="00385CDE">
        <w:rPr>
          <w:rStyle w:val="IntenseEmphasis"/>
          <w:rFonts w:ascii="Times New Roman" w:hAnsi="Times New Roman" w:cs="Times New Roman"/>
          <w:b w:val="0"/>
          <w:i w:val="0"/>
          <w:color w:val="auto"/>
          <w:sz w:val="24"/>
          <w:szCs w:val="24"/>
        </w:rPr>
        <w:t xml:space="preserve"> families together – </w:t>
      </w:r>
      <w:r w:rsidRPr="00316778">
        <w:rPr>
          <w:rStyle w:val="IntenseEmphasis"/>
          <w:rFonts w:ascii="Times New Roman" w:hAnsi="Times New Roman" w:cs="Times New Roman"/>
          <w:b w:val="0"/>
          <w:color w:val="auto"/>
          <w:sz w:val="24"/>
          <w:szCs w:val="24"/>
        </w:rPr>
        <w:t xml:space="preserve">Solanum, Atropa, Physalis, </w:t>
      </w:r>
      <w:r w:rsidRPr="00385CDE">
        <w:rPr>
          <w:rStyle w:val="IntenseEmphasis"/>
          <w:rFonts w:ascii="Times New Roman" w:hAnsi="Times New Roman" w:cs="Times New Roman"/>
          <w:b w:val="0"/>
          <w:i w:val="0"/>
          <w:color w:val="auto"/>
          <w:sz w:val="24"/>
          <w:szCs w:val="24"/>
        </w:rPr>
        <w:t xml:space="preserve">and </w:t>
      </w:r>
      <w:r w:rsidRPr="00316778">
        <w:rPr>
          <w:rStyle w:val="IntenseEmphasis"/>
          <w:rFonts w:ascii="Times New Roman" w:hAnsi="Times New Roman" w:cs="Times New Roman"/>
          <w:b w:val="0"/>
          <w:color w:val="auto"/>
          <w:sz w:val="24"/>
          <w:szCs w:val="24"/>
        </w:rPr>
        <w:t>Datura</w:t>
      </w:r>
      <w:r w:rsidRPr="00385CDE">
        <w:rPr>
          <w:rStyle w:val="IntenseEmphasis"/>
          <w:rFonts w:ascii="Times New Roman" w:hAnsi="Times New Roman" w:cs="Times New Roman"/>
          <w:b w:val="0"/>
          <w:i w:val="0"/>
          <w:color w:val="auto"/>
          <w:sz w:val="24"/>
          <w:szCs w:val="24"/>
        </w:rPr>
        <w:t xml:space="preserve"> – as having all been used similarly in ancient times and interchangeably called </w:t>
      </w:r>
      <w:r w:rsidRPr="00385CDE">
        <w:rPr>
          <w:rStyle w:val="IntenseEmphasis"/>
          <w:rFonts w:ascii="Times New Roman" w:hAnsi="Times New Roman" w:cs="Times New Roman"/>
          <w:b w:val="0"/>
          <w:i w:val="0"/>
          <w:color w:val="auto"/>
          <w:sz w:val="24"/>
          <w:szCs w:val="24"/>
          <w:lang w:val="el-GR"/>
        </w:rPr>
        <w:t>στρύχνος</w:t>
      </w:r>
      <w:r w:rsidRPr="00385CDE">
        <w:rPr>
          <w:rStyle w:val="IntenseEmphasis"/>
          <w:rFonts w:ascii="Times New Roman" w:hAnsi="Times New Roman" w:cs="Times New Roman"/>
          <w:b w:val="0"/>
          <w:i w:val="0"/>
          <w:color w:val="auto"/>
          <w:sz w:val="24"/>
          <w:szCs w:val="24"/>
        </w:rPr>
        <w:t xml:space="preserve">, would have us believe that Dioscorides meant </w:t>
      </w:r>
      <w:r w:rsidRPr="00316778">
        <w:rPr>
          <w:rStyle w:val="IntenseEmphasis"/>
          <w:rFonts w:ascii="Times New Roman" w:hAnsi="Times New Roman" w:cs="Times New Roman"/>
          <w:b w:val="0"/>
          <w:color w:val="auto"/>
          <w:sz w:val="24"/>
          <w:szCs w:val="24"/>
        </w:rPr>
        <w:t>D. stramonium</w:t>
      </w:r>
      <w:r w:rsidRPr="00385CDE">
        <w:rPr>
          <w:rStyle w:val="IntenseEmphasis"/>
          <w:rFonts w:ascii="Times New Roman" w:hAnsi="Times New Roman" w:cs="Times New Roman"/>
          <w:b w:val="0"/>
          <w:i w:val="0"/>
          <w:color w:val="auto"/>
          <w:sz w:val="24"/>
          <w:szCs w:val="24"/>
        </w:rPr>
        <w:t xml:space="preserve"> as the medically useful species.  He gives no citation, but his comments on adverse reactions would lead one to believe that he means </w:t>
      </w:r>
      <w:r w:rsidRPr="00316778">
        <w:rPr>
          <w:rStyle w:val="IntenseEmphasis"/>
          <w:rFonts w:ascii="Times New Roman" w:hAnsi="Times New Roman" w:cs="Times New Roman"/>
          <w:b w:val="0"/>
          <w:color w:val="auto"/>
          <w:sz w:val="24"/>
          <w:szCs w:val="24"/>
        </w:rPr>
        <w:t>DMM</w:t>
      </w:r>
      <w:r w:rsidRPr="00385CDE">
        <w:rPr>
          <w:rStyle w:val="IntenseEmphasis"/>
          <w:rFonts w:ascii="Times New Roman" w:hAnsi="Times New Roman" w:cs="Times New Roman"/>
          <w:b w:val="0"/>
          <w:i w:val="0"/>
          <w:color w:val="auto"/>
          <w:sz w:val="24"/>
          <w:szCs w:val="24"/>
        </w:rPr>
        <w:t xml:space="preserve"> 4.75, which lists “thorn-apple” as a partner of mandrake root in “an antidote against what is called madness [i.e. epilepsy].”  In modern times, thorn-apple is synonymous with Jimsonweed, or </w:t>
      </w:r>
      <w:r w:rsidRPr="00316778">
        <w:rPr>
          <w:rStyle w:val="IntenseEmphasis"/>
          <w:rFonts w:ascii="Times New Roman" w:hAnsi="Times New Roman" w:cs="Times New Roman"/>
          <w:b w:val="0"/>
          <w:color w:val="auto"/>
          <w:sz w:val="24"/>
          <w:szCs w:val="24"/>
        </w:rPr>
        <w:t>D. stramonium,</w:t>
      </w:r>
      <w:r w:rsidRPr="00385CDE">
        <w:rPr>
          <w:rStyle w:val="IntenseEmphasis"/>
          <w:rFonts w:ascii="Times New Roman" w:hAnsi="Times New Roman" w:cs="Times New Roman"/>
          <w:b w:val="0"/>
          <w:i w:val="0"/>
          <w:color w:val="auto"/>
          <w:sz w:val="24"/>
          <w:szCs w:val="24"/>
        </w:rPr>
        <w:t xml:space="preserve"> which would tend to verify Hünemörder’s proposal – except that Jimsonweed as we know it originated in the Americas, and thus would have been unknown to the Greeks and Romans.</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Fonts w:ascii="Times New Roman" w:hAnsi="Times New Roman" w:cs="Times New Roman"/>
          <w:sz w:val="24"/>
          <w:szCs w:val="24"/>
        </w:rPr>
        <w:t xml:space="preserve">Acknowledging that impossibility, </w:t>
      </w:r>
      <w:r w:rsidRPr="00385CDE">
        <w:rPr>
          <w:rStyle w:val="IntenseEmphasis"/>
          <w:rFonts w:ascii="Times New Roman" w:hAnsi="Times New Roman" w:cs="Times New Roman"/>
          <w:b w:val="0"/>
          <w:i w:val="0"/>
          <w:color w:val="auto"/>
          <w:sz w:val="24"/>
          <w:szCs w:val="24"/>
        </w:rPr>
        <w:t>his second educated guess</w:t>
      </w:r>
      <w:r w:rsidRPr="00385CDE">
        <w:rPr>
          <w:rStyle w:val="FootnoteReference"/>
          <w:rFonts w:ascii="Times New Roman" w:hAnsi="Times New Roman" w:cs="Times New Roman"/>
          <w:bCs/>
          <w:iCs/>
          <w:sz w:val="24"/>
          <w:szCs w:val="24"/>
        </w:rPr>
        <w:footnoteReference w:id="89"/>
      </w:r>
      <w:r w:rsidRPr="00385CDE">
        <w:rPr>
          <w:rStyle w:val="IntenseEmphasis"/>
          <w:rFonts w:ascii="Times New Roman" w:hAnsi="Times New Roman" w:cs="Times New Roman"/>
          <w:b w:val="0"/>
          <w:i w:val="0"/>
          <w:color w:val="auto"/>
          <w:sz w:val="24"/>
          <w:szCs w:val="24"/>
        </w:rPr>
        <w:t xml:space="preserve"> is </w:t>
      </w:r>
      <w:r w:rsidRPr="00316778">
        <w:rPr>
          <w:rStyle w:val="IntenseEmphasis"/>
          <w:rFonts w:ascii="Times New Roman" w:hAnsi="Times New Roman" w:cs="Times New Roman"/>
          <w:b w:val="0"/>
          <w:color w:val="auto"/>
          <w:sz w:val="24"/>
          <w:szCs w:val="24"/>
        </w:rPr>
        <w:t>Solanum nigrum,</w:t>
      </w:r>
      <w:r w:rsidRPr="00385CDE">
        <w:rPr>
          <w:rStyle w:val="IntenseEmphasis"/>
          <w:rFonts w:ascii="Times New Roman" w:hAnsi="Times New Roman" w:cs="Times New Roman"/>
          <w:b w:val="0"/>
          <w:i w:val="0"/>
          <w:color w:val="auto"/>
          <w:sz w:val="24"/>
          <w:szCs w:val="24"/>
        </w:rPr>
        <w:t xml:space="preserve"> or black nightshade.  For this, he points to Pliny</w:t>
      </w:r>
      <w:r w:rsidRPr="00385CDE">
        <w:rPr>
          <w:rStyle w:val="FootnoteReference"/>
          <w:rFonts w:ascii="Times New Roman" w:hAnsi="Times New Roman" w:cs="Times New Roman"/>
          <w:bCs/>
          <w:iCs/>
          <w:sz w:val="24"/>
          <w:szCs w:val="24"/>
        </w:rPr>
        <w:footnoteReference w:id="90"/>
      </w:r>
      <w:r w:rsidRPr="00385CDE">
        <w:rPr>
          <w:rStyle w:val="IntenseEmphasis"/>
          <w:rFonts w:ascii="Times New Roman" w:hAnsi="Times New Roman" w:cs="Times New Roman"/>
          <w:b w:val="0"/>
          <w:i w:val="0"/>
          <w:color w:val="auto"/>
          <w:sz w:val="24"/>
          <w:szCs w:val="24"/>
        </w:rPr>
        <w:t>, where it appears in a salve for fighting itches, and to Theophrastus</w:t>
      </w:r>
      <w:r w:rsidRPr="00385CDE">
        <w:rPr>
          <w:rStyle w:val="FootnoteReference"/>
          <w:rFonts w:ascii="Times New Roman" w:hAnsi="Times New Roman" w:cs="Times New Roman"/>
          <w:bCs/>
          <w:iCs/>
          <w:sz w:val="24"/>
          <w:szCs w:val="24"/>
        </w:rPr>
        <w:footnoteReference w:id="91"/>
      </w:r>
      <w:r w:rsidRPr="00385CDE">
        <w:rPr>
          <w:rStyle w:val="IntenseEmphasis"/>
          <w:rFonts w:ascii="Times New Roman" w:hAnsi="Times New Roman" w:cs="Times New Roman"/>
          <w:b w:val="0"/>
          <w:i w:val="0"/>
          <w:color w:val="auto"/>
          <w:sz w:val="24"/>
          <w:szCs w:val="24"/>
        </w:rPr>
        <w:t xml:space="preserve">, where various </w:t>
      </w:r>
      <w:r w:rsidRPr="00316778">
        <w:rPr>
          <w:rStyle w:val="IntenseEmphasis"/>
          <w:rFonts w:ascii="Times New Roman" w:hAnsi="Times New Roman" w:cs="Times New Roman"/>
          <w:b w:val="0"/>
          <w:color w:val="auto"/>
          <w:sz w:val="24"/>
          <w:szCs w:val="24"/>
        </w:rPr>
        <w:t>Solanum</w:t>
      </w:r>
      <w:r w:rsidRPr="00385CDE">
        <w:rPr>
          <w:rStyle w:val="IntenseEmphasis"/>
          <w:rFonts w:ascii="Times New Roman" w:hAnsi="Times New Roman" w:cs="Times New Roman"/>
          <w:b w:val="0"/>
          <w:i w:val="0"/>
          <w:color w:val="auto"/>
          <w:sz w:val="24"/>
          <w:szCs w:val="24"/>
        </w:rPr>
        <w:t xml:space="preserve"> species were deemed worthy narcotics.  Other nightshades exist outside of the genus </w:t>
      </w:r>
      <w:r w:rsidRPr="00316778">
        <w:rPr>
          <w:rStyle w:val="IntenseEmphasis"/>
          <w:rFonts w:ascii="Times New Roman" w:hAnsi="Times New Roman" w:cs="Times New Roman"/>
          <w:b w:val="0"/>
          <w:color w:val="auto"/>
          <w:sz w:val="24"/>
          <w:szCs w:val="24"/>
        </w:rPr>
        <w:t>Solanum,</w:t>
      </w:r>
      <w:r w:rsidRPr="00385CDE">
        <w:rPr>
          <w:rStyle w:val="IntenseEmphasis"/>
          <w:rFonts w:ascii="Times New Roman" w:hAnsi="Times New Roman" w:cs="Times New Roman"/>
          <w:b w:val="0"/>
          <w:i w:val="0"/>
          <w:color w:val="auto"/>
          <w:sz w:val="24"/>
          <w:szCs w:val="24"/>
        </w:rPr>
        <w:t xml:space="preserve"> though, including </w:t>
      </w:r>
      <w:r w:rsidRPr="00316778">
        <w:rPr>
          <w:rStyle w:val="IntenseEmphasis"/>
          <w:rFonts w:ascii="Times New Roman" w:hAnsi="Times New Roman" w:cs="Times New Roman"/>
          <w:b w:val="0"/>
          <w:color w:val="auto"/>
          <w:sz w:val="24"/>
          <w:szCs w:val="24"/>
        </w:rPr>
        <w:t>Atropa belladonna,</w:t>
      </w:r>
      <w:r w:rsidRPr="00385CDE">
        <w:rPr>
          <w:rStyle w:val="IntenseEmphasis"/>
          <w:rFonts w:ascii="Times New Roman" w:hAnsi="Times New Roman" w:cs="Times New Roman"/>
          <w:b w:val="0"/>
          <w:i w:val="0"/>
          <w:color w:val="auto"/>
          <w:sz w:val="24"/>
          <w:szCs w:val="24"/>
        </w:rPr>
        <w:t xml:space="preserve"> which came to be used most famously in medieval times for personal beautification, as its poisonous juice makes the eyes dilate and the skin blanch.  Ignoring the time-lapse between the 1</w:t>
      </w:r>
      <w:r w:rsidRPr="00385CDE">
        <w:rPr>
          <w:rStyle w:val="IntenseEmphasis"/>
          <w:rFonts w:ascii="Times New Roman" w:hAnsi="Times New Roman" w:cs="Times New Roman"/>
          <w:b w:val="0"/>
          <w:i w:val="0"/>
          <w:color w:val="auto"/>
          <w:sz w:val="24"/>
          <w:szCs w:val="24"/>
          <w:vertAlign w:val="superscript"/>
        </w:rPr>
        <w:t>st</w:t>
      </w:r>
      <w:r w:rsidRPr="00385CDE">
        <w:rPr>
          <w:rStyle w:val="IntenseEmphasis"/>
          <w:rFonts w:ascii="Times New Roman" w:hAnsi="Times New Roman" w:cs="Times New Roman"/>
          <w:b w:val="0"/>
          <w:i w:val="0"/>
          <w:color w:val="auto"/>
          <w:sz w:val="24"/>
          <w:szCs w:val="24"/>
        </w:rPr>
        <w:t xml:space="preserve"> c. AD, when Dioscorides wrote his account, and the </w:t>
      </w:r>
      <w:proofErr w:type="gramStart"/>
      <w:r w:rsidRPr="00385CDE">
        <w:rPr>
          <w:rStyle w:val="IntenseEmphasis"/>
          <w:rFonts w:ascii="Times New Roman" w:hAnsi="Times New Roman" w:cs="Times New Roman"/>
          <w:b w:val="0"/>
          <w:i w:val="0"/>
          <w:color w:val="auto"/>
          <w:sz w:val="24"/>
          <w:szCs w:val="24"/>
        </w:rPr>
        <w:t>Middle</w:t>
      </w:r>
      <w:proofErr w:type="gramEnd"/>
      <w:r w:rsidRPr="00385CDE">
        <w:rPr>
          <w:rStyle w:val="IntenseEmphasis"/>
          <w:rFonts w:ascii="Times New Roman" w:hAnsi="Times New Roman" w:cs="Times New Roman"/>
          <w:b w:val="0"/>
          <w:i w:val="0"/>
          <w:color w:val="auto"/>
          <w:sz w:val="24"/>
          <w:szCs w:val="24"/>
        </w:rPr>
        <w:t xml:space="preserve"> Ages, it seems noteworthy that no mention of these side-effects is made in the </w:t>
      </w:r>
      <w:r w:rsidRPr="00316778">
        <w:rPr>
          <w:rStyle w:val="IntenseEmphasis"/>
          <w:rFonts w:ascii="Times New Roman" w:hAnsi="Times New Roman" w:cs="Times New Roman"/>
          <w:b w:val="0"/>
          <w:color w:val="auto"/>
          <w:sz w:val="24"/>
          <w:szCs w:val="24"/>
        </w:rPr>
        <w:t>DMM,</w:t>
      </w:r>
      <w:r w:rsidRPr="00385CDE">
        <w:rPr>
          <w:rStyle w:val="IntenseEmphasis"/>
          <w:rFonts w:ascii="Times New Roman" w:hAnsi="Times New Roman" w:cs="Times New Roman"/>
          <w:b w:val="0"/>
          <w:i w:val="0"/>
          <w:color w:val="auto"/>
          <w:sz w:val="24"/>
          <w:szCs w:val="24"/>
        </w:rPr>
        <w:t xml:space="preserve"> or at least no obvious mention, since Dioscorides made it a point with certain other herbs to go into detail with his usage warnings.  Possibly the magicians were attracted to </w:t>
      </w:r>
      <w:r w:rsidRPr="00316778">
        <w:rPr>
          <w:rStyle w:val="IntenseEmphasis"/>
          <w:rFonts w:ascii="Times New Roman" w:hAnsi="Times New Roman" w:cs="Times New Roman"/>
          <w:b w:val="0"/>
          <w:color w:val="auto"/>
          <w:sz w:val="24"/>
          <w:szCs w:val="24"/>
        </w:rPr>
        <w:t>S. nigrum,</w:t>
      </w:r>
      <w:r w:rsidRPr="00385CDE">
        <w:rPr>
          <w:rStyle w:val="IntenseEmphasis"/>
          <w:rFonts w:ascii="Times New Roman" w:hAnsi="Times New Roman" w:cs="Times New Roman"/>
          <w:b w:val="0"/>
          <w:i w:val="0"/>
          <w:color w:val="auto"/>
          <w:sz w:val="24"/>
          <w:szCs w:val="24"/>
        </w:rPr>
        <w:t xml:space="preserve"> but it is dubious that the doctors would have been.</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Style w:val="IntenseEmphasis"/>
          <w:rFonts w:ascii="Times New Roman" w:hAnsi="Times New Roman" w:cs="Times New Roman"/>
          <w:b w:val="0"/>
          <w:i w:val="0"/>
          <w:color w:val="auto"/>
          <w:sz w:val="24"/>
          <w:szCs w:val="24"/>
        </w:rPr>
        <w:lastRenderedPageBreak/>
        <w:t xml:space="preserve">Contemporary magicians have substituted Datura (unfortunately, no species identification defined) with agrimony </w:t>
      </w:r>
      <w:r w:rsidRPr="00F77F83">
        <w:rPr>
          <w:rStyle w:val="IntenseEmphasis"/>
          <w:rFonts w:ascii="Times New Roman" w:hAnsi="Times New Roman" w:cs="Times New Roman"/>
          <w:b w:val="0"/>
          <w:color w:val="auto"/>
          <w:sz w:val="24"/>
          <w:szCs w:val="24"/>
        </w:rPr>
        <w:t>(Agrimonia eupatoria)</w:t>
      </w:r>
      <w:r w:rsidRPr="00385CDE">
        <w:rPr>
          <w:rStyle w:val="IntenseEmphasis"/>
          <w:rFonts w:ascii="Times New Roman" w:hAnsi="Times New Roman" w:cs="Times New Roman"/>
          <w:b w:val="0"/>
          <w:i w:val="0"/>
          <w:color w:val="auto"/>
          <w:sz w:val="24"/>
          <w:szCs w:val="24"/>
        </w:rPr>
        <w:t xml:space="preserve"> in their spellwork, an herb which Grieve</w:t>
      </w:r>
      <w:r w:rsidRPr="00385CDE">
        <w:rPr>
          <w:rStyle w:val="FootnoteReference"/>
          <w:rFonts w:ascii="Times New Roman" w:hAnsi="Times New Roman" w:cs="Times New Roman"/>
          <w:bCs/>
          <w:iCs/>
          <w:sz w:val="24"/>
          <w:szCs w:val="24"/>
        </w:rPr>
        <w:footnoteReference w:id="92"/>
      </w:r>
      <w:r w:rsidRPr="00385CDE">
        <w:rPr>
          <w:rStyle w:val="IntenseEmphasis"/>
          <w:rFonts w:ascii="Times New Roman" w:hAnsi="Times New Roman" w:cs="Times New Roman"/>
          <w:b w:val="0"/>
          <w:i w:val="0"/>
          <w:color w:val="auto"/>
          <w:sz w:val="24"/>
          <w:szCs w:val="24"/>
        </w:rPr>
        <w:t xml:space="preserve"> says was known to Dioscorides and Pliny chiefly as a cure for jaundice, liver, eye, and skin issues (blemishes, bleeding, snakebites, sores, etc.).  In those cures, it appears to be the boiled root and leaves that were the medicinal parts, and not the juice – but lest we take that as a disproval of Hünemörder’s vote in favor of nightshade, it is important to remember that agrimony is from the family </w:t>
      </w:r>
      <w:r w:rsidRPr="00F77F83">
        <w:rPr>
          <w:rStyle w:val="IntenseEmphasis"/>
          <w:rFonts w:ascii="Times New Roman" w:hAnsi="Times New Roman" w:cs="Times New Roman"/>
          <w:b w:val="0"/>
          <w:color w:val="auto"/>
          <w:sz w:val="24"/>
          <w:szCs w:val="24"/>
        </w:rPr>
        <w:t>Rosaceae</w:t>
      </w:r>
      <w:r w:rsidRPr="00385CDE">
        <w:rPr>
          <w:rStyle w:val="IntenseEmphasis"/>
          <w:rFonts w:ascii="Times New Roman" w:hAnsi="Times New Roman" w:cs="Times New Roman"/>
          <w:b w:val="0"/>
          <w:i w:val="0"/>
          <w:color w:val="auto"/>
          <w:sz w:val="24"/>
          <w:szCs w:val="24"/>
        </w:rPr>
        <w:t xml:space="preserve"> and not </w:t>
      </w:r>
      <w:r w:rsidRPr="00F77F83">
        <w:rPr>
          <w:rStyle w:val="IntenseEmphasis"/>
          <w:rFonts w:ascii="Times New Roman" w:hAnsi="Times New Roman" w:cs="Times New Roman"/>
          <w:b w:val="0"/>
          <w:color w:val="auto"/>
          <w:sz w:val="24"/>
          <w:szCs w:val="24"/>
        </w:rPr>
        <w:t>Solanaceae,</w:t>
      </w:r>
      <w:r w:rsidRPr="00385CDE">
        <w:rPr>
          <w:rStyle w:val="IntenseEmphasis"/>
          <w:rFonts w:ascii="Times New Roman" w:hAnsi="Times New Roman" w:cs="Times New Roman"/>
          <w:b w:val="0"/>
          <w:i w:val="0"/>
          <w:color w:val="auto"/>
          <w:sz w:val="24"/>
          <w:szCs w:val="24"/>
        </w:rPr>
        <w:t xml:space="preserve"> and so cannot be the </w:t>
      </w:r>
      <w:r w:rsidRPr="00385CDE">
        <w:rPr>
          <w:rStyle w:val="IntenseEmphasis"/>
          <w:rFonts w:ascii="Times New Roman" w:hAnsi="Times New Roman" w:cs="Times New Roman"/>
          <w:b w:val="0"/>
          <w:i w:val="0"/>
          <w:color w:val="auto"/>
          <w:sz w:val="24"/>
          <w:szCs w:val="24"/>
          <w:lang w:val="el-GR"/>
        </w:rPr>
        <w:t>στρύχνος</w:t>
      </w:r>
      <w:r w:rsidRPr="00385CDE">
        <w:rPr>
          <w:rStyle w:val="IntenseEmphasis"/>
          <w:rFonts w:ascii="Times New Roman" w:hAnsi="Times New Roman" w:cs="Times New Roman"/>
          <w:b w:val="0"/>
          <w:i w:val="0"/>
          <w:color w:val="auto"/>
          <w:sz w:val="24"/>
          <w:szCs w:val="24"/>
        </w:rPr>
        <w:t xml:space="preserve"> he means.  Nor, for that matter, can </w:t>
      </w:r>
      <w:r w:rsidRPr="00F77F83">
        <w:rPr>
          <w:rStyle w:val="IntenseEmphasis"/>
          <w:rFonts w:ascii="Times New Roman" w:hAnsi="Times New Roman" w:cs="Times New Roman"/>
          <w:b w:val="0"/>
          <w:color w:val="auto"/>
          <w:sz w:val="24"/>
          <w:szCs w:val="24"/>
        </w:rPr>
        <w:t>Nux vomica,</w:t>
      </w:r>
      <w:r w:rsidRPr="00385CDE">
        <w:rPr>
          <w:rStyle w:val="IntenseEmphasis"/>
          <w:rFonts w:ascii="Times New Roman" w:hAnsi="Times New Roman" w:cs="Times New Roman"/>
          <w:b w:val="0"/>
          <w:i w:val="0"/>
          <w:color w:val="auto"/>
          <w:sz w:val="24"/>
          <w:szCs w:val="24"/>
        </w:rPr>
        <w:t xml:space="preserve"> the source of what we call strychnine today (partly because it hails from the family </w:t>
      </w:r>
      <w:r w:rsidRPr="00F77F83">
        <w:rPr>
          <w:rStyle w:val="IntenseEmphasis"/>
          <w:rFonts w:ascii="Times New Roman" w:hAnsi="Times New Roman" w:cs="Times New Roman"/>
          <w:b w:val="0"/>
          <w:color w:val="auto"/>
          <w:sz w:val="24"/>
          <w:szCs w:val="24"/>
        </w:rPr>
        <w:t>Loganiaceae,</w:t>
      </w:r>
      <w:r w:rsidRPr="00385CDE">
        <w:rPr>
          <w:rStyle w:val="IntenseEmphasis"/>
          <w:rFonts w:ascii="Times New Roman" w:hAnsi="Times New Roman" w:cs="Times New Roman"/>
          <w:b w:val="0"/>
          <w:i w:val="0"/>
          <w:color w:val="auto"/>
          <w:sz w:val="24"/>
          <w:szCs w:val="24"/>
        </w:rPr>
        <w:t xml:space="preserve"> and partly because </w:t>
      </w:r>
      <w:r w:rsidRPr="00F77F83">
        <w:rPr>
          <w:rStyle w:val="IntenseEmphasis"/>
          <w:rFonts w:ascii="Times New Roman" w:hAnsi="Times New Roman" w:cs="Times New Roman"/>
          <w:b w:val="0"/>
          <w:color w:val="auto"/>
          <w:sz w:val="24"/>
          <w:szCs w:val="24"/>
        </w:rPr>
        <w:t>N. vomica</w:t>
      </w:r>
      <w:r w:rsidRPr="00385CDE">
        <w:rPr>
          <w:rStyle w:val="IntenseEmphasis"/>
          <w:rFonts w:ascii="Times New Roman" w:hAnsi="Times New Roman" w:cs="Times New Roman"/>
          <w:b w:val="0"/>
          <w:i w:val="0"/>
          <w:color w:val="auto"/>
          <w:sz w:val="24"/>
          <w:szCs w:val="24"/>
        </w:rPr>
        <w:t xml:space="preserve"> is a tree, and the plant Dioscorides calls “Datura” is a low-lying, flowering herb).  Cunningham</w:t>
      </w:r>
      <w:r w:rsidRPr="00385CDE">
        <w:rPr>
          <w:rStyle w:val="FootnoteReference"/>
          <w:rFonts w:ascii="Times New Roman" w:hAnsi="Times New Roman" w:cs="Times New Roman"/>
          <w:bCs/>
          <w:iCs/>
          <w:sz w:val="24"/>
          <w:szCs w:val="24"/>
        </w:rPr>
        <w:footnoteReference w:id="93"/>
      </w:r>
      <w:r w:rsidRPr="00385CDE">
        <w:rPr>
          <w:rStyle w:val="IntenseEmphasis"/>
          <w:rFonts w:ascii="Times New Roman" w:hAnsi="Times New Roman" w:cs="Times New Roman"/>
          <w:b w:val="0"/>
          <w:i w:val="0"/>
          <w:color w:val="auto"/>
          <w:sz w:val="24"/>
          <w:szCs w:val="24"/>
        </w:rPr>
        <w:t xml:space="preserve"> suggests the </w:t>
      </w:r>
      <w:r w:rsidRPr="00F77F83">
        <w:rPr>
          <w:rStyle w:val="IntenseEmphasis"/>
          <w:rFonts w:ascii="Times New Roman" w:hAnsi="Times New Roman" w:cs="Times New Roman"/>
          <w:b w:val="0"/>
          <w:color w:val="auto"/>
          <w:sz w:val="24"/>
          <w:szCs w:val="24"/>
        </w:rPr>
        <w:t>D. metel</w:t>
      </w:r>
      <w:r w:rsidRPr="00385CDE">
        <w:rPr>
          <w:rStyle w:val="IntenseEmphasis"/>
          <w:rFonts w:ascii="Times New Roman" w:hAnsi="Times New Roman" w:cs="Times New Roman"/>
          <w:b w:val="0"/>
          <w:i w:val="0"/>
          <w:color w:val="auto"/>
          <w:sz w:val="24"/>
          <w:szCs w:val="24"/>
        </w:rPr>
        <w:t xml:space="preserve"> species of thorn-apple, which is an Eastern cousin of Jimsonweed known to southern Asia; since India was known to, and conducting trade with, Ancient Greece following its first contact around 515 BC, and since “thorn-apple” seems to be the best translation of Dioscorides’ recipe at </w:t>
      </w:r>
      <w:r w:rsidRPr="00F77F83">
        <w:rPr>
          <w:rStyle w:val="IntenseEmphasis"/>
          <w:rFonts w:ascii="Times New Roman" w:hAnsi="Times New Roman" w:cs="Times New Roman"/>
          <w:b w:val="0"/>
          <w:color w:val="auto"/>
          <w:sz w:val="24"/>
          <w:szCs w:val="24"/>
        </w:rPr>
        <w:t>DMM</w:t>
      </w:r>
      <w:r w:rsidRPr="00385CDE">
        <w:rPr>
          <w:rStyle w:val="IntenseEmphasis"/>
          <w:rFonts w:ascii="Times New Roman" w:hAnsi="Times New Roman" w:cs="Times New Roman"/>
          <w:b w:val="0"/>
          <w:i w:val="0"/>
          <w:color w:val="auto"/>
          <w:sz w:val="24"/>
          <w:szCs w:val="24"/>
        </w:rPr>
        <w:t xml:space="preserve"> 4.75</w:t>
      </w:r>
      <w:r w:rsidRPr="00385CDE">
        <w:rPr>
          <w:rStyle w:val="FootnoteReference"/>
          <w:rFonts w:ascii="Times New Roman" w:hAnsi="Times New Roman" w:cs="Times New Roman"/>
          <w:bCs/>
          <w:iCs/>
          <w:sz w:val="24"/>
          <w:szCs w:val="24"/>
        </w:rPr>
        <w:footnoteReference w:id="94"/>
      </w:r>
      <w:r w:rsidRPr="00385CDE">
        <w:rPr>
          <w:rStyle w:val="IntenseEmphasis"/>
          <w:rFonts w:ascii="Times New Roman" w:hAnsi="Times New Roman" w:cs="Times New Roman"/>
          <w:b w:val="0"/>
          <w:i w:val="0"/>
          <w:color w:val="auto"/>
          <w:sz w:val="24"/>
          <w:szCs w:val="24"/>
        </w:rPr>
        <w:t xml:space="preserve"> and the other candidates pose too many problems, I have sided with Cunningham.  “Datura,” then, as I use it, is </w:t>
      </w:r>
      <w:r w:rsidRPr="00F77F83">
        <w:rPr>
          <w:rStyle w:val="IntenseEmphasis"/>
          <w:rFonts w:ascii="Times New Roman" w:hAnsi="Times New Roman" w:cs="Times New Roman"/>
          <w:b w:val="0"/>
          <w:color w:val="auto"/>
          <w:sz w:val="24"/>
          <w:szCs w:val="24"/>
        </w:rPr>
        <w:t>D. metel,</w:t>
      </w:r>
      <w:r w:rsidRPr="00385CDE">
        <w:rPr>
          <w:rStyle w:val="IntenseEmphasis"/>
          <w:rFonts w:ascii="Times New Roman" w:hAnsi="Times New Roman" w:cs="Times New Roman"/>
          <w:b w:val="0"/>
          <w:i w:val="0"/>
          <w:color w:val="auto"/>
          <w:sz w:val="24"/>
          <w:szCs w:val="24"/>
        </w:rPr>
        <w:t xml:space="preserve"> and therefore also </w:t>
      </w:r>
      <w:r w:rsidRPr="00385CDE">
        <w:rPr>
          <w:rStyle w:val="IntenseEmphasis"/>
          <w:rFonts w:ascii="Times New Roman" w:hAnsi="Times New Roman" w:cs="Times New Roman"/>
          <w:b w:val="0"/>
          <w:i w:val="0"/>
          <w:color w:val="auto"/>
          <w:sz w:val="24"/>
          <w:szCs w:val="24"/>
          <w:lang w:val="el-GR"/>
        </w:rPr>
        <w:t>στρύχνος</w:t>
      </w:r>
      <w:r w:rsidRPr="00385CDE">
        <w:rPr>
          <w:rStyle w:val="IntenseEmphasis"/>
          <w:rFonts w:ascii="Times New Roman" w:hAnsi="Times New Roman" w:cs="Times New Roman"/>
          <w:b w:val="0"/>
          <w:i w:val="0"/>
          <w:color w:val="auto"/>
          <w:sz w:val="24"/>
          <w:szCs w:val="24"/>
        </w:rPr>
        <w:t xml:space="preserve"> as it pertains to this paper.</w:t>
      </w:r>
    </w:p>
    <w:p w:rsidR="00385CDE" w:rsidRPr="00385CDE" w:rsidRDefault="00385CDE" w:rsidP="00385CDE">
      <w:pPr>
        <w:pStyle w:val="ListParagraph"/>
        <w:spacing w:after="0" w:line="480" w:lineRule="auto"/>
        <w:ind w:left="0" w:firstLine="720"/>
        <w:rPr>
          <w:rStyle w:val="IntenseEmphasis"/>
          <w:rFonts w:ascii="Times New Roman" w:hAnsi="Times New Roman" w:cs="Times New Roman"/>
          <w:b w:val="0"/>
          <w:i w:val="0"/>
          <w:color w:val="auto"/>
          <w:sz w:val="24"/>
          <w:szCs w:val="24"/>
        </w:rPr>
      </w:pPr>
      <w:r w:rsidRPr="00385CDE">
        <w:rPr>
          <w:rFonts w:ascii="Times New Roman" w:hAnsi="Times New Roman" w:cs="Times New Roman"/>
          <w:b/>
          <w:sz w:val="24"/>
          <w:szCs w:val="24"/>
        </w:rPr>
        <w:t>Hellebore</w:t>
      </w:r>
      <w:r w:rsidRPr="00385CDE">
        <w:rPr>
          <w:rFonts w:ascii="Times New Roman" w:hAnsi="Times New Roman" w:cs="Times New Roman"/>
          <w:sz w:val="24"/>
          <w:szCs w:val="24"/>
        </w:rPr>
        <w:t xml:space="preserve"> poses a similar problem in species determination.  </w:t>
      </w:r>
      <w:r w:rsidRPr="00385CDE">
        <w:rPr>
          <w:rStyle w:val="IntenseEmphasis"/>
          <w:rFonts w:ascii="Times New Roman" w:hAnsi="Times New Roman" w:cs="Times New Roman"/>
          <w:b w:val="0"/>
          <w:i w:val="0"/>
          <w:color w:val="auto"/>
          <w:sz w:val="24"/>
          <w:szCs w:val="24"/>
        </w:rPr>
        <w:t>The trouble with hellebore is that there are two strains, white and black, both of which were used in ancient times, and both of which were terribly poisonous</w:t>
      </w:r>
      <w:r w:rsidRPr="00385CDE">
        <w:rPr>
          <w:rStyle w:val="FootnoteReference"/>
          <w:rFonts w:ascii="Times New Roman" w:hAnsi="Times New Roman" w:cs="Times New Roman"/>
          <w:bCs/>
          <w:iCs/>
          <w:sz w:val="24"/>
          <w:szCs w:val="24"/>
        </w:rPr>
        <w:footnoteReference w:id="95"/>
      </w:r>
      <w:r w:rsidRPr="00385CDE">
        <w:rPr>
          <w:rStyle w:val="IntenseEmphasis"/>
          <w:rFonts w:ascii="Times New Roman" w:hAnsi="Times New Roman" w:cs="Times New Roman"/>
          <w:b w:val="0"/>
          <w:i w:val="0"/>
          <w:color w:val="auto"/>
          <w:sz w:val="24"/>
          <w:szCs w:val="24"/>
        </w:rPr>
        <w:t xml:space="preserve"> and, therefore, often swapped out for a more neutral herb; and what is more, it is unclear whether the strains were ever biologically related.  Dioscorides</w:t>
      </w:r>
      <w:r w:rsidRPr="00385CDE">
        <w:rPr>
          <w:rStyle w:val="FootnoteReference"/>
          <w:rFonts w:ascii="Times New Roman" w:hAnsi="Times New Roman" w:cs="Times New Roman"/>
          <w:bCs/>
          <w:iCs/>
          <w:sz w:val="24"/>
          <w:szCs w:val="24"/>
        </w:rPr>
        <w:footnoteReference w:id="96"/>
      </w:r>
      <w:r w:rsidRPr="00385CDE">
        <w:rPr>
          <w:rStyle w:val="IntenseEmphasis"/>
          <w:rFonts w:ascii="Times New Roman" w:hAnsi="Times New Roman" w:cs="Times New Roman"/>
          <w:b w:val="0"/>
          <w:i w:val="0"/>
          <w:color w:val="auto"/>
          <w:sz w:val="24"/>
          <w:szCs w:val="24"/>
        </w:rPr>
        <w:t xml:space="preserve"> suggests that they both belonged to the </w:t>
      </w:r>
      <w:r w:rsidRPr="00F77F83">
        <w:rPr>
          <w:rStyle w:val="IntenseEmphasis"/>
          <w:rFonts w:ascii="Times New Roman" w:hAnsi="Times New Roman" w:cs="Times New Roman"/>
          <w:b w:val="0"/>
          <w:color w:val="auto"/>
          <w:sz w:val="24"/>
          <w:szCs w:val="24"/>
        </w:rPr>
        <w:t xml:space="preserve">Veratrum </w:t>
      </w:r>
      <w:r w:rsidRPr="00385CDE">
        <w:rPr>
          <w:rStyle w:val="IntenseEmphasis"/>
          <w:rFonts w:ascii="Times New Roman" w:hAnsi="Times New Roman" w:cs="Times New Roman"/>
          <w:b w:val="0"/>
          <w:i w:val="0"/>
          <w:color w:val="auto"/>
          <w:sz w:val="24"/>
          <w:szCs w:val="24"/>
        </w:rPr>
        <w:t>genus, while Longrigg</w:t>
      </w:r>
      <w:r w:rsidRPr="00385CDE">
        <w:rPr>
          <w:rStyle w:val="FootnoteReference"/>
          <w:rFonts w:ascii="Times New Roman" w:hAnsi="Times New Roman" w:cs="Times New Roman"/>
          <w:bCs/>
          <w:iCs/>
          <w:sz w:val="24"/>
          <w:szCs w:val="24"/>
        </w:rPr>
        <w:footnoteReference w:id="97"/>
      </w:r>
      <w:r w:rsidRPr="00385CDE">
        <w:rPr>
          <w:rStyle w:val="IntenseEmphasis"/>
          <w:rFonts w:ascii="Times New Roman" w:hAnsi="Times New Roman" w:cs="Times New Roman"/>
          <w:b w:val="0"/>
          <w:i w:val="0"/>
          <w:color w:val="auto"/>
          <w:sz w:val="24"/>
          <w:szCs w:val="24"/>
        </w:rPr>
        <w:t xml:space="preserve"> holds that the black </w:t>
      </w:r>
      <w:r w:rsidRPr="00385CDE">
        <w:rPr>
          <w:rStyle w:val="IntenseEmphasis"/>
          <w:rFonts w:ascii="Times New Roman" w:hAnsi="Times New Roman" w:cs="Times New Roman"/>
          <w:b w:val="0"/>
          <w:i w:val="0"/>
          <w:color w:val="auto"/>
          <w:sz w:val="24"/>
          <w:szCs w:val="24"/>
        </w:rPr>
        <w:lastRenderedPageBreak/>
        <w:t xml:space="preserve">breed is not </w:t>
      </w:r>
      <w:r w:rsidRPr="00C95FF5">
        <w:rPr>
          <w:rStyle w:val="IntenseEmphasis"/>
          <w:rFonts w:ascii="Times New Roman" w:hAnsi="Times New Roman" w:cs="Times New Roman"/>
          <w:b w:val="0"/>
          <w:color w:val="auto"/>
          <w:sz w:val="24"/>
          <w:szCs w:val="24"/>
        </w:rPr>
        <w:t>V. nigrum</w:t>
      </w:r>
      <w:r w:rsidRPr="00385CDE">
        <w:rPr>
          <w:rStyle w:val="IntenseEmphasis"/>
          <w:rFonts w:ascii="Times New Roman" w:hAnsi="Times New Roman" w:cs="Times New Roman"/>
          <w:b w:val="0"/>
          <w:i w:val="0"/>
          <w:color w:val="auto"/>
          <w:sz w:val="24"/>
          <w:szCs w:val="24"/>
        </w:rPr>
        <w:t xml:space="preserve"> but rather the completely unrelated </w:t>
      </w:r>
      <w:r w:rsidRPr="00C95FF5">
        <w:rPr>
          <w:rStyle w:val="IntenseEmphasis"/>
          <w:rFonts w:ascii="Times New Roman" w:hAnsi="Times New Roman" w:cs="Times New Roman"/>
          <w:b w:val="0"/>
          <w:color w:val="auto"/>
          <w:sz w:val="24"/>
          <w:szCs w:val="24"/>
        </w:rPr>
        <w:t>Helleborus cyclophyllus.</w:t>
      </w:r>
      <w:r w:rsidRPr="00385CDE">
        <w:rPr>
          <w:rStyle w:val="IntenseEmphasis"/>
          <w:rFonts w:ascii="Times New Roman" w:hAnsi="Times New Roman" w:cs="Times New Roman"/>
          <w:b w:val="0"/>
          <w:i w:val="0"/>
          <w:color w:val="auto"/>
          <w:sz w:val="24"/>
          <w:szCs w:val="24"/>
        </w:rPr>
        <w:t xml:space="preserve">  If Longrigg is right, then it should be noted than any modern strain of </w:t>
      </w:r>
      <w:r w:rsidRPr="00C95FF5">
        <w:rPr>
          <w:rStyle w:val="IntenseEmphasis"/>
          <w:rFonts w:ascii="Times New Roman" w:hAnsi="Times New Roman" w:cs="Times New Roman"/>
          <w:b w:val="0"/>
          <w:color w:val="auto"/>
          <w:sz w:val="24"/>
          <w:szCs w:val="24"/>
        </w:rPr>
        <w:t>V. nigrum</w:t>
      </w:r>
      <w:r w:rsidRPr="00385CDE">
        <w:rPr>
          <w:rStyle w:val="IntenseEmphasis"/>
          <w:rFonts w:ascii="Times New Roman" w:hAnsi="Times New Roman" w:cs="Times New Roman"/>
          <w:b w:val="0"/>
          <w:i w:val="0"/>
          <w:color w:val="auto"/>
          <w:sz w:val="24"/>
          <w:szCs w:val="24"/>
        </w:rPr>
        <w:t xml:space="preserve"> is not the “black hellebore” mentioned in these studies; if he is wrong, there is a chance that the original strain is lost to us or else is now going by a completely different name, since the implication would </w:t>
      </w:r>
      <w:r w:rsidR="00752950">
        <w:rPr>
          <w:rStyle w:val="IntenseEmphasis"/>
          <w:rFonts w:ascii="Times New Roman" w:hAnsi="Times New Roman" w:cs="Times New Roman"/>
          <w:b w:val="0"/>
          <w:i w:val="0"/>
          <w:color w:val="auto"/>
          <w:sz w:val="24"/>
          <w:szCs w:val="24"/>
        </w:rPr>
        <w:t xml:space="preserve">still </w:t>
      </w:r>
      <w:r w:rsidRPr="00385CDE">
        <w:rPr>
          <w:rStyle w:val="IntenseEmphasis"/>
          <w:rFonts w:ascii="Times New Roman" w:hAnsi="Times New Roman" w:cs="Times New Roman"/>
          <w:b w:val="0"/>
          <w:i w:val="0"/>
          <w:color w:val="auto"/>
          <w:sz w:val="24"/>
          <w:szCs w:val="24"/>
        </w:rPr>
        <w:t xml:space="preserve">be that any </w:t>
      </w:r>
      <w:r w:rsidRPr="00C95FF5">
        <w:rPr>
          <w:rStyle w:val="IntenseEmphasis"/>
          <w:rFonts w:ascii="Times New Roman" w:hAnsi="Times New Roman" w:cs="Times New Roman"/>
          <w:b w:val="0"/>
          <w:color w:val="auto"/>
          <w:sz w:val="24"/>
          <w:szCs w:val="24"/>
        </w:rPr>
        <w:t>V. nigrum</w:t>
      </w:r>
      <w:r w:rsidRPr="00385CDE">
        <w:rPr>
          <w:rStyle w:val="IntenseEmphasis"/>
          <w:rFonts w:ascii="Times New Roman" w:hAnsi="Times New Roman" w:cs="Times New Roman"/>
          <w:b w:val="0"/>
          <w:i w:val="0"/>
          <w:color w:val="auto"/>
          <w:sz w:val="24"/>
          <w:szCs w:val="24"/>
        </w:rPr>
        <w:t xml:space="preserve"> currently in existence cannot be the same as that of Dioscorides.  Cunningham</w:t>
      </w:r>
      <w:r w:rsidRPr="00385CDE">
        <w:rPr>
          <w:rStyle w:val="FootnoteReference"/>
          <w:rFonts w:ascii="Times New Roman" w:hAnsi="Times New Roman" w:cs="Times New Roman"/>
          <w:bCs/>
          <w:iCs/>
          <w:sz w:val="24"/>
          <w:szCs w:val="24"/>
        </w:rPr>
        <w:footnoteReference w:id="98"/>
      </w:r>
      <w:r w:rsidRPr="00385CDE">
        <w:rPr>
          <w:rStyle w:val="IntenseEmphasis"/>
          <w:rFonts w:ascii="Times New Roman" w:hAnsi="Times New Roman" w:cs="Times New Roman"/>
          <w:b w:val="0"/>
          <w:i w:val="0"/>
          <w:color w:val="auto"/>
          <w:sz w:val="24"/>
          <w:szCs w:val="24"/>
        </w:rPr>
        <w:t xml:space="preserve"> offers </w:t>
      </w:r>
      <w:r w:rsidRPr="00C95FF5">
        <w:rPr>
          <w:rStyle w:val="IntenseEmphasis"/>
          <w:rFonts w:ascii="Times New Roman" w:hAnsi="Times New Roman" w:cs="Times New Roman"/>
          <w:b w:val="0"/>
          <w:color w:val="auto"/>
          <w:sz w:val="24"/>
          <w:szCs w:val="24"/>
        </w:rPr>
        <w:t>H. niger</w:t>
      </w:r>
      <w:r w:rsidRPr="00385CDE">
        <w:rPr>
          <w:rStyle w:val="IntenseEmphasis"/>
          <w:rFonts w:ascii="Times New Roman" w:hAnsi="Times New Roman" w:cs="Times New Roman"/>
          <w:b w:val="0"/>
          <w:i w:val="0"/>
          <w:color w:val="auto"/>
          <w:sz w:val="24"/>
          <w:szCs w:val="24"/>
        </w:rPr>
        <w:t xml:space="preserve"> as a third possible identity, but he ignores “white hellebore” (</w:t>
      </w:r>
      <w:r w:rsidRPr="00C95FF5">
        <w:rPr>
          <w:rStyle w:val="IntenseEmphasis"/>
          <w:rFonts w:ascii="Times New Roman" w:hAnsi="Times New Roman" w:cs="Times New Roman"/>
          <w:b w:val="0"/>
          <w:color w:val="auto"/>
          <w:sz w:val="24"/>
          <w:szCs w:val="24"/>
        </w:rPr>
        <w:t>V. album</w:t>
      </w:r>
      <w:r w:rsidRPr="00385CDE">
        <w:rPr>
          <w:rStyle w:val="IntenseEmphasis"/>
          <w:rFonts w:ascii="Times New Roman" w:hAnsi="Times New Roman" w:cs="Times New Roman"/>
          <w:b w:val="0"/>
          <w:i w:val="0"/>
          <w:color w:val="auto"/>
          <w:sz w:val="24"/>
          <w:szCs w:val="24"/>
        </w:rPr>
        <w:t xml:space="preserve"> or otherwise) as having been worthy of mention in magic, and Wood</w:t>
      </w:r>
      <w:r w:rsidRPr="00385CDE">
        <w:rPr>
          <w:rStyle w:val="FootnoteReference"/>
          <w:rFonts w:ascii="Times New Roman" w:hAnsi="Times New Roman" w:cs="Times New Roman"/>
          <w:bCs/>
          <w:iCs/>
          <w:sz w:val="24"/>
          <w:szCs w:val="24"/>
        </w:rPr>
        <w:footnoteReference w:id="99"/>
      </w:r>
      <w:r w:rsidRPr="00385CDE">
        <w:rPr>
          <w:rStyle w:val="IntenseEmphasis"/>
          <w:rFonts w:ascii="Times New Roman" w:hAnsi="Times New Roman" w:cs="Times New Roman"/>
          <w:b w:val="0"/>
          <w:i w:val="0"/>
          <w:color w:val="auto"/>
          <w:sz w:val="24"/>
          <w:szCs w:val="24"/>
        </w:rPr>
        <w:t xml:space="preserve"> lists the American strain as </w:t>
      </w:r>
      <w:r w:rsidRPr="00C95FF5">
        <w:rPr>
          <w:rStyle w:val="IntenseEmphasis"/>
          <w:rFonts w:ascii="Times New Roman" w:hAnsi="Times New Roman" w:cs="Times New Roman"/>
          <w:b w:val="0"/>
          <w:color w:val="auto"/>
          <w:sz w:val="24"/>
          <w:szCs w:val="24"/>
        </w:rPr>
        <w:t>V. viride,</w:t>
      </w:r>
      <w:r w:rsidRPr="00385CDE">
        <w:rPr>
          <w:rStyle w:val="IntenseEmphasis"/>
          <w:rFonts w:ascii="Times New Roman" w:hAnsi="Times New Roman" w:cs="Times New Roman"/>
          <w:b w:val="0"/>
          <w:i w:val="0"/>
          <w:color w:val="auto"/>
          <w:sz w:val="24"/>
          <w:szCs w:val="24"/>
        </w:rPr>
        <w:t xml:space="preserve"> which is a vote in favor of the Greek identification of both hellebores as two </w:t>
      </w:r>
      <w:r w:rsidRPr="00C95FF5">
        <w:rPr>
          <w:rStyle w:val="IntenseEmphasis"/>
          <w:rFonts w:ascii="Times New Roman" w:hAnsi="Times New Roman" w:cs="Times New Roman"/>
          <w:b w:val="0"/>
          <w:color w:val="auto"/>
          <w:sz w:val="24"/>
          <w:szCs w:val="24"/>
        </w:rPr>
        <w:t xml:space="preserve">Veratrum </w:t>
      </w:r>
      <w:r w:rsidRPr="00385CDE">
        <w:rPr>
          <w:rStyle w:val="IntenseEmphasis"/>
          <w:rFonts w:ascii="Times New Roman" w:hAnsi="Times New Roman" w:cs="Times New Roman"/>
          <w:b w:val="0"/>
          <w:i w:val="0"/>
          <w:color w:val="auto"/>
          <w:sz w:val="24"/>
          <w:szCs w:val="24"/>
        </w:rPr>
        <w:t>cousins.  Regardless, the issue of toxicity remains an obstacle in trying to deduce medico-magical patterns, since its two main medical uses were inducing vomit and stunning personified problems in the body, and its magical uses – purifying areas and protecting the magician from spiritual hostility – had to be used on the plant itself before it could even be picked</w:t>
      </w:r>
      <w:r w:rsidRPr="00385CDE">
        <w:rPr>
          <w:rStyle w:val="FootnoteReference"/>
          <w:rFonts w:ascii="Times New Roman" w:hAnsi="Times New Roman" w:cs="Times New Roman"/>
          <w:bCs/>
          <w:iCs/>
          <w:sz w:val="24"/>
          <w:szCs w:val="24"/>
        </w:rPr>
        <w:footnoteReference w:id="100"/>
      </w:r>
      <w:r w:rsidRPr="00385CDE">
        <w:rPr>
          <w:rStyle w:val="IntenseEmphasis"/>
          <w:rFonts w:ascii="Times New Roman" w:hAnsi="Times New Roman" w:cs="Times New Roman"/>
          <w:b w:val="0"/>
          <w:i w:val="0"/>
          <w:color w:val="auto"/>
          <w:sz w:val="24"/>
          <w:szCs w:val="24"/>
        </w:rPr>
        <w:t>.</w:t>
      </w:r>
    </w:p>
    <w:p w:rsidR="00385CDE" w:rsidRDefault="00385CDE" w:rsidP="00385CDE">
      <w:pPr>
        <w:spacing w:line="480" w:lineRule="auto"/>
        <w:ind w:firstLine="720"/>
      </w:pPr>
      <w:r>
        <w:rPr>
          <w:rFonts w:ascii="Times New Roman" w:hAnsi="Times New Roman" w:cs="Times New Roman"/>
          <w:sz w:val="24"/>
          <w:szCs w:val="24"/>
        </w:rPr>
        <w:t xml:space="preserve">Moving onto </w:t>
      </w:r>
      <w:r>
        <w:rPr>
          <w:rFonts w:ascii="Times New Roman" w:hAnsi="Times New Roman" w:cs="Times New Roman"/>
          <w:b/>
          <w:sz w:val="24"/>
          <w:szCs w:val="24"/>
        </w:rPr>
        <w:t>mint</w:t>
      </w:r>
      <w:r>
        <w:rPr>
          <w:rFonts w:ascii="Times New Roman" w:hAnsi="Times New Roman" w:cs="Times New Roman"/>
          <w:sz w:val="24"/>
          <w:szCs w:val="24"/>
        </w:rPr>
        <w:t>, Hünemörder</w:t>
      </w:r>
      <w:r>
        <w:rPr>
          <w:rStyle w:val="FootnoteReference"/>
          <w:rFonts w:ascii="Times New Roman" w:hAnsi="Times New Roman" w:cs="Times New Roman"/>
          <w:sz w:val="24"/>
          <w:szCs w:val="24"/>
        </w:rPr>
        <w:footnoteReference w:id="101"/>
      </w:r>
      <w:r>
        <w:rPr>
          <w:rFonts w:ascii="Times New Roman" w:hAnsi="Times New Roman" w:cs="Times New Roman"/>
          <w:sz w:val="24"/>
          <w:szCs w:val="24"/>
        </w:rPr>
        <w:t xml:space="preserve"> cites </w:t>
      </w:r>
      <w:r>
        <w:rPr>
          <w:rFonts w:ascii="Times New Roman" w:hAnsi="Times New Roman" w:cs="Times New Roman"/>
          <w:i/>
          <w:sz w:val="24"/>
          <w:szCs w:val="24"/>
        </w:rPr>
        <w:t>HN</w:t>
      </w:r>
      <w:r>
        <w:rPr>
          <w:rFonts w:ascii="Times New Roman" w:hAnsi="Times New Roman" w:cs="Times New Roman"/>
          <w:sz w:val="24"/>
          <w:szCs w:val="24"/>
        </w:rPr>
        <w:t xml:space="preserve"> 20.144-58 as having “recognise[d] an abundance of internal and external applications e.g. for the healing of fractures and sprains, against poisoning, haemoptysis and haemorrhage, colds and rashes as well as stomach pains and head-aches.”  He goes through a brief explanation of the types of mint available to the Greeks and Romans, with preference for the wild species (</w:t>
      </w:r>
      <w:r>
        <w:rPr>
          <w:rFonts w:ascii="Times New Roman" w:hAnsi="Times New Roman" w:cs="Times New Roman"/>
          <w:i/>
          <w:sz w:val="24"/>
          <w:szCs w:val="24"/>
        </w:rPr>
        <w:t xml:space="preserve">“Silvestre mentastrum,” </w:t>
      </w:r>
      <w:r>
        <w:rPr>
          <w:rFonts w:ascii="Times New Roman" w:hAnsi="Times New Roman" w:cs="Times New Roman"/>
          <w:sz w:val="24"/>
          <w:szCs w:val="24"/>
        </w:rPr>
        <w:t>as he puts it) as the medically and magically useful one.  Dioscorides</w:t>
      </w:r>
      <w:r>
        <w:rPr>
          <w:rStyle w:val="FootnoteReference"/>
          <w:rFonts w:ascii="Times New Roman" w:hAnsi="Times New Roman" w:cs="Times New Roman"/>
          <w:sz w:val="24"/>
          <w:szCs w:val="24"/>
        </w:rPr>
        <w:footnoteReference w:id="102"/>
      </w:r>
      <w:r>
        <w:rPr>
          <w:rFonts w:ascii="Times New Roman" w:hAnsi="Times New Roman" w:cs="Times New Roman"/>
          <w:sz w:val="24"/>
          <w:szCs w:val="24"/>
        </w:rPr>
        <w:t xml:space="preserve"> counters Hünemörder on this point, however, separating </w:t>
      </w:r>
      <w:r>
        <w:rPr>
          <w:rFonts w:ascii="Times New Roman" w:hAnsi="Times New Roman" w:cs="Times New Roman"/>
          <w:i/>
          <w:sz w:val="24"/>
          <w:szCs w:val="24"/>
        </w:rPr>
        <w:t>Mentastrum</w:t>
      </w:r>
      <w:r>
        <w:rPr>
          <w:rFonts w:ascii="Times New Roman" w:hAnsi="Times New Roman" w:cs="Times New Roman"/>
          <w:sz w:val="24"/>
          <w:szCs w:val="24"/>
        </w:rPr>
        <w:t xml:space="preserve"> (which he identifies as the genus, not the species) from actual mint; and Lacio’s 1555 translation of the </w:t>
      </w:r>
      <w:r>
        <w:rPr>
          <w:rFonts w:ascii="Times New Roman" w:hAnsi="Times New Roman" w:cs="Times New Roman"/>
          <w:i/>
          <w:sz w:val="24"/>
          <w:szCs w:val="24"/>
        </w:rPr>
        <w:t>DMM</w:t>
      </w:r>
      <w:r>
        <w:rPr>
          <w:rStyle w:val="FootnoteReference"/>
          <w:rFonts w:ascii="Times New Roman" w:hAnsi="Times New Roman" w:cs="Times New Roman"/>
          <w:i/>
          <w:sz w:val="24"/>
          <w:szCs w:val="24"/>
        </w:rPr>
        <w:footnoteReference w:id="103"/>
      </w:r>
      <w:r>
        <w:rPr>
          <w:rFonts w:ascii="Times New Roman" w:hAnsi="Times New Roman" w:cs="Times New Roman"/>
          <w:sz w:val="24"/>
          <w:szCs w:val="24"/>
        </w:rPr>
        <w:t xml:space="preserve"> uses “la yerva buena,” today spelled </w:t>
      </w:r>
      <w:r>
        <w:rPr>
          <w:rFonts w:ascii="Times New Roman" w:hAnsi="Times New Roman" w:cs="Times New Roman"/>
          <w:sz w:val="24"/>
          <w:szCs w:val="24"/>
        </w:rPr>
        <w:lastRenderedPageBreak/>
        <w:t>“yerbabuena,” which translates to “peppermint,” despite Hünemörder’s insistence</w:t>
      </w:r>
      <w:r>
        <w:rPr>
          <w:rStyle w:val="FootnoteReference"/>
          <w:rFonts w:ascii="Times New Roman" w:hAnsi="Times New Roman" w:cs="Times New Roman"/>
          <w:sz w:val="24"/>
          <w:szCs w:val="24"/>
        </w:rPr>
        <w:footnoteReference w:id="104"/>
      </w:r>
      <w:r>
        <w:rPr>
          <w:rFonts w:ascii="Times New Roman" w:hAnsi="Times New Roman" w:cs="Times New Roman"/>
          <w:sz w:val="24"/>
          <w:szCs w:val="24"/>
        </w:rPr>
        <w:t xml:space="preserve"> that what we now call peppermint “was not discovered until 1696.”  The illustrations in Lacio’s text feature </w:t>
      </w:r>
      <w:r>
        <w:rPr>
          <w:rFonts w:ascii="Times New Roman" w:hAnsi="Times New Roman" w:cs="Times New Roman"/>
          <w:i/>
          <w:sz w:val="24"/>
          <w:szCs w:val="24"/>
        </w:rPr>
        <w:t>“Mentha sativa prima”</w:t>
      </w:r>
      <w:r>
        <w:rPr>
          <w:rFonts w:ascii="Times New Roman" w:hAnsi="Times New Roman" w:cs="Times New Roman"/>
          <w:sz w:val="24"/>
          <w:szCs w:val="24"/>
        </w:rPr>
        <w:t xml:space="preserve"> and </w:t>
      </w:r>
      <w:r>
        <w:rPr>
          <w:rFonts w:ascii="Times New Roman" w:hAnsi="Times New Roman" w:cs="Times New Roman"/>
          <w:i/>
          <w:sz w:val="24"/>
          <w:szCs w:val="24"/>
        </w:rPr>
        <w:t>“Mentha sativa altera,”</w:t>
      </w:r>
      <w:r>
        <w:rPr>
          <w:rFonts w:ascii="Times New Roman" w:hAnsi="Times New Roman" w:cs="Times New Roman"/>
          <w:sz w:val="24"/>
          <w:szCs w:val="24"/>
        </w:rPr>
        <w:t xml:space="preserve"> a species which by today’s nomenclature would be a hybrid of </w:t>
      </w:r>
      <w:r>
        <w:rPr>
          <w:rFonts w:ascii="Times New Roman" w:hAnsi="Times New Roman" w:cs="Times New Roman"/>
          <w:i/>
          <w:sz w:val="24"/>
          <w:szCs w:val="24"/>
        </w:rPr>
        <w:t>M. aquatica</w:t>
      </w:r>
      <w:r>
        <w:rPr>
          <w:rFonts w:ascii="Times New Roman" w:hAnsi="Times New Roman" w:cs="Times New Roman"/>
          <w:sz w:val="24"/>
          <w:szCs w:val="24"/>
        </w:rPr>
        <w:t xml:space="preserve"> and </w:t>
      </w:r>
      <w:r>
        <w:rPr>
          <w:rFonts w:ascii="Times New Roman" w:hAnsi="Times New Roman" w:cs="Times New Roman"/>
          <w:i/>
          <w:sz w:val="24"/>
          <w:szCs w:val="24"/>
        </w:rPr>
        <w:t>M. arvensis</w:t>
      </w:r>
      <w:r>
        <w:rPr>
          <w:rStyle w:val="FootnoteReference"/>
          <w:rFonts w:ascii="Times New Roman" w:hAnsi="Times New Roman" w:cs="Times New Roman"/>
          <w:i/>
          <w:sz w:val="24"/>
          <w:szCs w:val="24"/>
        </w:rPr>
        <w:footnoteReference w:id="105"/>
      </w:r>
      <w:r>
        <w:rPr>
          <w:rFonts w:ascii="Times New Roman" w:hAnsi="Times New Roman" w:cs="Times New Roman"/>
          <w:i/>
          <w:sz w:val="24"/>
          <w:szCs w:val="24"/>
        </w:rPr>
        <w:t>,</w:t>
      </w:r>
      <w:r>
        <w:rPr>
          <w:rFonts w:ascii="Times New Roman" w:hAnsi="Times New Roman" w:cs="Times New Roman"/>
          <w:sz w:val="24"/>
          <w:szCs w:val="24"/>
        </w:rPr>
        <w:t xml:space="preserve"> and not, as Hünemörder suggests, of </w:t>
      </w:r>
      <w:r>
        <w:rPr>
          <w:rFonts w:ascii="Times New Roman" w:hAnsi="Times New Roman" w:cs="Times New Roman"/>
          <w:i/>
          <w:sz w:val="24"/>
          <w:szCs w:val="24"/>
        </w:rPr>
        <w:t>M. aquatica</w:t>
      </w:r>
      <w:r>
        <w:rPr>
          <w:rFonts w:ascii="Times New Roman" w:hAnsi="Times New Roman" w:cs="Times New Roman"/>
          <w:sz w:val="24"/>
          <w:szCs w:val="24"/>
        </w:rPr>
        <w:t xml:space="preserve"> and </w:t>
      </w:r>
      <w:r>
        <w:rPr>
          <w:rFonts w:ascii="Times New Roman" w:hAnsi="Times New Roman" w:cs="Times New Roman"/>
          <w:i/>
          <w:sz w:val="24"/>
          <w:szCs w:val="24"/>
        </w:rPr>
        <w:t>M. spicata</w:t>
      </w:r>
      <w:r>
        <w:rPr>
          <w:rStyle w:val="FootnoteReference"/>
          <w:rFonts w:ascii="Times New Roman" w:hAnsi="Times New Roman" w:cs="Times New Roman"/>
          <w:i/>
          <w:sz w:val="24"/>
          <w:szCs w:val="24"/>
        </w:rPr>
        <w:footnoteReference w:id="106"/>
      </w:r>
      <w:r>
        <w:rPr>
          <w:rFonts w:ascii="Times New Roman" w:hAnsi="Times New Roman" w:cs="Times New Roman"/>
          <w:i/>
          <w:sz w:val="24"/>
          <w:szCs w:val="24"/>
        </w:rPr>
        <w:t>.</w:t>
      </w:r>
      <w:r>
        <w:rPr>
          <w:rFonts w:ascii="Times New Roman" w:hAnsi="Times New Roman" w:cs="Times New Roman"/>
          <w:sz w:val="24"/>
          <w:szCs w:val="24"/>
        </w:rPr>
        <w:t xml:space="preserve">  In any event, </w:t>
      </w:r>
      <w:r>
        <w:rPr>
          <w:rFonts w:ascii="Times New Roman" w:hAnsi="Times New Roman" w:cs="Times New Roman"/>
          <w:i/>
          <w:sz w:val="24"/>
          <w:szCs w:val="24"/>
        </w:rPr>
        <w:t>“sativa”</w:t>
      </w:r>
      <w:r>
        <w:rPr>
          <w:rFonts w:ascii="Times New Roman" w:hAnsi="Times New Roman" w:cs="Times New Roman"/>
          <w:sz w:val="24"/>
          <w:szCs w:val="24"/>
        </w:rPr>
        <w:t xml:space="preserve"> seems to have been Dioscorides’ term for a “</w:t>
      </w:r>
      <w:r w:rsidR="00752950">
        <w:rPr>
          <w:rFonts w:ascii="Times New Roman" w:hAnsi="Times New Roman" w:cs="Times New Roman"/>
          <w:sz w:val="24"/>
          <w:szCs w:val="24"/>
        </w:rPr>
        <w:t>wil</w:t>
      </w:r>
      <w:r>
        <w:rPr>
          <w:rFonts w:ascii="Times New Roman" w:hAnsi="Times New Roman" w:cs="Times New Roman"/>
          <w:sz w:val="24"/>
          <w:szCs w:val="24"/>
        </w:rPr>
        <w:t>d” plant, and with it being more commonly associated with peppermint or spearmint in spite of their own nomenclatures, the evidence would tend to point toward an ancient variety of peppermint – one either now extinct or else relabeled by more modern botanists.  It is important to remember that the 1696 discovery occurred in England, and not on Mediterranean soil, and that therefore more than one hybrid species of peppermint may be in existence, whatever it may be called.</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b/>
          <w:sz w:val="24"/>
          <w:szCs w:val="24"/>
        </w:rPr>
        <w:t>Moly</w:t>
      </w:r>
      <w:r>
        <w:rPr>
          <w:rFonts w:ascii="Times New Roman" w:hAnsi="Times New Roman" w:cs="Times New Roman"/>
          <w:sz w:val="24"/>
          <w:szCs w:val="24"/>
        </w:rPr>
        <w:t xml:space="preserve"> is a little more difficult to identify</w:t>
      </w:r>
      <w:r w:rsidR="00CF414E">
        <w:rPr>
          <w:rFonts w:ascii="Times New Roman" w:hAnsi="Times New Roman" w:cs="Times New Roman"/>
          <w:sz w:val="24"/>
          <w:szCs w:val="24"/>
        </w:rPr>
        <w:t>, as it had its roots (or maybe bulb</w:t>
      </w:r>
      <w:r>
        <w:rPr>
          <w:rFonts w:ascii="Times New Roman" w:hAnsi="Times New Roman" w:cs="Times New Roman"/>
          <w:sz w:val="24"/>
          <w:szCs w:val="24"/>
        </w:rPr>
        <w:t>) in mythology.  Pliny</w:t>
      </w:r>
      <w:r>
        <w:rPr>
          <w:rStyle w:val="FootnoteReference"/>
          <w:rFonts w:ascii="Times New Roman" w:hAnsi="Times New Roman" w:cs="Times New Roman"/>
          <w:sz w:val="24"/>
          <w:szCs w:val="24"/>
        </w:rPr>
        <w:footnoteReference w:id="107"/>
      </w:r>
      <w:r>
        <w:rPr>
          <w:rFonts w:ascii="Times New Roman" w:hAnsi="Times New Roman" w:cs="Times New Roman"/>
          <w:sz w:val="24"/>
          <w:szCs w:val="24"/>
        </w:rPr>
        <w:t xml:space="preserve"> claims that the herb was real and he could gain access to it through a certain Italian “doctor, one of those specializing in herbs,” but other than likening it to an onion or squill with a dark root “thirty feet long,” he has no information on moly and would have the reader go and see his friend the doctor with further questions.  He does, at least, hint that it had medical uses.  Dioscorides</w:t>
      </w:r>
      <w:r>
        <w:rPr>
          <w:rStyle w:val="FootnoteReference"/>
          <w:rFonts w:ascii="Times New Roman" w:hAnsi="Times New Roman" w:cs="Times New Roman"/>
          <w:sz w:val="24"/>
          <w:szCs w:val="24"/>
        </w:rPr>
        <w:footnoteReference w:id="108"/>
      </w:r>
      <w:r>
        <w:rPr>
          <w:rFonts w:ascii="Times New Roman" w:hAnsi="Times New Roman" w:cs="Times New Roman"/>
          <w:sz w:val="24"/>
          <w:szCs w:val="24"/>
        </w:rPr>
        <w:t xml:space="preserve"> confirms that “[i]ts root is small and onion-like,” and states that its primary medicinal function is as a muscle relaxant for women in labor, much like the Epidural of today.  Unfortunately, he offers no other insight into how the herb looks or where it might be found.  The best description we have comes to us from Homer</w:t>
      </w:r>
      <w:r>
        <w:rPr>
          <w:rStyle w:val="FootnoteReference"/>
          <w:rFonts w:ascii="Times New Roman" w:hAnsi="Times New Roman" w:cs="Times New Roman"/>
          <w:sz w:val="24"/>
          <w:szCs w:val="24"/>
        </w:rPr>
        <w:footnoteReference w:id="109"/>
      </w:r>
      <w:r>
        <w:rPr>
          <w:rFonts w:ascii="Times New Roman" w:hAnsi="Times New Roman" w:cs="Times New Roman"/>
          <w:sz w:val="24"/>
          <w:szCs w:val="24"/>
        </w:rPr>
        <w:t xml:space="preserve">, which is that “[i]t was black at the </w:t>
      </w:r>
      <w:r>
        <w:rPr>
          <w:rFonts w:ascii="Times New Roman" w:hAnsi="Times New Roman" w:cs="Times New Roman"/>
          <w:sz w:val="24"/>
          <w:szCs w:val="24"/>
        </w:rPr>
        <w:lastRenderedPageBreak/>
        <w:t>root, but the flower was like to milk,” and that humans had a devil of a time uprooting the plant, which could be an allusion to the herb’s rareness even in Homer’s time or support for Pliny’s claim that moly has more of a root than a bulb.  In the latter case, we are left to wonder about this “thirty-foot root” – almost certainly this is an exaggeration, but modern identification would be easier if we knew whether Pliny was referring to a rhizome or to a yucca-like root vegetable.  Lacio</w:t>
      </w:r>
      <w:r>
        <w:rPr>
          <w:rStyle w:val="FootnoteReference"/>
          <w:rFonts w:ascii="Times New Roman" w:hAnsi="Times New Roman" w:cs="Times New Roman"/>
          <w:sz w:val="24"/>
          <w:szCs w:val="24"/>
        </w:rPr>
        <w:footnoteReference w:id="110"/>
      </w:r>
      <w:r>
        <w:rPr>
          <w:rFonts w:ascii="Times New Roman" w:hAnsi="Times New Roman" w:cs="Times New Roman"/>
          <w:sz w:val="24"/>
          <w:szCs w:val="24"/>
        </w:rPr>
        <w:t xml:space="preserve"> says Galen was no help in solving the riddle – in addition to misspelling it “Myle,” Galen saw moly as merely a styptic and paired it with an “unguento Irino” (an Egyptian unguent) in a restatement of Dioscorides’ relaxant recipe, instead of with the more commonly held “ryegrass flour” – and neither were any of Lacio’s contemporaries, who thought the ancient descriptions best matched the physiology of wild rue, despite wild rue having its own separate </w:t>
      </w:r>
      <w:r>
        <w:rPr>
          <w:rFonts w:ascii="Times New Roman" w:hAnsi="Times New Roman" w:cs="Times New Roman"/>
          <w:i/>
          <w:sz w:val="24"/>
          <w:szCs w:val="24"/>
        </w:rPr>
        <w:t xml:space="preserve">DMM </w:t>
      </w:r>
      <w:r>
        <w:rPr>
          <w:rFonts w:ascii="Times New Roman" w:hAnsi="Times New Roman" w:cs="Times New Roman"/>
          <w:sz w:val="24"/>
          <w:szCs w:val="24"/>
        </w:rPr>
        <w:t xml:space="preserve">entry.  </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Modern attempts to identify moly have largely proven unsuccessful.  Chisholm</w:t>
      </w:r>
      <w:r>
        <w:rPr>
          <w:rStyle w:val="FootnoteReference"/>
          <w:rFonts w:ascii="Times New Roman" w:hAnsi="Times New Roman" w:cs="Times New Roman"/>
          <w:sz w:val="24"/>
          <w:szCs w:val="24"/>
        </w:rPr>
        <w:footnoteReference w:id="111"/>
      </w:r>
      <w:r>
        <w:rPr>
          <w:rFonts w:ascii="Times New Roman" w:hAnsi="Times New Roman" w:cs="Times New Roman"/>
          <w:sz w:val="24"/>
          <w:szCs w:val="24"/>
        </w:rPr>
        <w:t xml:space="preserve"> holds “that moly is probably a magical name, derived perhaps from Phoenician or Egyptian sources,” based on contextual evidence in the </w:t>
      </w:r>
      <w:r>
        <w:rPr>
          <w:rFonts w:ascii="Times New Roman" w:hAnsi="Times New Roman" w:cs="Times New Roman"/>
          <w:i/>
          <w:sz w:val="24"/>
          <w:szCs w:val="24"/>
        </w:rPr>
        <w:t>Paris</w:t>
      </w:r>
      <w:r>
        <w:rPr>
          <w:rFonts w:ascii="Times New Roman" w:hAnsi="Times New Roman" w:cs="Times New Roman"/>
          <w:sz w:val="24"/>
          <w:szCs w:val="24"/>
        </w:rPr>
        <w:t xml:space="preserve"> and </w:t>
      </w:r>
      <w:r>
        <w:rPr>
          <w:rFonts w:ascii="Times New Roman" w:hAnsi="Times New Roman" w:cs="Times New Roman"/>
          <w:i/>
          <w:sz w:val="24"/>
          <w:szCs w:val="24"/>
        </w:rPr>
        <w:t>Leiden Magical Papyri,</w:t>
      </w:r>
      <w:r>
        <w:rPr>
          <w:rFonts w:ascii="Times New Roman" w:hAnsi="Times New Roman" w:cs="Times New Roman"/>
          <w:sz w:val="24"/>
          <w:szCs w:val="24"/>
        </w:rPr>
        <w:t xml:space="preserve"> and that our best guesses at the herb’s true identity are </w:t>
      </w:r>
      <w:r>
        <w:rPr>
          <w:rFonts w:ascii="Times New Roman" w:hAnsi="Times New Roman" w:cs="Times New Roman"/>
          <w:i/>
          <w:sz w:val="24"/>
          <w:szCs w:val="24"/>
        </w:rPr>
        <w:t>Peganum harmala, Atriplex halimus, Galanthus spp.,</w:t>
      </w:r>
      <w:r>
        <w:rPr>
          <w:rFonts w:ascii="Times New Roman" w:hAnsi="Times New Roman" w:cs="Times New Roman"/>
          <w:sz w:val="24"/>
          <w:szCs w:val="24"/>
        </w:rPr>
        <w:t xml:space="preserve"> and </w:t>
      </w:r>
      <w:r>
        <w:rPr>
          <w:rFonts w:ascii="Times New Roman" w:hAnsi="Times New Roman" w:cs="Times New Roman"/>
          <w:i/>
          <w:sz w:val="24"/>
          <w:szCs w:val="24"/>
        </w:rPr>
        <w:t>Allium moly</w:t>
      </w:r>
      <w:r>
        <w:rPr>
          <w:rFonts w:ascii="Times New Roman" w:hAnsi="Times New Roman" w:cs="Times New Roman"/>
          <w:sz w:val="24"/>
          <w:szCs w:val="24"/>
        </w:rPr>
        <w:t xml:space="preserve"> (wild garlic).  The majority of modern botanists have focused on the latter two options, with particular attention paid to </w:t>
      </w:r>
      <w:r>
        <w:rPr>
          <w:rFonts w:ascii="Times New Roman" w:hAnsi="Times New Roman" w:cs="Times New Roman"/>
          <w:i/>
          <w:sz w:val="24"/>
          <w:szCs w:val="24"/>
        </w:rPr>
        <w:t>Galanthus nivalis</w:t>
      </w:r>
      <w:r>
        <w:rPr>
          <w:rFonts w:ascii="Times New Roman" w:hAnsi="Times New Roman" w:cs="Times New Roman"/>
          <w:sz w:val="24"/>
          <w:szCs w:val="24"/>
        </w:rPr>
        <w:t xml:space="preserve"> (snowdrop), due to its appearance in Imbolc rites as representations of, and offerings to, Proserpine on her way back from the Underworld and Gaia awakening for the revival of spring.  It is a stretch, however, to say that just because wild garlic may have been included in trivium offerings to Hecate and snowdrop has its own ties (even, loosely, to Hecate, since she serves as Proserpine’s companion), either one of these herbs </w:t>
      </w:r>
      <w:r>
        <w:rPr>
          <w:rFonts w:ascii="Times New Roman" w:hAnsi="Times New Roman" w:cs="Times New Roman"/>
          <w:sz w:val="24"/>
          <w:szCs w:val="24"/>
        </w:rPr>
        <w:lastRenderedPageBreak/>
        <w:t>must have been moly, since the only myth in which moly appears has it being used not as an offering but rather as a deflector of spells</w:t>
      </w:r>
      <w:r>
        <w:rPr>
          <w:rStyle w:val="FootnoteReference"/>
          <w:rFonts w:ascii="Times New Roman" w:hAnsi="Times New Roman" w:cs="Times New Roman"/>
          <w:sz w:val="24"/>
          <w:szCs w:val="24"/>
        </w:rPr>
        <w:footnoteReference w:id="112"/>
      </w:r>
      <w:r>
        <w:rPr>
          <w:rFonts w:ascii="Times New Roman" w:hAnsi="Times New Roman" w:cs="Times New Roman"/>
          <w:sz w:val="24"/>
          <w:szCs w:val="24"/>
        </w:rPr>
        <w:t xml:space="preserve">.  Quite frankly, if one considers the herb’s physicality as presented in ancient texts as the most indicative trait, one might focus on more than just the flower, as those who fancy snowdrop and wild garlic plainly do.  What can be made of the long, dark root?  Perhaps one would have more luck starting there – as an example, the North American bloodroot </w:t>
      </w:r>
      <w:r>
        <w:rPr>
          <w:rFonts w:ascii="Times New Roman" w:hAnsi="Times New Roman" w:cs="Times New Roman"/>
          <w:i/>
          <w:sz w:val="24"/>
          <w:szCs w:val="24"/>
        </w:rPr>
        <w:t>(Sanguinaria canadensis L.)</w:t>
      </w:r>
      <w:r>
        <w:rPr>
          <w:rFonts w:ascii="Times New Roman" w:hAnsi="Times New Roman" w:cs="Times New Roman"/>
          <w:sz w:val="24"/>
          <w:szCs w:val="24"/>
        </w:rPr>
        <w:t xml:space="preserve"> seems to align rather well with Homer’s description of moly</w:t>
      </w:r>
      <w:r>
        <w:rPr>
          <w:rStyle w:val="FootnoteReference"/>
          <w:rFonts w:ascii="Times New Roman" w:hAnsi="Times New Roman" w:cs="Times New Roman"/>
          <w:sz w:val="24"/>
          <w:szCs w:val="24"/>
        </w:rPr>
        <w:footnoteReference w:id="113"/>
      </w:r>
      <w:r>
        <w:rPr>
          <w:rFonts w:ascii="Times New Roman" w:hAnsi="Times New Roman" w:cs="Times New Roman"/>
          <w:sz w:val="24"/>
          <w:szCs w:val="24"/>
        </w:rPr>
        <w:t>, and its Haitian variant, nicknamed “sang-dragon,” features rather lengthy rhizomes which better satisfy Pliny’s root specifications</w:t>
      </w:r>
      <w:r>
        <w:rPr>
          <w:rStyle w:val="FootnoteReference"/>
          <w:rFonts w:ascii="Times New Roman" w:hAnsi="Times New Roman" w:cs="Times New Roman"/>
          <w:sz w:val="24"/>
          <w:szCs w:val="24"/>
        </w:rPr>
        <w:footnoteReference w:id="114"/>
      </w:r>
      <w:r>
        <w:rPr>
          <w:rFonts w:ascii="Times New Roman" w:hAnsi="Times New Roman" w:cs="Times New Roman"/>
          <w:sz w:val="24"/>
          <w:szCs w:val="24"/>
        </w:rPr>
        <w:t xml:space="preserve">.  Bloodroot belongs to the </w:t>
      </w:r>
      <w:r>
        <w:rPr>
          <w:rFonts w:ascii="Times New Roman" w:hAnsi="Times New Roman" w:cs="Times New Roman"/>
          <w:i/>
          <w:sz w:val="24"/>
          <w:szCs w:val="24"/>
        </w:rPr>
        <w:t>Papaveraceae</w:t>
      </w:r>
      <w:r>
        <w:rPr>
          <w:rFonts w:ascii="Times New Roman" w:hAnsi="Times New Roman" w:cs="Times New Roman"/>
          <w:sz w:val="24"/>
          <w:szCs w:val="24"/>
        </w:rPr>
        <w:t xml:space="preserve"> family alongside the both magically and medically useful opium poppy, and its somewhat poisonous-to-the-touch nature would support Mercury’s warning to Odysseus that moly “is hard for mortal men to dig</w:t>
      </w:r>
      <w:r>
        <w:rPr>
          <w:rStyle w:val="FootnoteReference"/>
          <w:rFonts w:ascii="Times New Roman" w:hAnsi="Times New Roman" w:cs="Times New Roman"/>
          <w:sz w:val="24"/>
          <w:szCs w:val="24"/>
        </w:rPr>
        <w:footnoteReference w:id="115"/>
      </w:r>
      <w:r>
        <w:rPr>
          <w:rFonts w:ascii="Times New Roman" w:hAnsi="Times New Roman" w:cs="Times New Roman"/>
          <w:sz w:val="24"/>
          <w:szCs w:val="24"/>
        </w:rPr>
        <w:t xml:space="preserve">.”  Tracing a pre-Columbian ancestor of the Haitian or North American variants of </w:t>
      </w:r>
      <w:r>
        <w:rPr>
          <w:rFonts w:ascii="Times New Roman" w:hAnsi="Times New Roman" w:cs="Times New Roman"/>
          <w:i/>
          <w:sz w:val="24"/>
          <w:szCs w:val="24"/>
        </w:rPr>
        <w:t>S. canadensis L.</w:t>
      </w:r>
      <w:r>
        <w:rPr>
          <w:rFonts w:ascii="Times New Roman" w:hAnsi="Times New Roman" w:cs="Times New Roman"/>
          <w:sz w:val="24"/>
          <w:szCs w:val="24"/>
        </w:rPr>
        <w:t xml:space="preserve"> to the Mediterranean basin should not be too hard a task for an ethno-botanist to undertake, if it has not already been undertaken, given the efforts made to date with tracing silphium, manna, and other seemingly “lost” herbs</w:t>
      </w:r>
      <w:r>
        <w:rPr>
          <w:rStyle w:val="FootnoteReference"/>
          <w:rFonts w:ascii="Times New Roman" w:hAnsi="Times New Roman" w:cs="Times New Roman"/>
          <w:sz w:val="24"/>
          <w:szCs w:val="24"/>
        </w:rPr>
        <w:footnoteReference w:id="116"/>
      </w:r>
      <w:r>
        <w:rPr>
          <w:rFonts w:ascii="Times New Roman" w:hAnsi="Times New Roman" w:cs="Times New Roman"/>
          <w:sz w:val="24"/>
          <w:szCs w:val="24"/>
        </w:rPr>
        <w:t>.</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Finally, there is the matter of </w:t>
      </w:r>
      <w:r>
        <w:rPr>
          <w:rFonts w:ascii="Times New Roman" w:hAnsi="Times New Roman" w:cs="Times New Roman"/>
          <w:b/>
          <w:sz w:val="24"/>
          <w:szCs w:val="24"/>
        </w:rPr>
        <w:t>reeds</w:t>
      </w:r>
      <w:r>
        <w:rPr>
          <w:rFonts w:ascii="Times New Roman" w:hAnsi="Times New Roman" w:cs="Times New Roman"/>
          <w:sz w:val="24"/>
          <w:szCs w:val="24"/>
        </w:rPr>
        <w:t xml:space="preserve">.  The </w:t>
      </w:r>
      <w:r>
        <w:rPr>
          <w:rFonts w:ascii="Times New Roman" w:hAnsi="Times New Roman" w:cs="Times New Roman"/>
          <w:i/>
          <w:sz w:val="24"/>
          <w:szCs w:val="24"/>
        </w:rPr>
        <w:t>Papyri Magicae</w:t>
      </w:r>
      <w:r>
        <w:rPr>
          <w:rFonts w:ascii="Times New Roman" w:hAnsi="Times New Roman" w:cs="Times New Roman"/>
          <w:sz w:val="24"/>
          <w:szCs w:val="24"/>
        </w:rPr>
        <w:t xml:space="preserve"> make the distinction between green reeds used for magic and papyrus reeds used for commonplace items like pens or thatch roofs</w:t>
      </w:r>
      <w:r>
        <w:rPr>
          <w:rStyle w:val="FootnoteReference"/>
          <w:rFonts w:ascii="Times New Roman" w:hAnsi="Times New Roman" w:cs="Times New Roman"/>
          <w:sz w:val="24"/>
          <w:szCs w:val="24"/>
        </w:rPr>
        <w:footnoteReference w:id="117"/>
      </w:r>
      <w:r>
        <w:rPr>
          <w:rFonts w:ascii="Times New Roman" w:hAnsi="Times New Roman" w:cs="Times New Roman"/>
          <w:sz w:val="24"/>
          <w:szCs w:val="24"/>
        </w:rPr>
        <w:t>; the exact species of green reed is never given, though it factors into a “love salve</w:t>
      </w:r>
      <w:r>
        <w:rPr>
          <w:rStyle w:val="FootnoteReference"/>
          <w:rFonts w:ascii="Times New Roman" w:hAnsi="Times New Roman" w:cs="Times New Roman"/>
          <w:sz w:val="24"/>
          <w:szCs w:val="24"/>
        </w:rPr>
        <w:footnoteReference w:id="118"/>
      </w:r>
      <w:r>
        <w:rPr>
          <w:rFonts w:ascii="Times New Roman" w:hAnsi="Times New Roman" w:cs="Times New Roman"/>
          <w:sz w:val="24"/>
          <w:szCs w:val="24"/>
        </w:rPr>
        <w:t>,” a “Spell for Revelation” which summons omniscient daemons</w:t>
      </w:r>
      <w:r>
        <w:rPr>
          <w:rStyle w:val="FootnoteReference"/>
          <w:rFonts w:ascii="Times New Roman" w:hAnsi="Times New Roman" w:cs="Times New Roman"/>
          <w:sz w:val="24"/>
          <w:szCs w:val="24"/>
        </w:rPr>
        <w:footnoteReference w:id="119"/>
      </w:r>
      <w:r>
        <w:rPr>
          <w:rFonts w:ascii="Times New Roman" w:hAnsi="Times New Roman" w:cs="Times New Roman"/>
          <w:sz w:val="24"/>
          <w:szCs w:val="24"/>
        </w:rPr>
        <w:t>, a “lamp divination” spell</w:t>
      </w:r>
      <w:r>
        <w:rPr>
          <w:rStyle w:val="FootnoteReference"/>
          <w:rFonts w:ascii="Times New Roman" w:hAnsi="Times New Roman" w:cs="Times New Roman"/>
          <w:sz w:val="24"/>
          <w:szCs w:val="24"/>
        </w:rPr>
        <w:footnoteReference w:id="120"/>
      </w:r>
      <w:r>
        <w:rPr>
          <w:rFonts w:ascii="Times New Roman" w:hAnsi="Times New Roman" w:cs="Times New Roman"/>
          <w:sz w:val="24"/>
          <w:szCs w:val="24"/>
        </w:rPr>
        <w:t xml:space="preserve">, an </w:t>
      </w:r>
      <w:r>
        <w:rPr>
          <w:rFonts w:ascii="Times New Roman" w:hAnsi="Times New Roman" w:cs="Times New Roman"/>
          <w:sz w:val="24"/>
          <w:szCs w:val="24"/>
        </w:rPr>
        <w:lastRenderedPageBreak/>
        <w:t>invocation for divine help in wooing a woman</w:t>
      </w:r>
      <w:r>
        <w:rPr>
          <w:rStyle w:val="FootnoteReference"/>
          <w:rFonts w:ascii="Times New Roman" w:hAnsi="Times New Roman" w:cs="Times New Roman"/>
          <w:sz w:val="24"/>
          <w:szCs w:val="24"/>
        </w:rPr>
        <w:footnoteReference w:id="121"/>
      </w:r>
      <w:r>
        <w:rPr>
          <w:rFonts w:ascii="Times New Roman" w:hAnsi="Times New Roman" w:cs="Times New Roman"/>
          <w:sz w:val="24"/>
          <w:szCs w:val="24"/>
        </w:rPr>
        <w:t>, and a hymn to Osiris requesting his guidance with spellwork</w:t>
      </w:r>
      <w:r>
        <w:rPr>
          <w:rStyle w:val="FootnoteReference"/>
          <w:rFonts w:ascii="Times New Roman" w:hAnsi="Times New Roman" w:cs="Times New Roman"/>
          <w:sz w:val="24"/>
          <w:szCs w:val="24"/>
        </w:rPr>
        <w:footnoteReference w:id="122"/>
      </w:r>
      <w:r>
        <w:rPr>
          <w:rFonts w:ascii="Times New Roman" w:hAnsi="Times New Roman" w:cs="Times New Roman"/>
          <w:sz w:val="24"/>
          <w:szCs w:val="24"/>
        </w:rPr>
        <w:t>.  Pliny mentions only that Eastern warriors, “[b]y means of reeds with a feather attached, […] hasten the approach of death</w:t>
      </w:r>
      <w:r>
        <w:rPr>
          <w:rStyle w:val="FootnoteReference"/>
          <w:rFonts w:ascii="Times New Roman" w:hAnsi="Times New Roman" w:cs="Times New Roman"/>
          <w:sz w:val="24"/>
          <w:szCs w:val="24"/>
        </w:rPr>
        <w:footnoteReference w:id="123"/>
      </w:r>
      <w:r>
        <w:rPr>
          <w:rFonts w:ascii="Times New Roman" w:hAnsi="Times New Roman" w:cs="Times New Roman"/>
          <w:sz w:val="24"/>
          <w:szCs w:val="24"/>
        </w:rPr>
        <w:t>,” which likely means they were used in either weapon-crafting or war-dances, and that reed piths “are used for candles and funeral torches</w:t>
      </w:r>
      <w:r>
        <w:rPr>
          <w:rStyle w:val="FootnoteReference"/>
          <w:rFonts w:ascii="Times New Roman" w:hAnsi="Times New Roman" w:cs="Times New Roman"/>
          <w:sz w:val="24"/>
          <w:szCs w:val="24"/>
        </w:rPr>
        <w:footnoteReference w:id="124"/>
      </w:r>
      <w:r>
        <w:rPr>
          <w:rFonts w:ascii="Times New Roman" w:hAnsi="Times New Roman" w:cs="Times New Roman"/>
          <w:sz w:val="24"/>
          <w:szCs w:val="24"/>
        </w:rPr>
        <w:t>,” items which might have appealed to witches.  It is possible that the “love salve” notion stems from the reeds’ phallic shape (indeed, the more bulbous and stalky herbs from this case study, and also the cucumber, feature in sexual magic spells, and it is well-known that the Greeks held the phallus as a good-luck charm), just as it is possible that the basis for choosing reeds as communication tools for divine powers lies in their mythology</w:t>
      </w:r>
      <w:r>
        <w:rPr>
          <w:rStyle w:val="FootnoteReference"/>
          <w:rFonts w:ascii="Times New Roman" w:hAnsi="Times New Roman" w:cs="Times New Roman"/>
          <w:sz w:val="24"/>
          <w:szCs w:val="24"/>
        </w:rPr>
        <w:footnoteReference w:id="125"/>
      </w:r>
      <w:r>
        <w:rPr>
          <w:rFonts w:ascii="Times New Roman" w:hAnsi="Times New Roman" w:cs="Times New Roman"/>
          <w:sz w:val="24"/>
          <w:szCs w:val="24"/>
        </w:rPr>
        <w:t xml:space="preserve"> or usefulness as instruments</w:t>
      </w:r>
      <w:r>
        <w:rPr>
          <w:rStyle w:val="FootnoteReference"/>
          <w:rFonts w:ascii="Times New Roman" w:hAnsi="Times New Roman" w:cs="Times New Roman"/>
          <w:sz w:val="24"/>
          <w:szCs w:val="24"/>
        </w:rPr>
        <w:footnoteReference w:id="126"/>
      </w:r>
      <w:r>
        <w:rPr>
          <w:rFonts w:ascii="Times New Roman" w:hAnsi="Times New Roman" w:cs="Times New Roman"/>
          <w:sz w:val="24"/>
          <w:szCs w:val="24"/>
        </w:rPr>
        <w:t>.  Medically, the green reed most prominently appears in a cure for “[a]ny sort of dislocation” or fracture provided by Cato the Elder</w:t>
      </w:r>
      <w:r>
        <w:rPr>
          <w:rStyle w:val="FootnoteReference"/>
          <w:rFonts w:ascii="Times New Roman" w:hAnsi="Times New Roman" w:cs="Times New Roman"/>
          <w:sz w:val="24"/>
          <w:szCs w:val="24"/>
        </w:rPr>
        <w:footnoteReference w:id="127"/>
      </w:r>
      <w:r>
        <w:rPr>
          <w:rFonts w:ascii="Times New Roman" w:hAnsi="Times New Roman" w:cs="Times New Roman"/>
          <w:sz w:val="24"/>
          <w:szCs w:val="24"/>
        </w:rPr>
        <w:t>, wherein an incantation and some fanfare turns two halves of a reed into a magical conduit through which healing power may pass when in contact with an injured body part.  Its inclusion in this case study is based entirely on this last entry: for the aim of this paper is to show the correlation between medicinal and magical properties in herbs and examples of those herbs which have both, and here in Cato’s report we see a concrete example of medicine and magic working harmoniously through one herb – proof that the two areas were not isolated, as has historically been the assumption, but instead frequently operated in tandem.</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These species identity issues addressed, we move now on Hippocratic humoral category identification issues.</w:t>
      </w:r>
    </w:p>
    <w:p w:rsidR="00385CDE" w:rsidRDefault="00385CDE" w:rsidP="00385CDE">
      <w:pPr>
        <w:pStyle w:val="ListParagraph"/>
        <w:numPr>
          <w:ilvl w:val="0"/>
          <w:numId w:val="11"/>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Difficulties in Categorization</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Ignoring for the moment Aristotle’s caveat</w:t>
      </w:r>
      <w:r>
        <w:rPr>
          <w:rStyle w:val="FootnoteReference"/>
          <w:rFonts w:ascii="Times New Roman" w:hAnsi="Times New Roman" w:cs="Times New Roman"/>
          <w:sz w:val="24"/>
          <w:szCs w:val="24"/>
        </w:rPr>
        <w:footnoteReference w:id="128"/>
      </w:r>
      <w:r>
        <w:rPr>
          <w:rFonts w:ascii="Times New Roman" w:hAnsi="Times New Roman" w:cs="Times New Roman"/>
          <w:sz w:val="24"/>
          <w:szCs w:val="24"/>
        </w:rPr>
        <w:t xml:space="preserve"> that “[t]hose who proceed in their science entirely by characteristics are wrong,” since contextually, it applies to the divining of human traits more so than to herb traits, the most scientific way to go about grouping the herbs explored in this case study is by their physique</w:t>
      </w:r>
      <w:r>
        <w:rPr>
          <w:rStyle w:val="FootnoteReference"/>
          <w:rFonts w:ascii="Times New Roman" w:hAnsi="Times New Roman" w:cs="Times New Roman"/>
          <w:sz w:val="24"/>
          <w:szCs w:val="24"/>
        </w:rPr>
        <w:footnoteReference w:id="129"/>
      </w:r>
      <w:r>
        <w:rPr>
          <w:rFonts w:ascii="Times New Roman" w:hAnsi="Times New Roman" w:cs="Times New Roman"/>
          <w:sz w:val="24"/>
          <w:szCs w:val="24"/>
        </w:rPr>
        <w:t>.  As can be seen in Fig. 3, most of these herbs were best categorized as being trees, bulb</w:t>
      </w:r>
      <w:r w:rsidR="00D44B6C">
        <w:rPr>
          <w:rFonts w:ascii="Times New Roman" w:hAnsi="Times New Roman" w:cs="Times New Roman"/>
          <w:sz w:val="24"/>
          <w:szCs w:val="24"/>
        </w:rPr>
        <w:t>-</w:t>
      </w:r>
      <w:r>
        <w:rPr>
          <w:rFonts w:ascii="Times New Roman" w:hAnsi="Times New Roman" w:cs="Times New Roman"/>
          <w:sz w:val="24"/>
          <w:szCs w:val="24"/>
        </w:rPr>
        <w:t xml:space="preserve"> or thick-rooted plants, umbellate plants, banes (i.e. poisonous plants), and hairy plants.  Not all thirty-one fit neatly into these categories, and some fit into more than one category, but within these five groupings, commonalities in medicinal property, magical property, and physique are readily apparent.</w:t>
      </w:r>
    </w:p>
    <w:p w:rsidR="00385CDE" w:rsidRDefault="00385CDE" w:rsidP="00385CDE">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34075" cy="7581900"/>
            <wp:effectExtent l="19050" t="0" r="9525"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934075" cy="7581900"/>
                    </a:xfrm>
                    <a:prstGeom prst="rect">
                      <a:avLst/>
                    </a:prstGeom>
                    <a:noFill/>
                    <a:ln w="9525">
                      <a:noFill/>
                      <a:miter lim="800000"/>
                      <a:headEnd/>
                      <a:tailEnd/>
                    </a:ln>
                  </pic:spPr>
                </pic:pic>
              </a:graphicData>
            </a:graphic>
          </wp:inline>
        </w:drawing>
      </w:r>
    </w:p>
    <w:p w:rsidR="00385CDE" w:rsidRDefault="00385CDE" w:rsidP="00385CD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It should be noted that the elemental and astrological associations mentioned in Fig. 3 come by way of Cunningham</w:t>
      </w:r>
      <w:r>
        <w:rPr>
          <w:rStyle w:val="FootnoteReference"/>
          <w:rFonts w:ascii="Times New Roman" w:hAnsi="Times New Roman" w:cs="Times New Roman"/>
          <w:sz w:val="24"/>
          <w:szCs w:val="24"/>
        </w:rPr>
        <w:footnoteReference w:id="130"/>
      </w:r>
      <w:r>
        <w:rPr>
          <w:rFonts w:ascii="Times New Roman" w:hAnsi="Times New Roman" w:cs="Times New Roman"/>
          <w:sz w:val="24"/>
          <w:szCs w:val="24"/>
        </w:rPr>
        <w:t>, and the Ayurvedic ones by way of Wood</w:t>
      </w:r>
      <w:r>
        <w:rPr>
          <w:rStyle w:val="FootnoteReference"/>
          <w:rFonts w:ascii="Times New Roman" w:hAnsi="Times New Roman" w:cs="Times New Roman"/>
          <w:sz w:val="24"/>
          <w:szCs w:val="24"/>
        </w:rPr>
        <w:footnoteReference w:id="131"/>
      </w:r>
      <w:r>
        <w:rPr>
          <w:rFonts w:ascii="Times New Roman" w:hAnsi="Times New Roman" w:cs="Times New Roman"/>
          <w:sz w:val="24"/>
          <w:szCs w:val="24"/>
        </w:rPr>
        <w:t>.  More information on medical and magical characteristics is available in Appendix B at the end of this paper.</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central issue which this physiognomic model produces is not so much the question of placement of the “Remaining” five herbs, as it is a question of legitimacy in the context of Classical antiquity.  While we may be able to prove a correlation between a plant’s physique and its use in medicine – that is, to perceive a potential thought process for the medical herbalist in terms of being able to look at a plant and assume its medicinal effects – we simply do not have a sufficient amount of ancient evidence to assert that the same can be done for magical herbalists.  Thus, it is a useful springboard for more complex models, but without a definitive means of aligning magical properties with physiognomic properties, a springboard is all it can be.</w:t>
      </w:r>
    </w:p>
    <w:p w:rsidR="00385CDE" w:rsidRDefault="00385CDE" w:rsidP="00385CDE">
      <w:pPr>
        <w:spacing w:line="480" w:lineRule="auto"/>
        <w:ind w:firstLine="720"/>
        <w:rPr>
          <w:rStyle w:val="IntenseEmphasis"/>
          <w:b w:val="0"/>
          <w:i w:val="0"/>
        </w:rPr>
      </w:pPr>
      <w:r>
        <w:rPr>
          <w:rFonts w:ascii="Times New Roman" w:hAnsi="Times New Roman" w:cs="Times New Roman"/>
          <w:sz w:val="24"/>
          <w:szCs w:val="24"/>
        </w:rPr>
        <w:t>The logical next step, since the physiognomic model has identified the most noticeable physical aspects of these herbs, is to see what parts of them pertained to ancient medical and magical recipes.  After all, Theophrastus’</w:t>
      </w:r>
      <w:r w:rsidRPr="00EB7A07">
        <w:rPr>
          <w:rFonts w:ascii="Times New Roman" w:hAnsi="Times New Roman" w:cs="Times New Roman"/>
          <w:b/>
          <w:i/>
          <w:sz w:val="24"/>
          <w:szCs w:val="24"/>
        </w:rPr>
        <w:t xml:space="preserve"> </w:t>
      </w:r>
      <w:r w:rsidRPr="00385CDE">
        <w:rPr>
          <w:rStyle w:val="IntenseEmphasis"/>
          <w:rFonts w:ascii="Times New Roman" w:hAnsi="Times New Roman" w:cs="Times New Roman"/>
          <w:b w:val="0"/>
          <w:i w:val="0"/>
          <w:color w:val="auto"/>
          <w:sz w:val="24"/>
          <w:szCs w:val="24"/>
        </w:rPr>
        <w:t xml:space="preserve">“description of </w:t>
      </w:r>
      <w:r w:rsidRPr="00385CDE">
        <w:rPr>
          <w:rStyle w:val="IntenseEmphasis"/>
          <w:rFonts w:ascii="Times New Roman" w:hAnsi="Times New Roman" w:cs="Times New Roman"/>
          <w:b w:val="0"/>
          <w:i w:val="0"/>
          <w:color w:val="auto"/>
          <w:sz w:val="24"/>
          <w:szCs w:val="24"/>
          <w:lang w:val="el-GR"/>
        </w:rPr>
        <w:t>πόαι</w:t>
      </w:r>
      <w:r w:rsidRPr="00385CDE">
        <w:rPr>
          <w:rStyle w:val="IntenseEmphasis"/>
          <w:rFonts w:ascii="Times New Roman" w:hAnsi="Times New Roman" w:cs="Times New Roman"/>
          <w:b w:val="0"/>
          <w:i w:val="0"/>
          <w:color w:val="auto"/>
          <w:sz w:val="24"/>
          <w:szCs w:val="24"/>
        </w:rPr>
        <w:t xml:space="preserve"> (herbs) includes substances that have ‘medicinal powers’ (</w:t>
      </w:r>
      <w:r w:rsidRPr="00385CDE">
        <w:rPr>
          <w:rStyle w:val="IntenseEmphasis"/>
          <w:rFonts w:ascii="Times New Roman" w:hAnsi="Times New Roman" w:cs="Times New Roman"/>
          <w:b w:val="0"/>
          <w:i w:val="0"/>
          <w:color w:val="auto"/>
          <w:sz w:val="24"/>
          <w:szCs w:val="24"/>
          <w:lang w:val="el-GR"/>
        </w:rPr>
        <w:t>φαρμακώδεις</w:t>
      </w:r>
      <w:r w:rsidRPr="00385CDE">
        <w:rPr>
          <w:rStyle w:val="IntenseEmphasis"/>
          <w:rFonts w:ascii="Times New Roman" w:hAnsi="Times New Roman" w:cs="Times New Roman"/>
          <w:b w:val="0"/>
          <w:i w:val="0"/>
          <w:color w:val="auto"/>
          <w:sz w:val="24"/>
          <w:szCs w:val="24"/>
        </w:rPr>
        <w:t xml:space="preserve"> </w:t>
      </w:r>
      <w:r w:rsidRPr="00385CDE">
        <w:rPr>
          <w:rStyle w:val="IntenseEmphasis"/>
          <w:rFonts w:ascii="Times New Roman" w:hAnsi="Times New Roman" w:cs="Times New Roman"/>
          <w:b w:val="0"/>
          <w:i w:val="0"/>
          <w:color w:val="auto"/>
          <w:sz w:val="24"/>
          <w:szCs w:val="24"/>
          <w:lang w:val="el-GR"/>
        </w:rPr>
        <w:t>δυνάμεις</w:t>
      </w:r>
      <w:r w:rsidRPr="00385CDE">
        <w:rPr>
          <w:rStyle w:val="IntenseEmphasis"/>
          <w:rFonts w:ascii="Times New Roman" w:hAnsi="Times New Roman" w:cs="Times New Roman"/>
          <w:b w:val="0"/>
          <w:i w:val="0"/>
          <w:color w:val="auto"/>
          <w:sz w:val="24"/>
          <w:szCs w:val="24"/>
        </w:rPr>
        <w:t>), comprising ‘juice’ (</w:t>
      </w:r>
      <w:r w:rsidRPr="00385CDE">
        <w:rPr>
          <w:rStyle w:val="IntenseEmphasis"/>
          <w:rFonts w:ascii="Times New Roman" w:hAnsi="Times New Roman" w:cs="Times New Roman"/>
          <w:b w:val="0"/>
          <w:i w:val="0"/>
          <w:color w:val="auto"/>
          <w:sz w:val="24"/>
          <w:szCs w:val="24"/>
          <w:lang w:val="el-GR"/>
        </w:rPr>
        <w:t>χυλισμός</w:t>
      </w:r>
      <w:r w:rsidRPr="00385CDE">
        <w:rPr>
          <w:rStyle w:val="IntenseEmphasis"/>
          <w:rFonts w:ascii="Times New Roman" w:hAnsi="Times New Roman" w:cs="Times New Roman"/>
          <w:b w:val="0"/>
          <w:i w:val="0"/>
          <w:color w:val="auto"/>
          <w:sz w:val="24"/>
          <w:szCs w:val="24"/>
        </w:rPr>
        <w:t>), ‘fruits’ (</w:t>
      </w:r>
      <w:r w:rsidRPr="00385CDE">
        <w:rPr>
          <w:rStyle w:val="IntenseEmphasis"/>
          <w:rFonts w:ascii="Times New Roman" w:hAnsi="Times New Roman" w:cs="Times New Roman"/>
          <w:b w:val="0"/>
          <w:i w:val="0"/>
          <w:color w:val="auto"/>
          <w:sz w:val="24"/>
          <w:szCs w:val="24"/>
          <w:lang w:val="el-GR"/>
        </w:rPr>
        <w:t>καρποί</w:t>
      </w:r>
      <w:r w:rsidRPr="00385CDE">
        <w:rPr>
          <w:rStyle w:val="IntenseEmphasis"/>
          <w:rFonts w:ascii="Times New Roman" w:hAnsi="Times New Roman" w:cs="Times New Roman"/>
          <w:b w:val="0"/>
          <w:i w:val="0"/>
          <w:color w:val="auto"/>
          <w:sz w:val="24"/>
          <w:szCs w:val="24"/>
        </w:rPr>
        <w:t>), ‘leaves’ (</w:t>
      </w:r>
      <w:r w:rsidRPr="00385CDE">
        <w:rPr>
          <w:rStyle w:val="IntenseEmphasis"/>
          <w:rFonts w:ascii="Times New Roman" w:hAnsi="Times New Roman" w:cs="Times New Roman"/>
          <w:b w:val="0"/>
          <w:i w:val="0"/>
          <w:color w:val="auto"/>
          <w:sz w:val="24"/>
          <w:szCs w:val="24"/>
          <w:lang w:val="el-GR"/>
        </w:rPr>
        <w:t>φύλλα</w:t>
      </w:r>
      <w:r w:rsidRPr="00385CDE">
        <w:rPr>
          <w:rStyle w:val="IntenseEmphasis"/>
          <w:rFonts w:ascii="Times New Roman" w:hAnsi="Times New Roman" w:cs="Times New Roman"/>
          <w:b w:val="0"/>
          <w:i w:val="0"/>
          <w:color w:val="auto"/>
          <w:sz w:val="24"/>
          <w:szCs w:val="24"/>
        </w:rPr>
        <w:t>), and ‘roots’ (</w:t>
      </w:r>
      <w:r w:rsidRPr="00385CDE">
        <w:rPr>
          <w:rStyle w:val="IntenseEmphasis"/>
          <w:rFonts w:ascii="Times New Roman" w:hAnsi="Times New Roman" w:cs="Times New Roman"/>
          <w:b w:val="0"/>
          <w:i w:val="0"/>
          <w:color w:val="auto"/>
          <w:sz w:val="24"/>
          <w:szCs w:val="24"/>
          <w:lang w:val="el-GR"/>
        </w:rPr>
        <w:t>ῥιζα</w:t>
      </w:r>
      <w:r w:rsidRPr="00385CDE">
        <w:rPr>
          <w:rStyle w:val="IntenseEmphasis"/>
          <w:rFonts w:ascii="Times New Roman" w:hAnsi="Times New Roman" w:cs="Times New Roman"/>
          <w:b w:val="0"/>
          <w:i w:val="0"/>
          <w:color w:val="auto"/>
          <w:sz w:val="24"/>
          <w:szCs w:val="24"/>
        </w:rPr>
        <w:t>), because the ‘rootcutters term an “herb” certain of the medicinals,’ and an ‘herb’ consists of one or all of these parts</w:t>
      </w:r>
      <w:r w:rsidRPr="00385CDE">
        <w:rPr>
          <w:rStyle w:val="FootnoteReference"/>
          <w:rFonts w:ascii="Times New Roman" w:hAnsi="Times New Roman" w:cs="Times New Roman"/>
          <w:b/>
          <w:bCs/>
          <w:i/>
          <w:iCs/>
          <w:sz w:val="24"/>
          <w:szCs w:val="24"/>
        </w:rPr>
        <w:footnoteReference w:id="132"/>
      </w:r>
      <w:r w:rsidRPr="00385CDE">
        <w:rPr>
          <w:rStyle w:val="IntenseEmphasis"/>
          <w:rFonts w:ascii="Times New Roman" w:hAnsi="Times New Roman" w:cs="Times New Roman"/>
          <w:b w:val="0"/>
          <w:i w:val="0"/>
          <w:color w:val="auto"/>
          <w:sz w:val="24"/>
          <w:szCs w:val="24"/>
        </w:rPr>
        <w:t>.”  The chart in Fig. 4 below provides a listing of the case study herbs’ useful parts as mentioned by Dioscorides, Pliny the Elder, Cunningham, Moura</w:t>
      </w:r>
      <w:r w:rsidRPr="00D7001C">
        <w:rPr>
          <w:rStyle w:val="FootnoteReference"/>
          <w:rFonts w:ascii="Times New Roman" w:hAnsi="Times New Roman" w:cs="Times New Roman"/>
          <w:bCs/>
          <w:iCs/>
          <w:sz w:val="24"/>
          <w:szCs w:val="24"/>
        </w:rPr>
        <w:footnoteReference w:id="133"/>
      </w:r>
      <w:r w:rsidRPr="00385CDE">
        <w:rPr>
          <w:rStyle w:val="IntenseEmphasis"/>
          <w:rFonts w:ascii="Times New Roman" w:hAnsi="Times New Roman" w:cs="Times New Roman"/>
          <w:b w:val="0"/>
          <w:i w:val="0"/>
          <w:color w:val="auto"/>
          <w:sz w:val="24"/>
          <w:szCs w:val="24"/>
        </w:rPr>
        <w:t>, Yronwode</w:t>
      </w:r>
      <w:r w:rsidRPr="00D7001C">
        <w:rPr>
          <w:rStyle w:val="FootnoteReference"/>
          <w:rFonts w:ascii="Times New Roman" w:hAnsi="Times New Roman" w:cs="Times New Roman"/>
          <w:bCs/>
          <w:iCs/>
          <w:sz w:val="24"/>
          <w:szCs w:val="24"/>
        </w:rPr>
        <w:footnoteReference w:id="134"/>
      </w:r>
      <w:r w:rsidRPr="00385CDE">
        <w:rPr>
          <w:rStyle w:val="IntenseEmphasis"/>
          <w:rFonts w:ascii="Times New Roman" w:hAnsi="Times New Roman" w:cs="Times New Roman"/>
          <w:b w:val="0"/>
          <w:i w:val="0"/>
          <w:color w:val="auto"/>
          <w:sz w:val="24"/>
          <w:szCs w:val="24"/>
        </w:rPr>
        <w:t xml:space="preserve">, et al. (quoted text is available in Appendix A), as </w:t>
      </w:r>
      <w:r w:rsidRPr="00385CDE">
        <w:rPr>
          <w:rStyle w:val="IntenseEmphasis"/>
          <w:rFonts w:ascii="Times New Roman" w:hAnsi="Times New Roman" w:cs="Times New Roman"/>
          <w:b w:val="0"/>
          <w:i w:val="0"/>
          <w:color w:val="auto"/>
          <w:sz w:val="24"/>
          <w:szCs w:val="24"/>
        </w:rPr>
        <w:lastRenderedPageBreak/>
        <w:t>well as a summation of Fig. 3 for comparison’s sake, and a guide to what those same authors considered suitable synergists and/or substitutes for those herbs.</w:t>
      </w:r>
    </w:p>
    <w:p w:rsidR="00385CDE" w:rsidRDefault="00385CDE" w:rsidP="00385CDE">
      <w:pPr>
        <w:spacing w:line="480" w:lineRule="auto"/>
      </w:pPr>
      <w:r>
        <w:rPr>
          <w:rFonts w:ascii="Times New Roman" w:hAnsi="Times New Roman" w:cs="Times New Roman"/>
          <w:noProof/>
          <w:sz w:val="24"/>
          <w:szCs w:val="24"/>
        </w:rPr>
        <w:drawing>
          <wp:inline distT="0" distB="0" distL="0" distR="0">
            <wp:extent cx="5686425" cy="7200900"/>
            <wp:effectExtent l="19050" t="0" r="9525"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686425" cy="7200900"/>
                    </a:xfrm>
                    <a:prstGeom prst="rect">
                      <a:avLst/>
                    </a:prstGeom>
                    <a:noFill/>
                    <a:ln w="9525">
                      <a:noFill/>
                      <a:miter lim="800000"/>
                      <a:headEnd/>
                      <a:tailEnd/>
                    </a:ln>
                  </pic:spPr>
                </pic:pic>
              </a:graphicData>
            </a:graphic>
          </wp:inline>
        </w:drawing>
      </w:r>
    </w:p>
    <w:p w:rsidR="00385CDE" w:rsidRDefault="00385CDE" w:rsidP="00385CDE">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743575" cy="6486525"/>
            <wp:effectExtent l="19050" t="0" r="9525"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743575" cy="6486525"/>
                    </a:xfrm>
                    <a:prstGeom prst="rect">
                      <a:avLst/>
                    </a:prstGeom>
                    <a:noFill/>
                    <a:ln w="9525">
                      <a:noFill/>
                      <a:miter lim="800000"/>
                      <a:headEnd/>
                      <a:tailEnd/>
                    </a:ln>
                  </pic:spPr>
                </pic:pic>
              </a:graphicData>
            </a:graphic>
          </wp:inline>
        </w:drawing>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Aristotle points out</w:t>
      </w:r>
      <w:r>
        <w:rPr>
          <w:rStyle w:val="FootnoteReference"/>
          <w:rFonts w:ascii="Times New Roman" w:hAnsi="Times New Roman" w:cs="Times New Roman"/>
          <w:sz w:val="24"/>
          <w:szCs w:val="24"/>
        </w:rPr>
        <w:footnoteReference w:id="135"/>
      </w:r>
      <w:r>
        <w:rPr>
          <w:rFonts w:ascii="Times New Roman" w:hAnsi="Times New Roman" w:cs="Times New Roman"/>
          <w:sz w:val="24"/>
          <w:szCs w:val="24"/>
        </w:rPr>
        <w:t xml:space="preserve">, some ambiguity may arise when studying “a plant which has dry parts, another wet, [and] one that has differentiated parts, neither similar nor equal” (that is, an herb may possess both Wet and Dry parts) – and so it should be kept in mind that Figs. 3 and </w:t>
      </w:r>
      <w:r>
        <w:rPr>
          <w:rFonts w:ascii="Times New Roman" w:hAnsi="Times New Roman" w:cs="Times New Roman"/>
          <w:sz w:val="24"/>
          <w:szCs w:val="24"/>
        </w:rPr>
        <w:lastRenderedPageBreak/>
        <w:t>4 offer information on the plant as a whole, rather than on the parts which may be deemed “herbs” in Theophrastus’ sense.  That said, by comparing both charts, it becomes clear that:</w:t>
      </w:r>
    </w:p>
    <w:p w:rsidR="00385CDE" w:rsidRDefault="00385CDE" w:rsidP="00385CDE">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The trees are “dry,” with two being “hot” and one being “cool”</w:t>
      </w:r>
    </w:p>
    <w:p w:rsidR="00385CDE" w:rsidRDefault="00385CDE" w:rsidP="00385CDE">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The bulbs are also “dry,” with three being “hot” and one being “cool”</w:t>
      </w:r>
    </w:p>
    <w:p w:rsidR="00385CDE" w:rsidRDefault="00385CDE" w:rsidP="00385CDE">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The umbellate plants are all “hot” and “dry”</w:t>
      </w:r>
    </w:p>
    <w:p w:rsidR="00385CDE" w:rsidRDefault="00385CDE" w:rsidP="00385CDE">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The banes are all “dry,” and are equally split between “hot” and “cool”</w:t>
      </w:r>
    </w:p>
    <w:p w:rsidR="00385CDE" w:rsidRDefault="00385CDE" w:rsidP="00385CDE">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Two of the hairy plants are “cool” and “wet” and one is “hot” and “dry”</w:t>
      </w:r>
    </w:p>
    <w:p w:rsidR="00385CDE" w:rsidRDefault="00385CDE" w:rsidP="00385CDE">
      <w:pPr>
        <w:spacing w:line="480" w:lineRule="auto"/>
        <w:rPr>
          <w:rFonts w:ascii="Times New Roman" w:hAnsi="Times New Roman" w:cs="Times New Roman"/>
          <w:sz w:val="24"/>
          <w:szCs w:val="24"/>
        </w:rPr>
      </w:pPr>
      <w:r>
        <w:rPr>
          <w:rFonts w:ascii="Times New Roman" w:hAnsi="Times New Roman" w:cs="Times New Roman"/>
          <w:sz w:val="24"/>
          <w:szCs w:val="24"/>
        </w:rPr>
        <w:t>Thus, indeed, trying to divine an herb’s Hippocratic qualities from its physiology, or trying to apply the laws of physiognomy to herbs, is, as Aristotle forewarned, impossible – all but three of the thirty-one are “dry” herbs, regardless of what type of plant they are.  Actually, as will be seen in the next chapter, the physical aspects of plants do have some bearing on medico-magical applications – that is, certain features may have helped a practitioner identify herbs not already in use as potentially useful – but only as far as the useful parts are concerned (e.g. that three herbs from this case study had hairy stems did not mean than any plant with a hairy stem would be of magical or medicinal use, since two of those three herbs’ stems were not useful).</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Must we, then, believe that the Hippocratics received their herbs in pieces, rather than in whole?  Can we be expected to believe it?  For certainly at some point, humans were able to look at a plant and discern what good it might do medicinally and with which of its parts, based on what was already known.  Perhaps this knowledge was ancestral for Greeks in the 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 BCE, an arsenal added to by educated trial and error with each passing age, but the question is not so much one of how a practitioner – doctor, witch, or witch doctor – had refined that ability to discern, as it is one of how that discerning process ties into the humoral model.  It is plausible </w:t>
      </w:r>
      <w:r>
        <w:rPr>
          <w:rFonts w:ascii="Times New Roman" w:hAnsi="Times New Roman" w:cs="Times New Roman"/>
          <w:sz w:val="24"/>
          <w:szCs w:val="24"/>
        </w:rPr>
        <w:lastRenderedPageBreak/>
        <w:t>that the Hippocratics did as “green witches” do today and purchased the parts separately from root-cutters, but the abundance of superstitions regarding picking would suggest that most early physicians went out (or hired someone to go out) and harvested wild or garden-supplanted herbs whole or for the specific part they knew from experience would suffice.</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summation, as pertains to the case study, three things are known:</w:t>
      </w:r>
    </w:p>
    <w:p w:rsidR="00385CDE" w:rsidRDefault="00385CDE" w:rsidP="00385CDE">
      <w:pPr>
        <w:pStyle w:val="ListParagraph"/>
        <w:numPr>
          <w:ilvl w:val="0"/>
          <w:numId w:val="13"/>
        </w:numPr>
        <w:spacing w:line="480" w:lineRule="auto"/>
        <w:rPr>
          <w:rFonts w:ascii="Times New Roman" w:hAnsi="Times New Roman" w:cs="Times New Roman"/>
          <w:sz w:val="24"/>
          <w:szCs w:val="24"/>
        </w:rPr>
      </w:pPr>
      <w:r>
        <w:rPr>
          <w:rFonts w:ascii="Times New Roman" w:hAnsi="Times New Roman" w:cs="Times New Roman"/>
          <w:sz w:val="24"/>
          <w:szCs w:val="24"/>
        </w:rPr>
        <w:t>All thirty-one of these herbs have medical, magical, and physiological aspects in common, and, therefore, the three areas are inextricably tied.</w:t>
      </w:r>
    </w:p>
    <w:p w:rsidR="00385CDE" w:rsidRDefault="00385CDE" w:rsidP="00385CDE">
      <w:pPr>
        <w:pStyle w:val="ListParagraph"/>
        <w:numPr>
          <w:ilvl w:val="0"/>
          <w:numId w:val="13"/>
        </w:numPr>
        <w:spacing w:line="480" w:lineRule="auto"/>
        <w:rPr>
          <w:rFonts w:ascii="Times New Roman" w:hAnsi="Times New Roman" w:cs="Times New Roman"/>
          <w:sz w:val="24"/>
          <w:szCs w:val="24"/>
        </w:rPr>
      </w:pPr>
      <w:r>
        <w:rPr>
          <w:rFonts w:ascii="Times New Roman" w:hAnsi="Times New Roman" w:cs="Times New Roman"/>
          <w:sz w:val="24"/>
          <w:szCs w:val="24"/>
        </w:rPr>
        <w:t>All thirty-one of these herbs had both medical and magical uses assigned to at least one of their parts, and, therefore, the parts account for those ties.</w:t>
      </w:r>
    </w:p>
    <w:p w:rsidR="00385CDE" w:rsidRDefault="00385CDE" w:rsidP="00385CDE">
      <w:pPr>
        <w:pStyle w:val="ListParagraph"/>
        <w:numPr>
          <w:ilvl w:val="0"/>
          <w:numId w:val="13"/>
        </w:numPr>
        <w:spacing w:line="480" w:lineRule="auto"/>
        <w:rPr>
          <w:rFonts w:ascii="Times New Roman" w:hAnsi="Times New Roman" w:cs="Times New Roman"/>
          <w:sz w:val="24"/>
          <w:szCs w:val="24"/>
        </w:rPr>
      </w:pPr>
      <w:r>
        <w:rPr>
          <w:rFonts w:ascii="Times New Roman" w:hAnsi="Times New Roman" w:cs="Times New Roman"/>
          <w:sz w:val="24"/>
          <w:szCs w:val="24"/>
        </w:rPr>
        <w:t>Some herbs, like reeds, appear in magical spells with medical purposes, and, therefore, there is proof that some amount of recorded medical herbalism came from magic.</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next chapter will seek to explore patterns between medical and magical effects of a specific set of herbs from this case study, as well as between their medically and magically utile parts, herbs which together reveal those elements of magic herbalism which became the basis for the Hippocratic model.</w:t>
      </w:r>
    </w:p>
    <w:p w:rsidR="00385CDE" w:rsidRDefault="00385CDE" w:rsidP="00385CDE">
      <w:pPr>
        <w:jc w:val="center"/>
        <w:rPr>
          <w:rFonts w:ascii="Times New Roman" w:hAnsi="Times New Roman" w:cs="Times New Roman"/>
          <w:sz w:val="24"/>
          <w:szCs w:val="24"/>
        </w:rPr>
      </w:pPr>
      <w:r>
        <w:rPr>
          <w:rFonts w:ascii="Times New Roman" w:hAnsi="Times New Roman" w:cs="Times New Roman"/>
          <w:sz w:val="24"/>
          <w:szCs w:val="24"/>
        </w:rPr>
        <w:br w:type="page"/>
      </w:r>
    </w:p>
    <w:p w:rsidR="00385CDE" w:rsidRDefault="00385CDE" w:rsidP="00385CDE">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Chapter 3 – Medico-Magical Herb Correlations, As Exposed by Poisonous Plants</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Since the proposition has been set forth by Longrigg</w:t>
      </w:r>
      <w:r>
        <w:rPr>
          <w:rStyle w:val="FootnoteReference"/>
          <w:rFonts w:ascii="Times New Roman" w:hAnsi="Times New Roman" w:cs="Times New Roman"/>
          <w:sz w:val="24"/>
          <w:szCs w:val="24"/>
        </w:rPr>
        <w:footnoteReference w:id="136"/>
      </w:r>
      <w:r>
        <w:rPr>
          <w:rFonts w:ascii="Times New Roman" w:hAnsi="Times New Roman" w:cs="Times New Roman"/>
          <w:sz w:val="24"/>
          <w:szCs w:val="24"/>
        </w:rPr>
        <w:t xml:space="preserve"> that a renaissance in the </w:t>
      </w:r>
      <w:r w:rsidR="00490D73">
        <w:rPr>
          <w:rFonts w:ascii="Times New Roman" w:hAnsi="Times New Roman" w:cs="Times New Roman"/>
          <w:sz w:val="24"/>
          <w:szCs w:val="24"/>
        </w:rPr>
        <w:t>4</w:t>
      </w:r>
      <w:r w:rsidR="00490D73" w:rsidRPr="00490D73">
        <w:rPr>
          <w:rFonts w:ascii="Times New Roman" w:hAnsi="Times New Roman" w:cs="Times New Roman"/>
          <w:sz w:val="24"/>
          <w:szCs w:val="24"/>
          <w:vertAlign w:val="superscript"/>
        </w:rPr>
        <w:t>th</w:t>
      </w:r>
      <w:r>
        <w:rPr>
          <w:rFonts w:ascii="Times New Roman" w:hAnsi="Times New Roman" w:cs="Times New Roman"/>
          <w:sz w:val="24"/>
          <w:szCs w:val="24"/>
        </w:rPr>
        <w:t xml:space="preserve"> and </w:t>
      </w:r>
      <w:r w:rsidR="00490D73">
        <w:rPr>
          <w:rFonts w:ascii="Times New Roman" w:hAnsi="Times New Roman" w:cs="Times New Roman"/>
          <w:sz w:val="24"/>
          <w:szCs w:val="24"/>
        </w:rPr>
        <w:t>3</w:t>
      </w:r>
      <w:r w:rsidR="00490D73" w:rsidRPr="00490D73">
        <w:rPr>
          <w:rFonts w:ascii="Times New Roman" w:hAnsi="Times New Roman" w:cs="Times New Roman"/>
          <w:sz w:val="24"/>
          <w:szCs w:val="24"/>
          <w:vertAlign w:val="superscript"/>
        </w:rPr>
        <w:t>rd</w:t>
      </w:r>
      <w:r>
        <w:rPr>
          <w:rFonts w:ascii="Times New Roman" w:hAnsi="Times New Roman" w:cs="Times New Roman"/>
          <w:sz w:val="24"/>
          <w:szCs w:val="24"/>
        </w:rPr>
        <w:t xml:space="preserve"> c. BCE of pre-Hippocratic philosophy on pharmacology had elevated the public esteem of </w:t>
      </w:r>
      <w:r w:rsidRPr="00962B70">
        <w:rPr>
          <w:rFonts w:ascii="Times New Roman" w:hAnsi="Times New Roman" w:cs="Times New Roman"/>
          <w:sz w:val="24"/>
          <w:szCs w:val="24"/>
          <w:lang w:val="el-GR"/>
        </w:rPr>
        <w:t>ῤιζοτόμοι</w:t>
      </w:r>
      <w:r w:rsidRPr="00962B70">
        <w:rPr>
          <w:rFonts w:ascii="Times New Roman" w:hAnsi="Times New Roman" w:cs="Times New Roman"/>
          <w:sz w:val="24"/>
          <w:szCs w:val="24"/>
        </w:rPr>
        <w:t xml:space="preserve"> </w:t>
      </w:r>
      <w:r>
        <w:rPr>
          <w:rFonts w:ascii="Times New Roman" w:hAnsi="Times New Roman" w:cs="Times New Roman"/>
          <w:sz w:val="24"/>
          <w:szCs w:val="24"/>
        </w:rPr>
        <w:t xml:space="preserve">(“root-cutters,” as the Hippocratics spuriously called them) such that they became </w:t>
      </w:r>
      <w:r w:rsidRPr="00962B70">
        <w:rPr>
          <w:rFonts w:ascii="Times New Roman" w:hAnsi="Times New Roman" w:cs="Times New Roman"/>
          <w:sz w:val="24"/>
          <w:szCs w:val="24"/>
          <w:lang w:val="el-GR"/>
        </w:rPr>
        <w:t>φαρμακοπῶλαι</w:t>
      </w:r>
      <w:r w:rsidRPr="00962B70">
        <w:rPr>
          <w:rFonts w:ascii="Times New Roman" w:hAnsi="Times New Roman" w:cs="Times New Roman"/>
          <w:sz w:val="24"/>
          <w:szCs w:val="24"/>
        </w:rPr>
        <w:t xml:space="preserve"> </w:t>
      </w:r>
      <w:r>
        <w:rPr>
          <w:rFonts w:ascii="Times New Roman" w:hAnsi="Times New Roman" w:cs="Times New Roman"/>
          <w:sz w:val="24"/>
          <w:szCs w:val="24"/>
        </w:rPr>
        <w:t xml:space="preserve">on the open market, and that those same </w:t>
      </w:r>
      <w:r w:rsidRPr="00962B70">
        <w:rPr>
          <w:rFonts w:ascii="Times New Roman" w:hAnsi="Times New Roman" w:cs="Times New Roman"/>
          <w:sz w:val="24"/>
          <w:szCs w:val="24"/>
          <w:lang w:val="el-GR"/>
        </w:rPr>
        <w:t>φαρμακοπῶλαι</w:t>
      </w:r>
      <w:r>
        <w:rPr>
          <w:rFonts w:ascii="Times New Roman" w:hAnsi="Times New Roman" w:cs="Times New Roman"/>
          <w:sz w:val="24"/>
          <w:szCs w:val="24"/>
        </w:rPr>
        <w:t xml:space="preserve"> had brought herbs into the medical spotlight with some magical attributes already attached, in order for any answers regarding evaluation of an herb’s medicinal properties to emerge, it is essential to investigate that herb’s magical properties.  As was maintained in Chapter 2, the irregularity of the Hippocratic model’s functionality may best be explained by examining the relationships between medical and magical qualities and uses.  That explanation is the goal of this chapter.</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Amongst the thirty-one herbs found in this case study, six magical uses and seven medical uses emerged as prominent patterns (see Fig. 5 for groupings).  Several links between those uses were suggestive enough to explore (i.e. five or more herbs could be found together in both a magical use and a medical use), as well.</w:t>
      </w:r>
    </w:p>
    <w:p w:rsidR="00385CDE" w:rsidRDefault="00385CDE" w:rsidP="00385CDE">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34075" cy="5686425"/>
            <wp:effectExtent l="19050" t="0" r="9525" b="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5934075" cy="5686425"/>
                    </a:xfrm>
                    <a:prstGeom prst="rect">
                      <a:avLst/>
                    </a:prstGeom>
                    <a:noFill/>
                    <a:ln w="9525">
                      <a:noFill/>
                      <a:miter lim="800000"/>
                      <a:headEnd/>
                      <a:tailEnd/>
                    </a:ln>
                  </pic:spPr>
                </pic:pic>
              </a:graphicData>
            </a:graphic>
          </wp:inline>
        </w:drawing>
      </w:r>
    </w:p>
    <w:p w:rsidR="00385CDE" w:rsidRDefault="00385CDE" w:rsidP="00385CDE">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4724400"/>
            <wp:effectExtent l="19050" t="0" r="0" b="0"/>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5943600" cy="4724400"/>
                    </a:xfrm>
                    <a:prstGeom prst="rect">
                      <a:avLst/>
                    </a:prstGeom>
                    <a:noFill/>
                    <a:ln w="9525">
                      <a:noFill/>
                      <a:miter lim="800000"/>
                      <a:headEnd/>
                      <a:tailEnd/>
                    </a:ln>
                  </pic:spPr>
                </pic:pic>
              </a:graphicData>
            </a:graphic>
          </wp:inline>
        </w:drawing>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Each link, or potential correlation, yields two pieces of information: the herbs common to both traits, and the outliers found only in one trait.  It is the population of outliers which must be more thoroughly assessed for any trace of a connection in Classical anti</w:t>
      </w:r>
      <w:r w:rsidR="0095781D">
        <w:rPr>
          <w:rFonts w:ascii="Times New Roman" w:hAnsi="Times New Roman" w:cs="Times New Roman"/>
          <w:sz w:val="24"/>
          <w:szCs w:val="24"/>
        </w:rPr>
        <w:t>quity to the unshared trait, as</w:t>
      </w:r>
      <w:r>
        <w:rPr>
          <w:rFonts w:ascii="Times New Roman" w:hAnsi="Times New Roman" w:cs="Times New Roman"/>
          <w:sz w:val="24"/>
          <w:szCs w:val="24"/>
        </w:rPr>
        <w:t xml:space="preserve"> doing so either proves or disproves the link as a trustworthy correlation, for the doctors of the 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c. BCE were influenced enough by Hippocrates’ critical mindset that they would not accept anything less when prescribing herbal treatments.  First, let us look at the correlations which offer leads unsupported by ancient texts.</w:t>
      </w:r>
    </w:p>
    <w:p w:rsidR="00385CDE" w:rsidRDefault="00385CDE" w:rsidP="00385CDE">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number of herbs found in both love-affecting magic and skin- and eye-affecting medicine lends itself to the hypothesis that </w:t>
      </w:r>
      <w:r>
        <w:rPr>
          <w:rFonts w:ascii="Times New Roman" w:hAnsi="Times New Roman" w:cs="Times New Roman"/>
          <w:i/>
          <w:sz w:val="24"/>
          <w:szCs w:val="24"/>
        </w:rPr>
        <w:t xml:space="preserve">if an herb affects vision when employed in </w:t>
      </w:r>
      <w:r>
        <w:rPr>
          <w:rFonts w:ascii="Times New Roman" w:hAnsi="Times New Roman" w:cs="Times New Roman"/>
          <w:i/>
          <w:sz w:val="24"/>
          <w:szCs w:val="24"/>
        </w:rPr>
        <w:lastRenderedPageBreak/>
        <w:t>medicine, it can make the magician’s target see the magician in a new (romantic) light, and if it affects the skin in medicine, it can project an enticing aura or amplify or increase the magician’s beauty.</w:t>
      </w:r>
      <w:r>
        <w:rPr>
          <w:rFonts w:ascii="Times New Roman" w:hAnsi="Times New Roman" w:cs="Times New Roman"/>
          <w:sz w:val="24"/>
          <w:szCs w:val="24"/>
        </w:rPr>
        <w:t xml:space="preserve">  It seems logical enough at first – perhaps it was contagious magic, and the doctor rightly presumed from watching the magician apply a drug to the eye that the drug was useful for more vision treatments than for blinding someone with love, maybe even as his predecessors had done by watching the Asclepiads – but aside from it being equally possible that it was the magician who had gotten his ideas from watching the doctor, there simply was not enough evidence from the four outliers (in this case, herbs which were either not found or else only found in love spells) to support this hypothesis.</w:t>
      </w:r>
    </w:p>
    <w:p w:rsidR="00385CDE" w:rsidRDefault="00385CDE" w:rsidP="006976E4">
      <w:pPr>
        <w:pStyle w:val="FootnoteText"/>
        <w:spacing w:line="480" w:lineRule="auto"/>
        <w:ind w:left="1080" w:firstLine="360"/>
        <w:rPr>
          <w:rFonts w:ascii="Times New Roman" w:hAnsi="Times New Roman" w:cs="Times New Roman"/>
          <w:sz w:val="24"/>
          <w:szCs w:val="24"/>
        </w:rPr>
      </w:pPr>
      <w:r>
        <w:rPr>
          <w:rFonts w:ascii="Times New Roman" w:hAnsi="Times New Roman" w:cs="Times New Roman"/>
          <w:sz w:val="24"/>
          <w:szCs w:val="24"/>
        </w:rPr>
        <w:t xml:space="preserve">The outliers were myrrh, elecampane, henbane, and hellebore.  Myrrh and hellebore (both the white and the black versions) had more in common under other links, henbane offered no connection whatsoever to love spells, and the closest thing to a connection elecampane had to offer was the owing of its botanical name </w:t>
      </w:r>
      <w:r>
        <w:rPr>
          <w:rFonts w:ascii="Times New Roman" w:hAnsi="Times New Roman" w:cs="Times New Roman"/>
          <w:i/>
          <w:sz w:val="24"/>
          <w:szCs w:val="24"/>
        </w:rPr>
        <w:t>(Inula helenium)</w:t>
      </w:r>
      <w:r>
        <w:rPr>
          <w:rFonts w:ascii="Times New Roman" w:hAnsi="Times New Roman" w:cs="Times New Roman"/>
          <w:sz w:val="24"/>
          <w:szCs w:val="24"/>
        </w:rPr>
        <w:t xml:space="preserve"> to the Helen of mythology, who was said to dabble in herbal sorcery</w:t>
      </w:r>
      <w:r>
        <w:rPr>
          <w:rStyle w:val="FootnoteReference"/>
          <w:rFonts w:ascii="Times New Roman" w:hAnsi="Times New Roman" w:cs="Times New Roman"/>
          <w:sz w:val="24"/>
          <w:szCs w:val="24"/>
        </w:rPr>
        <w:footnoteReference w:id="137"/>
      </w:r>
      <w:r>
        <w:rPr>
          <w:rFonts w:ascii="Times New Roman" w:hAnsi="Times New Roman" w:cs="Times New Roman"/>
          <w:sz w:val="24"/>
          <w:szCs w:val="24"/>
        </w:rPr>
        <w:t xml:space="preserve">.  As far as the notion of gaining herbal wisdom from watching Asclepiads goes, hellebore provides two suggestions: that the herb, surrounded by superstitions as it was, was associated with both the healer Asclepius and the mythological progenitor of sorcery Helios; and that it came with an assortment of “magical names,” mostly animal parts or sera of divinities, by which it was known in magical texts by the time of the </w:t>
      </w:r>
      <w:r>
        <w:rPr>
          <w:rFonts w:ascii="Times New Roman" w:hAnsi="Times New Roman" w:cs="Times New Roman"/>
          <w:i/>
          <w:sz w:val="24"/>
          <w:szCs w:val="24"/>
        </w:rPr>
        <w:t>Papyri Graecae Magicae</w:t>
      </w:r>
      <w:r>
        <w:rPr>
          <w:rStyle w:val="FootnoteReference"/>
          <w:rFonts w:ascii="Times New Roman" w:hAnsi="Times New Roman" w:cs="Times New Roman"/>
          <w:i/>
          <w:sz w:val="24"/>
          <w:szCs w:val="24"/>
        </w:rPr>
        <w:footnoteReference w:id="138"/>
      </w:r>
      <w:r>
        <w:rPr>
          <w:rFonts w:ascii="Times New Roman" w:hAnsi="Times New Roman" w:cs="Times New Roman"/>
          <w:sz w:val="24"/>
          <w:szCs w:val="24"/>
        </w:rPr>
        <w:t>.  The association, as well as the snakes</w:t>
      </w:r>
      <w:r>
        <w:rPr>
          <w:rStyle w:val="FootnoteReference"/>
          <w:rFonts w:ascii="Times New Roman" w:hAnsi="Times New Roman" w:cs="Times New Roman"/>
          <w:sz w:val="24"/>
          <w:szCs w:val="24"/>
        </w:rPr>
        <w:footnoteReference w:id="139"/>
      </w:r>
      <w:r>
        <w:rPr>
          <w:rFonts w:ascii="Times New Roman" w:hAnsi="Times New Roman" w:cs="Times New Roman"/>
          <w:sz w:val="24"/>
          <w:szCs w:val="24"/>
        </w:rPr>
        <w:t>, dogs</w:t>
      </w:r>
      <w:r>
        <w:rPr>
          <w:rStyle w:val="FootnoteReference"/>
          <w:rFonts w:ascii="Times New Roman" w:hAnsi="Times New Roman" w:cs="Times New Roman"/>
          <w:sz w:val="24"/>
          <w:szCs w:val="24"/>
        </w:rPr>
        <w:footnoteReference w:id="140"/>
      </w:r>
      <w:r>
        <w:rPr>
          <w:rFonts w:ascii="Times New Roman" w:hAnsi="Times New Roman" w:cs="Times New Roman"/>
          <w:sz w:val="24"/>
          <w:szCs w:val="24"/>
        </w:rPr>
        <w:t xml:space="preserve">, and other </w:t>
      </w:r>
      <w:r>
        <w:rPr>
          <w:rFonts w:ascii="Times New Roman" w:hAnsi="Times New Roman" w:cs="Times New Roman"/>
          <w:sz w:val="24"/>
          <w:szCs w:val="24"/>
        </w:rPr>
        <w:lastRenderedPageBreak/>
        <w:t>curing beasts mentioned in Epidaurian miracle inscriptions, might suggest that those animals were not real, but had given their names to certain herbal drugs by which the priests called them in front of patients.  It is a shame that the inscriptions of Stele C at Epidauros are so badly fragmented, or proof of this might be furnished by the item one girl was told “to take in a drink” or by the “phiale” given to a patient in the innermost chamber</w:t>
      </w:r>
      <w:r>
        <w:rPr>
          <w:rStyle w:val="FootnoteReference"/>
          <w:rFonts w:ascii="Times New Roman" w:hAnsi="Times New Roman" w:cs="Times New Roman"/>
          <w:sz w:val="24"/>
          <w:szCs w:val="24"/>
        </w:rPr>
        <w:footnoteReference w:id="141"/>
      </w:r>
      <w:r>
        <w:rPr>
          <w:rFonts w:ascii="Times New Roman" w:hAnsi="Times New Roman" w:cs="Times New Roman"/>
          <w:sz w:val="24"/>
          <w:szCs w:val="24"/>
        </w:rPr>
        <w:t>.</w:t>
      </w:r>
    </w:p>
    <w:p w:rsidR="00385CDE" w:rsidRDefault="00385CDE" w:rsidP="00385CDE">
      <w:pPr>
        <w:pStyle w:val="ListParagraph"/>
        <w:spacing w:line="480" w:lineRule="auto"/>
        <w:ind w:left="1080"/>
        <w:rPr>
          <w:rFonts w:ascii="Times New Roman" w:hAnsi="Times New Roman" w:cs="Times New Roman"/>
          <w:sz w:val="24"/>
          <w:szCs w:val="24"/>
        </w:rPr>
      </w:pPr>
    </w:p>
    <w:p w:rsidR="00385CDE" w:rsidRDefault="00385CDE" w:rsidP="00385CDE">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That many of the love-affecting herbs were aromatic lent itself to the idea that </w:t>
      </w:r>
      <w:r>
        <w:rPr>
          <w:rFonts w:ascii="Times New Roman" w:hAnsi="Times New Roman" w:cs="Times New Roman"/>
          <w:i/>
          <w:sz w:val="24"/>
          <w:szCs w:val="24"/>
        </w:rPr>
        <w:t xml:space="preserve">their scent was the selling point, </w:t>
      </w:r>
      <w:r>
        <w:rPr>
          <w:rFonts w:ascii="Times New Roman" w:hAnsi="Times New Roman" w:cs="Times New Roman"/>
          <w:sz w:val="24"/>
          <w:szCs w:val="24"/>
        </w:rPr>
        <w:t xml:space="preserve">like some sort of pheromone-inducing cologne or perfume.  Possibly that was a business tactic for those </w:t>
      </w:r>
      <w:r w:rsidRPr="00962B70">
        <w:rPr>
          <w:rFonts w:ascii="Times New Roman" w:hAnsi="Times New Roman" w:cs="Times New Roman"/>
          <w:sz w:val="24"/>
          <w:szCs w:val="24"/>
          <w:lang w:val="el-GR"/>
        </w:rPr>
        <w:t>ῤιζοτόμοι</w:t>
      </w:r>
      <w:r w:rsidRPr="00962B70">
        <w:rPr>
          <w:rFonts w:ascii="Times New Roman" w:hAnsi="Times New Roman" w:cs="Times New Roman"/>
          <w:sz w:val="24"/>
          <w:szCs w:val="24"/>
        </w:rPr>
        <w:t xml:space="preserve"> </w:t>
      </w:r>
      <w:r>
        <w:rPr>
          <w:rFonts w:ascii="Times New Roman" w:hAnsi="Times New Roman" w:cs="Times New Roman"/>
          <w:sz w:val="24"/>
          <w:szCs w:val="24"/>
        </w:rPr>
        <w:t xml:space="preserve">who actually </w:t>
      </w:r>
      <w:r>
        <w:rPr>
          <w:rFonts w:ascii="Times New Roman" w:hAnsi="Times New Roman" w:cs="Times New Roman"/>
          <w:i/>
          <w:sz w:val="24"/>
          <w:szCs w:val="24"/>
        </w:rPr>
        <w:t xml:space="preserve">were </w:t>
      </w:r>
      <w:r w:rsidR="00C923F7">
        <w:rPr>
          <w:rFonts w:ascii="Times New Roman" w:hAnsi="Times New Roman" w:cs="Times New Roman"/>
          <w:sz w:val="24"/>
          <w:szCs w:val="24"/>
        </w:rPr>
        <w:t>quacksalvers, as Hippocratic</w:t>
      </w:r>
      <w:r>
        <w:rPr>
          <w:rFonts w:ascii="Times New Roman" w:hAnsi="Times New Roman" w:cs="Times New Roman"/>
          <w:sz w:val="24"/>
          <w:szCs w:val="24"/>
        </w:rPr>
        <w:t>s believed</w:t>
      </w:r>
      <w:r>
        <w:rPr>
          <w:rStyle w:val="FootnoteReference"/>
          <w:rFonts w:ascii="Times New Roman" w:hAnsi="Times New Roman" w:cs="Times New Roman"/>
          <w:sz w:val="24"/>
          <w:szCs w:val="24"/>
        </w:rPr>
        <w:footnoteReference w:id="142"/>
      </w:r>
      <w:r>
        <w:rPr>
          <w:rFonts w:ascii="Times New Roman" w:hAnsi="Times New Roman" w:cs="Times New Roman"/>
          <w:sz w:val="24"/>
          <w:szCs w:val="24"/>
        </w:rPr>
        <w:t xml:space="preserve">, albeit ones peddling more in the way of aphrodisiacs than snake-oil; the leaves of dill, coriander, and mint, the juice of onion and cucumber fruits, the oil of olive fruit, and the resin of myrrh are all quite fragrant, and the sorts of spells in which they appear in </w:t>
      </w:r>
      <w:r>
        <w:rPr>
          <w:rFonts w:ascii="Times New Roman" w:hAnsi="Times New Roman" w:cs="Times New Roman"/>
          <w:i/>
          <w:sz w:val="24"/>
          <w:szCs w:val="24"/>
        </w:rPr>
        <w:t>Magical Papyri</w:t>
      </w:r>
      <w:r>
        <w:rPr>
          <w:rFonts w:ascii="Times New Roman" w:hAnsi="Times New Roman" w:cs="Times New Roman"/>
          <w:sz w:val="24"/>
          <w:szCs w:val="24"/>
        </w:rPr>
        <w:t xml:space="preserve"> could well back a quacksalver’s claim that perfumes made from these herbs could sway gods and mortals alike.  The trouble is that in order for that to be true, all fragrant herbs would have to possess love-affecting properties, and all herbs listed in Fig. 5 as love-affecting in nature would have to be fragrant – and neither is the case.  One could argue that only those which produce a scent when burnt should be considered, since the resins of wormwood, oregano, and fennel were not noted as having love-affecting magical properties, and the use of the resins of myrrh and poppy to attract and bend the will of love </w:t>
      </w:r>
      <w:proofErr w:type="gramStart"/>
      <w:r>
        <w:rPr>
          <w:rFonts w:ascii="Times New Roman" w:hAnsi="Times New Roman" w:cs="Times New Roman"/>
          <w:sz w:val="24"/>
          <w:szCs w:val="24"/>
        </w:rPr>
        <w:t>gods</w:t>
      </w:r>
      <w:proofErr w:type="gramEnd"/>
      <w:r>
        <w:rPr>
          <w:rFonts w:ascii="Times New Roman" w:hAnsi="Times New Roman" w:cs="Times New Roman"/>
          <w:sz w:val="24"/>
          <w:szCs w:val="24"/>
        </w:rPr>
        <w:t xml:space="preserve"> better fits under the “summoning/compulsive” category.  One </w:t>
      </w:r>
      <w:r>
        <w:rPr>
          <w:rFonts w:ascii="Times New Roman" w:hAnsi="Times New Roman" w:cs="Times New Roman"/>
          <w:sz w:val="24"/>
          <w:szCs w:val="24"/>
        </w:rPr>
        <w:lastRenderedPageBreak/>
        <w:t xml:space="preserve">could just as well argue that there </w:t>
      </w:r>
      <w:r>
        <w:rPr>
          <w:rFonts w:ascii="Times New Roman" w:hAnsi="Times New Roman" w:cs="Times New Roman"/>
          <w:i/>
          <w:sz w:val="24"/>
          <w:szCs w:val="24"/>
        </w:rPr>
        <w:t>was</w:t>
      </w:r>
      <w:r>
        <w:rPr>
          <w:rFonts w:ascii="Times New Roman" w:hAnsi="Times New Roman" w:cs="Times New Roman"/>
          <w:sz w:val="24"/>
          <w:szCs w:val="24"/>
        </w:rPr>
        <w:t xml:space="preserve"> proof at some time and it simply is no longer extant, but it seems rather dubious that magicians would not quickly have come to realize which scents suited their purposes, much less that they would have rubbed resins on their bodies instead of an oil if they wanted to apply a scent they knew would work.</w:t>
      </w:r>
    </w:p>
    <w:p w:rsidR="00385CDE" w:rsidRDefault="00385CDE" w:rsidP="00385CDE">
      <w:pPr>
        <w:pStyle w:val="FootnoteText"/>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Further to the idea of scented oils and resins being the determining factor for an herb’s use as a love-affecter, the attribution of myrrh and poppy to Helen suggests the influence of mythology as a prevalent shared factor amongst “love-affecting” herbs, and as such, </w:t>
      </w:r>
      <w:r>
        <w:rPr>
          <w:rFonts w:ascii="Times New Roman" w:hAnsi="Times New Roman" w:cs="Times New Roman"/>
          <w:i/>
          <w:sz w:val="24"/>
          <w:szCs w:val="24"/>
        </w:rPr>
        <w:t>an herb’s appearance in myth might determine its magical and perhaps also medical properties</w:t>
      </w:r>
      <w:r>
        <w:rPr>
          <w:rFonts w:ascii="Times New Roman" w:hAnsi="Times New Roman" w:cs="Times New Roman"/>
          <w:sz w:val="24"/>
          <w:szCs w:val="24"/>
        </w:rPr>
        <w:t xml:space="preserve">.  After all, association between herbs and deities is well-noted in the </w:t>
      </w:r>
      <w:r>
        <w:rPr>
          <w:rFonts w:ascii="Times New Roman" w:hAnsi="Times New Roman" w:cs="Times New Roman"/>
          <w:i/>
          <w:sz w:val="24"/>
          <w:szCs w:val="24"/>
        </w:rPr>
        <w:t>Magical Papyri,</w:t>
      </w:r>
      <w:r>
        <w:rPr>
          <w:rFonts w:ascii="Times New Roman" w:hAnsi="Times New Roman" w:cs="Times New Roman"/>
          <w:sz w:val="24"/>
          <w:szCs w:val="24"/>
        </w:rPr>
        <w:t xml:space="preserve"> and at times in Pliny and Theophrastus.  Pliny, for example, believed that “women think that they acquire a kind of aura of attractiveness and sex appeal by [elecampane’s] use,” since the herb “had its origin in the tears of Helen,” the most beautiful woman in existence at the time of the Trojan War</w:t>
      </w:r>
      <w:r>
        <w:rPr>
          <w:rStyle w:val="FootnoteReference"/>
          <w:rFonts w:ascii="Times New Roman" w:hAnsi="Times New Roman" w:cs="Times New Roman"/>
          <w:sz w:val="24"/>
          <w:szCs w:val="24"/>
        </w:rPr>
        <w:footnoteReference w:id="143"/>
      </w:r>
      <w:r>
        <w:rPr>
          <w:rFonts w:ascii="Times New Roman" w:hAnsi="Times New Roman" w:cs="Times New Roman"/>
          <w:sz w:val="24"/>
          <w:szCs w:val="24"/>
        </w:rPr>
        <w:t>.  Hünemörder</w:t>
      </w:r>
      <w:r>
        <w:rPr>
          <w:rStyle w:val="FootnoteReference"/>
          <w:rFonts w:ascii="Times New Roman" w:hAnsi="Times New Roman" w:cs="Times New Roman"/>
          <w:sz w:val="24"/>
          <w:szCs w:val="24"/>
        </w:rPr>
        <w:footnoteReference w:id="144"/>
      </w:r>
      <w:r>
        <w:rPr>
          <w:rFonts w:ascii="Times New Roman" w:hAnsi="Times New Roman" w:cs="Times New Roman"/>
          <w:sz w:val="24"/>
          <w:szCs w:val="24"/>
        </w:rPr>
        <w:t xml:space="preserve"> identifies poppy as “[t]he analgesic that Helen mixes into the heroes’ wine” in Homer’s </w:t>
      </w:r>
      <w:r w:rsidRPr="00497A81">
        <w:rPr>
          <w:rFonts w:ascii="Times New Roman" w:hAnsi="Times New Roman" w:cs="Times New Roman"/>
          <w:i/>
          <w:sz w:val="24"/>
          <w:szCs w:val="24"/>
        </w:rPr>
        <w:t>Odyssey</w:t>
      </w:r>
      <w:r w:rsidRPr="00497A81">
        <w:rPr>
          <w:rStyle w:val="FootnoteReference"/>
          <w:rFonts w:ascii="Times New Roman" w:hAnsi="Times New Roman" w:cs="Times New Roman"/>
          <w:i/>
          <w:sz w:val="24"/>
          <w:szCs w:val="24"/>
        </w:rPr>
        <w:footnoteReference w:id="145"/>
      </w:r>
      <w:r>
        <w:rPr>
          <w:rFonts w:ascii="Times New Roman" w:hAnsi="Times New Roman" w:cs="Times New Roman"/>
          <w:sz w:val="24"/>
          <w:szCs w:val="24"/>
        </w:rPr>
        <w:t xml:space="preserve">; an inscription in the </w:t>
      </w:r>
      <w:r>
        <w:rPr>
          <w:rFonts w:ascii="Times New Roman" w:hAnsi="Times New Roman" w:cs="Times New Roman"/>
          <w:i/>
          <w:sz w:val="24"/>
          <w:szCs w:val="24"/>
        </w:rPr>
        <w:t>PGM</w:t>
      </w:r>
      <w:r>
        <w:rPr>
          <w:rStyle w:val="FootnoteReference"/>
          <w:rFonts w:ascii="Times New Roman" w:hAnsi="Times New Roman" w:cs="Times New Roman"/>
          <w:i/>
          <w:sz w:val="24"/>
          <w:szCs w:val="24"/>
        </w:rPr>
        <w:footnoteReference w:id="146"/>
      </w:r>
      <w:r>
        <w:rPr>
          <w:rFonts w:ascii="Times New Roman" w:hAnsi="Times New Roman" w:cs="Times New Roman"/>
          <w:sz w:val="24"/>
          <w:szCs w:val="24"/>
        </w:rPr>
        <w:t xml:space="preserve"> calls for four drams of opium in an offering to Eros, and also for some amount of myrrh, an herb also used in divinations and summoning spells wherein Aphrodite and Hecate were sought</w:t>
      </w:r>
      <w:r>
        <w:rPr>
          <w:rStyle w:val="FootnoteReference"/>
          <w:rFonts w:ascii="Times New Roman" w:hAnsi="Times New Roman" w:cs="Times New Roman"/>
          <w:sz w:val="24"/>
          <w:szCs w:val="24"/>
        </w:rPr>
        <w:footnoteReference w:id="147"/>
      </w:r>
      <w:r>
        <w:rPr>
          <w:rFonts w:ascii="Times New Roman" w:hAnsi="Times New Roman" w:cs="Times New Roman"/>
          <w:sz w:val="24"/>
          <w:szCs w:val="24"/>
        </w:rPr>
        <w:t xml:space="preserve">.  Likewise, olive oil and leaves turn up in </w:t>
      </w:r>
      <w:r>
        <w:rPr>
          <w:rFonts w:ascii="Times New Roman" w:hAnsi="Times New Roman" w:cs="Times New Roman"/>
          <w:i/>
          <w:sz w:val="24"/>
          <w:szCs w:val="24"/>
        </w:rPr>
        <w:t>PGM</w:t>
      </w:r>
      <w:r>
        <w:rPr>
          <w:rFonts w:ascii="Times New Roman" w:hAnsi="Times New Roman" w:cs="Times New Roman"/>
          <w:sz w:val="24"/>
          <w:szCs w:val="24"/>
        </w:rPr>
        <w:t xml:space="preserve"> offerings to spirits</w:t>
      </w:r>
      <w:r>
        <w:rPr>
          <w:rStyle w:val="FootnoteReference"/>
          <w:rFonts w:ascii="Times New Roman" w:hAnsi="Times New Roman" w:cs="Times New Roman"/>
          <w:sz w:val="24"/>
          <w:szCs w:val="24"/>
        </w:rPr>
        <w:footnoteReference w:id="148"/>
      </w:r>
      <w:r>
        <w:rPr>
          <w:rFonts w:ascii="Times New Roman" w:hAnsi="Times New Roman" w:cs="Times New Roman"/>
          <w:sz w:val="24"/>
          <w:szCs w:val="24"/>
        </w:rPr>
        <w:t>, Helios</w:t>
      </w:r>
      <w:r>
        <w:rPr>
          <w:rStyle w:val="FootnoteReference"/>
          <w:rFonts w:ascii="Times New Roman" w:hAnsi="Times New Roman" w:cs="Times New Roman"/>
          <w:sz w:val="24"/>
          <w:szCs w:val="24"/>
        </w:rPr>
        <w:footnoteReference w:id="149"/>
      </w:r>
      <w:r>
        <w:rPr>
          <w:rFonts w:ascii="Times New Roman" w:hAnsi="Times New Roman" w:cs="Times New Roman"/>
          <w:sz w:val="24"/>
          <w:szCs w:val="24"/>
        </w:rPr>
        <w:t xml:space="preserve">, and </w:t>
      </w:r>
      <w:r>
        <w:rPr>
          <w:rFonts w:ascii="Times New Roman" w:hAnsi="Times New Roman" w:cs="Times New Roman"/>
          <w:sz w:val="24"/>
          <w:szCs w:val="24"/>
        </w:rPr>
        <w:lastRenderedPageBreak/>
        <w:t>Aphrodite</w:t>
      </w:r>
      <w:r>
        <w:rPr>
          <w:rStyle w:val="FootnoteReference"/>
          <w:rFonts w:ascii="Times New Roman" w:hAnsi="Times New Roman" w:cs="Times New Roman"/>
          <w:sz w:val="24"/>
          <w:szCs w:val="24"/>
        </w:rPr>
        <w:footnoteReference w:id="150"/>
      </w:r>
      <w:r>
        <w:rPr>
          <w:rFonts w:ascii="Times New Roman" w:hAnsi="Times New Roman" w:cs="Times New Roman"/>
          <w:sz w:val="24"/>
          <w:szCs w:val="24"/>
        </w:rPr>
        <w:t>, though Cunningham</w:t>
      </w:r>
      <w:r>
        <w:rPr>
          <w:rStyle w:val="FootnoteReference"/>
          <w:rFonts w:ascii="Times New Roman" w:hAnsi="Times New Roman" w:cs="Times New Roman"/>
          <w:sz w:val="24"/>
          <w:szCs w:val="24"/>
        </w:rPr>
        <w:footnoteReference w:id="151"/>
      </w:r>
      <w:r>
        <w:rPr>
          <w:rFonts w:ascii="Times New Roman" w:hAnsi="Times New Roman" w:cs="Times New Roman"/>
          <w:sz w:val="24"/>
          <w:szCs w:val="24"/>
        </w:rPr>
        <w:t xml:space="preserve"> ascribes the tree itself to Athena.  It is even possible that the myths of Syrinx and Pan</w:t>
      </w:r>
      <w:r>
        <w:rPr>
          <w:rStyle w:val="FootnoteReference"/>
          <w:rFonts w:ascii="Times New Roman" w:hAnsi="Times New Roman" w:cs="Times New Roman"/>
          <w:sz w:val="24"/>
          <w:szCs w:val="24"/>
        </w:rPr>
        <w:footnoteReference w:id="152"/>
      </w:r>
      <w:r>
        <w:rPr>
          <w:rFonts w:ascii="Times New Roman" w:hAnsi="Times New Roman" w:cs="Times New Roman"/>
          <w:sz w:val="24"/>
          <w:szCs w:val="24"/>
        </w:rPr>
        <w:t>, Myrrha and Cinyras</w:t>
      </w:r>
      <w:r>
        <w:rPr>
          <w:rStyle w:val="FootnoteReference"/>
          <w:rFonts w:ascii="Times New Roman" w:hAnsi="Times New Roman" w:cs="Times New Roman"/>
          <w:sz w:val="24"/>
          <w:szCs w:val="24"/>
        </w:rPr>
        <w:footnoteReference w:id="153"/>
      </w:r>
      <w:r>
        <w:rPr>
          <w:rFonts w:ascii="Times New Roman" w:hAnsi="Times New Roman" w:cs="Times New Roman"/>
          <w:sz w:val="24"/>
          <w:szCs w:val="24"/>
        </w:rPr>
        <w:t>, and Minthe and Persephone</w:t>
      </w:r>
      <w:r>
        <w:rPr>
          <w:rStyle w:val="FootnoteReference"/>
          <w:rFonts w:ascii="Times New Roman" w:hAnsi="Times New Roman" w:cs="Times New Roman"/>
          <w:sz w:val="24"/>
          <w:szCs w:val="24"/>
        </w:rPr>
        <w:footnoteReference w:id="154"/>
      </w:r>
      <w:r>
        <w:rPr>
          <w:rFonts w:ascii="Times New Roman" w:hAnsi="Times New Roman" w:cs="Times New Roman"/>
          <w:sz w:val="24"/>
          <w:szCs w:val="24"/>
        </w:rPr>
        <w:t xml:space="preserve"> had some bearing on the magical evaluation of reeds, myrrh, and mint, respectively; or that moly had some influence over Odysseus’ capture of Circe’s affection in addition to its primary purpose of thwarting Circe’s transfiguration magic</w:t>
      </w:r>
      <w:r>
        <w:rPr>
          <w:rStyle w:val="FootnoteReference"/>
          <w:rFonts w:ascii="Times New Roman" w:hAnsi="Times New Roman" w:cs="Times New Roman"/>
          <w:sz w:val="24"/>
          <w:szCs w:val="24"/>
        </w:rPr>
        <w:footnoteReference w:id="155"/>
      </w:r>
      <w:r>
        <w:rPr>
          <w:rFonts w:ascii="Times New Roman" w:hAnsi="Times New Roman" w:cs="Times New Roman"/>
          <w:sz w:val="24"/>
          <w:szCs w:val="24"/>
        </w:rPr>
        <w:t>.  Other herbs, like onion and its sometimes-substitute asphodel (which one ancient author thinks are the same herb</w:t>
      </w:r>
      <w:r>
        <w:rPr>
          <w:rStyle w:val="FootnoteReference"/>
          <w:rFonts w:ascii="Times New Roman" w:hAnsi="Times New Roman" w:cs="Times New Roman"/>
          <w:sz w:val="24"/>
          <w:szCs w:val="24"/>
        </w:rPr>
        <w:footnoteReference w:id="156"/>
      </w:r>
      <w:r>
        <w:rPr>
          <w:rFonts w:ascii="Times New Roman" w:hAnsi="Times New Roman" w:cs="Times New Roman"/>
          <w:sz w:val="24"/>
          <w:szCs w:val="24"/>
        </w:rPr>
        <w:t xml:space="preserve">), were “worshipped [directly] in some cities in Ancient Egypt, and [were] sometimes invoked while taking oaths.”  </w:t>
      </w:r>
    </w:p>
    <w:p w:rsidR="00385CDE" w:rsidRDefault="00385CDE" w:rsidP="00385CDE">
      <w:pPr>
        <w:spacing w:line="480" w:lineRule="auto"/>
        <w:ind w:left="1080" w:firstLine="720"/>
        <w:rPr>
          <w:rFonts w:ascii="Times New Roman" w:hAnsi="Times New Roman" w:cs="Times New Roman"/>
          <w:sz w:val="24"/>
          <w:szCs w:val="24"/>
        </w:rPr>
      </w:pPr>
      <w:r>
        <w:rPr>
          <w:rFonts w:ascii="Times New Roman" w:hAnsi="Times New Roman" w:cs="Times New Roman"/>
          <w:sz w:val="24"/>
          <w:szCs w:val="24"/>
        </w:rPr>
        <w:t>Yet if it were true that an herb with mythological ties must have some level of love-affecting quality, there would certainly be more than thirteen herbs listed under that label in Fig. 5.  It is more likely that an herb’s mythological ties determined its use in magic, inasmuch as how it was used in myth was replicated or imitated in practice.  Consider Hecate, for instance.  Horace’s description of witches as wicked magicians employing hallowed souvenirs, animal parts, “herbasque, quae Iolcos atque Hiberia / mittit venenorum ferax</w:t>
      </w:r>
      <w:r>
        <w:rPr>
          <w:rStyle w:val="FootnoteReference"/>
          <w:rFonts w:ascii="Times New Roman" w:hAnsi="Times New Roman" w:cs="Times New Roman"/>
          <w:sz w:val="24"/>
          <w:szCs w:val="24"/>
        </w:rPr>
        <w:footnoteReference w:id="157"/>
      </w:r>
      <w:r>
        <w:rPr>
          <w:rFonts w:ascii="Times New Roman" w:hAnsi="Times New Roman" w:cs="Times New Roman"/>
          <w:i/>
          <w:sz w:val="24"/>
          <w:szCs w:val="24"/>
        </w:rPr>
        <w:t xml:space="preserve"> </w:t>
      </w:r>
      <w:r>
        <w:rPr>
          <w:rFonts w:ascii="Times New Roman" w:hAnsi="Times New Roman" w:cs="Times New Roman"/>
          <w:sz w:val="24"/>
          <w:szCs w:val="24"/>
        </w:rPr>
        <w:t xml:space="preserve">” – paired with the fact that of the herbs listed under “love-affecting,” four are either poisonous or else come with medical or picking warnings, and another three were frequently substituted for unknown reasons – could be interpreted as a perceived connection between poisonous herbs and the titaness of witchcraft.  While that connection might be legitimate in other magical contexts, it must be understood that there is insufficient evidence for ancient </w:t>
      </w:r>
      <w:r>
        <w:rPr>
          <w:rFonts w:ascii="Times New Roman" w:hAnsi="Times New Roman" w:cs="Times New Roman"/>
          <w:sz w:val="24"/>
          <w:szCs w:val="24"/>
        </w:rPr>
        <w:lastRenderedPageBreak/>
        <w:t xml:space="preserve">magicians praying to Hecate for romantic reasons, and that </w:t>
      </w:r>
      <w:r w:rsidRPr="00397E29">
        <w:rPr>
          <w:rFonts w:ascii="Times New Roman" w:hAnsi="Times New Roman" w:cs="Times New Roman"/>
          <w:sz w:val="24"/>
          <w:szCs w:val="24"/>
        </w:rPr>
        <w:t xml:space="preserve">there is no grounds for a correlation between an herb’s poisonous nature and its usefulness in bed.    </w:t>
      </w:r>
      <w:r>
        <w:rPr>
          <w:rFonts w:ascii="Times New Roman" w:hAnsi="Times New Roman" w:cs="Times New Roman"/>
          <w:sz w:val="24"/>
          <w:szCs w:val="24"/>
        </w:rPr>
        <w:t>By the same token, it may well be imagined that if an herb’s god association affected its placement in the Hippocratic model – Fig. 4 in Chapter 3 suggests certain patterns between gods / celestial bodies and humoral aspects – it was because similarities in the physiology and magical uses of already-sorted herbs were too few to sort it effectively into the model, and other information, like mythology, had to be taken into consideration.</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These setbacks with love-affecting herbs did, however, open the door to more promising solutions.  Where they failed to prove a significant correlation with medical effects on the skin and eyes, protective herbs prevailed; where the poisonous among them failed to prove a relation between romantic magical use, divine association, and botanical nature of an herb, a variety of other possibilities emerged.  In fact, it was the poisonous herbs in this study which yielded the clearest provable medico-magical connections, most likely because “[i]n the ancient world there was considerable concern about the line between what we would call ‘drugs’ and ‘poisons’, the Greek word </w:t>
      </w:r>
      <w:r>
        <w:rPr>
          <w:rFonts w:ascii="Times New Roman" w:hAnsi="Times New Roman" w:cs="Times New Roman"/>
          <w:i/>
          <w:sz w:val="24"/>
          <w:szCs w:val="24"/>
        </w:rPr>
        <w:t>pharmakon</w:t>
      </w:r>
      <w:r>
        <w:rPr>
          <w:rFonts w:ascii="Times New Roman" w:hAnsi="Times New Roman" w:cs="Times New Roman"/>
          <w:sz w:val="24"/>
          <w:szCs w:val="24"/>
        </w:rPr>
        <w:t xml:space="preserve"> covering both</w:t>
      </w:r>
      <w:r>
        <w:rPr>
          <w:rStyle w:val="FootnoteReference"/>
          <w:rFonts w:ascii="Times New Roman" w:hAnsi="Times New Roman" w:cs="Times New Roman"/>
          <w:sz w:val="24"/>
          <w:szCs w:val="24"/>
        </w:rPr>
        <w:footnoteReference w:id="158"/>
      </w:r>
      <w:r>
        <w:rPr>
          <w:rFonts w:ascii="Times New Roman" w:hAnsi="Times New Roman" w:cs="Times New Roman"/>
          <w:sz w:val="24"/>
          <w:szCs w:val="24"/>
        </w:rPr>
        <w:t>.”  The administration of poisons by medics and by magicians alike, as well as the dangers thereof, is known to us as far back as the 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 BCE from the case of Philoneus, a man whose wife’s homemade philter proved too much for him</w:t>
      </w:r>
      <w:r>
        <w:rPr>
          <w:rStyle w:val="FootnoteReference"/>
          <w:rFonts w:ascii="Times New Roman" w:hAnsi="Times New Roman" w:cs="Times New Roman"/>
          <w:sz w:val="24"/>
          <w:szCs w:val="24"/>
        </w:rPr>
        <w:footnoteReference w:id="159"/>
      </w:r>
      <w:r>
        <w:rPr>
          <w:rFonts w:ascii="Times New Roman" w:hAnsi="Times New Roman" w:cs="Times New Roman"/>
          <w:sz w:val="24"/>
          <w:szCs w:val="24"/>
        </w:rPr>
        <w:t>.  Ten of the thirty-one herbs from this case study are, to varying extents, toxic: Datura, hellebore, poppy, trefoil, mandrake, henbane, pennyroyal, wormwood, peppermint, and oregano.  The medico-magical connections they yielded are as follows:</w:t>
      </w:r>
    </w:p>
    <w:p w:rsidR="00385CDE" w:rsidRDefault="00385CDE" w:rsidP="00385CDE">
      <w:pPr>
        <w:pStyle w:val="ListParagraph"/>
        <w:numPr>
          <w:ilvl w:val="0"/>
          <w:numId w:val="15"/>
        </w:num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Medical anesthetics and magical sleep aids.  </w:t>
      </w:r>
    </w:p>
    <w:p w:rsidR="00385CDE" w:rsidRDefault="00385CDE" w:rsidP="00385CDE">
      <w:pPr>
        <w:pStyle w:val="ListParagraph"/>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The juice of Datura was a useful narcotic in small doses</w:t>
      </w:r>
      <w:r>
        <w:rPr>
          <w:rStyle w:val="FootnoteReference"/>
          <w:rFonts w:ascii="Times New Roman" w:hAnsi="Times New Roman" w:cs="Times New Roman"/>
          <w:sz w:val="24"/>
          <w:szCs w:val="24"/>
        </w:rPr>
        <w:footnoteReference w:id="160"/>
      </w:r>
      <w:r>
        <w:rPr>
          <w:rFonts w:ascii="Times New Roman" w:hAnsi="Times New Roman" w:cs="Times New Roman"/>
          <w:sz w:val="24"/>
          <w:szCs w:val="24"/>
        </w:rPr>
        <w:t>, and the leaves could be placed in shoes under one’s bed to cure insomnia</w:t>
      </w:r>
      <w:r>
        <w:rPr>
          <w:rStyle w:val="FootnoteReference"/>
          <w:rFonts w:ascii="Times New Roman" w:hAnsi="Times New Roman" w:cs="Times New Roman"/>
          <w:sz w:val="24"/>
          <w:szCs w:val="24"/>
        </w:rPr>
        <w:footnoteReference w:id="161"/>
      </w:r>
      <w:r>
        <w:rPr>
          <w:rFonts w:ascii="Times New Roman" w:hAnsi="Times New Roman" w:cs="Times New Roman"/>
          <w:sz w:val="24"/>
          <w:szCs w:val="24"/>
        </w:rPr>
        <w:t xml:space="preserve">.  The root and leaves of the </w:t>
      </w:r>
      <w:r>
        <w:rPr>
          <w:rFonts w:ascii="Times New Roman" w:hAnsi="Times New Roman" w:cs="Times New Roman"/>
          <w:i/>
          <w:sz w:val="24"/>
          <w:szCs w:val="24"/>
        </w:rPr>
        <w:t>Hyoscyamus albus</w:t>
      </w:r>
      <w:r>
        <w:rPr>
          <w:rFonts w:ascii="Times New Roman" w:hAnsi="Times New Roman" w:cs="Times New Roman"/>
          <w:sz w:val="24"/>
          <w:szCs w:val="24"/>
        </w:rPr>
        <w:t xml:space="preserve"> strain of henbane were preferred</w:t>
      </w:r>
      <w:r>
        <w:rPr>
          <w:rStyle w:val="FootnoteReference"/>
          <w:rFonts w:ascii="Times New Roman" w:hAnsi="Times New Roman" w:cs="Times New Roman"/>
          <w:sz w:val="24"/>
          <w:szCs w:val="24"/>
        </w:rPr>
        <w:footnoteReference w:id="162"/>
      </w:r>
      <w:r>
        <w:rPr>
          <w:rFonts w:ascii="Times New Roman" w:hAnsi="Times New Roman" w:cs="Times New Roman"/>
          <w:sz w:val="24"/>
          <w:szCs w:val="24"/>
        </w:rPr>
        <w:t xml:space="preserve"> as painkillers for earaches, gout, and “mother’s sickness” and, in larger doses, as an anesthetic during more serious surgeries – though for this last bit, an antidote</w:t>
      </w:r>
      <w:r>
        <w:rPr>
          <w:rStyle w:val="FootnoteReference"/>
          <w:rFonts w:ascii="Times New Roman" w:hAnsi="Times New Roman" w:cs="Times New Roman"/>
          <w:sz w:val="24"/>
          <w:szCs w:val="24"/>
        </w:rPr>
        <w:footnoteReference w:id="163"/>
      </w:r>
      <w:r>
        <w:rPr>
          <w:rFonts w:ascii="Times New Roman" w:hAnsi="Times New Roman" w:cs="Times New Roman"/>
          <w:sz w:val="24"/>
          <w:szCs w:val="24"/>
        </w:rPr>
        <w:t xml:space="preserve"> had to be developed for doctors to use in the event of overdose.  It is not clear which part of the herb is used in the entry for “hyoscyamus” in the </w:t>
      </w:r>
      <w:r>
        <w:rPr>
          <w:rFonts w:ascii="Times New Roman" w:hAnsi="Times New Roman" w:cs="Times New Roman"/>
          <w:i/>
          <w:sz w:val="24"/>
          <w:szCs w:val="24"/>
        </w:rPr>
        <w:t>PDM</w:t>
      </w:r>
      <w:r>
        <w:rPr>
          <w:rStyle w:val="FootnoteReference"/>
          <w:rFonts w:ascii="Times New Roman" w:hAnsi="Times New Roman" w:cs="Times New Roman"/>
          <w:i/>
          <w:sz w:val="24"/>
          <w:szCs w:val="24"/>
        </w:rPr>
        <w:footnoteReference w:id="164"/>
      </w:r>
      <w:r>
        <w:rPr>
          <w:rFonts w:ascii="Times New Roman" w:hAnsi="Times New Roman" w:cs="Times New Roman"/>
          <w:i/>
          <w:sz w:val="24"/>
          <w:szCs w:val="24"/>
        </w:rPr>
        <w:t>,</w:t>
      </w:r>
      <w:r>
        <w:rPr>
          <w:rFonts w:ascii="Times New Roman" w:hAnsi="Times New Roman" w:cs="Times New Roman"/>
          <w:sz w:val="24"/>
          <w:szCs w:val="24"/>
        </w:rPr>
        <w:t xml:space="preserve"> but an ounce of it taken with mandrake root and wine was supposedly enough “to make a man sleep for two days” straight.  </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The parts of mandrake prescribed by physicians varied, but historians note that it was given as a sleep aid by medics as well as by witch-doctors.  The juice was deemed useful for local anesthesia “before surgery and injections,” but its soporific smell was too often fatal for patients</w:t>
      </w:r>
      <w:r>
        <w:rPr>
          <w:rStyle w:val="FootnoteReference"/>
          <w:rFonts w:ascii="Times New Roman" w:hAnsi="Times New Roman" w:cs="Times New Roman"/>
          <w:sz w:val="24"/>
          <w:szCs w:val="24"/>
        </w:rPr>
        <w:footnoteReference w:id="165"/>
      </w:r>
      <w:r>
        <w:rPr>
          <w:rFonts w:ascii="Times New Roman" w:hAnsi="Times New Roman" w:cs="Times New Roman"/>
          <w:sz w:val="24"/>
          <w:szCs w:val="24"/>
        </w:rPr>
        <w:t>.  The root was multipurpose</w:t>
      </w:r>
      <w:r>
        <w:rPr>
          <w:rStyle w:val="FootnoteReference"/>
          <w:rFonts w:ascii="Times New Roman" w:hAnsi="Times New Roman" w:cs="Times New Roman"/>
          <w:sz w:val="24"/>
          <w:szCs w:val="24"/>
        </w:rPr>
        <w:footnoteReference w:id="166"/>
      </w:r>
      <w:r>
        <w:rPr>
          <w:rFonts w:ascii="Times New Roman" w:hAnsi="Times New Roman" w:cs="Times New Roman"/>
          <w:sz w:val="24"/>
          <w:szCs w:val="24"/>
        </w:rPr>
        <w:t xml:space="preserve">, the leaves with barley made for a decent poultice for joint pain, and the fruit might have made for a decent sedative if it were not so finicky a beast to dose out </w:t>
      </w:r>
      <w:r>
        <w:rPr>
          <w:rFonts w:ascii="Times New Roman" w:hAnsi="Times New Roman" w:cs="Times New Roman"/>
          <w:sz w:val="24"/>
          <w:szCs w:val="24"/>
        </w:rPr>
        <w:lastRenderedPageBreak/>
        <w:t>harmlessly</w:t>
      </w:r>
      <w:r>
        <w:rPr>
          <w:rStyle w:val="FootnoteReference"/>
          <w:rFonts w:ascii="Times New Roman" w:hAnsi="Times New Roman" w:cs="Times New Roman"/>
          <w:sz w:val="24"/>
          <w:szCs w:val="24"/>
        </w:rPr>
        <w:footnoteReference w:id="167"/>
      </w:r>
      <w:r>
        <w:rPr>
          <w:rFonts w:ascii="Times New Roman" w:hAnsi="Times New Roman" w:cs="Times New Roman"/>
          <w:sz w:val="24"/>
          <w:szCs w:val="24"/>
        </w:rPr>
        <w:t>.  Hünemörder</w:t>
      </w:r>
      <w:r>
        <w:rPr>
          <w:rStyle w:val="FootnoteReference"/>
          <w:rFonts w:ascii="Times New Roman" w:hAnsi="Times New Roman" w:cs="Times New Roman"/>
          <w:sz w:val="24"/>
          <w:szCs w:val="24"/>
        </w:rPr>
        <w:footnoteReference w:id="168"/>
      </w:r>
      <w:r>
        <w:rPr>
          <w:rFonts w:ascii="Times New Roman" w:hAnsi="Times New Roman" w:cs="Times New Roman"/>
          <w:sz w:val="24"/>
          <w:szCs w:val="24"/>
        </w:rPr>
        <w:t xml:space="preserve"> notes similar magical implementations during the Byzantine Period visible in the </w:t>
      </w:r>
      <w:r>
        <w:rPr>
          <w:rFonts w:ascii="Times New Roman" w:hAnsi="Times New Roman" w:cs="Times New Roman"/>
          <w:i/>
          <w:sz w:val="24"/>
          <w:szCs w:val="24"/>
        </w:rPr>
        <w:t>Koiranides</w:t>
      </w:r>
      <w:r>
        <w:rPr>
          <w:rStyle w:val="FootnoteReference"/>
          <w:rFonts w:ascii="Times New Roman" w:hAnsi="Times New Roman" w:cs="Times New Roman"/>
          <w:i/>
          <w:sz w:val="24"/>
          <w:szCs w:val="24"/>
        </w:rPr>
        <w:footnoteReference w:id="169"/>
      </w:r>
      <w:r>
        <w:rPr>
          <w:rFonts w:ascii="Times New Roman" w:hAnsi="Times New Roman" w:cs="Times New Roman"/>
          <w:sz w:val="24"/>
          <w:szCs w:val="24"/>
        </w:rPr>
        <w:t xml:space="preserve"> and in the </w:t>
      </w:r>
      <w:r>
        <w:rPr>
          <w:rFonts w:ascii="Times New Roman" w:hAnsi="Times New Roman" w:cs="Times New Roman"/>
          <w:i/>
          <w:sz w:val="24"/>
          <w:szCs w:val="24"/>
        </w:rPr>
        <w:t>Compendium Aureum</w:t>
      </w:r>
      <w:r>
        <w:rPr>
          <w:rStyle w:val="FootnoteReference"/>
          <w:rFonts w:ascii="Times New Roman" w:hAnsi="Times New Roman" w:cs="Times New Roman"/>
          <w:i/>
          <w:sz w:val="24"/>
          <w:szCs w:val="24"/>
        </w:rPr>
        <w:footnoteReference w:id="170"/>
      </w:r>
      <w:r>
        <w:rPr>
          <w:rFonts w:ascii="Times New Roman" w:hAnsi="Times New Roman" w:cs="Times New Roman"/>
          <w:i/>
          <w:sz w:val="24"/>
          <w:szCs w:val="24"/>
        </w:rPr>
        <w:t xml:space="preserve">, </w:t>
      </w:r>
      <w:r>
        <w:rPr>
          <w:rFonts w:ascii="Times New Roman" w:hAnsi="Times New Roman" w:cs="Times New Roman"/>
          <w:sz w:val="24"/>
          <w:szCs w:val="24"/>
        </w:rPr>
        <w:t xml:space="preserve">and the same </w:t>
      </w:r>
      <w:r>
        <w:rPr>
          <w:rFonts w:ascii="Times New Roman" w:hAnsi="Times New Roman" w:cs="Times New Roman"/>
          <w:i/>
          <w:sz w:val="24"/>
          <w:szCs w:val="24"/>
        </w:rPr>
        <w:t>PDM</w:t>
      </w:r>
      <w:r>
        <w:rPr>
          <w:rFonts w:ascii="Times New Roman" w:hAnsi="Times New Roman" w:cs="Times New Roman"/>
          <w:sz w:val="24"/>
          <w:szCs w:val="24"/>
        </w:rPr>
        <w:t xml:space="preserve"> entry on henbane</w:t>
      </w:r>
      <w:r>
        <w:rPr>
          <w:rStyle w:val="FootnoteReference"/>
          <w:rFonts w:ascii="Times New Roman" w:hAnsi="Times New Roman" w:cs="Times New Roman"/>
          <w:sz w:val="24"/>
          <w:szCs w:val="24"/>
        </w:rPr>
        <w:footnoteReference w:id="171"/>
      </w:r>
      <w:r>
        <w:rPr>
          <w:rFonts w:ascii="Times New Roman" w:hAnsi="Times New Roman" w:cs="Times New Roman"/>
          <w:sz w:val="24"/>
          <w:szCs w:val="24"/>
        </w:rPr>
        <w:t xml:space="preserve"> goes on to say that an ounce of mandrake root by itself can put a man to sleep instantly; Cunningham</w:t>
      </w:r>
      <w:r w:rsidR="009A1EB4">
        <w:rPr>
          <w:rStyle w:val="FootnoteReference"/>
          <w:rFonts w:ascii="Times New Roman" w:hAnsi="Times New Roman" w:cs="Times New Roman"/>
          <w:sz w:val="24"/>
          <w:szCs w:val="24"/>
        </w:rPr>
        <w:footnoteReference w:id="172"/>
      </w:r>
      <w:r>
        <w:rPr>
          <w:rFonts w:ascii="Times New Roman" w:hAnsi="Times New Roman" w:cs="Times New Roman"/>
          <w:sz w:val="24"/>
          <w:szCs w:val="24"/>
        </w:rPr>
        <w:t xml:space="preserve"> provides no source material, but echoes Pliny’s claim that the smell of mandrake root is soporific and is used for that ver</w:t>
      </w:r>
      <w:r w:rsidR="00015383">
        <w:rPr>
          <w:rFonts w:ascii="Times New Roman" w:hAnsi="Times New Roman" w:cs="Times New Roman"/>
          <w:sz w:val="24"/>
          <w:szCs w:val="24"/>
        </w:rPr>
        <w:t>y purpose in magic even today.</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Pliny</w:t>
      </w:r>
      <w:r>
        <w:rPr>
          <w:rStyle w:val="FootnoteReference"/>
          <w:rFonts w:ascii="Times New Roman" w:hAnsi="Times New Roman" w:cs="Times New Roman"/>
          <w:sz w:val="24"/>
          <w:szCs w:val="24"/>
        </w:rPr>
        <w:footnoteReference w:id="173"/>
      </w:r>
      <w:r>
        <w:rPr>
          <w:rFonts w:ascii="Times New Roman" w:hAnsi="Times New Roman" w:cs="Times New Roman"/>
          <w:sz w:val="24"/>
          <w:szCs w:val="24"/>
        </w:rPr>
        <w:t xml:space="preserve"> separates poppy into two types – those with a “white calyx” and those with a “dark stem” – although he admits that contemporary sources thought they were one and the same or else used them as if they were; he likes the calyx of the white one and the seeds of the dark one for sleep medicines better than the herb’s juice, which was hard to ration safely, and notes that the dark one’s seeds with rose oil could cure headaches and earaches.  Hünemörder</w:t>
      </w:r>
      <w:r>
        <w:rPr>
          <w:rStyle w:val="FootnoteReference"/>
          <w:rFonts w:ascii="Times New Roman" w:hAnsi="Times New Roman" w:cs="Times New Roman"/>
          <w:sz w:val="24"/>
          <w:szCs w:val="24"/>
        </w:rPr>
        <w:footnoteReference w:id="174"/>
      </w:r>
      <w:r>
        <w:rPr>
          <w:rFonts w:ascii="Times New Roman" w:hAnsi="Times New Roman" w:cs="Times New Roman"/>
          <w:sz w:val="24"/>
          <w:szCs w:val="24"/>
        </w:rPr>
        <w:t xml:space="preserve"> adds that Homer, Dioscorides, Galen, and some Assyrian authors knew about the analgesic properties of morphine and the curative properties of opium.  In more modern witchcraft, the seeds, seedpods, and flowers appear in spellwork for seeking answers and lucky omens in dreams while one is sleeping</w:t>
      </w:r>
      <w:r>
        <w:rPr>
          <w:rStyle w:val="FootnoteReference"/>
          <w:rFonts w:ascii="Times New Roman" w:hAnsi="Times New Roman" w:cs="Times New Roman"/>
          <w:sz w:val="24"/>
          <w:szCs w:val="24"/>
        </w:rPr>
        <w:footnoteReference w:id="175"/>
      </w:r>
      <w:r>
        <w:rPr>
          <w:rFonts w:ascii="Times New Roman" w:hAnsi="Times New Roman" w:cs="Times New Roman"/>
          <w:sz w:val="24"/>
          <w:szCs w:val="24"/>
        </w:rPr>
        <w:t>.</w:t>
      </w:r>
    </w:p>
    <w:p w:rsidR="00385CDE" w:rsidRDefault="00385CDE" w:rsidP="00385CDE">
      <w:pPr>
        <w:pStyle w:val="ListParagraph"/>
        <w:numPr>
          <w:ilvl w:val="0"/>
          <w:numId w:val="15"/>
        </w:numPr>
        <w:spacing w:line="480" w:lineRule="auto"/>
        <w:rPr>
          <w:rFonts w:ascii="Times New Roman" w:hAnsi="Times New Roman" w:cs="Times New Roman"/>
          <w:b/>
          <w:sz w:val="24"/>
          <w:szCs w:val="24"/>
        </w:rPr>
      </w:pPr>
      <w:r>
        <w:rPr>
          <w:rFonts w:ascii="Times New Roman" w:hAnsi="Times New Roman" w:cs="Times New Roman"/>
          <w:b/>
          <w:sz w:val="24"/>
          <w:szCs w:val="24"/>
        </w:rPr>
        <w:t xml:space="preserve">Medical gynecological aids and antivenins, and magical exorcists.  </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lastRenderedPageBreak/>
        <w:t>Relating gynecological aids to antivenins is more readily understandable, since the purpose of medicines for both was largely to purge the body of an undesirable fluid (venom) or humor (blood), and choosing poisonous herbs for that task was logical for the time period</w:t>
      </w:r>
      <w:r>
        <w:rPr>
          <w:rStyle w:val="FootnoteReference"/>
          <w:rFonts w:ascii="Times New Roman" w:hAnsi="Times New Roman" w:cs="Times New Roman"/>
          <w:sz w:val="24"/>
          <w:szCs w:val="24"/>
        </w:rPr>
        <w:footnoteReference w:id="176"/>
      </w:r>
      <w:r>
        <w:rPr>
          <w:rFonts w:ascii="Times New Roman" w:hAnsi="Times New Roman" w:cs="Times New Roman"/>
          <w:sz w:val="24"/>
          <w:szCs w:val="24"/>
        </w:rPr>
        <w:t>; but making the connection to exorcist herbs makes one wonder just what substance ancient gynecologists considered the “target” for destruction.</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White hellebore seems to have been more suited to gynecological tasks than its black counterpart</w:t>
      </w:r>
      <w:r>
        <w:rPr>
          <w:rStyle w:val="FootnoteReference"/>
          <w:rFonts w:ascii="Times New Roman" w:hAnsi="Times New Roman" w:cs="Times New Roman"/>
          <w:sz w:val="24"/>
          <w:szCs w:val="24"/>
        </w:rPr>
        <w:footnoteReference w:id="177"/>
      </w:r>
      <w:r>
        <w:rPr>
          <w:rFonts w:ascii="Times New Roman" w:hAnsi="Times New Roman" w:cs="Times New Roman"/>
          <w:sz w:val="24"/>
          <w:szCs w:val="24"/>
        </w:rPr>
        <w:t>, though which part of it was most useful remains in question.  Its oil doubled as an antivenin, particularly with regard to aconitum poisoning</w:t>
      </w:r>
      <w:r>
        <w:rPr>
          <w:rStyle w:val="FootnoteReference"/>
          <w:rFonts w:ascii="Times New Roman" w:hAnsi="Times New Roman" w:cs="Times New Roman"/>
          <w:sz w:val="24"/>
          <w:szCs w:val="24"/>
        </w:rPr>
        <w:footnoteReference w:id="178"/>
      </w:r>
      <w:r>
        <w:rPr>
          <w:rFonts w:ascii="Times New Roman" w:hAnsi="Times New Roman" w:cs="Times New Roman"/>
          <w:sz w:val="24"/>
          <w:szCs w:val="24"/>
        </w:rPr>
        <w:t>, and another of its parts (probably the root) was ground up in “exorcism rituals</w:t>
      </w:r>
      <w:r>
        <w:rPr>
          <w:rStyle w:val="FootnoteReference"/>
          <w:rFonts w:ascii="Times New Roman" w:hAnsi="Times New Roman" w:cs="Times New Roman"/>
          <w:sz w:val="24"/>
          <w:szCs w:val="24"/>
        </w:rPr>
        <w:footnoteReference w:id="179"/>
      </w:r>
      <w:r>
        <w:rPr>
          <w:rFonts w:ascii="Times New Roman" w:hAnsi="Times New Roman" w:cs="Times New Roman"/>
          <w:sz w:val="24"/>
          <w:szCs w:val="24"/>
        </w:rPr>
        <w:t>,” but Theophrastus</w:t>
      </w:r>
      <w:r>
        <w:rPr>
          <w:rStyle w:val="FootnoteReference"/>
          <w:rFonts w:ascii="Times New Roman" w:hAnsi="Times New Roman" w:cs="Times New Roman"/>
          <w:sz w:val="24"/>
          <w:szCs w:val="24"/>
        </w:rPr>
        <w:footnoteReference w:id="180"/>
      </w:r>
      <w:r>
        <w:rPr>
          <w:rFonts w:ascii="Times New Roman" w:hAnsi="Times New Roman" w:cs="Times New Roman"/>
          <w:sz w:val="24"/>
          <w:szCs w:val="24"/>
        </w:rPr>
        <w:t xml:space="preserve"> seems to indicate that it is the juice of hellebore which is most important medicinally.  The juice of mandrake, though, often replaced hellebore in “soothing pessaries,” with the added benefit that its leaves could be mixed with honey or oil to clean snakebites</w:t>
      </w:r>
      <w:r>
        <w:rPr>
          <w:rStyle w:val="FootnoteReference"/>
          <w:rFonts w:ascii="Times New Roman" w:hAnsi="Times New Roman" w:cs="Times New Roman"/>
          <w:sz w:val="24"/>
          <w:szCs w:val="24"/>
        </w:rPr>
        <w:footnoteReference w:id="181"/>
      </w:r>
      <w:r>
        <w:rPr>
          <w:rFonts w:ascii="Times New Roman" w:hAnsi="Times New Roman" w:cs="Times New Roman"/>
          <w:sz w:val="24"/>
          <w:szCs w:val="24"/>
        </w:rPr>
        <w:t>.  After a lengthy “activation” process, mandrake root could become useful for repelling harmful spirits, since “[w]here there is mandrake, demons cannot reside, and so the root is used in exorcism</w:t>
      </w:r>
      <w:r>
        <w:rPr>
          <w:rStyle w:val="FootnoteReference"/>
          <w:rFonts w:ascii="Times New Roman" w:hAnsi="Times New Roman" w:cs="Times New Roman"/>
          <w:sz w:val="24"/>
          <w:szCs w:val="24"/>
        </w:rPr>
        <w:footnoteReference w:id="182"/>
      </w:r>
      <w:r>
        <w:rPr>
          <w:rFonts w:ascii="Times New Roman" w:hAnsi="Times New Roman" w:cs="Times New Roman"/>
          <w:sz w:val="24"/>
          <w:szCs w:val="24"/>
        </w:rPr>
        <w:t>.”  It is unclear whether that last belief has any relation to the ancient warning of the plant’s alleged tendency to shriek when uprooted</w:t>
      </w:r>
      <w:r>
        <w:rPr>
          <w:rStyle w:val="FootnoteReference"/>
          <w:rFonts w:ascii="Times New Roman" w:hAnsi="Times New Roman" w:cs="Times New Roman"/>
          <w:sz w:val="24"/>
          <w:szCs w:val="24"/>
        </w:rPr>
        <w:footnoteReference w:id="183"/>
      </w:r>
      <w:r>
        <w:rPr>
          <w:rFonts w:ascii="Times New Roman" w:hAnsi="Times New Roman" w:cs="Times New Roman"/>
          <w:sz w:val="24"/>
          <w:szCs w:val="24"/>
        </w:rPr>
        <w:t>.</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lastRenderedPageBreak/>
        <w:t>Mint (presumably the juice or oil) was a treatment for venom in the bloodstream</w:t>
      </w:r>
      <w:r>
        <w:rPr>
          <w:rStyle w:val="FootnoteReference"/>
          <w:rFonts w:ascii="Times New Roman" w:hAnsi="Times New Roman" w:cs="Times New Roman"/>
          <w:sz w:val="24"/>
          <w:szCs w:val="24"/>
        </w:rPr>
        <w:footnoteReference w:id="184"/>
      </w:r>
      <w:r>
        <w:rPr>
          <w:rFonts w:ascii="Times New Roman" w:hAnsi="Times New Roman" w:cs="Times New Roman"/>
          <w:sz w:val="24"/>
          <w:szCs w:val="24"/>
        </w:rPr>
        <w:t>, and the leaves were used as a contraceptive device for women</w:t>
      </w:r>
      <w:r>
        <w:rPr>
          <w:rStyle w:val="FootnoteReference"/>
          <w:rFonts w:ascii="Times New Roman" w:hAnsi="Times New Roman" w:cs="Times New Roman"/>
          <w:sz w:val="24"/>
          <w:szCs w:val="24"/>
        </w:rPr>
        <w:footnoteReference w:id="185"/>
      </w:r>
      <w:r>
        <w:rPr>
          <w:rFonts w:ascii="Times New Roman" w:hAnsi="Times New Roman" w:cs="Times New Roman"/>
          <w:sz w:val="24"/>
          <w:szCs w:val="24"/>
        </w:rPr>
        <w:t>; some part of it (presumably the leaves or root) was also rumored to have exorcist properties</w:t>
      </w:r>
      <w:r>
        <w:rPr>
          <w:rStyle w:val="FootnoteReference"/>
          <w:rFonts w:ascii="Times New Roman" w:hAnsi="Times New Roman" w:cs="Times New Roman"/>
          <w:sz w:val="24"/>
          <w:szCs w:val="24"/>
        </w:rPr>
        <w:footnoteReference w:id="186"/>
      </w:r>
      <w:r>
        <w:rPr>
          <w:rFonts w:ascii="Times New Roman" w:hAnsi="Times New Roman" w:cs="Times New Roman"/>
          <w:sz w:val="24"/>
          <w:szCs w:val="24"/>
        </w:rPr>
        <w:t>.  Ground oregano root was taken in wine to counteract poisons and with honey to promote menstruation</w:t>
      </w:r>
      <w:r>
        <w:rPr>
          <w:rStyle w:val="FootnoteReference"/>
          <w:rFonts w:ascii="Times New Roman" w:hAnsi="Times New Roman" w:cs="Times New Roman"/>
          <w:sz w:val="24"/>
          <w:szCs w:val="24"/>
        </w:rPr>
        <w:footnoteReference w:id="187"/>
      </w:r>
      <w:r>
        <w:rPr>
          <w:rFonts w:ascii="Times New Roman" w:hAnsi="Times New Roman" w:cs="Times New Roman"/>
          <w:sz w:val="24"/>
          <w:szCs w:val="24"/>
        </w:rPr>
        <w:t xml:space="preserve">, and had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of similar exorcist value as mint</w:t>
      </w:r>
      <w:r>
        <w:rPr>
          <w:rStyle w:val="FootnoteReference"/>
          <w:rFonts w:ascii="Times New Roman" w:hAnsi="Times New Roman" w:cs="Times New Roman"/>
          <w:sz w:val="24"/>
          <w:szCs w:val="24"/>
        </w:rPr>
        <w:footnoteReference w:id="188"/>
      </w:r>
      <w:r>
        <w:rPr>
          <w:rFonts w:ascii="Times New Roman" w:hAnsi="Times New Roman" w:cs="Times New Roman"/>
          <w:sz w:val="24"/>
          <w:szCs w:val="24"/>
        </w:rPr>
        <w:t>.  Like mandrake, the root of pennyroyal was known to serve as a pessary, another of its parts (most likely the juice, given the ingestion methods) was good for cleansing menstrual blood and aiding in labor</w:t>
      </w:r>
      <w:r>
        <w:rPr>
          <w:rStyle w:val="FootnoteReference"/>
          <w:rFonts w:ascii="Times New Roman" w:hAnsi="Times New Roman" w:cs="Times New Roman"/>
          <w:sz w:val="24"/>
          <w:szCs w:val="24"/>
        </w:rPr>
        <w:footnoteReference w:id="189"/>
      </w:r>
      <w:r>
        <w:rPr>
          <w:rFonts w:ascii="Times New Roman" w:hAnsi="Times New Roman" w:cs="Times New Roman"/>
          <w:sz w:val="24"/>
          <w:szCs w:val="24"/>
        </w:rPr>
        <w:t>, and the leaves, oil, and resin were good for banishing evil spirits</w:t>
      </w:r>
      <w:r>
        <w:rPr>
          <w:rStyle w:val="FootnoteReference"/>
          <w:rFonts w:ascii="Times New Roman" w:hAnsi="Times New Roman" w:cs="Times New Roman"/>
          <w:sz w:val="24"/>
          <w:szCs w:val="24"/>
        </w:rPr>
        <w:footnoteReference w:id="190"/>
      </w:r>
      <w:r>
        <w:rPr>
          <w:rFonts w:ascii="Times New Roman" w:hAnsi="Times New Roman" w:cs="Times New Roman"/>
          <w:sz w:val="24"/>
          <w:szCs w:val="24"/>
        </w:rPr>
        <w:t>.  King Antiochus included some part of trefoil in his “theriac” for all venoms</w:t>
      </w:r>
      <w:r>
        <w:rPr>
          <w:rStyle w:val="FootnoteReference"/>
          <w:rFonts w:ascii="Times New Roman" w:hAnsi="Times New Roman" w:cs="Times New Roman"/>
          <w:sz w:val="24"/>
          <w:szCs w:val="24"/>
        </w:rPr>
        <w:footnoteReference w:id="191"/>
      </w:r>
      <w:r>
        <w:rPr>
          <w:rFonts w:ascii="Times New Roman" w:hAnsi="Times New Roman" w:cs="Times New Roman"/>
          <w:sz w:val="24"/>
          <w:szCs w:val="24"/>
        </w:rPr>
        <w:t>, but neither he nor the Hippocratic authors who ascribed gynecological uses for the herb</w:t>
      </w:r>
      <w:r>
        <w:rPr>
          <w:rStyle w:val="FootnoteReference"/>
          <w:rFonts w:ascii="Times New Roman" w:hAnsi="Times New Roman" w:cs="Times New Roman"/>
          <w:sz w:val="24"/>
          <w:szCs w:val="24"/>
        </w:rPr>
        <w:footnoteReference w:id="192"/>
      </w:r>
      <w:r>
        <w:rPr>
          <w:rFonts w:ascii="Times New Roman" w:hAnsi="Times New Roman" w:cs="Times New Roman"/>
          <w:sz w:val="24"/>
          <w:szCs w:val="24"/>
        </w:rPr>
        <w:t xml:space="preserve"> made mention of the useful parts; the flowers of the white variety have exorcist attributes</w:t>
      </w:r>
      <w:r>
        <w:rPr>
          <w:rStyle w:val="FootnoteReference"/>
          <w:rFonts w:ascii="Times New Roman" w:hAnsi="Times New Roman" w:cs="Times New Roman"/>
          <w:sz w:val="24"/>
          <w:szCs w:val="24"/>
        </w:rPr>
        <w:footnoteReference w:id="193"/>
      </w:r>
      <w:r>
        <w:rPr>
          <w:rFonts w:ascii="Times New Roman" w:hAnsi="Times New Roman" w:cs="Times New Roman"/>
          <w:sz w:val="24"/>
          <w:szCs w:val="24"/>
        </w:rPr>
        <w:t xml:space="preserve">, but the magical name “Semen of Ares” found in the </w:t>
      </w:r>
      <w:r w:rsidRPr="008F2D0E">
        <w:rPr>
          <w:rFonts w:ascii="Times New Roman" w:hAnsi="Times New Roman" w:cs="Times New Roman"/>
          <w:i/>
          <w:sz w:val="24"/>
          <w:szCs w:val="24"/>
        </w:rPr>
        <w:t>PGM</w:t>
      </w:r>
      <w:r w:rsidRPr="008F2D0E">
        <w:rPr>
          <w:rStyle w:val="FootnoteReference"/>
          <w:rFonts w:ascii="Times New Roman" w:hAnsi="Times New Roman" w:cs="Times New Roman"/>
          <w:i/>
          <w:sz w:val="24"/>
          <w:szCs w:val="24"/>
        </w:rPr>
        <w:footnoteReference w:id="194"/>
      </w:r>
      <w:r>
        <w:rPr>
          <w:rFonts w:ascii="Times New Roman" w:hAnsi="Times New Roman" w:cs="Times New Roman"/>
          <w:sz w:val="24"/>
          <w:szCs w:val="24"/>
        </w:rPr>
        <w:t xml:space="preserve"> would suggest the juice is the more likely candidate.  Wormwood could replace oregano in the menstrual root-and-honey formula above</w:t>
      </w:r>
      <w:r>
        <w:rPr>
          <w:rStyle w:val="FootnoteReference"/>
          <w:rFonts w:ascii="Times New Roman" w:hAnsi="Times New Roman" w:cs="Times New Roman"/>
          <w:sz w:val="24"/>
          <w:szCs w:val="24"/>
        </w:rPr>
        <w:footnoteReference w:id="195"/>
      </w:r>
      <w:r>
        <w:rPr>
          <w:rFonts w:ascii="Times New Roman" w:hAnsi="Times New Roman" w:cs="Times New Roman"/>
          <w:sz w:val="24"/>
          <w:szCs w:val="24"/>
        </w:rPr>
        <w:t>, and could also lend its resin to exorcist censers</w:t>
      </w:r>
      <w:r>
        <w:rPr>
          <w:rStyle w:val="FootnoteReference"/>
          <w:rFonts w:ascii="Times New Roman" w:hAnsi="Times New Roman" w:cs="Times New Roman"/>
          <w:sz w:val="24"/>
          <w:szCs w:val="24"/>
        </w:rPr>
        <w:footnoteReference w:id="196"/>
      </w:r>
      <w:r>
        <w:rPr>
          <w:rFonts w:ascii="Times New Roman" w:hAnsi="Times New Roman" w:cs="Times New Roman"/>
          <w:sz w:val="24"/>
          <w:szCs w:val="24"/>
        </w:rPr>
        <w:t>.</w:t>
      </w:r>
    </w:p>
    <w:p w:rsidR="00385CDE" w:rsidRDefault="00385CDE" w:rsidP="00385CDE">
      <w:pPr>
        <w:pStyle w:val="ListParagraph"/>
        <w:numPr>
          <w:ilvl w:val="0"/>
          <w:numId w:val="15"/>
        </w:num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Medical digestive aids, and magical hex-breakers, aphrodisiacs, and deific.</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 xml:space="preserve">The first is the most solid bond: that herbs used as digestive aids in medicine were used to break hexes in magic.  That the other two – aphrodisiacs and deific connections – should stem from the same population is intriguing, to say the least.  Possibly the hex-casting magicians took the saying, “The way to a man’s heart is through his stomach,” a bit too literally, or possibly they thought the soul lived at the body’s core; either way, with seven of the ten toxic herbs and a good deal more of non-toxic ones to boot, the correlation between the digestive tract and the storage of hexes in the body is undeniable.  Likewise, the bonds between the seven herbs below and various deities, especially Underworld ones like Hecate, may have come from some precursor of the belief preached by the Catholic Church in the Middle Ages that digestive waste was a tangible form of concentrated evil being expunged from the body.  Far-fetched as that may seem, when paired with the Hippocratic prerogative of reducing excess matter within the body, it may well be that doctors thought a hex could be driven out like so much bad food.  As for aphrodisiacs being relevant to the gastrointestinal system, it should be remembered that at the time of Pseudo-Hippocrates’ </w:t>
      </w:r>
      <w:r>
        <w:rPr>
          <w:rFonts w:ascii="Times New Roman" w:hAnsi="Times New Roman" w:cs="Times New Roman"/>
          <w:i/>
          <w:sz w:val="24"/>
          <w:szCs w:val="24"/>
        </w:rPr>
        <w:t>On Generation</w:t>
      </w:r>
      <w:r>
        <w:rPr>
          <w:rFonts w:ascii="Times New Roman" w:hAnsi="Times New Roman" w:cs="Times New Roman"/>
          <w:sz w:val="24"/>
          <w:szCs w:val="24"/>
        </w:rPr>
        <w:t xml:space="preserve"> 2</w:t>
      </w:r>
      <w:r>
        <w:rPr>
          <w:rStyle w:val="FootnoteReference"/>
          <w:rFonts w:ascii="Times New Roman" w:hAnsi="Times New Roman" w:cs="Times New Roman"/>
          <w:sz w:val="24"/>
          <w:szCs w:val="24"/>
        </w:rPr>
        <w:footnoteReference w:id="197"/>
      </w:r>
      <w:r>
        <w:rPr>
          <w:rFonts w:ascii="Times New Roman" w:hAnsi="Times New Roman" w:cs="Times New Roman"/>
          <w:sz w:val="24"/>
          <w:szCs w:val="24"/>
        </w:rPr>
        <w:t>, the Greeks thought that “sperm goes from the head past the ears into the spinal marrow,” and that Diogenes</w:t>
      </w:r>
      <w:r>
        <w:rPr>
          <w:rStyle w:val="FootnoteReference"/>
          <w:rFonts w:ascii="Times New Roman" w:hAnsi="Times New Roman" w:cs="Times New Roman"/>
          <w:sz w:val="24"/>
          <w:szCs w:val="24"/>
        </w:rPr>
        <w:footnoteReference w:id="198"/>
      </w:r>
      <w:r>
        <w:rPr>
          <w:rFonts w:ascii="Times New Roman" w:hAnsi="Times New Roman" w:cs="Times New Roman"/>
          <w:sz w:val="24"/>
          <w:szCs w:val="24"/>
        </w:rPr>
        <w:t xml:space="preserve"> said that in addition to that marrow channel, the sexual organs received their sera via a second set of veins running “through the flesh to the kidneys.”  In that anatomical model, we see the victim’s brain, </w:t>
      </w:r>
      <w:r>
        <w:rPr>
          <w:rFonts w:ascii="Times New Roman" w:hAnsi="Times New Roman" w:cs="Times New Roman"/>
          <w:sz w:val="24"/>
          <w:szCs w:val="24"/>
        </w:rPr>
        <w:lastRenderedPageBreak/>
        <w:t>under influence of the aphrodisiac, linked to digestive organs by way of the very body parts the magician means to access (i.e. the genitals).</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It is unclear just which part of hellebore (white and black) the ancients considered so wonderfully emetic</w:t>
      </w:r>
      <w:r>
        <w:rPr>
          <w:rStyle w:val="FootnoteReference"/>
          <w:rFonts w:ascii="Times New Roman" w:hAnsi="Times New Roman" w:cs="Times New Roman"/>
          <w:sz w:val="24"/>
          <w:szCs w:val="24"/>
        </w:rPr>
        <w:footnoteReference w:id="199"/>
      </w:r>
      <w:r>
        <w:rPr>
          <w:rFonts w:ascii="Times New Roman" w:hAnsi="Times New Roman" w:cs="Times New Roman"/>
          <w:sz w:val="24"/>
          <w:szCs w:val="24"/>
        </w:rPr>
        <w:t>, but since Theophrastus seems to indicate that humans learned about the emetic property from watching sheep graze on white hellebore</w:t>
      </w:r>
      <w:r>
        <w:rPr>
          <w:rStyle w:val="FootnoteReference"/>
          <w:rFonts w:ascii="Times New Roman" w:hAnsi="Times New Roman" w:cs="Times New Roman"/>
          <w:sz w:val="24"/>
          <w:szCs w:val="24"/>
        </w:rPr>
        <w:footnoteReference w:id="200"/>
      </w:r>
      <w:r>
        <w:rPr>
          <w:rFonts w:ascii="Times New Roman" w:hAnsi="Times New Roman" w:cs="Times New Roman"/>
          <w:sz w:val="24"/>
          <w:szCs w:val="24"/>
        </w:rPr>
        <w:t>, it can reasonably be presumed that some above-ground part was prescribed.  Hellebore lacks the hex-breaking and aphrodisiac properties, but ancient deific connections were made to Apollo, Asclepius</w:t>
      </w:r>
      <w:r>
        <w:rPr>
          <w:rStyle w:val="FootnoteReference"/>
          <w:rFonts w:ascii="Times New Roman" w:hAnsi="Times New Roman" w:cs="Times New Roman"/>
          <w:sz w:val="24"/>
          <w:szCs w:val="24"/>
        </w:rPr>
        <w:footnoteReference w:id="201"/>
      </w:r>
      <w:r>
        <w:rPr>
          <w:rFonts w:ascii="Times New Roman" w:hAnsi="Times New Roman" w:cs="Times New Roman"/>
          <w:sz w:val="24"/>
          <w:szCs w:val="24"/>
        </w:rPr>
        <w:t>, and Helios</w:t>
      </w:r>
      <w:r>
        <w:rPr>
          <w:rStyle w:val="FootnoteReference"/>
          <w:rFonts w:ascii="Times New Roman" w:hAnsi="Times New Roman" w:cs="Times New Roman"/>
          <w:sz w:val="24"/>
          <w:szCs w:val="24"/>
        </w:rPr>
        <w:footnoteReference w:id="202"/>
      </w:r>
      <w:r>
        <w:rPr>
          <w:rFonts w:ascii="Times New Roman" w:hAnsi="Times New Roman" w:cs="Times New Roman"/>
          <w:sz w:val="24"/>
          <w:szCs w:val="24"/>
        </w:rPr>
        <w:t xml:space="preserve">, and modern ones have been made to Underworld figures and to “Dark” versions of Pagan gods invoked in the </w:t>
      </w:r>
      <w:r w:rsidRPr="00913B6A">
        <w:rPr>
          <w:rFonts w:ascii="Times New Roman" w:hAnsi="Times New Roman" w:cs="Times New Roman"/>
          <w:i/>
          <w:sz w:val="24"/>
          <w:szCs w:val="24"/>
        </w:rPr>
        <w:t>Book of Shadows</w:t>
      </w:r>
      <w:r w:rsidRPr="00913B6A">
        <w:rPr>
          <w:rStyle w:val="FootnoteReference"/>
          <w:rFonts w:ascii="Times New Roman" w:hAnsi="Times New Roman" w:cs="Times New Roman"/>
          <w:i/>
          <w:sz w:val="24"/>
          <w:szCs w:val="24"/>
        </w:rPr>
        <w:footnoteReference w:id="203"/>
      </w:r>
      <w:r w:rsidRPr="00913B6A">
        <w:rPr>
          <w:rFonts w:ascii="Times New Roman" w:hAnsi="Times New Roman" w:cs="Times New Roman"/>
          <w:i/>
          <w:sz w:val="24"/>
          <w:szCs w:val="24"/>
        </w:rPr>
        <w:t>.</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The leaves of henbane, taken with wine, were known to assuage the symptoms of colitis</w:t>
      </w:r>
      <w:r>
        <w:rPr>
          <w:rStyle w:val="FootnoteReference"/>
          <w:rFonts w:ascii="Times New Roman" w:hAnsi="Times New Roman" w:cs="Times New Roman"/>
          <w:sz w:val="24"/>
          <w:szCs w:val="24"/>
        </w:rPr>
        <w:footnoteReference w:id="204"/>
      </w:r>
      <w:r>
        <w:rPr>
          <w:rFonts w:ascii="Times New Roman" w:hAnsi="Times New Roman" w:cs="Times New Roman"/>
          <w:sz w:val="24"/>
          <w:szCs w:val="24"/>
        </w:rPr>
        <w:t>, and a derivative of their active chemical compound,  hyoscyamine, is prescribed today for abdominal cramps brought about by IBS and by IBS-D (sometimes with diarrhea as a side-effect).  Its seeds were used in sterility amulets</w:t>
      </w:r>
      <w:r>
        <w:rPr>
          <w:rStyle w:val="FootnoteReference"/>
          <w:rFonts w:ascii="Times New Roman" w:hAnsi="Times New Roman" w:cs="Times New Roman"/>
          <w:sz w:val="24"/>
          <w:szCs w:val="24"/>
        </w:rPr>
        <w:footnoteReference w:id="205"/>
      </w:r>
      <w:r>
        <w:rPr>
          <w:rFonts w:ascii="Times New Roman" w:hAnsi="Times New Roman" w:cs="Times New Roman"/>
          <w:sz w:val="24"/>
          <w:szCs w:val="24"/>
        </w:rPr>
        <w:t>, and the herb as a whole was ascribed to Underworld deities</w:t>
      </w:r>
      <w:r>
        <w:rPr>
          <w:rStyle w:val="FootnoteReference"/>
          <w:rFonts w:ascii="Times New Roman" w:hAnsi="Times New Roman" w:cs="Times New Roman"/>
          <w:sz w:val="24"/>
          <w:szCs w:val="24"/>
        </w:rPr>
        <w:footnoteReference w:id="206"/>
      </w:r>
      <w:r>
        <w:rPr>
          <w:rFonts w:ascii="Times New Roman" w:hAnsi="Times New Roman" w:cs="Times New Roman"/>
          <w:sz w:val="24"/>
          <w:szCs w:val="24"/>
        </w:rPr>
        <w:t>, probably due to its highly toxic nature.  No ancient hex-breaking use is reported.  Mandrake root infusion was useful for controlling spasms</w:t>
      </w:r>
      <w:r>
        <w:rPr>
          <w:rStyle w:val="FootnoteReference"/>
          <w:rFonts w:ascii="Times New Roman" w:hAnsi="Times New Roman" w:cs="Times New Roman"/>
          <w:sz w:val="24"/>
          <w:szCs w:val="24"/>
        </w:rPr>
        <w:footnoteReference w:id="207"/>
      </w:r>
      <w:r>
        <w:rPr>
          <w:rFonts w:ascii="Times New Roman" w:hAnsi="Times New Roman" w:cs="Times New Roman"/>
          <w:sz w:val="24"/>
          <w:szCs w:val="24"/>
        </w:rPr>
        <w:t xml:space="preserve">, and poultices made </w:t>
      </w:r>
      <w:r>
        <w:rPr>
          <w:rFonts w:ascii="Times New Roman" w:hAnsi="Times New Roman" w:cs="Times New Roman"/>
          <w:sz w:val="24"/>
          <w:szCs w:val="24"/>
        </w:rPr>
        <w:lastRenderedPageBreak/>
        <w:t>from the leaves and barley could supposedly clear up ulcers</w:t>
      </w:r>
      <w:r>
        <w:rPr>
          <w:rStyle w:val="FootnoteReference"/>
          <w:rFonts w:ascii="Times New Roman" w:hAnsi="Times New Roman" w:cs="Times New Roman"/>
          <w:sz w:val="24"/>
          <w:szCs w:val="24"/>
        </w:rPr>
        <w:footnoteReference w:id="208"/>
      </w:r>
      <w:r>
        <w:rPr>
          <w:rFonts w:ascii="Times New Roman" w:hAnsi="Times New Roman" w:cs="Times New Roman"/>
          <w:sz w:val="24"/>
          <w:szCs w:val="24"/>
        </w:rPr>
        <w:t>, but other than Dioscorides’ remark that taking the herb as a suppository for some reason put patients to sleep</w:t>
      </w:r>
      <w:r>
        <w:rPr>
          <w:rStyle w:val="FootnoteReference"/>
          <w:rFonts w:ascii="Times New Roman" w:hAnsi="Times New Roman" w:cs="Times New Roman"/>
          <w:sz w:val="24"/>
          <w:szCs w:val="24"/>
        </w:rPr>
        <w:footnoteReference w:id="209"/>
      </w:r>
      <w:r>
        <w:rPr>
          <w:rFonts w:ascii="Times New Roman" w:hAnsi="Times New Roman" w:cs="Times New Roman"/>
          <w:sz w:val="24"/>
          <w:szCs w:val="24"/>
        </w:rPr>
        <w:t>, there is little about it aiding in digestive troubles.  Instead, the ancients preferred it for its romantic qualities: Dioscorides</w:t>
      </w:r>
      <w:r>
        <w:rPr>
          <w:rStyle w:val="FootnoteReference"/>
          <w:rFonts w:ascii="Times New Roman" w:hAnsi="Times New Roman" w:cs="Times New Roman"/>
          <w:sz w:val="24"/>
          <w:szCs w:val="24"/>
        </w:rPr>
        <w:footnoteReference w:id="210"/>
      </w:r>
      <w:r>
        <w:rPr>
          <w:rFonts w:ascii="Times New Roman" w:hAnsi="Times New Roman" w:cs="Times New Roman"/>
          <w:sz w:val="24"/>
          <w:szCs w:val="24"/>
        </w:rPr>
        <w:t xml:space="preserve"> says that “the root seems to be good for making philtres,” and Theophrastus</w:t>
      </w:r>
      <w:r>
        <w:rPr>
          <w:rStyle w:val="FootnoteReference"/>
          <w:rFonts w:ascii="Times New Roman" w:hAnsi="Times New Roman" w:cs="Times New Roman"/>
          <w:sz w:val="24"/>
          <w:szCs w:val="24"/>
        </w:rPr>
        <w:footnoteReference w:id="211"/>
      </w:r>
      <w:r>
        <w:rPr>
          <w:rFonts w:ascii="Times New Roman" w:hAnsi="Times New Roman" w:cs="Times New Roman"/>
          <w:sz w:val="24"/>
          <w:szCs w:val="24"/>
        </w:rPr>
        <w:t xml:space="preserve"> recalls folklore about the herb’s picking, wherein root-cutters would “say as much as possible about sex” while harvesting the juices.  Likewise, Cunningham</w:t>
      </w:r>
      <w:r>
        <w:rPr>
          <w:rStyle w:val="FootnoteReference"/>
          <w:rFonts w:ascii="Times New Roman" w:hAnsi="Times New Roman" w:cs="Times New Roman"/>
          <w:sz w:val="24"/>
          <w:szCs w:val="24"/>
        </w:rPr>
        <w:footnoteReference w:id="212"/>
      </w:r>
      <w:r>
        <w:rPr>
          <w:rFonts w:ascii="Times New Roman" w:hAnsi="Times New Roman" w:cs="Times New Roman"/>
          <w:sz w:val="24"/>
          <w:szCs w:val="24"/>
        </w:rPr>
        <w:t xml:space="preserve"> advises that the whole root be “carried to attract love [or] worn to prevent contraction of illnesses” during sex, and Yronwode</w:t>
      </w:r>
      <w:r>
        <w:rPr>
          <w:rStyle w:val="FootnoteReference"/>
          <w:rFonts w:ascii="Times New Roman" w:hAnsi="Times New Roman" w:cs="Times New Roman"/>
          <w:sz w:val="24"/>
          <w:szCs w:val="24"/>
        </w:rPr>
        <w:footnoteReference w:id="213"/>
      </w:r>
      <w:r>
        <w:rPr>
          <w:rFonts w:ascii="Times New Roman" w:hAnsi="Times New Roman" w:cs="Times New Roman"/>
          <w:sz w:val="24"/>
          <w:szCs w:val="24"/>
        </w:rPr>
        <w:t xml:space="preserve"> maintains that the human-shaped root can be used as a doll for sympathetic magic spells for forcing a target to fall in love with the magician.  No noteworthy hex-breaking uses or divine ties appear in ancient text.</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Like henbane, mint oil was a useful cure for “stomach pains</w:t>
      </w:r>
      <w:r>
        <w:rPr>
          <w:rStyle w:val="FootnoteReference"/>
          <w:rFonts w:ascii="Times New Roman" w:hAnsi="Times New Roman" w:cs="Times New Roman"/>
          <w:sz w:val="24"/>
          <w:szCs w:val="24"/>
        </w:rPr>
        <w:footnoteReference w:id="214"/>
      </w:r>
      <w:r>
        <w:rPr>
          <w:rFonts w:ascii="Times New Roman" w:hAnsi="Times New Roman" w:cs="Times New Roman"/>
          <w:sz w:val="24"/>
          <w:szCs w:val="24"/>
        </w:rPr>
        <w:t>” and for clearing out intestinal worms</w:t>
      </w:r>
      <w:r>
        <w:rPr>
          <w:rStyle w:val="FootnoteReference"/>
          <w:rFonts w:ascii="Times New Roman" w:hAnsi="Times New Roman" w:cs="Times New Roman"/>
          <w:sz w:val="24"/>
          <w:szCs w:val="24"/>
        </w:rPr>
        <w:footnoteReference w:id="215"/>
      </w:r>
      <w:r>
        <w:rPr>
          <w:rFonts w:ascii="Times New Roman" w:hAnsi="Times New Roman" w:cs="Times New Roman"/>
          <w:sz w:val="24"/>
          <w:szCs w:val="24"/>
        </w:rPr>
        <w:t>, which would make sense, given that peppermint oil, extract, and tea are all used today to relieve constipation and other IBS / IBS-D symptoms.  Since the oil’s flavor is so strong, an alternate formula calls for the leaves to be worn around the wrist to stave off illness, or else combined with various neutral “healing oils” and stuffed inside a “green poppet” representing the magician to sympathetically alleviate stomach troubles</w:t>
      </w:r>
      <w:r>
        <w:rPr>
          <w:rStyle w:val="FootnoteReference"/>
          <w:rFonts w:ascii="Times New Roman" w:hAnsi="Times New Roman" w:cs="Times New Roman"/>
          <w:sz w:val="24"/>
          <w:szCs w:val="24"/>
        </w:rPr>
        <w:footnoteReference w:id="216"/>
      </w:r>
      <w:r>
        <w:rPr>
          <w:rFonts w:ascii="Times New Roman" w:hAnsi="Times New Roman" w:cs="Times New Roman"/>
          <w:sz w:val="24"/>
          <w:szCs w:val="24"/>
        </w:rPr>
        <w:t xml:space="preserve">.  Used at the altar in </w:t>
      </w:r>
      <w:r>
        <w:rPr>
          <w:rFonts w:ascii="Times New Roman" w:hAnsi="Times New Roman" w:cs="Times New Roman"/>
          <w:sz w:val="24"/>
          <w:szCs w:val="24"/>
        </w:rPr>
        <w:lastRenderedPageBreak/>
        <w:t>tandem with other herbs, mint “breaks jinxes</w:t>
      </w:r>
      <w:r>
        <w:rPr>
          <w:rStyle w:val="FootnoteReference"/>
          <w:rFonts w:ascii="Times New Roman" w:hAnsi="Times New Roman" w:cs="Times New Roman"/>
          <w:sz w:val="24"/>
          <w:szCs w:val="24"/>
        </w:rPr>
        <w:footnoteReference w:id="217"/>
      </w:r>
      <w:r>
        <w:rPr>
          <w:rFonts w:ascii="Times New Roman" w:hAnsi="Times New Roman" w:cs="Times New Roman"/>
          <w:sz w:val="24"/>
          <w:szCs w:val="24"/>
        </w:rPr>
        <w:t>” with its scent alone; whether this use was derived just from the herb’s olfactory strength or is owed to mythology is unclear, but ties to Persephone decidedly existed</w:t>
      </w:r>
      <w:r>
        <w:rPr>
          <w:rStyle w:val="FootnoteReference"/>
          <w:rFonts w:ascii="Times New Roman" w:hAnsi="Times New Roman" w:cs="Times New Roman"/>
          <w:sz w:val="24"/>
          <w:szCs w:val="24"/>
        </w:rPr>
        <w:footnoteReference w:id="218"/>
      </w:r>
      <w:r>
        <w:rPr>
          <w:rFonts w:ascii="Times New Roman" w:hAnsi="Times New Roman" w:cs="Times New Roman"/>
          <w:sz w:val="24"/>
          <w:szCs w:val="24"/>
        </w:rPr>
        <w:t>.  Some part of mint’s cousin pennyroyal (presumably the leaves or roots) was given to just about every digestive organ in the body when it started acting up</w:t>
      </w:r>
      <w:r>
        <w:rPr>
          <w:rStyle w:val="FootnoteReference"/>
          <w:rFonts w:ascii="Times New Roman" w:hAnsi="Times New Roman" w:cs="Times New Roman"/>
          <w:sz w:val="24"/>
          <w:szCs w:val="24"/>
        </w:rPr>
        <w:footnoteReference w:id="219"/>
      </w:r>
      <w:r>
        <w:rPr>
          <w:rFonts w:ascii="Times New Roman" w:hAnsi="Times New Roman" w:cs="Times New Roman"/>
          <w:sz w:val="24"/>
          <w:szCs w:val="24"/>
        </w:rPr>
        <w:t>, and its leaves were said to be able to deflect curses sent by other magicians and to resolve lovers’ quarrels.  While no deific ties are expressly stated, it is of considerable note that pennyroyal also furnishes one of the very few pieces of textual evidence wherein an author ascribes its parts separately to two humors</w:t>
      </w:r>
      <w:r>
        <w:rPr>
          <w:rStyle w:val="FootnoteReference"/>
          <w:rFonts w:ascii="Times New Roman" w:hAnsi="Times New Roman" w:cs="Times New Roman"/>
          <w:sz w:val="24"/>
          <w:szCs w:val="24"/>
        </w:rPr>
        <w:footnoteReference w:id="220"/>
      </w:r>
      <w:r>
        <w:rPr>
          <w:rFonts w:ascii="Times New Roman" w:hAnsi="Times New Roman" w:cs="Times New Roman"/>
          <w:sz w:val="24"/>
          <w:szCs w:val="24"/>
        </w:rPr>
        <w:t>.</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Context clues are important in sorting out which parts of trefoil are suited to which task; they seem to point to roots being taken with wine for bladder pain</w:t>
      </w:r>
      <w:r>
        <w:rPr>
          <w:rStyle w:val="FootnoteReference"/>
          <w:rFonts w:ascii="Times New Roman" w:hAnsi="Times New Roman" w:cs="Times New Roman"/>
          <w:sz w:val="24"/>
          <w:szCs w:val="24"/>
        </w:rPr>
        <w:footnoteReference w:id="221"/>
      </w:r>
      <w:r>
        <w:rPr>
          <w:rFonts w:ascii="Times New Roman" w:hAnsi="Times New Roman" w:cs="Times New Roman"/>
          <w:sz w:val="24"/>
          <w:szCs w:val="24"/>
        </w:rPr>
        <w:t>, clovers (the three-leafed heads) being fashioned into amulets for contact-healing anywhere on the body</w:t>
      </w:r>
      <w:r>
        <w:rPr>
          <w:rStyle w:val="FootnoteReference"/>
          <w:rFonts w:ascii="Times New Roman" w:hAnsi="Times New Roman" w:cs="Times New Roman"/>
          <w:sz w:val="24"/>
          <w:szCs w:val="24"/>
        </w:rPr>
        <w:footnoteReference w:id="222"/>
      </w:r>
      <w:r>
        <w:rPr>
          <w:rFonts w:ascii="Times New Roman" w:hAnsi="Times New Roman" w:cs="Times New Roman"/>
          <w:sz w:val="24"/>
          <w:szCs w:val="24"/>
        </w:rPr>
        <w:t>, and flowers bestowing romantic luck and breaking curses</w:t>
      </w:r>
      <w:r>
        <w:rPr>
          <w:rStyle w:val="FootnoteReference"/>
          <w:rFonts w:ascii="Times New Roman" w:hAnsi="Times New Roman" w:cs="Times New Roman"/>
          <w:sz w:val="24"/>
          <w:szCs w:val="24"/>
        </w:rPr>
        <w:footnoteReference w:id="223"/>
      </w:r>
      <w:r>
        <w:rPr>
          <w:rFonts w:ascii="Times New Roman" w:hAnsi="Times New Roman" w:cs="Times New Roman"/>
          <w:sz w:val="24"/>
          <w:szCs w:val="24"/>
        </w:rPr>
        <w:t xml:space="preserve">.  Like pennyroyal, wormwood had countless digestive uses in medicine but no agreement whatsoever amongst authors on the parts used for such </w:t>
      </w:r>
      <w:r>
        <w:rPr>
          <w:rFonts w:ascii="Times New Roman" w:hAnsi="Times New Roman" w:cs="Times New Roman"/>
          <w:sz w:val="24"/>
          <w:szCs w:val="24"/>
        </w:rPr>
        <w:lastRenderedPageBreak/>
        <w:t>medications</w:t>
      </w:r>
      <w:r>
        <w:rPr>
          <w:rStyle w:val="FootnoteReference"/>
          <w:rFonts w:ascii="Times New Roman" w:hAnsi="Times New Roman" w:cs="Times New Roman"/>
          <w:sz w:val="24"/>
          <w:szCs w:val="24"/>
        </w:rPr>
        <w:footnoteReference w:id="224"/>
      </w:r>
      <w:r>
        <w:rPr>
          <w:rFonts w:ascii="Times New Roman" w:hAnsi="Times New Roman" w:cs="Times New Roman"/>
          <w:sz w:val="24"/>
          <w:szCs w:val="24"/>
        </w:rPr>
        <w:t>.  Liquor and charms fashioned from wormwood featured in a “Charm of Compulsion” ritual for attracting lovers and nullifying hexes</w:t>
      </w:r>
      <w:r>
        <w:rPr>
          <w:rStyle w:val="FootnoteReference"/>
          <w:rFonts w:ascii="Times New Roman" w:hAnsi="Times New Roman" w:cs="Times New Roman"/>
          <w:sz w:val="24"/>
          <w:szCs w:val="24"/>
        </w:rPr>
        <w:footnoteReference w:id="225"/>
      </w:r>
      <w:r>
        <w:rPr>
          <w:rFonts w:ascii="Times New Roman" w:hAnsi="Times New Roman" w:cs="Times New Roman"/>
          <w:sz w:val="24"/>
          <w:szCs w:val="24"/>
        </w:rPr>
        <w:t>; the resin, as incense, had similar compulsive properties, and has been ascribed to Hecate, Morrigan, and “dark” calendar events in modern Paganism when the spirit world is supposedly at its closest and most vulnerable to manipulation</w:t>
      </w:r>
      <w:r>
        <w:rPr>
          <w:rStyle w:val="FootnoteReference"/>
          <w:rFonts w:ascii="Times New Roman" w:hAnsi="Times New Roman" w:cs="Times New Roman"/>
          <w:sz w:val="24"/>
          <w:szCs w:val="24"/>
        </w:rPr>
        <w:footnoteReference w:id="226"/>
      </w:r>
      <w:r>
        <w:rPr>
          <w:rFonts w:ascii="Times New Roman" w:hAnsi="Times New Roman" w:cs="Times New Roman"/>
          <w:sz w:val="24"/>
          <w:szCs w:val="24"/>
        </w:rPr>
        <w:t>.</w:t>
      </w:r>
    </w:p>
    <w:p w:rsidR="00385CDE" w:rsidRDefault="00385CDE" w:rsidP="00385CDE">
      <w:pPr>
        <w:pStyle w:val="ListParagraph"/>
        <w:numPr>
          <w:ilvl w:val="0"/>
          <w:numId w:val="15"/>
        </w:numPr>
        <w:spacing w:line="480" w:lineRule="auto"/>
        <w:rPr>
          <w:rFonts w:ascii="Times New Roman" w:hAnsi="Times New Roman" w:cs="Times New Roman"/>
          <w:b/>
          <w:sz w:val="24"/>
          <w:szCs w:val="24"/>
        </w:rPr>
      </w:pPr>
      <w:r>
        <w:rPr>
          <w:rFonts w:ascii="Times New Roman" w:hAnsi="Times New Roman" w:cs="Times New Roman"/>
          <w:b/>
          <w:sz w:val="24"/>
          <w:szCs w:val="24"/>
        </w:rPr>
        <w:t>Medical ear aids and magical conduits for dreams and spirit contact.</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While there is no extant part of the Epidaurian miracle inscriptions to confirm such a theory, it would seem suggestive from Shakespeare’s allusion to wormwood being traditionally aurally administered to sleeping patients (or victims, in the case of Hamlet’s father) in the 16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and 17</w:t>
      </w:r>
      <w:r>
        <w:rPr>
          <w:rFonts w:ascii="Times New Roman" w:hAnsi="Times New Roman" w:cs="Times New Roman"/>
          <w:sz w:val="24"/>
          <w:szCs w:val="24"/>
          <w:vertAlign w:val="superscript"/>
        </w:rPr>
        <w:t>th</w:t>
      </w:r>
      <w:r w:rsidR="006D59AB">
        <w:rPr>
          <w:rFonts w:ascii="Times New Roman" w:hAnsi="Times New Roman" w:cs="Times New Roman"/>
          <w:sz w:val="24"/>
          <w:szCs w:val="24"/>
        </w:rPr>
        <w:t xml:space="preserve"> c.</w:t>
      </w:r>
      <w:r>
        <w:rPr>
          <w:rFonts w:ascii="Times New Roman" w:hAnsi="Times New Roman" w:cs="Times New Roman"/>
          <w:sz w:val="24"/>
          <w:szCs w:val="24"/>
        </w:rPr>
        <w:t xml:space="preserve"> CE</w:t>
      </w:r>
      <w:r>
        <w:rPr>
          <w:rStyle w:val="FootnoteReference"/>
          <w:rFonts w:ascii="Times New Roman" w:hAnsi="Times New Roman" w:cs="Times New Roman"/>
          <w:sz w:val="24"/>
          <w:szCs w:val="24"/>
        </w:rPr>
        <w:footnoteReference w:id="227"/>
      </w:r>
      <w:r>
        <w:rPr>
          <w:rFonts w:ascii="Times New Roman" w:hAnsi="Times New Roman" w:cs="Times New Roman"/>
          <w:sz w:val="24"/>
          <w:szCs w:val="24"/>
        </w:rPr>
        <w:t xml:space="preserve"> that the basis for Greek and Roman doctors’ and magicians’ aural application of potions, as well as the basis for some of the strange dreams recorded at Epidauros, lies in Asclepiad practice.  Certainly applying herbs to ears of the sleeping would have been more convenient, anyhow, and more covertly doable, for those magic healers.  And if the effects of these poisonous herbs were hallucinogenic in nature, then surely the insistence of magicians that they could see and speak with daemons is understandable.  Of note is that the overwhelming majority of the herbs which share these traits lend their juices to both purposes; the medicinal reason is obvious, but the magical one is curious.</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lastRenderedPageBreak/>
        <w:t>Henbane juice could alleviate earaches and ear inflammation</w:t>
      </w:r>
      <w:r>
        <w:rPr>
          <w:rStyle w:val="FootnoteReference"/>
          <w:rFonts w:ascii="Times New Roman" w:hAnsi="Times New Roman" w:cs="Times New Roman"/>
          <w:sz w:val="24"/>
          <w:szCs w:val="24"/>
        </w:rPr>
        <w:footnoteReference w:id="228"/>
      </w:r>
      <w:r>
        <w:rPr>
          <w:rFonts w:ascii="Times New Roman" w:hAnsi="Times New Roman" w:cs="Times New Roman"/>
          <w:sz w:val="24"/>
          <w:szCs w:val="24"/>
        </w:rPr>
        <w:t>, as well as make “spirit contact” with denizens of the Underworld</w:t>
      </w:r>
      <w:r>
        <w:rPr>
          <w:rStyle w:val="FootnoteReference"/>
          <w:rFonts w:ascii="Times New Roman" w:hAnsi="Times New Roman" w:cs="Times New Roman"/>
          <w:sz w:val="24"/>
          <w:szCs w:val="24"/>
        </w:rPr>
        <w:footnoteReference w:id="229"/>
      </w:r>
      <w:r>
        <w:rPr>
          <w:rFonts w:ascii="Times New Roman" w:hAnsi="Times New Roman" w:cs="Times New Roman"/>
          <w:sz w:val="24"/>
          <w:szCs w:val="24"/>
        </w:rPr>
        <w:t>.  Black hellebore juice could also tackle earaches, more specifically ones related to an excess of cholera or phlegm</w:t>
      </w:r>
      <w:r>
        <w:rPr>
          <w:rStyle w:val="FootnoteReference"/>
          <w:rFonts w:ascii="Times New Roman" w:hAnsi="Times New Roman" w:cs="Times New Roman"/>
          <w:sz w:val="24"/>
          <w:szCs w:val="24"/>
        </w:rPr>
        <w:footnoteReference w:id="230"/>
      </w:r>
      <w:r>
        <w:rPr>
          <w:rFonts w:ascii="Times New Roman" w:hAnsi="Times New Roman" w:cs="Times New Roman"/>
          <w:sz w:val="24"/>
          <w:szCs w:val="24"/>
        </w:rPr>
        <w:t>, and the ground-up roots elicited “visions [and bolstered] psychic power” in the magician</w:t>
      </w:r>
      <w:r>
        <w:rPr>
          <w:rStyle w:val="FootnoteReference"/>
          <w:rFonts w:ascii="Times New Roman" w:hAnsi="Times New Roman" w:cs="Times New Roman"/>
          <w:sz w:val="24"/>
          <w:szCs w:val="24"/>
        </w:rPr>
        <w:footnoteReference w:id="231"/>
      </w:r>
      <w:r>
        <w:rPr>
          <w:rFonts w:ascii="Times New Roman" w:hAnsi="Times New Roman" w:cs="Times New Roman"/>
          <w:sz w:val="24"/>
          <w:szCs w:val="24"/>
        </w:rPr>
        <w:t>. Mint juice, taken with mead, was considered a fast-acting cure for earaches</w:t>
      </w:r>
      <w:r>
        <w:rPr>
          <w:rStyle w:val="FootnoteReference"/>
          <w:rFonts w:ascii="Times New Roman" w:hAnsi="Times New Roman" w:cs="Times New Roman"/>
          <w:sz w:val="24"/>
          <w:szCs w:val="24"/>
        </w:rPr>
        <w:footnoteReference w:id="232"/>
      </w:r>
      <w:r>
        <w:rPr>
          <w:rFonts w:ascii="Times New Roman" w:hAnsi="Times New Roman" w:cs="Times New Roman"/>
          <w:sz w:val="24"/>
          <w:szCs w:val="24"/>
        </w:rPr>
        <w:t>, and “has long been used in healing potions and mixtures” by magicians</w:t>
      </w:r>
      <w:r>
        <w:rPr>
          <w:rStyle w:val="FootnoteReference"/>
          <w:rFonts w:ascii="Times New Roman" w:hAnsi="Times New Roman" w:cs="Times New Roman"/>
          <w:sz w:val="24"/>
          <w:szCs w:val="24"/>
        </w:rPr>
        <w:footnoteReference w:id="233"/>
      </w:r>
      <w:r>
        <w:rPr>
          <w:rFonts w:ascii="Times New Roman" w:hAnsi="Times New Roman" w:cs="Times New Roman"/>
          <w:sz w:val="24"/>
          <w:szCs w:val="24"/>
        </w:rPr>
        <w:t>; while the leaves are also to be found in medicinal magic</w:t>
      </w:r>
      <w:r>
        <w:rPr>
          <w:rStyle w:val="FootnoteReference"/>
          <w:rFonts w:ascii="Times New Roman" w:hAnsi="Times New Roman" w:cs="Times New Roman"/>
          <w:sz w:val="24"/>
          <w:szCs w:val="24"/>
        </w:rPr>
        <w:footnoteReference w:id="234"/>
      </w:r>
      <w:r>
        <w:rPr>
          <w:rFonts w:ascii="Times New Roman" w:hAnsi="Times New Roman" w:cs="Times New Roman"/>
          <w:sz w:val="24"/>
          <w:szCs w:val="24"/>
        </w:rPr>
        <w:t>, it is the resin of mint which is preferred for incense in spells which boost psychic power or borrow it from spirits</w:t>
      </w:r>
      <w:r>
        <w:rPr>
          <w:rStyle w:val="FootnoteReference"/>
          <w:rFonts w:ascii="Times New Roman" w:hAnsi="Times New Roman" w:cs="Times New Roman"/>
          <w:sz w:val="24"/>
          <w:szCs w:val="24"/>
        </w:rPr>
        <w:footnoteReference w:id="235"/>
      </w:r>
      <w:r>
        <w:rPr>
          <w:rFonts w:ascii="Times New Roman" w:hAnsi="Times New Roman" w:cs="Times New Roman"/>
          <w:sz w:val="24"/>
          <w:szCs w:val="24"/>
        </w:rPr>
        <w:t xml:space="preserve">.  </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By contrast, the juice of oregano was poured into the inner ear along with milk to stop pain there or to counter excess fluids elsewhere in the body</w:t>
      </w:r>
      <w:r>
        <w:rPr>
          <w:rStyle w:val="FootnoteReference"/>
          <w:rFonts w:ascii="Times New Roman" w:hAnsi="Times New Roman" w:cs="Times New Roman"/>
          <w:sz w:val="24"/>
          <w:szCs w:val="24"/>
        </w:rPr>
        <w:footnoteReference w:id="236"/>
      </w:r>
      <w:r>
        <w:rPr>
          <w:rFonts w:ascii="Times New Roman" w:hAnsi="Times New Roman" w:cs="Times New Roman"/>
          <w:sz w:val="24"/>
          <w:szCs w:val="24"/>
        </w:rPr>
        <w:t>, and the crushed leaves and incense made from its resin were said to be able to attract spirits who can influence or reveal the outcome of precarious situations in the magician’s life (e.g. court cases)</w:t>
      </w:r>
      <w:r>
        <w:rPr>
          <w:rStyle w:val="FootnoteReference"/>
          <w:rFonts w:ascii="Times New Roman" w:hAnsi="Times New Roman" w:cs="Times New Roman"/>
          <w:sz w:val="24"/>
          <w:szCs w:val="24"/>
        </w:rPr>
        <w:footnoteReference w:id="237"/>
      </w:r>
      <w:r>
        <w:rPr>
          <w:rFonts w:ascii="Times New Roman" w:hAnsi="Times New Roman" w:cs="Times New Roman"/>
          <w:sz w:val="24"/>
          <w:szCs w:val="24"/>
        </w:rPr>
        <w:t>.  Tablets made from the seeds of a dark breed of poppy were applied to the ears with rose oil for combating aches</w:t>
      </w:r>
      <w:r>
        <w:rPr>
          <w:rStyle w:val="FootnoteReference"/>
          <w:rFonts w:ascii="Times New Roman" w:hAnsi="Times New Roman" w:cs="Times New Roman"/>
          <w:sz w:val="24"/>
          <w:szCs w:val="24"/>
        </w:rPr>
        <w:footnoteReference w:id="238"/>
      </w:r>
      <w:r>
        <w:rPr>
          <w:rFonts w:ascii="Times New Roman" w:hAnsi="Times New Roman" w:cs="Times New Roman"/>
          <w:sz w:val="24"/>
          <w:szCs w:val="24"/>
        </w:rPr>
        <w:t xml:space="preserve">, while the seed pods themselves and the flowers were placed under pillows to invite dreams </w:t>
      </w:r>
      <w:r>
        <w:rPr>
          <w:rFonts w:ascii="Times New Roman" w:hAnsi="Times New Roman" w:cs="Times New Roman"/>
          <w:sz w:val="24"/>
          <w:szCs w:val="24"/>
        </w:rPr>
        <w:lastRenderedPageBreak/>
        <w:t>in which magicians could find lucky omens and answers to their queries</w:t>
      </w:r>
      <w:r>
        <w:rPr>
          <w:rStyle w:val="FootnoteReference"/>
          <w:rFonts w:ascii="Times New Roman" w:hAnsi="Times New Roman" w:cs="Times New Roman"/>
          <w:sz w:val="24"/>
          <w:szCs w:val="24"/>
        </w:rPr>
        <w:footnoteReference w:id="239"/>
      </w:r>
      <w:r>
        <w:rPr>
          <w:rFonts w:ascii="Times New Roman" w:hAnsi="Times New Roman" w:cs="Times New Roman"/>
          <w:sz w:val="24"/>
          <w:szCs w:val="24"/>
        </w:rPr>
        <w:t xml:space="preserve">.  As for wormwood, there is a passing mention from Dioscorides as to the juice of </w:t>
      </w:r>
      <w:r>
        <w:rPr>
          <w:rFonts w:ascii="Times New Roman" w:hAnsi="Times New Roman" w:cs="Times New Roman"/>
          <w:i/>
          <w:sz w:val="24"/>
          <w:szCs w:val="24"/>
        </w:rPr>
        <w:t>Absinthium vulgare</w:t>
      </w:r>
      <w:r>
        <w:rPr>
          <w:rFonts w:ascii="Times New Roman" w:hAnsi="Times New Roman" w:cs="Times New Roman"/>
          <w:sz w:val="24"/>
          <w:szCs w:val="24"/>
        </w:rPr>
        <w:t xml:space="preserve"> treating ear issues, and a substantial amount of information on its resin being burnt for divination and psychic boosting purposes</w:t>
      </w:r>
      <w:r>
        <w:rPr>
          <w:rStyle w:val="FootnoteReference"/>
          <w:rFonts w:ascii="Times New Roman" w:hAnsi="Times New Roman" w:cs="Times New Roman"/>
          <w:sz w:val="24"/>
          <w:szCs w:val="24"/>
        </w:rPr>
        <w:footnoteReference w:id="240"/>
      </w:r>
      <w:r>
        <w:rPr>
          <w:rFonts w:ascii="Times New Roman" w:hAnsi="Times New Roman" w:cs="Times New Roman"/>
          <w:sz w:val="24"/>
          <w:szCs w:val="24"/>
        </w:rPr>
        <w:t>, as well as for summoning “helpful spirits” to aid in spellwork</w:t>
      </w:r>
      <w:r>
        <w:rPr>
          <w:rStyle w:val="FootnoteReference"/>
          <w:rFonts w:ascii="Times New Roman" w:hAnsi="Times New Roman" w:cs="Times New Roman"/>
          <w:sz w:val="24"/>
          <w:szCs w:val="24"/>
        </w:rPr>
        <w:footnoteReference w:id="241"/>
      </w:r>
      <w:r>
        <w:rPr>
          <w:rFonts w:ascii="Times New Roman" w:hAnsi="Times New Roman" w:cs="Times New Roman"/>
          <w:sz w:val="24"/>
          <w:szCs w:val="24"/>
        </w:rPr>
        <w:t>.</w:t>
      </w:r>
    </w:p>
    <w:p w:rsidR="00385CDE" w:rsidRDefault="00385CDE" w:rsidP="00385CDE">
      <w:pPr>
        <w:pStyle w:val="ListParagraph"/>
        <w:numPr>
          <w:ilvl w:val="0"/>
          <w:numId w:val="15"/>
        </w:numPr>
        <w:spacing w:line="480" w:lineRule="auto"/>
        <w:rPr>
          <w:rFonts w:ascii="Times New Roman" w:hAnsi="Times New Roman" w:cs="Times New Roman"/>
          <w:b/>
          <w:sz w:val="24"/>
          <w:szCs w:val="24"/>
        </w:rPr>
      </w:pPr>
      <w:r>
        <w:rPr>
          <w:rFonts w:ascii="Times New Roman" w:hAnsi="Times New Roman" w:cs="Times New Roman"/>
          <w:b/>
          <w:sz w:val="24"/>
          <w:szCs w:val="24"/>
        </w:rPr>
        <w:t>Medical eye aids and anti-depressants, and magical protectors and love-affecters.</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 xml:space="preserve">Previously, it was shown that love-affecting herbs do not correlate with eye medications by themselves, but in studying the ten poisonous herbs in detail, a correlation is visible when the love-affecters also have protective qualities, and when the vision aids have anti-depressant qualities.  Quite probably this is owed to a belief on the practitioner’s part that </w:t>
      </w:r>
      <w:r>
        <w:rPr>
          <w:rFonts w:ascii="Times New Roman" w:hAnsi="Times New Roman" w:cs="Times New Roman"/>
          <w:i/>
          <w:sz w:val="24"/>
          <w:szCs w:val="24"/>
        </w:rPr>
        <w:t>the eyes do as they are instructed:</w:t>
      </w:r>
      <w:r>
        <w:rPr>
          <w:rFonts w:ascii="Times New Roman" w:hAnsi="Times New Roman" w:cs="Times New Roman"/>
          <w:sz w:val="24"/>
          <w:szCs w:val="24"/>
        </w:rPr>
        <w:t xml:space="preserve"> that is, that they may be shielded from seeing one thing (hence “protective”), but forced to see another (i.e. the magician in a romantic light, or life in a positive light).  By applying these herbs to the eyes directly, the practitioner has control over what the mind perceives.</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As was mentioned earlier, the most notable eye implementation of Datura comes to us from the Middle Ages, when it was used as a beauty product (dilated eyes, one of the herb’s side-effects, were seen as beautiful)</w:t>
      </w:r>
      <w:r>
        <w:rPr>
          <w:rStyle w:val="FootnoteReference"/>
          <w:rFonts w:ascii="Times New Roman" w:hAnsi="Times New Roman" w:cs="Times New Roman"/>
          <w:sz w:val="24"/>
          <w:szCs w:val="24"/>
        </w:rPr>
        <w:footnoteReference w:id="242"/>
      </w:r>
      <w:r>
        <w:rPr>
          <w:rFonts w:ascii="Times New Roman" w:hAnsi="Times New Roman" w:cs="Times New Roman"/>
          <w:sz w:val="24"/>
          <w:szCs w:val="24"/>
        </w:rPr>
        <w:t xml:space="preserve">, which would give </w:t>
      </w:r>
      <w:r>
        <w:rPr>
          <w:rFonts w:ascii="Times New Roman" w:hAnsi="Times New Roman" w:cs="Times New Roman"/>
          <w:sz w:val="24"/>
          <w:szCs w:val="24"/>
        </w:rPr>
        <w:lastRenderedPageBreak/>
        <w:t>one to think that those who hawked the formula had some knowledge of medicine – and also some knowledge of magic, since it was typical for medieval peddlers to attribute ancient and/or religious contexts to their merchandise.  Where that knowledge would have come from, though, is unclear: Dioscorides</w:t>
      </w:r>
      <w:r>
        <w:rPr>
          <w:rStyle w:val="FootnoteReference"/>
          <w:rFonts w:ascii="Times New Roman" w:hAnsi="Times New Roman" w:cs="Times New Roman"/>
          <w:sz w:val="24"/>
          <w:szCs w:val="24"/>
        </w:rPr>
        <w:footnoteReference w:id="243"/>
      </w:r>
      <w:r>
        <w:rPr>
          <w:rFonts w:ascii="Times New Roman" w:hAnsi="Times New Roman" w:cs="Times New Roman"/>
          <w:sz w:val="24"/>
          <w:szCs w:val="24"/>
        </w:rPr>
        <w:t xml:space="preserve"> merely mentions the herb’s application (probably the root juice) in “an antidote against what is called madness,” and that is all; and the magic papyri make no mention of “thorn-apple” or any other Datura name in their texts.  Cunningham</w:t>
      </w:r>
      <w:r>
        <w:rPr>
          <w:rStyle w:val="FootnoteReference"/>
          <w:rFonts w:ascii="Times New Roman" w:hAnsi="Times New Roman" w:cs="Times New Roman"/>
          <w:sz w:val="24"/>
          <w:szCs w:val="24"/>
        </w:rPr>
        <w:footnoteReference w:id="244"/>
      </w:r>
      <w:r>
        <w:rPr>
          <w:rFonts w:ascii="Times New Roman" w:hAnsi="Times New Roman" w:cs="Times New Roman"/>
          <w:sz w:val="24"/>
          <w:szCs w:val="24"/>
        </w:rPr>
        <w:t xml:space="preserve"> alleges, however, that “Datura has been used in shamanic practices and religious rites for untold centuries.”  For his part, he prefers the leaves as the useful part, despite their oil irritating the skin of those who handle them; the medical properties he ascribes to them also have no bearing on the eyes, per se, though he claims they can break spells and protect the user from evil spirits.  Moura</w:t>
      </w:r>
      <w:r>
        <w:rPr>
          <w:rStyle w:val="FootnoteReference"/>
          <w:rFonts w:ascii="Times New Roman" w:hAnsi="Times New Roman" w:cs="Times New Roman"/>
          <w:sz w:val="24"/>
          <w:szCs w:val="24"/>
        </w:rPr>
        <w:footnoteReference w:id="245"/>
      </w:r>
      <w:r>
        <w:rPr>
          <w:rFonts w:ascii="Times New Roman" w:hAnsi="Times New Roman" w:cs="Times New Roman"/>
          <w:sz w:val="24"/>
          <w:szCs w:val="24"/>
        </w:rPr>
        <w:t xml:space="preserve"> attests to this magical implementation, and states that the irritation component can be circumvented by using agrimony instead, a less toxic herb with the same magical applications</w:t>
      </w:r>
      <w:r>
        <w:rPr>
          <w:rStyle w:val="FootnoteReference"/>
          <w:rFonts w:ascii="Times New Roman" w:hAnsi="Times New Roman" w:cs="Times New Roman"/>
          <w:sz w:val="24"/>
          <w:szCs w:val="24"/>
        </w:rPr>
        <w:footnoteReference w:id="246"/>
      </w:r>
      <w:r>
        <w:rPr>
          <w:rFonts w:ascii="Times New Roman" w:hAnsi="Times New Roman" w:cs="Times New Roman"/>
          <w:sz w:val="24"/>
          <w:szCs w:val="24"/>
        </w:rPr>
        <w:t>, whose sole ocular uses in medicine are treating jaundice and allergic reactions like redness and wateriness</w:t>
      </w:r>
      <w:r>
        <w:rPr>
          <w:rStyle w:val="FootnoteReference"/>
          <w:rFonts w:ascii="Times New Roman" w:hAnsi="Times New Roman" w:cs="Times New Roman"/>
          <w:sz w:val="24"/>
          <w:szCs w:val="24"/>
        </w:rPr>
        <w:footnoteReference w:id="247"/>
      </w:r>
      <w:r>
        <w:rPr>
          <w:rFonts w:ascii="Times New Roman" w:hAnsi="Times New Roman" w:cs="Times New Roman"/>
          <w:sz w:val="24"/>
          <w:szCs w:val="24"/>
        </w:rPr>
        <w:t>.  Rather interestingly, the flower is found in remedies for “Mental torture” and “Worry, concealed from others</w:t>
      </w:r>
      <w:r>
        <w:rPr>
          <w:rStyle w:val="FootnoteReference"/>
          <w:rFonts w:ascii="Times New Roman" w:hAnsi="Times New Roman" w:cs="Times New Roman"/>
          <w:sz w:val="24"/>
          <w:szCs w:val="24"/>
        </w:rPr>
        <w:footnoteReference w:id="248"/>
      </w:r>
      <w:r>
        <w:rPr>
          <w:rFonts w:ascii="Times New Roman" w:hAnsi="Times New Roman" w:cs="Times New Roman"/>
          <w:sz w:val="24"/>
          <w:szCs w:val="24"/>
        </w:rPr>
        <w:t>,” harkening back to Dioscorides’ account and tending to confirm the theory of eye medicines helping patients to see what the prescriber wants them to see (i.e. to protect them from negative thoughts).</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lastRenderedPageBreak/>
        <w:t>Hellebore was also recommended for madness</w:t>
      </w:r>
      <w:r>
        <w:rPr>
          <w:rStyle w:val="FootnoteReference"/>
          <w:rFonts w:ascii="Times New Roman" w:hAnsi="Times New Roman" w:cs="Times New Roman"/>
          <w:sz w:val="24"/>
          <w:szCs w:val="24"/>
        </w:rPr>
        <w:footnoteReference w:id="249"/>
      </w:r>
      <w:r>
        <w:rPr>
          <w:rFonts w:ascii="Times New Roman" w:hAnsi="Times New Roman" w:cs="Times New Roman"/>
          <w:sz w:val="24"/>
          <w:szCs w:val="24"/>
        </w:rPr>
        <w:t>, with its white version also serving as a vision clarifier</w:t>
      </w:r>
      <w:r>
        <w:rPr>
          <w:rStyle w:val="FootnoteReference"/>
          <w:rFonts w:ascii="Times New Roman" w:hAnsi="Times New Roman" w:cs="Times New Roman"/>
          <w:sz w:val="24"/>
          <w:szCs w:val="24"/>
        </w:rPr>
        <w:footnoteReference w:id="250"/>
      </w:r>
      <w:r>
        <w:rPr>
          <w:rFonts w:ascii="Times New Roman" w:hAnsi="Times New Roman" w:cs="Times New Roman"/>
          <w:sz w:val="24"/>
          <w:szCs w:val="24"/>
        </w:rPr>
        <w:t>.  In addition to the visions it was said to cause during magic spells, the black version could supposedly render the magician invisible</w:t>
      </w:r>
      <w:r>
        <w:rPr>
          <w:rStyle w:val="FootnoteReference"/>
          <w:rFonts w:ascii="Times New Roman" w:hAnsi="Times New Roman" w:cs="Times New Roman"/>
          <w:sz w:val="24"/>
          <w:szCs w:val="24"/>
        </w:rPr>
        <w:footnoteReference w:id="251"/>
      </w:r>
      <w:r>
        <w:rPr>
          <w:rFonts w:ascii="Times New Roman" w:hAnsi="Times New Roman" w:cs="Times New Roman"/>
          <w:sz w:val="24"/>
          <w:szCs w:val="24"/>
        </w:rPr>
        <w:t>, thus again controlling what a targeted individual could and could not see.  Both hellebore’s juice and that of mandrake were recommended “in eye medicines,” with the latter being preferred by more doctors</w:t>
      </w:r>
      <w:r>
        <w:rPr>
          <w:rStyle w:val="FootnoteReference"/>
          <w:rFonts w:ascii="Times New Roman" w:hAnsi="Times New Roman" w:cs="Times New Roman"/>
          <w:sz w:val="24"/>
          <w:szCs w:val="24"/>
        </w:rPr>
        <w:footnoteReference w:id="252"/>
      </w:r>
      <w:r>
        <w:rPr>
          <w:rFonts w:ascii="Times New Roman" w:hAnsi="Times New Roman" w:cs="Times New Roman"/>
          <w:sz w:val="24"/>
          <w:szCs w:val="24"/>
        </w:rPr>
        <w:t>; the latter also was given to “the sick and depressed” and suicidal</w:t>
      </w:r>
      <w:r>
        <w:rPr>
          <w:rStyle w:val="FootnoteReference"/>
          <w:rFonts w:ascii="Times New Roman" w:hAnsi="Times New Roman" w:cs="Times New Roman"/>
          <w:sz w:val="24"/>
          <w:szCs w:val="24"/>
        </w:rPr>
        <w:footnoteReference w:id="253"/>
      </w:r>
      <w:r>
        <w:rPr>
          <w:rFonts w:ascii="Times New Roman" w:hAnsi="Times New Roman" w:cs="Times New Roman"/>
          <w:sz w:val="24"/>
          <w:szCs w:val="24"/>
        </w:rPr>
        <w:t xml:space="preserve"> to take away their dark thoughts.  And, as was mentioned previously, mandrake was so potent an aphrodisiac that a desired subject could be made to fall in love with the magician upon sight.</w:t>
      </w:r>
    </w:p>
    <w:p w:rsidR="00385CDE" w:rsidRDefault="00385CDE" w:rsidP="00385CDE">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Dioscorides</w:t>
      </w:r>
      <w:r>
        <w:rPr>
          <w:rStyle w:val="FootnoteReference"/>
          <w:rFonts w:ascii="Times New Roman" w:hAnsi="Times New Roman" w:cs="Times New Roman"/>
          <w:sz w:val="24"/>
          <w:szCs w:val="24"/>
        </w:rPr>
        <w:footnoteReference w:id="254"/>
      </w:r>
      <w:r>
        <w:rPr>
          <w:rFonts w:ascii="Times New Roman" w:hAnsi="Times New Roman" w:cs="Times New Roman"/>
          <w:sz w:val="24"/>
          <w:szCs w:val="24"/>
        </w:rPr>
        <w:t xml:space="preserve"> recommends juice from the </w:t>
      </w:r>
      <w:r>
        <w:rPr>
          <w:rFonts w:ascii="Times New Roman" w:hAnsi="Times New Roman" w:cs="Times New Roman"/>
          <w:i/>
          <w:sz w:val="24"/>
          <w:szCs w:val="24"/>
        </w:rPr>
        <w:t xml:space="preserve">Lotus </w:t>
      </w:r>
      <w:proofErr w:type="gramStart"/>
      <w:r>
        <w:rPr>
          <w:rFonts w:ascii="Times New Roman" w:hAnsi="Times New Roman" w:cs="Times New Roman"/>
          <w:i/>
          <w:sz w:val="24"/>
          <w:szCs w:val="24"/>
        </w:rPr>
        <w:t>urbana</w:t>
      </w:r>
      <w:proofErr w:type="gramEnd"/>
      <w:r>
        <w:rPr>
          <w:rFonts w:ascii="Times New Roman" w:hAnsi="Times New Roman" w:cs="Times New Roman"/>
          <w:sz w:val="24"/>
          <w:szCs w:val="24"/>
        </w:rPr>
        <w:t xml:space="preserve"> species of trefoil, which he says hails from “the most sacred of orchards,” with honey in a salve for resolving blurred vision.  He makes no connection to the flowering “lotus” which is found in the </w:t>
      </w:r>
      <w:r>
        <w:rPr>
          <w:rFonts w:ascii="Times New Roman" w:hAnsi="Times New Roman" w:cs="Times New Roman"/>
          <w:i/>
          <w:sz w:val="24"/>
          <w:szCs w:val="24"/>
        </w:rPr>
        <w:t>Odyssey</w:t>
      </w:r>
      <w:r>
        <w:rPr>
          <w:rFonts w:ascii="Times New Roman" w:hAnsi="Times New Roman" w:cs="Times New Roman"/>
          <w:sz w:val="24"/>
          <w:szCs w:val="24"/>
        </w:rPr>
        <w:t xml:space="preserve"> in Northern Africa</w:t>
      </w:r>
      <w:r>
        <w:rPr>
          <w:rStyle w:val="FootnoteReference"/>
          <w:rFonts w:ascii="Times New Roman" w:hAnsi="Times New Roman" w:cs="Times New Roman"/>
          <w:sz w:val="24"/>
          <w:szCs w:val="24"/>
        </w:rPr>
        <w:footnoteReference w:id="255"/>
      </w:r>
      <w:r>
        <w:rPr>
          <w:rFonts w:ascii="Times New Roman" w:hAnsi="Times New Roman" w:cs="Times New Roman"/>
          <w:sz w:val="24"/>
          <w:szCs w:val="24"/>
        </w:rPr>
        <w:t>, whose “honey-sweet fruit” caused forgetfulness and lethargy for sailors</w:t>
      </w:r>
      <w:r>
        <w:rPr>
          <w:rStyle w:val="FootnoteReference"/>
          <w:rFonts w:ascii="Times New Roman" w:hAnsi="Times New Roman" w:cs="Times New Roman"/>
          <w:sz w:val="24"/>
          <w:szCs w:val="24"/>
        </w:rPr>
        <w:footnoteReference w:id="256"/>
      </w:r>
      <w:r>
        <w:rPr>
          <w:rFonts w:ascii="Times New Roman" w:hAnsi="Times New Roman" w:cs="Times New Roman"/>
          <w:sz w:val="24"/>
          <w:szCs w:val="24"/>
        </w:rPr>
        <w:t>.  Neither do the reporters of trefoil’s magical uses, although curiously, the most relevant of those – wearing trefoil leaves over the heart to help a magician cope with a broken heart</w:t>
      </w:r>
      <w:r>
        <w:rPr>
          <w:rStyle w:val="FootnoteReference"/>
          <w:rFonts w:ascii="Times New Roman" w:hAnsi="Times New Roman" w:cs="Times New Roman"/>
          <w:sz w:val="24"/>
          <w:szCs w:val="24"/>
        </w:rPr>
        <w:footnoteReference w:id="257"/>
      </w:r>
      <w:r>
        <w:rPr>
          <w:rFonts w:ascii="Times New Roman" w:hAnsi="Times New Roman" w:cs="Times New Roman"/>
          <w:sz w:val="24"/>
          <w:szCs w:val="24"/>
        </w:rPr>
        <w:t xml:space="preserve"> – does involve the magician abandoning a pursuit and learning to forget an ex-lover and move on.  As for wormwood, </w:t>
      </w:r>
      <w:r>
        <w:rPr>
          <w:rFonts w:ascii="Times New Roman" w:hAnsi="Times New Roman" w:cs="Times New Roman"/>
          <w:i/>
          <w:sz w:val="24"/>
          <w:szCs w:val="24"/>
        </w:rPr>
        <w:t>A. vulgare</w:t>
      </w:r>
      <w:r>
        <w:rPr>
          <w:rFonts w:ascii="Times New Roman" w:hAnsi="Times New Roman" w:cs="Times New Roman"/>
          <w:sz w:val="24"/>
          <w:szCs w:val="24"/>
        </w:rPr>
        <w:t xml:space="preserve"> was believed to treat jaundice and other </w:t>
      </w:r>
      <w:r>
        <w:rPr>
          <w:rFonts w:ascii="Times New Roman" w:hAnsi="Times New Roman" w:cs="Times New Roman"/>
          <w:sz w:val="24"/>
          <w:szCs w:val="24"/>
        </w:rPr>
        <w:lastRenderedPageBreak/>
        <w:t>eye problems</w:t>
      </w:r>
      <w:r>
        <w:rPr>
          <w:rStyle w:val="FootnoteReference"/>
          <w:rFonts w:ascii="Times New Roman" w:hAnsi="Times New Roman" w:cs="Times New Roman"/>
          <w:sz w:val="24"/>
          <w:szCs w:val="24"/>
        </w:rPr>
        <w:footnoteReference w:id="258"/>
      </w:r>
      <w:r>
        <w:rPr>
          <w:rFonts w:ascii="Times New Roman" w:hAnsi="Times New Roman" w:cs="Times New Roman"/>
          <w:sz w:val="24"/>
          <w:szCs w:val="24"/>
        </w:rPr>
        <w:t>, and both the protective and the love-affecting magical properties have already been mentioned, with most of them again being compulsive.</w:t>
      </w:r>
    </w:p>
    <w:p w:rsidR="00385CDE" w:rsidRDefault="00385CDE" w:rsidP="00385CDE">
      <w:pPr>
        <w:pStyle w:val="ListParagraph"/>
        <w:numPr>
          <w:ilvl w:val="0"/>
          <w:numId w:val="15"/>
        </w:numPr>
        <w:spacing w:line="480" w:lineRule="auto"/>
        <w:rPr>
          <w:rFonts w:ascii="Times New Roman" w:hAnsi="Times New Roman" w:cs="Times New Roman"/>
          <w:b/>
          <w:sz w:val="24"/>
          <w:szCs w:val="24"/>
        </w:rPr>
      </w:pPr>
      <w:r>
        <w:rPr>
          <w:rFonts w:ascii="Times New Roman" w:hAnsi="Times New Roman" w:cs="Times New Roman"/>
          <w:b/>
          <w:sz w:val="24"/>
          <w:szCs w:val="24"/>
        </w:rPr>
        <w:t>Medical skin remedies, and magical protectors and spirit contactors.</w:t>
      </w:r>
    </w:p>
    <w:p w:rsidR="00385CDE" w:rsidRDefault="00385CDE" w:rsidP="00385CDE">
      <w:pPr>
        <w:spacing w:line="480" w:lineRule="auto"/>
        <w:ind w:left="1080" w:firstLine="720"/>
        <w:rPr>
          <w:rFonts w:ascii="Times New Roman" w:hAnsi="Times New Roman" w:cs="Times New Roman"/>
          <w:sz w:val="24"/>
          <w:szCs w:val="24"/>
        </w:rPr>
      </w:pPr>
      <w:r>
        <w:rPr>
          <w:rFonts w:ascii="Times New Roman" w:hAnsi="Times New Roman" w:cs="Times New Roman"/>
          <w:sz w:val="24"/>
          <w:szCs w:val="24"/>
        </w:rPr>
        <w:t xml:space="preserve">To make matters simpler, since five of the protective herbs of use in eye treatments – Datura, hellebore, mandrake, trefoil, and wormwood – also appear in skin treatments, proof of this connection will be limited to those herbs which appear in spells for summoning spirits, daemons, and deities, but not in spells for romantic use and not of an anti-depressant nature, so as to better establish the difference between this link and the last.  Suffice it to say that the practitioner’s rationale, given the trio of connected properties, was likely one of employing these herbs on the skin directly either </w:t>
      </w:r>
      <w:r>
        <w:rPr>
          <w:rFonts w:ascii="Times New Roman" w:hAnsi="Times New Roman" w:cs="Times New Roman"/>
          <w:i/>
          <w:sz w:val="24"/>
          <w:szCs w:val="24"/>
        </w:rPr>
        <w:t>to provide oneself with a metaphorical Aegis and thus become immune to illness and hexes, or to penetrate another magician’s Aegis with help from invoked gods,</w:t>
      </w:r>
      <w:r>
        <w:rPr>
          <w:rFonts w:ascii="Times New Roman" w:hAnsi="Times New Roman" w:cs="Times New Roman"/>
          <w:sz w:val="24"/>
          <w:szCs w:val="24"/>
        </w:rPr>
        <w:t xml:space="preserve"> since they alone could triumph over mortals’ magic.</w:t>
      </w:r>
    </w:p>
    <w:p w:rsidR="00385CDE" w:rsidRDefault="00385CDE" w:rsidP="00385CDE">
      <w:pPr>
        <w:spacing w:line="480" w:lineRule="auto"/>
        <w:ind w:left="1080" w:firstLine="720"/>
        <w:rPr>
          <w:rFonts w:ascii="Times New Roman" w:hAnsi="Times New Roman" w:cs="Times New Roman"/>
          <w:sz w:val="24"/>
          <w:szCs w:val="24"/>
        </w:rPr>
      </w:pPr>
      <w:r>
        <w:rPr>
          <w:rFonts w:ascii="Times New Roman" w:hAnsi="Times New Roman" w:cs="Times New Roman"/>
          <w:sz w:val="24"/>
          <w:szCs w:val="24"/>
        </w:rPr>
        <w:t>Pliny</w:t>
      </w:r>
      <w:r>
        <w:rPr>
          <w:rStyle w:val="FootnoteReference"/>
          <w:rFonts w:ascii="Times New Roman" w:hAnsi="Times New Roman" w:cs="Times New Roman"/>
          <w:sz w:val="24"/>
          <w:szCs w:val="24"/>
        </w:rPr>
        <w:footnoteReference w:id="259"/>
      </w:r>
      <w:r>
        <w:rPr>
          <w:rFonts w:ascii="Times New Roman" w:hAnsi="Times New Roman" w:cs="Times New Roman"/>
          <w:sz w:val="24"/>
          <w:szCs w:val="24"/>
        </w:rPr>
        <w:t xml:space="preserve"> lists a variety of “external applications” for mint, ranging from nursing sprains to resolving rashes and headaches, for the lattermost of which Cunningham</w:t>
      </w:r>
      <w:r>
        <w:rPr>
          <w:rStyle w:val="FootnoteReference"/>
          <w:rFonts w:ascii="Times New Roman" w:hAnsi="Times New Roman" w:cs="Times New Roman"/>
          <w:sz w:val="24"/>
          <w:szCs w:val="24"/>
        </w:rPr>
        <w:footnoteReference w:id="260"/>
      </w:r>
      <w:r>
        <w:rPr>
          <w:rFonts w:ascii="Times New Roman" w:hAnsi="Times New Roman" w:cs="Times New Roman"/>
          <w:sz w:val="24"/>
          <w:szCs w:val="24"/>
        </w:rPr>
        <w:t xml:space="preserve"> recommends “fresh leaves rubbed against the [fore</w:t>
      </w:r>
      <w:proofErr w:type="gramStart"/>
      <w:r>
        <w:rPr>
          <w:rFonts w:ascii="Times New Roman" w:hAnsi="Times New Roman" w:cs="Times New Roman"/>
          <w:sz w:val="24"/>
          <w:szCs w:val="24"/>
        </w:rPr>
        <w:t>]head</w:t>
      </w:r>
      <w:proofErr w:type="gramEnd"/>
      <w:r>
        <w:rPr>
          <w:rFonts w:ascii="Times New Roman" w:hAnsi="Times New Roman" w:cs="Times New Roman"/>
          <w:sz w:val="24"/>
          <w:szCs w:val="24"/>
        </w:rPr>
        <w:t>.”  Along the same lines of skin absorbing mint oil by contact, Dioscorides</w:t>
      </w:r>
      <w:r>
        <w:rPr>
          <w:rStyle w:val="FootnoteReference"/>
          <w:rFonts w:ascii="Times New Roman" w:hAnsi="Times New Roman" w:cs="Times New Roman"/>
          <w:sz w:val="24"/>
          <w:szCs w:val="24"/>
        </w:rPr>
        <w:footnoteReference w:id="261"/>
      </w:r>
      <w:r>
        <w:rPr>
          <w:rFonts w:ascii="Times New Roman" w:hAnsi="Times New Roman" w:cs="Times New Roman"/>
          <w:sz w:val="24"/>
          <w:szCs w:val="24"/>
        </w:rPr>
        <w:t xml:space="preserve"> held that a sort of plaster made from the roots and polenta could relax “swollen, hardened nipples due to excess milk,” and that the salted juice could clean dog-bites.  Moura</w:t>
      </w:r>
      <w:r>
        <w:rPr>
          <w:rStyle w:val="FootnoteReference"/>
          <w:rFonts w:ascii="Times New Roman" w:hAnsi="Times New Roman" w:cs="Times New Roman"/>
          <w:sz w:val="24"/>
          <w:szCs w:val="24"/>
        </w:rPr>
        <w:footnoteReference w:id="262"/>
      </w:r>
      <w:r>
        <w:rPr>
          <w:rFonts w:ascii="Times New Roman" w:hAnsi="Times New Roman" w:cs="Times New Roman"/>
          <w:sz w:val="24"/>
          <w:szCs w:val="24"/>
        </w:rPr>
        <w:t xml:space="preserve"> claims that </w:t>
      </w:r>
      <w:r>
        <w:rPr>
          <w:rFonts w:ascii="Times New Roman" w:hAnsi="Times New Roman" w:cs="Times New Roman"/>
          <w:sz w:val="24"/>
          <w:szCs w:val="24"/>
        </w:rPr>
        <w:lastRenderedPageBreak/>
        <w:t>mint was a commonplace “offering to helpful spirits,” while Yronwode</w:t>
      </w:r>
      <w:r>
        <w:rPr>
          <w:rStyle w:val="FootnoteReference"/>
          <w:rFonts w:ascii="Times New Roman" w:hAnsi="Times New Roman" w:cs="Times New Roman"/>
          <w:sz w:val="24"/>
          <w:szCs w:val="24"/>
        </w:rPr>
        <w:footnoteReference w:id="263"/>
      </w:r>
      <w:r>
        <w:rPr>
          <w:rFonts w:ascii="Times New Roman" w:hAnsi="Times New Roman" w:cs="Times New Roman"/>
          <w:sz w:val="24"/>
          <w:szCs w:val="24"/>
        </w:rPr>
        <w:t xml:space="preserve"> thinks it was better for repelling spirits than for attracting them.  Moura’s source material </w:t>
      </w:r>
      <w:r w:rsidR="007E25C1">
        <w:rPr>
          <w:rFonts w:ascii="Times New Roman" w:hAnsi="Times New Roman" w:cs="Times New Roman"/>
          <w:sz w:val="24"/>
          <w:szCs w:val="24"/>
        </w:rPr>
        <w:t xml:space="preserve">is </w:t>
      </w:r>
      <w:r>
        <w:rPr>
          <w:rFonts w:ascii="Times New Roman" w:hAnsi="Times New Roman" w:cs="Times New Roman"/>
          <w:sz w:val="24"/>
          <w:szCs w:val="24"/>
        </w:rPr>
        <w:t>more European in nature, and many do consider the smell of mint to be pleasant, so perhaps her claim holds more merit.  On the other hand, Ovid</w:t>
      </w:r>
      <w:r>
        <w:rPr>
          <w:rStyle w:val="FootnoteReference"/>
          <w:rFonts w:ascii="Times New Roman" w:hAnsi="Times New Roman" w:cs="Times New Roman"/>
          <w:sz w:val="24"/>
          <w:szCs w:val="24"/>
        </w:rPr>
        <w:footnoteReference w:id="264"/>
      </w:r>
      <w:r>
        <w:rPr>
          <w:rFonts w:ascii="Times New Roman" w:hAnsi="Times New Roman" w:cs="Times New Roman"/>
          <w:sz w:val="24"/>
          <w:szCs w:val="24"/>
        </w:rPr>
        <w:t xml:space="preserve"> uses “olentes […] mentas” to describe the herb, with “olens” frequently translated as “fragrant; stinking, [or] musty” (cf. ‘Olens, -entis’ in the Collins Gem Latin Dictionary</w:t>
      </w:r>
      <w:r>
        <w:rPr>
          <w:rStyle w:val="FootnoteReference"/>
          <w:rFonts w:ascii="Times New Roman" w:hAnsi="Times New Roman" w:cs="Times New Roman"/>
          <w:sz w:val="24"/>
          <w:szCs w:val="24"/>
        </w:rPr>
        <w:footnoteReference w:id="265"/>
      </w:r>
      <w:r w:rsidR="000D6381">
        <w:rPr>
          <w:rFonts w:ascii="Times New Roman" w:hAnsi="Times New Roman" w:cs="Times New Roman"/>
          <w:sz w:val="24"/>
          <w:szCs w:val="24"/>
        </w:rPr>
        <w:t>, and ‘Olens, -</w:t>
      </w:r>
      <w:r>
        <w:rPr>
          <w:rFonts w:ascii="Times New Roman" w:hAnsi="Times New Roman" w:cs="Times New Roman"/>
          <w:sz w:val="24"/>
          <w:szCs w:val="24"/>
        </w:rPr>
        <w:t>ntis’ in the Oxford Latin Desk Dictionary</w:t>
      </w:r>
      <w:r>
        <w:rPr>
          <w:rStyle w:val="FootnoteReference"/>
          <w:rFonts w:ascii="Times New Roman" w:hAnsi="Times New Roman" w:cs="Times New Roman"/>
          <w:sz w:val="24"/>
          <w:szCs w:val="24"/>
        </w:rPr>
        <w:footnoteReference w:id="266"/>
      </w:r>
      <w:r>
        <w:rPr>
          <w:rFonts w:ascii="Times New Roman" w:hAnsi="Times New Roman" w:cs="Times New Roman"/>
          <w:sz w:val="24"/>
          <w:szCs w:val="24"/>
        </w:rPr>
        <w:t>), which would seem to be a point in Yronwode’s favor – unless the spirits Moura means are from the Underworld, and then textual evidence would support to them responding better to foul-smelling herbs, whereas pleasant-smelling herbs were more often used to attract entities on the magician’s plane of existence or higher.</w:t>
      </w:r>
    </w:p>
    <w:p w:rsidR="00385CDE" w:rsidRDefault="00385CDE" w:rsidP="00385CDE">
      <w:pPr>
        <w:spacing w:line="480" w:lineRule="auto"/>
        <w:ind w:left="1080" w:firstLine="720"/>
        <w:rPr>
          <w:rFonts w:ascii="Times New Roman" w:hAnsi="Times New Roman" w:cs="Times New Roman"/>
          <w:sz w:val="24"/>
          <w:szCs w:val="24"/>
        </w:rPr>
      </w:pPr>
      <w:r>
        <w:rPr>
          <w:rFonts w:ascii="Times New Roman" w:hAnsi="Times New Roman" w:cs="Times New Roman"/>
          <w:sz w:val="24"/>
          <w:szCs w:val="24"/>
        </w:rPr>
        <w:t>Cunningham</w:t>
      </w:r>
      <w:r>
        <w:rPr>
          <w:rStyle w:val="FootnoteReference"/>
          <w:rFonts w:ascii="Times New Roman" w:hAnsi="Times New Roman" w:cs="Times New Roman"/>
          <w:sz w:val="24"/>
          <w:szCs w:val="24"/>
        </w:rPr>
        <w:footnoteReference w:id="267"/>
      </w:r>
      <w:r>
        <w:rPr>
          <w:rFonts w:ascii="Times New Roman" w:hAnsi="Times New Roman" w:cs="Times New Roman"/>
          <w:sz w:val="24"/>
          <w:szCs w:val="24"/>
        </w:rPr>
        <w:t xml:space="preserve"> says that mint’s cousin pennyroyal </w:t>
      </w:r>
      <w:r w:rsidRPr="00C52418">
        <w:rPr>
          <w:rFonts w:ascii="Times New Roman" w:hAnsi="Times New Roman" w:cs="Times New Roman"/>
          <w:i/>
          <w:sz w:val="24"/>
          <w:szCs w:val="24"/>
        </w:rPr>
        <w:t>(Mentha pulegium)</w:t>
      </w:r>
      <w:r>
        <w:rPr>
          <w:rFonts w:ascii="Times New Roman" w:hAnsi="Times New Roman" w:cs="Times New Roman"/>
          <w:sz w:val="24"/>
          <w:szCs w:val="24"/>
        </w:rPr>
        <w:t xml:space="preserve"> “serves some of the same purposes as mint and in the same way,” both magically and medically, though Pliny</w:t>
      </w:r>
      <w:r>
        <w:rPr>
          <w:rStyle w:val="FootnoteReference"/>
          <w:rFonts w:ascii="Times New Roman" w:hAnsi="Times New Roman" w:cs="Times New Roman"/>
          <w:sz w:val="24"/>
          <w:szCs w:val="24"/>
        </w:rPr>
        <w:footnoteReference w:id="268"/>
      </w:r>
      <w:r>
        <w:rPr>
          <w:rFonts w:ascii="Times New Roman" w:hAnsi="Times New Roman" w:cs="Times New Roman"/>
          <w:sz w:val="24"/>
          <w:szCs w:val="24"/>
        </w:rPr>
        <w:t xml:space="preserve"> seems to think the smell is the most useful part.  Most of the cures involving the smell he names are for various ailments of the head, though Dioscorides</w:t>
      </w:r>
      <w:r>
        <w:rPr>
          <w:rStyle w:val="FootnoteReference"/>
          <w:rFonts w:ascii="Times New Roman" w:hAnsi="Times New Roman" w:cs="Times New Roman"/>
          <w:sz w:val="24"/>
          <w:szCs w:val="24"/>
        </w:rPr>
        <w:footnoteReference w:id="269"/>
      </w:r>
      <w:r>
        <w:rPr>
          <w:rFonts w:ascii="Times New Roman" w:hAnsi="Times New Roman" w:cs="Times New Roman"/>
          <w:sz w:val="24"/>
          <w:szCs w:val="24"/>
        </w:rPr>
        <w:t xml:space="preserve"> mixes some tangible part (ground roots, maybe?) with ash for gum treatments, with polenta for inflammation and gout, and with an assortment of other materials, each with its own dermal purpose.  Both authors note the power which the herb’s smell has over the soul, inasmuch as it restores consciousness to people who </w:t>
      </w:r>
      <w:r>
        <w:rPr>
          <w:rFonts w:ascii="Times New Roman" w:hAnsi="Times New Roman" w:cs="Times New Roman"/>
          <w:sz w:val="24"/>
          <w:szCs w:val="24"/>
        </w:rPr>
        <w:lastRenderedPageBreak/>
        <w:t>have fainted or are near death</w:t>
      </w:r>
      <w:r>
        <w:rPr>
          <w:rStyle w:val="FootnoteReference"/>
          <w:rFonts w:ascii="Times New Roman" w:hAnsi="Times New Roman" w:cs="Times New Roman"/>
          <w:sz w:val="24"/>
          <w:szCs w:val="24"/>
        </w:rPr>
        <w:footnoteReference w:id="270"/>
      </w:r>
      <w:r>
        <w:rPr>
          <w:rFonts w:ascii="Times New Roman" w:hAnsi="Times New Roman" w:cs="Times New Roman"/>
          <w:sz w:val="24"/>
          <w:szCs w:val="24"/>
        </w:rPr>
        <w:t>, and Yronwode</w:t>
      </w:r>
      <w:r>
        <w:rPr>
          <w:rStyle w:val="FootnoteReference"/>
          <w:rFonts w:ascii="Times New Roman" w:hAnsi="Times New Roman" w:cs="Times New Roman"/>
          <w:sz w:val="24"/>
          <w:szCs w:val="24"/>
        </w:rPr>
        <w:footnoteReference w:id="271"/>
      </w:r>
      <w:r>
        <w:rPr>
          <w:rFonts w:ascii="Times New Roman" w:hAnsi="Times New Roman" w:cs="Times New Roman"/>
          <w:sz w:val="24"/>
          <w:szCs w:val="24"/>
        </w:rPr>
        <w:t xml:space="preserve"> finds that the oil and leaves have restorative purposes even in modern witchcraft.  Moura adds that the herb is found in protection spells, as well, though she suggests that the toxicity of its oil meant magicians would have needed protection just to handle pennyroyal in the first place</w:t>
      </w:r>
      <w:r>
        <w:rPr>
          <w:rStyle w:val="FootnoteReference"/>
          <w:rFonts w:ascii="Times New Roman" w:hAnsi="Times New Roman" w:cs="Times New Roman"/>
          <w:sz w:val="24"/>
          <w:szCs w:val="24"/>
        </w:rPr>
        <w:footnoteReference w:id="272"/>
      </w:r>
      <w:r>
        <w:rPr>
          <w:rFonts w:ascii="Times New Roman" w:hAnsi="Times New Roman" w:cs="Times New Roman"/>
          <w:sz w:val="24"/>
          <w:szCs w:val="24"/>
        </w:rPr>
        <w:t>.  She prefers the vastly less poisonous blackthorn (</w:t>
      </w:r>
      <w:r>
        <w:rPr>
          <w:rFonts w:ascii="Times New Roman" w:hAnsi="Times New Roman" w:cs="Times New Roman"/>
          <w:i/>
          <w:sz w:val="24"/>
          <w:szCs w:val="24"/>
        </w:rPr>
        <w:t>Prunus spinosa,</w:t>
      </w:r>
      <w:r>
        <w:rPr>
          <w:rFonts w:ascii="Times New Roman" w:hAnsi="Times New Roman" w:cs="Times New Roman"/>
          <w:sz w:val="24"/>
          <w:szCs w:val="24"/>
        </w:rPr>
        <w:t xml:space="preserve"> or sloe) for the same magical uses as pennyroyal, plus for its connections to Hecate and other Underworld figures, with whom the herb can help the magician communicate.  Cunningham</w:t>
      </w:r>
      <w:r>
        <w:rPr>
          <w:rStyle w:val="FootnoteReference"/>
          <w:rFonts w:ascii="Times New Roman" w:hAnsi="Times New Roman" w:cs="Times New Roman"/>
          <w:sz w:val="24"/>
          <w:szCs w:val="24"/>
        </w:rPr>
        <w:footnoteReference w:id="273"/>
      </w:r>
      <w:r>
        <w:rPr>
          <w:rFonts w:ascii="Times New Roman" w:hAnsi="Times New Roman" w:cs="Times New Roman"/>
          <w:sz w:val="24"/>
          <w:szCs w:val="24"/>
        </w:rPr>
        <w:t xml:space="preserve"> corroborates her ascription of blackthorn to magical protection against malicious daemons, and goes on to give the herb’s wood the ability to direct magic forces as the magician commands, when wands hewn from it are used as “divining rods and wishing rods.”</w:t>
      </w:r>
    </w:p>
    <w:p w:rsidR="00385CDE" w:rsidRDefault="00385CDE" w:rsidP="00385CDE">
      <w:pPr>
        <w:spacing w:line="480" w:lineRule="auto"/>
        <w:ind w:left="1080" w:firstLine="720"/>
        <w:rPr>
          <w:rFonts w:ascii="Times New Roman" w:hAnsi="Times New Roman" w:cs="Times New Roman"/>
          <w:sz w:val="24"/>
          <w:szCs w:val="24"/>
        </w:rPr>
      </w:pPr>
      <w:r>
        <w:rPr>
          <w:rFonts w:ascii="Times New Roman" w:hAnsi="Times New Roman" w:cs="Times New Roman"/>
          <w:sz w:val="24"/>
          <w:szCs w:val="24"/>
        </w:rPr>
        <w:t>An entry in the Hippocratic Corpus</w:t>
      </w:r>
      <w:r>
        <w:rPr>
          <w:rStyle w:val="FootnoteReference"/>
          <w:rFonts w:ascii="Times New Roman" w:hAnsi="Times New Roman" w:cs="Times New Roman"/>
          <w:sz w:val="24"/>
          <w:szCs w:val="24"/>
        </w:rPr>
        <w:footnoteReference w:id="274"/>
      </w:r>
      <w:r>
        <w:rPr>
          <w:rFonts w:ascii="Times New Roman" w:hAnsi="Times New Roman" w:cs="Times New Roman"/>
          <w:sz w:val="24"/>
          <w:szCs w:val="24"/>
        </w:rPr>
        <w:t xml:space="preserve"> for oregano lists the herb as being useful for treating </w:t>
      </w:r>
      <w:r w:rsidRPr="00686CAF">
        <w:rPr>
          <w:rFonts w:ascii="Times New Roman" w:hAnsi="Times New Roman" w:cs="Times New Roman"/>
          <w:sz w:val="24"/>
          <w:szCs w:val="24"/>
        </w:rPr>
        <w:t>“</w:t>
      </w:r>
      <w:r w:rsidRPr="00686CAF">
        <w:rPr>
          <w:rFonts w:ascii="Times New Roman" w:hAnsi="Times New Roman" w:cs="Times New Roman"/>
          <w:sz w:val="24"/>
          <w:szCs w:val="24"/>
          <w:lang w:val="el-GR"/>
        </w:rPr>
        <w:t>φῦμα</w:t>
      </w:r>
      <w:r w:rsidRPr="00686CAF">
        <w:rPr>
          <w:rFonts w:ascii="Times New Roman" w:hAnsi="Times New Roman" w:cs="Times New Roman"/>
          <w:sz w:val="24"/>
          <w:szCs w:val="24"/>
        </w:rPr>
        <w:t>”</w:t>
      </w:r>
      <w:r>
        <w:rPr>
          <w:rFonts w:ascii="Times New Roman" w:hAnsi="Times New Roman" w:cs="Times New Roman"/>
          <w:sz w:val="24"/>
          <w:szCs w:val="24"/>
        </w:rPr>
        <w:t xml:space="preserve"> (tumors / ulcers) and </w:t>
      </w:r>
      <w:r w:rsidRPr="00686CAF">
        <w:rPr>
          <w:rFonts w:ascii="Times New Roman" w:hAnsi="Times New Roman" w:cs="Times New Roman"/>
          <w:sz w:val="24"/>
          <w:szCs w:val="24"/>
        </w:rPr>
        <w:t>“</w:t>
      </w:r>
      <w:r w:rsidRPr="00686CAF">
        <w:rPr>
          <w:rFonts w:ascii="Times New Roman" w:hAnsi="Times New Roman" w:cs="Times New Roman"/>
          <w:sz w:val="24"/>
          <w:szCs w:val="24"/>
          <w:lang w:val="el-GR"/>
        </w:rPr>
        <w:t>ὀίδημα</w:t>
      </w:r>
      <w:r w:rsidRPr="00686CAF">
        <w:rPr>
          <w:rFonts w:ascii="Times New Roman" w:hAnsi="Times New Roman" w:cs="Times New Roman"/>
          <w:sz w:val="24"/>
          <w:szCs w:val="24"/>
        </w:rPr>
        <w:t>”</w:t>
      </w:r>
      <w:r>
        <w:rPr>
          <w:rFonts w:ascii="Times New Roman" w:hAnsi="Times New Roman" w:cs="Times New Roman"/>
          <w:sz w:val="24"/>
          <w:szCs w:val="24"/>
        </w:rPr>
        <w:t xml:space="preserve"> (swelling / edema); Dioscorides</w:t>
      </w:r>
      <w:r>
        <w:rPr>
          <w:rStyle w:val="FootnoteReference"/>
          <w:rFonts w:ascii="Times New Roman" w:hAnsi="Times New Roman" w:cs="Times New Roman"/>
          <w:sz w:val="24"/>
          <w:szCs w:val="24"/>
        </w:rPr>
        <w:footnoteReference w:id="275"/>
      </w:r>
      <w:r>
        <w:rPr>
          <w:rFonts w:ascii="Times New Roman" w:hAnsi="Times New Roman" w:cs="Times New Roman"/>
          <w:sz w:val="24"/>
          <w:szCs w:val="24"/>
        </w:rPr>
        <w:t xml:space="preserve"> says that juice from the stem is the useful herb part for this, while water in which the leaves or roots have been boiled “resolves itchiness, mange, and jaundice.”  Yronwode’s remarks on the protective nature of </w:t>
      </w:r>
      <w:r>
        <w:rPr>
          <w:rFonts w:ascii="Times New Roman" w:hAnsi="Times New Roman" w:cs="Times New Roman"/>
          <w:i/>
          <w:sz w:val="24"/>
          <w:szCs w:val="24"/>
        </w:rPr>
        <w:t>Origanum vulgare</w:t>
      </w:r>
      <w:r>
        <w:rPr>
          <w:rStyle w:val="FootnoteReference"/>
          <w:rFonts w:ascii="Times New Roman" w:hAnsi="Times New Roman" w:cs="Times New Roman"/>
          <w:i/>
          <w:sz w:val="24"/>
          <w:szCs w:val="24"/>
        </w:rPr>
        <w:footnoteReference w:id="276"/>
      </w:r>
      <w:r>
        <w:rPr>
          <w:rFonts w:ascii="Times New Roman" w:hAnsi="Times New Roman" w:cs="Times New Roman"/>
          <w:sz w:val="24"/>
          <w:szCs w:val="24"/>
        </w:rPr>
        <w:t xml:space="preserve"> have already been discussed, but her note</w:t>
      </w:r>
      <w:r>
        <w:rPr>
          <w:rStyle w:val="FootnoteReference"/>
          <w:rFonts w:ascii="Times New Roman" w:hAnsi="Times New Roman" w:cs="Times New Roman"/>
          <w:sz w:val="24"/>
          <w:szCs w:val="24"/>
        </w:rPr>
        <w:footnoteReference w:id="277"/>
      </w:r>
      <w:r>
        <w:rPr>
          <w:rFonts w:ascii="Times New Roman" w:hAnsi="Times New Roman" w:cs="Times New Roman"/>
          <w:sz w:val="24"/>
          <w:szCs w:val="24"/>
        </w:rPr>
        <w:t xml:space="preserve"> that botanically, “oregano is related to marjoram and dittany of Crete,” opens up more doors to investigation.  She gives </w:t>
      </w:r>
      <w:r>
        <w:rPr>
          <w:rFonts w:ascii="Times New Roman" w:hAnsi="Times New Roman" w:cs="Times New Roman"/>
          <w:sz w:val="24"/>
          <w:szCs w:val="24"/>
        </w:rPr>
        <w:lastRenderedPageBreak/>
        <w:t xml:space="preserve">marjoram </w:t>
      </w:r>
      <w:r>
        <w:rPr>
          <w:rFonts w:ascii="Times New Roman" w:hAnsi="Times New Roman" w:cs="Times New Roman"/>
          <w:i/>
          <w:sz w:val="24"/>
          <w:szCs w:val="24"/>
        </w:rPr>
        <w:t>(O. marjorana)</w:t>
      </w:r>
      <w:r>
        <w:rPr>
          <w:rFonts w:ascii="Times New Roman" w:hAnsi="Times New Roman" w:cs="Times New Roman"/>
          <w:sz w:val="24"/>
          <w:szCs w:val="24"/>
        </w:rPr>
        <w:t xml:space="preserve"> lucky, mind-easing, and protective properties</w:t>
      </w:r>
      <w:r>
        <w:rPr>
          <w:rStyle w:val="FootnoteReference"/>
          <w:rFonts w:ascii="Times New Roman" w:hAnsi="Times New Roman" w:cs="Times New Roman"/>
          <w:sz w:val="24"/>
          <w:szCs w:val="24"/>
        </w:rPr>
        <w:footnoteReference w:id="278"/>
      </w:r>
      <w:r>
        <w:rPr>
          <w:rFonts w:ascii="Times New Roman" w:hAnsi="Times New Roman" w:cs="Times New Roman"/>
          <w:sz w:val="24"/>
          <w:szCs w:val="24"/>
        </w:rPr>
        <w:t xml:space="preserve">, and dittany </w:t>
      </w:r>
      <w:r>
        <w:rPr>
          <w:rFonts w:ascii="Times New Roman" w:hAnsi="Times New Roman" w:cs="Times New Roman"/>
          <w:i/>
          <w:sz w:val="24"/>
          <w:szCs w:val="24"/>
        </w:rPr>
        <w:t>(O. dictamnus)</w:t>
      </w:r>
      <w:r>
        <w:rPr>
          <w:rFonts w:ascii="Times New Roman" w:hAnsi="Times New Roman" w:cs="Times New Roman"/>
          <w:sz w:val="24"/>
          <w:szCs w:val="24"/>
        </w:rPr>
        <w:t xml:space="preserve"> aphrodisiac and divining properties</w:t>
      </w:r>
      <w:r>
        <w:rPr>
          <w:rStyle w:val="FootnoteReference"/>
          <w:rFonts w:ascii="Times New Roman" w:hAnsi="Times New Roman" w:cs="Times New Roman"/>
          <w:sz w:val="24"/>
          <w:szCs w:val="24"/>
        </w:rPr>
        <w:footnoteReference w:id="279"/>
      </w:r>
      <w:r>
        <w:rPr>
          <w:rFonts w:ascii="Times New Roman" w:hAnsi="Times New Roman" w:cs="Times New Roman"/>
          <w:sz w:val="24"/>
          <w:szCs w:val="24"/>
        </w:rPr>
        <w:t xml:space="preserve"> – the former telling malicious spirits to stay away, and the latter urging omniscient ones to reveal a destined mate, much like the sort of mirror magic done in more modern times.  A perfect example may be found in Chapter 2 of A. Christie’s </w:t>
      </w:r>
      <w:r>
        <w:rPr>
          <w:rFonts w:ascii="Times New Roman" w:hAnsi="Times New Roman" w:cs="Times New Roman"/>
          <w:i/>
          <w:sz w:val="24"/>
          <w:szCs w:val="24"/>
        </w:rPr>
        <w:t>Hallowe’en Party</w:t>
      </w:r>
      <w:r>
        <w:rPr>
          <w:rStyle w:val="FootnoteReference"/>
          <w:rFonts w:ascii="Times New Roman" w:hAnsi="Times New Roman" w:cs="Times New Roman"/>
          <w:i/>
          <w:sz w:val="24"/>
          <w:szCs w:val="24"/>
        </w:rPr>
        <w:footnoteReference w:id="280"/>
      </w:r>
      <w:r>
        <w:rPr>
          <w:rFonts w:ascii="Times New Roman" w:hAnsi="Times New Roman" w:cs="Times New Roman"/>
          <w:sz w:val="24"/>
          <w:szCs w:val="24"/>
        </w:rPr>
        <w:t>.  The witchcraft involves an incantation and is presented as a popular girls’ game, played with the same gusto as is done with a Ouija board or other “divine answer” tool.  Christie’s “spellwork,” described in detail, is explained away as a parlor trick, but the origin is apparently of actual ancient magic, if Yronwode’s sources are truly as “authentic and traditional” as she claims</w:t>
      </w:r>
      <w:r>
        <w:rPr>
          <w:rStyle w:val="FootnoteReference"/>
          <w:rFonts w:ascii="Times New Roman" w:hAnsi="Times New Roman" w:cs="Times New Roman"/>
          <w:sz w:val="24"/>
          <w:szCs w:val="24"/>
        </w:rPr>
        <w:footnoteReference w:id="281"/>
      </w:r>
      <w:r>
        <w:rPr>
          <w:rFonts w:ascii="Times New Roman" w:hAnsi="Times New Roman" w:cs="Times New Roman"/>
          <w:sz w:val="24"/>
          <w:szCs w:val="24"/>
        </w:rPr>
        <w:t>.</w:t>
      </w:r>
    </w:p>
    <w:p w:rsidR="00385CDE" w:rsidRDefault="00385CDE" w:rsidP="00385CDE">
      <w:pPr>
        <w:spacing w:line="480" w:lineRule="auto"/>
        <w:ind w:left="1080" w:firstLine="720"/>
        <w:rPr>
          <w:rFonts w:ascii="Times New Roman" w:hAnsi="Times New Roman" w:cs="Times New Roman"/>
          <w:sz w:val="24"/>
          <w:szCs w:val="24"/>
        </w:rPr>
      </w:pPr>
      <w:r>
        <w:rPr>
          <w:rFonts w:ascii="Times New Roman" w:hAnsi="Times New Roman" w:cs="Times New Roman"/>
          <w:sz w:val="24"/>
          <w:szCs w:val="24"/>
        </w:rPr>
        <w:t>By contrast, poppy’s foremost skin treatment is as a cure for leprosy, with the seeds of the white-calyx variety being the useful herb part</w:t>
      </w:r>
      <w:r>
        <w:rPr>
          <w:rStyle w:val="FootnoteReference"/>
          <w:rFonts w:ascii="Times New Roman" w:hAnsi="Times New Roman" w:cs="Times New Roman"/>
          <w:sz w:val="24"/>
          <w:szCs w:val="24"/>
        </w:rPr>
        <w:footnoteReference w:id="282"/>
      </w:r>
      <w:r>
        <w:rPr>
          <w:rFonts w:ascii="Times New Roman" w:hAnsi="Times New Roman" w:cs="Times New Roman"/>
          <w:sz w:val="24"/>
          <w:szCs w:val="24"/>
        </w:rPr>
        <w:t>, and its main self-protective use is far less innocent: instead of simply radiating an aura of immunity to or deflection of spells sent by another magician, as the other three herbs do, poppy is used to target and disable the person causing the magician unease.  The seeds and oil are used to confuse victims during candle magic</w:t>
      </w:r>
      <w:r>
        <w:rPr>
          <w:rStyle w:val="FootnoteReference"/>
          <w:rFonts w:ascii="Times New Roman" w:hAnsi="Times New Roman" w:cs="Times New Roman"/>
          <w:sz w:val="24"/>
          <w:szCs w:val="24"/>
        </w:rPr>
        <w:footnoteReference w:id="283"/>
      </w:r>
      <w:r>
        <w:rPr>
          <w:rFonts w:ascii="Times New Roman" w:hAnsi="Times New Roman" w:cs="Times New Roman"/>
          <w:sz w:val="24"/>
          <w:szCs w:val="24"/>
        </w:rPr>
        <w:t>, and one drachm of opium in milk consumed by an unsuspecting victim would put that person into a cataleptic state</w:t>
      </w:r>
      <w:r>
        <w:rPr>
          <w:rStyle w:val="FootnoteReference"/>
          <w:rFonts w:ascii="Times New Roman" w:hAnsi="Times New Roman" w:cs="Times New Roman"/>
          <w:sz w:val="24"/>
          <w:szCs w:val="24"/>
        </w:rPr>
        <w:footnoteReference w:id="284"/>
      </w:r>
      <w:r>
        <w:rPr>
          <w:rFonts w:ascii="Times New Roman" w:hAnsi="Times New Roman" w:cs="Times New Roman"/>
          <w:sz w:val="24"/>
          <w:szCs w:val="24"/>
        </w:rPr>
        <w:t>, in revenge for their crossing the magician.  On the other hand, the spells for dream divinations mentioned above and the ascriptions to Eros</w:t>
      </w:r>
      <w:r>
        <w:rPr>
          <w:rStyle w:val="FootnoteReference"/>
          <w:rFonts w:ascii="Times New Roman" w:hAnsi="Times New Roman" w:cs="Times New Roman"/>
          <w:sz w:val="24"/>
          <w:szCs w:val="24"/>
        </w:rPr>
        <w:footnoteReference w:id="285"/>
      </w:r>
      <w:r>
        <w:rPr>
          <w:rFonts w:ascii="Times New Roman" w:hAnsi="Times New Roman" w:cs="Times New Roman"/>
          <w:sz w:val="24"/>
          <w:szCs w:val="24"/>
        </w:rPr>
        <w:t xml:space="preserve"> and to Helen</w:t>
      </w:r>
      <w:r>
        <w:rPr>
          <w:rStyle w:val="FootnoteReference"/>
          <w:rFonts w:ascii="Times New Roman" w:hAnsi="Times New Roman" w:cs="Times New Roman"/>
          <w:sz w:val="24"/>
          <w:szCs w:val="24"/>
        </w:rPr>
        <w:footnoteReference w:id="286"/>
      </w:r>
      <w:r>
        <w:rPr>
          <w:rFonts w:ascii="Times New Roman" w:hAnsi="Times New Roman" w:cs="Times New Roman"/>
          <w:sz w:val="24"/>
          <w:szCs w:val="24"/>
        </w:rPr>
        <w:t xml:space="preserve"> suggest </w:t>
      </w:r>
      <w:r>
        <w:rPr>
          <w:rFonts w:ascii="Times New Roman" w:hAnsi="Times New Roman" w:cs="Times New Roman"/>
          <w:sz w:val="24"/>
          <w:szCs w:val="24"/>
        </w:rPr>
        <w:lastRenderedPageBreak/>
        <w:t xml:space="preserve">that daemons could be dispatched, or deities’ </w:t>
      </w:r>
      <w:r>
        <w:rPr>
          <w:rFonts w:ascii="Times New Roman" w:hAnsi="Times New Roman" w:cs="Times New Roman"/>
          <w:i/>
          <w:sz w:val="24"/>
          <w:szCs w:val="24"/>
        </w:rPr>
        <w:t>numen</w:t>
      </w:r>
      <w:r>
        <w:rPr>
          <w:rFonts w:ascii="Times New Roman" w:hAnsi="Times New Roman" w:cs="Times New Roman"/>
          <w:sz w:val="24"/>
          <w:szCs w:val="24"/>
        </w:rPr>
        <w:t xml:space="preserve"> borrowed, for the aforementioned traditional non-aggressive purposes, as well.</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From this information, we can at last begin to assemble a working hypothesis for the functionality of the Hippocratic model.  Consider the three herbs – mint, wormwood, and trefoil – which Dioscorides outright labels “warm and styptic</w:t>
      </w:r>
      <w:r>
        <w:rPr>
          <w:rStyle w:val="FootnoteReference"/>
          <w:rFonts w:ascii="Times New Roman" w:hAnsi="Times New Roman" w:cs="Times New Roman"/>
          <w:sz w:val="24"/>
          <w:szCs w:val="24"/>
        </w:rPr>
        <w:footnoteReference w:id="287"/>
      </w:r>
      <w:r>
        <w:rPr>
          <w:rFonts w:ascii="Times New Roman" w:hAnsi="Times New Roman" w:cs="Times New Roman"/>
          <w:sz w:val="24"/>
          <w:szCs w:val="24"/>
        </w:rPr>
        <w:t xml:space="preserve">.”  In Hippocratic terms, these herbs would be “hot” and “dry” – qualities which would be ideal for treating an excess of the “cool” and “wet” phlegm humor – and yet, they are more commonly employed against excesses of choleric and blood humors!  The error in sorting them into the Hippocratic model, then, must lie either in taking both qualities (heat and moisture) into account simultaneously – that is, rather than sorting them by “hot and dry,” they ought to be sorted once as “hot” and once as “dry” – or in assuming that the entirety of the plant has the same set of traits, instead of each herb part potentially having its own variation.  The first would allow the model interpreter to say that these three herbs are useful for treating excess blood because they are “dry,” in spite of their sharing a “hot” quality with that humor, while the second would allow the juice of these herbs to be more “wet” in nature, and thus explain why their juices are the useful parts in combating excess “dry” cholera.  Indeed, across all ten toxic herbs, it is the roots, leaves, and juices which account for subtle differences in sorting: black hellebore, for instance, joins the three above in combating excess blood because of the “dryness” of its roots and cholera because of the “coolness” of its juice, but the “dryness” of its juice also makes it effective against phlegm, which the other three are not, and so it cannot be properly sorted alongside them (in any case, taken altogether, black hellebore would be a “cool and dry” herb, not a “hot and dry” herb).  As further proof that black </w:t>
      </w:r>
      <w:r>
        <w:rPr>
          <w:rFonts w:ascii="Times New Roman" w:hAnsi="Times New Roman" w:cs="Times New Roman"/>
          <w:sz w:val="24"/>
          <w:szCs w:val="24"/>
        </w:rPr>
        <w:lastRenderedPageBreak/>
        <w:t>hellebore cannot be lumped in with mint, trefoil, and wormwood, it should be observed that the only medicinal use which they have in common – which is in their juices – is as ear medications, and none of their magical uses appear to align.</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Other properties which are made known to us through botanical historians are that oregano and pennyroyal, taken as a whole, are “hot</w:t>
      </w:r>
      <w:r>
        <w:rPr>
          <w:rStyle w:val="FootnoteReference"/>
          <w:rFonts w:ascii="Times New Roman" w:hAnsi="Times New Roman" w:cs="Times New Roman"/>
          <w:sz w:val="24"/>
          <w:szCs w:val="24"/>
        </w:rPr>
        <w:footnoteReference w:id="288"/>
      </w:r>
      <w:r>
        <w:rPr>
          <w:rFonts w:ascii="Times New Roman" w:hAnsi="Times New Roman" w:cs="Times New Roman"/>
          <w:sz w:val="24"/>
          <w:szCs w:val="24"/>
        </w:rPr>
        <w:t>,” and what Fig. 1 shows, which is that:</w:t>
      </w:r>
    </w:p>
    <w:p w:rsidR="00385CDE" w:rsidRDefault="00385CDE" w:rsidP="00385CDE">
      <w:pPr>
        <w:pStyle w:val="ListParagraph"/>
        <w:numPr>
          <w:ilvl w:val="0"/>
          <w:numId w:val="15"/>
        </w:num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both</w:t>
      </w:r>
      <w:proofErr w:type="gramEnd"/>
      <w:r>
        <w:rPr>
          <w:rFonts w:ascii="Times New Roman" w:hAnsi="Times New Roman" w:cs="Times New Roman"/>
          <w:sz w:val="24"/>
          <w:szCs w:val="24"/>
        </w:rPr>
        <w:t xml:space="preserve"> types of hellebore, Datura, mint, trefoil, wormwood, pennyroyal, and henbane can take on excess blood, which means they are “cool,” “dry,” or both.</w:t>
      </w:r>
    </w:p>
    <w:p w:rsidR="00385CDE" w:rsidRDefault="00385CDE" w:rsidP="00385CDE">
      <w:pPr>
        <w:pStyle w:val="ListParagraph"/>
        <w:numPr>
          <w:ilvl w:val="0"/>
          <w:numId w:val="15"/>
        </w:num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henbane</w:t>
      </w:r>
      <w:proofErr w:type="gramEnd"/>
      <w:r>
        <w:rPr>
          <w:rFonts w:ascii="Times New Roman" w:hAnsi="Times New Roman" w:cs="Times New Roman"/>
          <w:sz w:val="24"/>
          <w:szCs w:val="24"/>
        </w:rPr>
        <w:t>, black hellebore, and pennyroyal can take on excess phlegm, which means they are “hot,” “dry,” or both.</w:t>
      </w:r>
    </w:p>
    <w:p w:rsidR="00385CDE" w:rsidRDefault="00385CDE" w:rsidP="00385CDE">
      <w:pPr>
        <w:pStyle w:val="ListParagraph"/>
        <w:numPr>
          <w:ilvl w:val="0"/>
          <w:numId w:val="15"/>
        </w:num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pennyroyal</w:t>
      </w:r>
      <w:proofErr w:type="gramEnd"/>
      <w:r>
        <w:rPr>
          <w:rFonts w:ascii="Times New Roman" w:hAnsi="Times New Roman" w:cs="Times New Roman"/>
          <w:sz w:val="24"/>
          <w:szCs w:val="24"/>
        </w:rPr>
        <w:t xml:space="preserve"> and oregano can take on excess melancholy, which means they are “hot,” “wet,” or both.</w:t>
      </w:r>
    </w:p>
    <w:p w:rsidR="00385CDE" w:rsidRDefault="00385CDE" w:rsidP="00385CDE">
      <w:pPr>
        <w:pStyle w:val="ListParagraph"/>
        <w:numPr>
          <w:ilvl w:val="0"/>
          <w:numId w:val="15"/>
        </w:num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mint</w:t>
      </w:r>
      <w:proofErr w:type="gramEnd"/>
      <w:r>
        <w:rPr>
          <w:rFonts w:ascii="Times New Roman" w:hAnsi="Times New Roman" w:cs="Times New Roman"/>
          <w:sz w:val="24"/>
          <w:szCs w:val="24"/>
        </w:rPr>
        <w:t>, trefoil, wormwood, and black hellebore can take on excess cholera, which means they are “cool,” “wet,” or both.</w:t>
      </w:r>
    </w:p>
    <w:p w:rsidR="00385CDE" w:rsidRDefault="00385CDE" w:rsidP="00385CDE">
      <w:pPr>
        <w:spacing w:line="480" w:lineRule="auto"/>
        <w:rPr>
          <w:rFonts w:ascii="Times New Roman" w:hAnsi="Times New Roman" w:cs="Times New Roman"/>
          <w:sz w:val="24"/>
          <w:szCs w:val="24"/>
        </w:rPr>
      </w:pPr>
      <w:r>
        <w:rPr>
          <w:rFonts w:ascii="Times New Roman" w:hAnsi="Times New Roman" w:cs="Times New Roman"/>
          <w:sz w:val="24"/>
          <w:szCs w:val="24"/>
        </w:rPr>
        <w:t>What separates oregano and pennyroyal, so that they can both treat melancholy but not phlegm?  The answer is straightforward: pennyroyal’s useful parts are “hot and dry,” whereas oregano’s are “hot and wet.”  Pennyroyal’s address of blood substantiates this solution.  And since its address of melancholy seems to be owed to its roots and leaves, and its address of phlegm to its juice</w:t>
      </w:r>
      <w:r>
        <w:rPr>
          <w:rStyle w:val="FootnoteReference"/>
          <w:rFonts w:ascii="Times New Roman" w:hAnsi="Times New Roman" w:cs="Times New Roman"/>
          <w:sz w:val="24"/>
          <w:szCs w:val="24"/>
        </w:rPr>
        <w:footnoteReference w:id="289"/>
      </w:r>
      <w:r>
        <w:rPr>
          <w:rFonts w:ascii="Times New Roman" w:hAnsi="Times New Roman" w:cs="Times New Roman"/>
          <w:sz w:val="24"/>
          <w:szCs w:val="24"/>
        </w:rPr>
        <w:t xml:space="preserve">, it can safely be presumed that the difference between its position in the Hippocratic model and oregano’s is to be found in the juice – i.e. that pennyroyal’s has “drying” properties, and oregano’s “moistening” properties.  Indeed, the uses confirm this: the medical ones align for the roots and leaves (gynecological and dermatological), but not at all for the juices, and the </w:t>
      </w:r>
      <w:r>
        <w:rPr>
          <w:rFonts w:ascii="Times New Roman" w:hAnsi="Times New Roman" w:cs="Times New Roman"/>
          <w:sz w:val="24"/>
          <w:szCs w:val="24"/>
        </w:rPr>
        <w:lastRenderedPageBreak/>
        <w:t>magical ones – best seen in the resins – are completely opposite (oregano attracts spirits, while pennyroyal pushes them away).  Therefore, based on the humoral ties outlined above, the following Hippocratic labels can be presumed:</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Datura is possibly “cool” and/or “dry,” given that it can control blood-flow</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Black hellebore is “cool” and “dry” in all or most of its parts</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White hellebore is possibly “cool” and/or “dry,” given that it can control blood-flow – which is just as well, since both colors of hellebore were used for many of the same purposes</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Henbane is possibly “hot” and/or “dry,” given that it can control phlegm levels</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Mandrake has no obvious humoral ties, but given the medical and magical uses of its pertinent parts, it is most likely “hot” and “dry” and best used against blood</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Mint is “hot” and “dry,” except for its juice, which is “hot” and “wet”</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Oregano is “hot” and “wet” in all or most of its parts</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Pennyroyal is “hot” and “dry” in all or most of its parts</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Poppy has no obvious humoral ties, and its roots and leaves (and juice, largely, if opium is excluded) have no medico-magical uses; however, only it and henbane make use of their seeds, and the primary uses to its useful parts best liken it to “dry” herbs, with opium being “cool” and the seeds being “hot”</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Trefoil is “hot” and “dry” in all or most of its parts</w:t>
      </w:r>
    </w:p>
    <w:p w:rsidR="00385CDE" w:rsidRDefault="00385CDE" w:rsidP="00385CDE">
      <w:pPr>
        <w:pStyle w:val="ListParagraph"/>
        <w:numPr>
          <w:ilvl w:val="0"/>
          <w:numId w:val="15"/>
        </w:numPr>
        <w:spacing w:line="480" w:lineRule="auto"/>
        <w:rPr>
          <w:rFonts w:ascii="Times New Roman" w:hAnsi="Times New Roman" w:cs="Times New Roman"/>
          <w:sz w:val="24"/>
          <w:szCs w:val="24"/>
        </w:rPr>
      </w:pPr>
      <w:r>
        <w:rPr>
          <w:rFonts w:ascii="Times New Roman" w:hAnsi="Times New Roman" w:cs="Times New Roman"/>
          <w:sz w:val="24"/>
          <w:szCs w:val="24"/>
        </w:rPr>
        <w:t>Wormwood is “hot” and “dry,” except for its resin, which is “cool” and “dry”</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applying this hypothesis to the twenty-one non-toxic herbs, and thus to the case study as a whole, a defensible Hippocratic assortment emerges at last (see Fig. 6), and with it, a means of explaining that model which has been touted and debated since the 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 BCE.</w:t>
      </w:r>
    </w:p>
    <w:p w:rsidR="00385CDE" w:rsidRDefault="00385CDE" w:rsidP="00385CDE">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34075" cy="3114675"/>
            <wp:effectExtent l="19050" t="0" r="9525"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5934075" cy="3114675"/>
                    </a:xfrm>
                    <a:prstGeom prst="rect">
                      <a:avLst/>
                    </a:prstGeom>
                    <a:noFill/>
                    <a:ln w="9525">
                      <a:noFill/>
                      <a:miter lim="800000"/>
                      <a:headEnd/>
                      <a:tailEnd/>
                    </a:ln>
                  </pic:spPr>
                </pic:pic>
              </a:graphicData>
            </a:graphic>
          </wp:inline>
        </w:drawing>
      </w:r>
    </w:p>
    <w:p w:rsidR="00385CDE" w:rsidRDefault="00385CDE" w:rsidP="00385CDE">
      <w:pPr>
        <w:rPr>
          <w:rFonts w:ascii="Times New Roman" w:hAnsi="Times New Roman" w:cs="Times New Roman"/>
          <w:sz w:val="24"/>
          <w:szCs w:val="24"/>
        </w:rPr>
      </w:pPr>
    </w:p>
    <w:p w:rsidR="00385CDE" w:rsidRDefault="00385CDE" w:rsidP="00385CDE">
      <w:pPr>
        <w:rPr>
          <w:rFonts w:ascii="Times New Roman" w:hAnsi="Times New Roman" w:cs="Times New Roman"/>
          <w:sz w:val="24"/>
          <w:szCs w:val="24"/>
        </w:rPr>
      </w:pPr>
      <w:r>
        <w:rPr>
          <w:rFonts w:ascii="Times New Roman" w:hAnsi="Times New Roman" w:cs="Times New Roman"/>
          <w:sz w:val="24"/>
          <w:szCs w:val="24"/>
        </w:rPr>
        <w:br w:type="page"/>
      </w:r>
    </w:p>
    <w:p w:rsidR="00385CDE" w:rsidRDefault="00385CDE" w:rsidP="00385CDE">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Chapter 4 - Conclusion</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Chapter 1, three questions were set forth as to the logistics of the Hippocratic model with regard to herbs’ pairing with humors.  The model shown in Fig. 6 derived from studying the humoral attributes, medical properties, magical uses, and useful parts of the thirty-one herbs selected for the case study yields patterns which seem to point to definitive answers.  In essence, the hypothesis presented in this paper – that herb placement in the Hippocratic system of humors was owed to those herbs’ magical uses – is true, though it is not just the aim of the spells which provides a humoral connection, but also the part of the body being aimed at, the herb parts being aimed, and the physique of those parts.  This accounts for the confusion over some herbs being linked to multiple humors, and others to none: taking the herb as a whole when its parts varied in form and in property produced conflicting information.</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Those herbs which the Hippocratics found on the whole to be “cool” and “wet,” aspects which would make them useful in treating cholera, were used in fertility spells</w:t>
      </w:r>
      <w:r>
        <w:rPr>
          <w:rStyle w:val="FootnoteReference"/>
          <w:rFonts w:ascii="Times New Roman" w:hAnsi="Times New Roman" w:cs="Times New Roman"/>
          <w:sz w:val="24"/>
          <w:szCs w:val="24"/>
        </w:rPr>
        <w:footnoteReference w:id="290"/>
      </w:r>
      <w:r>
        <w:rPr>
          <w:rFonts w:ascii="Times New Roman" w:hAnsi="Times New Roman" w:cs="Times New Roman"/>
          <w:sz w:val="24"/>
          <w:szCs w:val="24"/>
        </w:rPr>
        <w:t>, and the shape of the pulpy part of them (fruit where “squirting” cucumber is concerned</w:t>
      </w:r>
      <w:r>
        <w:rPr>
          <w:rStyle w:val="FootnoteReference"/>
          <w:rFonts w:ascii="Times New Roman" w:hAnsi="Times New Roman" w:cs="Times New Roman"/>
          <w:sz w:val="24"/>
          <w:szCs w:val="24"/>
        </w:rPr>
        <w:footnoteReference w:id="291"/>
      </w:r>
      <w:r>
        <w:rPr>
          <w:rFonts w:ascii="Times New Roman" w:hAnsi="Times New Roman" w:cs="Times New Roman"/>
          <w:sz w:val="24"/>
          <w:szCs w:val="24"/>
        </w:rPr>
        <w:t>, and stalks for reeds), which is the part found in magical formulae, is distinctly and appropriately phallic.  In both magic and medicine, the herb is placed into contact with the skin and is said, by its touch, to send a cure via diffusion to the bones</w:t>
      </w:r>
      <w:r>
        <w:rPr>
          <w:rStyle w:val="FootnoteReference"/>
          <w:rFonts w:ascii="Times New Roman" w:hAnsi="Times New Roman" w:cs="Times New Roman"/>
          <w:sz w:val="24"/>
          <w:szCs w:val="24"/>
        </w:rPr>
        <w:footnoteReference w:id="292"/>
      </w:r>
      <w:r>
        <w:rPr>
          <w:rFonts w:ascii="Times New Roman" w:hAnsi="Times New Roman" w:cs="Times New Roman"/>
          <w:sz w:val="24"/>
          <w:szCs w:val="24"/>
        </w:rPr>
        <w:t xml:space="preserve"> (modern slang offers another layer of appropriateness here) and to the gallbladder</w:t>
      </w:r>
      <w:r>
        <w:rPr>
          <w:rStyle w:val="FootnoteReference"/>
          <w:rFonts w:ascii="Times New Roman" w:hAnsi="Times New Roman" w:cs="Times New Roman"/>
          <w:sz w:val="24"/>
          <w:szCs w:val="24"/>
        </w:rPr>
        <w:footnoteReference w:id="293"/>
      </w:r>
      <w:r>
        <w:rPr>
          <w:rFonts w:ascii="Times New Roman" w:hAnsi="Times New Roman" w:cs="Times New Roman"/>
          <w:sz w:val="24"/>
          <w:szCs w:val="24"/>
        </w:rPr>
        <w:t>, where bile (or “cholera”) is produced.  Therefore, it can reasonably be assumed that the phallic, pulpy parts of any herb outside of the case study appeared in fertility spells, and later in cures for cholera.</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Those herbs which the Hippocratics found on the whole to be “hot” and “wet,” aspects which would make them useful in treating </w:t>
      </w:r>
      <w:proofErr w:type="gramStart"/>
      <w:r>
        <w:rPr>
          <w:rFonts w:ascii="Times New Roman" w:hAnsi="Times New Roman" w:cs="Times New Roman"/>
          <w:sz w:val="24"/>
          <w:szCs w:val="24"/>
        </w:rPr>
        <w:t>melancholy,</w:t>
      </w:r>
      <w:proofErr w:type="gramEnd"/>
      <w:r>
        <w:rPr>
          <w:rFonts w:ascii="Times New Roman" w:hAnsi="Times New Roman" w:cs="Times New Roman"/>
          <w:sz w:val="24"/>
          <w:szCs w:val="24"/>
        </w:rPr>
        <w:t xml:space="preserve"> were used in spells to ward off visible entities (i.e. people and venomous animals)</w:t>
      </w:r>
      <w:r>
        <w:rPr>
          <w:rStyle w:val="FootnoteReference"/>
          <w:rFonts w:ascii="Times New Roman" w:hAnsi="Times New Roman" w:cs="Times New Roman"/>
          <w:sz w:val="24"/>
          <w:szCs w:val="24"/>
        </w:rPr>
        <w:footnoteReference w:id="294"/>
      </w:r>
      <w:r>
        <w:rPr>
          <w:rFonts w:ascii="Times New Roman" w:hAnsi="Times New Roman" w:cs="Times New Roman"/>
          <w:sz w:val="24"/>
          <w:szCs w:val="24"/>
        </w:rPr>
        <w:t>.  Probably the physiological trait which suggested it to this use was the fact that its oil rubs off upon touch and leaves residual smell on the fingers to “haunt” the toucher, so to speak, rather than the quality of the smell itself, since there are plenty of fragrant herbs with different humoral qualities.  The juices and aromatic leaf oils are the useful parts in magic, as well as in medicine, where they diffuse into the skin to tackle lumps and sore or sprained muscles</w:t>
      </w:r>
      <w:r>
        <w:rPr>
          <w:rStyle w:val="FootnoteReference"/>
          <w:rFonts w:ascii="Times New Roman" w:hAnsi="Times New Roman" w:cs="Times New Roman"/>
          <w:sz w:val="24"/>
          <w:szCs w:val="24"/>
        </w:rPr>
        <w:footnoteReference w:id="295"/>
      </w:r>
      <w:r>
        <w:rPr>
          <w:rFonts w:ascii="Times New Roman" w:hAnsi="Times New Roman" w:cs="Times New Roman"/>
          <w:sz w:val="24"/>
          <w:szCs w:val="24"/>
        </w:rPr>
        <w:t xml:space="preserve"> causing a patient grief (or “melancholy”).  Therefore, it can reasonably be assumed that herbs with potently odiferous, clinging oils appeared in warding spells for hostile entities of the mortal world, and later in cures for melancholy.</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Those herbs which the Hippocratics found on the whole to be “cool” and “dry,” aspects which would make them useful in treating excess </w:t>
      </w:r>
      <w:proofErr w:type="gramStart"/>
      <w:r>
        <w:rPr>
          <w:rFonts w:ascii="Times New Roman" w:hAnsi="Times New Roman" w:cs="Times New Roman"/>
          <w:sz w:val="24"/>
          <w:szCs w:val="24"/>
        </w:rPr>
        <w:t>blood,</w:t>
      </w:r>
      <w:proofErr w:type="gramEnd"/>
      <w:r>
        <w:rPr>
          <w:rFonts w:ascii="Times New Roman" w:hAnsi="Times New Roman" w:cs="Times New Roman"/>
          <w:sz w:val="24"/>
          <w:szCs w:val="24"/>
        </w:rPr>
        <w:t xml:space="preserve"> were used for </w:t>
      </w:r>
      <w:r w:rsidR="00BA4F67">
        <w:rPr>
          <w:rFonts w:ascii="Times New Roman" w:hAnsi="Times New Roman" w:cs="Times New Roman"/>
          <w:sz w:val="24"/>
          <w:szCs w:val="24"/>
        </w:rPr>
        <w:t>mind control spells with malicious</w:t>
      </w:r>
      <w:r>
        <w:rPr>
          <w:rFonts w:ascii="Times New Roman" w:hAnsi="Times New Roman" w:cs="Times New Roman"/>
          <w:sz w:val="24"/>
          <w:szCs w:val="24"/>
        </w:rPr>
        <w:t xml:space="preserve"> intent.  Some, like Datura, purged the magician of daemons in the form of hexes or diseases sent by other spellcasters by returning them to sender</w:t>
      </w:r>
      <w:r>
        <w:rPr>
          <w:rStyle w:val="FootnoteReference"/>
          <w:rFonts w:ascii="Times New Roman" w:hAnsi="Times New Roman" w:cs="Times New Roman"/>
          <w:sz w:val="24"/>
          <w:szCs w:val="24"/>
        </w:rPr>
        <w:footnoteReference w:id="296"/>
      </w:r>
      <w:r>
        <w:rPr>
          <w:rFonts w:ascii="Times New Roman" w:hAnsi="Times New Roman" w:cs="Times New Roman"/>
          <w:sz w:val="24"/>
          <w:szCs w:val="24"/>
        </w:rPr>
        <w:t>, while others, like wormwood or poppy, allowed the magician to hijack a desired target and make them act as instructed for selfish reasons</w:t>
      </w:r>
      <w:r>
        <w:rPr>
          <w:rStyle w:val="FootnoteReference"/>
          <w:rFonts w:ascii="Times New Roman" w:hAnsi="Times New Roman" w:cs="Times New Roman"/>
          <w:sz w:val="24"/>
          <w:szCs w:val="24"/>
        </w:rPr>
        <w:footnoteReference w:id="297"/>
      </w:r>
      <w:r>
        <w:rPr>
          <w:rFonts w:ascii="Times New Roman" w:hAnsi="Times New Roman" w:cs="Times New Roman"/>
          <w:sz w:val="24"/>
          <w:szCs w:val="24"/>
        </w:rPr>
        <w:t>.  Some also heightened the magician’s psychic abilities by stealing it from summoned spirits, as was the case with wormwood and hellebore.  Moura’s attribution</w:t>
      </w:r>
      <w:r>
        <w:rPr>
          <w:rStyle w:val="FootnoteReference"/>
          <w:rFonts w:ascii="Times New Roman" w:hAnsi="Times New Roman" w:cs="Times New Roman"/>
          <w:sz w:val="24"/>
          <w:szCs w:val="24"/>
        </w:rPr>
        <w:footnoteReference w:id="298"/>
      </w:r>
      <w:r>
        <w:rPr>
          <w:rFonts w:ascii="Times New Roman" w:hAnsi="Times New Roman" w:cs="Times New Roman"/>
          <w:sz w:val="24"/>
          <w:szCs w:val="24"/>
        </w:rPr>
        <w:t xml:space="preserve"> of these herbs to “dark” spirits and uses would suggest that the summoning of daemons is not for an innocent or mutually beneficial cause, but rather goes hand-in-hand with the other magical uses – that is, that the daemon is either harnessed and sent with ill intent toward someone, or that its </w:t>
      </w:r>
      <w:r>
        <w:rPr>
          <w:rFonts w:ascii="Times New Roman" w:hAnsi="Times New Roman" w:cs="Times New Roman"/>
          <w:sz w:val="24"/>
          <w:szCs w:val="24"/>
        </w:rPr>
        <w:lastRenderedPageBreak/>
        <w:t>power is not borrowed with its permission, but instead by force.  In either case, the daemon is the one being bound and compelled to submit to the magician’s wishes.  No doubt this accounts for several of the herbs in this category coming with warnings, superstitions, and a place in “dark” or “black magic” – users themselves were either afraid of bad karma or the spell backfiring, or else content with the reputation of witches as wicked creatures.  It should come as no surprise that the medical applications were for ailments and afflictions of the brain and nervous system</w:t>
      </w:r>
      <w:r>
        <w:rPr>
          <w:rStyle w:val="FootnoteReference"/>
          <w:rFonts w:ascii="Times New Roman" w:hAnsi="Times New Roman" w:cs="Times New Roman"/>
          <w:sz w:val="24"/>
          <w:szCs w:val="24"/>
        </w:rPr>
        <w:footnoteReference w:id="299"/>
      </w:r>
      <w:r>
        <w:rPr>
          <w:rFonts w:ascii="Times New Roman" w:hAnsi="Times New Roman" w:cs="Times New Roman"/>
          <w:sz w:val="24"/>
          <w:szCs w:val="24"/>
        </w:rPr>
        <w:t>, as controlling as they were in magic, and could awaken patients or put them to sleep as the doctor desired</w:t>
      </w:r>
      <w:r>
        <w:rPr>
          <w:rStyle w:val="FootnoteReference"/>
          <w:rFonts w:ascii="Times New Roman" w:hAnsi="Times New Roman" w:cs="Times New Roman"/>
          <w:sz w:val="24"/>
          <w:szCs w:val="24"/>
        </w:rPr>
        <w:footnoteReference w:id="300"/>
      </w:r>
      <w:r>
        <w:rPr>
          <w:rFonts w:ascii="Times New Roman" w:hAnsi="Times New Roman" w:cs="Times New Roman"/>
          <w:sz w:val="24"/>
          <w:szCs w:val="24"/>
        </w:rPr>
        <w:t>.  What set the herbs in this category apart are their hypnotic smells and oils (e.g. the ones of poppy, Datura, wormwood, elderberries, and mandrake), their showy flowers (e.g. the ones of poppy and hellebore), their bulbous roots (e.g. the ones of onion and mandrake), and their use as actual tools in magic (e.g. elder wood for wands, onion bulbs for entrapping negative energy, and mandrake roots for aura generation).  Therefore, it can reasonably be assumed that herbs with one or more of these physical characteristics would be of use to spells wherein the magician profited from another’s harm (including that of the herb itself, when employed as a vessel or a conduit) and/or could possess and compel the mind and body of another.</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Those herbs which the Hippocratics found on the whole to be “hot” and “dry,” aspects which would make them useful in treating excess phlegm, on the other hand, were found in spells which took control of others (spirits or mortals) for benign purposes.  Some, like myrrh and pennyroyal, brought the magician peace of mind by way of “hiring on” helpful spirits to change their surroundings, as it were, while others, like henbane, caused a target to fall in love with and have sex with the magician, with the added bonus of a contraceptive or sterilizing </w:t>
      </w:r>
      <w:r>
        <w:rPr>
          <w:rFonts w:ascii="Times New Roman" w:hAnsi="Times New Roman" w:cs="Times New Roman"/>
          <w:sz w:val="24"/>
          <w:szCs w:val="24"/>
        </w:rPr>
        <w:lastRenderedPageBreak/>
        <w:t>promise</w:t>
      </w:r>
      <w:r>
        <w:rPr>
          <w:rStyle w:val="FootnoteReference"/>
          <w:rFonts w:ascii="Times New Roman" w:hAnsi="Times New Roman" w:cs="Times New Roman"/>
          <w:sz w:val="24"/>
          <w:szCs w:val="24"/>
        </w:rPr>
        <w:footnoteReference w:id="301"/>
      </w:r>
      <w:r>
        <w:rPr>
          <w:rFonts w:ascii="Times New Roman" w:hAnsi="Times New Roman" w:cs="Times New Roman"/>
          <w:sz w:val="24"/>
          <w:szCs w:val="24"/>
        </w:rPr>
        <w:t xml:space="preserve">.  The best instance of point is found in the preface of the </w:t>
      </w:r>
      <w:r>
        <w:rPr>
          <w:rFonts w:ascii="Times New Roman" w:hAnsi="Times New Roman" w:cs="Times New Roman"/>
          <w:i/>
          <w:sz w:val="24"/>
          <w:szCs w:val="24"/>
        </w:rPr>
        <w:t xml:space="preserve">PGM, </w:t>
      </w:r>
      <w:r>
        <w:rPr>
          <w:rFonts w:ascii="Times New Roman" w:hAnsi="Times New Roman" w:cs="Times New Roman"/>
          <w:sz w:val="24"/>
          <w:szCs w:val="24"/>
        </w:rPr>
        <w:t xml:space="preserve">wherein </w:t>
      </w:r>
      <w:r>
        <w:rPr>
          <w:rFonts w:ascii="Times New Roman" w:hAnsi="Times New Roman" w:cs="Times New Roman"/>
          <w:i/>
          <w:sz w:val="24"/>
          <w:szCs w:val="24"/>
        </w:rPr>
        <w:t xml:space="preserve">Commiphora troglitis </w:t>
      </w:r>
      <w:r>
        <w:rPr>
          <w:rFonts w:ascii="Times New Roman" w:hAnsi="Times New Roman" w:cs="Times New Roman"/>
          <w:sz w:val="24"/>
          <w:szCs w:val="24"/>
        </w:rPr>
        <w:t xml:space="preserve">(a species of myrrh) is sacrificed in order to make Isis either become or supply a “Supernatural Assistant” for spellwork.  Indeed, most of the binding of and communication with deities and daemons appears in the </w:t>
      </w:r>
      <w:r>
        <w:rPr>
          <w:rFonts w:ascii="Times New Roman" w:hAnsi="Times New Roman" w:cs="Times New Roman"/>
          <w:i/>
          <w:sz w:val="24"/>
          <w:szCs w:val="24"/>
        </w:rPr>
        <w:t xml:space="preserve">PGM </w:t>
      </w:r>
      <w:r>
        <w:rPr>
          <w:rFonts w:ascii="Times New Roman" w:hAnsi="Times New Roman" w:cs="Times New Roman"/>
          <w:sz w:val="24"/>
          <w:szCs w:val="24"/>
        </w:rPr>
        <w:t xml:space="preserve">and </w:t>
      </w:r>
      <w:r>
        <w:rPr>
          <w:rFonts w:ascii="Times New Roman" w:hAnsi="Times New Roman" w:cs="Times New Roman"/>
          <w:i/>
          <w:sz w:val="24"/>
          <w:szCs w:val="24"/>
        </w:rPr>
        <w:t xml:space="preserve">PDM; </w:t>
      </w:r>
      <w:r>
        <w:rPr>
          <w:rFonts w:ascii="Times New Roman" w:hAnsi="Times New Roman" w:cs="Times New Roman"/>
          <w:sz w:val="24"/>
          <w:szCs w:val="24"/>
        </w:rPr>
        <w:t>more modern scholars seem to prefer having the deity or daemon willingly lend its power to the magician, which is either due to a rise in “peaceful” green and Wiccan magic largely initiated by Gerald Gardner, or to a mixture of dilution of texts over time and lack of consultation of ancient works, propaganda for social acceptance and a new outlet for suppressed women (as was the case with Dianic Wicca, originally), and blissful ignorance.  That the “hot” and “dry” herbs should decrease a partner’s fertility while “cool” and “wet” ones increase it attests to the model’s functionality.  Probably it is the smell of these herbs which was the deciding factor in their magic abilities, as it was to some degree in medicinal potential, though to separate them from the other categories, it must have been that their smells were considered more alluring or exotic to ancient noses; the shape of the roots and the flavor of the seeds may also have helped in divining an herb’s purpose, since those were the more notably useful parts in spellwork.  Medicinally, these herbs were useful in treating ailments of the lungs and in purging non-humoral liquids (e.g. poison, stones, and digestive waste) from the body</w:t>
      </w:r>
      <w:r>
        <w:rPr>
          <w:rStyle w:val="FootnoteReference"/>
          <w:rFonts w:ascii="Times New Roman" w:hAnsi="Times New Roman" w:cs="Times New Roman"/>
          <w:sz w:val="24"/>
          <w:szCs w:val="24"/>
        </w:rPr>
        <w:footnoteReference w:id="302"/>
      </w:r>
      <w:r>
        <w:rPr>
          <w:rFonts w:ascii="Times New Roman" w:hAnsi="Times New Roman" w:cs="Times New Roman"/>
          <w:sz w:val="24"/>
          <w:szCs w:val="24"/>
        </w:rPr>
        <w:t xml:space="preserve"> , thus bringing the same type of peace and balance to the magician’s mind and spirit as they did in magic.  Therefore, it can reasonably be assumed that if an herb were pleasantly aromatic or flavorful in one or more of its parts (flowers, leaf oils, juices, or seeds), it could be used in spells which improve a magician’s situation without doing harm to the target whose presence and interaction was desired.</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Other, smaller medico-magical patterns emerge from this study.  For one thing, </w:t>
      </w:r>
      <w:r>
        <w:rPr>
          <w:rFonts w:ascii="Times New Roman" w:hAnsi="Times New Roman" w:cs="Times New Roman"/>
          <w:i/>
          <w:sz w:val="24"/>
          <w:szCs w:val="24"/>
        </w:rPr>
        <w:t>herbs which have control over spirits in magic,</w:t>
      </w:r>
      <w:r>
        <w:rPr>
          <w:rFonts w:ascii="Times New Roman" w:hAnsi="Times New Roman" w:cs="Times New Roman"/>
          <w:sz w:val="24"/>
          <w:szCs w:val="24"/>
        </w:rPr>
        <w:t xml:space="preserve"> whether they be deities and helpful daemons or those personified diseases sent the magician’s way by a deity or rival spellcaster, </w:t>
      </w:r>
      <w:r>
        <w:rPr>
          <w:rFonts w:ascii="Times New Roman" w:hAnsi="Times New Roman" w:cs="Times New Roman"/>
          <w:i/>
          <w:sz w:val="24"/>
          <w:szCs w:val="24"/>
        </w:rPr>
        <w:t>also have control over fluids in medicine.</w:t>
      </w:r>
      <w:r>
        <w:rPr>
          <w:rFonts w:ascii="Times New Roman" w:hAnsi="Times New Roman" w:cs="Times New Roman"/>
          <w:sz w:val="24"/>
          <w:szCs w:val="24"/>
        </w:rPr>
        <w:t xml:space="preserve">  The “cool,” “dry” herbs furnish the best evidence of this, which stands to reason if one considers Galen’s contention</w:t>
      </w:r>
      <w:r>
        <w:rPr>
          <w:rStyle w:val="FootnoteReference"/>
          <w:rFonts w:ascii="Times New Roman" w:hAnsi="Times New Roman" w:cs="Times New Roman"/>
          <w:sz w:val="24"/>
          <w:szCs w:val="24"/>
        </w:rPr>
        <w:footnoteReference w:id="303"/>
      </w:r>
      <w:r>
        <w:rPr>
          <w:rFonts w:ascii="Times New Roman" w:hAnsi="Times New Roman" w:cs="Times New Roman"/>
          <w:sz w:val="24"/>
          <w:szCs w:val="24"/>
        </w:rPr>
        <w:t xml:space="preserve"> that “removing excess blood […] would move the other humours” that were in excess, since it was his opinion that blood was the most vital and important of the humors.  These herbs are generally purgative in both medicine and magic, by serving as emetics in the former and as ritual space purifiers in the latter; toxicity of juices and strength of odors, two of their common features, easily altered the composition of material and “airs</w:t>
      </w:r>
      <w:r>
        <w:rPr>
          <w:rStyle w:val="FootnoteReference"/>
          <w:rFonts w:ascii="Times New Roman" w:hAnsi="Times New Roman" w:cs="Times New Roman"/>
          <w:sz w:val="24"/>
          <w:szCs w:val="24"/>
        </w:rPr>
        <w:footnoteReference w:id="304"/>
      </w:r>
      <w:r>
        <w:rPr>
          <w:rFonts w:ascii="Times New Roman" w:hAnsi="Times New Roman" w:cs="Times New Roman"/>
          <w:sz w:val="24"/>
          <w:szCs w:val="24"/>
        </w:rPr>
        <w:t xml:space="preserve">” inside and outside of the consuming body.  </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For another, herbs like those from the mint family</w:t>
      </w:r>
      <w:r>
        <w:rPr>
          <w:rStyle w:val="FootnoteReference"/>
          <w:rFonts w:ascii="Times New Roman" w:hAnsi="Times New Roman" w:cs="Times New Roman"/>
          <w:sz w:val="24"/>
          <w:szCs w:val="24"/>
        </w:rPr>
        <w:footnoteReference w:id="305"/>
      </w:r>
      <w:r>
        <w:rPr>
          <w:rFonts w:ascii="Times New Roman" w:hAnsi="Times New Roman" w:cs="Times New Roman"/>
          <w:sz w:val="24"/>
          <w:szCs w:val="24"/>
        </w:rPr>
        <w:t xml:space="preserve"> can be substituted by or for, or are frequently used in tandem with, herbs with one or both of the same Hippocratic attributes.  The idea here is that if </w:t>
      </w:r>
      <w:r>
        <w:rPr>
          <w:rFonts w:ascii="Times New Roman" w:hAnsi="Times New Roman" w:cs="Times New Roman"/>
          <w:i/>
          <w:sz w:val="24"/>
          <w:szCs w:val="24"/>
        </w:rPr>
        <w:t>a practitioner lacks that herb, or a more appropriate herb, a combination may allow for the herbs’ energies to focus on excess humors or magical applications outside of its normal scope.</w:t>
      </w:r>
      <w:r>
        <w:rPr>
          <w:rFonts w:ascii="Times New Roman" w:hAnsi="Times New Roman" w:cs="Times New Roman"/>
          <w:sz w:val="24"/>
          <w:szCs w:val="24"/>
        </w:rPr>
        <w:t xml:space="preserve">  This would further account for an herb’s correlation in the </w:t>
      </w:r>
      <w:r>
        <w:rPr>
          <w:rFonts w:ascii="Times New Roman" w:hAnsi="Times New Roman" w:cs="Times New Roman"/>
          <w:i/>
          <w:sz w:val="24"/>
          <w:szCs w:val="24"/>
        </w:rPr>
        <w:t>DMM</w:t>
      </w:r>
      <w:r>
        <w:rPr>
          <w:rFonts w:ascii="Times New Roman" w:hAnsi="Times New Roman" w:cs="Times New Roman"/>
          <w:sz w:val="24"/>
          <w:szCs w:val="24"/>
        </w:rPr>
        <w:t xml:space="preserve"> with multiple humors (see Fig. 1) and allow practitioners to circumvent the issue of having to categorize each of an herb’s parts separately: if, say, they forgot that the juice of a given herb was “hot” in giving its otherwise “cool” root to a patient, they need not fret, so long as the other ingredients in the root-based medicine were also “cool” and could thus cancel out the juice’s warmth.  Magicians might have said that the juice was “influenced” by the other herbs and changed its properties to </w:t>
      </w:r>
      <w:r>
        <w:rPr>
          <w:rFonts w:ascii="Times New Roman" w:hAnsi="Times New Roman" w:cs="Times New Roman"/>
          <w:sz w:val="24"/>
          <w:szCs w:val="24"/>
        </w:rPr>
        <w:lastRenderedPageBreak/>
        <w:t>match theirs, a viewpoint which accounts equally well for an herb’s appearance in more than one Hippocratic category.</w:t>
      </w:r>
    </w:p>
    <w:p w:rsidR="00385CDE" w:rsidRDefault="00385CDE" w:rsidP="00385CD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final point worth noting is that medicine and healing magic were not distinguished between in the pre-Hippocratic period.  The </w:t>
      </w:r>
      <w:r>
        <w:rPr>
          <w:rFonts w:ascii="Times New Roman" w:hAnsi="Times New Roman" w:cs="Times New Roman"/>
          <w:sz w:val="24"/>
          <w:szCs w:val="24"/>
          <w:lang w:val="el-GR"/>
        </w:rPr>
        <w:t>ἰατρός</w:t>
      </w:r>
      <w:r w:rsidRPr="00CD401E">
        <w:rPr>
          <w:rFonts w:ascii="Times New Roman" w:hAnsi="Times New Roman" w:cs="Times New Roman"/>
          <w:sz w:val="24"/>
          <w:szCs w:val="24"/>
        </w:rPr>
        <w:t xml:space="preserve"> </w:t>
      </w:r>
      <w:r>
        <w:rPr>
          <w:rFonts w:ascii="Times New Roman" w:hAnsi="Times New Roman" w:cs="Times New Roman"/>
          <w:sz w:val="24"/>
          <w:szCs w:val="24"/>
        </w:rPr>
        <w:t>was “godlike” in poetry</w:t>
      </w:r>
      <w:r>
        <w:rPr>
          <w:rStyle w:val="FootnoteReference"/>
          <w:rFonts w:ascii="Times New Roman" w:hAnsi="Times New Roman" w:cs="Times New Roman"/>
          <w:sz w:val="24"/>
          <w:szCs w:val="24"/>
        </w:rPr>
        <w:footnoteReference w:id="306"/>
      </w:r>
      <w:r>
        <w:rPr>
          <w:rFonts w:ascii="Times New Roman" w:hAnsi="Times New Roman" w:cs="Times New Roman"/>
          <w:sz w:val="24"/>
          <w:szCs w:val="24"/>
        </w:rPr>
        <w:t xml:space="preserve">, his </w:t>
      </w:r>
      <w:r>
        <w:rPr>
          <w:rFonts w:ascii="Times New Roman" w:hAnsi="Times New Roman" w:cs="Times New Roman"/>
          <w:sz w:val="24"/>
          <w:szCs w:val="24"/>
          <w:lang w:val="el-GR"/>
        </w:rPr>
        <w:t>φάρμακον</w:t>
      </w:r>
      <w:r w:rsidRPr="00CD401E">
        <w:rPr>
          <w:rFonts w:ascii="Times New Roman" w:hAnsi="Times New Roman" w:cs="Times New Roman"/>
          <w:sz w:val="24"/>
          <w:szCs w:val="24"/>
        </w:rPr>
        <w:t xml:space="preserve"> </w:t>
      </w:r>
      <w:r>
        <w:rPr>
          <w:rFonts w:ascii="Times New Roman" w:hAnsi="Times New Roman" w:cs="Times New Roman"/>
          <w:sz w:val="24"/>
          <w:szCs w:val="24"/>
        </w:rPr>
        <w:t>was an infallible “remedy</w:t>
      </w:r>
      <w:r>
        <w:rPr>
          <w:rStyle w:val="FootnoteReference"/>
          <w:rFonts w:ascii="Times New Roman" w:hAnsi="Times New Roman" w:cs="Times New Roman"/>
          <w:sz w:val="24"/>
          <w:szCs w:val="24"/>
        </w:rPr>
        <w:footnoteReference w:id="307"/>
      </w:r>
      <w:r>
        <w:rPr>
          <w:rFonts w:ascii="Times New Roman" w:hAnsi="Times New Roman" w:cs="Times New Roman"/>
          <w:sz w:val="24"/>
          <w:szCs w:val="24"/>
        </w:rPr>
        <w:t>” or, if so intended, “poison</w:t>
      </w:r>
      <w:r>
        <w:rPr>
          <w:rStyle w:val="FootnoteReference"/>
          <w:rFonts w:ascii="Times New Roman" w:hAnsi="Times New Roman" w:cs="Times New Roman"/>
          <w:sz w:val="24"/>
          <w:szCs w:val="24"/>
        </w:rPr>
        <w:footnoteReference w:id="308"/>
      </w:r>
      <w:r>
        <w:rPr>
          <w:rFonts w:ascii="Times New Roman" w:hAnsi="Times New Roman" w:cs="Times New Roman"/>
          <w:sz w:val="24"/>
          <w:szCs w:val="24"/>
        </w:rPr>
        <w:t>,” and while no written record of a magical herb model exists, that every Egyptian “physician</w:t>
      </w:r>
      <w:r>
        <w:rPr>
          <w:rStyle w:val="FootnoteReference"/>
          <w:rFonts w:ascii="Times New Roman" w:hAnsi="Times New Roman" w:cs="Times New Roman"/>
          <w:sz w:val="24"/>
          <w:szCs w:val="24"/>
        </w:rPr>
        <w:footnoteReference w:id="309"/>
      </w:r>
      <w:r>
        <w:rPr>
          <w:rFonts w:ascii="Times New Roman" w:hAnsi="Times New Roman" w:cs="Times New Roman"/>
          <w:sz w:val="24"/>
          <w:szCs w:val="24"/>
        </w:rPr>
        <w:t>” and every sorceress, foreign or Greek, should have known precisely what to administer and how strongly suggests that an oral model did exist, and that it transcended into the medical model when Hippocrates began recording his Asclepiad lessons</w:t>
      </w:r>
      <w:r>
        <w:rPr>
          <w:rStyle w:val="FootnoteReference"/>
          <w:rFonts w:ascii="Times New Roman" w:hAnsi="Times New Roman" w:cs="Times New Roman"/>
          <w:sz w:val="24"/>
          <w:szCs w:val="24"/>
        </w:rPr>
        <w:footnoteReference w:id="310"/>
      </w:r>
      <w:r>
        <w:rPr>
          <w:rFonts w:ascii="Times New Roman" w:hAnsi="Times New Roman" w:cs="Times New Roman"/>
          <w:sz w:val="24"/>
          <w:szCs w:val="24"/>
        </w:rPr>
        <w:t>.  While the Hippocratics may not have cared much for mixing divinity with medicine, it cannot be denied that their association of herbs with humors appears to stem in very large part from knowledge they would most easily have come by from observing faith healers like the Asclepiads and from reading magical papyri.  Perhaps the lack of laws restricting those so-called “witch doctors” from practicing was, in part, some admission of this truth: the general public must have recognized a veritable link between medicinal and magical qualities and applications of herbs, despite Hippocratic attempts to decry them as hacks.  A full and proper understanding of ancient herbal medicine simply cannot be achieved without looking into ancient herbal magic; the two fields were inseparably intertwined, with new discoveries in one leading to new applications in the other.</w:t>
      </w:r>
    </w:p>
    <w:p w:rsidR="00385CDE" w:rsidRPr="002F0E6F" w:rsidRDefault="00385CDE" w:rsidP="00385CDE">
      <w:pPr>
        <w:spacing w:line="480" w:lineRule="auto"/>
        <w:ind w:firstLine="720"/>
        <w:rPr>
          <w:rFonts w:ascii="Times New Roman" w:hAnsi="Times New Roman" w:cs="Times New Roman"/>
          <w:sz w:val="24"/>
          <w:szCs w:val="24"/>
        </w:rPr>
      </w:pPr>
    </w:p>
    <w:p w:rsidR="009A06BC" w:rsidRPr="00C879F5" w:rsidRDefault="00E67321" w:rsidP="009A06BC">
      <w:pPr>
        <w:jc w:val="center"/>
        <w:rPr>
          <w:rFonts w:ascii="Times New Roman" w:hAnsi="Times New Roman" w:cs="Times New Roman"/>
          <w:sz w:val="24"/>
          <w:szCs w:val="24"/>
        </w:rPr>
      </w:pPr>
      <w:r w:rsidRPr="009A06BC">
        <w:rPr>
          <w:rFonts w:ascii="Times New Roman" w:hAnsi="Times New Roman" w:cs="Times New Roman"/>
          <w:sz w:val="24"/>
          <w:szCs w:val="24"/>
        </w:rPr>
        <w:br w:type="page"/>
      </w:r>
      <w:r w:rsidR="009A06BC">
        <w:rPr>
          <w:rFonts w:ascii="Times New Roman" w:hAnsi="Times New Roman" w:cs="Times New Roman"/>
          <w:sz w:val="24"/>
          <w:szCs w:val="24"/>
        </w:rPr>
        <w:lastRenderedPageBreak/>
        <w:t>APPENDIX A – Documented Medico-Magical Uses</w:t>
      </w:r>
      <w:r w:rsidR="009A06BC" w:rsidRPr="00C879F5">
        <w:rPr>
          <w:rFonts w:ascii="Times New Roman" w:hAnsi="Times New Roman" w:cs="Times New Roman"/>
          <w:sz w:val="24"/>
          <w:szCs w:val="24"/>
        </w:rPr>
        <w:t xml:space="preserve"> </w:t>
      </w:r>
      <w:r w:rsidR="009A06BC">
        <w:rPr>
          <w:rFonts w:ascii="Times New Roman" w:hAnsi="Times New Roman" w:cs="Times New Roman"/>
          <w:sz w:val="24"/>
          <w:szCs w:val="24"/>
        </w:rPr>
        <w:t>of the Case Study Herbs</w:t>
      </w:r>
    </w:p>
    <w:tbl>
      <w:tblPr>
        <w:tblStyle w:val="TableGrid"/>
        <w:tblW w:w="0" w:type="auto"/>
        <w:tblLook w:val="04A0"/>
      </w:tblPr>
      <w:tblGrid>
        <w:gridCol w:w="1776"/>
        <w:gridCol w:w="3718"/>
        <w:gridCol w:w="4082"/>
      </w:tblGrid>
      <w:tr w:rsidR="009A06BC" w:rsidRPr="00C879F5" w:rsidTr="00961E42">
        <w:tc>
          <w:tcPr>
            <w:tcW w:w="1776" w:type="dxa"/>
          </w:tcPr>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HERB</w:t>
            </w:r>
          </w:p>
        </w:tc>
        <w:tc>
          <w:tcPr>
            <w:tcW w:w="3718" w:type="dxa"/>
          </w:tcPr>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MEDICAL USAGE</w:t>
            </w:r>
          </w:p>
        </w:tc>
        <w:tc>
          <w:tcPr>
            <w:tcW w:w="4082" w:type="dxa"/>
          </w:tcPr>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MAGICAL USAGE</w:t>
            </w: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Coriander</w:t>
            </w:r>
          </w:p>
          <w:p w:rsidR="009A06BC" w:rsidRPr="00C879F5"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i/>
                <w:sz w:val="24"/>
                <w:szCs w:val="24"/>
              </w:rPr>
            </w:pPr>
            <w:r w:rsidRPr="00C879F5">
              <w:rPr>
                <w:rFonts w:ascii="Times New Roman" w:hAnsi="Times New Roman" w:cs="Times New Roman"/>
                <w:i/>
                <w:sz w:val="24"/>
                <w:szCs w:val="24"/>
              </w:rPr>
              <w:t>Coriandrum sativum</w:t>
            </w:r>
          </w:p>
          <w:p w:rsidR="009A06BC" w:rsidRPr="00C879F5"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Lat. coriandrum</w:t>
            </w:r>
          </w:p>
          <w:p w:rsidR="009A06BC" w:rsidRPr="00C879F5"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 xml:space="preserve">Gk. </w:t>
            </w:r>
            <w:r w:rsidRPr="00C879F5">
              <w:rPr>
                <w:rFonts w:ascii="Times New Roman" w:hAnsi="Times New Roman" w:cs="Times New Roman"/>
                <w:sz w:val="24"/>
                <w:szCs w:val="24"/>
                <w:lang w:val="el-GR"/>
              </w:rPr>
              <w:t>κορίαννον</w:t>
            </w:r>
          </w:p>
        </w:tc>
        <w:tc>
          <w:tcPr>
            <w:tcW w:w="3718" w:type="dxa"/>
          </w:tcPr>
          <w:p w:rsidR="009A06BC" w:rsidRDefault="009A06BC" w:rsidP="009A06BC">
            <w:pPr>
              <w:rPr>
                <w:rFonts w:ascii="Times New Roman" w:hAnsi="Times New Roman" w:cs="Times New Roman"/>
                <w:i/>
                <w:sz w:val="24"/>
                <w:szCs w:val="24"/>
              </w:rPr>
            </w:pPr>
          </w:p>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i/>
                <w:sz w:val="24"/>
                <w:szCs w:val="24"/>
              </w:rPr>
              <w:t>CH</w:t>
            </w:r>
            <w:r w:rsidRPr="00C879F5">
              <w:rPr>
                <w:rFonts w:ascii="Times New Roman" w:hAnsi="Times New Roman" w:cs="Times New Roman"/>
                <w:sz w:val="24"/>
                <w:szCs w:val="24"/>
              </w:rPr>
              <w:t xml:space="preserve"> 14 mentions (7 gyn</w:t>
            </w:r>
            <w:r>
              <w:rPr>
                <w:rFonts w:ascii="Times New Roman" w:hAnsi="Times New Roman" w:cs="Times New Roman"/>
                <w:sz w:val="24"/>
                <w:szCs w:val="24"/>
              </w:rPr>
              <w:t>.</w:t>
            </w:r>
            <w:r w:rsidRPr="00C879F5">
              <w:rPr>
                <w:rFonts w:ascii="Times New Roman" w:hAnsi="Times New Roman" w:cs="Times New Roman"/>
                <w:sz w:val="24"/>
                <w:szCs w:val="24"/>
              </w:rPr>
              <w:t>, 7 med</w:t>
            </w:r>
            <w:r>
              <w:rPr>
                <w:rFonts w:ascii="Times New Roman" w:hAnsi="Times New Roman" w:cs="Times New Roman"/>
                <w:sz w:val="24"/>
                <w:szCs w:val="24"/>
              </w:rPr>
              <w:t>.</w:t>
            </w:r>
            <w:r w:rsidRPr="00C879F5">
              <w:rPr>
                <w:rFonts w:ascii="Times New Roman" w:hAnsi="Times New Roman" w:cs="Times New Roman"/>
                <w:sz w:val="24"/>
                <w:szCs w:val="24"/>
              </w:rPr>
              <w:t>) including jaundice, tuberculosis, diarrhea, and tenesmus</w:t>
            </w:r>
            <w:r>
              <w:rPr>
                <w:rFonts w:ascii="Times New Roman" w:hAnsi="Times New Roman" w:cs="Times New Roman"/>
                <w:sz w:val="24"/>
                <w:szCs w:val="24"/>
              </w:rPr>
              <w:t xml:space="preserve">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Pseudo-Hippocrates, </w:t>
            </w:r>
            <w:r>
              <w:rPr>
                <w:rFonts w:ascii="Times New Roman" w:hAnsi="Times New Roman" w:cs="Times New Roman"/>
                <w:i/>
                <w:sz w:val="24"/>
                <w:szCs w:val="24"/>
              </w:rPr>
              <w:t xml:space="preserve">On Regimen </w:t>
            </w:r>
            <w:r>
              <w:rPr>
                <w:rFonts w:ascii="Times New Roman" w:hAnsi="Times New Roman" w:cs="Times New Roman"/>
                <w:sz w:val="24"/>
                <w:szCs w:val="24"/>
              </w:rPr>
              <w:t>2.54 “Coriander is warm and astringent: it stops heartburn, and when eaten last it leads to sleep.”</w:t>
            </w:r>
          </w:p>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i/>
                <w:sz w:val="24"/>
                <w:szCs w:val="24"/>
              </w:rPr>
              <w:t xml:space="preserve">DMM </w:t>
            </w:r>
            <w:r w:rsidRPr="00C879F5">
              <w:rPr>
                <w:rFonts w:ascii="Times New Roman" w:hAnsi="Times New Roman" w:cs="Times New Roman"/>
                <w:sz w:val="24"/>
                <w:szCs w:val="24"/>
              </w:rPr>
              <w:t>3.67 by itself, a treatment for ergotism; with honey, for use on “epinyctidas” (cuticle infection?), carbuncles, and pustules; with bean flour, for use on discolored lumps and sebaceous cysts</w:t>
            </w:r>
          </w:p>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i/>
                <w:sz w:val="24"/>
                <w:szCs w:val="24"/>
              </w:rPr>
              <w:t>HN</w:t>
            </w:r>
            <w:r w:rsidRPr="00C879F5">
              <w:rPr>
                <w:rFonts w:ascii="Times New Roman" w:hAnsi="Times New Roman" w:cs="Times New Roman"/>
                <w:sz w:val="24"/>
                <w:szCs w:val="24"/>
              </w:rPr>
              <w:t xml:space="preserve"> 20.80 with cabbage, silphium root, and other herbs, “it is good for headaches, impaired vision, spots before the eyes, for the spleen and stomach, and for hypochondria” … other references 20.216-18, according to Touwaide</w:t>
            </w:r>
            <w:r>
              <w:rPr>
                <w:rFonts w:ascii="Times New Roman" w:hAnsi="Times New Roman" w:cs="Times New Roman"/>
                <w:sz w:val="24"/>
                <w:szCs w:val="24"/>
              </w:rPr>
              <w:t xml:space="preserv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6F2367"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(91): The seeds are the useful part, “used in love sachets and spells” and added (when ground up) “to warm wine to make an effective lust potion.”  They can also be worn in an amulet for “easing headaches,” and supposedly “[i]f pregnant women eat coriander, their future children will be ingenious.”  Apparently, the seeds affect the brain.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The plant itself represents (or spiritually aligns with) health and money, and so it is used in spells for attracting both (223). It typically appears in “abundance” and “healing” spells in combination with, or as a substitute for, various other herbs; these spells usually involve grinding and/or burning the herbs so as to release their scents and thus entice divine aides (239-40).</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Yronwode (77-8): For use in faithfulness “Love Mojo” spells, either as an amulet to attract someone specific or as a hidden charm to keep a partner loyal to the magician (both involve contagious magic).  A similar amulet with different ingredients can “prevent headache and diseases” from overtaking the wearer.  She claims the herb is most often used in conjunction with cumin, dill, rosemary, and senna.  For the record, her source information throughout this work is the Doctrine of Signatures and African-American folklore (18).</w:t>
            </w:r>
          </w:p>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Cucumber</w:t>
            </w:r>
          </w:p>
          <w:p w:rsidR="009A06BC" w:rsidRDefault="009A06BC" w:rsidP="009A06BC">
            <w:pPr>
              <w:rPr>
                <w:rFonts w:ascii="Times New Roman" w:hAnsi="Times New Roman" w:cs="Times New Roman"/>
                <w:sz w:val="24"/>
                <w:szCs w:val="24"/>
              </w:rPr>
            </w:pPr>
          </w:p>
          <w:p w:rsidR="009A06BC" w:rsidRPr="00AD7877" w:rsidRDefault="009A06BC" w:rsidP="009A06BC">
            <w:pPr>
              <w:rPr>
                <w:rFonts w:ascii="Times New Roman" w:hAnsi="Times New Roman" w:cs="Times New Roman"/>
                <w:i/>
                <w:sz w:val="24"/>
                <w:szCs w:val="24"/>
              </w:rPr>
            </w:pPr>
            <w:r>
              <w:rPr>
                <w:rFonts w:ascii="Times New Roman" w:hAnsi="Times New Roman" w:cs="Times New Roman"/>
                <w:i/>
                <w:sz w:val="24"/>
                <w:szCs w:val="24"/>
              </w:rPr>
              <w:t>Ecballium elaterium,</w:t>
            </w:r>
            <w:r>
              <w:rPr>
                <w:rFonts w:ascii="Times New Roman" w:hAnsi="Times New Roman" w:cs="Times New Roman"/>
                <w:sz w:val="24"/>
                <w:szCs w:val="24"/>
              </w:rPr>
              <w:t xml:space="preserve"> most likely, or else </w:t>
            </w:r>
            <w:r>
              <w:rPr>
                <w:rFonts w:ascii="Times New Roman" w:hAnsi="Times New Roman" w:cs="Times New Roman"/>
                <w:i/>
                <w:sz w:val="24"/>
                <w:szCs w:val="24"/>
              </w:rPr>
              <w:t>Cucumis sativus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elaterium</w:t>
            </w:r>
          </w:p>
          <w:p w:rsidR="009A06BC" w:rsidRDefault="009A06BC" w:rsidP="009A06BC">
            <w:pPr>
              <w:rPr>
                <w:rFonts w:ascii="Times New Roman" w:hAnsi="Times New Roman" w:cs="Times New Roman"/>
                <w:sz w:val="24"/>
                <w:szCs w:val="24"/>
              </w:rPr>
            </w:pPr>
          </w:p>
          <w:p w:rsidR="009A06BC" w:rsidRPr="00F44780"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ἐλατήριον</w:t>
            </w:r>
          </w:p>
        </w:tc>
        <w:tc>
          <w:tcPr>
            <w:tcW w:w="3718" w:type="dxa"/>
          </w:tcPr>
          <w:p w:rsidR="009A06BC" w:rsidRDefault="009A06BC" w:rsidP="009A06BC">
            <w:pPr>
              <w:rPr>
                <w:rFonts w:ascii="Times New Roman" w:hAnsi="Times New Roman" w:cs="Times New Roman"/>
                <w:i/>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CH </w:t>
            </w:r>
            <w:r>
              <w:rPr>
                <w:rFonts w:ascii="Times New Roman" w:hAnsi="Times New Roman" w:cs="Times New Roman"/>
                <w:sz w:val="24"/>
                <w:szCs w:val="24"/>
              </w:rPr>
              <w:t>33 uses (24 gyn., 9 med.) including “gallbladder complaints [and] day blindness”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HN</w:t>
            </w:r>
            <w:r>
              <w:rPr>
                <w:rFonts w:ascii="Times New Roman" w:hAnsi="Times New Roman" w:cs="Times New Roman"/>
                <w:sz w:val="24"/>
                <w:szCs w:val="24"/>
              </w:rPr>
              <w:t xml:space="preserve"> 20.3 The seeds were mixed with rain water and dried in the sun, and then shaped into tablets that were taken for eye issues (poor vision, sores, and various diseases).  The roots, also dried, were coated in resin and used for skin issues (impetigo, scabies, psoriasis, and ringworm).</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4.155 The wild, or bitter, version is discussed here.  Its juice stops earaches.  Its root, combined in a poultice with polenta, stops any kind of swelling; with terebinth, any lumps; and with vinegar, gout, sciatica, and toothaches.  As a powder, it clears up any number of skin conditions, ranging from impetigo to acne.  Root juice lowers levels of cholera and phlegm raised by dropsy, “without offending the stomach” … it works best in “Libyan wine” and on an empty stomach.</w:t>
            </w: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  </w:t>
            </w:r>
          </w:p>
          <w:p w:rsidR="009A06BC" w:rsidRPr="00E45383"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(95): Eating the fruit “hinders lust,” but eating the seeds promotes fertility, so we can assume the plant was used to bend lovers’ wills toward the magician’s.  Rubbing the peel on one’s “forehead relieves headache pain,” too … possible relation to placing cucumber slivers on the eyes to supposedly remove tension?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CD15A8" w:rsidRDefault="009A06BC" w:rsidP="009A06BC">
            <w:pPr>
              <w:rPr>
                <w:rFonts w:ascii="Times New Roman" w:hAnsi="Times New Roman" w:cs="Times New Roman"/>
                <w:sz w:val="24"/>
                <w:szCs w:val="24"/>
              </w:rPr>
            </w:pPr>
            <w:r>
              <w:rPr>
                <w:rFonts w:ascii="Times New Roman" w:hAnsi="Times New Roman" w:cs="Times New Roman"/>
                <w:i/>
                <w:sz w:val="24"/>
                <w:szCs w:val="24"/>
              </w:rPr>
              <w:t>Demotic Magical Papyrus</w:t>
            </w:r>
            <w:r>
              <w:rPr>
                <w:rFonts w:ascii="Times New Roman" w:hAnsi="Times New Roman" w:cs="Times New Roman"/>
                <w:sz w:val="24"/>
                <w:szCs w:val="24"/>
              </w:rPr>
              <w:t xml:space="preserve"> (London, Leiden):</w:t>
            </w:r>
          </w:p>
          <w:p w:rsidR="009A06BC" w:rsidRDefault="009A06BC" w:rsidP="009A06BC">
            <w:pPr>
              <w:rPr>
                <w:rFonts w:ascii="Times New Roman" w:hAnsi="Times New Roman" w:cs="Times New Roman"/>
                <w:sz w:val="24"/>
                <w:szCs w:val="24"/>
              </w:rPr>
            </w:pPr>
          </w:p>
          <w:p w:rsidR="009A06BC" w:rsidRPr="006D7FCD" w:rsidRDefault="009A06BC" w:rsidP="009A06BC">
            <w:pPr>
              <w:rPr>
                <w:rFonts w:ascii="Times New Roman" w:hAnsi="Times New Roman" w:cs="Times New Roman"/>
                <w:sz w:val="24"/>
                <w:szCs w:val="24"/>
              </w:rPr>
            </w:pPr>
            <w:r w:rsidRPr="007D529F">
              <w:rPr>
                <w:rFonts w:ascii="Times New Roman" w:hAnsi="Times New Roman" w:cs="Times New Roman"/>
                <w:i/>
                <w:sz w:val="24"/>
                <w:szCs w:val="24"/>
              </w:rPr>
              <w:t>PDM</w:t>
            </w:r>
            <w:r>
              <w:rPr>
                <w:rFonts w:ascii="Times New Roman" w:hAnsi="Times New Roman" w:cs="Times New Roman"/>
                <w:sz w:val="24"/>
                <w:szCs w:val="24"/>
              </w:rPr>
              <w:t xml:space="preserve"> Col. 7 “one ladleful” of the juice appears in a recipe for “A remedy to cure water in a woman,” wherein the potion is administered orally; Col. 10 the juice is used as a foot-bath for a “gouty man,” in combination with an inscribed talisman.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Pseudo-Hippocrates, </w:t>
            </w:r>
            <w:r>
              <w:rPr>
                <w:rFonts w:ascii="Times New Roman" w:hAnsi="Times New Roman" w:cs="Times New Roman"/>
                <w:i/>
                <w:sz w:val="24"/>
                <w:szCs w:val="24"/>
              </w:rPr>
              <w:t xml:space="preserve">Diseases of Women </w:t>
            </w:r>
            <w:r>
              <w:rPr>
                <w:rFonts w:ascii="Times New Roman" w:hAnsi="Times New Roman" w:cs="Times New Roman"/>
                <w:sz w:val="24"/>
                <w:szCs w:val="24"/>
              </w:rPr>
              <w:t>1.77 “Smear fruit of the wild cucumber […] on wax, then wind [it] up in red wool, and tie it around [the patient’s] loin” to wear as an amulet for speeding up labor.</w:t>
            </w: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Cumin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Cuminum cyminum</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cuminum</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κύμινον</w:t>
            </w:r>
          </w:p>
          <w:p w:rsidR="009A06BC" w:rsidRPr="006853F1" w:rsidRDefault="009A06BC" w:rsidP="009A06BC">
            <w:pPr>
              <w:rPr>
                <w:rFonts w:ascii="Times New Roman" w:hAnsi="Times New Roman" w:cs="Times New Roman"/>
                <w:sz w:val="24"/>
                <w:szCs w:val="24"/>
              </w:rPr>
            </w:pPr>
          </w:p>
        </w:tc>
        <w:tc>
          <w:tcPr>
            <w:tcW w:w="3718" w:type="dxa"/>
          </w:tcPr>
          <w:p w:rsidR="009A06BC" w:rsidRDefault="009A06BC" w:rsidP="009A06BC">
            <w:pPr>
              <w:rPr>
                <w:rFonts w:ascii="Times New Roman" w:hAnsi="Times New Roman" w:cs="Times New Roman"/>
                <w:i/>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CH</w:t>
            </w:r>
            <w:r>
              <w:rPr>
                <w:rFonts w:ascii="Times New Roman" w:hAnsi="Times New Roman" w:cs="Times New Roman"/>
                <w:sz w:val="24"/>
                <w:szCs w:val="24"/>
              </w:rPr>
              <w:t xml:space="preserve"> 72 uses (51 gyn., 21 med.) including fevers and stomachaches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 xml:space="preserve">3.64-5 A “warm, dry, and styptic” herb, the </w:t>
            </w:r>
            <w:r>
              <w:rPr>
                <w:rFonts w:ascii="Times New Roman" w:hAnsi="Times New Roman" w:cs="Times New Roman"/>
                <w:i/>
                <w:sz w:val="24"/>
                <w:szCs w:val="24"/>
              </w:rPr>
              <w:t xml:space="preserve">sativum </w:t>
            </w:r>
            <w:r>
              <w:rPr>
                <w:rFonts w:ascii="Times New Roman" w:hAnsi="Times New Roman" w:cs="Times New Roman"/>
                <w:sz w:val="24"/>
                <w:szCs w:val="24"/>
              </w:rPr>
              <w:t xml:space="preserve">breed is eaten for increasing gas-flow, and rubbed onto sprained muscles and bites.  With vinegar, it stops </w:t>
            </w:r>
            <w:r>
              <w:rPr>
                <w:rFonts w:ascii="Times New Roman" w:hAnsi="Times New Roman" w:cs="Times New Roman"/>
                <w:sz w:val="24"/>
                <w:szCs w:val="24"/>
              </w:rPr>
              <w:lastRenderedPageBreak/>
              <w:t>excessive blood-flow, both nasal and menstrual.  It is never taken alone, but always mixed with one or more neutral ingredients; Dioscorides warns that applying too much of it turns the skin yellow, though.</w:t>
            </w:r>
          </w:p>
          <w:p w:rsidR="009A06BC" w:rsidRDefault="009A06BC" w:rsidP="009A06BC">
            <w:pPr>
              <w:rPr>
                <w:rFonts w:ascii="Times New Roman" w:hAnsi="Times New Roman" w:cs="Times New Roman"/>
                <w:sz w:val="24"/>
                <w:szCs w:val="24"/>
              </w:rPr>
            </w:pPr>
          </w:p>
          <w:p w:rsidR="009A06BC" w:rsidRPr="007A7F90"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The wild breed, </w:t>
            </w:r>
            <w:r>
              <w:rPr>
                <w:rFonts w:ascii="Times New Roman" w:hAnsi="Times New Roman" w:cs="Times New Roman"/>
                <w:i/>
                <w:sz w:val="24"/>
                <w:szCs w:val="24"/>
              </w:rPr>
              <w:t xml:space="preserve">sylvestre alterum, </w:t>
            </w:r>
            <w:r>
              <w:rPr>
                <w:rFonts w:ascii="Times New Roman" w:hAnsi="Times New Roman" w:cs="Times New Roman"/>
                <w:sz w:val="24"/>
                <w:szCs w:val="24"/>
              </w:rPr>
              <w:t>is more abundant, useful, and flavorful.  It has all of the uses of its domestic cousin but with different recipes, except that it can be taken with wine to drive out any poison or excess Humor affecting the stomach.  He recommends finding a strain that looks like the domestic breed, because that “is the most excellent remedy for snakebites” and a top-notch aid for passing stones (it also works with celery to purge blood from the urine).</w:t>
            </w:r>
          </w:p>
          <w:p w:rsidR="009A06BC" w:rsidRPr="00526462"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Cunningham (95-6): The herb is “burned with frankincense for protection and scattered on the floor, sometimes with salt, to drive out evil.  It is also worn by brides to keep negativity away from the wedding.”  Wearing it at other times supposedly grants “peace of mind”; it is a common ingredient in aphrodisiacs and love spells, particularly ones demanding </w:t>
            </w:r>
            <w:r>
              <w:rPr>
                <w:rFonts w:ascii="Times New Roman" w:hAnsi="Times New Roman" w:cs="Times New Roman"/>
                <w:sz w:val="24"/>
                <w:szCs w:val="24"/>
              </w:rPr>
              <w:lastRenderedPageBreak/>
              <w:t>fidelity from a partner.  He notes, too, that the seed prevents the theft of whatever it’s contained in, including bread that “wood spirits” in central European folktales go around lifting from people’s homes at night.</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(223): She likewise notes this herb as being useful for “protection of belongings,” though it is not as popular amongst modern-day magicians.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Yronwode (80): The seeds bring about luck in terms of protection against evil forces and fidelity from a partner.  She says salt is necessary for the former, and bread for the latter, although </w:t>
            </w:r>
            <w:proofErr w:type="gramStart"/>
            <w:r>
              <w:rPr>
                <w:rFonts w:ascii="Times New Roman" w:hAnsi="Times New Roman" w:cs="Times New Roman"/>
                <w:sz w:val="24"/>
                <w:szCs w:val="24"/>
              </w:rPr>
              <w:t>a candle spell</w:t>
            </w:r>
            <w:proofErr w:type="gramEnd"/>
            <w:r>
              <w:rPr>
                <w:rFonts w:ascii="Times New Roman" w:hAnsi="Times New Roman" w:cs="Times New Roman"/>
                <w:sz w:val="24"/>
                <w:szCs w:val="24"/>
              </w:rPr>
              <w:t xml:space="preserve"> at bedtime can replace the bread.  Coriander seems to be a more popular substitute; rosemary and senna have similar magical uses, as well.</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PGM </w:t>
            </w:r>
            <w:r>
              <w:rPr>
                <w:rFonts w:ascii="Times New Roman" w:hAnsi="Times New Roman" w:cs="Times New Roman"/>
                <w:sz w:val="24"/>
                <w:szCs w:val="24"/>
              </w:rPr>
              <w:t xml:space="preserve">2.7 in a hypnotic “Solomon’s Charm” spell, black cumin is used in part of a banishing spell for Solomon’s ghost (?), if it should have trouble leaving its host; </w:t>
            </w:r>
            <w:r>
              <w:rPr>
                <w:rFonts w:ascii="Times New Roman" w:hAnsi="Times New Roman" w:cs="Times New Roman"/>
                <w:i/>
                <w:sz w:val="24"/>
                <w:szCs w:val="24"/>
              </w:rPr>
              <w:t>PGM</w:t>
            </w:r>
            <w:r>
              <w:rPr>
                <w:rFonts w:ascii="Times New Roman" w:hAnsi="Times New Roman" w:cs="Times New Roman"/>
                <w:sz w:val="24"/>
                <w:szCs w:val="24"/>
              </w:rPr>
              <w:t xml:space="preserve"> 4.1331-89 Ethiopian cumin appears with Egyptian onion and other ingredients (mostly from animals) in a “Powerful Spell of the Bear which Accomplishes Anything” and involves invoking the darkest of entities.”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Cyranides Grimoire (Kyr.) </w:t>
            </w:r>
            <w:r>
              <w:rPr>
                <w:rFonts w:ascii="Times New Roman" w:hAnsi="Times New Roman" w:cs="Times New Roman"/>
                <w:sz w:val="24"/>
                <w:szCs w:val="24"/>
              </w:rPr>
              <w:t>of King Kirani of Persia and of Harpocration features cumin ground up with rocket seed, pepper, “Purslain” seed, and honey being taken twice daily (likely as an ointment) for combating droopiness in the genitals of old men (5.E).</w:t>
            </w:r>
          </w:p>
          <w:p w:rsidR="009A06BC" w:rsidRPr="00ED3A23"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 xml:space="preserve">Datura </w:t>
            </w: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w:t>
            </w:r>
            <w:proofErr w:type="gramStart"/>
            <w:r w:rsidRPr="00C879F5">
              <w:rPr>
                <w:rFonts w:ascii="Times New Roman" w:hAnsi="Times New Roman" w:cs="Times New Roman"/>
                <w:sz w:val="24"/>
                <w:szCs w:val="24"/>
              </w:rPr>
              <w:t>a.k.a</w:t>
            </w:r>
            <w:proofErr w:type="gramEnd"/>
            <w:r w:rsidRPr="00C879F5">
              <w:rPr>
                <w:rFonts w:ascii="Times New Roman" w:hAnsi="Times New Roman" w:cs="Times New Roman"/>
                <w:sz w:val="24"/>
                <w:szCs w:val="24"/>
              </w:rPr>
              <w:t>. Thorn-apple, Jimsonweed, etc.)</w:t>
            </w:r>
          </w:p>
          <w:p w:rsidR="009A06BC" w:rsidRDefault="009A06BC" w:rsidP="009A06BC">
            <w:pPr>
              <w:rPr>
                <w:rFonts w:ascii="Times New Roman" w:hAnsi="Times New Roman" w:cs="Times New Roman"/>
                <w:sz w:val="24"/>
                <w:szCs w:val="24"/>
              </w:rPr>
            </w:pPr>
          </w:p>
          <w:p w:rsidR="009A06BC" w:rsidRPr="009B6F6F" w:rsidRDefault="009A06BC" w:rsidP="009A06BC">
            <w:pPr>
              <w:rPr>
                <w:rFonts w:ascii="Times New Roman" w:hAnsi="Times New Roman" w:cs="Times New Roman"/>
                <w:sz w:val="24"/>
                <w:szCs w:val="24"/>
                <w:lang w:val="es-ES"/>
              </w:rPr>
            </w:pPr>
            <w:r w:rsidRPr="009B6F6F">
              <w:rPr>
                <w:rFonts w:ascii="Times New Roman" w:hAnsi="Times New Roman" w:cs="Times New Roman"/>
                <w:i/>
                <w:sz w:val="24"/>
                <w:szCs w:val="24"/>
                <w:lang w:val="es-ES"/>
              </w:rPr>
              <w:t>Datura</w:t>
            </w:r>
            <w:r>
              <w:rPr>
                <w:rFonts w:ascii="Times New Roman" w:hAnsi="Times New Roman" w:cs="Times New Roman"/>
                <w:i/>
                <w:sz w:val="24"/>
                <w:szCs w:val="24"/>
                <w:lang w:val="es-ES"/>
              </w:rPr>
              <w:t xml:space="preserve"> spp.</w:t>
            </w:r>
          </w:p>
          <w:p w:rsidR="009A06BC" w:rsidRPr="009B6F6F" w:rsidRDefault="009A06BC" w:rsidP="009A06BC">
            <w:pPr>
              <w:rPr>
                <w:rFonts w:ascii="Times New Roman" w:hAnsi="Times New Roman" w:cs="Times New Roman"/>
                <w:sz w:val="24"/>
                <w:szCs w:val="24"/>
                <w:lang w:val="es-ES"/>
              </w:rPr>
            </w:pPr>
          </w:p>
          <w:p w:rsidR="009A06BC" w:rsidRPr="009B6F6F" w:rsidRDefault="009A06BC" w:rsidP="009A06BC">
            <w:pPr>
              <w:rPr>
                <w:rFonts w:ascii="Times New Roman" w:hAnsi="Times New Roman" w:cs="Times New Roman"/>
                <w:sz w:val="24"/>
                <w:szCs w:val="24"/>
                <w:lang w:val="es-ES"/>
              </w:rPr>
            </w:pPr>
            <w:r w:rsidRPr="009B6F6F">
              <w:rPr>
                <w:rFonts w:ascii="Times New Roman" w:hAnsi="Times New Roman" w:cs="Times New Roman"/>
                <w:sz w:val="24"/>
                <w:szCs w:val="24"/>
                <w:lang w:val="es-ES"/>
              </w:rPr>
              <w:t>Lat. solanum, strumus, atropa, or datura</w:t>
            </w:r>
          </w:p>
          <w:p w:rsidR="009A06BC" w:rsidRPr="009B6F6F" w:rsidRDefault="009A06BC" w:rsidP="009A06BC">
            <w:pPr>
              <w:rPr>
                <w:rFonts w:ascii="Times New Roman" w:hAnsi="Times New Roman" w:cs="Times New Roman"/>
                <w:sz w:val="24"/>
                <w:szCs w:val="24"/>
                <w:lang w:val="es-ES"/>
              </w:rPr>
            </w:pPr>
          </w:p>
          <w:p w:rsidR="009A06BC" w:rsidRPr="009B6F6F" w:rsidRDefault="009A06BC" w:rsidP="009A06BC">
            <w:pPr>
              <w:rPr>
                <w:rFonts w:ascii="Times New Roman" w:hAnsi="Times New Roman" w:cs="Times New Roman"/>
                <w:sz w:val="24"/>
                <w:szCs w:val="24"/>
                <w:lang w:val="es-ES"/>
              </w:rPr>
            </w:pPr>
            <w:r w:rsidRPr="009B6F6F">
              <w:rPr>
                <w:rFonts w:ascii="Times New Roman" w:hAnsi="Times New Roman" w:cs="Times New Roman"/>
                <w:sz w:val="24"/>
                <w:szCs w:val="24"/>
                <w:lang w:val="es-ES"/>
              </w:rPr>
              <w:t xml:space="preserve">Gk. </w:t>
            </w:r>
            <w:r>
              <w:rPr>
                <w:rFonts w:ascii="Times New Roman" w:hAnsi="Times New Roman" w:cs="Times New Roman"/>
                <w:sz w:val="24"/>
                <w:szCs w:val="24"/>
                <w:lang w:val="el-GR"/>
              </w:rPr>
              <w:t>στρύχνος</w:t>
            </w:r>
          </w:p>
        </w:tc>
        <w:tc>
          <w:tcPr>
            <w:tcW w:w="3718" w:type="dxa"/>
          </w:tcPr>
          <w:p w:rsidR="009A06BC" w:rsidRP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4.75 “They say that the root [of mandrake], when drunk together with thorn-apple, is also an antidote against what is called madness [i.e. epilepsy].”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Hünemörder (“Strychnos”) lumps the </w:t>
            </w:r>
            <w:r>
              <w:rPr>
                <w:rFonts w:ascii="Times New Roman" w:hAnsi="Times New Roman" w:cs="Times New Roman"/>
                <w:i/>
                <w:sz w:val="24"/>
                <w:szCs w:val="24"/>
              </w:rPr>
              <w:t xml:space="preserve">Solanaceae </w:t>
            </w:r>
            <w:r>
              <w:rPr>
                <w:rFonts w:ascii="Times New Roman" w:hAnsi="Times New Roman" w:cs="Times New Roman"/>
                <w:sz w:val="24"/>
                <w:szCs w:val="24"/>
              </w:rPr>
              <w:t>family members together (</w:t>
            </w:r>
            <w:r>
              <w:rPr>
                <w:rFonts w:ascii="Times New Roman" w:hAnsi="Times New Roman" w:cs="Times New Roman"/>
                <w:i/>
                <w:sz w:val="24"/>
                <w:szCs w:val="24"/>
              </w:rPr>
              <w:t xml:space="preserve">Solanum, Atropa, Physalis, </w:t>
            </w:r>
            <w:r>
              <w:rPr>
                <w:rFonts w:ascii="Times New Roman" w:hAnsi="Times New Roman" w:cs="Times New Roman"/>
                <w:sz w:val="24"/>
                <w:szCs w:val="24"/>
              </w:rPr>
              <w:t xml:space="preserve">and </w:t>
            </w:r>
            <w:r>
              <w:rPr>
                <w:rFonts w:ascii="Times New Roman" w:hAnsi="Times New Roman" w:cs="Times New Roman"/>
                <w:i/>
                <w:sz w:val="24"/>
                <w:szCs w:val="24"/>
              </w:rPr>
              <w:t>Datura</w:t>
            </w:r>
            <w:r>
              <w:rPr>
                <w:rFonts w:ascii="Times New Roman" w:hAnsi="Times New Roman" w:cs="Times New Roman"/>
                <w:sz w:val="24"/>
                <w:szCs w:val="24"/>
              </w:rPr>
              <w:t xml:space="preserve">) as having all been used similarly in ancient times.  He cites </w:t>
            </w:r>
            <w:r>
              <w:rPr>
                <w:rFonts w:ascii="Times New Roman" w:hAnsi="Times New Roman" w:cs="Times New Roman"/>
                <w:i/>
                <w:sz w:val="24"/>
                <w:szCs w:val="24"/>
              </w:rPr>
              <w:t xml:space="preserve">HN </w:t>
            </w:r>
            <w:r>
              <w:rPr>
                <w:rFonts w:ascii="Times New Roman" w:hAnsi="Times New Roman" w:cs="Times New Roman"/>
                <w:sz w:val="24"/>
                <w:szCs w:val="24"/>
              </w:rPr>
              <w:t>26.120 as touting black nightshade (</w:t>
            </w:r>
            <w:r>
              <w:rPr>
                <w:rFonts w:ascii="Times New Roman" w:hAnsi="Times New Roman" w:cs="Times New Roman"/>
                <w:i/>
                <w:sz w:val="24"/>
                <w:szCs w:val="24"/>
              </w:rPr>
              <w:t>Solanum nigrum</w:t>
            </w:r>
            <w:r>
              <w:rPr>
                <w:rFonts w:ascii="Times New Roman" w:hAnsi="Times New Roman" w:cs="Times New Roman"/>
                <w:sz w:val="24"/>
                <w:szCs w:val="24"/>
              </w:rPr>
              <w:t xml:space="preserve">) as a cure for itches, and </w:t>
            </w:r>
            <w:r>
              <w:rPr>
                <w:rFonts w:ascii="Times New Roman" w:hAnsi="Times New Roman" w:cs="Times New Roman"/>
                <w:i/>
                <w:sz w:val="24"/>
                <w:szCs w:val="24"/>
              </w:rPr>
              <w:t xml:space="preserve">HP </w:t>
            </w:r>
            <w:r>
              <w:rPr>
                <w:rFonts w:ascii="Times New Roman" w:hAnsi="Times New Roman" w:cs="Times New Roman"/>
                <w:sz w:val="24"/>
                <w:szCs w:val="24"/>
              </w:rPr>
              <w:t xml:space="preserve">3.18.11 et al. as using several herbs in this family as narcotics.  He attributes the use of </w:t>
            </w:r>
            <w:r>
              <w:rPr>
                <w:rFonts w:ascii="Times New Roman" w:hAnsi="Times New Roman" w:cs="Times New Roman"/>
                <w:i/>
                <w:sz w:val="24"/>
                <w:szCs w:val="24"/>
              </w:rPr>
              <w:t xml:space="preserve">Datura stramonium, </w:t>
            </w:r>
            <w:r>
              <w:rPr>
                <w:rFonts w:ascii="Times New Roman" w:hAnsi="Times New Roman" w:cs="Times New Roman"/>
                <w:sz w:val="24"/>
                <w:szCs w:val="24"/>
              </w:rPr>
              <w:t>or Jimsonweed, in medicine to Dioscorides, though he offers no citation (given the “madness and death” side-effects listed here, it may well be my own reference above).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It is common knowledge that women in the Middle Ages used juice from deadly nightshade (</w:t>
            </w:r>
            <w:r>
              <w:rPr>
                <w:rFonts w:ascii="Times New Roman" w:hAnsi="Times New Roman" w:cs="Times New Roman"/>
                <w:i/>
                <w:sz w:val="24"/>
                <w:szCs w:val="24"/>
              </w:rPr>
              <w:t>Atropa belladonna</w:t>
            </w:r>
            <w:r>
              <w:rPr>
                <w:rFonts w:ascii="Times New Roman" w:hAnsi="Times New Roman" w:cs="Times New Roman"/>
                <w:sz w:val="24"/>
                <w:szCs w:val="24"/>
              </w:rPr>
              <w:t xml:space="preserve">) to dilate their pupils and to make their skin pale, in order to match contemporary standards for beauty.  One can presume, then, that the juice from the stems of </w:t>
            </w:r>
            <w:r>
              <w:rPr>
                <w:rFonts w:ascii="Times New Roman" w:hAnsi="Times New Roman" w:cs="Times New Roman"/>
                <w:i/>
                <w:sz w:val="24"/>
                <w:szCs w:val="24"/>
              </w:rPr>
              <w:t xml:space="preserve">Solanaceae </w:t>
            </w:r>
            <w:r>
              <w:rPr>
                <w:rFonts w:ascii="Times New Roman" w:hAnsi="Times New Roman" w:cs="Times New Roman"/>
                <w:sz w:val="24"/>
                <w:szCs w:val="24"/>
              </w:rPr>
              <w:t>plants was the active medicinal herb.</w:t>
            </w:r>
          </w:p>
          <w:p w:rsidR="008D736B" w:rsidRDefault="008D736B" w:rsidP="009A06BC">
            <w:pPr>
              <w:rPr>
                <w:rFonts w:ascii="Times New Roman" w:hAnsi="Times New Roman" w:cs="Times New Roman"/>
                <w:sz w:val="24"/>
                <w:szCs w:val="24"/>
              </w:rPr>
            </w:pPr>
          </w:p>
          <w:p w:rsidR="008D736B" w:rsidRPr="00A85EEA" w:rsidRDefault="008D736B" w:rsidP="009A06BC">
            <w:pPr>
              <w:rPr>
                <w:rFonts w:ascii="Times New Roman" w:hAnsi="Times New Roman" w:cs="Times New Roman"/>
                <w:i/>
                <w:sz w:val="24"/>
                <w:szCs w:val="24"/>
              </w:rPr>
            </w:pPr>
            <w:r>
              <w:rPr>
                <w:rFonts w:ascii="Times New Roman" w:hAnsi="Times New Roman" w:cs="Times New Roman"/>
                <w:sz w:val="24"/>
                <w:szCs w:val="24"/>
              </w:rPr>
              <w:t>Shou-zhong (</w:t>
            </w:r>
            <w:r>
              <w:rPr>
                <w:rFonts w:ascii="Times New Roman" w:hAnsi="Times New Roman" w:cs="Times New Roman"/>
                <w:i/>
                <w:sz w:val="24"/>
                <w:szCs w:val="24"/>
              </w:rPr>
              <w:t xml:space="preserve">DFMM </w:t>
            </w:r>
            <w:r>
              <w:rPr>
                <w:rFonts w:ascii="Times New Roman" w:hAnsi="Times New Roman" w:cs="Times New Roman"/>
                <w:sz w:val="24"/>
                <w:szCs w:val="24"/>
              </w:rPr>
              <w:t xml:space="preserve">12, 64) lists two “herbs” from the </w:t>
            </w:r>
            <w:r>
              <w:rPr>
                <w:rFonts w:ascii="Times New Roman" w:hAnsi="Times New Roman" w:cs="Times New Roman"/>
                <w:i/>
                <w:sz w:val="24"/>
                <w:szCs w:val="24"/>
              </w:rPr>
              <w:t xml:space="preserve">Solanum Lyratum </w:t>
            </w:r>
            <w:r>
              <w:rPr>
                <w:rFonts w:ascii="Times New Roman" w:hAnsi="Times New Roman" w:cs="Times New Roman"/>
                <w:sz w:val="24"/>
                <w:szCs w:val="24"/>
              </w:rPr>
              <w:t xml:space="preserve">cousin (of unknown breed) as being medically beneficial.  The herb called </w:t>
            </w:r>
            <w:r>
              <w:rPr>
                <w:rFonts w:ascii="Times New Roman" w:hAnsi="Times New Roman" w:cs="Times New Roman"/>
                <w:i/>
                <w:sz w:val="24"/>
                <w:szCs w:val="24"/>
              </w:rPr>
              <w:t xml:space="preserve">Bai Mo </w:t>
            </w:r>
            <w:r>
              <w:rPr>
                <w:rFonts w:ascii="Times New Roman" w:hAnsi="Times New Roman" w:cs="Times New Roman"/>
                <w:sz w:val="24"/>
                <w:szCs w:val="24"/>
              </w:rPr>
              <w:t xml:space="preserve">“is sweet and cold,” “treats cold and heat, the eight categories of jaundice, and wasting thirst,” and also </w:t>
            </w:r>
            <w:r>
              <w:rPr>
                <w:rFonts w:ascii="Times New Roman" w:hAnsi="Times New Roman" w:cs="Times New Roman"/>
                <w:sz w:val="24"/>
                <w:szCs w:val="24"/>
              </w:rPr>
              <w:lastRenderedPageBreak/>
              <w:t xml:space="preserve">“supplements the center and boosts the qi.”  The ancient author adds that “[p]rotracted taking may make the body light and prolong life,” which is odd, given the toxicity of all members of the </w:t>
            </w:r>
            <w:r>
              <w:rPr>
                <w:rFonts w:ascii="Times New Roman" w:hAnsi="Times New Roman" w:cs="Times New Roman"/>
                <w:i/>
                <w:sz w:val="24"/>
                <w:szCs w:val="24"/>
              </w:rPr>
              <w:t xml:space="preserve">Solanum </w:t>
            </w:r>
            <w:r>
              <w:rPr>
                <w:rFonts w:ascii="Times New Roman" w:hAnsi="Times New Roman" w:cs="Times New Roman"/>
                <w:sz w:val="24"/>
                <w:szCs w:val="24"/>
              </w:rPr>
              <w:t xml:space="preserve">genus.  The other herb, </w:t>
            </w:r>
            <w:r>
              <w:rPr>
                <w:rFonts w:ascii="Times New Roman" w:hAnsi="Times New Roman" w:cs="Times New Roman"/>
                <w:i/>
                <w:sz w:val="24"/>
                <w:szCs w:val="24"/>
              </w:rPr>
              <w:t xml:space="preserve">Shu Yang Quan, </w:t>
            </w:r>
            <w:r>
              <w:rPr>
                <w:rFonts w:ascii="Times New Roman" w:hAnsi="Times New Roman" w:cs="Times New Roman"/>
                <w:sz w:val="24"/>
                <w:szCs w:val="24"/>
              </w:rPr>
              <w:t xml:space="preserve">“is bitter and slightly cold,” and is useful in treating “baldness, malign sores, heat qi, scabs, and lichen worms,” and purportedly “cures tooth decay.”  </w:t>
            </w:r>
            <w:r w:rsidR="006A07B3">
              <w:rPr>
                <w:rFonts w:ascii="Times New Roman" w:hAnsi="Times New Roman" w:cs="Times New Roman"/>
                <w:sz w:val="24"/>
                <w:szCs w:val="24"/>
              </w:rPr>
              <w:t xml:space="preserve">It would appear that the Daoist authors preferred using the “bitter or sweet” addendum to the Hippocratic model </w:t>
            </w:r>
            <w:r w:rsidR="00724DC4">
              <w:rPr>
                <w:rFonts w:ascii="Times New Roman" w:hAnsi="Times New Roman" w:cs="Times New Roman"/>
                <w:sz w:val="24"/>
                <w:szCs w:val="24"/>
              </w:rPr>
              <w:t>found</w:t>
            </w:r>
            <w:r w:rsidR="00532FE1">
              <w:rPr>
                <w:rFonts w:ascii="Times New Roman" w:hAnsi="Times New Roman" w:cs="Times New Roman"/>
                <w:sz w:val="24"/>
                <w:szCs w:val="24"/>
              </w:rPr>
              <w:t xml:space="preserve"> in</w:t>
            </w:r>
            <w:r w:rsidR="00A85EEA">
              <w:rPr>
                <w:rFonts w:ascii="Times New Roman" w:hAnsi="Times New Roman" w:cs="Times New Roman"/>
                <w:sz w:val="24"/>
                <w:szCs w:val="24"/>
              </w:rPr>
              <w:t xml:space="preserve"> </w:t>
            </w:r>
            <w:r w:rsidR="00A85EEA">
              <w:rPr>
                <w:rFonts w:ascii="Times New Roman" w:hAnsi="Times New Roman" w:cs="Times New Roman"/>
                <w:i/>
                <w:sz w:val="24"/>
                <w:szCs w:val="24"/>
              </w:rPr>
              <w:t xml:space="preserve">Nature of Man </w:t>
            </w:r>
            <w:r w:rsidR="00A85EEA">
              <w:rPr>
                <w:rFonts w:ascii="Times New Roman" w:hAnsi="Times New Roman" w:cs="Times New Roman"/>
                <w:sz w:val="24"/>
                <w:szCs w:val="24"/>
              </w:rPr>
              <w:t>2; the 4-humor model seems to indicate that “cold” is correct for Datura, as well.</w:t>
            </w:r>
          </w:p>
          <w:p w:rsidR="009A06BC" w:rsidRDefault="009A06BC" w:rsidP="009A06BC">
            <w:pPr>
              <w:rPr>
                <w:rFonts w:ascii="Times New Roman" w:hAnsi="Times New Roman" w:cs="Times New Roman"/>
                <w:sz w:val="24"/>
                <w:szCs w:val="24"/>
              </w:rPr>
            </w:pPr>
          </w:p>
          <w:p w:rsidR="009A06BC" w:rsidRPr="00D1475D"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(100-1): Leaves can be placed whole in shoes under the bed to cure insomnia or on a hat to prevent “apoplexy as well as sunstroke,” or else crushed and sprinkled around one’s home “to break spells [and to protect] against evil spirits.”  This follows a warning that touching the plant causes skin irritation, so one imagines the leaf-handling is done with gloves on.  He further notes that “Datura has been used in shamanic practices and religious rites for untold centuries,” including by the Aztecs.  He lists two other strains of Datura that serve the same purposes, thus taking into account biodiversity between continents, since the Greeks and Aztecs surely did not cross paths (strange, though, that they should have used the plant so similarly!).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The herb is essential for deflecting or returning spells sent by another magician, as well as for protecting oneself from negative energies, but due to its toxic nature, it is better to “substitute Agrimony” for these purposes (226).  Agrimony appears in her spells for “countering negative energies” (221), “releasing negativity” from the mind and “sealing” magical items (240), and “warding evil” from one’s abode (241).</w:t>
            </w:r>
          </w:p>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Dill</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Anethum graveolens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anetum, anethum</w:t>
            </w:r>
          </w:p>
          <w:p w:rsidR="009A06BC" w:rsidRDefault="009A06BC" w:rsidP="009A06BC">
            <w:pPr>
              <w:rPr>
                <w:rFonts w:ascii="Times New Roman" w:hAnsi="Times New Roman" w:cs="Times New Roman"/>
                <w:sz w:val="24"/>
                <w:szCs w:val="24"/>
              </w:rPr>
            </w:pPr>
          </w:p>
          <w:p w:rsidR="009A06BC" w:rsidRPr="002D76C9" w:rsidRDefault="009A06BC" w:rsidP="009A06BC">
            <w:pPr>
              <w:rPr>
                <w:rFonts w:ascii="Times New Roman" w:hAnsi="Times New Roman" w:cs="Times New Roman"/>
                <w:sz w:val="24"/>
                <w:szCs w:val="24"/>
                <w:lang w:val="el-GR"/>
              </w:rPr>
            </w:pPr>
            <w:r>
              <w:rPr>
                <w:rFonts w:ascii="Times New Roman" w:hAnsi="Times New Roman" w:cs="Times New Roman"/>
                <w:sz w:val="24"/>
                <w:szCs w:val="24"/>
              </w:rPr>
              <w:t xml:space="preserve">Gk. </w:t>
            </w:r>
            <w:r>
              <w:rPr>
                <w:rFonts w:ascii="Times New Roman" w:hAnsi="Times New Roman" w:cs="Times New Roman"/>
                <w:sz w:val="24"/>
                <w:szCs w:val="24"/>
                <w:lang w:val="el-GR"/>
              </w:rPr>
              <w:t>ἄνητον</w:t>
            </w:r>
          </w:p>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p>
        </w:tc>
        <w:tc>
          <w:tcPr>
            <w:tcW w:w="3718"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Hünemörder (“Dill”) asserts that Dioscorides (below) and </w:t>
            </w:r>
            <w:r>
              <w:rPr>
                <w:rFonts w:ascii="Times New Roman" w:hAnsi="Times New Roman" w:cs="Times New Roman"/>
                <w:i/>
                <w:sz w:val="24"/>
                <w:szCs w:val="24"/>
              </w:rPr>
              <w:t xml:space="preserve">HN </w:t>
            </w:r>
            <w:r>
              <w:rPr>
                <w:rFonts w:ascii="Times New Roman" w:hAnsi="Times New Roman" w:cs="Times New Roman"/>
                <w:sz w:val="24"/>
                <w:szCs w:val="24"/>
              </w:rPr>
              <w:t>20.196 describe the herb’s medicinal uses as being one and the same as fennel’s (cf. “hippomarathrum” under my “Fennel” entry below).</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3.63 The seeds and leaves, dried and drunk (as tea?) “</w:t>
            </w:r>
            <w:proofErr w:type="gramStart"/>
            <w:r>
              <w:rPr>
                <w:rFonts w:ascii="Times New Roman" w:hAnsi="Times New Roman" w:cs="Times New Roman"/>
                <w:sz w:val="24"/>
                <w:szCs w:val="24"/>
              </w:rPr>
              <w:t>increase</w:t>
            </w:r>
            <w:proofErr w:type="gramEnd"/>
            <w:r>
              <w:rPr>
                <w:rFonts w:ascii="Times New Roman" w:hAnsi="Times New Roman" w:cs="Times New Roman"/>
                <w:sz w:val="24"/>
                <w:szCs w:val="24"/>
              </w:rPr>
              <w:t xml:space="preserve"> breast milk, resolve gassiness, clear up ‘sprains’ in the bowels, [sort out stomach ailments], promote urination, repress hiccups [and sneezes], improve vision, and, if drunk very often, consume sperm.”  If the magical uses are to be validated, however, “consume la esperma” should mean the opposite of its literal translation – that is, that the herb increases sperm count.</w:t>
            </w:r>
          </w:p>
          <w:p w:rsidR="009A06BC" w:rsidRDefault="009A06BC" w:rsidP="009A06BC">
            <w:pPr>
              <w:rPr>
                <w:rFonts w:ascii="Times New Roman" w:hAnsi="Times New Roman" w:cs="Times New Roman"/>
                <w:sz w:val="24"/>
                <w:szCs w:val="24"/>
              </w:rPr>
            </w:pPr>
          </w:p>
          <w:p w:rsidR="009A06BC" w:rsidRPr="002D76C9"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Dioscorides goes on to say that the same potion is useful for “mother’s sickness,” and a plaster made from </w:t>
            </w:r>
            <w:r>
              <w:rPr>
                <w:rFonts w:ascii="Times New Roman" w:hAnsi="Times New Roman" w:cs="Times New Roman"/>
                <w:sz w:val="24"/>
                <w:szCs w:val="24"/>
              </w:rPr>
              <w:lastRenderedPageBreak/>
              <w:t>the burnt seeds clears up swollen areas.  One imagines that in light of its foremost medical and magical uses, this herb was more often used by female healers/sorceresses on themselves.</w:t>
            </w: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(102-3): Most commonly used in protective charms to be hung over doorways, in cribs, and around the neck; the seeds can be “used in money spells” or tossed into bathwater to make “the bather irresistible,” presumably like a perfume.  While he notes that the smell of the herb can cure hiccups, he believes it also “stimulates lust […] (which is why dill pickles are so popular).”  One assumes he’s referring to the phallic shape of a pickle here, or perhaps some vague allusion to women’s craving for them during pregnancy (at least in the U.S.; I don’t know about the U.K.), or maybe going to the deli was different in his time – this parenthetical remark is admittedly lost on me.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Moura: the herb corresponds to “money, protection, [and] love” (223), though its absence from most spellwork she describes suggests that it is less </w:t>
            </w:r>
            <w:r>
              <w:rPr>
                <w:rFonts w:ascii="Times New Roman" w:hAnsi="Times New Roman" w:cs="Times New Roman"/>
                <w:sz w:val="24"/>
                <w:szCs w:val="24"/>
              </w:rPr>
              <w:lastRenderedPageBreak/>
              <w:t>popular among modern magicians.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Yronwode (85): “Dill leaf breaks jinxes and removes crossed conditions in a person’s love affairs.  Dill seeds are believed to be lucky in three different ways: They bring about good fortune in love affairs, help one win in court, and ward off disease.”  She suggests it is often used in tandem with calendula and little-john.  </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PGM</w:t>
            </w:r>
            <w:r>
              <w:rPr>
                <w:rFonts w:ascii="Times New Roman" w:hAnsi="Times New Roman" w:cs="Times New Roman"/>
                <w:sz w:val="24"/>
                <w:szCs w:val="24"/>
              </w:rPr>
              <w:t xml:space="preserve"> 12.401-44 Dill is divided into three parts (juice, seed, and presumably leaves), and each part is given a magical name: “Tears / Seep Sand of a Hamadryas Baboon,” “Hairs of a Hamadryas Baboon,” and “Semen of Hermes,” respectively.  None of the three appear as ingredients in any extant spells here or in the </w:t>
            </w:r>
            <w:r w:rsidRPr="007D529F">
              <w:rPr>
                <w:rFonts w:ascii="Times New Roman" w:hAnsi="Times New Roman" w:cs="Times New Roman"/>
                <w:i/>
                <w:sz w:val="24"/>
                <w:szCs w:val="24"/>
              </w:rPr>
              <w:t>PDM</w:t>
            </w:r>
            <w:r>
              <w:rPr>
                <w:rFonts w:ascii="Times New Roman" w:hAnsi="Times New Roman" w:cs="Times New Roman"/>
                <w:i/>
                <w:sz w:val="24"/>
                <w:szCs w:val="24"/>
              </w:rPr>
              <w:t>,</w:t>
            </w:r>
            <w:r>
              <w:rPr>
                <w:rFonts w:ascii="Times New Roman" w:hAnsi="Times New Roman" w:cs="Times New Roman"/>
                <w:sz w:val="24"/>
                <w:szCs w:val="24"/>
              </w:rPr>
              <w:t xml:space="preserve"> either by their codenames or by their actual names.</w:t>
            </w:r>
          </w:p>
          <w:p w:rsidR="009A06BC" w:rsidRDefault="009A06BC" w:rsidP="009A06BC">
            <w:pPr>
              <w:rPr>
                <w:rFonts w:ascii="Times New Roman" w:hAnsi="Times New Roman" w:cs="Times New Roman"/>
                <w:sz w:val="24"/>
                <w:szCs w:val="24"/>
              </w:rPr>
            </w:pPr>
          </w:p>
          <w:p w:rsidR="009A06BC" w:rsidRPr="00E533FA"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  </w:t>
            </w: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Elder</w:t>
            </w:r>
          </w:p>
          <w:p w:rsidR="009A06BC" w:rsidRDefault="009A06BC" w:rsidP="009A06BC">
            <w:pPr>
              <w:rPr>
                <w:rFonts w:ascii="Times New Roman" w:hAnsi="Times New Roman" w:cs="Times New Roman"/>
                <w:sz w:val="24"/>
                <w:szCs w:val="24"/>
              </w:rPr>
            </w:pPr>
          </w:p>
          <w:p w:rsidR="009A06BC" w:rsidRPr="000C5223"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Sambucus nigra </w:t>
            </w:r>
            <w:r>
              <w:rPr>
                <w:rFonts w:ascii="Times New Roman" w:hAnsi="Times New Roman" w:cs="Times New Roman"/>
                <w:sz w:val="24"/>
                <w:szCs w:val="24"/>
              </w:rPr>
              <w:t>(Eur.)</w:t>
            </w:r>
            <w:r>
              <w:rPr>
                <w:rFonts w:ascii="Times New Roman" w:hAnsi="Times New Roman" w:cs="Times New Roman"/>
                <w:i/>
                <w:sz w:val="24"/>
                <w:szCs w:val="24"/>
              </w:rPr>
              <w:t xml:space="preserve">, canadensis </w:t>
            </w:r>
            <w:r>
              <w:rPr>
                <w:rFonts w:ascii="Times New Roman" w:hAnsi="Times New Roman" w:cs="Times New Roman"/>
                <w:sz w:val="24"/>
                <w:szCs w:val="24"/>
              </w:rPr>
              <w:t>(N. Am.)</w:t>
            </w:r>
            <w:r>
              <w:rPr>
                <w:rFonts w:ascii="Times New Roman" w:hAnsi="Times New Roman" w:cs="Times New Roman"/>
                <w:i/>
                <w:sz w:val="24"/>
                <w:szCs w:val="24"/>
              </w:rPr>
              <w:t xml:space="preserve">, </w:t>
            </w:r>
            <w:r w:rsidRPr="000C5223">
              <w:rPr>
                <w:rFonts w:ascii="Times New Roman" w:hAnsi="Times New Roman" w:cs="Times New Roman"/>
                <w:sz w:val="24"/>
                <w:szCs w:val="24"/>
              </w:rPr>
              <w:t>or</w:t>
            </w:r>
            <w:r>
              <w:rPr>
                <w:rFonts w:ascii="Times New Roman" w:hAnsi="Times New Roman" w:cs="Times New Roman"/>
                <w:i/>
                <w:sz w:val="24"/>
                <w:szCs w:val="24"/>
              </w:rPr>
              <w:t xml:space="preserve"> ebulus </w:t>
            </w:r>
            <w:r>
              <w:rPr>
                <w:rFonts w:ascii="Times New Roman" w:hAnsi="Times New Roman" w:cs="Times New Roman"/>
                <w:sz w:val="24"/>
                <w:szCs w:val="24"/>
              </w:rPr>
              <w:t>(Dwarf breed)</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sambucus</w:t>
            </w:r>
          </w:p>
          <w:p w:rsidR="009A06BC" w:rsidRDefault="009A06BC" w:rsidP="009A06BC">
            <w:pPr>
              <w:rPr>
                <w:rFonts w:ascii="Times New Roman" w:hAnsi="Times New Roman" w:cs="Times New Roman"/>
                <w:sz w:val="24"/>
                <w:szCs w:val="24"/>
              </w:rPr>
            </w:pPr>
          </w:p>
          <w:p w:rsidR="009A06BC" w:rsidRPr="006853F1"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ακτή</w:t>
            </w:r>
          </w:p>
        </w:tc>
        <w:tc>
          <w:tcPr>
            <w:tcW w:w="3718"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CH </w:t>
            </w:r>
            <w:r>
              <w:rPr>
                <w:rFonts w:ascii="Times New Roman" w:hAnsi="Times New Roman" w:cs="Times New Roman"/>
                <w:sz w:val="24"/>
                <w:szCs w:val="24"/>
              </w:rPr>
              <w:t>35 uses (30 gyn., 5 med.) including treatment for disorders with bodily fluids (blood, phlegm, diarrhea, and water in the brain) … a cure for the “wet” Humors, then, and therefore a “dry” herb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8E422A"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 xml:space="preserve">4.175 Both types of elder, the </w:t>
            </w:r>
            <w:r>
              <w:rPr>
                <w:rFonts w:ascii="Times New Roman" w:hAnsi="Times New Roman" w:cs="Times New Roman"/>
                <w:i/>
                <w:sz w:val="24"/>
                <w:szCs w:val="24"/>
              </w:rPr>
              <w:t>sambucus</w:t>
            </w:r>
            <w:r>
              <w:rPr>
                <w:rFonts w:ascii="Times New Roman" w:hAnsi="Times New Roman" w:cs="Times New Roman"/>
                <w:sz w:val="24"/>
                <w:szCs w:val="24"/>
              </w:rPr>
              <w:t xml:space="preserve"> and the </w:t>
            </w:r>
            <w:r>
              <w:rPr>
                <w:rFonts w:ascii="Times New Roman" w:hAnsi="Times New Roman" w:cs="Times New Roman"/>
                <w:i/>
                <w:sz w:val="24"/>
                <w:szCs w:val="24"/>
              </w:rPr>
              <w:t>ebulus,</w:t>
            </w:r>
            <w:r>
              <w:rPr>
                <w:rFonts w:ascii="Times New Roman" w:hAnsi="Times New Roman" w:cs="Times New Roman"/>
                <w:sz w:val="24"/>
                <w:szCs w:val="24"/>
              </w:rPr>
              <w:t xml:space="preserve"> have the same drying and wet Humor-purging effects, and are harsh on the stomach.  The root, cooked in wine, was given to dropsy and snakebite victims alike; boiled in water, “it softens and opens the secret places in women, and cures their bad </w:t>
            </w:r>
            <w:r>
              <w:rPr>
                <w:rFonts w:ascii="Times New Roman" w:hAnsi="Times New Roman" w:cs="Times New Roman"/>
                <w:sz w:val="24"/>
                <w:szCs w:val="24"/>
              </w:rPr>
              <w:lastRenderedPageBreak/>
              <w:t>dispositions” (the fruit, taken with wine, does the same).  The fruit also served as a black hair dye.  The leaves, made into a poultice with polenta, stem inflammations, soothe burns, cleanse dog-bites, and heal deep wounds.  And last but not least, “Applied with goat or bull fat, it’s a remedy for gout.”</w:t>
            </w:r>
          </w:p>
          <w:p w:rsidR="009A06BC" w:rsidRDefault="009A06BC" w:rsidP="009A06BC">
            <w:pPr>
              <w:rPr>
                <w:rFonts w:ascii="Times New Roman" w:hAnsi="Times New Roman" w:cs="Times New Roman"/>
                <w:sz w:val="24"/>
                <w:szCs w:val="24"/>
              </w:rPr>
            </w:pPr>
          </w:p>
          <w:p w:rsidR="009A06BC" w:rsidRPr="006853F1"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Conway (167): The tree is regarded as sentient (it must be asked for permission before harvesting parts) and as sacred to the Norse goddesses Holda and Bertha, despite the </w:t>
            </w:r>
            <w:r>
              <w:rPr>
                <w:rFonts w:ascii="Times New Roman" w:hAnsi="Times New Roman" w:cs="Times New Roman"/>
                <w:i/>
                <w:sz w:val="24"/>
                <w:szCs w:val="24"/>
              </w:rPr>
              <w:t>canadensis</w:t>
            </w:r>
            <w:r>
              <w:rPr>
                <w:rFonts w:ascii="Times New Roman" w:hAnsi="Times New Roman" w:cs="Times New Roman"/>
                <w:sz w:val="24"/>
                <w:szCs w:val="24"/>
              </w:rPr>
              <w:t xml:space="preserve"> species being listed here.  Twigs are said to be able to remove warts or, fashioned into wands, to ward off negative spirits and energies.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Cunningham (108-9): He only has an entry for American Elder, though by the folk names he lists (among them “sureau,” French for “elderberry”) and the mention of it being used “in burial rites in ancient British long barrows,” we can presume that he believes the </w:t>
            </w:r>
            <w:r>
              <w:rPr>
                <w:rFonts w:ascii="Times New Roman" w:hAnsi="Times New Roman" w:cs="Times New Roman"/>
                <w:sz w:val="24"/>
                <w:szCs w:val="24"/>
              </w:rPr>
              <w:lastRenderedPageBreak/>
              <w:t>American and European strains to be the same or at least close enough (i.e. used similarly).  It has about a hundred uses, most of which have to do with immunity against enemies and negative energy, thus making it a stronger substitute for dill; since aches “were once thought to be caused by evil spirits,” the herb was a natural choice for lessening severe pain and fevers (the leaves, berries, and twigs are the useful parts).  He also cites examples of blessings done by the tree as a whole, soporific qualities in the berries, and the branches being useful for crafting wands and flutes that can “call forth spirits with their music” (presumably for the sake of getting their help with spellwork).</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It appears several times in spells for blessing, causing change, spirit contact, and wisdom-seeking (239-41).  She notes that the wood must not be burnt for the fear of riling the Faeries to whom the plant is sacred (223), and warns magicians, “seeds are POISON; use the flowers” (226).  Interestingly enough, the herb has a longer list of “dark powers” than of “bright powers” (221-2, 226), which is to say that it is best employed for spellwork at “a time more suited for meditation or divination than for magical work or spells” (i.e. waning and new moon phases) so as to engage the gods when they’re less composed (30).</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 Yronwode (89-90): She cites three different species of </w:t>
            </w:r>
            <w:r>
              <w:rPr>
                <w:rFonts w:ascii="Times New Roman" w:hAnsi="Times New Roman" w:cs="Times New Roman"/>
                <w:i/>
                <w:sz w:val="24"/>
                <w:szCs w:val="24"/>
              </w:rPr>
              <w:t>Sambucus,</w:t>
            </w:r>
            <w:r>
              <w:rPr>
                <w:rFonts w:ascii="Times New Roman" w:hAnsi="Times New Roman" w:cs="Times New Roman"/>
                <w:sz w:val="24"/>
                <w:szCs w:val="24"/>
              </w:rPr>
              <w:t xml:space="preserve"> with an apparent preference for “Popgun Elder”; the uses for its important parts (“dried berries, leaves, or roots”) all </w:t>
            </w:r>
            <w:r>
              <w:rPr>
                <w:rFonts w:ascii="Times New Roman" w:hAnsi="Times New Roman" w:cs="Times New Roman"/>
                <w:sz w:val="24"/>
                <w:szCs w:val="24"/>
              </w:rPr>
              <w:lastRenderedPageBreak/>
              <w:t>involve creating a barrier around the magician, either to keep someone out (burglars or lawmen) or to keep something in (the divine force responsible for granting wishes).  She further notes that some people carry the herb on them to keep from getting sick, and that it works well with “devil’s shoestrings,” another purification barrier-summoning herb.</w:t>
            </w:r>
          </w:p>
          <w:p w:rsidR="009A06BC" w:rsidRDefault="009A06BC" w:rsidP="009A06BC">
            <w:pPr>
              <w:rPr>
                <w:rFonts w:ascii="Times New Roman" w:hAnsi="Times New Roman" w:cs="Times New Roman"/>
                <w:sz w:val="24"/>
                <w:szCs w:val="24"/>
              </w:rPr>
            </w:pPr>
          </w:p>
          <w:p w:rsidR="009A06BC" w:rsidRPr="000B0D50"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Fennel</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Foeniculum vulgare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feniculum, ferula</w:t>
            </w:r>
          </w:p>
          <w:p w:rsidR="009A06BC" w:rsidRDefault="009A06BC" w:rsidP="009A06BC">
            <w:pPr>
              <w:rPr>
                <w:rFonts w:ascii="Times New Roman" w:hAnsi="Times New Roman" w:cs="Times New Roman"/>
                <w:sz w:val="24"/>
                <w:szCs w:val="24"/>
              </w:rPr>
            </w:pPr>
          </w:p>
          <w:p w:rsidR="009A06BC" w:rsidRPr="00F44780"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μάραθον</w:t>
            </w:r>
            <w:r w:rsidRPr="00533FA2">
              <w:rPr>
                <w:rFonts w:ascii="Times New Roman" w:hAnsi="Times New Roman" w:cs="Times New Roman"/>
                <w:sz w:val="24"/>
                <w:szCs w:val="24"/>
              </w:rPr>
              <w:t xml:space="preserve">, </w:t>
            </w:r>
            <w:r>
              <w:rPr>
                <w:rFonts w:ascii="Times New Roman" w:hAnsi="Times New Roman" w:cs="Times New Roman"/>
                <w:sz w:val="24"/>
                <w:szCs w:val="24"/>
                <w:lang w:val="el-GR"/>
              </w:rPr>
              <w:t>μάραθος</w:t>
            </w:r>
          </w:p>
          <w:p w:rsidR="009A06BC" w:rsidRPr="00533FA2" w:rsidRDefault="009A06BC" w:rsidP="009A06BC">
            <w:pPr>
              <w:rPr>
                <w:rFonts w:ascii="Times New Roman" w:hAnsi="Times New Roman" w:cs="Times New Roman"/>
                <w:sz w:val="24"/>
                <w:szCs w:val="24"/>
              </w:rPr>
            </w:pPr>
          </w:p>
        </w:tc>
        <w:tc>
          <w:tcPr>
            <w:tcW w:w="3718" w:type="dxa"/>
          </w:tcPr>
          <w:p w:rsidR="009A06BC" w:rsidRDefault="009A06BC" w:rsidP="009A06BC">
            <w:pPr>
              <w:rPr>
                <w:rFonts w:ascii="Times New Roman" w:hAnsi="Times New Roman" w:cs="Times New Roman"/>
                <w:i/>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CH </w:t>
            </w:r>
            <w:r>
              <w:rPr>
                <w:rFonts w:ascii="Times New Roman" w:hAnsi="Times New Roman" w:cs="Times New Roman"/>
                <w:sz w:val="24"/>
                <w:szCs w:val="24"/>
              </w:rPr>
              <w:t>26 uses (24 gyn., 2 med.) including “jaundice [and] respiratory tract disorders”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3F3C99" w:rsidP="009A06BC">
            <w:pPr>
              <w:rPr>
                <w:rFonts w:ascii="Times New Roman" w:hAnsi="Times New Roman" w:cs="Times New Roman"/>
                <w:sz w:val="24"/>
                <w:szCs w:val="24"/>
              </w:rPr>
            </w:pPr>
            <w:r>
              <w:rPr>
                <w:rFonts w:ascii="Times New Roman" w:hAnsi="Times New Roman" w:cs="Times New Roman"/>
                <w:i/>
                <w:sz w:val="24"/>
                <w:szCs w:val="24"/>
              </w:rPr>
              <w:t>HN</w:t>
            </w:r>
            <w:r w:rsidR="009A06BC">
              <w:rPr>
                <w:rFonts w:ascii="Times New Roman" w:hAnsi="Times New Roman" w:cs="Times New Roman"/>
                <w:i/>
                <w:sz w:val="24"/>
                <w:szCs w:val="24"/>
              </w:rPr>
              <w:t xml:space="preserve"> </w:t>
            </w:r>
            <w:r w:rsidR="009A06BC">
              <w:rPr>
                <w:rFonts w:ascii="Times New Roman" w:hAnsi="Times New Roman" w:cs="Times New Roman"/>
                <w:sz w:val="24"/>
                <w:szCs w:val="24"/>
              </w:rPr>
              <w:t>20.42 The juice is mixed with onion juice to render a cure for dropsy; 20.264 the seeds appear in King Antiochus’ famed antivenin recipe, which might explain its magical use as a keep-away for harmful foreign bodies (or perhaps it’s just the herb’s odor that suited this purpose, since strong-smelling herbs were commonly associated in antiquity with the Underworld).</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 xml:space="preserve">3.77 Good for kidney and bladder issues; with wine, also good for snakebites and menstruation difficulties; with cold water, good for combating fatigue, heatstroke, and stomach cramps.  Crushed roots and honey will cleanse dog-bites, while juice from the stem and leaves strengthens any medicine taken for improved vision (or you can just mash up the whole plant and drink that, if you don’t have any other ingredients).  The type that grows in western Spain </w:t>
            </w:r>
            <w:r>
              <w:rPr>
                <w:rFonts w:ascii="Times New Roman" w:hAnsi="Times New Roman" w:cs="Times New Roman"/>
                <w:sz w:val="24"/>
                <w:szCs w:val="24"/>
              </w:rPr>
              <w:lastRenderedPageBreak/>
              <w:t>apparently produces a gum-resin instead of juice when it’s flowering, and that gum-resin is the best eye medicine around.</w:t>
            </w:r>
          </w:p>
          <w:p w:rsidR="009A06BC" w:rsidRDefault="009A06BC" w:rsidP="009A06BC">
            <w:pPr>
              <w:rPr>
                <w:rFonts w:ascii="Times New Roman" w:hAnsi="Times New Roman" w:cs="Times New Roman"/>
                <w:sz w:val="24"/>
                <w:szCs w:val="24"/>
              </w:rPr>
            </w:pPr>
          </w:p>
          <w:p w:rsidR="009A06BC" w:rsidRPr="002E09B5"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hippomarathrum </w:t>
            </w:r>
            <w:r>
              <w:rPr>
                <w:rFonts w:ascii="Times New Roman" w:hAnsi="Times New Roman" w:cs="Times New Roman"/>
                <w:sz w:val="24"/>
                <w:szCs w:val="24"/>
              </w:rPr>
              <w:t>breed, which grows in the wild, is larger and stronger in scent; it does everything its domestic relative does with its root alone, plus it cures jaundice.  The boiled leaves help women build up more breast milk and “cleans up […] after childbirth,” as well.  Dioscorides recommends finding a strain of this that looks like coriander, which is apparently the most guaranteed to work out of all fennel types.</w:t>
            </w:r>
          </w:p>
          <w:p w:rsidR="009A06BC" w:rsidRDefault="009A06BC" w:rsidP="009A06BC">
            <w:pPr>
              <w:rPr>
                <w:rFonts w:ascii="Times New Roman" w:hAnsi="Times New Roman" w:cs="Times New Roman"/>
                <w:sz w:val="24"/>
                <w:szCs w:val="24"/>
              </w:rPr>
            </w:pPr>
          </w:p>
          <w:p w:rsidR="009A06BC" w:rsidRPr="0055043D"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(113-14): “Fennel is used in purification sachets, as well as in healing mixtures.”  More commonly, though, it is used for protection (from evil, ticks, etc.), and is either worn or put at the sides of the magician’s home.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Yronwode (93): typically found with oregano, the herb can “ward off troublesome and meddling individuals, especially those who work for […] government agencies.”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556AE8" w:rsidRDefault="009A06BC" w:rsidP="009A06BC">
            <w:pPr>
              <w:rPr>
                <w:rFonts w:ascii="Times New Roman" w:hAnsi="Times New Roman" w:cs="Times New Roman"/>
                <w:sz w:val="24"/>
                <w:szCs w:val="24"/>
              </w:rPr>
            </w:pPr>
            <w:r w:rsidRPr="007D529F">
              <w:rPr>
                <w:rFonts w:ascii="Times New Roman" w:hAnsi="Times New Roman" w:cs="Times New Roman"/>
                <w:i/>
                <w:sz w:val="24"/>
                <w:szCs w:val="24"/>
              </w:rPr>
              <w:t>PDM</w:t>
            </w:r>
            <w:r>
              <w:rPr>
                <w:rFonts w:ascii="Times New Roman" w:hAnsi="Times New Roman" w:cs="Times New Roman"/>
                <w:i/>
                <w:sz w:val="24"/>
                <w:szCs w:val="24"/>
              </w:rPr>
              <w:t xml:space="preserve"> </w:t>
            </w:r>
            <w:r>
              <w:rPr>
                <w:rFonts w:ascii="Times New Roman" w:hAnsi="Times New Roman" w:cs="Times New Roman"/>
                <w:sz w:val="24"/>
                <w:szCs w:val="24"/>
              </w:rPr>
              <w:t xml:space="preserve">Col. 4.10-11 describes a fennel-like herb called </w:t>
            </w:r>
            <w:r>
              <w:rPr>
                <w:rFonts w:ascii="Times New Roman" w:hAnsi="Times New Roman" w:cs="Times New Roman"/>
                <w:sz w:val="24"/>
                <w:szCs w:val="24"/>
                <w:lang w:val="el-GR"/>
              </w:rPr>
              <w:t>κεφαλική</w:t>
            </w:r>
            <w:r>
              <w:rPr>
                <w:rFonts w:ascii="Times New Roman" w:hAnsi="Times New Roman" w:cs="Times New Roman"/>
                <w:sz w:val="24"/>
                <w:szCs w:val="24"/>
              </w:rPr>
              <w:t xml:space="preserve">, or “ram’s horn,” the leaf and stem of which are ground into a powder used in poultices supposedly bringing about an instant cure for any wound it touches.  Its seed is likened to that of styrax (4.18-19).  The medical application of this “magical” bandage is first seen in Galen’s texts, though he attributes the term “kephalike of Philotas” to a lost work by Archigenes; there, it appears alongside a </w:t>
            </w:r>
            <w:r>
              <w:rPr>
                <w:rFonts w:ascii="Times New Roman" w:hAnsi="Times New Roman" w:cs="Times New Roman"/>
                <w:i/>
                <w:sz w:val="24"/>
                <w:szCs w:val="24"/>
              </w:rPr>
              <w:t>smile,</w:t>
            </w:r>
            <w:r>
              <w:rPr>
                <w:rFonts w:ascii="Times New Roman" w:hAnsi="Times New Roman" w:cs="Times New Roman"/>
                <w:sz w:val="24"/>
                <w:szCs w:val="24"/>
              </w:rPr>
              <w:t xml:space="preserve"> or a small chisel or drill used by doctors, not as a plaster but as a means of clearing away “bone scales” made by the drill (Bliquez 92).  It seems probable that the juice of this “ram’s horn” fennel both cleans and </w:t>
            </w:r>
            <w:r>
              <w:rPr>
                <w:rFonts w:ascii="Times New Roman" w:hAnsi="Times New Roman" w:cs="Times New Roman"/>
                <w:sz w:val="24"/>
                <w:szCs w:val="24"/>
              </w:rPr>
              <w:lastRenderedPageBreak/>
              <w:t>seals apertures in the flesh with “magical” rapidity.</w:t>
            </w:r>
          </w:p>
          <w:p w:rsidR="009A06BC" w:rsidRPr="00137EDE"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Pr="006C1BF3" w:rsidRDefault="009A06BC" w:rsidP="009A06BC">
            <w:pPr>
              <w:rPr>
                <w:rFonts w:ascii="Times New Roman" w:hAnsi="Times New Roman" w:cs="Times New Roman"/>
                <w:sz w:val="24"/>
                <w:szCs w:val="24"/>
              </w:rPr>
            </w:pPr>
            <w:r w:rsidRPr="006C1BF3">
              <w:rPr>
                <w:rFonts w:ascii="Times New Roman" w:hAnsi="Times New Roman" w:cs="Times New Roman"/>
                <w:sz w:val="24"/>
                <w:szCs w:val="24"/>
              </w:rPr>
              <w:t>Helenium</w:t>
            </w:r>
            <w:r w:rsidR="006C1BF3" w:rsidRPr="006C1BF3">
              <w:rPr>
                <w:rFonts w:ascii="Times New Roman" w:hAnsi="Times New Roman" w:cs="Times New Roman"/>
                <w:sz w:val="24"/>
                <w:szCs w:val="24"/>
              </w:rPr>
              <w:t xml:space="preserve"> </w:t>
            </w:r>
            <w:r w:rsidR="006C1BF3">
              <w:rPr>
                <w:rFonts w:ascii="Times New Roman" w:hAnsi="Times New Roman" w:cs="Times New Roman"/>
                <w:sz w:val="24"/>
                <w:szCs w:val="24"/>
              </w:rPr>
              <w:t>(</w:t>
            </w:r>
            <w:r w:rsidR="006C1BF3" w:rsidRPr="006C1BF3">
              <w:rPr>
                <w:rFonts w:ascii="Times New Roman" w:hAnsi="Times New Roman" w:cs="Times New Roman"/>
                <w:sz w:val="24"/>
                <w:szCs w:val="24"/>
              </w:rPr>
              <w:t xml:space="preserve">a.k.a. </w:t>
            </w:r>
            <w:r w:rsidR="006C1BF3">
              <w:rPr>
                <w:rFonts w:ascii="Times New Roman" w:hAnsi="Times New Roman" w:cs="Times New Roman"/>
                <w:sz w:val="24"/>
                <w:szCs w:val="24"/>
              </w:rPr>
              <w:t xml:space="preserve">Inula or </w:t>
            </w:r>
            <w:r w:rsidR="006C1BF3" w:rsidRPr="006C1BF3">
              <w:rPr>
                <w:rFonts w:ascii="Times New Roman" w:hAnsi="Times New Roman" w:cs="Times New Roman"/>
                <w:sz w:val="24"/>
                <w:szCs w:val="24"/>
              </w:rPr>
              <w:t>Elecam</w:t>
            </w:r>
            <w:r w:rsidR="006C1BF3">
              <w:rPr>
                <w:rFonts w:ascii="Times New Roman" w:hAnsi="Times New Roman" w:cs="Times New Roman"/>
                <w:sz w:val="24"/>
                <w:szCs w:val="24"/>
              </w:rPr>
              <w:t>pane)</w:t>
            </w:r>
          </w:p>
          <w:p w:rsidR="009A06BC" w:rsidRPr="006C1BF3" w:rsidRDefault="009A06BC" w:rsidP="009A06BC">
            <w:pPr>
              <w:rPr>
                <w:rFonts w:ascii="Times New Roman" w:hAnsi="Times New Roman" w:cs="Times New Roman"/>
                <w:sz w:val="24"/>
                <w:szCs w:val="24"/>
              </w:rPr>
            </w:pPr>
          </w:p>
          <w:p w:rsidR="009A06BC" w:rsidRPr="006C1BF3" w:rsidRDefault="009A06BC" w:rsidP="009A06BC">
            <w:pPr>
              <w:rPr>
                <w:rFonts w:ascii="Times New Roman" w:hAnsi="Times New Roman" w:cs="Times New Roman"/>
                <w:sz w:val="24"/>
                <w:szCs w:val="24"/>
              </w:rPr>
            </w:pPr>
          </w:p>
          <w:p w:rsidR="009A06BC" w:rsidRPr="006C1BF3" w:rsidRDefault="009A06BC" w:rsidP="009A06BC">
            <w:pPr>
              <w:rPr>
                <w:rFonts w:ascii="Times New Roman" w:hAnsi="Times New Roman" w:cs="Times New Roman"/>
                <w:sz w:val="24"/>
                <w:szCs w:val="24"/>
              </w:rPr>
            </w:pPr>
          </w:p>
          <w:p w:rsidR="009A06BC" w:rsidRPr="006C1BF3" w:rsidRDefault="009A06BC" w:rsidP="009A06BC">
            <w:pPr>
              <w:rPr>
                <w:rFonts w:ascii="Times New Roman" w:hAnsi="Times New Roman" w:cs="Times New Roman"/>
                <w:sz w:val="24"/>
                <w:szCs w:val="24"/>
              </w:rPr>
            </w:pPr>
          </w:p>
        </w:tc>
        <w:tc>
          <w:tcPr>
            <w:tcW w:w="3718" w:type="dxa"/>
          </w:tcPr>
          <w:p w:rsidR="009A06BC" w:rsidRPr="006C1BF3" w:rsidRDefault="009A06BC" w:rsidP="009A06BC">
            <w:pPr>
              <w:rPr>
                <w:rFonts w:ascii="Times New Roman" w:hAnsi="Times New Roman" w:cs="Times New Roman"/>
                <w:i/>
                <w:sz w:val="24"/>
                <w:szCs w:val="24"/>
              </w:rPr>
            </w:pPr>
          </w:p>
          <w:p w:rsidR="009A06BC" w:rsidRDefault="003F3C99" w:rsidP="009A06BC">
            <w:pPr>
              <w:rPr>
                <w:rFonts w:ascii="Times New Roman" w:hAnsi="Times New Roman" w:cs="Times New Roman"/>
                <w:sz w:val="24"/>
                <w:szCs w:val="24"/>
              </w:rPr>
            </w:pPr>
            <w:r>
              <w:rPr>
                <w:rFonts w:ascii="Times New Roman" w:hAnsi="Times New Roman" w:cs="Times New Roman"/>
                <w:i/>
                <w:sz w:val="24"/>
                <w:szCs w:val="24"/>
              </w:rPr>
              <w:t>HN</w:t>
            </w:r>
            <w:r w:rsidR="009A06BC">
              <w:rPr>
                <w:rFonts w:ascii="Times New Roman" w:hAnsi="Times New Roman" w:cs="Times New Roman"/>
                <w:i/>
                <w:sz w:val="24"/>
                <w:szCs w:val="24"/>
              </w:rPr>
              <w:t xml:space="preserve"> </w:t>
            </w:r>
            <w:r w:rsidR="009A06BC">
              <w:rPr>
                <w:rFonts w:ascii="Times New Roman" w:hAnsi="Times New Roman" w:cs="Times New Roman"/>
                <w:sz w:val="24"/>
                <w:szCs w:val="24"/>
              </w:rPr>
              <w:t xml:space="preserve">22.159 Due to its mythological relation to Helen, a beauty who dabbled in sorcery, the herb serves magical purposes as well as medical ones.  Magically, it was taken with wine to give the magician a sexually attractive aura, or else given to a desired partner to arouse them (the original “mickey,” as it </w:t>
            </w:r>
            <w:proofErr w:type="gramStart"/>
            <w:r w:rsidR="009A06BC">
              <w:rPr>
                <w:rFonts w:ascii="Times New Roman" w:hAnsi="Times New Roman" w:cs="Times New Roman"/>
                <w:sz w:val="24"/>
                <w:szCs w:val="24"/>
              </w:rPr>
              <w:t>were</w:t>
            </w:r>
            <w:proofErr w:type="gramEnd"/>
            <w:r w:rsidR="009A06BC">
              <w:rPr>
                <w:rFonts w:ascii="Times New Roman" w:hAnsi="Times New Roman" w:cs="Times New Roman"/>
                <w:sz w:val="24"/>
                <w:szCs w:val="24"/>
              </w:rPr>
              <w:t>).  Medically, the wine infusion was good for cleansing snakebites, and the roots were ground up and drunk with water to stop asthma attacks (the original “i</w:t>
            </w:r>
            <w:r w:rsidR="006C1BF3">
              <w:rPr>
                <w:rFonts w:ascii="Times New Roman" w:hAnsi="Times New Roman" w:cs="Times New Roman"/>
                <w:sz w:val="24"/>
                <w:szCs w:val="24"/>
              </w:rPr>
              <w:t>nh</w:t>
            </w:r>
            <w:r w:rsidR="009A06BC">
              <w:rPr>
                <w:rFonts w:ascii="Times New Roman" w:hAnsi="Times New Roman" w:cs="Times New Roman"/>
                <w:sz w:val="24"/>
                <w:szCs w:val="24"/>
              </w:rPr>
              <w:t>aler,” as it were).</w:t>
            </w:r>
          </w:p>
          <w:p w:rsidR="009A06BC" w:rsidRDefault="009A06BC" w:rsidP="009A06BC">
            <w:pPr>
              <w:rPr>
                <w:rFonts w:ascii="Times New Roman" w:hAnsi="Times New Roman" w:cs="Times New Roman"/>
                <w:sz w:val="24"/>
                <w:szCs w:val="24"/>
              </w:rPr>
            </w:pPr>
          </w:p>
          <w:p w:rsidR="006C1BF3" w:rsidRDefault="006C1BF3" w:rsidP="009A06BC">
            <w:pPr>
              <w:rPr>
                <w:rFonts w:ascii="Times New Roman" w:hAnsi="Times New Roman" w:cs="Times New Roman"/>
                <w:sz w:val="24"/>
                <w:szCs w:val="24"/>
              </w:rPr>
            </w:pPr>
          </w:p>
          <w:p w:rsidR="006C1BF3" w:rsidRPr="006C1BF3" w:rsidRDefault="006C1BF3" w:rsidP="009A06BC">
            <w:pPr>
              <w:rPr>
                <w:rFonts w:ascii="Times New Roman" w:hAnsi="Times New Roman" w:cs="Times New Roman"/>
                <w:sz w:val="24"/>
                <w:szCs w:val="24"/>
              </w:rPr>
            </w:pPr>
            <w:r>
              <w:rPr>
                <w:rFonts w:ascii="Times New Roman" w:hAnsi="Times New Roman" w:cs="Times New Roman"/>
                <w:sz w:val="24"/>
                <w:szCs w:val="24"/>
              </w:rPr>
              <w:t>Shou-zhong (</w:t>
            </w:r>
            <w:r>
              <w:rPr>
                <w:rFonts w:ascii="Times New Roman" w:hAnsi="Times New Roman" w:cs="Times New Roman"/>
                <w:i/>
                <w:sz w:val="24"/>
                <w:szCs w:val="24"/>
              </w:rPr>
              <w:t xml:space="preserve">DFMM </w:t>
            </w:r>
            <w:r>
              <w:rPr>
                <w:rFonts w:ascii="Times New Roman" w:hAnsi="Times New Roman" w:cs="Times New Roman"/>
                <w:sz w:val="24"/>
                <w:szCs w:val="24"/>
              </w:rPr>
              <w:t xml:space="preserve">66) says the flower, called </w:t>
            </w:r>
            <w:r>
              <w:rPr>
                <w:rFonts w:ascii="Times New Roman" w:hAnsi="Times New Roman" w:cs="Times New Roman"/>
                <w:i/>
                <w:sz w:val="24"/>
                <w:szCs w:val="24"/>
              </w:rPr>
              <w:t xml:space="preserve">Xuan Fu Hua </w:t>
            </w:r>
            <w:r>
              <w:rPr>
                <w:rFonts w:ascii="Times New Roman" w:hAnsi="Times New Roman" w:cs="Times New Roman"/>
                <w:sz w:val="24"/>
                <w:szCs w:val="24"/>
              </w:rPr>
              <w:t xml:space="preserve">in Daoist medicine, “is salty and warm” and has the ability to move water in the body, which would suggest that it is “dry” </w:t>
            </w:r>
            <w:r w:rsidR="00C62C12">
              <w:rPr>
                <w:rFonts w:ascii="Times New Roman" w:hAnsi="Times New Roman" w:cs="Times New Roman"/>
                <w:sz w:val="24"/>
                <w:szCs w:val="24"/>
              </w:rPr>
              <w:t xml:space="preserve">(Greco-Roman evidence seems to concur; that it’s good for reducing phlegm </w:t>
            </w:r>
            <w:r w:rsidR="00C62C12">
              <w:rPr>
                <w:rFonts w:ascii="Times New Roman" w:hAnsi="Times New Roman" w:cs="Times New Roman"/>
                <w:sz w:val="24"/>
                <w:szCs w:val="24"/>
              </w:rPr>
              <w:lastRenderedPageBreak/>
              <w:t>is another important concurrence).</w:t>
            </w:r>
            <w:r>
              <w:rPr>
                <w:rFonts w:ascii="Times New Roman" w:hAnsi="Times New Roman" w:cs="Times New Roman"/>
                <w:sz w:val="24"/>
                <w:szCs w:val="24"/>
              </w:rPr>
              <w:t xml:space="preserve"> </w:t>
            </w:r>
            <w:r w:rsidR="00C62C12">
              <w:rPr>
                <w:rFonts w:ascii="Times New Roman" w:hAnsi="Times New Roman" w:cs="Times New Roman"/>
                <w:sz w:val="24"/>
                <w:szCs w:val="24"/>
              </w:rPr>
              <w:t xml:space="preserve"> Medically, it “treats bound qi, rib-side fullness, and fright palpitations, removes water, eliminates cold and heat in the five viscera, supplements the center,” and also treats “phlegm glomus, water swelling due to the large intestine, head wind, and belching.”</w:t>
            </w:r>
          </w:p>
          <w:p w:rsidR="009A06BC" w:rsidRDefault="009A06BC" w:rsidP="009A06BC">
            <w:pPr>
              <w:rPr>
                <w:rFonts w:ascii="Times New Roman" w:hAnsi="Times New Roman" w:cs="Times New Roman"/>
                <w:sz w:val="24"/>
                <w:szCs w:val="24"/>
              </w:rPr>
            </w:pPr>
          </w:p>
          <w:p w:rsidR="008D736B" w:rsidRPr="00E452BD" w:rsidRDefault="008D736B"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i/>
                <w:sz w:val="24"/>
                <w:szCs w:val="24"/>
              </w:rPr>
            </w:pPr>
          </w:p>
          <w:p w:rsidR="009A06BC" w:rsidRPr="00E452BD" w:rsidRDefault="009A06BC" w:rsidP="009A06BC">
            <w:pPr>
              <w:rPr>
                <w:rFonts w:ascii="Times New Roman" w:hAnsi="Times New Roman" w:cs="Times New Roman"/>
                <w:sz w:val="24"/>
                <w:szCs w:val="24"/>
              </w:rPr>
            </w:pPr>
            <w:r>
              <w:rPr>
                <w:rFonts w:ascii="Times New Roman" w:hAnsi="Times New Roman" w:cs="Times New Roman"/>
                <w:i/>
                <w:sz w:val="24"/>
                <w:szCs w:val="24"/>
              </w:rPr>
              <w:t>See Pliny for Roman uses.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Hellebore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Helleborus cyclophyllus </w:t>
            </w:r>
            <w:r>
              <w:rPr>
                <w:rFonts w:ascii="Times New Roman" w:hAnsi="Times New Roman" w:cs="Times New Roman"/>
                <w:sz w:val="24"/>
                <w:szCs w:val="24"/>
              </w:rPr>
              <w:t xml:space="preserve">(Black) or </w:t>
            </w:r>
            <w:r>
              <w:rPr>
                <w:rFonts w:ascii="Times New Roman" w:hAnsi="Times New Roman" w:cs="Times New Roman"/>
                <w:i/>
                <w:sz w:val="24"/>
                <w:szCs w:val="24"/>
              </w:rPr>
              <w:t xml:space="preserve">Veratrum album </w:t>
            </w:r>
            <w:r>
              <w:rPr>
                <w:rFonts w:ascii="Times New Roman" w:hAnsi="Times New Roman" w:cs="Times New Roman"/>
                <w:sz w:val="24"/>
                <w:szCs w:val="24"/>
              </w:rPr>
              <w:t>(White)</w:t>
            </w:r>
            <w:r>
              <w:rPr>
                <w:rFonts w:ascii="Times New Roman" w:hAnsi="Times New Roman" w:cs="Times New Roman"/>
                <w:i/>
                <w:sz w:val="24"/>
                <w:szCs w:val="24"/>
              </w:rPr>
              <w:t xml:space="preserve">, </w:t>
            </w:r>
            <w:r>
              <w:rPr>
                <w:rFonts w:ascii="Times New Roman" w:hAnsi="Times New Roman" w:cs="Times New Roman"/>
                <w:sz w:val="24"/>
                <w:szCs w:val="24"/>
              </w:rPr>
              <w:t>depending … the two types are biologically unrelated, but were awarded the same name in ancient times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elleborum, elleborus, veratrum</w:t>
            </w:r>
          </w:p>
          <w:p w:rsidR="009A06BC" w:rsidRDefault="009A06BC" w:rsidP="009A06BC">
            <w:pPr>
              <w:rPr>
                <w:rFonts w:ascii="Times New Roman" w:hAnsi="Times New Roman" w:cs="Times New Roman"/>
                <w:sz w:val="24"/>
                <w:szCs w:val="24"/>
              </w:rPr>
            </w:pPr>
          </w:p>
          <w:p w:rsidR="009A06BC" w:rsidRPr="00F44780"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ἑλλέβορος</w:t>
            </w:r>
          </w:p>
        </w:tc>
        <w:tc>
          <w:tcPr>
            <w:tcW w:w="3718" w:type="dxa"/>
          </w:tcPr>
          <w:p w:rsidR="009A06BC" w:rsidRDefault="009A06BC" w:rsidP="009A06BC">
            <w:pPr>
              <w:rPr>
                <w:rFonts w:ascii="Times New Roman" w:hAnsi="Times New Roman" w:cs="Times New Roman"/>
                <w:sz w:val="24"/>
                <w:szCs w:val="24"/>
              </w:rPr>
            </w:pPr>
          </w:p>
          <w:p w:rsidR="009A06BC" w:rsidRPr="004B4AD0" w:rsidRDefault="009A06BC" w:rsidP="009A06BC">
            <w:pPr>
              <w:rPr>
                <w:rFonts w:ascii="Times New Roman" w:hAnsi="Times New Roman" w:cs="Times New Roman"/>
                <w:sz w:val="24"/>
                <w:szCs w:val="24"/>
              </w:rPr>
            </w:pPr>
            <w:r>
              <w:rPr>
                <w:rFonts w:ascii="Times New Roman" w:hAnsi="Times New Roman" w:cs="Times New Roman"/>
                <w:sz w:val="24"/>
                <w:szCs w:val="24"/>
              </w:rPr>
              <w:t>Longrigg (</w:t>
            </w:r>
            <w:r>
              <w:rPr>
                <w:rFonts w:ascii="Times New Roman" w:hAnsi="Times New Roman" w:cs="Times New Roman"/>
                <w:i/>
                <w:sz w:val="24"/>
                <w:szCs w:val="24"/>
              </w:rPr>
              <w:t xml:space="preserve">Greek Medicine, </w:t>
            </w:r>
            <w:r>
              <w:rPr>
                <w:rFonts w:ascii="Times New Roman" w:hAnsi="Times New Roman" w:cs="Times New Roman"/>
                <w:sz w:val="24"/>
                <w:szCs w:val="24"/>
              </w:rPr>
              <w:t xml:space="preserve">163) establishes the binomial nomenclature for the black and white breeds, despite the insistence of Dioscorides that they were both members of the </w:t>
            </w:r>
            <w:r>
              <w:rPr>
                <w:rFonts w:ascii="Times New Roman" w:hAnsi="Times New Roman" w:cs="Times New Roman"/>
                <w:i/>
                <w:sz w:val="24"/>
                <w:szCs w:val="24"/>
              </w:rPr>
              <w:t xml:space="preserve">Veratrum </w:t>
            </w:r>
            <w:r>
              <w:rPr>
                <w:rFonts w:ascii="Times New Roman" w:hAnsi="Times New Roman" w:cs="Times New Roman"/>
                <w:sz w:val="24"/>
                <w:szCs w:val="24"/>
              </w:rPr>
              <w:t xml:space="preserve">genus.  He also claims that while the “Hippocratics” were aware of the poisonous nature of both breeds, as is evidenced in </w:t>
            </w:r>
            <w:r>
              <w:rPr>
                <w:rFonts w:ascii="Times New Roman" w:hAnsi="Times New Roman" w:cs="Times New Roman"/>
                <w:i/>
                <w:sz w:val="24"/>
                <w:szCs w:val="24"/>
              </w:rPr>
              <w:t xml:space="preserve">Aphorisms </w:t>
            </w:r>
            <w:r>
              <w:rPr>
                <w:rFonts w:ascii="Times New Roman" w:hAnsi="Times New Roman" w:cs="Times New Roman"/>
                <w:sz w:val="24"/>
                <w:szCs w:val="24"/>
              </w:rPr>
              <w:t xml:space="preserve">4.16 and 4.506L within the </w:t>
            </w:r>
            <w:r>
              <w:rPr>
                <w:rFonts w:ascii="Times New Roman" w:hAnsi="Times New Roman" w:cs="Times New Roman"/>
                <w:i/>
                <w:sz w:val="24"/>
                <w:szCs w:val="24"/>
              </w:rPr>
              <w:t>Hippocratic Corpus,</w:t>
            </w:r>
            <w:r>
              <w:rPr>
                <w:rFonts w:ascii="Times New Roman" w:hAnsi="Times New Roman" w:cs="Times New Roman"/>
                <w:sz w:val="24"/>
                <w:szCs w:val="24"/>
              </w:rPr>
              <w:t xml:space="preserve"> both were widely prescribed, and “[b]lack hellebore [even] served as an all-purpose drug for the Greeks and was employed especially for its emetic and diarrhoetic effect.”</w:t>
            </w:r>
          </w:p>
          <w:p w:rsidR="009A06BC" w:rsidRPr="004B4AD0"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i/>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CH </w:t>
            </w:r>
            <w:r>
              <w:rPr>
                <w:rFonts w:ascii="Times New Roman" w:hAnsi="Times New Roman" w:cs="Times New Roman"/>
                <w:sz w:val="24"/>
                <w:szCs w:val="24"/>
              </w:rPr>
              <w:t>63 uses (16 gyn., 47 med.) including “consumption, purification [of menstrual blood], hydropsy, rheumatism”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Pseudo-Hippocrates, </w:t>
            </w:r>
            <w:r>
              <w:rPr>
                <w:rFonts w:ascii="Times New Roman" w:hAnsi="Times New Roman" w:cs="Times New Roman"/>
                <w:i/>
                <w:sz w:val="24"/>
                <w:szCs w:val="24"/>
              </w:rPr>
              <w:t>Diseases</w:t>
            </w:r>
            <w:r>
              <w:rPr>
                <w:rFonts w:ascii="Times New Roman" w:hAnsi="Times New Roman" w:cs="Times New Roman"/>
                <w:sz w:val="24"/>
                <w:szCs w:val="24"/>
              </w:rPr>
              <w:t xml:space="preserve"> 2.43: The root, mixed with trefoil, fig juice, and wine, was given in some instances for seizures and fevers resulting from fatigue.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HN </w:t>
            </w:r>
            <w:r>
              <w:rPr>
                <w:rFonts w:ascii="Times New Roman" w:hAnsi="Times New Roman" w:cs="Times New Roman"/>
                <w:sz w:val="24"/>
                <w:szCs w:val="24"/>
              </w:rPr>
              <w:t xml:space="preserve">27.6 “Scorpions […] find help </w:t>
            </w:r>
            <w:r>
              <w:rPr>
                <w:rFonts w:ascii="Times New Roman" w:hAnsi="Times New Roman" w:cs="Times New Roman"/>
                <w:sz w:val="24"/>
                <w:szCs w:val="24"/>
              </w:rPr>
              <w:lastRenderedPageBreak/>
              <w:t xml:space="preserve">in white hellebore since its touch dispels the numbness [of aconite].”  The implication here is that it works the same way on </w:t>
            </w:r>
            <w:proofErr w:type="gramStart"/>
            <w:r>
              <w:rPr>
                <w:rFonts w:ascii="Times New Roman" w:hAnsi="Times New Roman" w:cs="Times New Roman"/>
                <w:sz w:val="24"/>
                <w:szCs w:val="24"/>
              </w:rPr>
              <w:t>humans,</w:t>
            </w:r>
            <w:proofErr w:type="gramEnd"/>
            <w:r>
              <w:rPr>
                <w:rFonts w:ascii="Times New Roman" w:hAnsi="Times New Roman" w:cs="Times New Roman"/>
                <w:sz w:val="24"/>
                <w:szCs w:val="24"/>
              </w:rPr>
              <w:t xml:space="preserve"> so presumably, it was an antivenin and a means of rousing patients from anesthesia.  Side-note: he also says that “men have turned [aconite] to the advantage of their health, [inasmuch as its] nature is to kill a human being unless it finds something else in him to destroy.”  Knowing that hellebore is deadly to the touch, as well, one wonders if it had a similar use, and if so, with what level of success. </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 xml:space="preserve">4.151-2 </w:t>
            </w:r>
            <w:r>
              <w:rPr>
                <w:rFonts w:ascii="Times New Roman" w:hAnsi="Times New Roman" w:cs="Times New Roman"/>
                <w:i/>
                <w:sz w:val="24"/>
                <w:szCs w:val="24"/>
              </w:rPr>
              <w:t xml:space="preserve">Veratrum album, </w:t>
            </w:r>
            <w:r>
              <w:rPr>
                <w:rFonts w:ascii="Times New Roman" w:hAnsi="Times New Roman" w:cs="Times New Roman"/>
                <w:sz w:val="24"/>
                <w:szCs w:val="24"/>
              </w:rPr>
              <w:t>the Cyrenaic breed of which Dioscorides prefers, is an emetic for use against “diverse Humors,” and also a vision clarifier, a menstrual aid, and a vermicide for use against bowel parasites.  Its scent promotes sneezing.  It is best taken while fasting, or else with a short list of herbs and foodstuffs, depending on the patient’s body and diet; some even soak it in vinegar first and take it as a suppository (it induces vomit either way, so it’s a matter of whether the patient can handle the taste of the herb long enough to swallow, I guess).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Veratrum nigrum,</w:t>
            </w:r>
            <w:r>
              <w:rPr>
                <w:rFonts w:ascii="Times New Roman" w:hAnsi="Times New Roman" w:cs="Times New Roman"/>
                <w:sz w:val="24"/>
                <w:szCs w:val="24"/>
              </w:rPr>
              <w:t xml:space="preserve"> of which there are at least two types, is bitterer but just as good for “purging,” particularly of cholera and phlegm.  Additionally, the herb “is very useful for gout, melancholy, madness, mania, joint pain, and also paralysis/palsy” (“perlesía” can mean either one).  It can do everything its white cousin can, </w:t>
            </w:r>
            <w:r>
              <w:rPr>
                <w:rFonts w:ascii="Times New Roman" w:hAnsi="Times New Roman" w:cs="Times New Roman"/>
                <w:sz w:val="24"/>
                <w:szCs w:val="24"/>
              </w:rPr>
              <w:lastRenderedPageBreak/>
              <w:t>plus it clears up tooth and ear aches, mange, and a variety of skin problems.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HP </w:t>
            </w:r>
            <w:r>
              <w:rPr>
                <w:rFonts w:ascii="Times New Roman" w:hAnsi="Times New Roman" w:cs="Times New Roman"/>
                <w:sz w:val="24"/>
                <w:szCs w:val="24"/>
              </w:rPr>
              <w:t>9.10 The white variety is taken as an emetic even by sheep; the kind from Elea turns grapevines “so diuretic that those who drink [their wine] are very emaciated,” but Theophrastus prefers the kind from Oeta for medical use.</w:t>
            </w:r>
          </w:p>
          <w:p w:rsidR="009A06BC" w:rsidRDefault="009A06BC" w:rsidP="009A06BC">
            <w:pPr>
              <w:rPr>
                <w:rFonts w:ascii="Times New Roman" w:hAnsi="Times New Roman" w:cs="Times New Roman"/>
                <w:sz w:val="24"/>
                <w:szCs w:val="24"/>
              </w:rPr>
            </w:pPr>
          </w:p>
          <w:p w:rsidR="009A06BC" w:rsidRPr="0003537D"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(134-5): The black variety could be ground up and used “in exorcism rituals,” as well as for turning oneself invisible or astral-projecting.  He does note that due to its high level of toxicity, “it is simply too dangerous to use” – not that that stopped the ancients.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Suggests as a “substitute Black Currant” and concurs with Cunningham on its uses, adding that it’s good for eliciting “visions [and increasing] psychic power” (226).  Also attributes the herb – and black currant – to the Underworld and the Dark versions of wiccan deities (226).  Neither herb appears in her spellwork, presumably because of this attribution.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865A54"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HP </w:t>
            </w:r>
            <w:r>
              <w:rPr>
                <w:rFonts w:ascii="Times New Roman" w:hAnsi="Times New Roman" w:cs="Times New Roman"/>
                <w:sz w:val="24"/>
                <w:szCs w:val="24"/>
              </w:rPr>
              <w:t>9.8 Theophrastus remarks on local superstition: “One should draw a circle round the black hellebore and cut it facing east and saying prayers[,] and one should look out for an eagle both from right and left; for there is a danger to the cutters of dying within the year, if the eagle should come near.”  A certain strain, which takes its name from the rootcutter Melampus, is used to “purify houses and sheep [while] chanting some incantation.”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4.152 Attributed to Apollo and later to Aesclepius, the black variety has purifying and protecting powers on both wine and houses.  Dioscorides also relates Theophrastus’ warning to rootcutters.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DE7CEB"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PGM </w:t>
            </w:r>
            <w:r>
              <w:rPr>
                <w:rFonts w:ascii="Times New Roman" w:hAnsi="Times New Roman" w:cs="Times New Roman"/>
                <w:sz w:val="24"/>
                <w:szCs w:val="24"/>
              </w:rPr>
              <w:t xml:space="preserve">4.401-44 </w:t>
            </w:r>
            <w:r>
              <w:rPr>
                <w:rFonts w:ascii="Times New Roman" w:hAnsi="Times New Roman" w:cs="Times New Roman"/>
                <w:i/>
                <w:sz w:val="24"/>
                <w:szCs w:val="24"/>
              </w:rPr>
              <w:t xml:space="preserve">Helleborus foetidus </w:t>
            </w:r>
            <w:r>
              <w:rPr>
                <w:rFonts w:ascii="Times New Roman" w:hAnsi="Times New Roman" w:cs="Times New Roman"/>
                <w:sz w:val="24"/>
                <w:szCs w:val="24"/>
              </w:rPr>
              <w:t>is suggested for a magical herb called “Blood from a Shoulder,” while white hellebore is labeled “Semen of Helios.”</w:t>
            </w: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Henbane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Hyoscyamus </w:t>
            </w:r>
            <w:r>
              <w:rPr>
                <w:rFonts w:ascii="Times New Roman" w:hAnsi="Times New Roman" w:cs="Times New Roman"/>
                <w:sz w:val="24"/>
                <w:szCs w:val="24"/>
              </w:rPr>
              <w:t>spp.</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hyoscyamus</w:t>
            </w:r>
          </w:p>
          <w:p w:rsidR="009A06BC" w:rsidRDefault="009A06BC" w:rsidP="009A06BC">
            <w:pPr>
              <w:rPr>
                <w:rFonts w:ascii="Times New Roman" w:hAnsi="Times New Roman" w:cs="Times New Roman"/>
                <w:sz w:val="24"/>
                <w:szCs w:val="24"/>
              </w:rPr>
            </w:pPr>
          </w:p>
          <w:p w:rsidR="009A06BC" w:rsidRPr="008D6451"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ὑοσκύαμος</w:t>
            </w:r>
          </w:p>
        </w:tc>
        <w:tc>
          <w:tcPr>
            <w:tcW w:w="3718"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Pseudo-Hippocrates, </w:t>
            </w:r>
            <w:r>
              <w:rPr>
                <w:rFonts w:ascii="Times New Roman" w:hAnsi="Times New Roman" w:cs="Times New Roman"/>
                <w:i/>
                <w:sz w:val="24"/>
                <w:szCs w:val="24"/>
              </w:rPr>
              <w:t>Diseases</w:t>
            </w:r>
            <w:r>
              <w:rPr>
                <w:rFonts w:ascii="Times New Roman" w:hAnsi="Times New Roman" w:cs="Times New Roman"/>
                <w:sz w:val="24"/>
                <w:szCs w:val="24"/>
              </w:rPr>
              <w:t xml:space="preserve"> 2.43: A tiny amount of the fruit, taken with small amounts of mandrake, fig juice, trefoil, and wine, was given in some instances to victims of “quartan fever.”</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Hünemörder (“Henbane”) says Dioscorides ruled out the </w:t>
            </w:r>
            <w:r>
              <w:rPr>
                <w:rFonts w:ascii="Times New Roman" w:hAnsi="Times New Roman" w:cs="Times New Roman"/>
                <w:i/>
                <w:sz w:val="24"/>
                <w:szCs w:val="24"/>
              </w:rPr>
              <w:t xml:space="preserve">niger </w:t>
            </w:r>
            <w:r>
              <w:rPr>
                <w:rFonts w:ascii="Times New Roman" w:hAnsi="Times New Roman" w:cs="Times New Roman"/>
                <w:sz w:val="24"/>
                <w:szCs w:val="24"/>
              </w:rPr>
              <w:t xml:space="preserve">(black) and </w:t>
            </w:r>
            <w:r>
              <w:rPr>
                <w:rFonts w:ascii="Times New Roman" w:hAnsi="Times New Roman" w:cs="Times New Roman"/>
                <w:i/>
                <w:sz w:val="24"/>
                <w:szCs w:val="24"/>
              </w:rPr>
              <w:t>aureus</w:t>
            </w:r>
            <w:r>
              <w:rPr>
                <w:rFonts w:ascii="Times New Roman" w:hAnsi="Times New Roman" w:cs="Times New Roman"/>
                <w:sz w:val="24"/>
                <w:szCs w:val="24"/>
              </w:rPr>
              <w:t xml:space="preserve"> (golden) species as too toxic for medicinal use, but liked </w:t>
            </w:r>
            <w:r>
              <w:rPr>
                <w:rFonts w:ascii="Times New Roman" w:hAnsi="Times New Roman" w:cs="Times New Roman"/>
                <w:i/>
                <w:sz w:val="24"/>
                <w:szCs w:val="24"/>
              </w:rPr>
              <w:t>albus</w:t>
            </w:r>
            <w:r>
              <w:rPr>
                <w:rFonts w:ascii="Times New Roman" w:hAnsi="Times New Roman" w:cs="Times New Roman"/>
                <w:sz w:val="24"/>
                <w:szCs w:val="24"/>
              </w:rPr>
              <w:t xml:space="preserve"> (white) as a painkiller.  He also says “Pall. Agric. 1.35.5” uses juice from the </w:t>
            </w:r>
            <w:r>
              <w:rPr>
                <w:rFonts w:ascii="Times New Roman" w:hAnsi="Times New Roman" w:cs="Times New Roman"/>
                <w:i/>
                <w:sz w:val="24"/>
                <w:szCs w:val="24"/>
              </w:rPr>
              <w:t>reticulatus</w:t>
            </w:r>
            <w:r>
              <w:rPr>
                <w:rFonts w:ascii="Times New Roman" w:hAnsi="Times New Roman" w:cs="Times New Roman"/>
                <w:sz w:val="24"/>
                <w:szCs w:val="24"/>
              </w:rPr>
              <w:t xml:space="preserve"> species with vinegar to kill cabbage pests, and that </w:t>
            </w:r>
            <w:r>
              <w:rPr>
                <w:rFonts w:ascii="Times New Roman" w:hAnsi="Times New Roman" w:cs="Times New Roman"/>
                <w:i/>
                <w:sz w:val="24"/>
                <w:szCs w:val="24"/>
              </w:rPr>
              <w:t xml:space="preserve">Das Lorscher Arzneibuch </w:t>
            </w:r>
            <w:r>
              <w:rPr>
                <w:rFonts w:ascii="Times New Roman" w:hAnsi="Times New Roman" w:cs="Times New Roman"/>
                <w:sz w:val="24"/>
                <w:szCs w:val="24"/>
              </w:rPr>
              <w:t>in the Middle Ages promoted the herb, under the name “iusquiamus,” for various purposes.</w:t>
            </w:r>
          </w:p>
          <w:p w:rsidR="009A06BC" w:rsidRDefault="009A06BC" w:rsidP="009A06BC">
            <w:pPr>
              <w:rPr>
                <w:rFonts w:ascii="Times New Roman" w:hAnsi="Times New Roman" w:cs="Times New Roman"/>
                <w:sz w:val="24"/>
                <w:szCs w:val="24"/>
              </w:rPr>
            </w:pPr>
          </w:p>
          <w:p w:rsidR="009A06BC" w:rsidRPr="003A0302"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In “Intoxicating substances,” he goes on to say that Dioscorides employed this herb as an anaesthetic during major surgeries.  In the event of overdose, he cites Celsus </w:t>
            </w:r>
            <w:r>
              <w:rPr>
                <w:rFonts w:ascii="Times New Roman" w:hAnsi="Times New Roman" w:cs="Times New Roman"/>
                <w:i/>
                <w:sz w:val="24"/>
                <w:szCs w:val="24"/>
              </w:rPr>
              <w:t>DM</w:t>
            </w:r>
            <w:r>
              <w:rPr>
                <w:rFonts w:ascii="Times New Roman" w:hAnsi="Times New Roman" w:cs="Times New Roman"/>
                <w:sz w:val="24"/>
                <w:szCs w:val="24"/>
              </w:rPr>
              <w:t xml:space="preserve"> 5.27.12b and Scribonius Largus 181 as having “prescribed wine mead and donkey’s milk as an antidote.”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FA1D5A"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 xml:space="preserve">4.70 He confirms the juice’s painkilling properties mentioned above, primarily for earaches and “mother’s sickness”; mixed with flour or polenta into a poultice, it reduces inflammation anywhere on the body (especially the eyes and feet).  In small doses, the seed has the same effects, though it also “is useful against coughs, catarrhs, oozing eyes, menstrual overflow, and blood effusions.  Crushed into wine and made into a plaster, it serves [to reduce] pain from gout, swollen [lumps], and hardening of the nipples after birth.”  The leaves can do the same if made into pills or plasters; they can also be drunk with wine to reduce fevers and colitis.  He ends by saying the root can be boiled in vinegar to make a household toothache-resolving mouthwash.  </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For the record, hyoscyamine is administered today for abdominal cramps … while it provides pain </w:t>
            </w:r>
            <w:proofErr w:type="gramStart"/>
            <w:r>
              <w:rPr>
                <w:rFonts w:ascii="Times New Roman" w:hAnsi="Times New Roman" w:cs="Times New Roman"/>
                <w:sz w:val="24"/>
                <w:szCs w:val="24"/>
              </w:rPr>
              <w:t>relief,</w:t>
            </w:r>
            <w:proofErr w:type="gramEnd"/>
            <w:r>
              <w:rPr>
                <w:rFonts w:ascii="Times New Roman" w:hAnsi="Times New Roman" w:cs="Times New Roman"/>
                <w:sz w:val="24"/>
                <w:szCs w:val="24"/>
              </w:rPr>
              <w:t xml:space="preserve"> it generally comes with diarrheic side-effects.</w:t>
            </w:r>
          </w:p>
          <w:p w:rsidR="009A06BC" w:rsidRDefault="009A06BC" w:rsidP="009A06BC">
            <w:pPr>
              <w:rPr>
                <w:rFonts w:ascii="Times New Roman" w:hAnsi="Times New Roman" w:cs="Times New Roman"/>
                <w:sz w:val="24"/>
                <w:szCs w:val="24"/>
              </w:rPr>
            </w:pPr>
          </w:p>
          <w:p w:rsidR="009A06BC" w:rsidRPr="00FA1D5A"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(136-7): “Another poisonous plant largely ignored in herb magic today due to its toxicity,” it was harvested by the ancients in a very precise and superstitious manner, and either worn for love spells or burnt for rain-summoning spells.  He notes that fern is a more suitable replacement for the latter type of magic.</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like Hellebore, good for “spirit contact,” aligned with the Underworld, and replaced by other herbs (she says Mace) (226).  She lists mace as being good for spells involving psychic abilities, as well; we can assume, then, that henbane had the same use long ago (221, 240).</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PGM </w:t>
            </w:r>
            <w:r>
              <w:rPr>
                <w:rFonts w:ascii="Times New Roman" w:hAnsi="Times New Roman" w:cs="Times New Roman"/>
                <w:sz w:val="24"/>
                <w:szCs w:val="24"/>
              </w:rPr>
              <w:t xml:space="preserve">36.320-32 The seed is part of a recipe for “A Contraceptive, the Only One in the World,” wherein it is steeped “in Mare’s Milk” and included in a sterility amulet to be worn by a magician who wants sex but not kids.  </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PDM </w:t>
            </w:r>
            <w:r>
              <w:rPr>
                <w:rFonts w:ascii="Times New Roman" w:hAnsi="Times New Roman" w:cs="Times New Roman"/>
                <w:sz w:val="24"/>
                <w:szCs w:val="24"/>
              </w:rPr>
              <w:t xml:space="preserve">Col. 24 Listed as hyoscyamus, one ounce of the stuff (part unknown) is taken with mandrake root and wine “to </w:t>
            </w:r>
            <w:r>
              <w:rPr>
                <w:rFonts w:ascii="Times New Roman" w:hAnsi="Times New Roman" w:cs="Times New Roman"/>
                <w:sz w:val="24"/>
                <w:szCs w:val="24"/>
              </w:rPr>
              <w:lastRenderedPageBreak/>
              <w:t>make a man sleep for two days.”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860551" w:rsidRDefault="009A06BC" w:rsidP="009A06BC">
            <w:pPr>
              <w:rPr>
                <w:rFonts w:ascii="Times New Roman" w:hAnsi="Times New Roman" w:cs="Times New Roman"/>
                <w:i/>
                <w:sz w:val="24"/>
                <w:szCs w:val="24"/>
              </w:rPr>
            </w:pPr>
            <w:r>
              <w:rPr>
                <w:rFonts w:ascii="Times New Roman" w:hAnsi="Times New Roman" w:cs="Times New Roman"/>
                <w:i/>
                <w:sz w:val="24"/>
                <w:szCs w:val="24"/>
              </w:rPr>
              <w:t xml:space="preserve">Kyr. </w:t>
            </w:r>
            <w:r>
              <w:rPr>
                <w:rFonts w:ascii="Times New Roman" w:hAnsi="Times New Roman" w:cs="Times New Roman"/>
                <w:sz w:val="24"/>
                <w:szCs w:val="24"/>
              </w:rPr>
              <w:t>24</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A “Confection of the Plasters” yields a quick-acting bandage or poultice from a mixture of henbane seed, mandrake apples, the “shoulder bone” of a herring (a magical herb name, maybe?), dried roses, root bark from “Ulmelea,” “Colophonia” (it’s unclear whether these two terms make up the ancient biological name of a no longer existent plant, or are separate entities now unidentifiable), sulfur, and niter.</w:t>
            </w:r>
          </w:p>
          <w:p w:rsidR="009A06BC" w:rsidRPr="00DE7CEB"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Mandrake</w:t>
            </w:r>
          </w:p>
          <w:p w:rsidR="009A06BC" w:rsidRDefault="009A06BC" w:rsidP="009A06BC">
            <w:pPr>
              <w:rPr>
                <w:rFonts w:ascii="Times New Roman" w:hAnsi="Times New Roman" w:cs="Times New Roman"/>
                <w:sz w:val="24"/>
                <w:szCs w:val="24"/>
              </w:rPr>
            </w:pPr>
          </w:p>
          <w:p w:rsidR="009A06BC" w:rsidRPr="0005701E"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Mandragora officinarum </w:t>
            </w:r>
            <w:r>
              <w:rPr>
                <w:rFonts w:ascii="Times New Roman" w:hAnsi="Times New Roman" w:cs="Times New Roman"/>
                <w:sz w:val="24"/>
                <w:szCs w:val="24"/>
              </w:rPr>
              <w:t xml:space="preserve">(Mediterranean) or </w:t>
            </w:r>
            <w:r>
              <w:rPr>
                <w:rFonts w:ascii="Times New Roman" w:hAnsi="Times New Roman" w:cs="Times New Roman"/>
                <w:i/>
                <w:sz w:val="24"/>
                <w:szCs w:val="24"/>
              </w:rPr>
              <w:t xml:space="preserve">autumnalis </w:t>
            </w:r>
            <w:r>
              <w:rPr>
                <w:rFonts w:ascii="Times New Roman" w:hAnsi="Times New Roman" w:cs="Times New Roman"/>
                <w:sz w:val="24"/>
                <w:szCs w:val="24"/>
              </w:rPr>
              <w:t>(Levant)</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mandragora</w:t>
            </w:r>
          </w:p>
          <w:p w:rsidR="009A06BC" w:rsidRDefault="009A06BC" w:rsidP="009A06BC">
            <w:pPr>
              <w:rPr>
                <w:rFonts w:ascii="Times New Roman" w:hAnsi="Times New Roman" w:cs="Times New Roman"/>
                <w:sz w:val="24"/>
                <w:szCs w:val="24"/>
              </w:rPr>
            </w:pPr>
          </w:p>
          <w:p w:rsidR="009A06BC" w:rsidRPr="00642902"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lastRenderedPageBreak/>
              <w:t>μανδραγόρᾱς</w:t>
            </w:r>
          </w:p>
          <w:p w:rsidR="009A06BC" w:rsidRDefault="009A06BC" w:rsidP="009A06BC">
            <w:pPr>
              <w:rPr>
                <w:rFonts w:ascii="Times New Roman" w:hAnsi="Times New Roman" w:cs="Times New Roman"/>
                <w:sz w:val="24"/>
                <w:szCs w:val="24"/>
              </w:rPr>
            </w:pPr>
          </w:p>
          <w:p w:rsidR="009A06BC" w:rsidRPr="000C5223" w:rsidRDefault="009A06BC" w:rsidP="009A06BC">
            <w:pPr>
              <w:jc w:val="center"/>
              <w:rPr>
                <w:rFonts w:ascii="Times New Roman" w:hAnsi="Times New Roman" w:cs="Times New Roman"/>
                <w:sz w:val="24"/>
                <w:szCs w:val="24"/>
              </w:rPr>
            </w:pPr>
            <w:r>
              <w:rPr>
                <w:rFonts w:ascii="Times New Roman" w:hAnsi="Times New Roman" w:cs="Times New Roman"/>
                <w:i/>
                <w:sz w:val="24"/>
                <w:szCs w:val="24"/>
              </w:rPr>
              <w:t>OR</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May-Apple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Podophyllum peltatum</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w:t>
            </w:r>
          </w:p>
          <w:p w:rsidR="009A06BC" w:rsidRDefault="009A06BC" w:rsidP="009A06BC">
            <w:pPr>
              <w:rPr>
                <w:rFonts w:ascii="Times New Roman" w:hAnsi="Times New Roman" w:cs="Times New Roman"/>
                <w:sz w:val="24"/>
                <w:szCs w:val="24"/>
              </w:rPr>
            </w:pPr>
          </w:p>
          <w:p w:rsidR="009A06BC" w:rsidRPr="000C5223"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p>
        </w:tc>
        <w:tc>
          <w:tcPr>
            <w:tcW w:w="3718" w:type="dxa"/>
          </w:tcPr>
          <w:p w:rsidR="009A06BC" w:rsidRDefault="009A06BC" w:rsidP="009A06BC">
            <w:pPr>
              <w:rPr>
                <w:rFonts w:ascii="Times New Roman" w:hAnsi="Times New Roman" w:cs="Times New Roman"/>
                <w:sz w:val="24"/>
                <w:szCs w:val="24"/>
              </w:rPr>
            </w:pPr>
          </w:p>
          <w:p w:rsidR="009A06BC" w:rsidRDefault="003F3C99" w:rsidP="009A06BC">
            <w:pPr>
              <w:rPr>
                <w:rFonts w:ascii="Times New Roman" w:hAnsi="Times New Roman" w:cs="Times New Roman"/>
                <w:sz w:val="24"/>
                <w:szCs w:val="24"/>
              </w:rPr>
            </w:pPr>
            <w:r>
              <w:rPr>
                <w:rFonts w:ascii="Times New Roman" w:hAnsi="Times New Roman" w:cs="Times New Roman"/>
                <w:i/>
                <w:sz w:val="24"/>
                <w:szCs w:val="24"/>
              </w:rPr>
              <w:t>HN</w:t>
            </w:r>
            <w:r w:rsidR="009A06BC">
              <w:rPr>
                <w:rFonts w:ascii="Times New Roman" w:hAnsi="Times New Roman" w:cs="Times New Roman"/>
                <w:i/>
                <w:sz w:val="24"/>
                <w:szCs w:val="24"/>
              </w:rPr>
              <w:t xml:space="preserve"> </w:t>
            </w:r>
            <w:r w:rsidR="009A06BC">
              <w:rPr>
                <w:rFonts w:ascii="Times New Roman" w:hAnsi="Times New Roman" w:cs="Times New Roman"/>
                <w:sz w:val="24"/>
                <w:szCs w:val="24"/>
              </w:rPr>
              <w:t>25.150 Pliny says doctors use the juice for local anesthesia and as an antivenin, but that they should stop prescribing it as a sleep aid because the smell of it alone has been known to prove fatal.</w:t>
            </w:r>
          </w:p>
          <w:p w:rsidR="009A06BC" w:rsidRDefault="009A06BC" w:rsidP="009A06BC">
            <w:pPr>
              <w:rPr>
                <w:rFonts w:ascii="Times New Roman" w:hAnsi="Times New Roman" w:cs="Times New Roman"/>
                <w:sz w:val="24"/>
                <w:szCs w:val="24"/>
              </w:rPr>
            </w:pPr>
          </w:p>
          <w:p w:rsidR="009A06BC" w:rsidRPr="0005701E"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Pseudo-Hippocrates, </w:t>
            </w:r>
            <w:r>
              <w:rPr>
                <w:rFonts w:ascii="Times New Roman" w:hAnsi="Times New Roman" w:cs="Times New Roman"/>
                <w:i/>
                <w:sz w:val="24"/>
                <w:szCs w:val="24"/>
              </w:rPr>
              <w:t xml:space="preserve">Places in Man </w:t>
            </w:r>
            <w:r>
              <w:rPr>
                <w:rFonts w:ascii="Times New Roman" w:hAnsi="Times New Roman" w:cs="Times New Roman"/>
                <w:sz w:val="24"/>
                <w:szCs w:val="24"/>
              </w:rPr>
              <w:t xml:space="preserve">39: A small dose of “an infusion of mandrake-root” was given to “the sick and depressed” and suicidal.  </w:t>
            </w:r>
            <w:r>
              <w:rPr>
                <w:rFonts w:ascii="Times New Roman" w:hAnsi="Times New Roman" w:cs="Times New Roman"/>
                <w:sz w:val="24"/>
                <w:szCs w:val="24"/>
              </w:rPr>
              <w:lastRenderedPageBreak/>
              <w:t>The same small dose was allotted to patients suffering from spasms, in combination with hot poultices applied to the Achilles tendons.  The author notes that overdose of this infusion would result in delirium, so perhaps the allotment created a “high” wherein pain and negative thoughts were forgotten.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605BEF"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4.75 “They administer a cyathos of [root bark boiled in wine] to insomniacs, to those in severe pain, or to those whom they wish to anaesthetise” before surgery.  The juice was taken with melicraton as a substitute for hellebore “in eye medicines, anodynes, and soothing pessaries,” but overdose caused abortions and sometimes death.  Oddly, when used as a suppository, the juice “causes sleep.”  Leaves were used with barley for poultices for inflammations, ulcers, tumors, joint pain, and any number of skin issues.  With vinegar, it clears up erysipelas, and with honey or oil, it cleans snakebites.  Unfortunately, while the fruit made for a good sedative, it had a habit of rendering its consumers mute or unconscious, so dosage has to be exact.</w:t>
            </w: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Hünemörder (“Zoology and botany”) mentions that magical use of this herb in the Byzantine Period was recorded in </w:t>
            </w:r>
            <w:r>
              <w:rPr>
                <w:rFonts w:ascii="Times New Roman" w:hAnsi="Times New Roman" w:cs="Times New Roman"/>
                <w:i/>
                <w:sz w:val="24"/>
                <w:szCs w:val="24"/>
              </w:rPr>
              <w:t xml:space="preserve">Koiranides </w:t>
            </w:r>
            <w:r>
              <w:rPr>
                <w:rFonts w:ascii="Times New Roman" w:hAnsi="Times New Roman" w:cs="Times New Roman"/>
                <w:sz w:val="24"/>
                <w:szCs w:val="24"/>
              </w:rPr>
              <w:t xml:space="preserve">33 and 34.3-206, and in </w:t>
            </w:r>
            <w:r>
              <w:rPr>
                <w:rFonts w:ascii="Times New Roman" w:hAnsi="Times New Roman" w:cs="Times New Roman"/>
                <w:i/>
                <w:sz w:val="24"/>
                <w:szCs w:val="24"/>
              </w:rPr>
              <w:t xml:space="preserve">Compendium aureum </w:t>
            </w:r>
            <w:r>
              <w:rPr>
                <w:rFonts w:ascii="Times New Roman" w:hAnsi="Times New Roman" w:cs="Times New Roman"/>
                <w:sz w:val="24"/>
                <w:szCs w:val="24"/>
              </w:rPr>
              <w:t>34.209-233.  He does not go into detail here, although in his “Intoxicating substances” article, he claims that the toxicity would have made mandrake both a good anaesthetic and a possible aphrodisiac.</w:t>
            </w:r>
          </w:p>
          <w:p w:rsidR="009A06BC" w:rsidRPr="00664221"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lastRenderedPageBreak/>
              <w:t>Conway (169): The whole root is set on an altar to protect one against another magician’s spells, or can be carved into a puppet for “image magic.”  She dubs this plant the “Herb of Circe” and also poisonous enough to be substituted with may-apple or white bryony.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(167-8): The whole root is hung over the fireplace or bed for protection, or else “carried to attract love [or] worn to prevent contraction of illnesses.  Where there is mandrake, demons cannot reside, and so the root is used in exorcism.”  The smell of it is soporific, and supposedly it has the power to duplicate silver coins, though he cites no source material for this claim.  There is a lengthy “activation” process before the root can be used for magical purposes, and it’s so expensive and sought-after that roots (especially may-apple) are more often used today.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(227): European Mandrake is poisonous, she says, and so gets replaced by ginger or fennel roots; she seconds the exorcism and protection uses, but adds that it’s an excellent conduit for communicating with spirits and, therefore, should be present for offerings.  American Mandrake, or may-apple, serves some of the same purposes, and so is noted as a substitute for the European version … but apparently not a very good one, since it’s also poisonous – perhaps even more so, since it’s listed as representing death.  (There’s no mention of its use in funeral rites, however.)</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Yronwode (132): She, too, notes the preference for may-apple over the </w:t>
            </w:r>
            <w:r>
              <w:rPr>
                <w:rFonts w:ascii="Times New Roman" w:hAnsi="Times New Roman" w:cs="Times New Roman"/>
                <w:i/>
                <w:sz w:val="24"/>
                <w:szCs w:val="24"/>
              </w:rPr>
              <w:lastRenderedPageBreak/>
              <w:t xml:space="preserve">Atropa </w:t>
            </w:r>
            <w:r>
              <w:rPr>
                <w:rFonts w:ascii="Times New Roman" w:hAnsi="Times New Roman" w:cs="Times New Roman"/>
                <w:sz w:val="24"/>
                <w:szCs w:val="24"/>
              </w:rPr>
              <w:t>breed from Europe, citing the ancient lore of the plant shrieking when uprooted.  She lists only two uses: as a doll for forcing someone’s love toward the magician (sympathetic magic), since the root resembles a human body, and as a prosperity blessing when rolled up with paper money.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AF718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Gerarde, </w:t>
            </w:r>
            <w:r>
              <w:rPr>
                <w:rFonts w:ascii="Times New Roman" w:hAnsi="Times New Roman" w:cs="Times New Roman"/>
                <w:i/>
                <w:sz w:val="24"/>
                <w:szCs w:val="24"/>
              </w:rPr>
              <w:t>The Herball or Generall Historie of Plants</w:t>
            </w:r>
            <w:r>
              <w:rPr>
                <w:rFonts w:ascii="Times New Roman" w:hAnsi="Times New Roman" w:cs="Times New Roman"/>
                <w:sz w:val="24"/>
                <w:szCs w:val="24"/>
              </w:rPr>
              <w:t xml:space="preserve">, 1597 (281): Noting an illustration from the </w:t>
            </w:r>
            <w:r>
              <w:rPr>
                <w:rFonts w:ascii="Times New Roman" w:hAnsi="Times New Roman" w:cs="Times New Roman"/>
                <w:i/>
                <w:sz w:val="24"/>
                <w:szCs w:val="24"/>
              </w:rPr>
              <w:t xml:space="preserve">Juliana Anicia Codex </w:t>
            </w:r>
            <w:r>
              <w:rPr>
                <w:rFonts w:ascii="Times New Roman" w:hAnsi="Times New Roman" w:cs="Times New Roman"/>
                <w:sz w:val="24"/>
                <w:szCs w:val="24"/>
              </w:rPr>
              <w:t>from the 6</w:t>
            </w:r>
            <w:r w:rsidRPr="00AF718C">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EF50CC">
              <w:rPr>
                <w:rFonts w:ascii="Times New Roman" w:hAnsi="Times New Roman" w:cs="Times New Roman"/>
                <w:sz w:val="24"/>
                <w:szCs w:val="24"/>
              </w:rPr>
              <w:t>c.</w:t>
            </w:r>
            <w:r>
              <w:rPr>
                <w:rFonts w:ascii="Times New Roman" w:hAnsi="Times New Roman" w:cs="Times New Roman"/>
                <w:sz w:val="24"/>
                <w:szCs w:val="24"/>
              </w:rPr>
              <w:t xml:space="preserve"> AD, he says that contemporary rootcutters “who woulde take up a plant thereof must tie a dogge thereunto to pull it up, which will give a great shrike at the digging up; otherwise if a man should do it, he should certainly die in a short space thereafter.”  Thus we have the more commonly-known superstition.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HP </w:t>
            </w:r>
            <w:r>
              <w:rPr>
                <w:rFonts w:ascii="Times New Roman" w:hAnsi="Times New Roman" w:cs="Times New Roman"/>
                <w:sz w:val="24"/>
                <w:szCs w:val="24"/>
              </w:rPr>
              <w:t>9.8 Theophrastus recalls folklore on the dangers of picking this herb from his own time: “One should thrice draw circles round the mandrake and cut it facing west.  One should dance in circles round the second piece cut and say as much as possible about sex.”</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4.75 “Some call it animimon, bombchlyon or circaea for the root seems to be good for making philtres.”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8729E1" w:rsidRDefault="009A06BC" w:rsidP="009A06BC">
            <w:pPr>
              <w:rPr>
                <w:rFonts w:ascii="Times New Roman" w:hAnsi="Times New Roman" w:cs="Times New Roman"/>
                <w:sz w:val="24"/>
                <w:szCs w:val="24"/>
              </w:rPr>
            </w:pPr>
            <w:r w:rsidRPr="007D529F">
              <w:rPr>
                <w:rFonts w:ascii="Times New Roman" w:hAnsi="Times New Roman" w:cs="Times New Roman"/>
                <w:i/>
                <w:sz w:val="24"/>
                <w:szCs w:val="24"/>
              </w:rPr>
              <w:t>PDM</w:t>
            </w:r>
            <w:r>
              <w:rPr>
                <w:rFonts w:ascii="Times New Roman" w:hAnsi="Times New Roman" w:cs="Times New Roman"/>
                <w:sz w:val="24"/>
                <w:szCs w:val="24"/>
              </w:rPr>
              <w:t xml:space="preserve"> Col. 24 features an ounce of the root in two recipes for making “a man sleep for two days” or, alternatively, to sleep right away for an indefinite amount of time.</w:t>
            </w:r>
          </w:p>
          <w:p w:rsidR="009A06BC" w:rsidRPr="0017375F"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Kyr. </w:t>
            </w:r>
            <w:r>
              <w:rPr>
                <w:rFonts w:ascii="Times New Roman" w:hAnsi="Times New Roman" w:cs="Times New Roman"/>
                <w:sz w:val="24"/>
                <w:szCs w:val="24"/>
              </w:rPr>
              <w:t xml:space="preserve">24.I© features the “apples” with </w:t>
            </w:r>
            <w:r>
              <w:rPr>
                <w:rFonts w:ascii="Times New Roman" w:hAnsi="Times New Roman" w:cs="Times New Roman"/>
                <w:sz w:val="24"/>
                <w:szCs w:val="24"/>
              </w:rPr>
              <w:lastRenderedPageBreak/>
              <w:t>henbane seeds and other ingredients in a “Confection of the Plasters,” and the seeds in a “Maniacal Confection” for ailments of the eyes with wine, lily, and something called “Manis.”  Due to the entry’s fragmentation, it’s unclear whether that latter recipe is connected with the boiling of “dog-briar” and “Scorpionia” seeds, or whether the author meant to reserve them for a third and unrelated Confection.</w:t>
            </w:r>
          </w:p>
          <w:p w:rsidR="009A06BC" w:rsidRDefault="009A06BC" w:rsidP="009A06BC">
            <w:pPr>
              <w:rPr>
                <w:rFonts w:ascii="Times New Roman" w:hAnsi="Times New Roman" w:cs="Times New Roman"/>
                <w:sz w:val="24"/>
                <w:szCs w:val="24"/>
              </w:rPr>
            </w:pPr>
          </w:p>
          <w:p w:rsidR="009A06BC" w:rsidRPr="007B3C6D"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Mint</w:t>
            </w:r>
          </w:p>
          <w:p w:rsidR="009A06BC" w:rsidRDefault="009A06BC" w:rsidP="009A06BC">
            <w:pPr>
              <w:rPr>
                <w:rFonts w:ascii="Times New Roman" w:hAnsi="Times New Roman" w:cs="Times New Roman"/>
                <w:sz w:val="24"/>
                <w:szCs w:val="24"/>
              </w:rPr>
            </w:pPr>
          </w:p>
          <w:p w:rsidR="009A06BC" w:rsidRPr="00143DF3"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Mentha </w:t>
            </w:r>
            <w:r>
              <w:rPr>
                <w:rFonts w:ascii="Times New Roman" w:hAnsi="Times New Roman" w:cs="Times New Roman"/>
                <w:sz w:val="24"/>
                <w:szCs w:val="24"/>
              </w:rPr>
              <w:t>spp.</w:t>
            </w:r>
          </w:p>
          <w:p w:rsidR="009A06BC" w:rsidRDefault="009A06BC" w:rsidP="009A06BC">
            <w:pPr>
              <w:rPr>
                <w:rFonts w:ascii="Times New Roman" w:hAnsi="Times New Roman" w:cs="Times New Roman"/>
                <w:sz w:val="24"/>
                <w:szCs w:val="24"/>
              </w:rPr>
            </w:pPr>
          </w:p>
          <w:p w:rsidR="009A06BC" w:rsidRPr="00642902" w:rsidRDefault="009A06BC" w:rsidP="009A06BC">
            <w:pPr>
              <w:rPr>
                <w:rFonts w:ascii="Times New Roman" w:hAnsi="Times New Roman" w:cs="Times New Roman"/>
                <w:sz w:val="24"/>
                <w:szCs w:val="24"/>
              </w:rPr>
            </w:pPr>
            <w:r w:rsidRPr="00642902">
              <w:rPr>
                <w:rFonts w:ascii="Times New Roman" w:hAnsi="Times New Roman" w:cs="Times New Roman"/>
                <w:sz w:val="24"/>
                <w:szCs w:val="24"/>
              </w:rPr>
              <w:t>Lat. menta, et al.</w:t>
            </w:r>
          </w:p>
          <w:p w:rsidR="009A06BC" w:rsidRPr="00642902" w:rsidRDefault="009A06BC" w:rsidP="009A06BC">
            <w:pPr>
              <w:rPr>
                <w:rFonts w:ascii="Times New Roman" w:hAnsi="Times New Roman" w:cs="Times New Roman"/>
                <w:sz w:val="24"/>
                <w:szCs w:val="24"/>
              </w:rPr>
            </w:pPr>
          </w:p>
          <w:p w:rsidR="009A06BC" w:rsidRPr="00642902" w:rsidRDefault="009A06BC" w:rsidP="009A06BC">
            <w:pPr>
              <w:rPr>
                <w:rFonts w:ascii="Times New Roman" w:hAnsi="Times New Roman" w:cs="Times New Roman"/>
                <w:sz w:val="24"/>
                <w:szCs w:val="24"/>
              </w:rPr>
            </w:pPr>
            <w:r w:rsidRPr="00642902">
              <w:rPr>
                <w:rFonts w:ascii="Times New Roman" w:hAnsi="Times New Roman" w:cs="Times New Roman"/>
                <w:sz w:val="24"/>
                <w:szCs w:val="24"/>
              </w:rPr>
              <w:t xml:space="preserve">Gk. </w:t>
            </w:r>
            <w:r>
              <w:rPr>
                <w:rFonts w:ascii="Times New Roman" w:hAnsi="Times New Roman" w:cs="Times New Roman"/>
                <w:sz w:val="24"/>
                <w:szCs w:val="24"/>
                <w:lang w:val="el-GR"/>
              </w:rPr>
              <w:t>μίνθη</w:t>
            </w:r>
            <w:r w:rsidRPr="00642902">
              <w:rPr>
                <w:rFonts w:ascii="Times New Roman" w:hAnsi="Times New Roman" w:cs="Times New Roman"/>
                <w:sz w:val="24"/>
                <w:szCs w:val="24"/>
              </w:rPr>
              <w:t>, et al.</w:t>
            </w:r>
          </w:p>
        </w:tc>
        <w:tc>
          <w:tcPr>
            <w:tcW w:w="3718" w:type="dxa"/>
          </w:tcPr>
          <w:p w:rsidR="009A06BC" w:rsidRDefault="009A06BC" w:rsidP="009A06BC">
            <w:pPr>
              <w:rPr>
                <w:rFonts w:ascii="Times New Roman" w:hAnsi="Times New Roman" w:cs="Times New Roman"/>
                <w:i/>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Hünemörder (“Mint”) cites </w:t>
            </w:r>
            <w:r>
              <w:rPr>
                <w:rFonts w:ascii="Times New Roman" w:hAnsi="Times New Roman" w:cs="Times New Roman"/>
                <w:i/>
                <w:sz w:val="24"/>
                <w:szCs w:val="24"/>
              </w:rPr>
              <w:t xml:space="preserve">HN </w:t>
            </w:r>
            <w:r>
              <w:rPr>
                <w:rFonts w:ascii="Times New Roman" w:hAnsi="Times New Roman" w:cs="Times New Roman"/>
                <w:sz w:val="24"/>
                <w:szCs w:val="24"/>
              </w:rPr>
              <w:t>20.144-58 as having “recognise[d] an abundance of internal and external applications e.g. for the healing of fractures and sprains, against poisoning, haemoptysis and haemorrhage, colds and rashes as well as stomach pains and head-aches.”  He also goes through a brief explanation of the types of mint available to the Greeks and Romans, and seems to prefer the wild species (“</w:t>
            </w:r>
            <w:r>
              <w:rPr>
                <w:rFonts w:ascii="Times New Roman" w:hAnsi="Times New Roman" w:cs="Times New Roman"/>
                <w:i/>
                <w:sz w:val="24"/>
                <w:szCs w:val="24"/>
              </w:rPr>
              <w:t>Silvestre mentastrum,</w:t>
            </w:r>
            <w:r>
              <w:rPr>
                <w:rFonts w:ascii="Times New Roman" w:hAnsi="Times New Roman" w:cs="Times New Roman"/>
                <w:sz w:val="24"/>
                <w:szCs w:val="24"/>
              </w:rPr>
              <w:t>” as he puts it).</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 xml:space="preserve">3.37-8 counters Hünemörder here, separating </w:t>
            </w:r>
            <w:r>
              <w:rPr>
                <w:rFonts w:ascii="Times New Roman" w:hAnsi="Times New Roman" w:cs="Times New Roman"/>
                <w:i/>
                <w:sz w:val="24"/>
                <w:szCs w:val="24"/>
              </w:rPr>
              <w:t xml:space="preserve">Mentastrum </w:t>
            </w:r>
            <w:r>
              <w:rPr>
                <w:rFonts w:ascii="Times New Roman" w:hAnsi="Times New Roman" w:cs="Times New Roman"/>
                <w:sz w:val="24"/>
                <w:szCs w:val="24"/>
              </w:rPr>
              <w:t>(which seems to be the genus, not the species) from mint; Lacio’s 1555 translation uses “la yerva buena,” spelled today “yerbabuena,” which translates to “peppermint,” despite Hünemörder’s insistence that peppermint “was not discovered until 1696” (“Mint”).  The illustrations in this text feature “</w:t>
            </w:r>
            <w:r>
              <w:rPr>
                <w:rFonts w:ascii="Times New Roman" w:hAnsi="Times New Roman" w:cs="Times New Roman"/>
                <w:i/>
                <w:sz w:val="24"/>
                <w:szCs w:val="24"/>
              </w:rPr>
              <w:t>Mentha sativa prima</w:t>
            </w:r>
            <w:r>
              <w:rPr>
                <w:rFonts w:ascii="Times New Roman" w:hAnsi="Times New Roman" w:cs="Times New Roman"/>
                <w:sz w:val="24"/>
                <w:szCs w:val="24"/>
              </w:rPr>
              <w:t>” and “</w:t>
            </w:r>
            <w:r>
              <w:rPr>
                <w:rFonts w:ascii="Times New Roman" w:hAnsi="Times New Roman" w:cs="Times New Roman"/>
                <w:i/>
                <w:sz w:val="24"/>
                <w:szCs w:val="24"/>
              </w:rPr>
              <w:t>Mentha sativa altera,</w:t>
            </w:r>
            <w:r>
              <w:rPr>
                <w:rFonts w:ascii="Times New Roman" w:hAnsi="Times New Roman" w:cs="Times New Roman"/>
                <w:sz w:val="24"/>
                <w:szCs w:val="24"/>
              </w:rPr>
              <w:t xml:space="preserve">” a species which by today’s binomial nomenclature would be a hybrid of </w:t>
            </w:r>
            <w:r>
              <w:rPr>
                <w:rFonts w:ascii="Times New Roman" w:hAnsi="Times New Roman" w:cs="Times New Roman"/>
                <w:i/>
                <w:sz w:val="24"/>
                <w:szCs w:val="24"/>
              </w:rPr>
              <w:t>M. aquatica</w:t>
            </w:r>
            <w:r>
              <w:rPr>
                <w:rFonts w:ascii="Times New Roman" w:hAnsi="Times New Roman" w:cs="Times New Roman"/>
                <w:sz w:val="24"/>
                <w:szCs w:val="24"/>
              </w:rPr>
              <w:t xml:space="preserve"> and </w:t>
            </w:r>
            <w:r>
              <w:rPr>
                <w:rFonts w:ascii="Times New Roman" w:hAnsi="Times New Roman" w:cs="Times New Roman"/>
                <w:i/>
                <w:sz w:val="24"/>
                <w:szCs w:val="24"/>
              </w:rPr>
              <w:t xml:space="preserve">M. arvensis </w:t>
            </w:r>
            <w:r>
              <w:rPr>
                <w:rFonts w:ascii="Times New Roman" w:hAnsi="Times New Roman" w:cs="Times New Roman"/>
                <w:sz w:val="24"/>
                <w:szCs w:val="24"/>
              </w:rPr>
              <w:lastRenderedPageBreak/>
              <w:t xml:space="preserve">(Porter), and not, as Hünemörder suggests, of </w:t>
            </w:r>
            <w:r>
              <w:rPr>
                <w:rFonts w:ascii="Times New Roman" w:hAnsi="Times New Roman" w:cs="Times New Roman"/>
                <w:i/>
                <w:sz w:val="24"/>
                <w:szCs w:val="24"/>
              </w:rPr>
              <w:t xml:space="preserve">M. aquatica </w:t>
            </w:r>
            <w:r>
              <w:rPr>
                <w:rFonts w:ascii="Times New Roman" w:hAnsi="Times New Roman" w:cs="Times New Roman"/>
                <w:sz w:val="24"/>
                <w:szCs w:val="24"/>
              </w:rPr>
              <w:t xml:space="preserve">and </w:t>
            </w:r>
            <w:r>
              <w:rPr>
                <w:rFonts w:ascii="Times New Roman" w:hAnsi="Times New Roman" w:cs="Times New Roman"/>
                <w:i/>
                <w:sz w:val="24"/>
                <w:szCs w:val="24"/>
              </w:rPr>
              <w:t>M. spicata.</w:t>
            </w:r>
            <w:r>
              <w:rPr>
                <w:rFonts w:ascii="Times New Roman" w:hAnsi="Times New Roman" w:cs="Times New Roman"/>
                <w:sz w:val="24"/>
                <w:szCs w:val="24"/>
              </w:rPr>
              <w:t xml:space="preserve">  In any event, “</w:t>
            </w:r>
            <w:r>
              <w:rPr>
                <w:rFonts w:ascii="Times New Roman" w:hAnsi="Times New Roman" w:cs="Times New Roman"/>
                <w:i/>
                <w:sz w:val="24"/>
                <w:szCs w:val="24"/>
              </w:rPr>
              <w:t>sativa</w:t>
            </w:r>
            <w:r>
              <w:rPr>
                <w:rFonts w:ascii="Times New Roman" w:hAnsi="Times New Roman" w:cs="Times New Roman"/>
                <w:sz w:val="24"/>
                <w:szCs w:val="24"/>
              </w:rPr>
              <w:t>” seems to have been Dioscorides’ term for a “domestic” plant, and with it being commonly associated with peppermint or spearmint in spite of their own nomenclatures, the evidence would tend to point toward an ancient variety of peppermint – one either now extinct or else relabeled by more modern botanists.  It is important to remember that the 1696 discovery occurred in England, and not on Mediterranean soil, and therefore more than one hybrid peppermint may be in existence, whatever it is called.</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To return to the point, “yerbabuena” as identified by the </w:t>
            </w:r>
            <w:r>
              <w:rPr>
                <w:rFonts w:ascii="Times New Roman" w:hAnsi="Times New Roman" w:cs="Times New Roman"/>
                <w:i/>
                <w:sz w:val="24"/>
                <w:szCs w:val="24"/>
              </w:rPr>
              <w:t xml:space="preserve">DMM </w:t>
            </w:r>
            <w:r>
              <w:rPr>
                <w:rFonts w:ascii="Times New Roman" w:hAnsi="Times New Roman" w:cs="Times New Roman"/>
                <w:sz w:val="24"/>
                <w:szCs w:val="24"/>
              </w:rPr>
              <w:t>is a “warm, styptic, and drying” herb that staunches blood and serves as an intestinal vermicide when taken with vinegar.  The roots, taken with pomegranate juice, stop hiccups, vomit, and choleric sera; and if mixed with polenta, it reduces headaches and “swollen, hardened nipples due to excess milk” (on a side-note, he says the leaves prevent milk from curdling, so it would be interesting to know if he thinks that’s the basis for said hardening).  With salt, the juice cleanses dog-bites; with mead, it stops earaches.  The leaves could apparently be used as a condom-of-sorts, though he insists they need to be stuffed inside the woman rather than wrapped around the man.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He identifies </w:t>
            </w:r>
            <w:r>
              <w:rPr>
                <w:rFonts w:ascii="Times New Roman" w:hAnsi="Times New Roman" w:cs="Times New Roman"/>
                <w:i/>
                <w:sz w:val="24"/>
                <w:szCs w:val="24"/>
              </w:rPr>
              <w:t xml:space="preserve">Mentastrum </w:t>
            </w:r>
            <w:r>
              <w:rPr>
                <w:rFonts w:ascii="Times New Roman" w:hAnsi="Times New Roman" w:cs="Times New Roman"/>
                <w:sz w:val="24"/>
                <w:szCs w:val="24"/>
              </w:rPr>
              <w:t xml:space="preserve">as a stronger-scented wild version of the mint mentioned above.  It doesn’t </w:t>
            </w:r>
            <w:r>
              <w:rPr>
                <w:rFonts w:ascii="Times New Roman" w:hAnsi="Times New Roman" w:cs="Times New Roman"/>
                <w:sz w:val="24"/>
                <w:szCs w:val="24"/>
              </w:rPr>
              <w:lastRenderedPageBreak/>
              <w:t>seem to be as medically useful to him, though Lacio notes that whereas the former works wonders for the liver and stomach, the latter can counter “all kinds of poisons.”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Today, oil or extract from peppermint is used to relieve symptoms of IBS and IBD, most notably constipation.</w:t>
            </w:r>
          </w:p>
          <w:p w:rsidR="009A06BC" w:rsidRDefault="009A06BC" w:rsidP="009A06BC">
            <w:pPr>
              <w:rPr>
                <w:rFonts w:ascii="Times New Roman" w:hAnsi="Times New Roman" w:cs="Times New Roman"/>
                <w:sz w:val="24"/>
                <w:szCs w:val="24"/>
              </w:rPr>
            </w:pPr>
          </w:p>
          <w:p w:rsidR="009A06BC" w:rsidRPr="0019396C"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Pr="00515D45"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Conway (171): As </w:t>
            </w:r>
            <w:r>
              <w:rPr>
                <w:rFonts w:ascii="Times New Roman" w:hAnsi="Times New Roman" w:cs="Times New Roman"/>
                <w:i/>
                <w:sz w:val="24"/>
                <w:szCs w:val="24"/>
              </w:rPr>
              <w:t>Mentha piperita</w:t>
            </w:r>
            <w:r>
              <w:rPr>
                <w:rFonts w:ascii="Times New Roman" w:hAnsi="Times New Roman" w:cs="Times New Roman"/>
                <w:sz w:val="24"/>
                <w:szCs w:val="24"/>
              </w:rPr>
              <w:t xml:space="preserve"> (peppermint), tea made from the leaves can be taken for head colds, coldness, and low energy.  An infusion can also be sprinkled around a casting circle to banish negativity.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Cunningham (174): “Mint has long been used in healing potions and mixtures, and the fresh leaves rubbed against the head are said to relieve headaches [and the ones] worn at the wrist assures that you will not be ill.”  The stomach can also be cured of issues through sympathetic magic with mint leaves and various oils.  Non-medically, the herb is associated with travel, lust, prosperity, and protection spells; he notes that any species of </w:t>
            </w:r>
            <w:r>
              <w:rPr>
                <w:rFonts w:ascii="Times New Roman" w:hAnsi="Times New Roman" w:cs="Times New Roman"/>
                <w:i/>
                <w:sz w:val="24"/>
                <w:szCs w:val="24"/>
              </w:rPr>
              <w:t>Mentha</w:t>
            </w:r>
            <w:r>
              <w:rPr>
                <w:rFonts w:ascii="Times New Roman" w:hAnsi="Times New Roman" w:cs="Times New Roman"/>
                <w:sz w:val="24"/>
                <w:szCs w:val="24"/>
              </w:rPr>
              <w:t xml:space="preserve"> can be used for this.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(224): The herb is good for “protection, prosperity, [and as an] offering to helpful spirits.”  Strangely, it is absent from her listed spellwork, which could suggest that it’s most useful as an offering, rather than as an ingredient in potions (too generic?).</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lastRenderedPageBreak/>
              <w:t>Yronwode (134): She notes 4 species but touts spearmint and peppermint as being the most effective; the herb “breaks jinxes, purifies people, and protects money,” as well as warding off people and spirits who have wronged the magician and, used as an incense, increasing psychic powers.  There is a variety of other herbs used in tandem, but it never appears alone in her spells.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E021C9"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Hünemörder (“Mint”) mentions a transformation myth in Ovid’s </w:t>
            </w:r>
            <w:r>
              <w:rPr>
                <w:rFonts w:ascii="Times New Roman" w:hAnsi="Times New Roman" w:cs="Times New Roman"/>
                <w:i/>
                <w:sz w:val="24"/>
                <w:szCs w:val="24"/>
              </w:rPr>
              <w:t xml:space="preserve">Metamorphoses </w:t>
            </w:r>
            <w:r>
              <w:rPr>
                <w:rFonts w:ascii="Times New Roman" w:hAnsi="Times New Roman" w:cs="Times New Roman"/>
                <w:sz w:val="24"/>
                <w:szCs w:val="24"/>
              </w:rPr>
              <w:t xml:space="preserve">10.729 and Strab. 8.3.14, wherein the nymph Minthe was turned into this plant “by Persephone out of jealousy.”  Would the herb then have appeared at solstice rituals honoring Persephone?  Whatever the case, it’s ironic that </w:t>
            </w:r>
            <w:proofErr w:type="gramStart"/>
            <w:r>
              <w:rPr>
                <w:rFonts w:ascii="Times New Roman" w:hAnsi="Times New Roman" w:cs="Times New Roman"/>
                <w:sz w:val="24"/>
                <w:szCs w:val="24"/>
              </w:rPr>
              <w:t>her own</w:t>
            </w:r>
            <w:proofErr w:type="gramEnd"/>
            <w:r>
              <w:rPr>
                <w:rFonts w:ascii="Times New Roman" w:hAnsi="Times New Roman" w:cs="Times New Roman"/>
                <w:sz w:val="24"/>
                <w:szCs w:val="24"/>
              </w:rPr>
              <w:t xml:space="preserve"> attributed fruit (pomegranate) should be used successfully in tandem with mint by doctors!</w:t>
            </w:r>
          </w:p>
          <w:p w:rsidR="009A06BC" w:rsidRDefault="009A06BC" w:rsidP="009A06BC">
            <w:pPr>
              <w:rPr>
                <w:rFonts w:ascii="Times New Roman" w:hAnsi="Times New Roman" w:cs="Times New Roman"/>
                <w:sz w:val="24"/>
                <w:szCs w:val="24"/>
              </w:rPr>
            </w:pPr>
          </w:p>
          <w:p w:rsidR="009A06BC" w:rsidRPr="008145DE"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Moly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m</w:t>
            </w:r>
            <w:r>
              <w:rPr>
                <w:rFonts w:ascii="Times New Roman" w:hAnsi="Times New Roman" w:cs="Times New Roman"/>
                <w:sz w:val="24"/>
                <w:szCs w:val="24"/>
              </w:rPr>
              <w:softHyphen/>
              <w:t>oly</w:t>
            </w:r>
          </w:p>
          <w:p w:rsidR="009A06BC" w:rsidRDefault="009A06BC" w:rsidP="009A06BC">
            <w:pPr>
              <w:rPr>
                <w:rFonts w:ascii="Times New Roman" w:hAnsi="Times New Roman" w:cs="Times New Roman"/>
                <w:sz w:val="24"/>
                <w:szCs w:val="24"/>
              </w:rPr>
            </w:pPr>
          </w:p>
          <w:p w:rsidR="009A06BC" w:rsidRPr="000C5223"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μωλύ</w:t>
            </w:r>
          </w:p>
        </w:tc>
        <w:tc>
          <w:tcPr>
            <w:tcW w:w="3718" w:type="dxa"/>
          </w:tcPr>
          <w:p w:rsidR="009A06BC" w:rsidRDefault="009A06BC" w:rsidP="009A06BC">
            <w:pPr>
              <w:rPr>
                <w:rFonts w:ascii="Times New Roman" w:hAnsi="Times New Roman" w:cs="Times New Roman"/>
                <w:sz w:val="24"/>
                <w:szCs w:val="24"/>
              </w:rPr>
            </w:pPr>
          </w:p>
          <w:p w:rsidR="009A06BC" w:rsidRDefault="003F3C99" w:rsidP="009A06BC">
            <w:pPr>
              <w:rPr>
                <w:rFonts w:ascii="Times New Roman" w:hAnsi="Times New Roman" w:cs="Times New Roman"/>
                <w:sz w:val="24"/>
                <w:szCs w:val="24"/>
              </w:rPr>
            </w:pPr>
            <w:r>
              <w:rPr>
                <w:rFonts w:ascii="Times New Roman" w:hAnsi="Times New Roman" w:cs="Times New Roman"/>
                <w:i/>
                <w:sz w:val="24"/>
                <w:szCs w:val="24"/>
              </w:rPr>
              <w:t>HN</w:t>
            </w:r>
            <w:r w:rsidR="009A06BC">
              <w:rPr>
                <w:rFonts w:ascii="Times New Roman" w:hAnsi="Times New Roman" w:cs="Times New Roman"/>
                <w:i/>
                <w:sz w:val="24"/>
                <w:szCs w:val="24"/>
              </w:rPr>
              <w:t xml:space="preserve"> </w:t>
            </w:r>
            <w:r w:rsidR="009A06BC">
              <w:rPr>
                <w:rFonts w:ascii="Times New Roman" w:hAnsi="Times New Roman" w:cs="Times New Roman"/>
                <w:sz w:val="24"/>
                <w:szCs w:val="24"/>
              </w:rPr>
              <w:t>25.26-7 Something between an onion and a squill but with rhizomes instead of roots (unless it’s like yucca, this would seem to me to be the only way the root would be “thirty feet long”), Pliny claims to “know a doctor, one of those specializing in herbs” who can attest to the plant’s contemporary whereabouts and medical uses, but does not expand upon those uses – only that it’s not just for combating other magicians.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DMM</w:t>
            </w:r>
            <w:r>
              <w:rPr>
                <w:rFonts w:ascii="Times New Roman" w:hAnsi="Times New Roman" w:cs="Times New Roman"/>
                <w:sz w:val="24"/>
                <w:szCs w:val="24"/>
              </w:rPr>
              <w:t xml:space="preserve"> 3.50 “Its root is small and onion-like, [and] has great efficacy against the relaxation of the mother, if mixed with ryegrass flour” … so, it’s a muscle relaxant for labor?  A footnote describes the mother as “relaxada y abierta,” which would tend to confirm this theory.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In his notes, Juan Lacio, who made this Spanish </w:t>
            </w:r>
            <w:r>
              <w:rPr>
                <w:rFonts w:ascii="Times New Roman" w:hAnsi="Times New Roman" w:cs="Times New Roman"/>
                <w:i/>
                <w:sz w:val="24"/>
                <w:szCs w:val="24"/>
              </w:rPr>
              <w:t>DMM</w:t>
            </w:r>
            <w:r>
              <w:rPr>
                <w:rFonts w:ascii="Times New Roman" w:hAnsi="Times New Roman" w:cs="Times New Roman"/>
                <w:sz w:val="24"/>
                <w:szCs w:val="24"/>
              </w:rPr>
              <w:t xml:space="preserve"> translation in 1555, claims that botanists in his time were mistakenly likening it to wild rue; he believes there’s been an error in copying the original Greek text all this time, and that “ryegrass flour” was meant, instead </w:t>
            </w:r>
            <w:r>
              <w:rPr>
                <w:rFonts w:ascii="Times New Roman" w:hAnsi="Times New Roman" w:cs="Times New Roman"/>
                <w:sz w:val="24"/>
                <w:szCs w:val="24"/>
              </w:rPr>
              <w:lastRenderedPageBreak/>
              <w:t>of the “unguento Irino” (Egyptian unguent) that Galen mentions (Galen also spells the herb “Myle” and calls it a styptic).</w:t>
            </w:r>
          </w:p>
          <w:p w:rsidR="009A06BC" w:rsidRDefault="009A06BC" w:rsidP="009A06BC">
            <w:pPr>
              <w:rPr>
                <w:rFonts w:ascii="Times New Roman" w:hAnsi="Times New Roman" w:cs="Times New Roman"/>
                <w:sz w:val="24"/>
                <w:szCs w:val="24"/>
              </w:rPr>
            </w:pPr>
          </w:p>
          <w:p w:rsidR="009A06BC" w:rsidRPr="003A4907"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Odyssey</w:t>
            </w:r>
            <w:r>
              <w:rPr>
                <w:rFonts w:ascii="Times New Roman" w:hAnsi="Times New Roman" w:cs="Times New Roman"/>
                <w:sz w:val="24"/>
                <w:szCs w:val="24"/>
              </w:rPr>
              <w:t xml:space="preserve"> 10.302-6: Mercury presents Odysseus with an “herb of virtue” whose mere existence, apparently, will make Circe’s charms fail.  Given there is no direct mention of the plant being dissected or added to the elixir, we can but presume that carrying it on one’s person was enough to break all hexes, as is the case with many magical herbs listed in this chart.  </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Homer’s description is that “[i]t was black at the root, but the flower was like to milk,” and that there was some trouble in digging it up.  The best explanations are as follows: it was rare in Homer’s time, which would suit his insistence that really only the gods knew about it; or Pliny’s assessment of a very long root is accurate, and getting the whole thing out of the ground in one go was indeed a Herculean task.</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Chisholm (“Moly”) cites more modern botanists’ attempts to identify the herb as </w:t>
            </w:r>
            <w:r>
              <w:rPr>
                <w:rFonts w:ascii="Times New Roman" w:hAnsi="Times New Roman" w:cs="Times New Roman"/>
                <w:i/>
                <w:sz w:val="24"/>
                <w:szCs w:val="24"/>
              </w:rPr>
              <w:t>Peganum harmala,</w:t>
            </w:r>
            <w:r>
              <w:rPr>
                <w:rFonts w:ascii="Times New Roman" w:hAnsi="Times New Roman" w:cs="Times New Roman"/>
                <w:sz w:val="24"/>
                <w:szCs w:val="24"/>
              </w:rPr>
              <w:t xml:space="preserve"> </w:t>
            </w:r>
            <w:r>
              <w:rPr>
                <w:rFonts w:ascii="Times New Roman" w:hAnsi="Times New Roman" w:cs="Times New Roman"/>
                <w:i/>
                <w:sz w:val="24"/>
                <w:szCs w:val="24"/>
              </w:rPr>
              <w:t xml:space="preserve">Atriplex halimus, Galanthus spp. </w:t>
            </w:r>
            <w:r>
              <w:rPr>
                <w:rFonts w:ascii="Times New Roman" w:hAnsi="Times New Roman" w:cs="Times New Roman"/>
                <w:sz w:val="24"/>
                <w:szCs w:val="24"/>
              </w:rPr>
              <w:t xml:space="preserve">or </w:t>
            </w:r>
            <w:r>
              <w:rPr>
                <w:rFonts w:ascii="Times New Roman" w:hAnsi="Times New Roman" w:cs="Times New Roman"/>
                <w:i/>
                <w:sz w:val="24"/>
                <w:szCs w:val="24"/>
              </w:rPr>
              <w:t xml:space="preserve">Allium moly, </w:t>
            </w:r>
            <w:r>
              <w:rPr>
                <w:rFonts w:ascii="Times New Roman" w:hAnsi="Times New Roman" w:cs="Times New Roman"/>
                <w:sz w:val="24"/>
                <w:szCs w:val="24"/>
              </w:rPr>
              <w:t xml:space="preserve">as well as literary references to the herb.  He agrees with R.M. Henry (1906) “that moly is probably a magical name, derived perhaps from Phoenician or </w:t>
            </w:r>
            <w:r>
              <w:rPr>
                <w:rFonts w:ascii="Times New Roman" w:hAnsi="Times New Roman" w:cs="Times New Roman"/>
                <w:sz w:val="24"/>
                <w:szCs w:val="24"/>
              </w:rPr>
              <w:lastRenderedPageBreak/>
              <w:t xml:space="preserve">Egyptian sources,” based on context clues from the </w:t>
            </w:r>
            <w:r>
              <w:rPr>
                <w:rFonts w:ascii="Times New Roman" w:hAnsi="Times New Roman" w:cs="Times New Roman"/>
                <w:i/>
                <w:sz w:val="24"/>
                <w:szCs w:val="24"/>
              </w:rPr>
              <w:t xml:space="preserve">Paris </w:t>
            </w:r>
            <w:r>
              <w:rPr>
                <w:rFonts w:ascii="Times New Roman" w:hAnsi="Times New Roman" w:cs="Times New Roman"/>
                <w:sz w:val="24"/>
                <w:szCs w:val="24"/>
              </w:rPr>
              <w:t xml:space="preserve">and </w:t>
            </w:r>
            <w:r>
              <w:rPr>
                <w:rFonts w:ascii="Times New Roman" w:hAnsi="Times New Roman" w:cs="Times New Roman"/>
                <w:i/>
                <w:sz w:val="24"/>
                <w:szCs w:val="24"/>
              </w:rPr>
              <w:t>Leiden Magical Papyri</w:t>
            </w:r>
            <w:r>
              <w:rPr>
                <w:rFonts w:ascii="Times New Roman" w:hAnsi="Times New Roman" w:cs="Times New Roman"/>
                <w:sz w:val="24"/>
                <w:szCs w:val="24"/>
              </w:rPr>
              <w:t xml:space="preserve">.  </w:t>
            </w:r>
            <w:r>
              <w:rPr>
                <w:rFonts w:ascii="Times New Roman" w:hAnsi="Times New Roman" w:cs="Times New Roman"/>
                <w:i/>
                <w:sz w:val="24"/>
                <w:szCs w:val="24"/>
              </w:rPr>
              <w:t xml:space="preserve">Galanthus </w:t>
            </w:r>
            <w:r>
              <w:rPr>
                <w:rFonts w:ascii="Times New Roman" w:hAnsi="Times New Roman" w:cs="Times New Roman"/>
                <w:sz w:val="24"/>
                <w:szCs w:val="24"/>
              </w:rPr>
              <w:t>(snowdrop) seems to be the consensus amongst modern botanists, though its root is akin to a scallion’s and, therefore, does not entirely suit Homer’s description.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With the two leading choices for moly, if it a) was real and b) is not extinct, being wild garlic and snowdrop, a couple of things come to mind: first, that garlic often appeared in offerings to Hecate and was, even in Egyptian magic, associated with the Underworld and thus used in summoning spells; and second, that snowdrop is featured in modern witchcraft during some Ostara rituals, so it’s not much of a stretch to imagine that ancient springtime rites would also have involved this flower (in which case, it would’ve been related to Hecate via association with her guiding Proserpine back to our Realm).  </w:t>
            </w:r>
          </w:p>
          <w:p w:rsidR="009A06BC" w:rsidRDefault="009A06BC" w:rsidP="009A06BC">
            <w:pPr>
              <w:rPr>
                <w:rFonts w:ascii="Times New Roman" w:hAnsi="Times New Roman" w:cs="Times New Roman"/>
                <w:sz w:val="24"/>
                <w:szCs w:val="24"/>
              </w:rPr>
            </w:pPr>
          </w:p>
          <w:p w:rsidR="009A06BC" w:rsidRPr="00670257"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Myrrh</w:t>
            </w:r>
          </w:p>
          <w:p w:rsidR="009A06BC" w:rsidRDefault="009A06BC" w:rsidP="009A06BC">
            <w:pPr>
              <w:rPr>
                <w:rFonts w:ascii="Times New Roman" w:hAnsi="Times New Roman" w:cs="Times New Roman"/>
                <w:sz w:val="24"/>
                <w:szCs w:val="24"/>
              </w:rPr>
            </w:pPr>
          </w:p>
          <w:p w:rsidR="009A06BC" w:rsidRPr="00AD7877" w:rsidRDefault="009A06BC" w:rsidP="009A06BC">
            <w:pPr>
              <w:rPr>
                <w:rFonts w:ascii="Times New Roman" w:hAnsi="Times New Roman" w:cs="Times New Roman"/>
                <w:i/>
                <w:sz w:val="24"/>
                <w:szCs w:val="24"/>
              </w:rPr>
            </w:pPr>
            <w:r>
              <w:rPr>
                <w:rFonts w:ascii="Times New Roman" w:hAnsi="Times New Roman" w:cs="Times New Roman"/>
                <w:i/>
                <w:sz w:val="24"/>
                <w:szCs w:val="24"/>
              </w:rPr>
              <w:t xml:space="preserve">Commiphora abyssinica, molmol, </w:t>
            </w:r>
            <w:r>
              <w:rPr>
                <w:rFonts w:ascii="Times New Roman" w:hAnsi="Times New Roman" w:cs="Times New Roman"/>
                <w:sz w:val="24"/>
                <w:szCs w:val="24"/>
              </w:rPr>
              <w:t xml:space="preserve">or </w:t>
            </w:r>
            <w:r>
              <w:rPr>
                <w:rFonts w:ascii="Times New Roman" w:hAnsi="Times New Roman" w:cs="Times New Roman"/>
                <w:i/>
                <w:sz w:val="24"/>
                <w:szCs w:val="24"/>
              </w:rPr>
              <w:t>myrrha</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balsamum, myrrha</w:t>
            </w:r>
          </w:p>
          <w:p w:rsidR="009A06BC" w:rsidRDefault="009A06BC" w:rsidP="009A06BC">
            <w:pPr>
              <w:rPr>
                <w:rFonts w:ascii="Times New Roman" w:hAnsi="Times New Roman" w:cs="Times New Roman"/>
                <w:sz w:val="24"/>
                <w:szCs w:val="24"/>
              </w:rPr>
            </w:pPr>
          </w:p>
          <w:p w:rsidR="009A06BC" w:rsidRPr="006853F1"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σμύρνα</w:t>
            </w:r>
          </w:p>
        </w:tc>
        <w:tc>
          <w:tcPr>
            <w:tcW w:w="3718" w:type="dxa"/>
          </w:tcPr>
          <w:p w:rsidR="009A06BC" w:rsidRDefault="009A06BC" w:rsidP="009A06BC">
            <w:pPr>
              <w:rPr>
                <w:rFonts w:ascii="Times New Roman" w:hAnsi="Times New Roman" w:cs="Times New Roman"/>
                <w:sz w:val="24"/>
                <w:szCs w:val="24"/>
              </w:rPr>
            </w:pPr>
          </w:p>
          <w:p w:rsidR="009A06BC" w:rsidRPr="006853F1"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CH </w:t>
            </w:r>
            <w:r>
              <w:rPr>
                <w:rFonts w:ascii="Times New Roman" w:hAnsi="Times New Roman" w:cs="Times New Roman"/>
                <w:sz w:val="24"/>
                <w:szCs w:val="24"/>
              </w:rPr>
              <w:t>87 uses (69 gyn., 18 med.) including ophthalmological ones and wound treatment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1.63 The oil of “warm myrrh,” made into an infusion with lupin beans, has calming / soporific effects for the i</w:t>
            </w:r>
            <w:r w:rsidR="003F3C99">
              <w:rPr>
                <w:rFonts w:ascii="Times New Roman" w:hAnsi="Times New Roman" w:cs="Times New Roman"/>
                <w:sz w:val="24"/>
                <w:szCs w:val="24"/>
              </w:rPr>
              <w:t>HN</w:t>
            </w:r>
            <w:r>
              <w:rPr>
                <w:rFonts w:ascii="Times New Roman" w:hAnsi="Times New Roman" w:cs="Times New Roman"/>
                <w:sz w:val="24"/>
                <w:szCs w:val="24"/>
              </w:rPr>
              <w:t xml:space="preserve">aler and is astringent for the bather, making it useful for easing menstruation and labor.  Swallowed by </w:t>
            </w:r>
            <w:proofErr w:type="gramStart"/>
            <w:r>
              <w:rPr>
                <w:rFonts w:ascii="Times New Roman" w:hAnsi="Times New Roman" w:cs="Times New Roman"/>
                <w:sz w:val="24"/>
                <w:szCs w:val="24"/>
              </w:rPr>
              <w:t>itself</w:t>
            </w:r>
            <w:proofErr w:type="gramEnd"/>
            <w:r>
              <w:rPr>
                <w:rFonts w:ascii="Times New Roman" w:hAnsi="Times New Roman" w:cs="Times New Roman"/>
                <w:sz w:val="24"/>
                <w:szCs w:val="24"/>
              </w:rPr>
              <w:t xml:space="preserve">, it worked against coughs, chest pain, and dysentery; mixed with water and pepper and taken in small doses, it was said to counter paroxysm.  Apparently, it could also </w:t>
            </w:r>
            <w:r>
              <w:rPr>
                <w:rFonts w:ascii="Times New Roman" w:hAnsi="Times New Roman" w:cs="Times New Roman"/>
                <w:sz w:val="24"/>
                <w:szCs w:val="24"/>
              </w:rPr>
              <w:lastRenderedPageBreak/>
              <w:t>double as a lozenge and as mouthwash while liquid, and in the form of resin, it made for an anti-inflammatory bandage for any number of wounds.  With honey and cinnamon, it was an acne cream, and with wine or vinegar, it was a restorative shampoo of sorts; there is even mention of it being “stuck up the nose with a feather” to go up behind the eyes and clear up cataracts!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 </w:t>
            </w: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Plotkin (</w:t>
            </w:r>
            <w:r>
              <w:rPr>
                <w:rFonts w:ascii="Times New Roman" w:hAnsi="Times New Roman" w:cs="Times New Roman"/>
                <w:i/>
                <w:sz w:val="24"/>
                <w:szCs w:val="24"/>
              </w:rPr>
              <w:t xml:space="preserve">Medicine Quest, </w:t>
            </w:r>
            <w:r>
              <w:rPr>
                <w:rFonts w:ascii="Times New Roman" w:hAnsi="Times New Roman" w:cs="Times New Roman"/>
                <w:sz w:val="24"/>
                <w:szCs w:val="24"/>
              </w:rPr>
              <w:t xml:space="preserve">25) says “it served as the principal antibiotic of the ancient world” and necessary for dressing wounds, as is evidenced by it being “the most commonly mentioned wound medicine in Hippocrates’ writings.”  He goes on to say that modern research has proven the herb to be antifungal, anti-inflammatory, useful for stopping “asthma and lung infections,” possibly useful for “lower[ing] serum cholesterol levels and prevent[ing] heart disease and arteriosclerosis,” and also “extremely effective at killing </w:t>
            </w:r>
            <w:r>
              <w:rPr>
                <w:rFonts w:ascii="Times New Roman" w:hAnsi="Times New Roman" w:cs="Times New Roman"/>
                <w:i/>
                <w:sz w:val="24"/>
                <w:szCs w:val="24"/>
              </w:rPr>
              <w:t>Staphylococcus.</w:t>
            </w:r>
            <w:r>
              <w:rPr>
                <w:rFonts w:ascii="Times New Roman" w:hAnsi="Times New Roman" w:cs="Times New Roman"/>
                <w:sz w:val="24"/>
                <w:szCs w:val="24"/>
              </w:rPr>
              <w:t>”  He posits that its pain-relieving traits explain its biblical presence as both a gift and a salve during crucifixion.  Frankincense apparently has similar medicinal uses.</w:t>
            </w:r>
          </w:p>
          <w:p w:rsidR="009A06BC" w:rsidRDefault="009A06BC" w:rsidP="009A06BC">
            <w:pPr>
              <w:rPr>
                <w:rFonts w:ascii="Times New Roman" w:hAnsi="Times New Roman" w:cs="Times New Roman"/>
                <w:sz w:val="24"/>
                <w:szCs w:val="24"/>
              </w:rPr>
            </w:pPr>
          </w:p>
          <w:p w:rsidR="009A06BC" w:rsidRPr="00077F1C"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(181): As incense, the herb is burnt to purify, heal, or bring peace to its surrounding area and those within it, or else to boost the power of other incenses and magic items.  “However, it is rarely burnt alone; usually in conjunction with frankincense or other resins.”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Moura: Backs up Cunningham, but adds that the resin also appears in binding, exorcism, and power-seeking spells, and has a strong connection to the Underworld (224, 227).  That connection leads to its use in rites at Imbolc (Spring Equinox) and Mabon (Autumnal Equinox), the transitory </w:t>
            </w:r>
            <w:r>
              <w:rPr>
                <w:rFonts w:ascii="Times New Roman" w:hAnsi="Times New Roman" w:cs="Times New Roman"/>
                <w:sz w:val="24"/>
                <w:szCs w:val="24"/>
              </w:rPr>
              <w:lastRenderedPageBreak/>
              <w:t>days when Persephone is going from one Realm to the next (227).</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Yronwode (138): “Its effect is changed according to what it is blended with,” and she insists that it be blended because the scent of the incense is too strong and “intoxicating” to be used alone.  She recommends frankincense, copal, benzoin, dragon’s blood, and sandalwood; its uses range from bringing peace and healing to instilling lust in desired partners.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2D77C7" w:rsidRDefault="009A06BC" w:rsidP="009A06BC">
            <w:pPr>
              <w:rPr>
                <w:rFonts w:ascii="Times New Roman" w:hAnsi="Times New Roman" w:cs="Times New Roman"/>
                <w:sz w:val="24"/>
                <w:szCs w:val="24"/>
              </w:rPr>
            </w:pPr>
            <w:r>
              <w:rPr>
                <w:rFonts w:ascii="Times New Roman" w:hAnsi="Times New Roman" w:cs="Times New Roman"/>
                <w:i/>
                <w:sz w:val="24"/>
                <w:szCs w:val="24"/>
              </w:rPr>
              <w:t>PGM</w:t>
            </w:r>
            <w:r>
              <w:rPr>
                <w:rFonts w:ascii="Times New Roman" w:hAnsi="Times New Roman" w:cs="Times New Roman"/>
                <w:sz w:val="24"/>
                <w:szCs w:val="24"/>
              </w:rPr>
              <w:t xml:space="preserve">: the </w:t>
            </w:r>
            <w:r>
              <w:rPr>
                <w:rFonts w:ascii="Times New Roman" w:hAnsi="Times New Roman" w:cs="Times New Roman"/>
                <w:i/>
                <w:sz w:val="24"/>
                <w:szCs w:val="24"/>
              </w:rPr>
              <w:t>troglitis</w:t>
            </w:r>
            <w:r>
              <w:rPr>
                <w:rFonts w:ascii="Times New Roman" w:hAnsi="Times New Roman" w:cs="Times New Roman"/>
                <w:sz w:val="24"/>
                <w:szCs w:val="24"/>
              </w:rPr>
              <w:t xml:space="preserve"> species appears as a sacrifice to Isis when “acquiring a Supernatural Assistant” for spellwork (preface, “The Demons of Magic”); at 4.1716-1870, it is part of a “burnt offering” to Cupid; at VIL 429-58, the oil is used to consecrate a lead tablet in a restraining rite; at 12.179-81, the oil is used as ink in an anger-restraining inscription; more ink is found at 4.3209-54 in a “Saucer Divination of Aphrodite” to inscribe tools; at 4.2785-2890, it is included in an offering to Hecate so as to protect the magician whilst summoning her; at 4.1275-1322, it is part of an offering to a polar deity toward the end of a “charm of compulsion” power-borrowing spell; the </w:t>
            </w:r>
            <w:r>
              <w:rPr>
                <w:rFonts w:ascii="Times New Roman" w:hAnsi="Times New Roman" w:cs="Times New Roman"/>
                <w:i/>
                <w:sz w:val="24"/>
                <w:szCs w:val="24"/>
              </w:rPr>
              <w:t xml:space="preserve">Mithras Liturgy </w:t>
            </w:r>
            <w:r>
              <w:rPr>
                <w:rFonts w:ascii="Times New Roman" w:hAnsi="Times New Roman" w:cs="Times New Roman"/>
                <w:sz w:val="24"/>
                <w:szCs w:val="24"/>
              </w:rPr>
              <w:t>features a ritual in which some of the herb is buried and ink from it is used in inscribed amulets.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PDM</w:t>
            </w:r>
            <w:r>
              <w:rPr>
                <w:rFonts w:ascii="Times New Roman" w:hAnsi="Times New Roman" w:cs="Times New Roman"/>
                <w:sz w:val="24"/>
                <w:szCs w:val="24"/>
              </w:rPr>
              <w:t xml:space="preserve">: water infused with myrrh and juniper is used to inscribe a phoenix at Suppl. 130-38 in a sleep visitation spell invoking Osiris; at 14.1063-69, ink from the oil is used to inscribe a burnt message for a love spell; Col. 4 involves it being crushed into a mixture of goose fat and “qs-ankh” – and, later, </w:t>
            </w:r>
            <w:r>
              <w:rPr>
                <w:rFonts w:ascii="Times New Roman" w:hAnsi="Times New Roman" w:cs="Times New Roman"/>
                <w:sz w:val="24"/>
                <w:szCs w:val="24"/>
              </w:rPr>
              <w:lastRenderedPageBreak/>
              <w:t>into a hawk’s egg for pattern-reading – during a “spirit-gathering” ritual; more ink is “read” in lamp oil at Col. 5; at Col. 7, a box of its resin is used to invoke Anubis, and in Col. 10, a sort of eye-shadow is made from it and other herbs once Anubis has arisen; at Col. 12, it is an ingredient in a spell for getting a woman to love a male magician, and later on it and its partner natron are used to embalm a fish when invoking a “Kesh”; it embalms a shrew in Col. 13, and is also molded into an effigy of Geb (this piece is fragmented, so it’s unknown what else goes into the molding process); with saffron, it goes into an amulet using contagious magic to force a woman’s love for her prospective partner (the magician) in Col. 21; in Col. 25, it is offered “upon a willow leaf” to a lamp being used for divination; in Col. 27, it appears with lapis lazuli (as in the Anubis spells) and other materials in a private “vessel-divination […] for seeing the bark of Phre,” and later as ink to write the query; fragments of Col. 29 show it being used in an eye ointment for a boy serving as a conduit during divination; three alternative spell versions feature the herb in the form of ink and as a substitute in a love spell.</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BA79A4"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Kyr. </w:t>
            </w:r>
            <w:r>
              <w:rPr>
                <w:rFonts w:ascii="Times New Roman" w:hAnsi="Times New Roman" w:cs="Times New Roman"/>
                <w:sz w:val="24"/>
                <w:szCs w:val="24"/>
              </w:rPr>
              <w:t xml:space="preserve">14.Iz features myrrh incense and the head of the “spatha” fish in one spell for making others feel as though they’ve been possessed by something evil, and in another for preventing the user from being overtaken by madness or anger (the concoction is rubbed on the user’s nose in this latter spell), possibly during spellwork but maybe just in general; in 16.I, a drink from this herb, frankincense, ground saffron, poppy, acacia, rain water, and wine can </w:t>
            </w:r>
            <w:r>
              <w:rPr>
                <w:rFonts w:ascii="Times New Roman" w:hAnsi="Times New Roman" w:cs="Times New Roman"/>
                <w:sz w:val="24"/>
                <w:szCs w:val="24"/>
              </w:rPr>
              <w:lastRenderedPageBreak/>
              <w:t>clear up “rheum,” eye issues, and bouts of idiocy (forgetfulness, maybe?) – or, the same mixture can be dropped into bath water for the purpose of allowing the user to wash away pain; in 21.I, a “low-hanging amulet for total foreknowledge” is made from the herb, a “drowned hawk” (magical herb name, or literal?), a “frog’s tongue” (same question), bits of steel and magnet, and salt “as a preservative.”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So, we can safely assert that the ancients associated this herb with Venus and Underworld deities!</w:t>
            </w:r>
          </w:p>
          <w:p w:rsidR="009A06BC" w:rsidRPr="007D529F" w:rsidRDefault="009A06BC" w:rsidP="009A06BC">
            <w:pPr>
              <w:rPr>
                <w:rFonts w:ascii="Times New Roman" w:hAnsi="Times New Roman" w:cs="Times New Roman"/>
                <w:sz w:val="24"/>
                <w:szCs w:val="24"/>
              </w:rPr>
            </w:pPr>
          </w:p>
          <w:p w:rsidR="009A06BC" w:rsidRPr="00BA79A4" w:rsidRDefault="009A06BC" w:rsidP="009A06BC">
            <w:pPr>
              <w:rPr>
                <w:rFonts w:ascii="Times New Roman" w:hAnsi="Times New Roman" w:cs="Times New Roman"/>
                <w:sz w:val="24"/>
                <w:szCs w:val="24"/>
              </w:rPr>
            </w:pPr>
          </w:p>
        </w:tc>
      </w:tr>
      <w:tr w:rsidR="009A06BC" w:rsidRPr="00C879F5" w:rsidTr="00961E42">
        <w:tc>
          <w:tcPr>
            <w:tcW w:w="1776" w:type="dxa"/>
          </w:tcPr>
          <w:p w:rsidR="009A06BC" w:rsidRPr="00EA7B8B" w:rsidRDefault="009A06BC" w:rsidP="009A06BC">
            <w:pPr>
              <w:rPr>
                <w:rFonts w:ascii="Times New Roman" w:hAnsi="Times New Roman" w:cs="Times New Roman"/>
                <w:sz w:val="24"/>
                <w:szCs w:val="24"/>
              </w:rPr>
            </w:pPr>
          </w:p>
          <w:p w:rsidR="009A06BC" w:rsidRPr="00F44780" w:rsidRDefault="009A06BC" w:rsidP="009A06BC">
            <w:pPr>
              <w:rPr>
                <w:rFonts w:ascii="Times New Roman" w:hAnsi="Times New Roman" w:cs="Times New Roman"/>
                <w:sz w:val="24"/>
                <w:szCs w:val="24"/>
                <w:lang w:val="es-ES"/>
              </w:rPr>
            </w:pPr>
            <w:r w:rsidRPr="00F44780">
              <w:rPr>
                <w:rFonts w:ascii="Times New Roman" w:hAnsi="Times New Roman" w:cs="Times New Roman"/>
                <w:sz w:val="24"/>
                <w:szCs w:val="24"/>
                <w:lang w:val="es-ES"/>
              </w:rPr>
              <w:t>Olive</w:t>
            </w:r>
          </w:p>
          <w:p w:rsidR="009A06BC" w:rsidRPr="00F44780" w:rsidRDefault="009A06BC" w:rsidP="009A06BC">
            <w:pPr>
              <w:rPr>
                <w:rFonts w:ascii="Times New Roman" w:hAnsi="Times New Roman" w:cs="Times New Roman"/>
                <w:sz w:val="24"/>
                <w:szCs w:val="24"/>
                <w:lang w:val="es-ES"/>
              </w:rPr>
            </w:pPr>
          </w:p>
          <w:p w:rsidR="009A06BC" w:rsidRPr="00F44780" w:rsidRDefault="009A06BC" w:rsidP="009A06BC">
            <w:pPr>
              <w:rPr>
                <w:rFonts w:ascii="Times New Roman" w:hAnsi="Times New Roman" w:cs="Times New Roman"/>
                <w:sz w:val="24"/>
                <w:szCs w:val="24"/>
                <w:lang w:val="es-ES"/>
              </w:rPr>
            </w:pPr>
            <w:r w:rsidRPr="00F44780">
              <w:rPr>
                <w:rFonts w:ascii="Times New Roman" w:hAnsi="Times New Roman" w:cs="Times New Roman"/>
                <w:i/>
                <w:sz w:val="24"/>
                <w:szCs w:val="24"/>
                <w:lang w:val="es-ES"/>
              </w:rPr>
              <w:t>Olea europaea</w:t>
            </w:r>
          </w:p>
          <w:p w:rsidR="009A06BC" w:rsidRPr="00F44780" w:rsidRDefault="009A06BC" w:rsidP="009A06BC">
            <w:pPr>
              <w:rPr>
                <w:rFonts w:ascii="Times New Roman" w:hAnsi="Times New Roman" w:cs="Times New Roman"/>
                <w:sz w:val="24"/>
                <w:szCs w:val="24"/>
                <w:lang w:val="es-ES"/>
              </w:rPr>
            </w:pPr>
          </w:p>
          <w:p w:rsidR="009A06BC" w:rsidRPr="00F44780" w:rsidRDefault="009A06BC" w:rsidP="009A06BC">
            <w:pPr>
              <w:rPr>
                <w:rFonts w:ascii="Times New Roman" w:hAnsi="Times New Roman" w:cs="Times New Roman"/>
                <w:sz w:val="24"/>
                <w:szCs w:val="24"/>
                <w:lang w:val="es-ES"/>
              </w:rPr>
            </w:pPr>
            <w:r w:rsidRPr="00F44780">
              <w:rPr>
                <w:rFonts w:ascii="Times New Roman" w:hAnsi="Times New Roman" w:cs="Times New Roman"/>
                <w:sz w:val="24"/>
                <w:szCs w:val="24"/>
                <w:lang w:val="es-ES"/>
              </w:rPr>
              <w:t>Lat. olea</w:t>
            </w:r>
          </w:p>
          <w:p w:rsidR="009A06BC" w:rsidRPr="00F44780" w:rsidRDefault="009A06BC" w:rsidP="009A06BC">
            <w:pPr>
              <w:rPr>
                <w:rFonts w:ascii="Times New Roman" w:hAnsi="Times New Roman" w:cs="Times New Roman"/>
                <w:sz w:val="24"/>
                <w:szCs w:val="24"/>
                <w:lang w:val="es-ES"/>
              </w:rPr>
            </w:pPr>
          </w:p>
          <w:p w:rsidR="009A06BC" w:rsidRPr="00F44780" w:rsidRDefault="009A06BC" w:rsidP="009A06BC">
            <w:pPr>
              <w:rPr>
                <w:rFonts w:ascii="Times New Roman" w:hAnsi="Times New Roman" w:cs="Times New Roman"/>
                <w:sz w:val="24"/>
                <w:szCs w:val="24"/>
                <w:lang w:val="es-ES"/>
              </w:rPr>
            </w:pPr>
            <w:r w:rsidRPr="00F44780">
              <w:rPr>
                <w:rFonts w:ascii="Times New Roman" w:hAnsi="Times New Roman" w:cs="Times New Roman"/>
                <w:sz w:val="24"/>
                <w:szCs w:val="24"/>
                <w:lang w:val="es-ES"/>
              </w:rPr>
              <w:t xml:space="preserve">Gk. </w:t>
            </w:r>
            <w:r>
              <w:rPr>
                <w:rFonts w:ascii="Times New Roman" w:hAnsi="Times New Roman" w:cs="Times New Roman"/>
                <w:sz w:val="24"/>
                <w:szCs w:val="24"/>
                <w:lang w:val="el-GR"/>
              </w:rPr>
              <w:t>ελαία</w:t>
            </w:r>
          </w:p>
        </w:tc>
        <w:tc>
          <w:tcPr>
            <w:tcW w:w="3718" w:type="dxa"/>
          </w:tcPr>
          <w:p w:rsidR="009A06BC" w:rsidRPr="00642902" w:rsidRDefault="009A06BC" w:rsidP="009A06BC">
            <w:pPr>
              <w:rPr>
                <w:rFonts w:ascii="Times New Roman" w:hAnsi="Times New Roman" w:cs="Times New Roman"/>
                <w:i/>
                <w:sz w:val="24"/>
                <w:szCs w:val="24"/>
                <w:lang w:val="es-ES"/>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CH</w:t>
            </w:r>
            <w:r>
              <w:rPr>
                <w:rFonts w:ascii="Times New Roman" w:hAnsi="Times New Roman" w:cs="Times New Roman"/>
                <w:sz w:val="24"/>
                <w:szCs w:val="24"/>
              </w:rPr>
              <w:t xml:space="preserve"> 26 uses (22 gyn., 4 med.) including diarrhea, inflammation, and </w:t>
            </w:r>
            <w:r>
              <w:rPr>
                <w:rFonts w:ascii="Times New Roman" w:hAnsi="Times New Roman" w:cs="Times New Roman"/>
                <w:sz w:val="24"/>
                <w:szCs w:val="24"/>
                <w:lang w:val="el-GR"/>
              </w:rPr>
              <w:t>φῦμα</w:t>
            </w:r>
            <w:r w:rsidRPr="00533FA2">
              <w:rPr>
                <w:rFonts w:ascii="Times New Roman" w:hAnsi="Times New Roman" w:cs="Times New Roman"/>
                <w:sz w:val="24"/>
                <w:szCs w:val="24"/>
              </w:rPr>
              <w:t xml:space="preserve"> / </w:t>
            </w:r>
            <w:r>
              <w:rPr>
                <w:rFonts w:ascii="Times New Roman" w:hAnsi="Times New Roman" w:cs="Times New Roman"/>
                <w:sz w:val="24"/>
                <w:szCs w:val="24"/>
                <w:lang w:val="el-GR"/>
              </w:rPr>
              <w:t>ὀίδημα</w:t>
            </w:r>
            <w:r w:rsidRPr="00533FA2">
              <w:rPr>
                <w:rFonts w:ascii="Times New Roman" w:hAnsi="Times New Roman" w:cs="Times New Roman"/>
                <w:sz w:val="24"/>
                <w:szCs w:val="24"/>
              </w:rPr>
              <w:t xml:space="preserve"> </w:t>
            </w:r>
            <w:r>
              <w:rPr>
                <w:rFonts w:ascii="Times New Roman" w:hAnsi="Times New Roman" w:cs="Times New Roman"/>
                <w:sz w:val="24"/>
                <w:szCs w:val="24"/>
              </w:rPr>
              <w:t>(tumors)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HN </w:t>
            </w:r>
            <w:r>
              <w:rPr>
                <w:rFonts w:ascii="Times New Roman" w:hAnsi="Times New Roman" w:cs="Times New Roman"/>
                <w:sz w:val="24"/>
                <w:szCs w:val="24"/>
              </w:rPr>
              <w:t>15.19 Olive oil was rubbed on as a “second skin” to keep warm in the wintertime; 15.33 oil lees were swished about in the mouth to get rid of ulcers there, but were also used in the household as pesticides and as preservatives (which rather discourages one from putting them in one’s mouth); 15.135 as with laurel, branches were burnt at military homecoming celebrations “for the purpose of fumigation and purification from the blood of the enemy,” which I take to mean, “the smoke could counter blood-borne pathogens brought back on bloodstained armor.”</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DMM</w:t>
            </w:r>
            <w:r>
              <w:rPr>
                <w:rFonts w:ascii="Times New Roman" w:hAnsi="Times New Roman" w:cs="Times New Roman"/>
                <w:sz w:val="24"/>
                <w:szCs w:val="24"/>
              </w:rPr>
              <w:t xml:space="preserve"> 1.116 Divided into two breeds: </w:t>
            </w:r>
            <w:r>
              <w:rPr>
                <w:rFonts w:ascii="Times New Roman" w:hAnsi="Times New Roman" w:cs="Times New Roman"/>
                <w:i/>
                <w:sz w:val="24"/>
                <w:szCs w:val="24"/>
              </w:rPr>
              <w:t>Olea sylvestris</w:t>
            </w:r>
            <w:r>
              <w:rPr>
                <w:rFonts w:ascii="Times New Roman" w:hAnsi="Times New Roman" w:cs="Times New Roman"/>
                <w:sz w:val="24"/>
                <w:szCs w:val="24"/>
              </w:rPr>
              <w:t xml:space="preserve"> (“wild”) and </w:t>
            </w:r>
            <w:r>
              <w:rPr>
                <w:rFonts w:ascii="Times New Roman" w:hAnsi="Times New Roman" w:cs="Times New Roman"/>
                <w:i/>
                <w:sz w:val="24"/>
                <w:szCs w:val="24"/>
              </w:rPr>
              <w:t>Olea sativa</w:t>
            </w:r>
            <w:r>
              <w:rPr>
                <w:rFonts w:ascii="Times New Roman" w:hAnsi="Times New Roman" w:cs="Times New Roman"/>
                <w:sz w:val="24"/>
                <w:szCs w:val="24"/>
              </w:rPr>
              <w:t xml:space="preserve"> (“domestic”).</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Wild Olive leaves could be “crushed and applied as a bandage [to] clear up St. Anthony’s Fire [i.e. erysipelas], scabs called Greek ‘epinyctidas,’ carbuncles, sores that keep spreading, ‘corrosives,’ and finally paronychia [i.e. cuticle inflammation].”   My guess is that “epinyctidas” comes from </w:t>
            </w:r>
            <w:r>
              <w:rPr>
                <w:rFonts w:ascii="Times New Roman" w:hAnsi="Times New Roman" w:cs="Times New Roman"/>
                <w:sz w:val="24"/>
                <w:szCs w:val="24"/>
                <w:lang w:val="el-GR"/>
              </w:rPr>
              <w:t>ἐπί</w:t>
            </w:r>
            <w:r w:rsidRPr="001D2071">
              <w:rPr>
                <w:rFonts w:ascii="Times New Roman" w:hAnsi="Times New Roman" w:cs="Times New Roman"/>
                <w:sz w:val="24"/>
                <w:szCs w:val="24"/>
              </w:rPr>
              <w:t xml:space="preserve"> + </w:t>
            </w:r>
            <w:r>
              <w:rPr>
                <w:rFonts w:ascii="Times New Roman" w:hAnsi="Times New Roman" w:cs="Times New Roman"/>
                <w:sz w:val="24"/>
                <w:szCs w:val="24"/>
                <w:lang w:val="el-GR"/>
              </w:rPr>
              <w:t>νυκτός</w:t>
            </w:r>
            <w:r w:rsidRPr="001D2071">
              <w:rPr>
                <w:rFonts w:ascii="Times New Roman" w:hAnsi="Times New Roman" w:cs="Times New Roman"/>
                <w:sz w:val="24"/>
                <w:szCs w:val="24"/>
              </w:rPr>
              <w:t xml:space="preserve">, </w:t>
            </w:r>
            <w:r>
              <w:rPr>
                <w:rFonts w:ascii="Times New Roman" w:hAnsi="Times New Roman" w:cs="Times New Roman"/>
                <w:sz w:val="24"/>
                <w:szCs w:val="24"/>
              </w:rPr>
              <w:t>and are therefore “overnight scabs,” which could be any number of things ranging from acne to rashes to mite-related infections.  Mixed with honey, the leaves clear up any number of skin problems, including mouth sores.  The juice is useful for stanching blood-flow from wounds and from menstruation, and for clearing up problems with the eyelids and inner ears.  Blended with barley flour and wine to make tablets, it countered acid reflux.  Ash from burnt leaves and flowers can also be made into pills for eye treatments; the “foam” released while burning, as well as the crushed fruit, is good for dandruff.  The fruit is has some of the same uses as the crushed leaves, and its pit, mixed with oil and flower, clears up “mangy nails.”</w:t>
            </w:r>
          </w:p>
          <w:p w:rsidR="009A06BC" w:rsidRDefault="009A06BC" w:rsidP="009A06BC">
            <w:pPr>
              <w:rPr>
                <w:rFonts w:ascii="Times New Roman" w:hAnsi="Times New Roman" w:cs="Times New Roman"/>
                <w:sz w:val="24"/>
                <w:szCs w:val="24"/>
              </w:rPr>
            </w:pPr>
          </w:p>
          <w:p w:rsidR="009A06BC" w:rsidRPr="00DF1449" w:rsidRDefault="009A06BC" w:rsidP="009A06BC">
            <w:pPr>
              <w:rPr>
                <w:rFonts w:ascii="Times New Roman" w:hAnsi="Times New Roman" w:cs="Times New Roman"/>
                <w:sz w:val="24"/>
                <w:szCs w:val="24"/>
              </w:rPr>
            </w:pPr>
            <w:r>
              <w:rPr>
                <w:rFonts w:ascii="Times New Roman" w:hAnsi="Times New Roman" w:cs="Times New Roman"/>
                <w:sz w:val="24"/>
                <w:szCs w:val="24"/>
              </w:rPr>
              <w:t>Domestic Olive – unclear whether its leaves have the same uses as its wild relative, but there follow several sections (1.117-120) on what the fruit and its oil are good for, including tooth maintenance, stomach comfort, ocular health, headaches, and some of the skin issues mentioned above.  It is noted, however, that the wild variety is only found in the Bay of Sena and is less fruitful than its more popular cousin (the domestic breed).</w:t>
            </w: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(187): Oil, and leaves inscribed with Athena’s name, aid in healing and curing headaches when put into contact with the body; scattered leaves “spread a peaceful vibration throughout” one’s home, while carried on the body, they attract luck; eating olives supposedly increased men’s sexual potency.  There is also a superstition that “[a] branch of olive hung over the door guards the house against all evils, and on the chimney wards off lightning.”</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PGM</w:t>
            </w:r>
            <w:r>
              <w:rPr>
                <w:rFonts w:ascii="Times New Roman" w:hAnsi="Times New Roman" w:cs="Times New Roman"/>
                <w:sz w:val="24"/>
                <w:szCs w:val="24"/>
              </w:rPr>
              <w:t>: Oil is found in food offerings to spirit assistants (preface), in body paint for attracting Helios and gaining his powers of invisibility (1.222-31), in lamp-based dream divination (7.359-69), in saucer-based divination with Venus (4.3209-54), and in bowl-based divination and necromancy with Egyptian King Psammetichos (4.154-160); branches were featured in exorcisms (4.1227-64).</w:t>
            </w:r>
          </w:p>
          <w:p w:rsidR="009A06BC" w:rsidRDefault="009A06BC" w:rsidP="009A06BC">
            <w:pPr>
              <w:rPr>
                <w:rFonts w:ascii="Times New Roman" w:hAnsi="Times New Roman" w:cs="Times New Roman"/>
                <w:sz w:val="24"/>
                <w:szCs w:val="24"/>
              </w:rPr>
            </w:pPr>
          </w:p>
          <w:p w:rsidR="009A06BC" w:rsidRPr="0031752D" w:rsidRDefault="009A06BC" w:rsidP="009A06BC">
            <w:pPr>
              <w:rPr>
                <w:rFonts w:ascii="Times New Roman" w:hAnsi="Times New Roman" w:cs="Times New Roman"/>
                <w:sz w:val="24"/>
                <w:szCs w:val="24"/>
              </w:rPr>
            </w:pPr>
            <w:r>
              <w:rPr>
                <w:rFonts w:ascii="Times New Roman" w:hAnsi="Times New Roman" w:cs="Times New Roman"/>
                <w:i/>
                <w:sz w:val="24"/>
                <w:szCs w:val="24"/>
              </w:rPr>
              <w:t>PDM</w:t>
            </w:r>
            <w:r>
              <w:rPr>
                <w:rFonts w:ascii="Times New Roman" w:hAnsi="Times New Roman" w:cs="Times New Roman"/>
                <w:sz w:val="24"/>
                <w:szCs w:val="24"/>
              </w:rPr>
              <w:t xml:space="preserve">: Wood from the olive tree is used </w:t>
            </w:r>
            <w:r>
              <w:rPr>
                <w:rFonts w:ascii="Times New Roman" w:hAnsi="Times New Roman" w:cs="Times New Roman"/>
                <w:sz w:val="24"/>
                <w:szCs w:val="24"/>
              </w:rPr>
              <w:lastRenderedPageBreak/>
              <w:t>to make tables, charcoal, and a hoop for spirit-gathering spells (Col. 4).</w:t>
            </w:r>
          </w:p>
          <w:p w:rsidR="009A06BC" w:rsidRPr="00C879F5"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Onion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Allium cepa</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cepa</w:t>
            </w:r>
          </w:p>
          <w:p w:rsidR="009A06BC" w:rsidRDefault="009A06BC" w:rsidP="009A06BC">
            <w:pPr>
              <w:rPr>
                <w:rFonts w:ascii="Times New Roman" w:hAnsi="Times New Roman" w:cs="Times New Roman"/>
                <w:sz w:val="24"/>
                <w:szCs w:val="24"/>
              </w:rPr>
            </w:pPr>
          </w:p>
          <w:p w:rsidR="009A06BC" w:rsidRPr="00533FA2"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κρόμμυον</w:t>
            </w:r>
          </w:p>
        </w:tc>
        <w:tc>
          <w:tcPr>
            <w:tcW w:w="3718" w:type="dxa"/>
          </w:tcPr>
          <w:p w:rsidR="009A06BC" w:rsidRDefault="009A06BC" w:rsidP="009A06BC">
            <w:pPr>
              <w:rPr>
                <w:rFonts w:ascii="Times New Roman" w:hAnsi="Times New Roman" w:cs="Times New Roman"/>
                <w:i/>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CH </w:t>
            </w:r>
            <w:r>
              <w:rPr>
                <w:rFonts w:ascii="Times New Roman" w:hAnsi="Times New Roman" w:cs="Times New Roman"/>
                <w:sz w:val="24"/>
                <w:szCs w:val="24"/>
              </w:rPr>
              <w:t>17 uses (10 gyn., 7 med.) including “purification, gallbladder [sic] complaints, diseases of the brain, jaundice, [and] purulent inflammations”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HN </w:t>
            </w:r>
            <w:r>
              <w:rPr>
                <w:rFonts w:ascii="Times New Roman" w:hAnsi="Times New Roman" w:cs="Times New Roman"/>
                <w:sz w:val="24"/>
                <w:szCs w:val="24"/>
              </w:rPr>
              <w:t>20.39-43 The bulbs were eaten alone to promote a good complexion, a healthy stomach, and improved gas flow, but notably had soporific properties and, as such, was prescribed as an alternative sleep aid.  They could also be eaten with bread to cure mouth sores.  Some doctors even advised using the bulb as a suppository to clear up hemorrhoids; how their patients managed it without first dicing is unclear.  Juice from the bulb was dripped into the eyes and nose to supposedly improve vision (it was believed that juices could reach the back of the eye via the nasal passage), or else mixed with fennel juice and swallowed to combat the early stages of dropsy.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 xml:space="preserve">2.140 All types of onions “are corrosive, cause wind, increase appetite, thin the Humors, cause thirst, bring on weariness, and settle the stomach.  [Steeped in] oil, and taken as a suppository, they’re useful for opening a path for whatever kind of evacuation, especially the one that piles [i.e. hemorrhoids] are accustomed to making.  Its juice, applied with honey,” clears up clouded or narrowed vision; it also makes for a decent lotion and a menstruation aid.  Add to that mix salt and rue, </w:t>
            </w:r>
            <w:r>
              <w:rPr>
                <w:rFonts w:ascii="Times New Roman" w:hAnsi="Times New Roman" w:cs="Times New Roman"/>
                <w:sz w:val="24"/>
                <w:szCs w:val="24"/>
              </w:rPr>
              <w:lastRenderedPageBreak/>
              <w:t>and you get a salve for dog-bites; or add vinegar to make a topical ointment for vitiligo (“alvarazos,” here).  Mixed with chicken stock, it’s good for blisters caused by shoes, constipation, difficulty hearing (particularly wax and water removal), and hair treatment.  The bulbs can be cooked and made into poultices for lumps.  He warns, however, that eating too many bulbs will cause headaches, increased urination, and lethargy, so patients should be careful not to overdose on them.</w:t>
            </w:r>
          </w:p>
          <w:p w:rsidR="009A06BC" w:rsidRDefault="009A06BC" w:rsidP="009A06BC">
            <w:pPr>
              <w:rPr>
                <w:rFonts w:ascii="Times New Roman" w:hAnsi="Times New Roman" w:cs="Times New Roman"/>
                <w:sz w:val="24"/>
                <w:szCs w:val="24"/>
              </w:rPr>
            </w:pPr>
          </w:p>
          <w:p w:rsidR="009A06BC" w:rsidRPr="00567D48"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(188-89): “According to some ancient authorities [no specific source identified], the onion was worshipped in some cities in Ancient Egypt, and was sometimes invoked while taking oaths.”  Others “state that when eaten, the onion […] produces lust,” though the breath it gives the eater probably leaves that lust unrequited.  The most prominent use is as an absorbent for negative energy and disease, though the bulb can be inscribed to aid in “prophetic dreams” and the peels burnt for luck, and there are a couple of mentions of the onion being thrown for superstitious reasons (at weddings and to remove warts, oddly).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Yronwode (165-6): She focuses on the red onion, which is always hollowed out and filled with something (sugar, inscribed paper for sympathetic purposes, discarded pieces of a target’s body for contagious purposes, etc.) and then hidden, either by burial or in an unseen part of the home.  The peels can also be burnt in a stove for a variety of purposes, the foremost of which is luck.</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PGM</w:t>
            </w:r>
            <w:r>
              <w:rPr>
                <w:rFonts w:ascii="Times New Roman" w:hAnsi="Times New Roman" w:cs="Times New Roman"/>
                <w:sz w:val="24"/>
                <w:szCs w:val="24"/>
              </w:rPr>
              <w:t xml:space="preserve">: 4.52-85 a rite is performed with an onion … fragmented as the text is, it’s unclear how the herb figures into the revelation spell, unless it’s the food eaten in advance of casting the spell; 4.1331-89 see </w:t>
            </w:r>
            <w:r>
              <w:rPr>
                <w:rFonts w:ascii="Times New Roman" w:hAnsi="Times New Roman" w:cs="Times New Roman"/>
                <w:i/>
                <w:sz w:val="24"/>
                <w:szCs w:val="24"/>
              </w:rPr>
              <w:t>Cumin</w:t>
            </w:r>
            <w:r>
              <w:rPr>
                <w:rFonts w:ascii="Times New Roman" w:hAnsi="Times New Roman" w:cs="Times New Roman"/>
                <w:sz w:val="24"/>
                <w:szCs w:val="24"/>
              </w:rPr>
              <w:t>.</w:t>
            </w:r>
          </w:p>
          <w:p w:rsidR="009A06BC" w:rsidRDefault="009A06BC" w:rsidP="009A06BC">
            <w:pPr>
              <w:rPr>
                <w:rFonts w:ascii="Times New Roman" w:hAnsi="Times New Roman" w:cs="Times New Roman"/>
                <w:sz w:val="24"/>
                <w:szCs w:val="24"/>
              </w:rPr>
            </w:pPr>
          </w:p>
          <w:p w:rsidR="009A06BC" w:rsidRPr="00C855D3" w:rsidRDefault="009A06BC" w:rsidP="009A06BC">
            <w:pPr>
              <w:rPr>
                <w:rFonts w:ascii="Times New Roman" w:hAnsi="Times New Roman" w:cs="Times New Roman"/>
                <w:sz w:val="24"/>
                <w:szCs w:val="24"/>
              </w:rPr>
            </w:pPr>
            <w:r>
              <w:rPr>
                <w:rFonts w:ascii="Times New Roman" w:hAnsi="Times New Roman" w:cs="Times New Roman"/>
                <w:i/>
                <w:sz w:val="24"/>
                <w:szCs w:val="24"/>
              </w:rPr>
              <w:t>PDM</w:t>
            </w:r>
            <w:r>
              <w:rPr>
                <w:rFonts w:ascii="Times New Roman" w:hAnsi="Times New Roman" w:cs="Times New Roman"/>
                <w:sz w:val="24"/>
                <w:szCs w:val="24"/>
              </w:rPr>
              <w:t>: An alternative interpretation of Col. 5 suggests that asphodel and wild onion are one and the same; the seeds of the former figure into the “Charm of Compulsion” alongside myrrh, just for the record.</w:t>
            </w: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Oregano</w:t>
            </w:r>
          </w:p>
          <w:p w:rsidR="009A06BC" w:rsidRDefault="009A06BC" w:rsidP="009A06BC">
            <w:pPr>
              <w:rPr>
                <w:rFonts w:ascii="Times New Roman" w:hAnsi="Times New Roman" w:cs="Times New Roman"/>
                <w:sz w:val="24"/>
                <w:szCs w:val="24"/>
              </w:rPr>
            </w:pPr>
          </w:p>
          <w:p w:rsidR="009A06BC" w:rsidRPr="000C5223" w:rsidRDefault="009A06BC" w:rsidP="009A06BC">
            <w:pPr>
              <w:rPr>
                <w:rFonts w:ascii="Times New Roman" w:hAnsi="Times New Roman" w:cs="Times New Roman"/>
                <w:i/>
                <w:sz w:val="24"/>
                <w:szCs w:val="24"/>
              </w:rPr>
            </w:pPr>
            <w:r>
              <w:rPr>
                <w:rFonts w:ascii="Times New Roman" w:hAnsi="Times New Roman" w:cs="Times New Roman"/>
                <w:i/>
                <w:sz w:val="24"/>
                <w:szCs w:val="24"/>
              </w:rPr>
              <w:t>Origanum vulgare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origanum</w:t>
            </w:r>
          </w:p>
          <w:p w:rsidR="009A06BC" w:rsidRDefault="009A06BC" w:rsidP="009A06BC">
            <w:pPr>
              <w:rPr>
                <w:rFonts w:ascii="Times New Roman" w:hAnsi="Times New Roman" w:cs="Times New Roman"/>
                <w:sz w:val="24"/>
                <w:szCs w:val="24"/>
              </w:rPr>
            </w:pPr>
          </w:p>
          <w:p w:rsidR="009A06BC" w:rsidRPr="00533FA2"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ὀρίγανον</w:t>
            </w:r>
            <w:r w:rsidRPr="00533FA2">
              <w:rPr>
                <w:rFonts w:ascii="Times New Roman" w:hAnsi="Times New Roman" w:cs="Times New Roman"/>
                <w:sz w:val="24"/>
                <w:szCs w:val="24"/>
              </w:rPr>
              <w:t xml:space="preserve">, </w:t>
            </w:r>
            <w:r>
              <w:rPr>
                <w:rFonts w:ascii="Times New Roman" w:hAnsi="Times New Roman" w:cs="Times New Roman"/>
                <w:sz w:val="24"/>
                <w:szCs w:val="24"/>
                <w:lang w:val="el-GR"/>
              </w:rPr>
              <w:t>ὀρίγανος</w:t>
            </w:r>
          </w:p>
        </w:tc>
        <w:tc>
          <w:tcPr>
            <w:tcW w:w="3718" w:type="dxa"/>
          </w:tcPr>
          <w:p w:rsidR="009A06BC" w:rsidRDefault="009A06BC" w:rsidP="009A06BC">
            <w:pPr>
              <w:rPr>
                <w:rFonts w:ascii="Times New Roman" w:hAnsi="Times New Roman" w:cs="Times New Roman"/>
                <w:i/>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CH </w:t>
            </w:r>
            <w:r>
              <w:rPr>
                <w:rFonts w:ascii="Times New Roman" w:hAnsi="Times New Roman" w:cs="Times New Roman"/>
                <w:sz w:val="24"/>
                <w:szCs w:val="24"/>
              </w:rPr>
              <w:t xml:space="preserve">40 uses (15 gyn., 25 med.) including </w:t>
            </w:r>
            <w:r>
              <w:rPr>
                <w:rFonts w:ascii="Times New Roman" w:hAnsi="Times New Roman" w:cs="Times New Roman"/>
                <w:sz w:val="24"/>
                <w:szCs w:val="24"/>
                <w:lang w:val="el-GR"/>
              </w:rPr>
              <w:t>φῦμα</w:t>
            </w:r>
            <w:r w:rsidRPr="00533FA2">
              <w:rPr>
                <w:rFonts w:ascii="Times New Roman" w:hAnsi="Times New Roman" w:cs="Times New Roman"/>
                <w:sz w:val="24"/>
                <w:szCs w:val="24"/>
              </w:rPr>
              <w:t xml:space="preserve"> / </w:t>
            </w:r>
            <w:r>
              <w:rPr>
                <w:rFonts w:ascii="Times New Roman" w:hAnsi="Times New Roman" w:cs="Times New Roman"/>
                <w:sz w:val="24"/>
                <w:szCs w:val="24"/>
                <w:lang w:val="el-GR"/>
              </w:rPr>
              <w:t>ὀίδημα</w:t>
            </w:r>
            <w:r>
              <w:rPr>
                <w:rFonts w:ascii="Times New Roman" w:hAnsi="Times New Roman" w:cs="Times New Roman"/>
                <w:sz w:val="24"/>
                <w:szCs w:val="24"/>
              </w:rPr>
              <w:t>, angina, and pulmonary issues like consumption and pneumonia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3E1107" w:rsidRDefault="009A06BC" w:rsidP="009A06BC">
            <w:pPr>
              <w:rPr>
                <w:rFonts w:ascii="Times New Roman" w:hAnsi="Times New Roman" w:cs="Times New Roman"/>
                <w:sz w:val="24"/>
                <w:szCs w:val="24"/>
              </w:rPr>
            </w:pPr>
            <w:proofErr w:type="gramStart"/>
            <w:r>
              <w:rPr>
                <w:rFonts w:ascii="Times New Roman" w:hAnsi="Times New Roman" w:cs="Times New Roman"/>
                <w:i/>
                <w:sz w:val="24"/>
                <w:szCs w:val="24"/>
              </w:rPr>
              <w:t>DMM</w:t>
            </w:r>
            <w:r>
              <w:rPr>
                <w:rFonts w:ascii="Times New Roman" w:hAnsi="Times New Roman" w:cs="Times New Roman"/>
                <w:sz w:val="24"/>
                <w:szCs w:val="24"/>
              </w:rPr>
              <w:t xml:space="preserve">  3.30</w:t>
            </w:r>
            <w:proofErr w:type="gramEnd"/>
            <w:r>
              <w:rPr>
                <w:rFonts w:ascii="Times New Roman" w:hAnsi="Times New Roman" w:cs="Times New Roman"/>
                <w:sz w:val="24"/>
                <w:szCs w:val="24"/>
              </w:rPr>
              <w:t xml:space="preserve">-1 Several breeds are mentioned here, though he seems to prefer </w:t>
            </w:r>
            <w:r>
              <w:rPr>
                <w:rFonts w:ascii="Times New Roman" w:hAnsi="Times New Roman" w:cs="Times New Roman"/>
                <w:i/>
                <w:sz w:val="24"/>
                <w:szCs w:val="24"/>
              </w:rPr>
              <w:t>Origanum heracleoticum</w:t>
            </w:r>
            <w:r>
              <w:rPr>
                <w:rFonts w:ascii="Times New Roman" w:hAnsi="Times New Roman" w:cs="Times New Roman"/>
                <w:sz w:val="24"/>
                <w:szCs w:val="24"/>
              </w:rPr>
              <w:t xml:space="preserve"> over the </w:t>
            </w:r>
            <w:r>
              <w:rPr>
                <w:rFonts w:ascii="Times New Roman" w:hAnsi="Times New Roman" w:cs="Times New Roman"/>
                <w:i/>
                <w:sz w:val="24"/>
                <w:szCs w:val="24"/>
              </w:rPr>
              <w:t>onitis, sylvestre,</w:t>
            </w:r>
            <w:r>
              <w:rPr>
                <w:rFonts w:ascii="Times New Roman" w:hAnsi="Times New Roman" w:cs="Times New Roman"/>
                <w:sz w:val="24"/>
                <w:szCs w:val="24"/>
              </w:rPr>
              <w:t xml:space="preserve"> and </w:t>
            </w:r>
            <w:r>
              <w:rPr>
                <w:rFonts w:ascii="Times New Roman" w:hAnsi="Times New Roman" w:cs="Times New Roman"/>
                <w:i/>
                <w:sz w:val="24"/>
                <w:szCs w:val="24"/>
              </w:rPr>
              <w:t>tragoriganum</w:t>
            </w:r>
            <w:r>
              <w:rPr>
                <w:rFonts w:ascii="Times New Roman" w:hAnsi="Times New Roman" w:cs="Times New Roman"/>
                <w:sz w:val="24"/>
                <w:szCs w:val="24"/>
              </w:rPr>
              <w:t xml:space="preserve"> strains.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Origanum hercleoticum </w:t>
            </w:r>
            <w:r>
              <w:rPr>
                <w:rFonts w:ascii="Times New Roman" w:hAnsi="Times New Roman" w:cs="Times New Roman"/>
                <w:sz w:val="24"/>
                <w:szCs w:val="24"/>
              </w:rPr>
              <w:t xml:space="preserve">has “warming properties” and is drunk with wine to counteract venom from snakebites, hemlock, and other posions.  Eaten with figs, it prevents spasms, nervous tics, and dropsy.  With honey, it reduces “black and melancholic Humors,” promotes menstruation, and serves as cough syrup.  Water in which the herb has been boiled “resolves itchiness, mange, and jaundice.”  Juice from the stem stops swelling and sores, and can be snorted or added to the inner ear with milk to stop aches </w:t>
            </w:r>
            <w:r>
              <w:rPr>
                <w:rFonts w:ascii="Times New Roman" w:hAnsi="Times New Roman" w:cs="Times New Roman"/>
                <w:sz w:val="24"/>
                <w:szCs w:val="24"/>
              </w:rPr>
              <w:lastRenderedPageBreak/>
              <w:t>and to counter bad fluids; mixed with onion juice and left to sit for “forty days, when the Dog Star rules [the sky], it becomes a convenient medicine for inducing vomit.”  On a magical note, he mentions that just sprinkling the herb around the house is enough to keep snakes at bay.</w:t>
            </w:r>
          </w:p>
          <w:p w:rsidR="009A06BC" w:rsidRDefault="009A06BC" w:rsidP="009A06BC">
            <w:pPr>
              <w:rPr>
                <w:rFonts w:ascii="Times New Roman" w:hAnsi="Times New Roman" w:cs="Times New Roman"/>
                <w:sz w:val="24"/>
                <w:szCs w:val="24"/>
              </w:rPr>
            </w:pPr>
          </w:p>
          <w:p w:rsidR="009A06BC" w:rsidRPr="008425FA"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Tragoriganum </w:t>
            </w:r>
            <w:r>
              <w:rPr>
                <w:rFonts w:ascii="Times New Roman" w:hAnsi="Times New Roman" w:cs="Times New Roman"/>
                <w:sz w:val="24"/>
                <w:szCs w:val="24"/>
              </w:rPr>
              <w:t xml:space="preserve">has similar effects to both its </w:t>
            </w:r>
            <w:r>
              <w:rPr>
                <w:rFonts w:ascii="Times New Roman" w:hAnsi="Times New Roman" w:cs="Times New Roman"/>
                <w:i/>
                <w:sz w:val="24"/>
                <w:szCs w:val="24"/>
              </w:rPr>
              <w:t xml:space="preserve">OH </w:t>
            </w:r>
            <w:r>
              <w:rPr>
                <w:rFonts w:ascii="Times New Roman" w:hAnsi="Times New Roman" w:cs="Times New Roman"/>
                <w:sz w:val="24"/>
                <w:szCs w:val="24"/>
              </w:rPr>
              <w:t>cousin and to onions, and therefore makes a decent substitute for either herb.  The other two subspecies are aligned with the same Humors, but are notably much less useful medically, especially in their roots.</w:t>
            </w:r>
          </w:p>
          <w:p w:rsidR="009A06BC" w:rsidRDefault="009A06BC" w:rsidP="009A06BC">
            <w:pPr>
              <w:rPr>
                <w:rFonts w:ascii="Times New Roman" w:hAnsi="Times New Roman" w:cs="Times New Roman"/>
                <w:sz w:val="24"/>
                <w:szCs w:val="24"/>
              </w:rPr>
            </w:pPr>
          </w:p>
          <w:p w:rsidR="009A06BC" w:rsidRPr="003E1107"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Yronwode (140-1): typically used in conjunction with fennel, and for the same main purpose: to keep lawmen, informants, and other meddlers at bay.  There is also a mixture that can influence court cases in the magician’s favor, should the main use fail.  It is best used burnt as incense or sprinkled in doorways, but it is never used alone.</w:t>
            </w:r>
          </w:p>
          <w:p w:rsidR="009A06BC" w:rsidRPr="00C879F5"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Pennyroyal</w:t>
            </w:r>
          </w:p>
          <w:p w:rsidR="009A06BC" w:rsidRDefault="009A06BC" w:rsidP="009A06BC">
            <w:pPr>
              <w:rPr>
                <w:rFonts w:ascii="Times New Roman" w:hAnsi="Times New Roman" w:cs="Times New Roman"/>
                <w:sz w:val="24"/>
                <w:szCs w:val="24"/>
              </w:rPr>
            </w:pPr>
          </w:p>
          <w:p w:rsidR="009A06BC" w:rsidRPr="00AD7877" w:rsidRDefault="009A06BC" w:rsidP="009A06BC">
            <w:pPr>
              <w:rPr>
                <w:rFonts w:ascii="Times New Roman" w:hAnsi="Times New Roman" w:cs="Times New Roman"/>
                <w:sz w:val="24"/>
                <w:szCs w:val="24"/>
              </w:rPr>
            </w:pPr>
            <w:r>
              <w:rPr>
                <w:rFonts w:ascii="Times New Roman" w:hAnsi="Times New Roman" w:cs="Times New Roman"/>
                <w:i/>
                <w:sz w:val="24"/>
                <w:szCs w:val="24"/>
              </w:rPr>
              <w:t>Mentha pulegium</w:t>
            </w:r>
            <w:r>
              <w:rPr>
                <w:rFonts w:ascii="Times New Roman" w:hAnsi="Times New Roman" w:cs="Times New Roman"/>
                <w:sz w:val="24"/>
                <w:szCs w:val="24"/>
              </w:rPr>
              <w:t xml:space="preserve"> (Eur. breed) or </w:t>
            </w:r>
            <w:r>
              <w:rPr>
                <w:rFonts w:ascii="Times New Roman" w:hAnsi="Times New Roman" w:cs="Times New Roman"/>
                <w:i/>
                <w:sz w:val="24"/>
                <w:szCs w:val="24"/>
              </w:rPr>
              <w:t xml:space="preserve">Hedeoma pulegioides </w:t>
            </w:r>
            <w:r>
              <w:rPr>
                <w:rFonts w:ascii="Times New Roman" w:hAnsi="Times New Roman" w:cs="Times New Roman"/>
                <w:sz w:val="24"/>
                <w:szCs w:val="24"/>
              </w:rPr>
              <w:t>(N. Am. breed)</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pulegium</w:t>
            </w:r>
          </w:p>
          <w:p w:rsidR="009A06BC" w:rsidRDefault="009A06BC" w:rsidP="009A06BC">
            <w:pPr>
              <w:rPr>
                <w:rFonts w:ascii="Times New Roman" w:hAnsi="Times New Roman" w:cs="Times New Roman"/>
                <w:sz w:val="24"/>
                <w:szCs w:val="24"/>
              </w:rPr>
            </w:pPr>
          </w:p>
          <w:p w:rsidR="009A06BC" w:rsidRPr="006853F1"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γλήχων</w:t>
            </w:r>
          </w:p>
        </w:tc>
        <w:tc>
          <w:tcPr>
            <w:tcW w:w="3718"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CH</w:t>
            </w:r>
            <w:r>
              <w:rPr>
                <w:rFonts w:ascii="Times New Roman" w:hAnsi="Times New Roman" w:cs="Times New Roman"/>
                <w:sz w:val="24"/>
                <w:szCs w:val="24"/>
              </w:rPr>
              <w:t xml:space="preserve"> 24 uses (19 gyn., 5 med.) including reducing fevers, cleansing blood (also menstrual), and stopping diarrhea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HN </w:t>
            </w:r>
            <w:r>
              <w:rPr>
                <w:rFonts w:ascii="Times New Roman" w:hAnsi="Times New Roman" w:cs="Times New Roman"/>
                <w:sz w:val="24"/>
                <w:szCs w:val="24"/>
              </w:rPr>
              <w:t xml:space="preserve">20.152-7 The smell of the herb alone was said to protect against head ailments (injury, severe temperature changes, and thirst), and was touted such that people would wear sprigs of it behind their ears as a prevention measure against heatstroke or sport garlands of it to cure headaches.  Never taken alone, it was blended with a variety of ingredients: vinegar, as a sort of early “smelling salts” for fainters; wine, as a diuretic and a medicine for kidney stones and other severe internal pains; honey and soda (once boiled), as a relief from intestinal distress.  Pliny hawks the wild variety and other mint family </w:t>
            </w:r>
            <w:r>
              <w:rPr>
                <w:rFonts w:ascii="Times New Roman" w:hAnsi="Times New Roman" w:cs="Times New Roman"/>
                <w:sz w:val="24"/>
                <w:szCs w:val="24"/>
              </w:rPr>
              <w:lastRenderedPageBreak/>
              <w:t>members as the perfect substitutes for any hard-to-find ingredients in other medicinal potions.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3.32 Also a “warming” herb, pennyroyal is taken straight for menstruation and birthing purposes, or with honey to clear phlegm from the lungs and to prevent “nerve retractions.”  With water and vinegar, it cured stomach problems and “black cholera;” just the smell of this mixture “revives the fainted and the near-dead.”  Various preparations (including ash) were made to soothe the gums, and a poultice made from it and polenta “mitigates every strength [i.e. type] of inflammation,” though Dioscorides seems to like it best for gout (other mixtures were better for other skin diseases).</w:t>
            </w:r>
          </w:p>
          <w:p w:rsidR="009A06BC" w:rsidRDefault="009A06BC" w:rsidP="009A06BC">
            <w:pPr>
              <w:rPr>
                <w:rFonts w:ascii="Times New Roman" w:hAnsi="Times New Roman" w:cs="Times New Roman"/>
                <w:sz w:val="24"/>
                <w:szCs w:val="24"/>
              </w:rPr>
            </w:pPr>
          </w:p>
          <w:p w:rsidR="009A06BC" w:rsidRPr="008425FA"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(198): It serves some of the same purposes as mint and in the same way; when carried on the person, though, it prevents weariness, illness, and negative energies, and it makes negotiating with partners (business and romantic) easier.</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It’s good for “deflection, power, protection, [and] ward[ing] negative energy,” but it’s poisonous to the point that it isn’t used anymore (227).  She recommends “Blackthorn,” which is associated with Hecate and has some of the same uses as pennyroyal, plus “darker” ones (like retribution) and the ability to tap into the Underworld (223, 225).</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Yronwode (143-4): “Pennyroyal is a powerful guardian that wards off evil, breaks jinxes, brings tranquility to the home, helps solve marital problems, </w:t>
            </w:r>
            <w:r>
              <w:rPr>
                <w:rFonts w:ascii="Times New Roman" w:hAnsi="Times New Roman" w:cs="Times New Roman"/>
                <w:sz w:val="24"/>
                <w:szCs w:val="24"/>
              </w:rPr>
              <w:lastRenderedPageBreak/>
              <w:t>and draws good luck in family matters.”  The leaves are used in teas, oils, and incenses, or else are crushed and sprinkled.  It is used most commonly with nettle, and has solely sympathetic and contagious restorative purposes.</w:t>
            </w:r>
          </w:p>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 </w:t>
            </w:r>
            <w:r w:rsidRPr="00C879F5">
              <w:rPr>
                <w:rFonts w:ascii="Times New Roman" w:hAnsi="Times New Roman" w:cs="Times New Roman"/>
                <w:sz w:val="24"/>
                <w:szCs w:val="24"/>
              </w:rPr>
              <w:t>Poppy</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Papaver somniferum</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papaver</w:t>
            </w:r>
          </w:p>
          <w:p w:rsidR="009A06BC" w:rsidRDefault="009A06BC" w:rsidP="009A06BC">
            <w:pPr>
              <w:rPr>
                <w:rFonts w:ascii="Times New Roman" w:hAnsi="Times New Roman" w:cs="Times New Roman"/>
                <w:sz w:val="24"/>
                <w:szCs w:val="24"/>
              </w:rPr>
            </w:pPr>
          </w:p>
          <w:p w:rsidR="009A06BC" w:rsidRPr="00BB1B82"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μήκων</w:t>
            </w:r>
          </w:p>
        </w:tc>
        <w:tc>
          <w:tcPr>
            <w:tcW w:w="3718" w:type="dxa"/>
          </w:tcPr>
          <w:p w:rsidR="009A06BC" w:rsidRDefault="009A06BC" w:rsidP="009A06BC">
            <w:pPr>
              <w:rPr>
                <w:rFonts w:ascii="Times New Roman" w:hAnsi="Times New Roman" w:cs="Times New Roman"/>
                <w:sz w:val="24"/>
                <w:szCs w:val="24"/>
              </w:rPr>
            </w:pPr>
          </w:p>
          <w:p w:rsidR="009A06BC" w:rsidRDefault="003F3C99" w:rsidP="009A06BC">
            <w:pPr>
              <w:rPr>
                <w:rFonts w:ascii="Times New Roman" w:hAnsi="Times New Roman" w:cs="Times New Roman"/>
                <w:sz w:val="24"/>
                <w:szCs w:val="24"/>
              </w:rPr>
            </w:pPr>
            <w:r>
              <w:rPr>
                <w:rFonts w:ascii="Times New Roman" w:hAnsi="Times New Roman" w:cs="Times New Roman"/>
                <w:i/>
                <w:sz w:val="24"/>
                <w:szCs w:val="24"/>
              </w:rPr>
              <w:t>HN</w:t>
            </w:r>
            <w:r w:rsidR="009A06BC">
              <w:rPr>
                <w:rFonts w:ascii="Times New Roman" w:hAnsi="Times New Roman" w:cs="Times New Roman"/>
                <w:sz w:val="24"/>
                <w:szCs w:val="24"/>
              </w:rPr>
              <w:t xml:space="preserve"> 20.198-202 Pliny separates them into those with a “white calyx” and those with a “dark stem,” but corroborating sources seem to suggest they were either the same plant or two varieties used interchangeably.  The white version offers up its seeds as a cure for leprosy and its calyx, taken with wine, as a heavy soporific.  The dark version is also soporific, but he warns that tablets made from the seeds, taken with milk, are safer for this purpose than is juice drawn straight from the stem (which can easily produce fatal results).  The tablets were also taken with rose oil as a cure for headaches and earaches, or as an early “opium test” for growers to check the purity </w:t>
            </w:r>
            <w:r w:rsidR="009A06BC">
              <w:rPr>
                <w:rFonts w:ascii="Times New Roman" w:hAnsi="Times New Roman" w:cs="Times New Roman"/>
                <w:sz w:val="24"/>
                <w:szCs w:val="24"/>
              </w:rPr>
              <w:lastRenderedPageBreak/>
              <w:t>of their plants’ juices.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Hünemörder (“Intoxicating substances”) identifies it in Assyrian texts and as “[t]he analgesic that Helen mixes into the heroes’ wine” in </w:t>
            </w:r>
            <w:r>
              <w:rPr>
                <w:rFonts w:ascii="Times New Roman" w:hAnsi="Times New Roman" w:cs="Times New Roman"/>
                <w:i/>
                <w:sz w:val="24"/>
                <w:szCs w:val="24"/>
              </w:rPr>
              <w:t xml:space="preserve">Odyssey </w:t>
            </w:r>
            <w:r>
              <w:rPr>
                <w:rFonts w:ascii="Times New Roman" w:hAnsi="Times New Roman" w:cs="Times New Roman"/>
                <w:sz w:val="24"/>
                <w:szCs w:val="24"/>
              </w:rPr>
              <w:t>4.219-29.  He also dubs “morphine, the main active ingredient […] the sleeping agent of Dioscorides 4.63,” and opium a common Hippocratic tool and an ingredient in Galen’s cure-all “theriac.”</w:t>
            </w:r>
          </w:p>
          <w:p w:rsidR="009A06BC" w:rsidRDefault="009A06BC" w:rsidP="009A06BC">
            <w:pPr>
              <w:rPr>
                <w:rFonts w:ascii="Times New Roman" w:hAnsi="Times New Roman" w:cs="Times New Roman"/>
                <w:sz w:val="24"/>
                <w:szCs w:val="24"/>
              </w:rPr>
            </w:pPr>
          </w:p>
          <w:p w:rsidR="009A06BC" w:rsidRPr="00BB1B82"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(210-11): The seeds and pods (and rarely flowers) are the useful parts.  Eating seeds helps bring sleep, luck, money, fertility, and lust; drinking them in “wine each day for five days while fasting” grants the magician the power “to make yourself invisible at will.”  The pods can be used to seek answers in dreams, and “[a]t one time poppy seed heads were gilded and worn as talismans to draw wealth” (no source material provided).</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Yronwode (157): She suggests the use of the less opioid “celandine” variety, since accidental death is not desirable.  The flowers are put in a pillow amulet to create lucky dreams and divinations that yield answers, while the seeds can </w:t>
            </w:r>
            <w:r>
              <w:rPr>
                <w:rFonts w:ascii="Times New Roman" w:hAnsi="Times New Roman" w:cs="Times New Roman"/>
                <w:sz w:val="24"/>
                <w:szCs w:val="24"/>
              </w:rPr>
              <w:lastRenderedPageBreak/>
              <w:t xml:space="preserve">be worn with black mustard seed to get out of a legal fix or else made into </w:t>
            </w:r>
            <w:proofErr w:type="gramStart"/>
            <w:r>
              <w:rPr>
                <w:rFonts w:ascii="Times New Roman" w:hAnsi="Times New Roman" w:cs="Times New Roman"/>
                <w:sz w:val="24"/>
                <w:szCs w:val="24"/>
              </w:rPr>
              <w:t>an oil</w:t>
            </w:r>
            <w:proofErr w:type="gramEnd"/>
            <w:r>
              <w:rPr>
                <w:rFonts w:ascii="Times New Roman" w:hAnsi="Times New Roman" w:cs="Times New Roman"/>
                <w:sz w:val="24"/>
                <w:szCs w:val="24"/>
              </w:rPr>
              <w:t xml:space="preserve"> for confusing victims through candle magic.</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PGM</w:t>
            </w:r>
            <w:r>
              <w:rPr>
                <w:rFonts w:ascii="Times New Roman" w:hAnsi="Times New Roman" w:cs="Times New Roman"/>
                <w:sz w:val="24"/>
                <w:szCs w:val="24"/>
              </w:rPr>
              <w:t xml:space="preserve"> 4.1716-1870 4 drams of opium are involved in the offering to Eros (see </w:t>
            </w:r>
            <w:r>
              <w:rPr>
                <w:rFonts w:ascii="Times New Roman" w:hAnsi="Times New Roman" w:cs="Times New Roman"/>
                <w:i/>
                <w:sz w:val="24"/>
                <w:szCs w:val="24"/>
              </w:rPr>
              <w:t>Myrrh</w:t>
            </w:r>
            <w:r>
              <w:rPr>
                <w:rFonts w:ascii="Times New Roman" w:hAnsi="Times New Roman" w:cs="Times New Roman"/>
                <w:sz w:val="24"/>
                <w:szCs w:val="24"/>
              </w:rPr>
              <w:t>).</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PDM </w:t>
            </w:r>
            <w:r>
              <w:rPr>
                <w:rFonts w:ascii="Times New Roman" w:hAnsi="Times New Roman" w:cs="Times New Roman"/>
                <w:sz w:val="24"/>
                <w:szCs w:val="24"/>
              </w:rPr>
              <w:t>Col. 24 1 drachm of opium is put in a milk-based sauce to be served over food … the objective seems to be to upset the eater, though due to fragmentation and translation issues, it’s unclear whether this is a treatment for catalepsy or a means of causing it.</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Kyr. </w:t>
            </w:r>
            <w:r>
              <w:rPr>
                <w:rFonts w:ascii="Times New Roman" w:hAnsi="Times New Roman" w:cs="Times New Roman"/>
                <w:sz w:val="24"/>
                <w:szCs w:val="24"/>
              </w:rPr>
              <w:t>16</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involves poppy, myrrh, and various other ingredients in a drink for “rheum,” eye issues, and fleeting idiocy, or else in a bath for washing away pain (probably the aroma made the bather forget about their woes); 24.I© involves poppy, henbane, mandrake, and others in a “Confection of the Plasters.”  In both instances, the opium resin seems to be the useful part.</w:t>
            </w:r>
          </w:p>
          <w:p w:rsidR="009A06BC" w:rsidRDefault="009A06BC" w:rsidP="009A06BC">
            <w:pPr>
              <w:rPr>
                <w:rFonts w:ascii="Times New Roman" w:hAnsi="Times New Roman" w:cs="Times New Roman"/>
                <w:sz w:val="24"/>
                <w:szCs w:val="24"/>
              </w:rPr>
            </w:pPr>
          </w:p>
          <w:p w:rsidR="009A06BC" w:rsidRPr="009B290C"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Pr="00C879F5"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Reeds (green; species not specified)</w:t>
            </w:r>
          </w:p>
        </w:tc>
        <w:tc>
          <w:tcPr>
            <w:tcW w:w="3718" w:type="dxa"/>
          </w:tcPr>
          <w:p w:rsidR="009A06BC" w:rsidRDefault="009A06BC" w:rsidP="009A06BC">
            <w:pPr>
              <w:rPr>
                <w:rFonts w:ascii="Times New Roman" w:hAnsi="Times New Roman" w:cs="Times New Roman"/>
                <w:sz w:val="24"/>
                <w:szCs w:val="24"/>
              </w:rPr>
            </w:pPr>
          </w:p>
          <w:p w:rsidR="009A06BC" w:rsidRPr="00E45383"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De Agri Cultura </w:t>
            </w:r>
            <w:r>
              <w:rPr>
                <w:rFonts w:ascii="Times New Roman" w:hAnsi="Times New Roman" w:cs="Times New Roman"/>
                <w:sz w:val="24"/>
                <w:szCs w:val="24"/>
              </w:rPr>
              <w:t>160: Cato the Elder recalls a magical cure for “[a]ny sort of dislocation” or fracture involving green reeds and an incantation.  After some fanfare, the healing process begins when the reed touches the site of the injury.</w:t>
            </w:r>
          </w:p>
        </w:tc>
        <w:tc>
          <w:tcPr>
            <w:tcW w:w="4082" w:type="dxa"/>
          </w:tcPr>
          <w:p w:rsidR="009A06BC" w:rsidRDefault="009A06BC" w:rsidP="009A06BC">
            <w:pPr>
              <w:rPr>
                <w:rFonts w:ascii="Times New Roman" w:hAnsi="Times New Roman" w:cs="Times New Roman"/>
                <w:sz w:val="24"/>
                <w:szCs w:val="24"/>
              </w:rPr>
            </w:pPr>
          </w:p>
          <w:p w:rsidR="009A06BC" w:rsidRPr="009E1BDB"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HN </w:t>
            </w:r>
            <w:r>
              <w:rPr>
                <w:rFonts w:ascii="Times New Roman" w:hAnsi="Times New Roman" w:cs="Times New Roman"/>
                <w:sz w:val="24"/>
                <w:szCs w:val="24"/>
              </w:rPr>
              <w:t>16.159 “By means of reeds with a feather attached, [Easterners] hasten the approach of death.”  It’s possible Pliny is just referring to arrows or, more probably, blow-darts, but his affirmation that these “people use reeds to make war” would suggest that he doesn’t have firsthand knowledge to back this up, and the plants could have been used in some sort of summoning spell (a “war dance,” more or less), for all he knows.  No explanation is offered.</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(240): Appears once as an herb in a transformation spell.  No explanation is given; one imagines it is probably laid on the altar or used as a wand, and not ground up for potions.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i/>
                <w:sz w:val="24"/>
                <w:szCs w:val="24"/>
              </w:rPr>
            </w:pPr>
          </w:p>
          <w:p w:rsidR="009A06BC" w:rsidRPr="00CD15A8" w:rsidRDefault="009A06BC" w:rsidP="009A06BC">
            <w:pPr>
              <w:rPr>
                <w:rFonts w:ascii="Times New Roman" w:hAnsi="Times New Roman" w:cs="Times New Roman"/>
                <w:sz w:val="24"/>
                <w:szCs w:val="24"/>
              </w:rPr>
            </w:pPr>
            <w:r>
              <w:rPr>
                <w:rFonts w:ascii="Times New Roman" w:hAnsi="Times New Roman" w:cs="Times New Roman"/>
                <w:i/>
                <w:sz w:val="24"/>
                <w:szCs w:val="24"/>
              </w:rPr>
              <w:t>PGM</w:t>
            </w:r>
            <w:r>
              <w:rPr>
                <w:rFonts w:ascii="Times New Roman" w:hAnsi="Times New Roman" w:cs="Times New Roman"/>
                <w:sz w:val="24"/>
                <w:szCs w:val="24"/>
              </w:rPr>
              <w:t xml:space="preserve"> 1.34 ingredient in a “love salve” (liquid condom of sorts); </w:t>
            </w:r>
            <w:r>
              <w:rPr>
                <w:rFonts w:ascii="Times New Roman" w:hAnsi="Times New Roman" w:cs="Times New Roman"/>
                <w:i/>
                <w:sz w:val="24"/>
                <w:szCs w:val="24"/>
              </w:rPr>
              <w:t xml:space="preserve">PGM </w:t>
            </w:r>
            <w:r>
              <w:rPr>
                <w:rFonts w:ascii="Times New Roman" w:hAnsi="Times New Roman" w:cs="Times New Roman"/>
                <w:sz w:val="24"/>
                <w:szCs w:val="24"/>
              </w:rPr>
              <w:t xml:space="preserve">2.8 tool used in a “Spell for Revelation” to summon a demon that can answer queries; </w:t>
            </w:r>
            <w:r w:rsidRPr="007D529F">
              <w:rPr>
                <w:rFonts w:ascii="Times New Roman" w:hAnsi="Times New Roman" w:cs="Times New Roman"/>
                <w:i/>
                <w:sz w:val="24"/>
                <w:szCs w:val="24"/>
              </w:rPr>
              <w:t>PDM</w:t>
            </w:r>
            <w:r>
              <w:rPr>
                <w:rFonts w:ascii="Times New Roman" w:hAnsi="Times New Roman" w:cs="Times New Roman"/>
                <w:i/>
                <w:sz w:val="24"/>
                <w:szCs w:val="24"/>
              </w:rPr>
              <w:t xml:space="preserve"> </w:t>
            </w:r>
            <w:r>
              <w:rPr>
                <w:rFonts w:ascii="Times New Roman" w:hAnsi="Times New Roman" w:cs="Times New Roman"/>
                <w:sz w:val="24"/>
                <w:szCs w:val="24"/>
              </w:rPr>
              <w:t xml:space="preserve">Col. 5 matting used in “lamp divination” (same purpose as 2.8); </w:t>
            </w:r>
            <w:r w:rsidRPr="007D529F">
              <w:rPr>
                <w:rFonts w:ascii="Times New Roman" w:hAnsi="Times New Roman" w:cs="Times New Roman"/>
                <w:i/>
                <w:sz w:val="24"/>
                <w:szCs w:val="24"/>
              </w:rPr>
              <w:t>PDM</w:t>
            </w:r>
            <w:r>
              <w:rPr>
                <w:rFonts w:ascii="Times New Roman" w:hAnsi="Times New Roman" w:cs="Times New Roman"/>
                <w:i/>
                <w:sz w:val="24"/>
                <w:szCs w:val="24"/>
              </w:rPr>
              <w:t xml:space="preserve"> </w:t>
            </w:r>
            <w:r>
              <w:rPr>
                <w:rFonts w:ascii="Times New Roman" w:hAnsi="Times New Roman" w:cs="Times New Roman"/>
                <w:sz w:val="24"/>
                <w:szCs w:val="24"/>
              </w:rPr>
              <w:t xml:space="preserve">Col. 12 one of many pseudonyms taken on by a male magician while invoking divine help for securing a woman’s love; </w:t>
            </w:r>
            <w:r w:rsidRPr="007D529F">
              <w:rPr>
                <w:rFonts w:ascii="Times New Roman" w:hAnsi="Times New Roman" w:cs="Times New Roman"/>
                <w:i/>
                <w:sz w:val="24"/>
                <w:szCs w:val="24"/>
              </w:rPr>
              <w:t>PDM</w:t>
            </w:r>
            <w:r>
              <w:rPr>
                <w:rFonts w:ascii="Times New Roman" w:hAnsi="Times New Roman" w:cs="Times New Roman"/>
                <w:i/>
                <w:sz w:val="24"/>
                <w:szCs w:val="24"/>
              </w:rPr>
              <w:t xml:space="preserve"> </w:t>
            </w:r>
            <w:r>
              <w:rPr>
                <w:rFonts w:ascii="Times New Roman" w:hAnsi="Times New Roman" w:cs="Times New Roman"/>
                <w:sz w:val="24"/>
                <w:szCs w:val="24"/>
              </w:rPr>
              <w:t>Col. 21 mention in a hymn to Osiris (again seeking divine guidance for questions).  Green and papyrus reeds are specifically named.</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354D1F"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We know from Ovid </w:t>
            </w:r>
            <w:r>
              <w:rPr>
                <w:rFonts w:ascii="Times New Roman" w:hAnsi="Times New Roman" w:cs="Times New Roman"/>
                <w:i/>
                <w:sz w:val="24"/>
                <w:szCs w:val="24"/>
              </w:rPr>
              <w:t>Met.</w:t>
            </w:r>
            <w:r>
              <w:rPr>
                <w:rFonts w:ascii="Times New Roman" w:hAnsi="Times New Roman" w:cs="Times New Roman"/>
                <w:sz w:val="24"/>
                <w:szCs w:val="24"/>
              </w:rPr>
              <w:t xml:space="preserve"> 1.700-11 that marsh reeds were important to Faunus, and from </w:t>
            </w:r>
            <w:r>
              <w:rPr>
                <w:rFonts w:ascii="Times New Roman" w:hAnsi="Times New Roman" w:cs="Times New Roman"/>
                <w:i/>
                <w:sz w:val="24"/>
                <w:szCs w:val="24"/>
              </w:rPr>
              <w:t xml:space="preserve">HP </w:t>
            </w:r>
            <w:r>
              <w:rPr>
                <w:rFonts w:ascii="Times New Roman" w:hAnsi="Times New Roman" w:cs="Times New Roman"/>
                <w:sz w:val="24"/>
                <w:szCs w:val="24"/>
              </w:rPr>
              <w:t>4.11.1-13 that a certain hollow variety was used for making musical instruments, which surely would have been featured at festivals and other public events.  It stands to reason, then, that reeds would have also appeared at rituals celebrating Faunus and perhaps other divinities.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Kyr. </w:t>
            </w:r>
            <w:r>
              <w:rPr>
                <w:rFonts w:ascii="Times New Roman" w:hAnsi="Times New Roman" w:cs="Times New Roman"/>
                <w:sz w:val="24"/>
                <w:szCs w:val="24"/>
              </w:rPr>
              <w:t>23</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says a green variety is found with (or on … the translator seems unsure of this) an engraved talisman and fleawort roots in an amulet for hastening teething in toddlers.</w:t>
            </w:r>
          </w:p>
          <w:p w:rsidR="009A06BC" w:rsidRDefault="009A06BC" w:rsidP="009A06BC">
            <w:pPr>
              <w:rPr>
                <w:rFonts w:ascii="Times New Roman" w:hAnsi="Times New Roman" w:cs="Times New Roman"/>
                <w:sz w:val="24"/>
                <w:szCs w:val="24"/>
              </w:rPr>
            </w:pPr>
          </w:p>
          <w:p w:rsidR="009A06BC" w:rsidRPr="00EE3A91"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Squill</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lastRenderedPageBreak/>
              <w:t>Squilla</w:t>
            </w:r>
            <w:r>
              <w:rPr>
                <w:rFonts w:ascii="Times New Roman" w:hAnsi="Times New Roman" w:cs="Times New Roman"/>
                <w:sz w:val="24"/>
                <w:szCs w:val="24"/>
              </w:rPr>
              <w:t xml:space="preserve"> or </w:t>
            </w:r>
            <w:r>
              <w:rPr>
                <w:rFonts w:ascii="Times New Roman" w:hAnsi="Times New Roman" w:cs="Times New Roman"/>
                <w:i/>
                <w:sz w:val="24"/>
                <w:szCs w:val="24"/>
              </w:rPr>
              <w:t>Urginea maritima</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scilla</w:t>
            </w:r>
          </w:p>
          <w:p w:rsidR="009A06BC" w:rsidRDefault="009A06BC" w:rsidP="009A06BC">
            <w:pPr>
              <w:rPr>
                <w:rFonts w:ascii="Times New Roman" w:hAnsi="Times New Roman" w:cs="Times New Roman"/>
                <w:sz w:val="24"/>
                <w:szCs w:val="24"/>
              </w:rPr>
            </w:pPr>
          </w:p>
          <w:p w:rsidR="009A06BC" w:rsidRPr="003E7B17"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σκίλλη</w:t>
            </w:r>
          </w:p>
          <w:p w:rsidR="009A06BC" w:rsidRDefault="009A06BC" w:rsidP="009A06BC">
            <w:pPr>
              <w:rPr>
                <w:rFonts w:ascii="Times New Roman" w:hAnsi="Times New Roman" w:cs="Times New Roman"/>
                <w:sz w:val="24"/>
                <w:szCs w:val="24"/>
              </w:rPr>
            </w:pPr>
          </w:p>
          <w:p w:rsidR="009A06BC" w:rsidRPr="000C5223" w:rsidRDefault="009A06BC" w:rsidP="009A06BC">
            <w:pPr>
              <w:rPr>
                <w:rFonts w:ascii="Times New Roman" w:hAnsi="Times New Roman" w:cs="Times New Roman"/>
                <w:sz w:val="24"/>
                <w:szCs w:val="24"/>
              </w:rPr>
            </w:pPr>
          </w:p>
        </w:tc>
        <w:tc>
          <w:tcPr>
            <w:tcW w:w="3718" w:type="dxa"/>
          </w:tcPr>
          <w:p w:rsidR="009A06BC" w:rsidRDefault="009A06BC" w:rsidP="009A06BC">
            <w:pPr>
              <w:rPr>
                <w:rFonts w:ascii="Times New Roman" w:hAnsi="Times New Roman" w:cs="Times New Roman"/>
                <w:sz w:val="24"/>
                <w:szCs w:val="24"/>
              </w:rPr>
            </w:pPr>
          </w:p>
          <w:p w:rsidR="009A06BC" w:rsidRPr="003E7B17"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 xml:space="preserve">2.171 The ground bulb, taken with honey, was taken “to stimulate </w:t>
            </w:r>
            <w:r>
              <w:rPr>
                <w:rFonts w:ascii="Times New Roman" w:hAnsi="Times New Roman" w:cs="Times New Roman"/>
                <w:sz w:val="24"/>
                <w:szCs w:val="24"/>
              </w:rPr>
              <w:lastRenderedPageBreak/>
              <w:t>digestion in cases of dyspepsia or dropsy, and for asthma, jaundice and haematoptysis” (Hünemörder “Squill”).  Mixed with vinegar or wine, it addressed eye and stomach problems.</w:t>
            </w: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Hünemörder (“Squill”) claims that </w:t>
            </w:r>
            <w:r>
              <w:rPr>
                <w:rFonts w:ascii="Times New Roman" w:hAnsi="Times New Roman" w:cs="Times New Roman"/>
                <w:i/>
                <w:sz w:val="24"/>
                <w:szCs w:val="24"/>
              </w:rPr>
              <w:t xml:space="preserve">DMM </w:t>
            </w:r>
            <w:r>
              <w:rPr>
                <w:rFonts w:ascii="Times New Roman" w:hAnsi="Times New Roman" w:cs="Times New Roman"/>
                <w:sz w:val="24"/>
                <w:szCs w:val="24"/>
              </w:rPr>
              <w:t xml:space="preserve">2.171, </w:t>
            </w:r>
            <w:r>
              <w:rPr>
                <w:rFonts w:ascii="Times New Roman" w:hAnsi="Times New Roman" w:cs="Times New Roman"/>
                <w:i/>
                <w:sz w:val="24"/>
                <w:szCs w:val="24"/>
              </w:rPr>
              <w:t>HP</w:t>
            </w:r>
            <w:r>
              <w:rPr>
                <w:rFonts w:ascii="Times New Roman" w:hAnsi="Times New Roman" w:cs="Times New Roman"/>
                <w:sz w:val="24"/>
                <w:szCs w:val="24"/>
              </w:rPr>
              <w:t xml:space="preserve"> 7.13.4, and </w:t>
            </w:r>
            <w:r>
              <w:rPr>
                <w:rFonts w:ascii="Times New Roman" w:hAnsi="Times New Roman" w:cs="Times New Roman"/>
                <w:i/>
                <w:sz w:val="24"/>
                <w:szCs w:val="24"/>
              </w:rPr>
              <w:t xml:space="preserve">HN </w:t>
            </w:r>
            <w:r>
              <w:rPr>
                <w:rFonts w:ascii="Times New Roman" w:hAnsi="Times New Roman" w:cs="Times New Roman"/>
                <w:sz w:val="24"/>
                <w:szCs w:val="24"/>
              </w:rPr>
              <w:t xml:space="preserve">20.101 </w:t>
            </w:r>
            <w:r>
              <w:rPr>
                <w:rFonts w:ascii="Times New Roman" w:hAnsi="Times New Roman" w:cs="Times New Roman"/>
                <w:sz w:val="24"/>
                <w:szCs w:val="24"/>
              </w:rPr>
              <w:lastRenderedPageBreak/>
              <w:t xml:space="preserve">all reported on the folk usage of the herb “as a universal preventive against poisons” when hung over doorways … other naturalists reported similarly, with Pythagoras being chief among them (cf. </w:t>
            </w:r>
            <w:r>
              <w:rPr>
                <w:rFonts w:ascii="Times New Roman" w:hAnsi="Times New Roman" w:cs="Times New Roman"/>
                <w:i/>
                <w:sz w:val="24"/>
                <w:szCs w:val="24"/>
              </w:rPr>
              <w:t xml:space="preserve">HN </w:t>
            </w:r>
            <w:r>
              <w:rPr>
                <w:rFonts w:ascii="Times New Roman" w:hAnsi="Times New Roman" w:cs="Times New Roman"/>
                <w:sz w:val="24"/>
                <w:szCs w:val="24"/>
              </w:rPr>
              <w:t>19.94).</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(235): The folk usage seems to have changed somewhat over the centuries, with his contemporaries hanging the herb over windows as protection for one’s home.  It can also be used to attract wealth and to break hexes cast by other magicians.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Yronwode (192): She confirms the money-attracting spell (contagious, as it’s placed in a jar of coins), but adds that powder from the root can be used in various ways to attract customers to one’s business.</w:t>
            </w:r>
          </w:p>
          <w:p w:rsidR="009A06BC" w:rsidRDefault="009A06BC" w:rsidP="009A06BC">
            <w:pPr>
              <w:rPr>
                <w:rFonts w:ascii="Times New Roman" w:hAnsi="Times New Roman" w:cs="Times New Roman"/>
                <w:sz w:val="24"/>
                <w:szCs w:val="24"/>
              </w:rPr>
            </w:pPr>
          </w:p>
          <w:p w:rsidR="009A06BC" w:rsidRPr="003E7B17"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Trefoil</w:t>
            </w:r>
            <w:r>
              <w:rPr>
                <w:rFonts w:ascii="Times New Roman" w:hAnsi="Times New Roman" w:cs="Times New Roman"/>
                <w:sz w:val="24"/>
                <w:szCs w:val="24"/>
              </w:rPr>
              <w:t xml:space="preserve"> (aka Clover)</w:t>
            </w:r>
          </w:p>
          <w:p w:rsidR="009A06BC" w:rsidRDefault="009A06BC" w:rsidP="009A06BC">
            <w:pPr>
              <w:rPr>
                <w:rFonts w:ascii="Times New Roman" w:hAnsi="Times New Roman" w:cs="Times New Roman"/>
                <w:sz w:val="24"/>
                <w:szCs w:val="24"/>
              </w:rPr>
            </w:pPr>
          </w:p>
          <w:p w:rsidR="009A06BC" w:rsidRPr="000C5223"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Trifolium pratense </w:t>
            </w:r>
            <w:r>
              <w:rPr>
                <w:rFonts w:ascii="Times New Roman" w:hAnsi="Times New Roman" w:cs="Times New Roman"/>
                <w:sz w:val="24"/>
                <w:szCs w:val="24"/>
              </w:rPr>
              <w:t xml:space="preserve">(red flower) or </w:t>
            </w:r>
            <w:r>
              <w:rPr>
                <w:rFonts w:ascii="Times New Roman" w:hAnsi="Times New Roman" w:cs="Times New Roman"/>
                <w:i/>
                <w:sz w:val="24"/>
                <w:szCs w:val="24"/>
              </w:rPr>
              <w:t xml:space="preserve">repens </w:t>
            </w:r>
            <w:r>
              <w:rPr>
                <w:rFonts w:ascii="Times New Roman" w:hAnsi="Times New Roman" w:cs="Times New Roman"/>
                <w:sz w:val="24"/>
                <w:szCs w:val="24"/>
              </w:rPr>
              <w:t>(white flower)</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Lat. lotos</w:t>
            </w:r>
          </w:p>
          <w:p w:rsidR="009A06BC" w:rsidRDefault="009A06BC" w:rsidP="009A06BC">
            <w:pPr>
              <w:rPr>
                <w:rFonts w:ascii="Times New Roman" w:hAnsi="Times New Roman" w:cs="Times New Roman"/>
                <w:sz w:val="24"/>
                <w:szCs w:val="24"/>
              </w:rPr>
            </w:pPr>
          </w:p>
          <w:p w:rsidR="009A06BC" w:rsidRPr="00533FA2"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r>
              <w:rPr>
                <w:rFonts w:ascii="Times New Roman" w:hAnsi="Times New Roman" w:cs="Times New Roman"/>
                <w:sz w:val="24"/>
                <w:szCs w:val="24"/>
                <w:lang w:val="el-GR"/>
              </w:rPr>
              <w:t>λωτός</w:t>
            </w:r>
          </w:p>
        </w:tc>
        <w:tc>
          <w:tcPr>
            <w:tcW w:w="3718"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CH</w:t>
            </w:r>
            <w:r>
              <w:rPr>
                <w:rFonts w:ascii="Times New Roman" w:hAnsi="Times New Roman" w:cs="Times New Roman"/>
                <w:sz w:val="24"/>
                <w:szCs w:val="24"/>
              </w:rPr>
              <w:t xml:space="preserve"> 25 uses (19 gyn., 6 med.) including wound treatment (Touwaide, “Medicinal Plants”)</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HN</w:t>
            </w:r>
            <w:r>
              <w:rPr>
                <w:rFonts w:ascii="Times New Roman" w:hAnsi="Times New Roman" w:cs="Times New Roman"/>
                <w:sz w:val="24"/>
                <w:szCs w:val="24"/>
              </w:rPr>
              <w:t xml:space="preserve"> 20.264 Pliny mentions this herb as part of King Antiochus’ famed antivenin recipe.  That may be the basis for some of its magical uses (esp. Cunningham’s), but it must not be confused with the foodstuffs of the “lotus-eaters,” despite the similarity of that modern word to this herb’s ancient name.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4.112-13 Juice from the domestic variety (</w:t>
            </w:r>
            <w:r>
              <w:rPr>
                <w:rFonts w:ascii="Times New Roman" w:hAnsi="Times New Roman" w:cs="Times New Roman"/>
                <w:i/>
                <w:sz w:val="24"/>
                <w:szCs w:val="24"/>
              </w:rPr>
              <w:t>Lotus urbana</w:t>
            </w:r>
            <w:r>
              <w:rPr>
                <w:rFonts w:ascii="Times New Roman" w:hAnsi="Times New Roman" w:cs="Times New Roman"/>
                <w:sz w:val="24"/>
                <w:szCs w:val="24"/>
              </w:rPr>
              <w:t xml:space="preserve">), which is apparently only “born in the most secret of orchards,” is </w:t>
            </w:r>
            <w:r>
              <w:rPr>
                <w:rFonts w:ascii="Times New Roman" w:hAnsi="Times New Roman" w:cs="Times New Roman"/>
                <w:sz w:val="24"/>
                <w:szCs w:val="24"/>
              </w:rPr>
              <w:lastRenderedPageBreak/>
              <w:t>mixed with honey to resolve blurred vision.  Its wild cousin (</w:t>
            </w:r>
            <w:r>
              <w:rPr>
                <w:rFonts w:ascii="Times New Roman" w:hAnsi="Times New Roman" w:cs="Times New Roman"/>
                <w:i/>
                <w:sz w:val="24"/>
                <w:szCs w:val="24"/>
              </w:rPr>
              <w:t>Lotus sylvestris</w:t>
            </w:r>
            <w:r>
              <w:rPr>
                <w:rFonts w:ascii="Times New Roman" w:hAnsi="Times New Roman" w:cs="Times New Roman"/>
                <w:sz w:val="24"/>
                <w:szCs w:val="24"/>
              </w:rPr>
              <w:t>) is warmer and more astringent, and is mixed with honey to resolve skin blotches and sunburns.  Crushed and taken with wine, it clears up bladder pain.</w:t>
            </w:r>
          </w:p>
          <w:p w:rsidR="009A06BC" w:rsidRPr="006E49E5"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Cunningham (86-7): “Trefoil, or the three-leaved clover, is worn as a protective amulet.”  All species of clover can apparently be worn at various points of the body for semi-contagious reasons (in the shoe for scaring off evil and snakes wherever you walk, over the heart to get over failed love, etc.).</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Claims it’s attributed to “Fairies, protection, [and] luck” (225), but then only uses it in an “abundance” spell (239).  Cinquefoil seems to have vastly more uses in modern spellwork.</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Yronwode (72-3): “Red clover flowers bring good luck in love and marriage </w:t>
            </w:r>
            <w:r>
              <w:rPr>
                <w:rFonts w:ascii="Times New Roman" w:hAnsi="Times New Roman" w:cs="Times New Roman"/>
                <w:sz w:val="24"/>
                <w:szCs w:val="24"/>
              </w:rPr>
              <w:lastRenderedPageBreak/>
              <w:t>matters,” while “White clover flowers protect from evil and bring an end to crossed conditions” (i.e. when the magician has been jinxed).  She notes that the herb is usually found in dispensaries mixed with globe amaranth of an appropriate color, but that flower seems to have no magical uses … it seems logical to assume that it’s either a biological preservative for the clovers or just for show, and not as a precaution for helping the clovers keep their innate magic power.</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C7675F"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PGM </w:t>
            </w:r>
            <w:r>
              <w:rPr>
                <w:rFonts w:ascii="Times New Roman" w:hAnsi="Times New Roman" w:cs="Times New Roman"/>
                <w:sz w:val="24"/>
                <w:szCs w:val="24"/>
              </w:rPr>
              <w:t>12.401-44 The sole mention of clover is under the codename “Semen of Ares,” which never appears in extant spellwork.</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pStyle w:val="Heading2"/>
              <w:outlineLvl w:val="1"/>
              <w:rPr>
                <w:rFonts w:ascii="Times New Roman" w:eastAsia="Times New Roman" w:hAnsi="Times New Roman" w:cs="Times New Roman"/>
                <w:b w:val="0"/>
                <w:color w:val="auto"/>
                <w:sz w:val="24"/>
                <w:szCs w:val="24"/>
              </w:rPr>
            </w:pPr>
            <w:proofErr w:type="gramStart"/>
            <w:r w:rsidRPr="002C5A07">
              <w:rPr>
                <w:rFonts w:ascii="Times New Roman" w:hAnsi="Times New Roman" w:cs="Times New Roman"/>
                <w:b w:val="0"/>
                <w:i/>
                <w:color w:val="auto"/>
                <w:sz w:val="24"/>
                <w:szCs w:val="24"/>
              </w:rPr>
              <w:t>Kyr.</w:t>
            </w:r>
            <w:proofErr w:type="gramEnd"/>
            <w:r w:rsidRPr="002C5A07">
              <w:rPr>
                <w:rFonts w:ascii="Times New Roman" w:hAnsi="Times New Roman" w:cs="Times New Roman"/>
                <w:b w:val="0"/>
                <w:i/>
                <w:color w:val="auto"/>
                <w:sz w:val="24"/>
                <w:szCs w:val="24"/>
              </w:rPr>
              <w:t xml:space="preserve"> </w:t>
            </w:r>
            <w:r w:rsidRPr="002C5A07">
              <w:rPr>
                <w:rFonts w:ascii="Times New Roman" w:hAnsi="Times New Roman" w:cs="Times New Roman"/>
                <w:b w:val="0"/>
                <w:color w:val="auto"/>
                <w:sz w:val="24"/>
                <w:szCs w:val="24"/>
              </w:rPr>
              <w:t>19.</w:t>
            </w:r>
            <w:r w:rsidRPr="002C5A07">
              <w:rPr>
                <w:rFonts w:ascii="Times New Roman" w:eastAsia="Times New Roman" w:hAnsi="Times New Roman" w:cs="Times New Roman"/>
                <w:b w:val="0"/>
                <w:color w:val="auto"/>
                <w:sz w:val="24"/>
                <w:szCs w:val="24"/>
              </w:rPr>
              <w:t>Î¤</w:t>
            </w:r>
            <w:r>
              <w:rPr>
                <w:rFonts w:ascii="Times New Roman" w:eastAsia="Times New Roman" w:hAnsi="Times New Roman" w:cs="Times New Roman"/>
                <w:b w:val="0"/>
                <w:color w:val="auto"/>
                <w:sz w:val="24"/>
                <w:szCs w:val="24"/>
              </w:rPr>
              <w:t xml:space="preserve"> uses the roots two ways: with an engraved talisman in a charm for victory, peace, stability, gain, sleep, and dream visions, or in a drink with sweat and a “peacock gizzard” (magical herb name?) for attracting a virgin lover.</w:t>
            </w:r>
          </w:p>
          <w:p w:rsidR="009A06BC" w:rsidRPr="003543BB" w:rsidRDefault="009A06BC" w:rsidP="009A06BC"/>
          <w:p w:rsidR="009A06BC" w:rsidRPr="002C5A07" w:rsidRDefault="009A06BC" w:rsidP="009A06BC">
            <w:pPr>
              <w:rPr>
                <w:rFonts w:ascii="Times New Roman" w:hAnsi="Times New Roman" w:cs="Times New Roman"/>
                <w:sz w:val="24"/>
                <w:szCs w:val="24"/>
              </w:rPr>
            </w:pPr>
          </w:p>
        </w:tc>
      </w:tr>
      <w:tr w:rsidR="009A06BC" w:rsidRPr="00C879F5" w:rsidTr="00961E42">
        <w:tc>
          <w:tcPr>
            <w:tcW w:w="1776"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sidRPr="00C879F5">
              <w:rPr>
                <w:rFonts w:ascii="Times New Roman" w:hAnsi="Times New Roman" w:cs="Times New Roman"/>
                <w:sz w:val="24"/>
                <w:szCs w:val="24"/>
              </w:rPr>
              <w:t>Wormwood</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Artemisia absinthium</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Lat. </w:t>
            </w:r>
          </w:p>
          <w:p w:rsidR="009A06BC" w:rsidRDefault="009A06BC" w:rsidP="009A06BC">
            <w:pPr>
              <w:rPr>
                <w:rFonts w:ascii="Times New Roman" w:hAnsi="Times New Roman" w:cs="Times New Roman"/>
                <w:sz w:val="24"/>
                <w:szCs w:val="24"/>
              </w:rPr>
            </w:pPr>
          </w:p>
          <w:p w:rsidR="009A06BC" w:rsidRPr="00AD7877"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Gk. </w:t>
            </w:r>
          </w:p>
        </w:tc>
        <w:tc>
          <w:tcPr>
            <w:tcW w:w="3718"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HN</w:t>
            </w:r>
            <w:r>
              <w:rPr>
                <w:rFonts w:ascii="Times New Roman" w:hAnsi="Times New Roman" w:cs="Times New Roman"/>
                <w:sz w:val="24"/>
                <w:szCs w:val="24"/>
              </w:rPr>
              <w:t xml:space="preserve"> 27.45-52 Worn as a charm, it was said to offset seasickness and swelling in the groin, and to have a soporific aroma; mixed with “sil, nard from Gaul and a little vinegar,” it was a powerful diuretic and digestive tract lubricant for purging (gas, stool, and even worms) and for settling stomach acid.  Apparently, it was so revered a medicine that elixirs made from it were given as festival prizes, because “hea</w:t>
            </w:r>
            <w:r w:rsidR="00CF6091">
              <w:rPr>
                <w:rFonts w:ascii="Times New Roman" w:hAnsi="Times New Roman" w:cs="Times New Roman"/>
                <w:sz w:val="24"/>
                <w:szCs w:val="24"/>
              </w:rPr>
              <w:t>lth is a splendid prize to give,</w:t>
            </w:r>
            <w:r>
              <w:rPr>
                <w:rFonts w:ascii="Times New Roman" w:hAnsi="Times New Roman" w:cs="Times New Roman"/>
                <w:sz w:val="24"/>
                <w:szCs w:val="24"/>
              </w:rPr>
              <w:t>”</w:t>
            </w:r>
            <w:r w:rsidR="00CF6091">
              <w:rPr>
                <w:rFonts w:ascii="Times New Roman" w:hAnsi="Times New Roman" w:cs="Times New Roman"/>
                <w:sz w:val="24"/>
                <w:szCs w:val="24"/>
              </w:rPr>
              <w:t xml:space="preserve"> a claim which may stem from Pindar’s account (</w:t>
            </w:r>
            <w:r w:rsidR="00CF6091">
              <w:rPr>
                <w:rFonts w:ascii="Times New Roman" w:hAnsi="Times New Roman" w:cs="Times New Roman"/>
                <w:i/>
                <w:sz w:val="24"/>
                <w:szCs w:val="24"/>
              </w:rPr>
              <w:t xml:space="preserve">Lyr. Olymp. </w:t>
            </w:r>
            <w:r w:rsidR="00CF6091">
              <w:rPr>
                <w:rFonts w:ascii="Times New Roman" w:hAnsi="Times New Roman" w:cs="Times New Roman"/>
                <w:sz w:val="24"/>
                <w:szCs w:val="24"/>
              </w:rPr>
              <w:lastRenderedPageBreak/>
              <w:t>9.97-98) of the wrestler Epharmostus of Opus winning a “warming remedy for chill winds” at the Pellana games.</w:t>
            </w:r>
            <w:r>
              <w:rPr>
                <w:rFonts w:ascii="Times New Roman" w:hAnsi="Times New Roman" w:cs="Times New Roman"/>
                <w:sz w:val="24"/>
                <w:szCs w:val="24"/>
              </w:rPr>
              <w:t xml:space="preserve">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oil had household uses, too, ranging from pest repellant to hair dye.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DMM </w:t>
            </w:r>
            <w:r>
              <w:rPr>
                <w:rFonts w:ascii="Times New Roman" w:hAnsi="Times New Roman" w:cs="Times New Roman"/>
                <w:sz w:val="24"/>
                <w:szCs w:val="24"/>
              </w:rPr>
              <w:t xml:space="preserve">3.24-26 Dioscorides divides them into three breeds: </w:t>
            </w:r>
            <w:r>
              <w:rPr>
                <w:rFonts w:ascii="Times New Roman" w:hAnsi="Times New Roman" w:cs="Times New Roman"/>
                <w:i/>
                <w:sz w:val="24"/>
                <w:szCs w:val="24"/>
              </w:rPr>
              <w:t xml:space="preserve">vulgare, seriphium, </w:t>
            </w:r>
            <w:r>
              <w:rPr>
                <w:rFonts w:ascii="Times New Roman" w:hAnsi="Times New Roman" w:cs="Times New Roman"/>
                <w:sz w:val="24"/>
                <w:szCs w:val="24"/>
              </w:rPr>
              <w:t xml:space="preserve">and </w:t>
            </w:r>
            <w:r>
              <w:rPr>
                <w:rFonts w:ascii="Times New Roman" w:hAnsi="Times New Roman" w:cs="Times New Roman"/>
                <w:i/>
                <w:sz w:val="24"/>
                <w:szCs w:val="24"/>
              </w:rPr>
              <w:t>santonicum</w:t>
            </w:r>
            <w:r>
              <w:rPr>
                <w:rFonts w:ascii="Times New Roman" w:hAnsi="Times New Roman" w:cs="Times New Roman"/>
                <w:sz w:val="24"/>
                <w:szCs w:val="24"/>
              </w:rPr>
              <w:t>.</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Absinthium vulgare </w:t>
            </w:r>
            <w:r>
              <w:rPr>
                <w:rFonts w:ascii="Times New Roman" w:hAnsi="Times New Roman" w:cs="Times New Roman"/>
                <w:sz w:val="24"/>
                <w:szCs w:val="24"/>
              </w:rPr>
              <w:t>is “warm and styptic,” best serving as a digestion aid and as a remedy for “choleric Humors” in the stomach and bowels (it produces gas).  Taken as a drink with several similar herbs in a daily regimen, “it reinstates the lost appetite, and clears up jaundice.”  With honey, it’s a menstruation aid, or if soda is added to the mix, it becomes an ointment for quinsy; with vinegar or wine, it counteracts ingested poisons, and with water, it’s a lotion for “epinyctidas.”  Other uses relieve eye, liver, stomach, dropsy, tooth, ear, mosquito-borne, swelling, and fever issues.</w:t>
            </w:r>
          </w:p>
          <w:p w:rsidR="009A06BC" w:rsidRDefault="009A06BC" w:rsidP="009A06BC">
            <w:pPr>
              <w:rPr>
                <w:rFonts w:ascii="Times New Roman" w:hAnsi="Times New Roman" w:cs="Times New Roman"/>
                <w:sz w:val="24"/>
                <w:szCs w:val="24"/>
              </w:rPr>
            </w:pPr>
          </w:p>
          <w:p w:rsidR="009A06BC" w:rsidRPr="001673CB" w:rsidRDefault="009A06BC" w:rsidP="009A06BC">
            <w:pPr>
              <w:rPr>
                <w:rFonts w:ascii="Times New Roman" w:hAnsi="Times New Roman" w:cs="Times New Roman"/>
                <w:sz w:val="24"/>
                <w:szCs w:val="24"/>
              </w:rPr>
            </w:pPr>
            <w:r>
              <w:rPr>
                <w:rFonts w:ascii="Times New Roman" w:hAnsi="Times New Roman" w:cs="Times New Roman"/>
                <w:i/>
                <w:sz w:val="24"/>
                <w:szCs w:val="24"/>
              </w:rPr>
              <w:t xml:space="preserve">Absinthium seriphicum </w:t>
            </w:r>
            <w:r>
              <w:rPr>
                <w:rFonts w:ascii="Times New Roman" w:hAnsi="Times New Roman" w:cs="Times New Roman"/>
                <w:sz w:val="24"/>
                <w:szCs w:val="24"/>
              </w:rPr>
              <w:t xml:space="preserve">was used by Egyptian priests instead of olive; Dioscorides says the smell and taste are unpleasant, and it’s not quite as styptic, but it does rid the body of worms and relax the bowels.  He recommends taking it with barley or rice.  </w:t>
            </w:r>
            <w:r>
              <w:rPr>
                <w:rFonts w:ascii="Times New Roman" w:hAnsi="Times New Roman" w:cs="Times New Roman"/>
                <w:i/>
                <w:sz w:val="24"/>
                <w:szCs w:val="24"/>
              </w:rPr>
              <w:t xml:space="preserve">Absinthium santonicum </w:t>
            </w:r>
            <w:r>
              <w:rPr>
                <w:rFonts w:ascii="Times New Roman" w:hAnsi="Times New Roman" w:cs="Times New Roman"/>
                <w:sz w:val="24"/>
                <w:szCs w:val="24"/>
              </w:rPr>
              <w:t>is its Gallic equivalent in every way.</w:t>
            </w:r>
          </w:p>
          <w:p w:rsidR="009A06BC" w:rsidRDefault="009A06BC" w:rsidP="009A06BC">
            <w:pPr>
              <w:rPr>
                <w:rFonts w:ascii="Times New Roman" w:hAnsi="Times New Roman" w:cs="Times New Roman"/>
                <w:sz w:val="24"/>
                <w:szCs w:val="24"/>
              </w:rPr>
            </w:pPr>
          </w:p>
          <w:p w:rsidR="009A06BC" w:rsidRPr="001673CB" w:rsidRDefault="009A06BC" w:rsidP="009A06BC">
            <w:pPr>
              <w:rPr>
                <w:rFonts w:ascii="Times New Roman" w:hAnsi="Times New Roman" w:cs="Times New Roman"/>
                <w:sz w:val="24"/>
                <w:szCs w:val="24"/>
              </w:rPr>
            </w:pPr>
          </w:p>
        </w:tc>
        <w:tc>
          <w:tcPr>
            <w:tcW w:w="4082" w:type="dxa"/>
          </w:tcPr>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Conway (173): She notes that the herb is addictive in addition to being poisonous, and so should not be ingested.  She also says it’s sacred to the Moon and is useful in “incenses for scrying, prophecy, divinations, and astral projection.”</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Cunningham (261-2): Can be burnt “to aid in developing psychic powers” (as absinthe supposedly did for Van Gogh, et al.) and in summoning spirits.  Can also be worn to nullify bewitchment and poison from various sources.  It has </w:t>
            </w:r>
            <w:r>
              <w:rPr>
                <w:rFonts w:ascii="Times New Roman" w:hAnsi="Times New Roman" w:cs="Times New Roman"/>
                <w:sz w:val="24"/>
                <w:szCs w:val="24"/>
              </w:rPr>
              <w:lastRenderedPageBreak/>
              <w:t>other protective and love-attracting uses when made into a charm or liquor.</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Moura: Lists its “bright” (i.e. if used during waxing and full moon phases, as spellwork should be) uses as “evocation, divination/scrying, [and] protection” (225), and its “dark” uses as “binding, exorcism, […] divination, […] dreams, [and] psychic power” (228).  The dark seems to be preferred, as it not only contains the bright uses in its list, but also is attributed to Samhain, the Dark Moon, and the Lunar Eclipse, all moments at which Hecate is at her least fettered (228).  It’s worth mentioning that the plant is poisonous, and so mugwort and cypress make better options (228).  The former seems to be more aligned with the divination side of things, while the latter has severer uses and closer Underworld ties (224, 226-7).</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r>
              <w:rPr>
                <w:rFonts w:ascii="Times New Roman" w:hAnsi="Times New Roman" w:cs="Times New Roman"/>
                <w:sz w:val="24"/>
                <w:szCs w:val="24"/>
              </w:rPr>
              <w:t xml:space="preserve">Yronwode (207): “Wormwood carried at the waist is protective; hung in a muslin bag on a car’s rearview mirror, it prevents accidents.  Burn it on charcoal to call up helpful spirits.”  She mentions that it is sometimes substituted with its </w:t>
            </w:r>
            <w:proofErr w:type="gramStart"/>
            <w:r>
              <w:rPr>
                <w:rFonts w:ascii="Times New Roman" w:hAnsi="Times New Roman" w:cs="Times New Roman"/>
                <w:sz w:val="24"/>
                <w:szCs w:val="24"/>
              </w:rPr>
              <w:t>relatives</w:t>
            </w:r>
            <w:proofErr w:type="gramEnd"/>
            <w:r>
              <w:rPr>
                <w:rFonts w:ascii="Times New Roman" w:hAnsi="Times New Roman" w:cs="Times New Roman"/>
                <w:sz w:val="24"/>
                <w:szCs w:val="24"/>
              </w:rPr>
              <w:t xml:space="preserve"> mugwort and southernwood, and can be used alongside sage.</w:t>
            </w:r>
          </w:p>
          <w:p w:rsidR="009A06BC" w:rsidRDefault="009A06BC" w:rsidP="009A06BC">
            <w:pPr>
              <w:rPr>
                <w:rFonts w:ascii="Times New Roman" w:hAnsi="Times New Roman" w:cs="Times New Roman"/>
                <w:sz w:val="24"/>
                <w:szCs w:val="24"/>
              </w:rPr>
            </w:pPr>
          </w:p>
          <w:p w:rsidR="009A06BC" w:rsidRDefault="009A06BC" w:rsidP="009A06BC">
            <w:pPr>
              <w:rPr>
                <w:rFonts w:ascii="Times New Roman" w:hAnsi="Times New Roman" w:cs="Times New Roman"/>
                <w:sz w:val="24"/>
                <w:szCs w:val="24"/>
              </w:rPr>
            </w:pPr>
          </w:p>
          <w:p w:rsidR="009A06BC" w:rsidRPr="00C7675F" w:rsidRDefault="009A06BC" w:rsidP="009A06BC">
            <w:pPr>
              <w:rPr>
                <w:rFonts w:ascii="Times New Roman" w:hAnsi="Times New Roman" w:cs="Times New Roman"/>
                <w:sz w:val="24"/>
                <w:szCs w:val="24"/>
              </w:rPr>
            </w:pPr>
            <w:r>
              <w:rPr>
                <w:rFonts w:ascii="Times New Roman" w:hAnsi="Times New Roman" w:cs="Times New Roman"/>
                <w:i/>
                <w:sz w:val="24"/>
                <w:szCs w:val="24"/>
              </w:rPr>
              <w:t>PGM</w:t>
            </w:r>
            <w:r>
              <w:rPr>
                <w:rFonts w:ascii="Times New Roman" w:hAnsi="Times New Roman" w:cs="Times New Roman"/>
                <w:sz w:val="24"/>
                <w:szCs w:val="24"/>
              </w:rPr>
              <w:t xml:space="preserve">: “7 piths” are used with </w:t>
            </w:r>
            <w:r>
              <w:rPr>
                <w:rFonts w:ascii="Times New Roman" w:hAnsi="Times New Roman" w:cs="Times New Roman"/>
                <w:i/>
                <w:sz w:val="24"/>
                <w:szCs w:val="24"/>
              </w:rPr>
              <w:t xml:space="preserve">Myrrh troglitis </w:t>
            </w:r>
            <w:r>
              <w:rPr>
                <w:rFonts w:ascii="Times New Roman" w:hAnsi="Times New Roman" w:cs="Times New Roman"/>
                <w:sz w:val="24"/>
                <w:szCs w:val="24"/>
              </w:rPr>
              <w:t>and other herbs in an ink suitable for inscribing a memory spell (1.232-47); it also goes by the magical names “Blood of Hephaistos” or “A Hawk’s Heart” (12.401-44); one dram of it appears in an offering during the aforementioned “Charm of Compulsion” (4.1331-89).</w:t>
            </w:r>
          </w:p>
        </w:tc>
      </w:tr>
    </w:tbl>
    <w:p w:rsidR="00961E42" w:rsidRDefault="00961E42" w:rsidP="00961E42">
      <w:pPr>
        <w:jc w:val="center"/>
        <w:rPr>
          <w:rFonts w:ascii="Times New Roman" w:hAnsi="Times New Roman" w:cs="Times New Roman"/>
          <w:sz w:val="24"/>
          <w:szCs w:val="24"/>
        </w:rPr>
      </w:pPr>
      <w:r>
        <w:rPr>
          <w:rFonts w:ascii="Times New Roman" w:hAnsi="Times New Roman" w:cs="Times New Roman"/>
          <w:sz w:val="24"/>
          <w:szCs w:val="24"/>
        </w:rPr>
        <w:lastRenderedPageBreak/>
        <w:t>APPENDIX B – Herb Documentation Synopsis</w:t>
      </w:r>
    </w:p>
    <w:tbl>
      <w:tblPr>
        <w:tblStyle w:val="TableGrid"/>
        <w:tblW w:w="0" w:type="auto"/>
        <w:tblLook w:val="04A0"/>
      </w:tblPr>
      <w:tblGrid>
        <w:gridCol w:w="3192"/>
        <w:gridCol w:w="3192"/>
        <w:gridCol w:w="3192"/>
      </w:tblGrid>
      <w:tr w:rsidR="00961E42" w:rsidRPr="003660E6" w:rsidTr="00C703C2">
        <w:tc>
          <w:tcPr>
            <w:tcW w:w="3192" w:type="dxa"/>
          </w:tcPr>
          <w:p w:rsidR="00961E42" w:rsidRPr="003660E6" w:rsidRDefault="00961E42" w:rsidP="00C703C2">
            <w:pPr>
              <w:jc w:val="center"/>
              <w:rPr>
                <w:rFonts w:ascii="Times New Roman" w:hAnsi="Times New Roman" w:cs="Times New Roman"/>
                <w:i/>
                <w:sz w:val="24"/>
                <w:szCs w:val="24"/>
              </w:rPr>
            </w:pPr>
            <w:r w:rsidRPr="003660E6">
              <w:rPr>
                <w:rFonts w:ascii="Times New Roman" w:hAnsi="Times New Roman" w:cs="Times New Roman"/>
                <w:i/>
                <w:sz w:val="24"/>
                <w:szCs w:val="24"/>
              </w:rPr>
              <w:t>Botanical Name</w:t>
            </w:r>
          </w:p>
          <w:p w:rsidR="00961E42" w:rsidRPr="003660E6" w:rsidRDefault="00961E42" w:rsidP="00C703C2">
            <w:pPr>
              <w:jc w:val="center"/>
              <w:rPr>
                <w:rFonts w:ascii="Times New Roman" w:hAnsi="Times New Roman" w:cs="Times New Roman"/>
                <w:i/>
                <w:sz w:val="24"/>
                <w:szCs w:val="24"/>
              </w:rPr>
            </w:pPr>
          </w:p>
        </w:tc>
        <w:tc>
          <w:tcPr>
            <w:tcW w:w="3192" w:type="dxa"/>
          </w:tcPr>
          <w:p w:rsidR="00961E42" w:rsidRPr="003660E6" w:rsidRDefault="00961E42" w:rsidP="00C703C2">
            <w:pPr>
              <w:jc w:val="center"/>
              <w:rPr>
                <w:rFonts w:ascii="Times New Roman" w:hAnsi="Times New Roman" w:cs="Times New Roman"/>
                <w:i/>
                <w:sz w:val="24"/>
                <w:szCs w:val="24"/>
              </w:rPr>
            </w:pPr>
            <w:r w:rsidRPr="003660E6">
              <w:rPr>
                <w:rFonts w:ascii="Times New Roman" w:hAnsi="Times New Roman" w:cs="Times New Roman"/>
                <w:i/>
                <w:sz w:val="24"/>
                <w:szCs w:val="24"/>
              </w:rPr>
              <w:t>Medical Grouping</w:t>
            </w:r>
          </w:p>
          <w:p w:rsidR="00961E42" w:rsidRPr="003660E6" w:rsidRDefault="00961E42" w:rsidP="00C703C2">
            <w:pPr>
              <w:jc w:val="center"/>
              <w:rPr>
                <w:rFonts w:ascii="Times New Roman" w:hAnsi="Times New Roman" w:cs="Times New Roman"/>
                <w:i/>
                <w:sz w:val="24"/>
                <w:szCs w:val="24"/>
              </w:rPr>
            </w:pPr>
            <w:r w:rsidRPr="003660E6">
              <w:rPr>
                <w:rFonts w:ascii="Times New Roman" w:hAnsi="Times New Roman" w:cs="Times New Roman"/>
                <w:i/>
                <w:sz w:val="24"/>
                <w:szCs w:val="24"/>
              </w:rPr>
              <w:t>(Hippocratic, 6-Tissue)</w:t>
            </w:r>
          </w:p>
        </w:tc>
        <w:tc>
          <w:tcPr>
            <w:tcW w:w="3192" w:type="dxa"/>
          </w:tcPr>
          <w:p w:rsidR="00961E42" w:rsidRPr="003660E6" w:rsidRDefault="00961E42" w:rsidP="00C703C2">
            <w:pPr>
              <w:jc w:val="center"/>
              <w:rPr>
                <w:rFonts w:ascii="Times New Roman" w:hAnsi="Times New Roman" w:cs="Times New Roman"/>
                <w:i/>
                <w:sz w:val="24"/>
                <w:szCs w:val="24"/>
              </w:rPr>
            </w:pPr>
            <w:r w:rsidRPr="003660E6">
              <w:rPr>
                <w:rFonts w:ascii="Times New Roman" w:hAnsi="Times New Roman" w:cs="Times New Roman"/>
                <w:i/>
                <w:sz w:val="24"/>
                <w:szCs w:val="24"/>
              </w:rPr>
              <w:t>Magical Grouping</w:t>
            </w:r>
          </w:p>
          <w:p w:rsidR="00961E42" w:rsidRPr="003660E6" w:rsidRDefault="00961E42" w:rsidP="00C703C2">
            <w:pPr>
              <w:jc w:val="center"/>
              <w:rPr>
                <w:rFonts w:ascii="Times New Roman" w:hAnsi="Times New Roman" w:cs="Times New Roman"/>
                <w:i/>
                <w:sz w:val="24"/>
                <w:szCs w:val="24"/>
              </w:rPr>
            </w:pPr>
            <w:r w:rsidRPr="003660E6">
              <w:rPr>
                <w:rFonts w:ascii="Times New Roman" w:hAnsi="Times New Roman" w:cs="Times New Roman"/>
                <w:i/>
                <w:sz w:val="24"/>
                <w:szCs w:val="24"/>
              </w:rPr>
              <w:t>(Deities, Elements, Etc.)</w:t>
            </w:r>
          </w:p>
        </w:tc>
      </w:tr>
      <w:tr w:rsidR="00961E42" w:rsidRPr="003660E6" w:rsidTr="00C703C2">
        <w:tc>
          <w:tcPr>
            <w:tcW w:w="3192" w:type="dxa"/>
          </w:tcPr>
          <w:p w:rsidR="00961E42" w:rsidRPr="003660E6" w:rsidRDefault="00961E42" w:rsidP="00C703C2">
            <w:pPr>
              <w:jc w:val="center"/>
              <w:rPr>
                <w:rFonts w:ascii="Times New Roman" w:hAnsi="Times New Roman" w:cs="Times New Roman"/>
                <w:i/>
                <w:sz w:val="24"/>
                <w:szCs w:val="24"/>
              </w:rPr>
            </w:pPr>
            <w:r w:rsidRPr="003660E6">
              <w:rPr>
                <w:rFonts w:ascii="Times New Roman" w:hAnsi="Times New Roman" w:cs="Times New Roman"/>
                <w:i/>
                <w:sz w:val="24"/>
                <w:szCs w:val="24"/>
              </w:rPr>
              <w:t>Layman’s Term</w:t>
            </w:r>
          </w:p>
          <w:p w:rsidR="00961E42" w:rsidRPr="003660E6" w:rsidRDefault="00961E42" w:rsidP="00C703C2">
            <w:pPr>
              <w:jc w:val="center"/>
              <w:rPr>
                <w:rFonts w:ascii="Times New Roman" w:hAnsi="Times New Roman" w:cs="Times New Roman"/>
                <w:i/>
                <w:sz w:val="24"/>
                <w:szCs w:val="24"/>
              </w:rPr>
            </w:pPr>
          </w:p>
        </w:tc>
        <w:tc>
          <w:tcPr>
            <w:tcW w:w="3192" w:type="dxa"/>
          </w:tcPr>
          <w:p w:rsidR="00961E42" w:rsidRPr="003660E6" w:rsidRDefault="00961E42" w:rsidP="00C703C2">
            <w:pPr>
              <w:jc w:val="center"/>
              <w:rPr>
                <w:rFonts w:ascii="Times New Roman" w:hAnsi="Times New Roman" w:cs="Times New Roman"/>
                <w:i/>
                <w:sz w:val="24"/>
                <w:szCs w:val="24"/>
              </w:rPr>
            </w:pPr>
            <w:r w:rsidRPr="003660E6">
              <w:rPr>
                <w:rFonts w:ascii="Times New Roman" w:hAnsi="Times New Roman" w:cs="Times New Roman"/>
                <w:i/>
                <w:sz w:val="24"/>
                <w:szCs w:val="24"/>
              </w:rPr>
              <w:t>Medical Traits</w:t>
            </w:r>
          </w:p>
        </w:tc>
        <w:tc>
          <w:tcPr>
            <w:tcW w:w="3192" w:type="dxa"/>
          </w:tcPr>
          <w:p w:rsidR="00961E42" w:rsidRPr="003660E6" w:rsidRDefault="00961E42" w:rsidP="00C703C2">
            <w:pPr>
              <w:jc w:val="center"/>
              <w:rPr>
                <w:rFonts w:ascii="Times New Roman" w:hAnsi="Times New Roman" w:cs="Times New Roman"/>
                <w:i/>
                <w:sz w:val="24"/>
                <w:szCs w:val="24"/>
              </w:rPr>
            </w:pPr>
            <w:r w:rsidRPr="003660E6">
              <w:rPr>
                <w:rFonts w:ascii="Times New Roman" w:hAnsi="Times New Roman" w:cs="Times New Roman"/>
                <w:i/>
                <w:sz w:val="24"/>
                <w:szCs w:val="24"/>
              </w:rPr>
              <w:t>Magical Traits</w:t>
            </w:r>
          </w:p>
        </w:tc>
      </w:tr>
    </w:tbl>
    <w:p w:rsidR="00961E42" w:rsidRDefault="00961E42" w:rsidP="00961E42">
      <w:pPr>
        <w:rPr>
          <w:rFonts w:ascii="Times New Roman" w:hAnsi="Times New Roman" w:cs="Times New Roman"/>
          <w:sz w:val="24"/>
          <w:szCs w:val="24"/>
        </w:rPr>
      </w:pPr>
    </w:p>
    <w:p w:rsidR="00961E42" w:rsidRDefault="00961E42" w:rsidP="00961E42">
      <w:pPr>
        <w:jc w:val="center"/>
        <w:rPr>
          <w:rFonts w:ascii="Times New Roman" w:hAnsi="Times New Roman" w:cs="Times New Roman"/>
          <w:i/>
          <w:sz w:val="24"/>
          <w:szCs w:val="24"/>
        </w:rPr>
      </w:pPr>
      <w:r>
        <w:rPr>
          <w:rFonts w:ascii="Times New Roman" w:hAnsi="Times New Roman" w:cs="Times New Roman"/>
          <w:i/>
          <w:sz w:val="24"/>
          <w:szCs w:val="24"/>
        </w:rPr>
        <w:t>N.B. 6-Tissue Grouping is physiomedical (Thurston, in Wood); Magical is from Cunningham.</w:t>
      </w:r>
    </w:p>
    <w:p w:rsidR="00961E42" w:rsidRPr="00363E9B" w:rsidRDefault="00961E42" w:rsidP="00961E42">
      <w:pPr>
        <w:jc w:val="center"/>
        <w:rPr>
          <w:rFonts w:ascii="Times New Roman" w:hAnsi="Times New Roman" w:cs="Times New Roman"/>
          <w:i/>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Allium</w:t>
            </w:r>
          </w:p>
          <w:p w:rsidR="00961E42" w:rsidRPr="00206E8D"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cool,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Pitta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Mars</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Onion</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purify, gallbladder, brain, jaundice, inflammation, stomach, gas +, sleep aid, mouth ulcers, hemorrhoids, vision, dropsy, lotion, menstruation aid, bites, skin, blisters, constipation, hearing, hair, lumps … </w:t>
            </w:r>
            <w:r w:rsidRPr="00CC1510">
              <w:rPr>
                <w:rFonts w:ascii="Times New Roman" w:hAnsi="Times New Roman" w:cs="Times New Roman"/>
                <w:b/>
                <w:sz w:val="24"/>
                <w:szCs w:val="24"/>
              </w:rPr>
              <w:t>causes headache, pee +, lethargy</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CC1510"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oaths, lust, absorb – energy &amp; disease, luck, dream visions, warts, contain contagious tools, compulsion … used in </w:t>
            </w:r>
            <w:r>
              <w:rPr>
                <w:rFonts w:ascii="Times New Roman" w:hAnsi="Times New Roman" w:cs="Times New Roman"/>
                <w:b/>
                <w:sz w:val="24"/>
                <w:szCs w:val="24"/>
              </w:rPr>
              <w:t>rituals</w:t>
            </w:r>
            <w:r>
              <w:rPr>
                <w:rFonts w:ascii="Times New Roman" w:hAnsi="Times New Roman" w:cs="Times New Roman"/>
                <w:sz w:val="24"/>
                <w:szCs w:val="24"/>
              </w:rPr>
              <w:t xml:space="preserve"> and </w:t>
            </w:r>
            <w:r>
              <w:rPr>
                <w:rFonts w:ascii="Times New Roman" w:hAnsi="Times New Roman" w:cs="Times New Roman"/>
                <w:b/>
                <w:sz w:val="24"/>
                <w:szCs w:val="24"/>
              </w:rPr>
              <w:t>superstitions</w:t>
            </w:r>
            <w:r>
              <w:rPr>
                <w:rFonts w:ascii="Times New Roman" w:hAnsi="Times New Roman" w:cs="Times New Roman"/>
                <w:sz w:val="24"/>
                <w:szCs w:val="24"/>
              </w:rPr>
              <w:t xml:space="preserve">; possibly interchangeable with </w:t>
            </w:r>
            <w:r>
              <w:rPr>
                <w:rFonts w:ascii="Times New Roman" w:hAnsi="Times New Roman" w:cs="Times New Roman"/>
                <w:b/>
                <w:sz w:val="24"/>
                <w:szCs w:val="24"/>
                <w:u w:val="single"/>
              </w:rPr>
              <w:t>Asphodelus</w:t>
            </w: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b/>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Anethum</w:t>
            </w:r>
          </w:p>
          <w:p w:rsidR="00961E42" w:rsidRPr="003660E6"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Pitta; used against Earth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Mercury</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Dill</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milk +, gas -, bowel and stomach tension, pee +, hiccups, sneezes, vision, sperm +, swelling, PPD</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protect, money, sexiness, lust, love, hex-breaker, luck, warding off disease … </w:t>
            </w:r>
            <w:r>
              <w:rPr>
                <w:rFonts w:ascii="Times New Roman" w:hAnsi="Times New Roman" w:cs="Times New Roman"/>
                <w:b/>
                <w:sz w:val="24"/>
                <w:szCs w:val="24"/>
              </w:rPr>
              <w:t>unpopular</w:t>
            </w:r>
            <w:r>
              <w:rPr>
                <w:rFonts w:ascii="Times New Roman" w:hAnsi="Times New Roman" w:cs="Times New Roman"/>
                <w:sz w:val="24"/>
                <w:szCs w:val="24"/>
              </w:rPr>
              <w:t xml:space="preserve"> compared to fennel</w:t>
            </w:r>
          </w:p>
          <w:p w:rsidR="00961E42" w:rsidRPr="00FA2A74"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Artemisia</w:t>
            </w:r>
          </w:p>
          <w:p w:rsidR="00961E42" w:rsidRPr="003634C7"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or cool,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Ether; used against Earth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Mars</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Wormwood</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seasickness, swollen groin, sleep aid, diuretic, GI lube, gas +, stool +, vermicide, pesticide, reflux, choleric Humors, appetite +, jaundice, menstruation aid, quinsy, antivenin, skin, eyes, ears, liver, stomach, dropsy, teeth, mosquitos, swelling, fever … can replace </w:t>
            </w:r>
            <w:r>
              <w:rPr>
                <w:rFonts w:ascii="Times New Roman" w:hAnsi="Times New Roman" w:cs="Times New Roman"/>
                <w:b/>
                <w:sz w:val="24"/>
                <w:szCs w:val="24"/>
              </w:rPr>
              <w:t>Olea</w:t>
            </w:r>
          </w:p>
          <w:p w:rsidR="00961E42" w:rsidRPr="003634C7"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82751A" w:rsidRDefault="00961E42" w:rsidP="00C703C2">
            <w:pPr>
              <w:jc w:val="center"/>
              <w:rPr>
                <w:rFonts w:ascii="Times New Roman" w:hAnsi="Times New Roman" w:cs="Times New Roman"/>
                <w:sz w:val="24"/>
                <w:szCs w:val="24"/>
              </w:rPr>
            </w:pPr>
            <w:r>
              <w:rPr>
                <w:rFonts w:ascii="Times New Roman" w:hAnsi="Times New Roman" w:cs="Times New Roman"/>
                <w:sz w:val="24"/>
                <w:szCs w:val="24"/>
              </w:rPr>
              <w:t>psychic powers, spirit attraction, hex-breaker, antivenin, protect, love, scrying, binding, exorcism, dreams, compulsion … various names and replacements (</w:t>
            </w:r>
            <w:r>
              <w:rPr>
                <w:rFonts w:ascii="Times New Roman" w:hAnsi="Times New Roman" w:cs="Times New Roman"/>
                <w:b/>
                <w:sz w:val="24"/>
                <w:szCs w:val="24"/>
              </w:rPr>
              <w:t>poison</w:t>
            </w:r>
            <w:r>
              <w:rPr>
                <w:rFonts w:ascii="Times New Roman" w:hAnsi="Times New Roman" w:cs="Times New Roman"/>
                <w:sz w:val="24"/>
                <w:szCs w:val="24"/>
              </w:rPr>
              <w:t xml:space="preserve">), mainly its cousin </w:t>
            </w:r>
            <w:r>
              <w:rPr>
                <w:rFonts w:ascii="Times New Roman" w:hAnsi="Times New Roman" w:cs="Times New Roman"/>
                <w:b/>
                <w:sz w:val="24"/>
                <w:szCs w:val="24"/>
                <w:u w:val="single"/>
              </w:rPr>
              <w:t>A. vulgaris</w:t>
            </w:r>
            <w:r>
              <w:rPr>
                <w:rFonts w:ascii="Times New Roman" w:hAnsi="Times New Roman" w:cs="Times New Roman"/>
                <w:sz w:val="24"/>
                <w:szCs w:val="24"/>
              </w:rPr>
              <w:t xml:space="preserve"> (mugwort); more effective </w:t>
            </w:r>
            <w:r>
              <w:rPr>
                <w:rFonts w:ascii="Times New Roman" w:hAnsi="Times New Roman" w:cs="Times New Roman"/>
                <w:b/>
                <w:sz w:val="24"/>
                <w:szCs w:val="24"/>
              </w:rPr>
              <w:t>dark</w:t>
            </w:r>
            <w:r>
              <w:rPr>
                <w:rFonts w:ascii="Times New Roman" w:hAnsi="Times New Roman" w:cs="Times New Roman"/>
                <w:sz w:val="24"/>
                <w:szCs w:val="24"/>
              </w:rPr>
              <w:t>, with ties to Hecate</w:t>
            </w: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Commiphora</w:t>
            </w:r>
          </w:p>
          <w:p w:rsidR="00961E42" w:rsidRPr="00CA2FC0"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Kapha with Pitta traits</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Water, Moon</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Myrrh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calm, sleep, labor &amp; menstruation aid, coughs, chest pain, dysentery, paroxysm, throat, wound bandage, acne, scalp, cataracts, antifungal, inflammation, antibacterial, heart &amp; arteries</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purification, healing, peace, incense boost, binding, exorcism, power, lust, ink for spells, compulsion, spirit assistance, sleep visits, scrying, lamp spells, love … never alone, Underworld ties</w:t>
            </w: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b/>
                <w:sz w:val="24"/>
                <w:szCs w:val="24"/>
              </w:rPr>
            </w:pPr>
          </w:p>
          <w:p w:rsidR="00961E42" w:rsidRPr="007F4139"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Coriandrum</w:t>
            </w: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Ether</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Mars</w:t>
            </w:r>
          </w:p>
          <w:p w:rsidR="00961E42" w:rsidRDefault="00961E42" w:rsidP="00C703C2">
            <w:pPr>
              <w:jc w:val="center"/>
              <w:rPr>
                <w:rFonts w:ascii="Times New Roman" w:hAnsi="Times New Roman" w:cs="Times New Roman"/>
                <w:sz w:val="24"/>
                <w:szCs w:val="24"/>
              </w:rPr>
            </w:pP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Coriander</w:t>
            </w: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heartburn, lumps, inflammation, vision, headache, stomach, spleen, TB, skin disorders, diarrhea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love, lust, headaches, healing, money, divine aid, fidelity, warding off disease</w:t>
            </w: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b/>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Cucumis / Ecballium</w:t>
            </w:r>
          </w:p>
          <w:p w:rsidR="00961E42" w:rsidRPr="00DD14B9"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cool, wet</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Kapha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Water, Moon</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Cucumber</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eyes, skin, gallbladder, ears, swelling, toothache, gout, dropsy, sciatica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fertility, headache, gout, period-stopper</w:t>
            </w: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b/>
                <w:sz w:val="24"/>
                <w:szCs w:val="24"/>
              </w:rPr>
              <w:t>Cuminum</w:t>
            </w:r>
          </w:p>
          <w:p w:rsidR="00961E42" w:rsidRPr="00DD14B9"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Ether</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Mars</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Cumin</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3660E6"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gas +, sprains, bites, blood-stopper, antivenin, stones … </w:t>
            </w:r>
            <w:r>
              <w:rPr>
                <w:rFonts w:ascii="Times New Roman" w:hAnsi="Times New Roman" w:cs="Times New Roman"/>
                <w:b/>
                <w:sz w:val="24"/>
                <w:szCs w:val="24"/>
              </w:rPr>
              <w:t>can affect skin</w:t>
            </w: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protect from evil, bridal, peace, love, fidelity, anti-theft, exorcism … </w:t>
            </w:r>
            <w:r>
              <w:rPr>
                <w:rFonts w:ascii="Times New Roman" w:hAnsi="Times New Roman" w:cs="Times New Roman"/>
                <w:b/>
                <w:sz w:val="24"/>
                <w:szCs w:val="24"/>
              </w:rPr>
              <w:t>unpopular</w:t>
            </w:r>
          </w:p>
          <w:p w:rsidR="00961E42" w:rsidRPr="003660E6" w:rsidRDefault="00961E42" w:rsidP="00C703C2">
            <w:pPr>
              <w:jc w:val="center"/>
              <w:rPr>
                <w:rFonts w:ascii="Times New Roman" w:hAnsi="Times New Roman" w:cs="Times New Roman"/>
                <w:b/>
                <w:sz w:val="24"/>
                <w:szCs w:val="24"/>
              </w:rPr>
            </w:pP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Datura</w:t>
            </w:r>
          </w:p>
          <w:p w:rsidR="00961E42" w:rsidRPr="003660E6"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cool,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Earth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Water, Saturn</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Jimsonweed, etc.</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madness, itches, narcotic, dilation, pallor</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proofErr w:type="gramStart"/>
            <w:r>
              <w:rPr>
                <w:rFonts w:ascii="Times New Roman" w:hAnsi="Times New Roman" w:cs="Times New Roman"/>
                <w:sz w:val="24"/>
                <w:szCs w:val="24"/>
              </w:rPr>
              <w:t>insomnia</w:t>
            </w:r>
            <w:proofErr w:type="gramEnd"/>
            <w:r>
              <w:rPr>
                <w:rFonts w:ascii="Times New Roman" w:hAnsi="Times New Roman" w:cs="Times New Roman"/>
                <w:sz w:val="24"/>
                <w:szCs w:val="24"/>
              </w:rPr>
              <w:t xml:space="preserve">, apoplexy, sunstroke, hex-breaker, protect from evil, return-to-sender … </w:t>
            </w:r>
            <w:r w:rsidRPr="00B22FCA">
              <w:rPr>
                <w:rFonts w:ascii="Times New Roman" w:hAnsi="Times New Roman" w:cs="Times New Roman"/>
                <w:sz w:val="24"/>
                <w:szCs w:val="24"/>
              </w:rPr>
              <w:t>poison</w:t>
            </w:r>
            <w:r>
              <w:rPr>
                <w:rFonts w:ascii="Times New Roman" w:hAnsi="Times New Roman" w:cs="Times New Roman"/>
                <w:sz w:val="24"/>
                <w:szCs w:val="24"/>
              </w:rPr>
              <w:t xml:space="preserve">, so </w:t>
            </w:r>
            <w:r w:rsidRPr="00B22FCA">
              <w:rPr>
                <w:rFonts w:ascii="Times New Roman" w:hAnsi="Times New Roman" w:cs="Times New Roman"/>
                <w:sz w:val="24"/>
                <w:szCs w:val="24"/>
              </w:rPr>
              <w:t>replaced</w:t>
            </w:r>
            <w:r>
              <w:rPr>
                <w:rFonts w:ascii="Times New Roman" w:hAnsi="Times New Roman" w:cs="Times New Roman"/>
                <w:sz w:val="24"/>
                <w:szCs w:val="24"/>
              </w:rPr>
              <w:t xml:space="preserve"> by </w:t>
            </w:r>
            <w:r>
              <w:rPr>
                <w:rFonts w:ascii="Times New Roman" w:hAnsi="Times New Roman" w:cs="Times New Roman"/>
                <w:b/>
                <w:sz w:val="24"/>
                <w:szCs w:val="24"/>
                <w:u w:val="single"/>
              </w:rPr>
              <w:t>A</w:t>
            </w:r>
            <w:r w:rsidRPr="003660E6">
              <w:rPr>
                <w:rFonts w:ascii="Times New Roman" w:hAnsi="Times New Roman" w:cs="Times New Roman"/>
                <w:b/>
                <w:sz w:val="24"/>
                <w:szCs w:val="24"/>
                <w:u w:val="single"/>
              </w:rPr>
              <w:t>grimon</w:t>
            </w:r>
            <w:r>
              <w:rPr>
                <w:rFonts w:ascii="Times New Roman" w:hAnsi="Times New Roman" w:cs="Times New Roman"/>
                <w:b/>
                <w:sz w:val="24"/>
                <w:szCs w:val="24"/>
                <w:u w:val="single"/>
              </w:rPr>
              <w:t>ia</w:t>
            </w:r>
            <w:r>
              <w:rPr>
                <w:rFonts w:ascii="Times New Roman" w:hAnsi="Times New Roman" w:cs="Times New Roman"/>
                <w:sz w:val="24"/>
                <w:szCs w:val="24"/>
              </w:rPr>
              <w:t xml:space="preserve">, which is used </w:t>
            </w:r>
            <w:r>
              <w:rPr>
                <w:rFonts w:ascii="Times New Roman" w:hAnsi="Times New Roman" w:cs="Times New Roman"/>
                <w:b/>
                <w:sz w:val="24"/>
                <w:szCs w:val="24"/>
              </w:rPr>
              <w:t>for</w:t>
            </w:r>
            <w:r>
              <w:rPr>
                <w:rFonts w:ascii="Times New Roman" w:hAnsi="Times New Roman" w:cs="Times New Roman"/>
                <w:sz w:val="24"/>
                <w:szCs w:val="24"/>
              </w:rPr>
              <w:t xml:space="preserve"> GI and liver issues, and </w:t>
            </w:r>
            <w:r>
              <w:rPr>
                <w:rFonts w:ascii="Times New Roman" w:hAnsi="Times New Roman" w:cs="Times New Roman"/>
                <w:b/>
                <w:sz w:val="24"/>
                <w:szCs w:val="24"/>
              </w:rPr>
              <w:t>against</w:t>
            </w:r>
            <w:r>
              <w:rPr>
                <w:rFonts w:ascii="Times New Roman" w:hAnsi="Times New Roman" w:cs="Times New Roman"/>
                <w:sz w:val="24"/>
                <w:szCs w:val="24"/>
              </w:rPr>
              <w:t xml:space="preserve"> Ether and Kapha (which are already opposites…)</w:t>
            </w:r>
          </w:p>
          <w:p w:rsidR="00961E42" w:rsidRPr="003660E6"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Foeniculum</w:t>
            </w:r>
          </w:p>
          <w:p w:rsidR="00961E42" w:rsidRPr="000D722B"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Vata; used against Earth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Mercury</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Fennel</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jaundice, respiratory aid, dropsy, antivenin, kidney &amp; bladder, bites, menstruation, fatigue, heatstroke, stomach cramps, vision &amp; eyes, milk +, womb cleaner … best breed resembles </w:t>
            </w:r>
            <w:r>
              <w:rPr>
                <w:rFonts w:ascii="Times New Roman" w:hAnsi="Times New Roman" w:cs="Times New Roman"/>
                <w:b/>
                <w:sz w:val="24"/>
                <w:szCs w:val="24"/>
              </w:rPr>
              <w:t>Coriandrum</w:t>
            </w:r>
          </w:p>
          <w:p w:rsidR="00961E42" w:rsidRPr="000D722B"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0D722B"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purification, healing, protect from evil, ward off lawmen with </w:t>
            </w:r>
            <w:r>
              <w:rPr>
                <w:rFonts w:ascii="Times New Roman" w:hAnsi="Times New Roman" w:cs="Times New Roman"/>
                <w:b/>
                <w:sz w:val="24"/>
                <w:szCs w:val="24"/>
              </w:rPr>
              <w:t>Origanum</w:t>
            </w:r>
            <w:r>
              <w:rPr>
                <w:rFonts w:ascii="Times New Roman" w:hAnsi="Times New Roman" w:cs="Times New Roman"/>
                <w:sz w:val="24"/>
                <w:szCs w:val="24"/>
              </w:rPr>
              <w:t>, instant wound cure as bandage</w:t>
            </w: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Pr="008926BD"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Helleborus</w:t>
            </w:r>
          </w:p>
          <w:p w:rsidR="00961E42" w:rsidRDefault="00961E42" w:rsidP="00C703C2">
            <w:pPr>
              <w:jc w:val="center"/>
              <w:rPr>
                <w:rFonts w:ascii="Times New Roman" w:hAnsi="Times New Roman" w:cs="Times New Roman"/>
                <w:sz w:val="24"/>
                <w:szCs w:val="24"/>
              </w:rPr>
            </w:pPr>
          </w:p>
          <w:p w:rsidR="00961E42" w:rsidRDefault="00961E42" w:rsidP="00C703C2">
            <w:pP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cool,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White = Kapha; Black = Earth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Water, Saturn</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Hellebore - White</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seizures, fatigue-caused fevers, antivenin, awakener, emetic for all Humors, clarity of vision, menstrual aid, vermicide</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7D45CF"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identified magically as “Semen of Helios,” but </w:t>
            </w:r>
            <w:r>
              <w:rPr>
                <w:rFonts w:ascii="Times New Roman" w:hAnsi="Times New Roman" w:cs="Times New Roman"/>
                <w:b/>
                <w:sz w:val="24"/>
                <w:szCs w:val="24"/>
              </w:rPr>
              <w:t>uses are unknown</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Hellebore - Black</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panacea, emetic, constipation, gout, mental afflictions, paralysis, palsy, joint pain, ears, toothache, mange, skin</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exorcism, astral projection, invisibility, psychic visions, purification … identified as “Blood from a Shoulder,” tied to Asclepius and Apollo, root-cutting </w:t>
            </w:r>
            <w:r w:rsidRPr="001C121B">
              <w:rPr>
                <w:rFonts w:ascii="Times New Roman" w:hAnsi="Times New Roman" w:cs="Times New Roman"/>
                <w:b/>
                <w:sz w:val="24"/>
                <w:szCs w:val="24"/>
              </w:rPr>
              <w:t>superstition</w:t>
            </w:r>
            <w:r>
              <w:rPr>
                <w:rFonts w:ascii="Times New Roman" w:hAnsi="Times New Roman" w:cs="Times New Roman"/>
                <w:sz w:val="24"/>
                <w:szCs w:val="24"/>
              </w:rPr>
              <w:t xml:space="preserve">, </w:t>
            </w:r>
            <w:r>
              <w:rPr>
                <w:rFonts w:ascii="Times New Roman" w:hAnsi="Times New Roman" w:cs="Times New Roman"/>
                <w:b/>
                <w:sz w:val="24"/>
                <w:szCs w:val="24"/>
              </w:rPr>
              <w:t>dark</w:t>
            </w:r>
            <w:r>
              <w:rPr>
                <w:rFonts w:ascii="Times New Roman" w:hAnsi="Times New Roman" w:cs="Times New Roman"/>
                <w:sz w:val="24"/>
                <w:szCs w:val="24"/>
              </w:rPr>
              <w:t xml:space="preserve">, and </w:t>
            </w:r>
            <w:r>
              <w:rPr>
                <w:rFonts w:ascii="Times New Roman" w:hAnsi="Times New Roman" w:cs="Times New Roman"/>
                <w:b/>
                <w:sz w:val="24"/>
                <w:szCs w:val="24"/>
              </w:rPr>
              <w:t>poison</w:t>
            </w:r>
            <w:r>
              <w:rPr>
                <w:rFonts w:ascii="Times New Roman" w:hAnsi="Times New Roman" w:cs="Times New Roman"/>
                <w:sz w:val="24"/>
                <w:szCs w:val="24"/>
              </w:rPr>
              <w:t xml:space="preserve"> – replaced by </w:t>
            </w:r>
            <w:r>
              <w:rPr>
                <w:rFonts w:ascii="Times New Roman" w:hAnsi="Times New Roman" w:cs="Times New Roman"/>
                <w:b/>
                <w:sz w:val="24"/>
                <w:szCs w:val="24"/>
                <w:u w:val="single"/>
              </w:rPr>
              <w:t>Ribes nigrum</w:t>
            </w:r>
            <w:r>
              <w:rPr>
                <w:rFonts w:ascii="Times New Roman" w:hAnsi="Times New Roman" w:cs="Times New Roman"/>
                <w:sz w:val="24"/>
                <w:szCs w:val="24"/>
              </w:rPr>
              <w:t xml:space="preserve"> (black currant)</w:t>
            </w:r>
          </w:p>
          <w:p w:rsidR="00961E42" w:rsidRPr="00435683"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Pr="00B22FCA"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Hyoscyamus</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Earth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Water, Saturn</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Henbane</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B22FCA"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fever, painkiller, pesticide, anesthetic, ears, PPD, inflammation (eyes, feet), coughs, cold, excessive fluid production, gout, lumps, swollen nipples, colitis, toothache, GI cramps … </w:t>
            </w:r>
            <w:r>
              <w:rPr>
                <w:rFonts w:ascii="Times New Roman" w:hAnsi="Times New Roman" w:cs="Times New Roman"/>
                <w:b/>
                <w:sz w:val="24"/>
                <w:szCs w:val="24"/>
              </w:rPr>
              <w:t>causes diarrhea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E55BDB"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love, rain, spirit contact, maybe psychic boost, contraceptive, sleep … </w:t>
            </w:r>
            <w:r>
              <w:rPr>
                <w:rFonts w:ascii="Times New Roman" w:hAnsi="Times New Roman" w:cs="Times New Roman"/>
                <w:b/>
                <w:sz w:val="24"/>
                <w:szCs w:val="24"/>
              </w:rPr>
              <w:t>poison</w:t>
            </w:r>
            <w:r>
              <w:rPr>
                <w:rFonts w:ascii="Times New Roman" w:hAnsi="Times New Roman" w:cs="Times New Roman"/>
                <w:sz w:val="24"/>
                <w:szCs w:val="24"/>
              </w:rPr>
              <w:t xml:space="preserve">, so replaced by </w:t>
            </w:r>
            <w:r w:rsidRPr="00C76506">
              <w:rPr>
                <w:rFonts w:ascii="Times New Roman" w:hAnsi="Times New Roman" w:cs="Times New Roman"/>
                <w:b/>
                <w:sz w:val="24"/>
                <w:szCs w:val="24"/>
                <w:u w:val="single"/>
              </w:rPr>
              <w:t>fern</w:t>
            </w:r>
            <w:r>
              <w:rPr>
                <w:rFonts w:ascii="Times New Roman" w:hAnsi="Times New Roman" w:cs="Times New Roman"/>
                <w:sz w:val="24"/>
                <w:szCs w:val="24"/>
              </w:rPr>
              <w:t xml:space="preserve"> (probably Scolopendrium) or </w:t>
            </w:r>
            <w:r w:rsidRPr="00C76506">
              <w:rPr>
                <w:rFonts w:ascii="Times New Roman" w:hAnsi="Times New Roman" w:cs="Times New Roman"/>
                <w:b/>
                <w:sz w:val="24"/>
                <w:szCs w:val="24"/>
                <w:u w:val="single"/>
              </w:rPr>
              <w:t>Myristica</w:t>
            </w:r>
            <w:r>
              <w:rPr>
                <w:rFonts w:ascii="Times New Roman" w:hAnsi="Times New Roman" w:cs="Times New Roman"/>
                <w:sz w:val="24"/>
                <w:szCs w:val="24"/>
              </w:rPr>
              <w:t xml:space="preserve"> (mace, not nutmeg)</w:t>
            </w: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Pr="008926BD"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Inula helenium</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Pitta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Air, Mercury</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Elecampane</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bites, asthma</w:t>
            </w: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sexiness, aphrodisiac … related to </w:t>
            </w:r>
            <w:r>
              <w:rPr>
                <w:rFonts w:ascii="Times New Roman" w:hAnsi="Times New Roman" w:cs="Times New Roman"/>
                <w:b/>
                <w:sz w:val="24"/>
                <w:szCs w:val="24"/>
              </w:rPr>
              <w:t>Helen</w:t>
            </w:r>
          </w:p>
          <w:p w:rsidR="00961E42" w:rsidRPr="008926BD" w:rsidRDefault="00961E42" w:rsidP="00C703C2">
            <w:pPr>
              <w:jc w:val="center"/>
              <w:rPr>
                <w:rFonts w:ascii="Times New Roman" w:hAnsi="Times New Roman" w:cs="Times New Roman"/>
                <w:b/>
                <w:sz w:val="24"/>
                <w:szCs w:val="24"/>
              </w:rPr>
            </w:pP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Pr="00C114A7"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 xml:space="preserve">Mandragora </w:t>
            </w:r>
            <w:r>
              <w:rPr>
                <w:rFonts w:ascii="Times New Roman" w:hAnsi="Times New Roman" w:cs="Times New Roman"/>
                <w:sz w:val="24"/>
                <w:szCs w:val="24"/>
              </w:rPr>
              <w:t xml:space="preserve">and </w:t>
            </w:r>
            <w:r>
              <w:rPr>
                <w:rFonts w:ascii="Times New Roman" w:hAnsi="Times New Roman" w:cs="Times New Roman"/>
                <w:b/>
                <w:sz w:val="24"/>
                <w:szCs w:val="24"/>
              </w:rPr>
              <w:t>Podophyllum</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cool,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Ether</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Mercury</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Mandrake and May-Apple</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(used interchangeably)</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anesthesia, antivenin, depression, spasms, insomnia, severe pain, eyes, pessary, inflammation, ulcers, tumors, joints, skin, bites … </w:t>
            </w:r>
            <w:r>
              <w:rPr>
                <w:rFonts w:ascii="Times New Roman" w:hAnsi="Times New Roman" w:cs="Times New Roman"/>
                <w:b/>
                <w:sz w:val="24"/>
                <w:szCs w:val="24"/>
              </w:rPr>
              <w:t>poison</w:t>
            </w:r>
            <w:r>
              <w:rPr>
                <w:rFonts w:ascii="Times New Roman" w:hAnsi="Times New Roman" w:cs="Times New Roman"/>
                <w:sz w:val="24"/>
                <w:szCs w:val="24"/>
              </w:rPr>
              <w:t xml:space="preserve">, and sometimes taken with </w:t>
            </w:r>
            <w:r>
              <w:rPr>
                <w:rFonts w:ascii="Times New Roman" w:hAnsi="Times New Roman" w:cs="Times New Roman"/>
                <w:b/>
                <w:sz w:val="24"/>
                <w:szCs w:val="24"/>
              </w:rPr>
              <w:t>Helleborum</w:t>
            </w:r>
          </w:p>
          <w:p w:rsidR="00961E42" w:rsidRPr="001C121B"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aphrodisiac, protect from disease, love, money, exorcism, sleep … </w:t>
            </w:r>
            <w:r>
              <w:rPr>
                <w:rFonts w:ascii="Times New Roman" w:hAnsi="Times New Roman" w:cs="Times New Roman"/>
                <w:b/>
                <w:sz w:val="24"/>
                <w:szCs w:val="24"/>
              </w:rPr>
              <w:t xml:space="preserve">latter </w:t>
            </w:r>
            <w:r>
              <w:rPr>
                <w:rFonts w:ascii="Times New Roman" w:hAnsi="Times New Roman" w:cs="Times New Roman"/>
                <w:sz w:val="24"/>
                <w:szCs w:val="24"/>
              </w:rPr>
              <w:t xml:space="preserve">breed was preferred, but </w:t>
            </w:r>
            <w:r>
              <w:rPr>
                <w:rFonts w:ascii="Times New Roman" w:hAnsi="Times New Roman" w:cs="Times New Roman"/>
                <w:b/>
                <w:sz w:val="24"/>
                <w:szCs w:val="24"/>
                <w:u w:val="single"/>
              </w:rPr>
              <w:t>Zingiberis</w:t>
            </w:r>
            <w:r>
              <w:rPr>
                <w:rFonts w:ascii="Times New Roman" w:hAnsi="Times New Roman" w:cs="Times New Roman"/>
                <w:sz w:val="24"/>
                <w:szCs w:val="24"/>
              </w:rPr>
              <w:t xml:space="preserve"> (ginger) and </w:t>
            </w:r>
            <w:r>
              <w:rPr>
                <w:rFonts w:ascii="Times New Roman" w:hAnsi="Times New Roman" w:cs="Times New Roman"/>
                <w:b/>
                <w:sz w:val="24"/>
                <w:szCs w:val="24"/>
              </w:rPr>
              <w:t>Foeniculum</w:t>
            </w:r>
            <w:r>
              <w:rPr>
                <w:rFonts w:ascii="Times New Roman" w:hAnsi="Times New Roman" w:cs="Times New Roman"/>
                <w:sz w:val="24"/>
                <w:szCs w:val="24"/>
              </w:rPr>
              <w:t xml:space="preserve"> are newly popular; root-cutting </w:t>
            </w:r>
            <w:r w:rsidRPr="001C121B">
              <w:rPr>
                <w:rFonts w:ascii="Times New Roman" w:hAnsi="Times New Roman" w:cs="Times New Roman"/>
                <w:b/>
                <w:sz w:val="24"/>
                <w:szCs w:val="24"/>
              </w:rPr>
              <w:t>superstition</w:t>
            </w:r>
          </w:p>
          <w:p w:rsidR="00961E42" w:rsidRPr="001C121B"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b/>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Mentha (spp.)</w:t>
            </w:r>
          </w:p>
          <w:p w:rsidR="00961E42" w:rsidRPr="00EF1453"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wet or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Ether, but used against symptoms of excess Ether</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Air, Mercury</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Mint</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(mainly peppermint and/or spearmint)</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fractures &amp; sprains, antivenin, bleeding, colds, rashes, stomach, headache, vermicide, hiccups, stop vomit, stiff nipples, bites, ears, liver, constipation, makeshift condom</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healing, ward off disease &amp; headache, cure stomach, travel, lust, money, protect from evil, offering, hex-breaker, purification … transformation myth, maybe </w:t>
            </w:r>
            <w:r>
              <w:rPr>
                <w:rFonts w:ascii="Times New Roman" w:hAnsi="Times New Roman" w:cs="Times New Roman"/>
                <w:b/>
                <w:sz w:val="24"/>
                <w:szCs w:val="24"/>
              </w:rPr>
              <w:t>rituals</w:t>
            </w:r>
            <w:r>
              <w:rPr>
                <w:rFonts w:ascii="Times New Roman" w:hAnsi="Times New Roman" w:cs="Times New Roman"/>
                <w:sz w:val="24"/>
                <w:szCs w:val="24"/>
              </w:rPr>
              <w:t>, never alone</w:t>
            </w:r>
          </w:p>
          <w:p w:rsidR="00961E42" w:rsidRPr="0077361E"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Mentha pulegium</w:t>
            </w:r>
          </w:p>
          <w:p w:rsidR="00961E42" w:rsidRPr="00384C27"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Pitta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Mars</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Pennyroyal</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fever, blood cleansing, stop diarrhea, head, temperature, thirst, heatstroke, awakener, diuretic, stones, severe pain, GI disorders, menstruation &amp; labor aid, lungs, nerves, gums, gout, skin, inflammation, black cholera … </w:t>
            </w:r>
            <w:r>
              <w:rPr>
                <w:rFonts w:ascii="Times New Roman" w:hAnsi="Times New Roman" w:cs="Times New Roman"/>
                <w:b/>
                <w:sz w:val="24"/>
                <w:szCs w:val="24"/>
              </w:rPr>
              <w:t>can replace other herbs</w:t>
            </w:r>
          </w:p>
          <w:p w:rsidR="00961E42" w:rsidRPr="00384C27"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014E05"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energy, ward off disease &amp; - energy, negotiation, deflect, power, protect from evil, hex-breaker, peace, luck, family, contagious uses … </w:t>
            </w:r>
            <w:r>
              <w:rPr>
                <w:rFonts w:ascii="Times New Roman" w:hAnsi="Times New Roman" w:cs="Times New Roman"/>
                <w:b/>
                <w:sz w:val="24"/>
                <w:szCs w:val="24"/>
              </w:rPr>
              <w:t>poison</w:t>
            </w:r>
            <w:r>
              <w:rPr>
                <w:rFonts w:ascii="Times New Roman" w:hAnsi="Times New Roman" w:cs="Times New Roman"/>
                <w:sz w:val="24"/>
                <w:szCs w:val="24"/>
              </w:rPr>
              <w:t xml:space="preserve">, so </w:t>
            </w:r>
            <w:r>
              <w:rPr>
                <w:rFonts w:ascii="Times New Roman" w:hAnsi="Times New Roman" w:cs="Times New Roman"/>
                <w:b/>
                <w:sz w:val="24"/>
                <w:szCs w:val="24"/>
              </w:rPr>
              <w:t xml:space="preserve">darker </w:t>
            </w:r>
            <w:r>
              <w:rPr>
                <w:rFonts w:ascii="Times New Roman" w:hAnsi="Times New Roman" w:cs="Times New Roman"/>
                <w:b/>
                <w:sz w:val="24"/>
                <w:szCs w:val="24"/>
                <w:u w:val="single"/>
              </w:rPr>
              <w:t>Prunus spinosa</w:t>
            </w:r>
            <w:r>
              <w:rPr>
                <w:rFonts w:ascii="Times New Roman" w:hAnsi="Times New Roman" w:cs="Times New Roman"/>
                <w:sz w:val="24"/>
                <w:szCs w:val="24"/>
              </w:rPr>
              <w:t xml:space="preserve"> (blackthorn) replaces it; ties to Hecate</w:t>
            </w: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b/>
                <w:sz w:val="24"/>
                <w:szCs w:val="24"/>
              </w:rPr>
              <w:t>Moly</w:t>
            </w:r>
          </w:p>
          <w:p w:rsidR="00961E42" w:rsidRPr="0077361E"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Vata or Oil – hard to tell, with no modern ID</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or Earth, Mars or Venus – depending on the source</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(likened by Pliny to onion and squill)</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labor aid … </w:t>
            </w:r>
            <w:r w:rsidRPr="00CA2FC0">
              <w:rPr>
                <w:rFonts w:ascii="Times New Roman" w:hAnsi="Times New Roman" w:cs="Times New Roman"/>
                <w:b/>
                <w:sz w:val="24"/>
                <w:szCs w:val="24"/>
              </w:rPr>
              <w:t>unspecified</w:t>
            </w:r>
            <w:r>
              <w:rPr>
                <w:rFonts w:ascii="Times New Roman" w:hAnsi="Times New Roman" w:cs="Times New Roman"/>
                <w:sz w:val="24"/>
                <w:szCs w:val="24"/>
              </w:rPr>
              <w:t xml:space="preserve"> besides</w:t>
            </w: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hex-breaker … root-cutting </w:t>
            </w:r>
            <w:r>
              <w:rPr>
                <w:rFonts w:ascii="Times New Roman" w:hAnsi="Times New Roman" w:cs="Times New Roman"/>
                <w:b/>
                <w:sz w:val="24"/>
                <w:szCs w:val="24"/>
              </w:rPr>
              <w:t>superstition</w:t>
            </w:r>
            <w:r>
              <w:rPr>
                <w:rFonts w:ascii="Times New Roman" w:hAnsi="Times New Roman" w:cs="Times New Roman"/>
                <w:sz w:val="24"/>
                <w:szCs w:val="24"/>
              </w:rPr>
              <w:t xml:space="preserve"> (vague); possibly </w:t>
            </w:r>
            <w:r>
              <w:rPr>
                <w:rFonts w:ascii="Times New Roman" w:hAnsi="Times New Roman" w:cs="Times New Roman"/>
                <w:b/>
                <w:sz w:val="24"/>
                <w:szCs w:val="24"/>
              </w:rPr>
              <w:t>rituals</w:t>
            </w:r>
            <w:r>
              <w:rPr>
                <w:rFonts w:ascii="Times New Roman" w:hAnsi="Times New Roman" w:cs="Times New Roman"/>
                <w:sz w:val="24"/>
                <w:szCs w:val="24"/>
              </w:rPr>
              <w:t xml:space="preserve"> and Underworld ties</w:t>
            </w:r>
          </w:p>
          <w:p w:rsidR="00961E42" w:rsidRPr="00CA2FC0"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Olea</w:t>
            </w:r>
          </w:p>
          <w:p w:rsidR="00961E42" w:rsidRPr="00354A5F"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Oil, but also a Synergist</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Sun</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Olive</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diarrhea, inflammation, tumors, warmth, mouth ulcers, pesticide, BBP cleansing, skin, bleeding, eyes, ears, reflux, dandruff, mange, teeth, headache</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healing, headache, peace, luck, potency, protect from evil &amp; lightning, offerings, invisibility, scrying, necromancy, exorcism, tool construction … tied to Minerva and Sol</w:t>
            </w:r>
          </w:p>
          <w:p w:rsidR="00961E42"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Origanum</w:t>
            </w:r>
          </w:p>
          <w:p w:rsidR="00961E42" w:rsidRPr="00CC1510"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wet</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Vata; used against Earth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Mercury</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Oregano</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tumors, angina, lungs, antivenin, spasms &amp; tics, dropsy, black Humors, menstruation aid, coughs, itches, mange, jaundice, swelling, sores &amp; aches (nose, ears), emetic … can replace </w:t>
            </w:r>
            <w:r>
              <w:rPr>
                <w:rFonts w:ascii="Times New Roman" w:hAnsi="Times New Roman" w:cs="Times New Roman"/>
                <w:b/>
                <w:sz w:val="24"/>
                <w:szCs w:val="24"/>
              </w:rPr>
              <w:t>Allium</w:t>
            </w:r>
          </w:p>
          <w:p w:rsidR="00961E42" w:rsidRPr="00CC1510"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C848F5"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snake repellent, ward off hassling folks, court cases … used with or in place of </w:t>
            </w:r>
            <w:r>
              <w:rPr>
                <w:rFonts w:ascii="Times New Roman" w:hAnsi="Times New Roman" w:cs="Times New Roman"/>
                <w:b/>
                <w:sz w:val="24"/>
                <w:szCs w:val="24"/>
              </w:rPr>
              <w:t>Foeniculum</w:t>
            </w: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Papaver</w:t>
            </w:r>
          </w:p>
          <w:p w:rsidR="00961E42" w:rsidRPr="00014E05"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or cool,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Earth or Kapha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Water, Moon</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Poppy</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leprosy, sleep aid, anesthetic, analgesic, headache, earache, panacea, drug test … </w:t>
            </w:r>
            <w:r>
              <w:rPr>
                <w:rFonts w:ascii="Times New Roman" w:hAnsi="Times New Roman" w:cs="Times New Roman"/>
                <w:b/>
                <w:sz w:val="24"/>
                <w:szCs w:val="24"/>
              </w:rPr>
              <w:t>lethal</w:t>
            </w:r>
          </w:p>
          <w:p w:rsidR="00961E42" w:rsidRPr="00014E05"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sleep, luck, money, fertility, lust, invisibility, dream answers &amp; scrying, escape, confusion, offering, catalepsy, emotion manipulation … ties to Helen and Cupid</w:t>
            </w:r>
          </w:p>
          <w:p w:rsidR="00961E42"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Pr="00014E05"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Poales (family)</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cool, wet</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Vata or Earth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Water, Moon</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Reeds</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common</w:t>
            </w:r>
            <w:proofErr w:type="gramEnd"/>
            <w:r>
              <w:rPr>
                <w:rFonts w:ascii="Times New Roman" w:hAnsi="Times New Roman" w:cs="Times New Roman"/>
                <w:sz w:val="24"/>
                <w:szCs w:val="24"/>
              </w:rPr>
              <w:t>, giant, papyrus, etc.)</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Pr="00F61A65" w:rsidRDefault="00961E42" w:rsidP="00C703C2">
            <w:pPr>
              <w:jc w:val="center"/>
              <w:rPr>
                <w:rFonts w:ascii="Times New Roman" w:hAnsi="Times New Roman" w:cs="Times New Roman"/>
                <w:b/>
                <w:sz w:val="24"/>
                <w:szCs w:val="24"/>
              </w:rPr>
            </w:pPr>
            <w:r>
              <w:rPr>
                <w:rFonts w:ascii="Times New Roman" w:hAnsi="Times New Roman" w:cs="Times New Roman"/>
                <w:sz w:val="24"/>
                <w:szCs w:val="24"/>
              </w:rPr>
              <w:t xml:space="preserve">contact with body heals injuries … </w:t>
            </w:r>
            <w:r>
              <w:rPr>
                <w:rFonts w:ascii="Times New Roman" w:hAnsi="Times New Roman" w:cs="Times New Roman"/>
                <w:b/>
                <w:sz w:val="24"/>
                <w:szCs w:val="24"/>
              </w:rPr>
              <w:t>unclear</w:t>
            </w: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maybe war, love, makeshift condom, revelation &amp; guidance … possible ties to Osiris and Faunus</w:t>
            </w:r>
          </w:p>
          <w:p w:rsidR="00961E42"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b/>
                <w:sz w:val="24"/>
                <w:szCs w:val="24"/>
              </w:rPr>
              <w:t>Sambucus</w:t>
            </w:r>
          </w:p>
          <w:p w:rsidR="00961E42" w:rsidRPr="00081D05"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cool,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Kapha; used against Pitta and Ether</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Water, Venus</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Elder</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excessive fluids, diarrhea, watery brain, dropsy, bites, PMS aid, inflammation, burns, cleaning blood, deep wounds … </w:t>
            </w:r>
            <w:r w:rsidRPr="00081D05">
              <w:rPr>
                <w:rFonts w:ascii="Times New Roman" w:hAnsi="Times New Roman" w:cs="Times New Roman"/>
                <w:b/>
                <w:sz w:val="24"/>
                <w:szCs w:val="24"/>
              </w:rPr>
              <w:t>upsets stomach, though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immunity, pain-causing spirits, fevers, sleep aid, wands and flutes, blessing, change, spirit contact, wisdom, barriers, purification, disease … stronger than </w:t>
            </w:r>
            <w:r>
              <w:rPr>
                <w:rFonts w:ascii="Times New Roman" w:hAnsi="Times New Roman" w:cs="Times New Roman"/>
                <w:b/>
                <w:sz w:val="24"/>
                <w:szCs w:val="24"/>
              </w:rPr>
              <w:t>Anethum,</w:t>
            </w:r>
            <w:r>
              <w:rPr>
                <w:rFonts w:ascii="Times New Roman" w:hAnsi="Times New Roman" w:cs="Times New Roman"/>
                <w:sz w:val="24"/>
                <w:szCs w:val="24"/>
              </w:rPr>
              <w:t xml:space="preserve"> but </w:t>
            </w:r>
            <w:r>
              <w:rPr>
                <w:rFonts w:ascii="Times New Roman" w:hAnsi="Times New Roman" w:cs="Times New Roman"/>
                <w:b/>
                <w:sz w:val="24"/>
                <w:szCs w:val="24"/>
              </w:rPr>
              <w:t>dark</w:t>
            </w:r>
          </w:p>
          <w:p w:rsidR="00961E42" w:rsidRPr="00081D05" w:rsidRDefault="00961E42" w:rsidP="00C703C2">
            <w:pPr>
              <w:jc w:val="center"/>
              <w:rPr>
                <w:rFonts w:ascii="Times New Roman" w:hAnsi="Times New Roman" w:cs="Times New Roman"/>
                <w:sz w:val="24"/>
                <w:szCs w:val="24"/>
              </w:rPr>
            </w:pPr>
          </w:p>
        </w:tc>
      </w:tr>
    </w:tbl>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Squilla</w:t>
            </w:r>
          </w:p>
          <w:p w:rsidR="00961E42" w:rsidRPr="00F61A65"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Pitta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Fire, Mars</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Squill</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digestion, dropsy, dyspepsia, asthma, jaundice, bloody mucus, eyes, stomach</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antivenin, protect home, money, hex-breaker, attract customers</w:t>
            </w:r>
          </w:p>
        </w:tc>
      </w:tr>
    </w:tbl>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p w:rsidR="00961E42" w:rsidRDefault="00961E42" w:rsidP="00961E42">
      <w:pPr>
        <w:rPr>
          <w:rFonts w:ascii="Times New Roman" w:hAnsi="Times New Roman" w:cs="Times New Roman"/>
          <w:sz w:val="24"/>
          <w:szCs w:val="24"/>
        </w:rPr>
      </w:pPr>
    </w:p>
    <w:tbl>
      <w:tblPr>
        <w:tblStyle w:val="TableGrid"/>
        <w:tblW w:w="0" w:type="auto"/>
        <w:tblLook w:val="04A0"/>
      </w:tblPr>
      <w:tblGrid>
        <w:gridCol w:w="3192"/>
        <w:gridCol w:w="3192"/>
        <w:gridCol w:w="3192"/>
      </w:tblGrid>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b/>
                <w:sz w:val="24"/>
                <w:szCs w:val="24"/>
              </w:rPr>
            </w:pPr>
            <w:r>
              <w:rPr>
                <w:rFonts w:ascii="Times New Roman" w:hAnsi="Times New Roman" w:cs="Times New Roman"/>
                <w:b/>
                <w:sz w:val="24"/>
                <w:szCs w:val="24"/>
              </w:rPr>
              <w:t>Trifolium</w:t>
            </w:r>
          </w:p>
          <w:p w:rsidR="00961E42" w:rsidRPr="00F61A65" w:rsidRDefault="00961E42" w:rsidP="00C703C2">
            <w:pPr>
              <w:jc w:val="center"/>
              <w:rPr>
                <w:rFonts w:ascii="Times New Roman" w:hAnsi="Times New Roman" w:cs="Times New Roman"/>
                <w:b/>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H: hot, dry</w:t>
            </w: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6: Ether; used against Pitta</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Air, Mercury</w:t>
            </w:r>
          </w:p>
        </w:tc>
      </w:tr>
      <w:tr w:rsidR="00961E42" w:rsidTr="00C703C2">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Trefoil</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wounds, antivenin, blurriness, skin, sunburn, bladder pain</w:t>
            </w:r>
          </w:p>
          <w:p w:rsidR="00961E42" w:rsidRDefault="00961E42" w:rsidP="00C703C2">
            <w:pPr>
              <w:jc w:val="center"/>
              <w:rPr>
                <w:rFonts w:ascii="Times New Roman" w:hAnsi="Times New Roman" w:cs="Times New Roman"/>
                <w:sz w:val="24"/>
                <w:szCs w:val="24"/>
              </w:rPr>
            </w:pPr>
          </w:p>
        </w:tc>
        <w:tc>
          <w:tcPr>
            <w:tcW w:w="3192" w:type="dxa"/>
          </w:tcPr>
          <w:p w:rsidR="00961E42" w:rsidRDefault="00961E42" w:rsidP="00C703C2">
            <w:pPr>
              <w:jc w:val="center"/>
              <w:rPr>
                <w:rFonts w:ascii="Times New Roman" w:hAnsi="Times New Roman" w:cs="Times New Roman"/>
                <w:sz w:val="24"/>
                <w:szCs w:val="24"/>
              </w:rPr>
            </w:pPr>
          </w:p>
          <w:p w:rsidR="00961E42" w:rsidRDefault="00961E42" w:rsidP="00C703C2">
            <w:pPr>
              <w:jc w:val="center"/>
              <w:rPr>
                <w:rFonts w:ascii="Times New Roman" w:hAnsi="Times New Roman" w:cs="Times New Roman"/>
                <w:sz w:val="24"/>
                <w:szCs w:val="24"/>
              </w:rPr>
            </w:pPr>
            <w:r>
              <w:rPr>
                <w:rFonts w:ascii="Times New Roman" w:hAnsi="Times New Roman" w:cs="Times New Roman"/>
                <w:sz w:val="24"/>
                <w:szCs w:val="24"/>
              </w:rPr>
              <w:t xml:space="preserve">protect from evil &amp; snakes, easing heartbreak, Fairies, luck, love, hex-breaker … less useful than </w:t>
            </w:r>
            <w:r>
              <w:rPr>
                <w:rFonts w:ascii="Times New Roman" w:hAnsi="Times New Roman" w:cs="Times New Roman"/>
                <w:b/>
                <w:sz w:val="24"/>
                <w:szCs w:val="24"/>
                <w:u w:val="single"/>
              </w:rPr>
              <w:t>Potentilla</w:t>
            </w:r>
            <w:r>
              <w:rPr>
                <w:rFonts w:ascii="Times New Roman" w:hAnsi="Times New Roman" w:cs="Times New Roman"/>
                <w:sz w:val="24"/>
                <w:szCs w:val="24"/>
              </w:rPr>
              <w:t xml:space="preserve"> (cinquefoil); identified as “Semen of Ares”</w:t>
            </w:r>
          </w:p>
          <w:p w:rsidR="00961E42" w:rsidRPr="00A147F6" w:rsidRDefault="00961E42" w:rsidP="00C703C2">
            <w:pPr>
              <w:jc w:val="center"/>
              <w:rPr>
                <w:rFonts w:ascii="Times New Roman" w:hAnsi="Times New Roman" w:cs="Times New Roman"/>
                <w:sz w:val="24"/>
                <w:szCs w:val="24"/>
              </w:rPr>
            </w:pPr>
          </w:p>
        </w:tc>
      </w:tr>
    </w:tbl>
    <w:p w:rsidR="00E67321" w:rsidRPr="009A06BC" w:rsidRDefault="001F0DD8">
      <w:pPr>
        <w:rPr>
          <w:rFonts w:ascii="Times New Roman" w:hAnsi="Times New Roman" w:cs="Times New Roman"/>
          <w:sz w:val="24"/>
          <w:szCs w:val="24"/>
        </w:rPr>
      </w:pPr>
      <w:r w:rsidRPr="009A06BC">
        <w:rPr>
          <w:rFonts w:ascii="Times New Roman" w:hAnsi="Times New Roman" w:cs="Times New Roman"/>
          <w:sz w:val="24"/>
          <w:szCs w:val="24"/>
        </w:rPr>
        <w:br w:type="page"/>
      </w:r>
    </w:p>
    <w:p w:rsidR="00E67321" w:rsidRPr="009A06BC" w:rsidRDefault="00E67321" w:rsidP="00E67321">
      <w:pPr>
        <w:spacing w:line="480" w:lineRule="auto"/>
        <w:ind w:left="720" w:hanging="720"/>
        <w:jc w:val="center"/>
        <w:rPr>
          <w:rFonts w:ascii="Times New Roman" w:hAnsi="Times New Roman" w:cs="Times New Roman"/>
          <w:sz w:val="24"/>
          <w:szCs w:val="24"/>
        </w:rPr>
      </w:pPr>
      <w:r w:rsidRPr="009A06BC">
        <w:rPr>
          <w:rFonts w:ascii="Times New Roman" w:hAnsi="Times New Roman" w:cs="Times New Roman"/>
          <w:sz w:val="24"/>
          <w:szCs w:val="24"/>
        </w:rPr>
        <w:lastRenderedPageBreak/>
        <w:t>Bibliography</w:t>
      </w:r>
    </w:p>
    <w:p w:rsidR="00CC477F" w:rsidRDefault="00CC477F" w:rsidP="00E67321">
      <w:pPr>
        <w:spacing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‘Absinthe Green Fairy.’</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Dangers of Drinking Absinthe.</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Absinthe-Drink.com. 2011.</w:t>
      </w:r>
      <w:proofErr w:type="gramEnd"/>
      <w:r>
        <w:rPr>
          <w:rFonts w:ascii="Times New Roman" w:hAnsi="Times New Roman" w:cs="Times New Roman"/>
          <w:sz w:val="24"/>
          <w:szCs w:val="24"/>
        </w:rPr>
        <w:t xml:space="preserve"> Available at: https://absinthe-drink.com/absinthe-green-fairy [Accessed: 10</w:t>
      </w:r>
      <w:r w:rsidRPr="00A70B2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BF1B9F" w:rsidRPr="00BF1B9F" w:rsidRDefault="00BF1B9F" w:rsidP="00E67321">
      <w:pPr>
        <w:spacing w:line="480" w:lineRule="auto"/>
        <w:ind w:left="720" w:hanging="720"/>
        <w:rPr>
          <w:rFonts w:ascii="Times New Roman" w:hAnsi="Times New Roman" w:cs="Times New Roman"/>
          <w:i/>
          <w:sz w:val="24"/>
          <w:szCs w:val="24"/>
        </w:rPr>
      </w:pPr>
      <w:r>
        <w:rPr>
          <w:rFonts w:ascii="Times New Roman" w:hAnsi="Times New Roman" w:cs="Times New Roman"/>
          <w:sz w:val="24"/>
          <w:szCs w:val="24"/>
        </w:rPr>
        <w:t xml:space="preserve">Aeschylus </w:t>
      </w:r>
      <w:r>
        <w:rPr>
          <w:rFonts w:ascii="Times New Roman" w:hAnsi="Times New Roman" w:cs="Times New Roman"/>
          <w:i/>
          <w:sz w:val="24"/>
          <w:szCs w:val="24"/>
        </w:rPr>
        <w:t>Agamemnon</w:t>
      </w:r>
    </w:p>
    <w:p w:rsidR="007E0D51" w:rsidRPr="007E0D51" w:rsidRDefault="007E0D51" w:rsidP="00E67321">
      <w:pPr>
        <w:spacing w:line="480" w:lineRule="auto"/>
        <w:ind w:left="720" w:hanging="720"/>
        <w:rPr>
          <w:rFonts w:ascii="Times New Roman" w:hAnsi="Times New Roman" w:cs="Times New Roman"/>
          <w:i/>
          <w:sz w:val="24"/>
          <w:szCs w:val="24"/>
        </w:rPr>
      </w:pPr>
      <w:r>
        <w:rPr>
          <w:rFonts w:ascii="Times New Roman" w:hAnsi="Times New Roman" w:cs="Times New Roman"/>
          <w:sz w:val="24"/>
          <w:szCs w:val="24"/>
        </w:rPr>
        <w:t xml:space="preserve">Aeschylus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Libation Bearers</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Aëtius </w:t>
      </w:r>
      <w:proofErr w:type="gramStart"/>
      <w:r w:rsidRPr="00961E42">
        <w:rPr>
          <w:rFonts w:ascii="Times New Roman" w:hAnsi="Times New Roman" w:cs="Times New Roman"/>
          <w:i/>
          <w:sz w:val="24"/>
          <w:szCs w:val="24"/>
        </w:rPr>
        <w:t>On</w:t>
      </w:r>
      <w:proofErr w:type="gramEnd"/>
      <w:r w:rsidRPr="00961E42">
        <w:rPr>
          <w:rFonts w:ascii="Times New Roman" w:hAnsi="Times New Roman" w:cs="Times New Roman"/>
          <w:i/>
          <w:sz w:val="24"/>
          <w:szCs w:val="24"/>
        </w:rPr>
        <w:t xml:space="preserve"> the Opinions of Philosophers</w:t>
      </w:r>
      <w:r w:rsidRPr="009A06BC">
        <w:rPr>
          <w:rFonts w:ascii="Times New Roman" w:hAnsi="Times New Roman" w:cs="Times New Roman"/>
          <w:sz w:val="24"/>
          <w:szCs w:val="24"/>
        </w:rPr>
        <w:t xml:space="preserve"> </w:t>
      </w:r>
      <w:r w:rsidR="008C19CD">
        <w:rPr>
          <w:rFonts w:ascii="Times New Roman" w:hAnsi="Times New Roman" w:cs="Times New Roman"/>
          <w:sz w:val="24"/>
          <w:szCs w:val="24"/>
        </w:rPr>
        <w:t>5</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‘Agrimonia eupatoria – (L.)’</w:t>
      </w:r>
      <w:proofErr w:type="gramEnd"/>
      <w:r w:rsidRPr="009A06BC">
        <w:rPr>
          <w:rFonts w:ascii="Times New Roman" w:hAnsi="Times New Roman" w:cs="Times New Roman"/>
          <w:sz w:val="24"/>
          <w:szCs w:val="24"/>
        </w:rPr>
        <w:t xml:space="preserve"> </w:t>
      </w:r>
      <w:proofErr w:type="gramStart"/>
      <w:r w:rsidRPr="00961E42">
        <w:rPr>
          <w:rFonts w:ascii="Times New Roman" w:hAnsi="Times New Roman" w:cs="Times New Roman"/>
          <w:i/>
          <w:sz w:val="24"/>
          <w:szCs w:val="24"/>
        </w:rPr>
        <w:t>Plants for a Future.</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PFAF.</w:t>
      </w:r>
      <w:proofErr w:type="gramEnd"/>
      <w:r w:rsidRPr="009A06BC">
        <w:rPr>
          <w:rFonts w:ascii="Times New Roman" w:hAnsi="Times New Roman" w:cs="Times New Roman"/>
          <w:sz w:val="24"/>
          <w:szCs w:val="24"/>
        </w:rPr>
        <w:t xml:space="preserve"> 2020. Available at: https://pfaf.org/user/Plant.aspx?LatinName=Agrimonia+eupatoria [Accessed: 5</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March 2020].</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Style w:val="IntenseEmphasis"/>
          <w:rFonts w:ascii="Times New Roman" w:hAnsi="Times New Roman" w:cs="Times New Roman"/>
          <w:b w:val="0"/>
          <w:i w:val="0"/>
          <w:color w:val="auto"/>
          <w:sz w:val="24"/>
          <w:szCs w:val="24"/>
        </w:rPr>
        <w:t>‘Agrimony.’</w:t>
      </w:r>
      <w:proofErr w:type="gramEnd"/>
      <w:r w:rsidRPr="009A06BC">
        <w:rPr>
          <w:rStyle w:val="IntenseEmphasis"/>
          <w:rFonts w:ascii="Times New Roman" w:hAnsi="Times New Roman" w:cs="Times New Roman"/>
          <w:b w:val="0"/>
          <w:i w:val="0"/>
          <w:color w:val="auto"/>
          <w:sz w:val="24"/>
          <w:szCs w:val="24"/>
        </w:rPr>
        <w:t xml:space="preserve"> </w:t>
      </w:r>
      <w:proofErr w:type="gramStart"/>
      <w:r w:rsidRPr="00961E42">
        <w:rPr>
          <w:rStyle w:val="IntenseEmphasis"/>
          <w:rFonts w:ascii="Times New Roman" w:hAnsi="Times New Roman" w:cs="Times New Roman"/>
          <w:b w:val="0"/>
          <w:color w:val="auto"/>
          <w:sz w:val="24"/>
          <w:szCs w:val="24"/>
        </w:rPr>
        <w:t>A-Z Herb List.</w:t>
      </w:r>
      <w:proofErr w:type="gramEnd"/>
      <w:r w:rsidRPr="009A06BC">
        <w:rPr>
          <w:rStyle w:val="IntenseEmphasis"/>
          <w:rFonts w:ascii="Times New Roman" w:hAnsi="Times New Roman" w:cs="Times New Roman"/>
          <w:b w:val="0"/>
          <w:i w:val="0"/>
          <w:color w:val="auto"/>
          <w:sz w:val="24"/>
          <w:szCs w:val="24"/>
        </w:rPr>
        <w:t xml:space="preserve"> </w:t>
      </w:r>
      <w:proofErr w:type="gramStart"/>
      <w:r w:rsidRPr="009A06BC">
        <w:rPr>
          <w:rStyle w:val="IntenseEmphasis"/>
          <w:rFonts w:ascii="Times New Roman" w:hAnsi="Times New Roman" w:cs="Times New Roman"/>
          <w:b w:val="0"/>
          <w:i w:val="0"/>
          <w:color w:val="auto"/>
          <w:sz w:val="24"/>
          <w:szCs w:val="24"/>
        </w:rPr>
        <w:t>Herbwisdom.</w:t>
      </w:r>
      <w:proofErr w:type="gramEnd"/>
      <w:r w:rsidRPr="009A06BC">
        <w:rPr>
          <w:rStyle w:val="IntenseEmphasis"/>
          <w:rFonts w:ascii="Times New Roman" w:hAnsi="Times New Roman" w:cs="Times New Roman"/>
          <w:b w:val="0"/>
          <w:i w:val="0"/>
          <w:color w:val="auto"/>
          <w:sz w:val="24"/>
          <w:szCs w:val="24"/>
        </w:rPr>
        <w:t xml:space="preserve"> Available at: </w:t>
      </w:r>
      <w:r w:rsidRPr="009A06BC">
        <w:rPr>
          <w:rFonts w:ascii="Times New Roman" w:hAnsi="Times New Roman" w:cs="Times New Roman"/>
          <w:sz w:val="24"/>
          <w:szCs w:val="24"/>
        </w:rPr>
        <w:t>https://www.herbwisdom.com/herblist.html [Accessed: 21</w:t>
      </w:r>
      <w:r w:rsidRPr="009A06BC">
        <w:rPr>
          <w:rFonts w:ascii="Times New Roman" w:hAnsi="Times New Roman" w:cs="Times New Roman"/>
          <w:sz w:val="24"/>
          <w:szCs w:val="24"/>
          <w:vertAlign w:val="superscript"/>
        </w:rPr>
        <w:t>st</w:t>
      </w:r>
      <w:r w:rsidRPr="009A06BC">
        <w:rPr>
          <w:rFonts w:ascii="Times New Roman" w:hAnsi="Times New Roman" w:cs="Times New Roman"/>
          <w:sz w:val="24"/>
          <w:szCs w:val="24"/>
        </w:rPr>
        <w:t xml:space="preserve"> August 2019].</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Allan, M. C. ‘Holy Spirits.’ </w:t>
      </w:r>
      <w:proofErr w:type="gramStart"/>
      <w:r w:rsidRPr="00961E42">
        <w:rPr>
          <w:rFonts w:ascii="Times New Roman" w:hAnsi="Times New Roman" w:cs="Times New Roman"/>
          <w:i/>
          <w:sz w:val="24"/>
          <w:szCs w:val="24"/>
        </w:rPr>
        <w:t>The Washington Post</w:t>
      </w:r>
      <w:r w:rsidR="00EE430A">
        <w:rPr>
          <w:rFonts w:ascii="Times New Roman" w:hAnsi="Times New Roman" w:cs="Times New Roman"/>
          <w:i/>
          <w:sz w:val="24"/>
          <w:szCs w:val="24"/>
        </w:rPr>
        <w:t xml:space="preserve"> Magazine</w:t>
      </w:r>
      <w:r w:rsidRPr="00961E42">
        <w:rPr>
          <w:rFonts w:ascii="Times New Roman" w:hAnsi="Times New Roman" w:cs="Times New Roman"/>
          <w:i/>
          <w:sz w:val="24"/>
          <w:szCs w:val="24"/>
        </w:rPr>
        <w:t>.</w:t>
      </w:r>
      <w:proofErr w:type="gramEnd"/>
      <w:r w:rsidRPr="009A06BC">
        <w:rPr>
          <w:rFonts w:ascii="Times New Roman" w:hAnsi="Times New Roman" w:cs="Times New Roman"/>
          <w:sz w:val="24"/>
          <w:szCs w:val="24"/>
        </w:rPr>
        <w:t xml:space="preserve"> 24</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November 2019. pp. 54-64.</w:t>
      </w:r>
    </w:p>
    <w:p w:rsidR="00F209E2" w:rsidRPr="00F209E2" w:rsidRDefault="00F209E2" w:rsidP="00E67321">
      <w:pPr>
        <w:spacing w:line="480" w:lineRule="auto"/>
        <w:ind w:left="720" w:hanging="720"/>
        <w:rPr>
          <w:rFonts w:ascii="Times New Roman" w:hAnsi="Times New Roman" w:cs="Times New Roman"/>
          <w:sz w:val="24"/>
          <w:szCs w:val="24"/>
        </w:rPr>
      </w:pPr>
      <w:r w:rsidRPr="00F209E2">
        <w:rPr>
          <w:rFonts w:ascii="Times New Roman" w:hAnsi="Times New Roman" w:cs="Times New Roman"/>
          <w:sz w:val="24"/>
          <w:szCs w:val="24"/>
          <w:lang w:val="es-ES"/>
        </w:rPr>
        <w:t xml:space="preserve">Amigues, S. ‘Le silphium </w:t>
      </w:r>
      <w:r>
        <w:rPr>
          <w:rFonts w:ascii="Times New Roman" w:hAnsi="Times New Roman" w:cs="Times New Roman"/>
          <w:sz w:val="24"/>
          <w:szCs w:val="24"/>
          <w:lang w:val="es-ES"/>
        </w:rPr>
        <w:t>–</w:t>
      </w:r>
      <w:r w:rsidRPr="00F209E2">
        <w:rPr>
          <w:rFonts w:ascii="Times New Roman" w:hAnsi="Times New Roman" w:cs="Times New Roman"/>
          <w:sz w:val="24"/>
          <w:szCs w:val="24"/>
          <w:lang w:val="es-ES"/>
        </w:rPr>
        <w:t xml:space="preserve"> É</w:t>
      </w:r>
      <w:r>
        <w:rPr>
          <w:rFonts w:ascii="Times New Roman" w:hAnsi="Times New Roman" w:cs="Times New Roman"/>
          <w:sz w:val="24"/>
          <w:szCs w:val="24"/>
          <w:lang w:val="es-ES"/>
        </w:rPr>
        <w:t xml:space="preserve">tat de la question.’ </w:t>
      </w:r>
      <w:r w:rsidRPr="00F209E2">
        <w:rPr>
          <w:rFonts w:ascii="Times New Roman" w:hAnsi="Times New Roman" w:cs="Times New Roman"/>
          <w:i/>
          <w:sz w:val="24"/>
          <w:szCs w:val="24"/>
        </w:rPr>
        <w:t>Journal des Savants,</w:t>
      </w:r>
      <w:r>
        <w:rPr>
          <w:rFonts w:ascii="Times New Roman" w:hAnsi="Times New Roman" w:cs="Times New Roman"/>
          <w:i/>
          <w:sz w:val="24"/>
          <w:szCs w:val="24"/>
        </w:rPr>
        <w:t xml:space="preserve"> </w:t>
      </w:r>
      <w:r>
        <w:rPr>
          <w:rFonts w:ascii="Times New Roman" w:hAnsi="Times New Roman" w:cs="Times New Roman"/>
          <w:sz w:val="24"/>
          <w:szCs w:val="24"/>
        </w:rPr>
        <w:t>Vol. 2, 2004, pp. 191-226. Available at: https://persee.fr/doc/jds_0021-8103_2004_num_2_1_1685 [Accessed: 16</w:t>
      </w:r>
      <w:r w:rsidRPr="00F209E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rsidR="00E67321" w:rsidRDefault="00E67321" w:rsidP="00E67321">
      <w:pPr>
        <w:spacing w:line="480" w:lineRule="auto"/>
        <w:ind w:left="720" w:hanging="720"/>
        <w:rPr>
          <w:rFonts w:ascii="Times New Roman" w:hAnsi="Times New Roman" w:cs="Times New Roman"/>
          <w:sz w:val="24"/>
          <w:szCs w:val="24"/>
        </w:rPr>
      </w:pPr>
      <w:r w:rsidRPr="00961E42">
        <w:rPr>
          <w:rFonts w:ascii="Times New Roman" w:hAnsi="Times New Roman" w:cs="Times New Roman"/>
          <w:i/>
          <w:sz w:val="24"/>
          <w:szCs w:val="24"/>
        </w:rPr>
        <w:t>Anonymus Londinensis</w:t>
      </w:r>
      <w:r w:rsidRPr="009A06BC">
        <w:rPr>
          <w:rFonts w:ascii="Times New Roman" w:hAnsi="Times New Roman" w:cs="Times New Roman"/>
          <w:sz w:val="24"/>
          <w:szCs w:val="24"/>
        </w:rPr>
        <w:t xml:space="preserve"> 5.35-7.40</w:t>
      </w:r>
    </w:p>
    <w:p w:rsidR="00C95B32" w:rsidRPr="00C95B32" w:rsidRDefault="00C95B32"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Aristophanes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Clouds </w:t>
      </w:r>
      <w:r>
        <w:rPr>
          <w:rFonts w:ascii="Times New Roman" w:hAnsi="Times New Roman" w:cs="Times New Roman"/>
          <w:sz w:val="24"/>
          <w:szCs w:val="24"/>
        </w:rPr>
        <w:t>746-759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lastRenderedPageBreak/>
        <w:t xml:space="preserve">‘Aristotle.’ </w:t>
      </w:r>
      <w:proofErr w:type="gramStart"/>
      <w:r w:rsidRPr="00961E42">
        <w:rPr>
          <w:rFonts w:ascii="Times New Roman" w:hAnsi="Times New Roman" w:cs="Times New Roman"/>
          <w:i/>
          <w:sz w:val="24"/>
          <w:szCs w:val="24"/>
        </w:rPr>
        <w:t>Greek Medicine.</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National Library of Medicine.</w:t>
      </w:r>
      <w:proofErr w:type="gramEnd"/>
      <w:r w:rsidRPr="009A06BC">
        <w:rPr>
          <w:rFonts w:ascii="Times New Roman" w:hAnsi="Times New Roman" w:cs="Times New Roman"/>
          <w:sz w:val="24"/>
          <w:szCs w:val="24"/>
        </w:rPr>
        <w:t xml:space="preserve"> 2012. Available at: https://www.nlm.nih.gov/hmd/greek/greek_aristotle.html [Accessed: 15</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December 2019].</w:t>
      </w:r>
    </w:p>
    <w:p w:rsidR="00E67321" w:rsidRPr="00CB5F38" w:rsidRDefault="00E67321" w:rsidP="00E67321">
      <w:pPr>
        <w:spacing w:line="480" w:lineRule="auto"/>
        <w:ind w:left="720" w:hanging="720"/>
        <w:rPr>
          <w:rFonts w:ascii="Times New Roman" w:hAnsi="Times New Roman" w:cs="Times New Roman"/>
          <w:i/>
          <w:sz w:val="24"/>
          <w:szCs w:val="24"/>
          <w:lang w:val="es-ES"/>
        </w:rPr>
      </w:pPr>
      <w:r w:rsidRPr="00CB5F38">
        <w:rPr>
          <w:rFonts w:ascii="Times New Roman" w:hAnsi="Times New Roman" w:cs="Times New Roman"/>
          <w:sz w:val="24"/>
          <w:szCs w:val="24"/>
          <w:lang w:val="es-ES"/>
        </w:rPr>
        <w:t xml:space="preserve">Aristotle </w:t>
      </w:r>
      <w:r w:rsidRPr="00CB5F38">
        <w:rPr>
          <w:rFonts w:ascii="Times New Roman" w:hAnsi="Times New Roman" w:cs="Times New Roman"/>
          <w:i/>
          <w:sz w:val="24"/>
          <w:szCs w:val="24"/>
          <w:lang w:val="es-ES"/>
        </w:rPr>
        <w:t>De Animalibus</w:t>
      </w:r>
    </w:p>
    <w:p w:rsidR="00E67321" w:rsidRPr="00CB5F38" w:rsidRDefault="00E67321" w:rsidP="00E67321">
      <w:pPr>
        <w:spacing w:line="480" w:lineRule="auto"/>
        <w:ind w:left="720" w:hanging="720"/>
        <w:rPr>
          <w:rFonts w:ascii="Times New Roman" w:hAnsi="Times New Roman" w:cs="Times New Roman"/>
          <w:sz w:val="24"/>
          <w:szCs w:val="24"/>
          <w:lang w:val="es-ES"/>
        </w:rPr>
      </w:pPr>
      <w:r w:rsidRPr="00CB5F38">
        <w:rPr>
          <w:rFonts w:ascii="Times New Roman" w:hAnsi="Times New Roman" w:cs="Times New Roman"/>
          <w:sz w:val="24"/>
          <w:szCs w:val="24"/>
          <w:lang w:val="es-ES"/>
        </w:rPr>
        <w:t xml:space="preserve">Aristotle </w:t>
      </w:r>
      <w:r w:rsidR="007F431C" w:rsidRPr="00CB5F38">
        <w:rPr>
          <w:rFonts w:ascii="Times New Roman" w:hAnsi="Times New Roman" w:cs="Times New Roman"/>
          <w:i/>
          <w:sz w:val="24"/>
          <w:szCs w:val="24"/>
          <w:lang w:val="es-ES"/>
        </w:rPr>
        <w:t>De Plantis</w:t>
      </w:r>
      <w:r w:rsidRPr="00CB5F38">
        <w:rPr>
          <w:rFonts w:ascii="Times New Roman" w:hAnsi="Times New Roman" w:cs="Times New Roman"/>
          <w:sz w:val="24"/>
          <w:szCs w:val="24"/>
          <w:lang w:val="es-ES"/>
        </w:rPr>
        <w:t xml:space="preserve"> 1.3.2-3, 1.7.2</w:t>
      </w:r>
    </w:p>
    <w:p w:rsidR="00E67321" w:rsidRPr="007F431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Aristotle </w:t>
      </w:r>
      <w:r w:rsidR="007F431C">
        <w:rPr>
          <w:rFonts w:ascii="Times New Roman" w:hAnsi="Times New Roman" w:cs="Times New Roman"/>
          <w:i/>
          <w:sz w:val="24"/>
          <w:szCs w:val="24"/>
        </w:rPr>
        <w:t>Historia Animalium</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Atsma, A. J. ‘Ovid, Metamorphoses 10.’ </w:t>
      </w:r>
      <w:proofErr w:type="gramStart"/>
      <w:r w:rsidR="003F3C99">
        <w:rPr>
          <w:rFonts w:ascii="Times New Roman" w:hAnsi="Times New Roman" w:cs="Times New Roman"/>
          <w:i/>
          <w:sz w:val="24"/>
          <w:szCs w:val="24"/>
        </w:rPr>
        <w:t>THEOI.</w:t>
      </w:r>
      <w:proofErr w:type="gramEnd"/>
      <w:r w:rsidR="003F3C99">
        <w:rPr>
          <w:rFonts w:ascii="Times New Roman" w:hAnsi="Times New Roman" w:cs="Times New Roman"/>
          <w:i/>
          <w:sz w:val="24"/>
          <w:szCs w:val="24"/>
        </w:rPr>
        <w:t xml:space="preserve"> </w:t>
      </w:r>
      <w:r w:rsidRPr="009A06BC">
        <w:rPr>
          <w:rFonts w:ascii="Times New Roman" w:hAnsi="Times New Roman" w:cs="Times New Roman"/>
          <w:sz w:val="24"/>
          <w:szCs w:val="24"/>
        </w:rPr>
        <w:t>Theoi Project. 2017. Available at: https://www.theoi.com/Text/OvidMetamorphoses10.html [Accessed: 15</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February 2020].</w:t>
      </w:r>
    </w:p>
    <w:p w:rsidR="00000D19" w:rsidRPr="00000D19" w:rsidRDefault="00000D19" w:rsidP="00E67321">
      <w:pPr>
        <w:spacing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‘Belladonna.’</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The Powerful Solanaceae.</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U.S. Forest Service.</w:t>
      </w:r>
      <w:proofErr w:type="gramEnd"/>
      <w:r>
        <w:rPr>
          <w:rFonts w:ascii="Times New Roman" w:hAnsi="Times New Roman" w:cs="Times New Roman"/>
          <w:sz w:val="24"/>
          <w:szCs w:val="24"/>
        </w:rPr>
        <w:t xml:space="preserve"> </w:t>
      </w:r>
      <w:r w:rsidR="007F431C">
        <w:rPr>
          <w:rFonts w:ascii="Times New Roman" w:hAnsi="Times New Roman" w:cs="Times New Roman"/>
          <w:sz w:val="24"/>
          <w:szCs w:val="24"/>
        </w:rPr>
        <w:t>Available at: https://www.fs.fed.us/wildflowers/ethnobotany/Mind_and_Spirit/belladonna.shtml [Accessed: 11</w:t>
      </w:r>
      <w:r w:rsidR="007F431C" w:rsidRPr="007F431C">
        <w:rPr>
          <w:rFonts w:ascii="Times New Roman" w:hAnsi="Times New Roman" w:cs="Times New Roman"/>
          <w:sz w:val="24"/>
          <w:szCs w:val="24"/>
          <w:vertAlign w:val="superscript"/>
        </w:rPr>
        <w:t>th</w:t>
      </w:r>
      <w:r w:rsidR="007F431C">
        <w:rPr>
          <w:rFonts w:ascii="Times New Roman" w:hAnsi="Times New Roman" w:cs="Times New Roman"/>
          <w:sz w:val="24"/>
          <w:szCs w:val="24"/>
        </w:rPr>
        <w:t xml:space="preserve"> March 2020].</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Bliquez, L. </w:t>
      </w:r>
      <w:r w:rsidRPr="003F3C99">
        <w:rPr>
          <w:rFonts w:ascii="Times New Roman" w:hAnsi="Times New Roman" w:cs="Times New Roman"/>
          <w:i/>
          <w:sz w:val="24"/>
          <w:szCs w:val="24"/>
        </w:rPr>
        <w:t>The Tools of Asclepius: Surgical Instruments in Greek and Roman Times.</w:t>
      </w:r>
      <w:r w:rsidRPr="009A06BC">
        <w:rPr>
          <w:rFonts w:ascii="Times New Roman" w:hAnsi="Times New Roman" w:cs="Times New Roman"/>
          <w:sz w:val="24"/>
          <w:szCs w:val="24"/>
        </w:rPr>
        <w:t xml:space="preserve"> Boston: Brill, 2015.</w:t>
      </w:r>
    </w:p>
    <w:p w:rsidR="00E67321"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‘Bloodroot.’</w:t>
      </w:r>
      <w:proofErr w:type="gramEnd"/>
      <w:r w:rsidRPr="009A06BC">
        <w:rPr>
          <w:rFonts w:ascii="Times New Roman" w:hAnsi="Times New Roman" w:cs="Times New Roman"/>
          <w:sz w:val="24"/>
          <w:szCs w:val="24"/>
        </w:rPr>
        <w:t xml:space="preserve"> </w:t>
      </w:r>
      <w:proofErr w:type="gramStart"/>
      <w:r w:rsidRPr="003F3C99">
        <w:rPr>
          <w:rStyle w:val="IntenseEmphasis"/>
          <w:rFonts w:ascii="Times New Roman" w:hAnsi="Times New Roman" w:cs="Times New Roman"/>
          <w:b w:val="0"/>
          <w:color w:val="auto"/>
          <w:sz w:val="24"/>
          <w:szCs w:val="24"/>
        </w:rPr>
        <w:t>Vitamins, Herbs, and Dietary Supplements.</w:t>
      </w:r>
      <w:proofErr w:type="gramEnd"/>
      <w:r w:rsidRPr="009A06BC">
        <w:rPr>
          <w:rStyle w:val="IntenseEmphasis"/>
          <w:rFonts w:ascii="Times New Roman" w:hAnsi="Times New Roman" w:cs="Times New Roman"/>
          <w:b w:val="0"/>
          <w:i w:val="0"/>
          <w:color w:val="auto"/>
          <w:sz w:val="24"/>
          <w:szCs w:val="24"/>
        </w:rPr>
        <w:t xml:space="preserve"> </w:t>
      </w:r>
      <w:proofErr w:type="gramStart"/>
      <w:r w:rsidRPr="009A06BC">
        <w:rPr>
          <w:rStyle w:val="IntenseEmphasis"/>
          <w:rFonts w:ascii="Times New Roman" w:hAnsi="Times New Roman" w:cs="Times New Roman"/>
          <w:b w:val="0"/>
          <w:i w:val="0"/>
          <w:color w:val="auto"/>
          <w:sz w:val="24"/>
          <w:szCs w:val="24"/>
        </w:rPr>
        <w:t>MedicineNet.</w:t>
      </w:r>
      <w:proofErr w:type="gramEnd"/>
      <w:r w:rsidRPr="009A06BC">
        <w:rPr>
          <w:rStyle w:val="IntenseEmphasis"/>
          <w:rFonts w:ascii="Times New Roman" w:hAnsi="Times New Roman" w:cs="Times New Roman"/>
          <w:b w:val="0"/>
          <w:i w:val="0"/>
          <w:color w:val="auto"/>
          <w:sz w:val="24"/>
          <w:szCs w:val="24"/>
        </w:rPr>
        <w:t xml:space="preserve"> Available at: </w:t>
      </w:r>
      <w:r w:rsidRPr="009A06BC">
        <w:rPr>
          <w:rFonts w:ascii="Times New Roman" w:hAnsi="Times New Roman" w:cs="Times New Roman"/>
          <w:sz w:val="24"/>
          <w:szCs w:val="24"/>
        </w:rPr>
        <w:t>https://www.medicinenet.com/bloodroot/supplements-vitamins.htm [Accessed: 22</w:t>
      </w:r>
      <w:r w:rsidRPr="009A06BC">
        <w:rPr>
          <w:rFonts w:ascii="Times New Roman" w:hAnsi="Times New Roman" w:cs="Times New Roman"/>
          <w:sz w:val="24"/>
          <w:szCs w:val="24"/>
          <w:vertAlign w:val="superscript"/>
        </w:rPr>
        <w:t>nd</w:t>
      </w:r>
      <w:r w:rsidRPr="009A06BC">
        <w:rPr>
          <w:rFonts w:ascii="Times New Roman" w:hAnsi="Times New Roman" w:cs="Times New Roman"/>
          <w:sz w:val="24"/>
          <w:szCs w:val="24"/>
        </w:rPr>
        <w:t xml:space="preserve"> August 2019].</w:t>
      </w:r>
    </w:p>
    <w:p w:rsidR="009C58E6" w:rsidRDefault="009C58E6"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Bockler, D. ‘Let’s Play Doctor: Medical Rounds in Ancient Greece.’ </w:t>
      </w:r>
      <w:proofErr w:type="gramStart"/>
      <w:r>
        <w:rPr>
          <w:rFonts w:ascii="Times New Roman" w:hAnsi="Times New Roman" w:cs="Times New Roman"/>
          <w:i/>
          <w:sz w:val="24"/>
          <w:szCs w:val="24"/>
        </w:rPr>
        <w:t>The American Biology Teacher.</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Vol. 60, No. 2, Feb. 1998, pp. 106-11. Available at: </w:t>
      </w:r>
      <w:r w:rsidRPr="009C58E6">
        <w:rPr>
          <w:rFonts w:ascii="Times New Roman" w:hAnsi="Times New Roman" w:cs="Times New Roman"/>
          <w:sz w:val="24"/>
          <w:szCs w:val="24"/>
        </w:rPr>
        <w:t>https://taurus.hood.edu:2145/stable/4450428</w:t>
      </w:r>
      <w:r>
        <w:rPr>
          <w:rFonts w:ascii="Times New Roman" w:hAnsi="Times New Roman" w:cs="Times New Roman"/>
          <w:sz w:val="24"/>
          <w:szCs w:val="24"/>
        </w:rPr>
        <w:t xml:space="preserve"> [Accessed: 29</w:t>
      </w:r>
      <w:r w:rsidRPr="009C58E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BD5FD1" w:rsidRPr="00BD5FD1" w:rsidRDefault="00BD5FD1" w:rsidP="00E67321">
      <w:pPr>
        <w:spacing w:line="480" w:lineRule="auto"/>
        <w:ind w:left="720" w:hanging="720"/>
        <w:rPr>
          <w:rFonts w:ascii="Times New Roman" w:hAnsi="Times New Roman" w:cs="Times New Roman"/>
          <w:sz w:val="24"/>
          <w:szCs w:val="24"/>
        </w:rPr>
      </w:pPr>
      <w:r w:rsidRPr="00BD5FD1">
        <w:rPr>
          <w:rFonts w:ascii="Times New Roman" w:hAnsi="Times New Roman" w:cs="Times New Roman"/>
          <w:sz w:val="24"/>
          <w:szCs w:val="24"/>
        </w:rPr>
        <w:lastRenderedPageBreak/>
        <w:t>Bocock, J. P. (trans.) ‘Poems, Book 2.8: Bright-eye</w:t>
      </w:r>
      <w:r>
        <w:rPr>
          <w:rFonts w:ascii="Times New Roman" w:hAnsi="Times New Roman" w:cs="Times New Roman"/>
          <w:sz w:val="24"/>
          <w:szCs w:val="24"/>
        </w:rPr>
        <w:t xml:space="preserve">d Witch.’ </w:t>
      </w:r>
      <w:proofErr w:type="gramStart"/>
      <w:r w:rsidRPr="00BD5FD1">
        <w:rPr>
          <w:rFonts w:ascii="Times New Roman" w:hAnsi="Times New Roman" w:cs="Times New Roman"/>
          <w:i/>
          <w:sz w:val="24"/>
          <w:szCs w:val="24"/>
        </w:rPr>
        <w:t>The Complete Works of H</w:t>
      </w:r>
      <w:r>
        <w:rPr>
          <w:rFonts w:ascii="Times New Roman" w:hAnsi="Times New Roman" w:cs="Times New Roman"/>
          <w:i/>
          <w:sz w:val="24"/>
          <w:szCs w:val="24"/>
        </w:rPr>
        <w:t>orace.</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C. J. Kraemer, Jr. (ed.) New York: The Modern Library, 1936. </w:t>
      </w:r>
      <w:proofErr w:type="gramStart"/>
      <w:r>
        <w:rPr>
          <w:rFonts w:ascii="Times New Roman" w:hAnsi="Times New Roman" w:cs="Times New Roman"/>
          <w:sz w:val="24"/>
          <w:szCs w:val="24"/>
        </w:rPr>
        <w:t>pp. 191.</w:t>
      </w:r>
      <w:proofErr w:type="gramEnd"/>
    </w:p>
    <w:p w:rsidR="00FD65B2" w:rsidRPr="00FD65B2" w:rsidRDefault="00FD65B2" w:rsidP="00E67321">
      <w:pPr>
        <w:spacing w:line="480" w:lineRule="auto"/>
        <w:ind w:left="720" w:hanging="720"/>
        <w:rPr>
          <w:rFonts w:ascii="Times New Roman" w:hAnsi="Times New Roman" w:cs="Times New Roman"/>
          <w:sz w:val="24"/>
          <w:szCs w:val="24"/>
          <w:lang w:val="es-ES"/>
        </w:rPr>
      </w:pPr>
      <w:r w:rsidRPr="00BD5FD1">
        <w:rPr>
          <w:rFonts w:ascii="Times New Roman" w:hAnsi="Times New Roman" w:cs="Times New Roman"/>
          <w:sz w:val="24"/>
          <w:szCs w:val="24"/>
          <w:lang w:val="es-ES"/>
        </w:rPr>
        <w:t xml:space="preserve">Boudon, V. ‘Partie Litteraire – Aux márges de la médecine rationelle: médecins et charlatans a Rome au temps de Galien (11e s. de notre ere). </w:t>
      </w:r>
      <w:r>
        <w:rPr>
          <w:rFonts w:ascii="Times New Roman" w:hAnsi="Times New Roman" w:cs="Times New Roman"/>
          <w:i/>
          <w:sz w:val="24"/>
          <w:szCs w:val="24"/>
          <w:lang w:val="es-ES"/>
        </w:rPr>
        <w:t xml:space="preserve">Revue des études grecques. </w:t>
      </w:r>
      <w:r>
        <w:rPr>
          <w:rFonts w:ascii="Times New Roman" w:hAnsi="Times New Roman" w:cs="Times New Roman"/>
          <w:sz w:val="24"/>
          <w:szCs w:val="24"/>
          <w:lang w:val="es-ES"/>
        </w:rPr>
        <w:t>Vol. 116, June 2003, pp. 109.</w:t>
      </w:r>
    </w:p>
    <w:p w:rsidR="00B311C0" w:rsidRPr="00B311C0" w:rsidRDefault="00B311C0" w:rsidP="00E67321">
      <w:pPr>
        <w:spacing w:line="480" w:lineRule="auto"/>
        <w:ind w:left="720" w:hanging="720"/>
        <w:rPr>
          <w:rFonts w:ascii="Times New Roman" w:hAnsi="Times New Roman" w:cs="Times New Roman"/>
          <w:sz w:val="24"/>
          <w:szCs w:val="24"/>
        </w:rPr>
      </w:pPr>
      <w:r w:rsidRPr="00FD65B2">
        <w:rPr>
          <w:rFonts w:ascii="Times New Roman" w:hAnsi="Times New Roman" w:cs="Times New Roman"/>
          <w:sz w:val="24"/>
          <w:szCs w:val="24"/>
          <w:lang w:val="es-ES"/>
        </w:rPr>
        <w:t xml:space="preserve">Bozóky, E. </w:t>
      </w:r>
      <w:r w:rsidRPr="00FD65B2">
        <w:rPr>
          <w:rFonts w:ascii="Times New Roman" w:hAnsi="Times New Roman" w:cs="Times New Roman"/>
          <w:i/>
          <w:sz w:val="24"/>
          <w:szCs w:val="24"/>
          <w:lang w:val="es-ES"/>
        </w:rPr>
        <w:t xml:space="preserve">Charmes et priers apotropaïques. </w:t>
      </w:r>
      <w:r>
        <w:rPr>
          <w:rFonts w:ascii="Times New Roman" w:hAnsi="Times New Roman" w:cs="Times New Roman"/>
          <w:sz w:val="24"/>
          <w:szCs w:val="24"/>
        </w:rPr>
        <w:t>Turnhout: Brepols, 2013.</w:t>
      </w:r>
    </w:p>
    <w:p w:rsidR="00E67321" w:rsidRPr="009A06BC" w:rsidRDefault="00E67321" w:rsidP="00E67321">
      <w:pPr>
        <w:spacing w:line="480" w:lineRule="auto"/>
        <w:ind w:left="720" w:hanging="720"/>
        <w:rPr>
          <w:rFonts w:ascii="Times New Roman" w:hAnsi="Times New Roman" w:cs="Times New Roman"/>
          <w:sz w:val="24"/>
          <w:szCs w:val="24"/>
        </w:rPr>
      </w:pPr>
      <w:r w:rsidRPr="00B311C0">
        <w:rPr>
          <w:rStyle w:val="IntenseEmphasis"/>
          <w:rFonts w:ascii="Times New Roman" w:hAnsi="Times New Roman" w:cs="Times New Roman"/>
          <w:b w:val="0"/>
          <w:i w:val="0"/>
          <w:color w:val="auto"/>
          <w:sz w:val="24"/>
          <w:szCs w:val="24"/>
        </w:rPr>
        <w:t xml:space="preserve">Br. Marie-Victorin. </w:t>
      </w:r>
      <w:r w:rsidRPr="009A06BC">
        <w:rPr>
          <w:rStyle w:val="IntenseEmphasis"/>
          <w:rFonts w:ascii="Times New Roman" w:hAnsi="Times New Roman" w:cs="Times New Roman"/>
          <w:b w:val="0"/>
          <w:i w:val="0"/>
          <w:color w:val="auto"/>
          <w:sz w:val="24"/>
          <w:szCs w:val="24"/>
          <w:lang w:val="es-ES"/>
        </w:rPr>
        <w:t xml:space="preserve">‘Sanguinaria canadensis.’ </w:t>
      </w:r>
      <w:r w:rsidRPr="002C42A2">
        <w:rPr>
          <w:rStyle w:val="IntenseEmphasis"/>
          <w:rFonts w:ascii="Times New Roman" w:hAnsi="Times New Roman" w:cs="Times New Roman"/>
          <w:b w:val="0"/>
          <w:color w:val="auto"/>
          <w:sz w:val="24"/>
          <w:szCs w:val="24"/>
          <w:lang w:val="es-ES"/>
        </w:rPr>
        <w:t>Flore Laurentienne,</w:t>
      </w:r>
      <w:r w:rsidRPr="002C42A2">
        <w:rPr>
          <w:rStyle w:val="IntenseEmphasis"/>
          <w:rFonts w:ascii="Times New Roman" w:hAnsi="Times New Roman" w:cs="Times New Roman"/>
          <w:b w:val="0"/>
          <w:i w:val="0"/>
          <w:color w:val="auto"/>
          <w:sz w:val="24"/>
          <w:szCs w:val="24"/>
          <w:lang w:val="es-ES"/>
        </w:rPr>
        <w:t xml:space="preserve"> </w:t>
      </w:r>
      <w:r w:rsidR="003F3C99" w:rsidRPr="002C42A2">
        <w:rPr>
          <w:rStyle w:val="IntenseEmphasis"/>
          <w:rFonts w:ascii="Times New Roman" w:hAnsi="Times New Roman" w:cs="Times New Roman"/>
          <w:b w:val="0"/>
          <w:i w:val="0"/>
          <w:color w:val="auto"/>
          <w:sz w:val="24"/>
          <w:szCs w:val="24"/>
          <w:lang w:val="es-ES"/>
        </w:rPr>
        <w:t>trans.</w:t>
      </w:r>
      <w:r w:rsidRPr="002C42A2">
        <w:rPr>
          <w:rStyle w:val="IntenseEmphasis"/>
          <w:rFonts w:ascii="Times New Roman" w:hAnsi="Times New Roman" w:cs="Times New Roman"/>
          <w:b w:val="0"/>
          <w:i w:val="0"/>
          <w:color w:val="auto"/>
          <w:sz w:val="24"/>
          <w:szCs w:val="24"/>
          <w:lang w:val="es-ES"/>
        </w:rPr>
        <w:t xml:space="preserve"> </w:t>
      </w:r>
      <w:r w:rsidRPr="009A06BC">
        <w:rPr>
          <w:rStyle w:val="IntenseEmphasis"/>
          <w:rFonts w:ascii="Times New Roman" w:hAnsi="Times New Roman" w:cs="Times New Roman"/>
          <w:b w:val="0"/>
          <w:i w:val="0"/>
          <w:color w:val="auto"/>
          <w:sz w:val="24"/>
          <w:szCs w:val="24"/>
        </w:rPr>
        <w:t xml:space="preserve">N. Ouellette. Montreal: Presses of the University of Montreal, 2002, pp. 248. Available at: </w:t>
      </w:r>
      <w:r w:rsidRPr="009A06BC">
        <w:rPr>
          <w:rFonts w:ascii="Times New Roman" w:hAnsi="Times New Roman" w:cs="Times New Roman"/>
          <w:sz w:val="24"/>
          <w:szCs w:val="24"/>
        </w:rPr>
        <w:t>http://www.florelaurentienne.com/flore/Groupes/Spermatophytes/Angiospermes/Dicotyles/039_Papaveracees/02_Sanguinaria/canadensis.htm [Accessed: 22</w:t>
      </w:r>
      <w:r w:rsidRPr="009A06BC">
        <w:rPr>
          <w:rFonts w:ascii="Times New Roman" w:hAnsi="Times New Roman" w:cs="Times New Roman"/>
          <w:sz w:val="24"/>
          <w:szCs w:val="24"/>
          <w:vertAlign w:val="superscript"/>
        </w:rPr>
        <w:t>nd</w:t>
      </w:r>
      <w:r w:rsidRPr="009A06BC">
        <w:rPr>
          <w:rFonts w:ascii="Times New Roman" w:hAnsi="Times New Roman" w:cs="Times New Roman"/>
          <w:sz w:val="24"/>
          <w:szCs w:val="24"/>
        </w:rPr>
        <w:t xml:space="preserve"> August 2019].</w:t>
      </w:r>
    </w:p>
    <w:p w:rsidR="00BF1B9F" w:rsidRPr="00BF1B9F" w:rsidRDefault="00BF1B9F"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Campbell, L. (trans.) ‘Agamemnon.’ </w:t>
      </w:r>
      <w:r>
        <w:rPr>
          <w:rFonts w:ascii="Times New Roman" w:hAnsi="Times New Roman" w:cs="Times New Roman"/>
          <w:i/>
          <w:sz w:val="24"/>
          <w:szCs w:val="24"/>
        </w:rPr>
        <w:t xml:space="preserve">Four Famous Greek Plays. </w:t>
      </w:r>
      <w:r>
        <w:rPr>
          <w:rFonts w:ascii="Times New Roman" w:hAnsi="Times New Roman" w:cs="Times New Roman"/>
          <w:sz w:val="24"/>
          <w:szCs w:val="24"/>
        </w:rPr>
        <w:t>P. Landis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New York: The Modern Library, 1929.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Celsus </w:t>
      </w:r>
      <w:proofErr w:type="gramStart"/>
      <w:r w:rsidRPr="003F3C99">
        <w:rPr>
          <w:rFonts w:ascii="Times New Roman" w:hAnsi="Times New Roman" w:cs="Times New Roman"/>
          <w:i/>
          <w:sz w:val="24"/>
          <w:szCs w:val="24"/>
        </w:rPr>
        <w:t>On</w:t>
      </w:r>
      <w:proofErr w:type="gramEnd"/>
      <w:r w:rsidRPr="003F3C99">
        <w:rPr>
          <w:rFonts w:ascii="Times New Roman" w:hAnsi="Times New Roman" w:cs="Times New Roman"/>
          <w:i/>
          <w:sz w:val="24"/>
          <w:szCs w:val="24"/>
        </w:rPr>
        <w:t xml:space="preserve"> Medicine</w:t>
      </w:r>
      <w:r w:rsidRPr="009A06BC">
        <w:rPr>
          <w:rFonts w:ascii="Times New Roman" w:hAnsi="Times New Roman" w:cs="Times New Roman"/>
          <w:sz w:val="24"/>
          <w:szCs w:val="24"/>
        </w:rPr>
        <w:t xml:space="preserve"> 3.9.2, 4, 5.1</w:t>
      </w:r>
    </w:p>
    <w:p w:rsidR="00E67321"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 xml:space="preserve">Chancellor, P. M. </w:t>
      </w:r>
      <w:r w:rsidRPr="003F3C99">
        <w:rPr>
          <w:rFonts w:ascii="Times New Roman" w:hAnsi="Times New Roman" w:cs="Times New Roman"/>
          <w:i/>
          <w:sz w:val="24"/>
          <w:szCs w:val="24"/>
        </w:rPr>
        <w:t>Handbook of the Bach Flower Remedies.</w:t>
      </w:r>
      <w:proofErr w:type="gramEnd"/>
      <w:r w:rsidRPr="009A06BC">
        <w:rPr>
          <w:rFonts w:ascii="Times New Roman" w:hAnsi="Times New Roman" w:cs="Times New Roman"/>
          <w:sz w:val="24"/>
          <w:szCs w:val="24"/>
        </w:rPr>
        <w:t xml:space="preserve"> London: C. W. Daniel Co. Ltd., 1985.</w:t>
      </w:r>
    </w:p>
    <w:p w:rsidR="00447C91" w:rsidRPr="00447C91" w:rsidRDefault="00447C91" w:rsidP="00E67321">
      <w:pPr>
        <w:spacing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Chase, T. and Stuart, G. (eds.) </w:t>
      </w:r>
      <w:r>
        <w:rPr>
          <w:rFonts w:ascii="Times New Roman" w:hAnsi="Times New Roman" w:cs="Times New Roman"/>
          <w:i/>
          <w:sz w:val="24"/>
          <w:szCs w:val="24"/>
        </w:rPr>
        <w:t>Metamorphoses.</w:t>
      </w:r>
      <w:proofErr w:type="gramEnd"/>
      <w:r>
        <w:rPr>
          <w:rFonts w:ascii="Times New Roman" w:hAnsi="Times New Roman" w:cs="Times New Roman"/>
          <w:i/>
          <w:sz w:val="24"/>
          <w:szCs w:val="24"/>
        </w:rPr>
        <w:t xml:space="preserve"> </w:t>
      </w:r>
      <w:r>
        <w:rPr>
          <w:rFonts w:ascii="Times New Roman" w:hAnsi="Times New Roman" w:cs="Times New Roman"/>
          <w:sz w:val="24"/>
          <w:szCs w:val="24"/>
        </w:rPr>
        <w:t>New York: Noble and Noble, 1927.</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Chaucer </w:t>
      </w:r>
      <w:proofErr w:type="gramStart"/>
      <w:r w:rsidRPr="003F3C99">
        <w:rPr>
          <w:rFonts w:ascii="Times New Roman" w:hAnsi="Times New Roman" w:cs="Times New Roman"/>
          <w:i/>
          <w:sz w:val="24"/>
          <w:szCs w:val="24"/>
        </w:rPr>
        <w:t>The</w:t>
      </w:r>
      <w:proofErr w:type="gramEnd"/>
      <w:r w:rsidRPr="003F3C99">
        <w:rPr>
          <w:rFonts w:ascii="Times New Roman" w:hAnsi="Times New Roman" w:cs="Times New Roman"/>
          <w:i/>
          <w:sz w:val="24"/>
          <w:szCs w:val="24"/>
        </w:rPr>
        <w:t xml:space="preserve"> Canterbury Tales</w:t>
      </w:r>
      <w:r w:rsidRPr="009A06BC">
        <w:rPr>
          <w:rFonts w:ascii="Times New Roman" w:hAnsi="Times New Roman" w:cs="Times New Roman"/>
          <w:sz w:val="24"/>
          <w:szCs w:val="24"/>
        </w:rPr>
        <w:t xml:space="preserve"> 1387-1400</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Chisholm, H. ‘Moly’. </w:t>
      </w:r>
      <w:proofErr w:type="gramStart"/>
      <w:r w:rsidRPr="003F3C99">
        <w:rPr>
          <w:rFonts w:ascii="Times New Roman" w:hAnsi="Times New Roman" w:cs="Times New Roman"/>
          <w:i/>
          <w:sz w:val="24"/>
          <w:szCs w:val="24"/>
        </w:rPr>
        <w:t>Encyclopaedia Britannica.</w:t>
      </w:r>
      <w:proofErr w:type="gramEnd"/>
      <w:r w:rsidRPr="009A06BC">
        <w:rPr>
          <w:rFonts w:ascii="Times New Roman" w:hAnsi="Times New Roman" w:cs="Times New Roman"/>
          <w:sz w:val="24"/>
          <w:szCs w:val="24"/>
        </w:rPr>
        <w:t xml:space="preserve"> Vol. 18, pp. 681. </w:t>
      </w:r>
      <w:proofErr w:type="gramStart"/>
      <w:r w:rsidRPr="009A06BC">
        <w:rPr>
          <w:rFonts w:ascii="Times New Roman" w:hAnsi="Times New Roman" w:cs="Times New Roman"/>
          <w:sz w:val="24"/>
          <w:szCs w:val="24"/>
        </w:rPr>
        <w:t>Cambridge University Press, 1911.</w:t>
      </w:r>
      <w:proofErr w:type="gramEnd"/>
      <w:r w:rsidRPr="009A06BC">
        <w:rPr>
          <w:rFonts w:ascii="Times New Roman" w:hAnsi="Times New Roman" w:cs="Times New Roman"/>
          <w:sz w:val="24"/>
          <w:szCs w:val="24"/>
        </w:rPr>
        <w:t xml:space="preserve"> Available at: https://www.revolvy.com/topic/Moly%</w:t>
      </w:r>
      <w:proofErr w:type="gramStart"/>
      <w:r w:rsidRPr="009A06BC">
        <w:rPr>
          <w:rFonts w:ascii="Times New Roman" w:hAnsi="Times New Roman" w:cs="Times New Roman"/>
          <w:sz w:val="24"/>
          <w:szCs w:val="24"/>
        </w:rPr>
        <w:t>20(</w:t>
      </w:r>
      <w:proofErr w:type="gramEnd"/>
      <w:r w:rsidRPr="009A06BC">
        <w:rPr>
          <w:rFonts w:ascii="Times New Roman" w:hAnsi="Times New Roman" w:cs="Times New Roman"/>
          <w:sz w:val="24"/>
          <w:szCs w:val="24"/>
        </w:rPr>
        <w:t>herb)?cr=1 [Accessed: 29</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May 2019].</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lastRenderedPageBreak/>
        <w:t xml:space="preserve">Christie, A. </w:t>
      </w:r>
      <w:r w:rsidRPr="003F3C99">
        <w:rPr>
          <w:rFonts w:ascii="Times New Roman" w:hAnsi="Times New Roman" w:cs="Times New Roman"/>
          <w:i/>
          <w:sz w:val="24"/>
          <w:szCs w:val="24"/>
        </w:rPr>
        <w:t>Hallowe’en Party.</w:t>
      </w:r>
      <w:r w:rsidRPr="009A06BC">
        <w:rPr>
          <w:rFonts w:ascii="Times New Roman" w:hAnsi="Times New Roman" w:cs="Times New Roman"/>
          <w:sz w:val="24"/>
          <w:szCs w:val="24"/>
        </w:rPr>
        <w:t xml:space="preserve"> New York: Pocket Books, 1986.</w:t>
      </w:r>
    </w:p>
    <w:p w:rsidR="00C703C2" w:rsidRDefault="00C703C2"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Clark, R. J. ‘A Note on Medea’s Plant and the Mandrake.’ </w:t>
      </w:r>
      <w:r>
        <w:rPr>
          <w:rFonts w:ascii="Times New Roman" w:hAnsi="Times New Roman" w:cs="Times New Roman"/>
          <w:i/>
          <w:sz w:val="24"/>
          <w:szCs w:val="24"/>
        </w:rPr>
        <w:t xml:space="preserve">Folklore, </w:t>
      </w:r>
      <w:r>
        <w:rPr>
          <w:rFonts w:ascii="Times New Roman" w:hAnsi="Times New Roman" w:cs="Times New Roman"/>
          <w:sz w:val="24"/>
          <w:szCs w:val="24"/>
        </w:rPr>
        <w:t>Vol. 79, No. 3, 1968, pp. 227-31. Available at: http://www.jstor.org/stable/1258842 [Accessed: 17th May 2016].</w:t>
      </w:r>
    </w:p>
    <w:p w:rsidR="005E66B4" w:rsidRPr="005E66B4" w:rsidRDefault="005E66B4"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Collins, D.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Trial of Theoris of Lemnos: A 4</w:t>
      </w:r>
      <w:r w:rsidRPr="005E66B4">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Witch or Folk Healer?’ </w:t>
      </w:r>
      <w:proofErr w:type="gramStart"/>
      <w:r>
        <w:rPr>
          <w:rFonts w:ascii="Times New Roman" w:hAnsi="Times New Roman" w:cs="Times New Roman"/>
          <w:i/>
          <w:sz w:val="24"/>
          <w:szCs w:val="24"/>
        </w:rPr>
        <w:t>Western Folklore.</w:t>
      </w:r>
      <w:proofErr w:type="gramEnd"/>
      <w:r>
        <w:rPr>
          <w:rFonts w:ascii="Times New Roman" w:hAnsi="Times New Roman" w:cs="Times New Roman"/>
          <w:i/>
          <w:sz w:val="24"/>
          <w:szCs w:val="24"/>
        </w:rPr>
        <w:t xml:space="preserve"> </w:t>
      </w:r>
      <w:r>
        <w:rPr>
          <w:rFonts w:ascii="Times New Roman" w:hAnsi="Times New Roman" w:cs="Times New Roman"/>
          <w:sz w:val="24"/>
          <w:szCs w:val="24"/>
        </w:rPr>
        <w:t>Vol. 59, No. 3-4, 2000, pp. 251-78. Available at: https://www.jstor.org/stable/1500236 [Accessed: 28</w:t>
      </w:r>
      <w:r w:rsidRPr="005E66B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Conway, D. J. </w:t>
      </w:r>
      <w:r w:rsidRPr="003F3C99">
        <w:rPr>
          <w:rFonts w:ascii="Times New Roman" w:hAnsi="Times New Roman" w:cs="Times New Roman"/>
          <w:i/>
          <w:sz w:val="24"/>
          <w:szCs w:val="24"/>
        </w:rPr>
        <w:t>Norse Magic.</w:t>
      </w:r>
      <w:r w:rsidRPr="009A06BC">
        <w:rPr>
          <w:rFonts w:ascii="Times New Roman" w:hAnsi="Times New Roman" w:cs="Times New Roman"/>
          <w:sz w:val="24"/>
          <w:szCs w:val="24"/>
        </w:rPr>
        <w:t xml:space="preserve"> St. Paul: Llewellyn Publications, 1997.</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Culpeper </w:t>
      </w:r>
      <w:proofErr w:type="gramStart"/>
      <w:r w:rsidRPr="003F3C99">
        <w:rPr>
          <w:rFonts w:ascii="Times New Roman" w:hAnsi="Times New Roman" w:cs="Times New Roman"/>
          <w:i/>
          <w:sz w:val="24"/>
          <w:szCs w:val="24"/>
        </w:rPr>
        <w:t>The</w:t>
      </w:r>
      <w:proofErr w:type="gramEnd"/>
      <w:r w:rsidRPr="003F3C99">
        <w:rPr>
          <w:rFonts w:ascii="Times New Roman" w:hAnsi="Times New Roman" w:cs="Times New Roman"/>
          <w:i/>
          <w:sz w:val="24"/>
          <w:szCs w:val="24"/>
        </w:rPr>
        <w:t xml:space="preserve"> Complete Herbal</w:t>
      </w:r>
      <w:r w:rsidRPr="009A06BC">
        <w:rPr>
          <w:rFonts w:ascii="Times New Roman" w:hAnsi="Times New Roman" w:cs="Times New Roman"/>
          <w:sz w:val="24"/>
          <w:szCs w:val="24"/>
        </w:rPr>
        <w:t xml:space="preserve"> 1653</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Cunningham, S. </w:t>
      </w:r>
      <w:r w:rsidRPr="003F3C99">
        <w:rPr>
          <w:rFonts w:ascii="Times New Roman" w:hAnsi="Times New Roman" w:cs="Times New Roman"/>
          <w:i/>
          <w:sz w:val="24"/>
          <w:szCs w:val="24"/>
        </w:rPr>
        <w:t>Cunningham’s Encyclopedia of Magical Herbs.</w:t>
      </w:r>
      <w:r w:rsidRPr="009A06BC">
        <w:rPr>
          <w:rFonts w:ascii="Times New Roman" w:hAnsi="Times New Roman" w:cs="Times New Roman"/>
          <w:sz w:val="24"/>
          <w:szCs w:val="24"/>
        </w:rPr>
        <w:t xml:space="preserve"> Woodbury: Llewellyn Publications, 2017.</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Curry, W.C. </w:t>
      </w:r>
      <w:r w:rsidRPr="003F3C99">
        <w:rPr>
          <w:rFonts w:ascii="Times New Roman" w:hAnsi="Times New Roman" w:cs="Times New Roman"/>
          <w:i/>
          <w:sz w:val="24"/>
          <w:szCs w:val="24"/>
        </w:rPr>
        <w:t>Chaucer and the Mediaeval Sciences.</w:t>
      </w:r>
      <w:r w:rsidRPr="009A06BC">
        <w:rPr>
          <w:rFonts w:ascii="Times New Roman" w:hAnsi="Times New Roman" w:cs="Times New Roman"/>
          <w:sz w:val="24"/>
          <w:szCs w:val="24"/>
        </w:rPr>
        <w:t xml:space="preserve"> New York: Oxford University Press, 1926.</w:t>
      </w:r>
    </w:p>
    <w:p w:rsidR="00C703C2" w:rsidRDefault="00C703C2"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Daniels, C. L. M. and Stevens, C. M. </w:t>
      </w:r>
      <w:r>
        <w:rPr>
          <w:rFonts w:ascii="Times New Roman" w:hAnsi="Times New Roman" w:cs="Times New Roman"/>
          <w:i/>
          <w:sz w:val="24"/>
          <w:szCs w:val="24"/>
        </w:rPr>
        <w:t xml:space="preserve">Encyclopaedia of Superstitions, Folklore, and the Occult Sciences of the World. </w:t>
      </w:r>
      <w:proofErr w:type="gramStart"/>
      <w:r>
        <w:rPr>
          <w:rFonts w:ascii="Times New Roman" w:hAnsi="Times New Roman" w:cs="Times New Roman"/>
          <w:sz w:val="24"/>
          <w:szCs w:val="24"/>
        </w:rPr>
        <w:t>Vol. 3.</w:t>
      </w:r>
      <w:proofErr w:type="gramEnd"/>
      <w:r>
        <w:rPr>
          <w:rFonts w:ascii="Times New Roman" w:hAnsi="Times New Roman" w:cs="Times New Roman"/>
          <w:sz w:val="24"/>
          <w:szCs w:val="24"/>
        </w:rPr>
        <w:t xml:space="preserve"> Milwaukee: J. H. Yewdale &amp; Sons Company, 1903.</w:t>
      </w:r>
    </w:p>
    <w:p w:rsidR="00800027" w:rsidRPr="00800027" w:rsidRDefault="00800027" w:rsidP="00E67321">
      <w:pPr>
        <w:spacing w:line="480" w:lineRule="auto"/>
        <w:ind w:left="720" w:hanging="720"/>
        <w:rPr>
          <w:rFonts w:ascii="Times New Roman" w:hAnsi="Times New Roman" w:cs="Times New Roman"/>
          <w:sz w:val="24"/>
          <w:szCs w:val="24"/>
        </w:rPr>
      </w:pPr>
      <w:proofErr w:type="gramStart"/>
      <w:r w:rsidRPr="00800027">
        <w:rPr>
          <w:rFonts w:ascii="Times New Roman" w:hAnsi="Times New Roman" w:cs="Times New Roman"/>
          <w:sz w:val="24"/>
          <w:szCs w:val="24"/>
        </w:rPr>
        <w:t>de</w:t>
      </w:r>
      <w:proofErr w:type="gramEnd"/>
      <w:r w:rsidRPr="00800027">
        <w:rPr>
          <w:rFonts w:ascii="Times New Roman" w:hAnsi="Times New Roman" w:cs="Times New Roman"/>
          <w:sz w:val="24"/>
          <w:szCs w:val="24"/>
        </w:rPr>
        <w:t xml:space="preserve"> Haro Sánchez, M. ‘Between Magic an</w:t>
      </w:r>
      <w:r>
        <w:rPr>
          <w:rFonts w:ascii="Times New Roman" w:hAnsi="Times New Roman" w:cs="Times New Roman"/>
          <w:sz w:val="24"/>
          <w:szCs w:val="24"/>
        </w:rPr>
        <w:t xml:space="preserve">d Medicine: The Iatromagical Formularies and Medical Receptaries on Papyri Compared.’ </w:t>
      </w:r>
      <w:proofErr w:type="gramStart"/>
      <w:r>
        <w:rPr>
          <w:rFonts w:ascii="Times New Roman" w:hAnsi="Times New Roman" w:cs="Times New Roman"/>
          <w:i/>
          <w:sz w:val="24"/>
          <w:szCs w:val="24"/>
        </w:rPr>
        <w:t>Zeitschrift für Papyrologie und Epigraphik.</w:t>
      </w:r>
      <w:proofErr w:type="gramEnd"/>
      <w:r>
        <w:rPr>
          <w:rFonts w:ascii="Times New Roman" w:hAnsi="Times New Roman" w:cs="Times New Roman"/>
          <w:i/>
          <w:sz w:val="24"/>
          <w:szCs w:val="24"/>
        </w:rPr>
        <w:t xml:space="preserve"> </w:t>
      </w:r>
      <w:r>
        <w:rPr>
          <w:rFonts w:ascii="Times New Roman" w:hAnsi="Times New Roman" w:cs="Times New Roman"/>
          <w:sz w:val="24"/>
          <w:szCs w:val="24"/>
        </w:rPr>
        <w:t>Vol. 195, 2015, pp. 179-89. Available at: http://academia.edu/1979789 [Accessed: 30</w:t>
      </w:r>
      <w:r w:rsidRPr="0080002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800027" w:rsidRPr="002C42A2" w:rsidRDefault="00800027" w:rsidP="00E67321">
      <w:pPr>
        <w:spacing w:line="480" w:lineRule="auto"/>
        <w:ind w:left="720" w:hanging="720"/>
        <w:rPr>
          <w:rFonts w:ascii="Times New Roman" w:hAnsi="Times New Roman" w:cs="Times New Roman"/>
          <w:sz w:val="24"/>
          <w:szCs w:val="24"/>
        </w:rPr>
      </w:pPr>
      <w:proofErr w:type="gramStart"/>
      <w:r w:rsidRPr="00800027">
        <w:rPr>
          <w:rFonts w:ascii="Times New Roman" w:hAnsi="Times New Roman" w:cs="Times New Roman"/>
          <w:sz w:val="24"/>
          <w:szCs w:val="24"/>
          <w:lang w:val="es-ES"/>
        </w:rPr>
        <w:t>de</w:t>
      </w:r>
      <w:proofErr w:type="gramEnd"/>
      <w:r w:rsidRPr="00800027">
        <w:rPr>
          <w:rFonts w:ascii="Times New Roman" w:hAnsi="Times New Roman" w:cs="Times New Roman"/>
          <w:sz w:val="24"/>
          <w:szCs w:val="24"/>
          <w:lang w:val="es-ES"/>
        </w:rPr>
        <w:t xml:space="preserve"> Haro Sánchez, M. ‘C</w:t>
      </w:r>
      <w:r>
        <w:rPr>
          <w:rFonts w:ascii="Times New Roman" w:hAnsi="Times New Roman" w:cs="Times New Roman"/>
          <w:sz w:val="24"/>
          <w:szCs w:val="24"/>
          <w:lang w:val="es-ES"/>
        </w:rPr>
        <w:t xml:space="preserve">atalogue des papyrus iatromagiques grecs.’ </w:t>
      </w:r>
      <w:r w:rsidRPr="002C42A2">
        <w:rPr>
          <w:rFonts w:ascii="Times New Roman" w:hAnsi="Times New Roman" w:cs="Times New Roman"/>
          <w:i/>
          <w:sz w:val="24"/>
          <w:szCs w:val="24"/>
        </w:rPr>
        <w:t xml:space="preserve">Papyrologica Lupiensia. </w:t>
      </w:r>
      <w:r w:rsidRPr="002C42A2">
        <w:rPr>
          <w:rFonts w:ascii="Times New Roman" w:hAnsi="Times New Roman" w:cs="Times New Roman"/>
          <w:sz w:val="24"/>
          <w:szCs w:val="24"/>
        </w:rPr>
        <w:t>Vol. 13, 2004, pp. 39-60. Available at: http://hdl.handle.net/2268/15686 [Accessed: 30</w:t>
      </w:r>
      <w:r w:rsidRPr="002C42A2">
        <w:rPr>
          <w:rFonts w:ascii="Times New Roman" w:hAnsi="Times New Roman" w:cs="Times New Roman"/>
          <w:sz w:val="24"/>
          <w:szCs w:val="24"/>
          <w:vertAlign w:val="superscript"/>
        </w:rPr>
        <w:t>th</w:t>
      </w:r>
      <w:r w:rsidRPr="002C42A2">
        <w:rPr>
          <w:rFonts w:ascii="Times New Roman" w:hAnsi="Times New Roman" w:cs="Times New Roman"/>
          <w:sz w:val="24"/>
          <w:szCs w:val="24"/>
        </w:rPr>
        <w:t xml:space="preserve"> March 2020].</w:t>
      </w:r>
    </w:p>
    <w:p w:rsidR="00C70CE5" w:rsidRPr="00800027" w:rsidRDefault="00C70CE5" w:rsidP="00E67321">
      <w:pPr>
        <w:spacing w:line="480" w:lineRule="auto"/>
        <w:ind w:left="720" w:hanging="720"/>
        <w:rPr>
          <w:rFonts w:ascii="Times New Roman" w:hAnsi="Times New Roman" w:cs="Times New Roman"/>
          <w:sz w:val="24"/>
          <w:szCs w:val="24"/>
          <w:lang w:val="es-ES"/>
        </w:rPr>
      </w:pPr>
      <w:r w:rsidRPr="002C42A2">
        <w:rPr>
          <w:rFonts w:ascii="Times New Roman" w:hAnsi="Times New Roman" w:cs="Times New Roman"/>
          <w:sz w:val="24"/>
          <w:szCs w:val="24"/>
        </w:rPr>
        <w:lastRenderedPageBreak/>
        <w:t xml:space="preserve">Delaurenti, B. and Boureau, A. </w:t>
      </w:r>
      <w:r w:rsidRPr="002C42A2">
        <w:rPr>
          <w:rFonts w:ascii="Times New Roman" w:hAnsi="Times New Roman" w:cs="Times New Roman"/>
          <w:i/>
          <w:sz w:val="24"/>
          <w:szCs w:val="24"/>
        </w:rPr>
        <w:t xml:space="preserve">La puissance des mots, “virtus verborum”: débats doctrinaux sur le pouvoir des incantations au Moyen Âge. </w:t>
      </w:r>
      <w:r w:rsidRPr="00800027">
        <w:rPr>
          <w:rFonts w:ascii="Times New Roman" w:hAnsi="Times New Roman" w:cs="Times New Roman"/>
          <w:sz w:val="24"/>
          <w:szCs w:val="24"/>
          <w:lang w:val="es-ES"/>
        </w:rPr>
        <w:t>Paris: Éditions du Cerf, 2010.</w:t>
      </w:r>
    </w:p>
    <w:p w:rsidR="00E67321" w:rsidRPr="00CB5F38" w:rsidRDefault="00E67321" w:rsidP="00E67321">
      <w:pPr>
        <w:spacing w:line="480" w:lineRule="auto"/>
        <w:ind w:left="720" w:hanging="720"/>
        <w:rPr>
          <w:rFonts w:ascii="Times New Roman" w:hAnsi="Times New Roman" w:cs="Times New Roman"/>
          <w:sz w:val="24"/>
          <w:szCs w:val="24"/>
        </w:rPr>
      </w:pPr>
      <w:r w:rsidRPr="00CB5F38">
        <w:rPr>
          <w:rFonts w:ascii="Times New Roman" w:hAnsi="Times New Roman" w:cs="Times New Roman"/>
          <w:i/>
          <w:sz w:val="24"/>
          <w:szCs w:val="24"/>
        </w:rPr>
        <w:t>Deutsche Kalendar</w:t>
      </w:r>
      <w:r w:rsidRPr="00CB5F38">
        <w:rPr>
          <w:rFonts w:ascii="Times New Roman" w:hAnsi="Times New Roman" w:cs="Times New Roman"/>
          <w:sz w:val="24"/>
          <w:szCs w:val="24"/>
        </w:rPr>
        <w:t xml:space="preserve"> </w:t>
      </w:r>
      <w:r w:rsidR="009C18DE">
        <w:rPr>
          <w:rFonts w:ascii="Times New Roman" w:hAnsi="Times New Roman" w:cs="Times New Roman"/>
          <w:sz w:val="24"/>
          <w:szCs w:val="24"/>
        </w:rPr>
        <w:t>(</w:t>
      </w:r>
      <w:r w:rsidRPr="00CB5F38">
        <w:rPr>
          <w:rFonts w:ascii="Times New Roman" w:hAnsi="Times New Roman" w:cs="Times New Roman"/>
          <w:sz w:val="24"/>
          <w:szCs w:val="24"/>
        </w:rPr>
        <w:t>1498</w:t>
      </w:r>
      <w:r w:rsidR="009C18DE">
        <w:rPr>
          <w:rFonts w:ascii="Times New Roman" w:hAnsi="Times New Roman" w:cs="Times New Roman"/>
          <w:sz w:val="24"/>
          <w:szCs w:val="24"/>
        </w:rPr>
        <w:t>)</w:t>
      </w:r>
    </w:p>
    <w:p w:rsidR="00E67321" w:rsidRPr="00CB5F38" w:rsidRDefault="00E67321" w:rsidP="00E67321">
      <w:pPr>
        <w:spacing w:line="480" w:lineRule="auto"/>
        <w:ind w:left="720" w:hanging="720"/>
        <w:rPr>
          <w:rFonts w:ascii="Times New Roman" w:hAnsi="Times New Roman" w:cs="Times New Roman"/>
          <w:sz w:val="24"/>
          <w:szCs w:val="24"/>
        </w:rPr>
      </w:pPr>
      <w:r w:rsidRPr="00CB5F38">
        <w:rPr>
          <w:rFonts w:ascii="Times New Roman" w:hAnsi="Times New Roman" w:cs="Times New Roman"/>
          <w:sz w:val="24"/>
          <w:szCs w:val="24"/>
        </w:rPr>
        <w:t xml:space="preserve">Dioscorides </w:t>
      </w:r>
      <w:r w:rsidRPr="00CB5F38">
        <w:rPr>
          <w:rFonts w:ascii="Times New Roman" w:hAnsi="Times New Roman" w:cs="Times New Roman"/>
          <w:i/>
          <w:sz w:val="24"/>
          <w:szCs w:val="24"/>
        </w:rPr>
        <w:t>De Materia Medica</w:t>
      </w:r>
      <w:r w:rsidRPr="00CB5F38">
        <w:rPr>
          <w:rFonts w:ascii="Times New Roman" w:hAnsi="Times New Roman" w:cs="Times New Roman"/>
          <w:sz w:val="24"/>
          <w:szCs w:val="24"/>
        </w:rPr>
        <w:t xml:space="preserve"> </w:t>
      </w:r>
      <w:r w:rsidR="003F3C99" w:rsidRPr="00CB5F38">
        <w:rPr>
          <w:rFonts w:ascii="Times New Roman" w:hAnsi="Times New Roman" w:cs="Times New Roman"/>
          <w:sz w:val="24"/>
          <w:szCs w:val="24"/>
        </w:rPr>
        <w:t>I-IV, XIX-XXI</w:t>
      </w:r>
    </w:p>
    <w:p w:rsidR="00C703C2" w:rsidRDefault="00C703C2" w:rsidP="00E67321">
      <w:pPr>
        <w:spacing w:line="480" w:lineRule="auto"/>
        <w:ind w:left="720" w:hanging="720"/>
        <w:rPr>
          <w:rFonts w:ascii="Times New Roman" w:hAnsi="Times New Roman" w:cs="Times New Roman"/>
          <w:sz w:val="24"/>
          <w:szCs w:val="24"/>
        </w:rPr>
      </w:pPr>
      <w:r w:rsidRPr="00C703C2">
        <w:rPr>
          <w:rFonts w:ascii="Times New Roman" w:hAnsi="Times New Roman" w:cs="Times New Roman"/>
          <w:sz w:val="24"/>
          <w:szCs w:val="24"/>
        </w:rPr>
        <w:t xml:space="preserve">Dioscorides </w:t>
      </w:r>
      <w:r>
        <w:rPr>
          <w:rFonts w:ascii="Times New Roman" w:hAnsi="Times New Roman" w:cs="Times New Roman"/>
          <w:i/>
          <w:sz w:val="24"/>
          <w:szCs w:val="24"/>
          <w:lang w:val="el-GR"/>
        </w:rPr>
        <w:t>Περὶ</w:t>
      </w:r>
      <w:r w:rsidRPr="00C703C2">
        <w:rPr>
          <w:rFonts w:ascii="Times New Roman" w:hAnsi="Times New Roman" w:cs="Times New Roman"/>
          <w:i/>
          <w:sz w:val="24"/>
          <w:szCs w:val="24"/>
        </w:rPr>
        <w:t xml:space="preserve"> </w:t>
      </w:r>
      <w:r>
        <w:rPr>
          <w:rFonts w:ascii="Times New Roman" w:hAnsi="Times New Roman" w:cs="Times New Roman"/>
          <w:i/>
          <w:sz w:val="24"/>
          <w:szCs w:val="24"/>
          <w:lang w:val="el-GR"/>
        </w:rPr>
        <w:t>ὕλης</w:t>
      </w:r>
      <w:r w:rsidRPr="00C703C2">
        <w:rPr>
          <w:rFonts w:ascii="Times New Roman" w:hAnsi="Times New Roman" w:cs="Times New Roman"/>
          <w:i/>
          <w:sz w:val="24"/>
          <w:szCs w:val="24"/>
        </w:rPr>
        <w:t xml:space="preserve"> </w:t>
      </w:r>
      <w:r>
        <w:rPr>
          <w:rFonts w:ascii="Times New Roman" w:hAnsi="Times New Roman" w:cs="Times New Roman"/>
          <w:i/>
          <w:sz w:val="24"/>
          <w:szCs w:val="24"/>
          <w:lang w:val="el-GR"/>
        </w:rPr>
        <w:t>ἰατρικῆς</w:t>
      </w:r>
      <w:r w:rsidRPr="00C703C2">
        <w:rPr>
          <w:rFonts w:ascii="Times New Roman" w:hAnsi="Times New Roman" w:cs="Times New Roman"/>
          <w:i/>
          <w:sz w:val="24"/>
          <w:szCs w:val="24"/>
        </w:rPr>
        <w:t xml:space="preserve"> </w:t>
      </w:r>
      <w:r>
        <w:rPr>
          <w:rFonts w:ascii="Times New Roman" w:hAnsi="Times New Roman" w:cs="Times New Roman"/>
          <w:sz w:val="24"/>
          <w:szCs w:val="24"/>
        </w:rPr>
        <w:t>IV</w:t>
      </w:r>
    </w:p>
    <w:p w:rsidR="00C703C2" w:rsidRPr="00C703C2" w:rsidRDefault="00C703C2" w:rsidP="00E67321">
      <w:pPr>
        <w:spacing w:line="480" w:lineRule="auto"/>
        <w:ind w:left="720" w:hanging="720"/>
        <w:rPr>
          <w:rFonts w:ascii="Times New Roman" w:hAnsi="Times New Roman" w:cs="Times New Roman"/>
          <w:sz w:val="24"/>
          <w:szCs w:val="24"/>
        </w:rPr>
      </w:pPr>
      <w:proofErr w:type="gramStart"/>
      <w:r w:rsidRPr="00C703C2">
        <w:rPr>
          <w:rFonts w:ascii="Times New Roman" w:hAnsi="Times New Roman" w:cs="Times New Roman"/>
          <w:sz w:val="24"/>
          <w:szCs w:val="24"/>
        </w:rPr>
        <w:t>‘</w:t>
      </w:r>
      <w:r>
        <w:rPr>
          <w:rFonts w:ascii="Times New Roman" w:hAnsi="Times New Roman" w:cs="Times New Roman"/>
          <w:sz w:val="24"/>
          <w:szCs w:val="24"/>
          <w:lang w:val="el-GR"/>
        </w:rPr>
        <w:t>ΕΙΣ</w:t>
      </w:r>
      <w:r w:rsidRPr="00C703C2">
        <w:rPr>
          <w:rFonts w:ascii="Times New Roman" w:hAnsi="Times New Roman" w:cs="Times New Roman"/>
          <w:sz w:val="24"/>
          <w:szCs w:val="24"/>
        </w:rPr>
        <w:t xml:space="preserve"> </w:t>
      </w:r>
      <w:r>
        <w:rPr>
          <w:rFonts w:ascii="Times New Roman" w:hAnsi="Times New Roman" w:cs="Times New Roman"/>
          <w:sz w:val="24"/>
          <w:szCs w:val="24"/>
          <w:lang w:val="el-GR"/>
        </w:rPr>
        <w:t>ΔΗΜΗΤΡΑΝ</w:t>
      </w:r>
      <w:r w:rsidRPr="00C703C2">
        <w:rPr>
          <w:rFonts w:ascii="Times New Roman" w:hAnsi="Times New Roman" w:cs="Times New Roman"/>
          <w:sz w:val="24"/>
          <w:szCs w:val="24"/>
        </w:rPr>
        <w:t>.’</w:t>
      </w:r>
      <w:proofErr w:type="gramEnd"/>
      <w:r w:rsidRPr="00C703C2">
        <w:rPr>
          <w:rFonts w:ascii="Times New Roman" w:hAnsi="Times New Roman" w:cs="Times New Roman"/>
          <w:sz w:val="24"/>
          <w:szCs w:val="24"/>
        </w:rPr>
        <w:t xml:space="preserve"> </w:t>
      </w:r>
      <w:r>
        <w:rPr>
          <w:rFonts w:ascii="Times New Roman" w:hAnsi="Times New Roman" w:cs="Times New Roman"/>
          <w:i/>
          <w:sz w:val="24"/>
          <w:szCs w:val="24"/>
        </w:rPr>
        <w:t>Hesiod</w:t>
      </w:r>
      <w:r w:rsidRPr="00C703C2">
        <w:rPr>
          <w:rFonts w:ascii="Times New Roman" w:hAnsi="Times New Roman" w:cs="Times New Roman"/>
          <w:i/>
          <w:sz w:val="24"/>
          <w:szCs w:val="24"/>
        </w:rPr>
        <w:t xml:space="preserve">: </w:t>
      </w:r>
      <w:r>
        <w:rPr>
          <w:rFonts w:ascii="Times New Roman" w:hAnsi="Times New Roman" w:cs="Times New Roman"/>
          <w:i/>
          <w:sz w:val="24"/>
          <w:szCs w:val="24"/>
        </w:rPr>
        <w:t xml:space="preserve">The Homeric Hymns and Homerica. </w:t>
      </w:r>
      <w:r>
        <w:rPr>
          <w:rFonts w:ascii="Times New Roman" w:hAnsi="Times New Roman" w:cs="Times New Roman"/>
          <w:sz w:val="24"/>
          <w:szCs w:val="24"/>
        </w:rPr>
        <w:t>H. G. Evelyn-White (</w:t>
      </w:r>
      <w:proofErr w:type="gramStart"/>
      <w:r>
        <w:rPr>
          <w:rFonts w:ascii="Times New Roman" w:hAnsi="Times New Roman" w:cs="Times New Roman"/>
          <w:sz w:val="24"/>
          <w:szCs w:val="24"/>
        </w:rPr>
        <w:t>trans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Loeb Classical Library.</w:t>
      </w:r>
      <w:proofErr w:type="gramEnd"/>
      <w:r>
        <w:rPr>
          <w:rFonts w:ascii="Times New Roman" w:hAnsi="Times New Roman" w:cs="Times New Roman"/>
          <w:sz w:val="24"/>
          <w:szCs w:val="24"/>
        </w:rPr>
        <w:t xml:space="preserve">  Cambridge: Harvard University Press, 1954.</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Elliott, S. M. ‘Eugene N. Lane (ed.), “Cybele, Attis and Related Cults: Essays in Memory of M. J. Vermaseren.”’ </w:t>
      </w:r>
      <w:proofErr w:type="gramStart"/>
      <w:r w:rsidRPr="003F3C99">
        <w:rPr>
          <w:rFonts w:ascii="Times New Roman" w:hAnsi="Times New Roman" w:cs="Times New Roman"/>
          <w:i/>
          <w:sz w:val="24"/>
          <w:szCs w:val="24"/>
        </w:rPr>
        <w:t>Bryn Mawr Classical Review.</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Vol. 97.6.18.</w:t>
      </w:r>
      <w:proofErr w:type="gramEnd"/>
      <w:r w:rsidRPr="009A06BC">
        <w:rPr>
          <w:rFonts w:ascii="Times New Roman" w:hAnsi="Times New Roman" w:cs="Times New Roman"/>
          <w:sz w:val="24"/>
          <w:szCs w:val="24"/>
        </w:rPr>
        <w:t xml:space="preserve"> Available at: http://bmcr.brynmawr.edu/1997/97.06.18.html [Accessed: 15</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December 2019].</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Elufioye, T.O. and Badal, S. ‘Background to Pharmacognosy.’</w:t>
      </w:r>
      <w:proofErr w:type="gramEnd"/>
      <w:r w:rsidRPr="009A06BC">
        <w:rPr>
          <w:rFonts w:ascii="Times New Roman" w:hAnsi="Times New Roman" w:cs="Times New Roman"/>
          <w:sz w:val="24"/>
          <w:szCs w:val="24"/>
        </w:rPr>
        <w:t xml:space="preserve"> </w:t>
      </w:r>
      <w:proofErr w:type="gramStart"/>
      <w:r w:rsidRPr="003F3C99">
        <w:rPr>
          <w:rFonts w:ascii="Times New Roman" w:hAnsi="Times New Roman" w:cs="Times New Roman"/>
          <w:i/>
          <w:sz w:val="24"/>
          <w:szCs w:val="24"/>
        </w:rPr>
        <w:t>Pharmacognosy.</w:t>
      </w:r>
      <w:proofErr w:type="gramEnd"/>
      <w:r w:rsidRPr="009A06BC">
        <w:rPr>
          <w:rFonts w:ascii="Times New Roman" w:hAnsi="Times New Roman" w:cs="Times New Roman"/>
          <w:sz w:val="24"/>
          <w:szCs w:val="24"/>
        </w:rPr>
        <w:t xml:space="preserve"> Amsterdam: Elsevier, 2017, pp.3-13.</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Elyot </w:t>
      </w:r>
      <w:r w:rsidRPr="003F3C99">
        <w:rPr>
          <w:rFonts w:ascii="Times New Roman" w:hAnsi="Times New Roman" w:cs="Times New Roman"/>
          <w:i/>
          <w:sz w:val="24"/>
          <w:szCs w:val="24"/>
        </w:rPr>
        <w:t>Castel of Helth</w:t>
      </w:r>
      <w:r w:rsidRPr="009A06BC">
        <w:rPr>
          <w:rFonts w:ascii="Times New Roman" w:hAnsi="Times New Roman" w:cs="Times New Roman"/>
          <w:sz w:val="24"/>
          <w:szCs w:val="24"/>
        </w:rPr>
        <w:t xml:space="preserve"> </w:t>
      </w:r>
      <w:r w:rsidR="009C18DE">
        <w:rPr>
          <w:rFonts w:ascii="Times New Roman" w:hAnsi="Times New Roman" w:cs="Times New Roman"/>
          <w:sz w:val="24"/>
          <w:szCs w:val="24"/>
        </w:rPr>
        <w:t>(</w:t>
      </w:r>
      <w:r w:rsidRPr="009A06BC">
        <w:rPr>
          <w:rFonts w:ascii="Times New Roman" w:hAnsi="Times New Roman" w:cs="Times New Roman"/>
          <w:sz w:val="24"/>
          <w:szCs w:val="24"/>
        </w:rPr>
        <w:t>1541</w:t>
      </w:r>
      <w:r w:rsidR="009C18DE">
        <w:rPr>
          <w:rFonts w:ascii="Times New Roman" w:hAnsi="Times New Roman" w:cs="Times New Roman"/>
          <w:sz w:val="24"/>
          <w:szCs w:val="24"/>
        </w:rPr>
        <w:t>)</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3F3C99">
        <w:rPr>
          <w:rFonts w:ascii="Times New Roman" w:hAnsi="Times New Roman" w:cs="Times New Roman"/>
          <w:i/>
          <w:sz w:val="24"/>
          <w:szCs w:val="24"/>
        </w:rPr>
        <w:t>Epodon Q. Horatii Flacci Liber.</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The Latin Library.</w:t>
      </w:r>
      <w:proofErr w:type="gramEnd"/>
      <w:r w:rsidRPr="009A06BC">
        <w:rPr>
          <w:rFonts w:ascii="Times New Roman" w:hAnsi="Times New Roman" w:cs="Times New Roman"/>
          <w:sz w:val="24"/>
          <w:szCs w:val="24"/>
        </w:rPr>
        <w:t xml:space="preserve"> Available at: http://www.thelatinlibrary.com/horace/ep.shtml#V [Accessed 21</w:t>
      </w:r>
      <w:r w:rsidRPr="009A06BC">
        <w:rPr>
          <w:rFonts w:ascii="Times New Roman" w:hAnsi="Times New Roman" w:cs="Times New Roman"/>
          <w:sz w:val="24"/>
          <w:szCs w:val="24"/>
          <w:vertAlign w:val="superscript"/>
        </w:rPr>
        <w:t>st</w:t>
      </w:r>
      <w:r w:rsidRPr="009A06BC">
        <w:rPr>
          <w:rFonts w:ascii="Times New Roman" w:hAnsi="Times New Roman" w:cs="Times New Roman"/>
          <w:sz w:val="24"/>
          <w:szCs w:val="24"/>
        </w:rPr>
        <w:t xml:space="preserve"> August 2019].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Erasistratus </w:t>
      </w:r>
      <w:proofErr w:type="gramStart"/>
      <w:r w:rsidRPr="003F3C99">
        <w:rPr>
          <w:rFonts w:ascii="Times New Roman" w:hAnsi="Times New Roman" w:cs="Times New Roman"/>
          <w:i/>
          <w:sz w:val="24"/>
          <w:szCs w:val="24"/>
        </w:rPr>
        <w:t>On</w:t>
      </w:r>
      <w:proofErr w:type="gramEnd"/>
      <w:r w:rsidRPr="003F3C99">
        <w:rPr>
          <w:rFonts w:ascii="Times New Roman" w:hAnsi="Times New Roman" w:cs="Times New Roman"/>
          <w:i/>
          <w:sz w:val="24"/>
          <w:szCs w:val="24"/>
        </w:rPr>
        <w:t xml:space="preserve"> Paralysis</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‘Essential Oils: Poisonous When Misused.’</w:t>
      </w:r>
      <w:proofErr w:type="gramEnd"/>
      <w:r w:rsidRPr="009A06BC">
        <w:rPr>
          <w:rFonts w:ascii="Times New Roman" w:hAnsi="Times New Roman" w:cs="Times New Roman"/>
          <w:sz w:val="24"/>
          <w:szCs w:val="24"/>
        </w:rPr>
        <w:t xml:space="preserve"> </w:t>
      </w:r>
      <w:r w:rsidRPr="003F3C99">
        <w:rPr>
          <w:rFonts w:ascii="Times New Roman" w:hAnsi="Times New Roman" w:cs="Times New Roman"/>
          <w:i/>
          <w:sz w:val="24"/>
          <w:szCs w:val="24"/>
        </w:rPr>
        <w:t>Poison Control: Medicines.</w:t>
      </w:r>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National Capital Poison Center.</w:t>
      </w:r>
      <w:proofErr w:type="gramEnd"/>
      <w:r w:rsidRPr="009A06BC">
        <w:rPr>
          <w:rFonts w:ascii="Times New Roman" w:hAnsi="Times New Roman" w:cs="Times New Roman"/>
          <w:sz w:val="24"/>
          <w:szCs w:val="24"/>
        </w:rPr>
        <w:t xml:space="preserve"> Available at: https://www.poison.org/articles/2014-jun/essential-oils [Accessed: 1</w:t>
      </w:r>
      <w:r w:rsidRPr="009A06BC">
        <w:rPr>
          <w:rFonts w:ascii="Times New Roman" w:hAnsi="Times New Roman" w:cs="Times New Roman"/>
          <w:sz w:val="24"/>
          <w:szCs w:val="24"/>
          <w:vertAlign w:val="superscript"/>
        </w:rPr>
        <w:t>st</w:t>
      </w:r>
      <w:r w:rsidRPr="009A06BC">
        <w:rPr>
          <w:rFonts w:ascii="Times New Roman" w:hAnsi="Times New Roman" w:cs="Times New Roman"/>
          <w:sz w:val="24"/>
          <w:szCs w:val="24"/>
        </w:rPr>
        <w:t xml:space="preserve"> September 2019].</w:t>
      </w:r>
    </w:p>
    <w:p w:rsidR="00F80EA6" w:rsidRPr="009410CB" w:rsidRDefault="00F80EA6" w:rsidP="00E67321">
      <w:pPr>
        <w:spacing w:line="480" w:lineRule="auto"/>
        <w:ind w:left="720" w:hanging="720"/>
        <w:rPr>
          <w:rFonts w:ascii="Times New Roman" w:hAnsi="Times New Roman" w:cs="Times New Roman"/>
          <w:sz w:val="24"/>
          <w:szCs w:val="24"/>
          <w:lang w:val="es-ES"/>
        </w:rPr>
      </w:pPr>
      <w:r w:rsidRPr="009410CB">
        <w:rPr>
          <w:rFonts w:ascii="Times New Roman" w:hAnsi="Times New Roman" w:cs="Times New Roman"/>
          <w:sz w:val="24"/>
          <w:szCs w:val="24"/>
          <w:lang w:val="es-ES"/>
        </w:rPr>
        <w:lastRenderedPageBreak/>
        <w:t xml:space="preserve">Euripides </w:t>
      </w:r>
      <w:r w:rsidRPr="009410CB">
        <w:rPr>
          <w:rFonts w:ascii="Times New Roman" w:hAnsi="Times New Roman" w:cs="Times New Roman"/>
          <w:i/>
          <w:sz w:val="24"/>
          <w:szCs w:val="24"/>
          <w:lang w:val="es-ES"/>
        </w:rPr>
        <w:t>Alcestis</w:t>
      </w:r>
    </w:p>
    <w:p w:rsidR="00F80EA6" w:rsidRPr="009410CB" w:rsidRDefault="00F80EA6" w:rsidP="00E67321">
      <w:pPr>
        <w:spacing w:line="480" w:lineRule="auto"/>
        <w:ind w:left="720" w:hanging="720"/>
        <w:rPr>
          <w:rFonts w:ascii="Times New Roman" w:hAnsi="Times New Roman" w:cs="Times New Roman"/>
          <w:sz w:val="24"/>
          <w:szCs w:val="24"/>
          <w:lang w:val="es-ES"/>
        </w:rPr>
      </w:pPr>
      <w:r w:rsidRPr="009410CB">
        <w:rPr>
          <w:rFonts w:ascii="Times New Roman" w:hAnsi="Times New Roman" w:cs="Times New Roman"/>
          <w:sz w:val="24"/>
          <w:szCs w:val="24"/>
          <w:lang w:val="es-ES"/>
        </w:rPr>
        <w:t xml:space="preserve">Euripides </w:t>
      </w:r>
      <w:r w:rsidRPr="009410CB">
        <w:rPr>
          <w:rFonts w:ascii="Times New Roman" w:hAnsi="Times New Roman" w:cs="Times New Roman"/>
          <w:i/>
          <w:sz w:val="24"/>
          <w:szCs w:val="24"/>
          <w:lang w:val="es-ES"/>
        </w:rPr>
        <w:t>Electra</w:t>
      </w:r>
    </w:p>
    <w:p w:rsidR="00F80EA6" w:rsidRPr="009410CB" w:rsidRDefault="00F80EA6" w:rsidP="00E67321">
      <w:pPr>
        <w:spacing w:line="480" w:lineRule="auto"/>
        <w:ind w:left="720" w:hanging="720"/>
        <w:rPr>
          <w:rFonts w:ascii="Times New Roman" w:hAnsi="Times New Roman" w:cs="Times New Roman"/>
          <w:i/>
          <w:sz w:val="24"/>
          <w:szCs w:val="24"/>
          <w:lang w:val="es-ES"/>
        </w:rPr>
      </w:pPr>
      <w:r w:rsidRPr="009410CB">
        <w:rPr>
          <w:rFonts w:ascii="Times New Roman" w:hAnsi="Times New Roman" w:cs="Times New Roman"/>
          <w:sz w:val="24"/>
          <w:szCs w:val="24"/>
          <w:lang w:val="es-ES"/>
        </w:rPr>
        <w:t xml:space="preserve">Euripides </w:t>
      </w:r>
      <w:r w:rsidRPr="009410CB">
        <w:rPr>
          <w:rFonts w:ascii="Times New Roman" w:hAnsi="Times New Roman" w:cs="Times New Roman"/>
          <w:i/>
          <w:sz w:val="24"/>
          <w:szCs w:val="24"/>
          <w:lang w:val="es-ES"/>
        </w:rPr>
        <w:t>Helen</w:t>
      </w:r>
    </w:p>
    <w:p w:rsidR="00F80EA6" w:rsidRDefault="00F80EA6" w:rsidP="00E67321">
      <w:pPr>
        <w:spacing w:line="480" w:lineRule="auto"/>
        <w:ind w:left="720" w:hanging="720"/>
        <w:rPr>
          <w:rFonts w:ascii="Times New Roman" w:hAnsi="Times New Roman" w:cs="Times New Roman"/>
          <w:i/>
          <w:sz w:val="24"/>
          <w:szCs w:val="24"/>
        </w:rPr>
      </w:pPr>
      <w:r>
        <w:rPr>
          <w:rFonts w:ascii="Times New Roman" w:hAnsi="Times New Roman" w:cs="Times New Roman"/>
          <w:sz w:val="24"/>
          <w:szCs w:val="24"/>
        </w:rPr>
        <w:t xml:space="preserve">Euripides </w:t>
      </w:r>
      <w:r>
        <w:rPr>
          <w:rFonts w:ascii="Times New Roman" w:hAnsi="Times New Roman" w:cs="Times New Roman"/>
          <w:i/>
          <w:sz w:val="24"/>
          <w:szCs w:val="24"/>
        </w:rPr>
        <w:t>Medea</w:t>
      </w:r>
    </w:p>
    <w:p w:rsidR="007B309E" w:rsidRPr="007B309E" w:rsidRDefault="007B309E"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Euripides </w:t>
      </w:r>
      <w:r>
        <w:rPr>
          <w:rFonts w:ascii="Times New Roman" w:hAnsi="Times New Roman" w:cs="Times New Roman"/>
          <w:i/>
          <w:sz w:val="24"/>
          <w:szCs w:val="24"/>
        </w:rPr>
        <w:t xml:space="preserve">Trag. </w:t>
      </w:r>
      <w:proofErr w:type="gramStart"/>
      <w:r>
        <w:rPr>
          <w:rFonts w:ascii="Times New Roman" w:hAnsi="Times New Roman" w:cs="Times New Roman"/>
          <w:i/>
          <w:sz w:val="24"/>
          <w:szCs w:val="24"/>
        </w:rPr>
        <w:t>Frag.</w:t>
      </w:r>
      <w:proofErr w:type="gramEnd"/>
      <w:r>
        <w:rPr>
          <w:rFonts w:ascii="Times New Roman" w:hAnsi="Times New Roman" w:cs="Times New Roman"/>
          <w:i/>
          <w:sz w:val="24"/>
          <w:szCs w:val="24"/>
        </w:rPr>
        <w:t xml:space="preserve"> </w:t>
      </w:r>
      <w:r>
        <w:rPr>
          <w:rFonts w:ascii="Times New Roman" w:hAnsi="Times New Roman" w:cs="Times New Roman"/>
          <w:sz w:val="24"/>
          <w:szCs w:val="24"/>
        </w:rPr>
        <w:t>288, 292, 403.5-7, 464, 578.1</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Faraone, C.A. and Obbink, D. </w:t>
      </w:r>
      <w:r w:rsidRPr="003F3C99">
        <w:rPr>
          <w:rFonts w:ascii="Times New Roman" w:hAnsi="Times New Roman" w:cs="Times New Roman"/>
          <w:i/>
          <w:sz w:val="24"/>
          <w:szCs w:val="24"/>
        </w:rPr>
        <w:t>Magika Hiera: Ancient Greek Magic and Religion.</w:t>
      </w:r>
      <w:r w:rsidRPr="009A06BC">
        <w:rPr>
          <w:rFonts w:ascii="Times New Roman" w:hAnsi="Times New Roman" w:cs="Times New Roman"/>
          <w:sz w:val="24"/>
          <w:szCs w:val="24"/>
        </w:rPr>
        <w:t xml:space="preserve"> New York: Oxford University Press, 1997.</w:t>
      </w:r>
    </w:p>
    <w:p w:rsidR="00C703C2" w:rsidRPr="00C703C2" w:rsidRDefault="00C703C2"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Foley, H. P. (ed.)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Homeric Hymn to Demeter. </w:t>
      </w:r>
      <w:r>
        <w:rPr>
          <w:rFonts w:ascii="Times New Roman" w:hAnsi="Times New Roman" w:cs="Times New Roman"/>
          <w:sz w:val="24"/>
          <w:szCs w:val="24"/>
        </w:rPr>
        <w:t>Princeton: Princeton University Press, 1994.</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Galen </w:t>
      </w:r>
      <w:proofErr w:type="gramStart"/>
      <w:r w:rsidRPr="003F3C99">
        <w:rPr>
          <w:rFonts w:ascii="Times New Roman" w:hAnsi="Times New Roman" w:cs="Times New Roman"/>
          <w:i/>
          <w:sz w:val="24"/>
          <w:szCs w:val="24"/>
        </w:rPr>
        <w:t>On</w:t>
      </w:r>
      <w:proofErr w:type="gramEnd"/>
      <w:r w:rsidRPr="003F3C99">
        <w:rPr>
          <w:rFonts w:ascii="Times New Roman" w:hAnsi="Times New Roman" w:cs="Times New Roman"/>
          <w:i/>
          <w:sz w:val="24"/>
          <w:szCs w:val="24"/>
        </w:rPr>
        <w:t xml:space="preserve"> Habits</w:t>
      </w:r>
    </w:p>
    <w:p w:rsidR="00453A63" w:rsidRPr="00453A63" w:rsidRDefault="00453A63"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Garland, R. </w:t>
      </w:r>
      <w:r>
        <w:rPr>
          <w:rFonts w:ascii="Times New Roman" w:hAnsi="Times New Roman" w:cs="Times New Roman"/>
          <w:i/>
          <w:sz w:val="24"/>
          <w:szCs w:val="24"/>
        </w:rPr>
        <w:t xml:space="preserve">Ancient Greece: Everyday Life in the Birthplace of Western Civilization. </w:t>
      </w:r>
      <w:r>
        <w:rPr>
          <w:rFonts w:ascii="Times New Roman" w:hAnsi="Times New Roman" w:cs="Times New Roman"/>
          <w:sz w:val="24"/>
          <w:szCs w:val="24"/>
        </w:rPr>
        <w:t>New York: Sterling, 2013.</w:t>
      </w:r>
    </w:p>
    <w:p w:rsidR="00E67321"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‘Garlic.’</w:t>
      </w:r>
      <w:proofErr w:type="gramEnd"/>
      <w:r w:rsidRPr="009A06BC">
        <w:rPr>
          <w:rFonts w:ascii="Times New Roman" w:hAnsi="Times New Roman" w:cs="Times New Roman"/>
          <w:sz w:val="24"/>
          <w:szCs w:val="24"/>
        </w:rPr>
        <w:t xml:space="preserve"> </w:t>
      </w:r>
      <w:proofErr w:type="gramStart"/>
      <w:r w:rsidRPr="003F3C99">
        <w:rPr>
          <w:rFonts w:ascii="Times New Roman" w:hAnsi="Times New Roman" w:cs="Times New Roman"/>
          <w:i/>
          <w:sz w:val="24"/>
          <w:szCs w:val="24"/>
        </w:rPr>
        <w:t>Covenant of Hekate.</w:t>
      </w:r>
      <w:proofErr w:type="gramEnd"/>
      <w:r w:rsidRPr="009A06BC">
        <w:rPr>
          <w:rFonts w:ascii="Times New Roman" w:hAnsi="Times New Roman" w:cs="Times New Roman"/>
          <w:sz w:val="24"/>
          <w:szCs w:val="24"/>
        </w:rPr>
        <w:t xml:space="preserve"> 2018. Available at: http://hekatecovenant.com/resources/symbols-of-hekate/garlic/ [Accessed: 15</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December 2019].</w:t>
      </w:r>
    </w:p>
    <w:p w:rsidR="00F80EA6" w:rsidRPr="00F80EA6" w:rsidRDefault="00F80EA6"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Grene, D. and Lattimore, R. (eds.) </w:t>
      </w:r>
      <w:r>
        <w:rPr>
          <w:rFonts w:ascii="Times New Roman" w:hAnsi="Times New Roman" w:cs="Times New Roman"/>
          <w:i/>
          <w:sz w:val="24"/>
          <w:szCs w:val="24"/>
        </w:rPr>
        <w:t xml:space="preserve">Euripides. </w:t>
      </w:r>
      <w:proofErr w:type="gramStart"/>
      <w:r>
        <w:rPr>
          <w:rFonts w:ascii="Times New Roman" w:hAnsi="Times New Roman" w:cs="Times New Roman"/>
          <w:sz w:val="24"/>
          <w:szCs w:val="24"/>
        </w:rPr>
        <w:t>Vol. 1.</w:t>
      </w:r>
      <w:proofErr w:type="gramEnd"/>
      <w:r>
        <w:rPr>
          <w:rFonts w:ascii="Times New Roman" w:hAnsi="Times New Roman" w:cs="Times New Roman"/>
          <w:sz w:val="24"/>
          <w:szCs w:val="24"/>
        </w:rPr>
        <w:t xml:space="preserve"> New York: Washington Square Press, 1970.</w:t>
      </w:r>
    </w:p>
    <w:p w:rsidR="00F80EA6" w:rsidRPr="00F80EA6" w:rsidRDefault="00F80EA6"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Grene, D. and Lattimore, R. (eds.) </w:t>
      </w:r>
      <w:r>
        <w:rPr>
          <w:rFonts w:ascii="Times New Roman" w:hAnsi="Times New Roman" w:cs="Times New Roman"/>
          <w:i/>
          <w:sz w:val="24"/>
          <w:szCs w:val="24"/>
        </w:rPr>
        <w:t xml:space="preserve">Euripides. </w:t>
      </w:r>
      <w:proofErr w:type="gramStart"/>
      <w:r>
        <w:rPr>
          <w:rFonts w:ascii="Times New Roman" w:hAnsi="Times New Roman" w:cs="Times New Roman"/>
          <w:sz w:val="24"/>
          <w:szCs w:val="24"/>
        </w:rPr>
        <w:t>Vol. 5.</w:t>
      </w:r>
      <w:proofErr w:type="gramEnd"/>
      <w:r>
        <w:rPr>
          <w:rFonts w:ascii="Times New Roman" w:hAnsi="Times New Roman" w:cs="Times New Roman"/>
          <w:sz w:val="24"/>
          <w:szCs w:val="24"/>
        </w:rPr>
        <w:t xml:space="preserve"> New York: Washington Square Press, 1968.</w:t>
      </w:r>
    </w:p>
    <w:p w:rsidR="00F80EA6" w:rsidRPr="00F80EA6" w:rsidRDefault="00F80EA6"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Grene, D. and Lattimore, R. (eds.) </w:t>
      </w:r>
      <w:r>
        <w:rPr>
          <w:rFonts w:ascii="Times New Roman" w:hAnsi="Times New Roman" w:cs="Times New Roman"/>
          <w:i/>
          <w:sz w:val="24"/>
          <w:szCs w:val="24"/>
        </w:rPr>
        <w:t xml:space="preserve">Euripides: Four Plays </w:t>
      </w:r>
      <w:proofErr w:type="gramStart"/>
      <w:r>
        <w:rPr>
          <w:rFonts w:ascii="Times New Roman" w:hAnsi="Times New Roman" w:cs="Times New Roman"/>
          <w:i/>
          <w:sz w:val="24"/>
          <w:szCs w:val="24"/>
        </w:rPr>
        <w:t>About</w:t>
      </w:r>
      <w:proofErr w:type="gramEnd"/>
      <w:r>
        <w:rPr>
          <w:rFonts w:ascii="Times New Roman" w:hAnsi="Times New Roman" w:cs="Times New Roman"/>
          <w:i/>
          <w:sz w:val="24"/>
          <w:szCs w:val="24"/>
        </w:rPr>
        <w:t xml:space="preserve"> Women. </w:t>
      </w:r>
      <w:r>
        <w:rPr>
          <w:rFonts w:ascii="Times New Roman" w:hAnsi="Times New Roman" w:cs="Times New Roman"/>
          <w:sz w:val="24"/>
          <w:szCs w:val="24"/>
        </w:rPr>
        <w:t>New York: Washington Square Press, 1973.</w:t>
      </w:r>
    </w:p>
    <w:p w:rsidR="007E0D51" w:rsidRDefault="007E0D51" w:rsidP="00E67321">
      <w:pPr>
        <w:spacing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 xml:space="preserve">Grene, D. and Lattimore, R. (eds.) </w:t>
      </w:r>
      <w:r>
        <w:rPr>
          <w:rFonts w:ascii="Times New Roman" w:hAnsi="Times New Roman" w:cs="Times New Roman"/>
          <w:i/>
          <w:sz w:val="24"/>
          <w:szCs w:val="24"/>
        </w:rPr>
        <w:t>Greek Tragedies.</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Vol. 2.</w:t>
      </w:r>
      <w:proofErr w:type="gramEnd"/>
      <w:r>
        <w:rPr>
          <w:rFonts w:ascii="Times New Roman" w:hAnsi="Times New Roman" w:cs="Times New Roman"/>
          <w:sz w:val="24"/>
          <w:szCs w:val="24"/>
        </w:rPr>
        <w:t xml:space="preserve"> Chicago: University of Chicago Press, 1960.</w:t>
      </w:r>
    </w:p>
    <w:p w:rsidR="00EF2725" w:rsidRPr="00EF2725" w:rsidRDefault="00EF2725" w:rsidP="00EF2725">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Grene, D. and Lattimore, R. (eds.) </w:t>
      </w:r>
      <w:r>
        <w:rPr>
          <w:rFonts w:ascii="Times New Roman" w:hAnsi="Times New Roman" w:cs="Times New Roman"/>
          <w:i/>
          <w:sz w:val="24"/>
          <w:szCs w:val="24"/>
        </w:rPr>
        <w:t xml:space="preserve">Sophocles. </w:t>
      </w:r>
      <w:proofErr w:type="gramStart"/>
      <w:r>
        <w:rPr>
          <w:rFonts w:ascii="Times New Roman" w:hAnsi="Times New Roman" w:cs="Times New Roman"/>
          <w:sz w:val="24"/>
          <w:szCs w:val="24"/>
        </w:rPr>
        <w:t>Vol. 2.</w:t>
      </w:r>
      <w:proofErr w:type="gramEnd"/>
      <w:r>
        <w:rPr>
          <w:rFonts w:ascii="Times New Roman" w:hAnsi="Times New Roman" w:cs="Times New Roman"/>
          <w:sz w:val="24"/>
          <w:szCs w:val="24"/>
        </w:rPr>
        <w:t xml:space="preserve"> Chicago: University of Chicago Press, 1957.</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Grieve, M. ‘Agrimony.’ </w:t>
      </w:r>
      <w:proofErr w:type="gramStart"/>
      <w:r w:rsidRPr="003F3C99">
        <w:rPr>
          <w:rFonts w:ascii="Times New Roman" w:hAnsi="Times New Roman" w:cs="Times New Roman"/>
          <w:i/>
          <w:sz w:val="24"/>
          <w:szCs w:val="24"/>
        </w:rPr>
        <w:t>A Modern Herbal.</w:t>
      </w:r>
      <w:proofErr w:type="gramEnd"/>
      <w:r w:rsidRPr="009A06BC">
        <w:rPr>
          <w:rFonts w:ascii="Times New Roman" w:hAnsi="Times New Roman" w:cs="Times New Roman"/>
          <w:sz w:val="24"/>
          <w:szCs w:val="24"/>
        </w:rPr>
        <w:t xml:space="preserve"> Available at: https://www.botanical.com/botanical/mgmh/a/agrim015.html [Accessed: 21</w:t>
      </w:r>
      <w:r w:rsidRPr="009A06BC">
        <w:rPr>
          <w:rFonts w:ascii="Times New Roman" w:hAnsi="Times New Roman" w:cs="Times New Roman"/>
          <w:sz w:val="24"/>
          <w:szCs w:val="24"/>
          <w:vertAlign w:val="superscript"/>
        </w:rPr>
        <w:t>st</w:t>
      </w:r>
      <w:r w:rsidRPr="009A06BC">
        <w:rPr>
          <w:rFonts w:ascii="Times New Roman" w:hAnsi="Times New Roman" w:cs="Times New Roman"/>
          <w:sz w:val="24"/>
          <w:szCs w:val="24"/>
        </w:rPr>
        <w:t xml:space="preserve"> August 2019].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Grieve, M. ‘Squill.’ </w:t>
      </w:r>
      <w:proofErr w:type="gramStart"/>
      <w:r w:rsidRPr="003F3C99">
        <w:rPr>
          <w:rFonts w:ascii="Times New Roman" w:hAnsi="Times New Roman" w:cs="Times New Roman"/>
          <w:i/>
          <w:sz w:val="24"/>
          <w:szCs w:val="24"/>
        </w:rPr>
        <w:t>A Modern Herbal.</w:t>
      </w:r>
      <w:proofErr w:type="gramEnd"/>
      <w:r w:rsidRPr="009A06BC">
        <w:rPr>
          <w:rFonts w:ascii="Times New Roman" w:hAnsi="Times New Roman" w:cs="Times New Roman"/>
          <w:sz w:val="24"/>
          <w:szCs w:val="24"/>
        </w:rPr>
        <w:t xml:space="preserve"> Available at: https://www.botanical.com/botanical/mgmh/s/squill86.html [Accessed: 22</w:t>
      </w:r>
      <w:r w:rsidRPr="009A06BC">
        <w:rPr>
          <w:rFonts w:ascii="Times New Roman" w:hAnsi="Times New Roman" w:cs="Times New Roman"/>
          <w:sz w:val="24"/>
          <w:szCs w:val="24"/>
          <w:vertAlign w:val="superscript"/>
        </w:rPr>
        <w:t>nd</w:t>
      </w:r>
      <w:r w:rsidRPr="009A06BC">
        <w:rPr>
          <w:rFonts w:ascii="Times New Roman" w:hAnsi="Times New Roman" w:cs="Times New Roman"/>
          <w:sz w:val="24"/>
          <w:szCs w:val="24"/>
        </w:rPr>
        <w:t xml:space="preserve"> August 2019].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Healy, J. F. </w:t>
      </w:r>
      <w:r w:rsidRPr="003F3C99">
        <w:rPr>
          <w:rFonts w:ascii="Times New Roman" w:hAnsi="Times New Roman" w:cs="Times New Roman"/>
          <w:i/>
          <w:sz w:val="24"/>
          <w:szCs w:val="24"/>
        </w:rPr>
        <w:t>Pliny the Elder – Natural History: A Selection.</w:t>
      </w:r>
      <w:r w:rsidRPr="009A06BC">
        <w:rPr>
          <w:rFonts w:ascii="Times New Roman" w:hAnsi="Times New Roman" w:cs="Times New Roman"/>
          <w:sz w:val="24"/>
          <w:szCs w:val="24"/>
        </w:rPr>
        <w:t xml:space="preserve"> New York: Penguin Books, 2004.</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Hendrickson, D. W. ‘Pseudoscience in Chaucer’s “Canterbury Tales.”’ </w:t>
      </w:r>
      <w:proofErr w:type="gramStart"/>
      <w:r w:rsidRPr="003F3C99">
        <w:rPr>
          <w:rFonts w:ascii="Times New Roman" w:hAnsi="Times New Roman" w:cs="Times New Roman"/>
          <w:i/>
          <w:sz w:val="24"/>
          <w:szCs w:val="24"/>
        </w:rPr>
        <w:t>Bios.</w:t>
      </w:r>
      <w:proofErr w:type="gramEnd"/>
      <w:r w:rsidRPr="009A06BC">
        <w:rPr>
          <w:rFonts w:ascii="Times New Roman" w:hAnsi="Times New Roman" w:cs="Times New Roman"/>
          <w:sz w:val="24"/>
          <w:szCs w:val="24"/>
        </w:rPr>
        <w:t xml:space="preserve"> Vol. 4, No. 2, May 1969, pp. 58-68. Available at: </w:t>
      </w:r>
      <w:r w:rsidRPr="009A06BC">
        <w:rPr>
          <w:rFonts w:ascii="Times New Roman" w:hAnsi="Times New Roman" w:cs="Times New Roman"/>
          <w:sz w:val="24"/>
          <w:szCs w:val="24"/>
          <w:shd w:val="clear" w:color="auto" w:fill="FFFFFF"/>
        </w:rPr>
        <w:t>www.jstor.org/stable/4606893</w:t>
      </w:r>
      <w:r w:rsidRPr="009A06BC">
        <w:rPr>
          <w:rFonts w:ascii="Times New Roman" w:hAnsi="Times New Roman" w:cs="Times New Roman"/>
          <w:sz w:val="24"/>
          <w:szCs w:val="24"/>
        </w:rPr>
        <w:t xml:space="preserve"> [Accessed: 15</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December 2019].</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‘Herb to Know: Wintergreen.’ </w:t>
      </w:r>
      <w:r w:rsidRPr="003F3C99">
        <w:rPr>
          <w:rFonts w:ascii="Times New Roman" w:hAnsi="Times New Roman" w:cs="Times New Roman"/>
          <w:i/>
          <w:sz w:val="24"/>
          <w:szCs w:val="24"/>
        </w:rPr>
        <w:t>Mother Earth Living.</w:t>
      </w:r>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The Herb Companion.</w:t>
      </w:r>
      <w:proofErr w:type="gramEnd"/>
      <w:r w:rsidRPr="009A06BC">
        <w:rPr>
          <w:rFonts w:ascii="Times New Roman" w:hAnsi="Times New Roman" w:cs="Times New Roman"/>
          <w:sz w:val="24"/>
          <w:szCs w:val="24"/>
        </w:rPr>
        <w:t xml:space="preserve"> Available at: https://www.motherearthliving.com/plant-profile/wintergreen [Accessed: 1</w:t>
      </w:r>
      <w:r w:rsidRPr="009A06BC">
        <w:rPr>
          <w:rFonts w:ascii="Times New Roman" w:hAnsi="Times New Roman" w:cs="Times New Roman"/>
          <w:sz w:val="24"/>
          <w:szCs w:val="24"/>
          <w:vertAlign w:val="superscript"/>
        </w:rPr>
        <w:t>st</w:t>
      </w:r>
      <w:r w:rsidRPr="009A06BC">
        <w:rPr>
          <w:rFonts w:ascii="Times New Roman" w:hAnsi="Times New Roman" w:cs="Times New Roman"/>
          <w:sz w:val="24"/>
          <w:szCs w:val="24"/>
        </w:rPr>
        <w:t xml:space="preserve"> September 2019].</w:t>
      </w:r>
    </w:p>
    <w:p w:rsidR="000D167D" w:rsidRPr="000D167D" w:rsidRDefault="000D167D"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Herodotus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Persian Wars </w:t>
      </w:r>
      <w:r>
        <w:rPr>
          <w:rFonts w:ascii="Times New Roman" w:hAnsi="Times New Roman" w:cs="Times New Roman"/>
          <w:sz w:val="24"/>
          <w:szCs w:val="24"/>
        </w:rPr>
        <w:t>3</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Hesiod </w:t>
      </w:r>
      <w:proofErr w:type="gramStart"/>
      <w:r w:rsidRPr="003F3C99">
        <w:rPr>
          <w:rFonts w:ascii="Times New Roman" w:hAnsi="Times New Roman" w:cs="Times New Roman"/>
          <w:i/>
          <w:sz w:val="24"/>
          <w:szCs w:val="24"/>
        </w:rPr>
        <w:t>To</w:t>
      </w:r>
      <w:proofErr w:type="gramEnd"/>
      <w:r w:rsidRPr="003F3C99">
        <w:rPr>
          <w:rFonts w:ascii="Times New Roman" w:hAnsi="Times New Roman" w:cs="Times New Roman"/>
          <w:i/>
          <w:sz w:val="24"/>
          <w:szCs w:val="24"/>
        </w:rPr>
        <w:t xml:space="preserve"> Demeter</w:t>
      </w:r>
      <w:r w:rsidRPr="009A06BC">
        <w:rPr>
          <w:rFonts w:ascii="Times New Roman" w:hAnsi="Times New Roman" w:cs="Times New Roman"/>
          <w:sz w:val="24"/>
          <w:szCs w:val="24"/>
        </w:rPr>
        <w:t xml:space="preserve"> 2 </w:t>
      </w:r>
    </w:p>
    <w:p w:rsidR="00C703C2" w:rsidRPr="00C703C2" w:rsidRDefault="00C703C2"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Hesiod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Works and Days </w:t>
      </w:r>
      <w:r>
        <w:rPr>
          <w:rFonts w:ascii="Times New Roman" w:hAnsi="Times New Roman" w:cs="Times New Roman"/>
          <w:sz w:val="24"/>
          <w:szCs w:val="24"/>
        </w:rPr>
        <w:t>41</w:t>
      </w:r>
      <w:r w:rsidR="007B309E">
        <w:rPr>
          <w:rFonts w:ascii="Times New Roman" w:hAnsi="Times New Roman" w:cs="Times New Roman"/>
          <w:sz w:val="24"/>
          <w:szCs w:val="24"/>
        </w:rPr>
        <w:t>, 485</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lastRenderedPageBreak/>
        <w:t xml:space="preserve">Hippocrates </w:t>
      </w:r>
      <w:r w:rsidRPr="003F3C99">
        <w:rPr>
          <w:rFonts w:ascii="Times New Roman" w:hAnsi="Times New Roman" w:cs="Times New Roman"/>
          <w:i/>
          <w:sz w:val="24"/>
          <w:szCs w:val="24"/>
        </w:rPr>
        <w:t>Ancient Medicine</w:t>
      </w:r>
      <w:r w:rsidRPr="009A06BC">
        <w:rPr>
          <w:rFonts w:ascii="Times New Roman" w:hAnsi="Times New Roman" w:cs="Times New Roman"/>
          <w:sz w:val="24"/>
          <w:szCs w:val="24"/>
        </w:rPr>
        <w:t xml:space="preserve"> </w:t>
      </w:r>
      <w:r w:rsidR="008D623A">
        <w:rPr>
          <w:rFonts w:ascii="Times New Roman" w:hAnsi="Times New Roman" w:cs="Times New Roman"/>
          <w:sz w:val="24"/>
          <w:szCs w:val="24"/>
        </w:rPr>
        <w:t xml:space="preserve">1, 2, </w:t>
      </w:r>
      <w:r w:rsidRPr="009A06BC">
        <w:rPr>
          <w:rFonts w:ascii="Times New Roman" w:hAnsi="Times New Roman" w:cs="Times New Roman"/>
          <w:sz w:val="24"/>
          <w:szCs w:val="24"/>
        </w:rPr>
        <w:t>9, 20</w:t>
      </w:r>
    </w:p>
    <w:p w:rsidR="00E67321" w:rsidRDefault="00E67321" w:rsidP="00E67321">
      <w:pPr>
        <w:spacing w:line="480" w:lineRule="auto"/>
        <w:ind w:left="720" w:hanging="720"/>
        <w:rPr>
          <w:rStyle w:val="IntenseEmphasis"/>
          <w:rFonts w:ascii="Times New Roman" w:hAnsi="Times New Roman" w:cs="Times New Roman"/>
          <w:b w:val="0"/>
          <w:i w:val="0"/>
          <w:color w:val="auto"/>
          <w:sz w:val="24"/>
          <w:szCs w:val="24"/>
        </w:rPr>
      </w:pPr>
      <w:r w:rsidRPr="009A06BC">
        <w:rPr>
          <w:rFonts w:ascii="Times New Roman" w:hAnsi="Times New Roman" w:cs="Times New Roman"/>
          <w:sz w:val="24"/>
          <w:szCs w:val="24"/>
        </w:rPr>
        <w:t xml:space="preserve">Hippocrates </w:t>
      </w:r>
      <w:r w:rsidRPr="003F3C99">
        <w:rPr>
          <w:rStyle w:val="IntenseEmphasis"/>
          <w:rFonts w:ascii="Times New Roman" w:hAnsi="Times New Roman" w:cs="Times New Roman"/>
          <w:b w:val="0"/>
          <w:color w:val="auto"/>
          <w:sz w:val="24"/>
          <w:szCs w:val="24"/>
        </w:rPr>
        <w:t xml:space="preserve">Aphorisms </w:t>
      </w:r>
      <w:r w:rsidRPr="009A06BC">
        <w:rPr>
          <w:rStyle w:val="IntenseEmphasis"/>
          <w:rFonts w:ascii="Times New Roman" w:hAnsi="Times New Roman" w:cs="Times New Roman"/>
          <w:b w:val="0"/>
          <w:i w:val="0"/>
          <w:color w:val="auto"/>
          <w:sz w:val="24"/>
          <w:szCs w:val="24"/>
        </w:rPr>
        <w:t>4.16, 4.506L</w:t>
      </w:r>
    </w:p>
    <w:p w:rsidR="00263DB9" w:rsidRPr="00263DB9" w:rsidRDefault="00263DB9" w:rsidP="00E67321">
      <w:pPr>
        <w:spacing w:line="480" w:lineRule="auto"/>
        <w:ind w:left="720" w:hanging="720"/>
        <w:rPr>
          <w:rFonts w:ascii="Times New Roman" w:hAnsi="Times New Roman" w:cs="Times New Roman"/>
          <w:sz w:val="24"/>
          <w:szCs w:val="24"/>
        </w:rPr>
      </w:pPr>
      <w:r>
        <w:rPr>
          <w:rStyle w:val="IntenseEmphasis"/>
          <w:rFonts w:ascii="Times New Roman" w:hAnsi="Times New Roman" w:cs="Times New Roman"/>
          <w:b w:val="0"/>
          <w:i w:val="0"/>
          <w:color w:val="auto"/>
          <w:sz w:val="24"/>
          <w:szCs w:val="24"/>
        </w:rPr>
        <w:t xml:space="preserve">Hippocrates </w:t>
      </w:r>
      <w:r>
        <w:rPr>
          <w:rStyle w:val="IntenseEmphasis"/>
          <w:rFonts w:ascii="Times New Roman" w:hAnsi="Times New Roman" w:cs="Times New Roman"/>
          <w:b w:val="0"/>
          <w:color w:val="auto"/>
          <w:sz w:val="24"/>
          <w:szCs w:val="24"/>
        </w:rPr>
        <w:t xml:space="preserve">Diseases </w:t>
      </w:r>
      <w:r>
        <w:rPr>
          <w:rStyle w:val="IntenseEmphasis"/>
          <w:rFonts w:ascii="Times New Roman" w:hAnsi="Times New Roman" w:cs="Times New Roman"/>
          <w:b w:val="0"/>
          <w:i w:val="0"/>
          <w:color w:val="auto"/>
          <w:sz w:val="24"/>
          <w:szCs w:val="24"/>
        </w:rPr>
        <w:t>1.2</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Hippocrates </w:t>
      </w:r>
      <w:r w:rsidRPr="003F3C99">
        <w:rPr>
          <w:rFonts w:ascii="Times New Roman" w:hAnsi="Times New Roman" w:cs="Times New Roman"/>
          <w:i/>
          <w:sz w:val="24"/>
          <w:szCs w:val="24"/>
        </w:rPr>
        <w:t xml:space="preserve">Epidemics </w:t>
      </w:r>
      <w:r w:rsidRPr="009A06BC">
        <w:rPr>
          <w:rFonts w:ascii="Times New Roman" w:hAnsi="Times New Roman" w:cs="Times New Roman"/>
          <w:sz w:val="24"/>
          <w:szCs w:val="24"/>
        </w:rPr>
        <w:t>3.16</w:t>
      </w:r>
    </w:p>
    <w:p w:rsidR="002B1DB8" w:rsidRPr="002B1DB8" w:rsidRDefault="002B1DB8"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Hippocrates </w:t>
      </w:r>
      <w:r>
        <w:rPr>
          <w:rFonts w:ascii="Times New Roman" w:hAnsi="Times New Roman" w:cs="Times New Roman"/>
          <w:i/>
          <w:sz w:val="24"/>
          <w:szCs w:val="24"/>
        </w:rPr>
        <w:t xml:space="preserve">Nature of Man </w:t>
      </w:r>
      <w:r>
        <w:rPr>
          <w:rFonts w:ascii="Times New Roman" w:hAnsi="Times New Roman" w:cs="Times New Roman"/>
          <w:sz w:val="24"/>
          <w:szCs w:val="24"/>
        </w:rPr>
        <w:t>2</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Hippocrates </w:t>
      </w:r>
      <w:r w:rsidRPr="003F3C99">
        <w:rPr>
          <w:rFonts w:ascii="Times New Roman" w:hAnsi="Times New Roman" w:cs="Times New Roman"/>
          <w:i/>
          <w:sz w:val="24"/>
          <w:szCs w:val="24"/>
        </w:rPr>
        <w:t>Regimen</w:t>
      </w:r>
      <w:r w:rsidRPr="009A06BC">
        <w:rPr>
          <w:rFonts w:ascii="Times New Roman" w:hAnsi="Times New Roman" w:cs="Times New Roman"/>
          <w:sz w:val="24"/>
          <w:szCs w:val="24"/>
        </w:rPr>
        <w:t xml:space="preserve"> 1.2</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Hippocrates </w:t>
      </w:r>
      <w:r w:rsidRPr="003F3C99">
        <w:rPr>
          <w:rFonts w:ascii="Times New Roman" w:hAnsi="Times New Roman" w:cs="Times New Roman"/>
          <w:i/>
          <w:sz w:val="24"/>
          <w:szCs w:val="24"/>
        </w:rPr>
        <w:t>Regimen in Acute Diseases</w:t>
      </w:r>
      <w:r w:rsidRPr="009A06BC">
        <w:rPr>
          <w:rFonts w:ascii="Times New Roman" w:hAnsi="Times New Roman" w:cs="Times New Roman"/>
          <w:sz w:val="24"/>
          <w:szCs w:val="24"/>
        </w:rPr>
        <w:t xml:space="preserve"> 1</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Hippocrates </w:t>
      </w:r>
      <w:r w:rsidRPr="003F3C99">
        <w:rPr>
          <w:rFonts w:ascii="Times New Roman" w:hAnsi="Times New Roman" w:cs="Times New Roman"/>
          <w:i/>
          <w:sz w:val="24"/>
          <w:szCs w:val="24"/>
        </w:rPr>
        <w:t>Sacred Disease</w:t>
      </w:r>
      <w:r w:rsidRPr="009A06BC">
        <w:rPr>
          <w:rFonts w:ascii="Times New Roman" w:hAnsi="Times New Roman" w:cs="Times New Roman"/>
          <w:sz w:val="24"/>
          <w:szCs w:val="24"/>
        </w:rPr>
        <w:t xml:space="preserve"> 1-18, 1.6.354, 12-20L</w:t>
      </w:r>
    </w:p>
    <w:p w:rsidR="00FD3756" w:rsidRDefault="00FD3756"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Homer </w:t>
      </w:r>
      <w:r>
        <w:rPr>
          <w:rFonts w:ascii="Times New Roman" w:hAnsi="Times New Roman" w:cs="Times New Roman"/>
          <w:i/>
          <w:sz w:val="24"/>
          <w:szCs w:val="24"/>
        </w:rPr>
        <w:t xml:space="preserve">Iliad </w:t>
      </w:r>
      <w:r>
        <w:rPr>
          <w:rFonts w:ascii="Times New Roman" w:hAnsi="Times New Roman" w:cs="Times New Roman"/>
          <w:sz w:val="24"/>
          <w:szCs w:val="24"/>
        </w:rPr>
        <w:t>IV, V, XI</w:t>
      </w:r>
    </w:p>
    <w:p w:rsidR="00FD3756" w:rsidRPr="00FD3756" w:rsidRDefault="00FD3756" w:rsidP="00FD3756">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Homer </w:t>
      </w:r>
      <w:r>
        <w:rPr>
          <w:rFonts w:ascii="Times New Roman" w:hAnsi="Times New Roman" w:cs="Times New Roman"/>
          <w:i/>
          <w:sz w:val="24"/>
          <w:szCs w:val="24"/>
        </w:rPr>
        <w:t xml:space="preserve">Odyssey </w:t>
      </w:r>
      <w:r>
        <w:rPr>
          <w:rFonts w:ascii="Times New Roman" w:hAnsi="Times New Roman" w:cs="Times New Roman"/>
          <w:sz w:val="24"/>
          <w:szCs w:val="24"/>
        </w:rPr>
        <w:t>I, II, IV, X</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3F3C99">
        <w:rPr>
          <w:rFonts w:ascii="Times New Roman" w:hAnsi="Times New Roman" w:cs="Times New Roman"/>
          <w:i/>
          <w:sz w:val="24"/>
          <w:szCs w:val="24"/>
        </w:rPr>
        <w:t>Homeric Hymn to Demeter,</w:t>
      </w:r>
      <w:r w:rsidRPr="009A06BC">
        <w:rPr>
          <w:rFonts w:ascii="Times New Roman" w:hAnsi="Times New Roman" w:cs="Times New Roman"/>
          <w:sz w:val="24"/>
          <w:szCs w:val="24"/>
        </w:rPr>
        <w:t xml:space="preserve"> </w:t>
      </w:r>
      <w:r w:rsidR="003F3C99">
        <w:rPr>
          <w:rFonts w:ascii="Times New Roman" w:hAnsi="Times New Roman" w:cs="Times New Roman"/>
          <w:sz w:val="24"/>
          <w:szCs w:val="24"/>
        </w:rPr>
        <w:t>trans.</w:t>
      </w:r>
      <w:r w:rsidRPr="009A06BC">
        <w:rPr>
          <w:rFonts w:ascii="Times New Roman" w:hAnsi="Times New Roman" w:cs="Times New Roman"/>
          <w:sz w:val="24"/>
          <w:szCs w:val="24"/>
        </w:rPr>
        <w:t xml:space="preserve"> G. Nagy.</w:t>
      </w:r>
      <w:proofErr w:type="gramEnd"/>
      <w:r w:rsidRPr="009A06BC">
        <w:rPr>
          <w:rFonts w:ascii="Times New Roman" w:hAnsi="Times New Roman" w:cs="Times New Roman"/>
          <w:sz w:val="24"/>
          <w:szCs w:val="24"/>
        </w:rPr>
        <w:t xml:space="preserve"> Available at: http://uh.edu/~cldue/texts/demeter.html [Accessed: 19</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August 2019]. </w:t>
      </w:r>
    </w:p>
    <w:p w:rsidR="00E67321" w:rsidRDefault="00E67321" w:rsidP="00E67321">
      <w:pPr>
        <w:spacing w:line="480" w:lineRule="auto"/>
        <w:ind w:left="720" w:hanging="720"/>
        <w:rPr>
          <w:rFonts w:ascii="Times New Roman" w:hAnsi="Times New Roman" w:cs="Times New Roman"/>
          <w:sz w:val="24"/>
          <w:szCs w:val="24"/>
          <w:lang w:val="es-ES"/>
        </w:rPr>
      </w:pPr>
      <w:r w:rsidRPr="009A06BC">
        <w:rPr>
          <w:rFonts w:ascii="Times New Roman" w:hAnsi="Times New Roman" w:cs="Times New Roman"/>
          <w:sz w:val="24"/>
          <w:szCs w:val="24"/>
          <w:lang w:val="es-ES"/>
        </w:rPr>
        <w:t xml:space="preserve">Horace </w:t>
      </w:r>
      <w:r w:rsidRPr="003F3C99">
        <w:rPr>
          <w:rFonts w:ascii="Times New Roman" w:hAnsi="Times New Roman" w:cs="Times New Roman"/>
          <w:i/>
          <w:sz w:val="24"/>
          <w:szCs w:val="24"/>
          <w:lang w:val="es-ES"/>
        </w:rPr>
        <w:t>Epodes</w:t>
      </w:r>
      <w:r w:rsidRPr="009A06BC">
        <w:rPr>
          <w:rFonts w:ascii="Times New Roman" w:hAnsi="Times New Roman" w:cs="Times New Roman"/>
          <w:sz w:val="24"/>
          <w:szCs w:val="24"/>
          <w:lang w:val="es-ES"/>
        </w:rPr>
        <w:t xml:space="preserve"> 5</w:t>
      </w:r>
    </w:p>
    <w:p w:rsidR="00406A31" w:rsidRPr="00406A31" w:rsidRDefault="00406A31" w:rsidP="00E67321">
      <w:pPr>
        <w:spacing w:line="480" w:lineRule="auto"/>
        <w:ind w:left="720" w:hanging="720"/>
        <w:rPr>
          <w:rFonts w:ascii="Times New Roman" w:hAnsi="Times New Roman" w:cs="Times New Roman"/>
          <w:sz w:val="24"/>
          <w:szCs w:val="24"/>
          <w:lang w:val="es-ES"/>
        </w:rPr>
      </w:pPr>
      <w:r>
        <w:rPr>
          <w:rFonts w:ascii="Times New Roman" w:hAnsi="Times New Roman" w:cs="Times New Roman"/>
          <w:sz w:val="24"/>
          <w:szCs w:val="24"/>
          <w:lang w:val="es-ES"/>
        </w:rPr>
        <w:t xml:space="preserve">Horace </w:t>
      </w:r>
      <w:r>
        <w:rPr>
          <w:rFonts w:ascii="Times New Roman" w:hAnsi="Times New Roman" w:cs="Times New Roman"/>
          <w:i/>
          <w:sz w:val="24"/>
          <w:szCs w:val="24"/>
          <w:lang w:val="es-ES"/>
        </w:rPr>
        <w:t xml:space="preserve">Odes </w:t>
      </w:r>
      <w:r>
        <w:rPr>
          <w:rFonts w:ascii="Times New Roman" w:hAnsi="Times New Roman" w:cs="Times New Roman"/>
          <w:sz w:val="24"/>
          <w:szCs w:val="24"/>
          <w:lang w:val="es-ES"/>
        </w:rPr>
        <w:t>2.8</w:t>
      </w:r>
    </w:p>
    <w:p w:rsidR="00E67321" w:rsidRPr="009A06BC" w:rsidRDefault="00E67321" w:rsidP="00E67321">
      <w:pPr>
        <w:spacing w:line="480" w:lineRule="auto"/>
        <w:ind w:left="720" w:hanging="720"/>
        <w:rPr>
          <w:rFonts w:ascii="Times New Roman" w:hAnsi="Times New Roman" w:cs="Times New Roman"/>
          <w:sz w:val="24"/>
          <w:szCs w:val="24"/>
        </w:rPr>
      </w:pPr>
      <w:r w:rsidRPr="00CB5F38">
        <w:rPr>
          <w:rFonts w:ascii="Times New Roman" w:hAnsi="Times New Roman" w:cs="Times New Roman"/>
          <w:sz w:val="24"/>
          <w:szCs w:val="24"/>
        </w:rPr>
        <w:t xml:space="preserve">Hünemörder, C. ‘Dill’. </w:t>
      </w:r>
      <w:proofErr w:type="gramStart"/>
      <w:r w:rsidRPr="003F3C99">
        <w:rPr>
          <w:rFonts w:ascii="Times New Roman" w:hAnsi="Times New Roman" w:cs="Times New Roman"/>
          <w:i/>
          <w:sz w:val="24"/>
          <w:szCs w:val="24"/>
        </w:rPr>
        <w:t>Brill’s New Pauly.</w:t>
      </w:r>
      <w:proofErr w:type="gramEnd"/>
      <w:r w:rsidRPr="009A06BC">
        <w:rPr>
          <w:rFonts w:ascii="Times New Roman" w:hAnsi="Times New Roman" w:cs="Times New Roman"/>
          <w:sz w:val="24"/>
          <w:szCs w:val="24"/>
        </w:rPr>
        <w:t xml:space="preserve"> Available at: https://referenceworks-brillonline-com.ezproxy.uwtsd.ac.uk/entries/brill-s-new-pauly/dill-e318020?s.num=0&amp;s.f.s2_parent=s.f.book.brill-s-new-pauly&amp;s.q=dill [Accessed: 27</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May 2019].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lastRenderedPageBreak/>
        <w:t xml:space="preserve">Hünemörder, C. ‘Hellebore’. </w:t>
      </w:r>
      <w:proofErr w:type="gramStart"/>
      <w:r w:rsidRPr="003F3C99">
        <w:rPr>
          <w:rFonts w:ascii="Times New Roman" w:hAnsi="Times New Roman" w:cs="Times New Roman"/>
          <w:i/>
          <w:sz w:val="24"/>
          <w:szCs w:val="24"/>
        </w:rPr>
        <w:t>Brill’s New Pauly.</w:t>
      </w:r>
      <w:proofErr w:type="gramEnd"/>
      <w:r w:rsidRPr="009A06BC">
        <w:rPr>
          <w:rFonts w:ascii="Times New Roman" w:hAnsi="Times New Roman" w:cs="Times New Roman"/>
          <w:sz w:val="24"/>
          <w:szCs w:val="24"/>
        </w:rPr>
        <w:t xml:space="preserve"> Available at: https://referenceworks-brillonline-com.ezproxy.uwtsd.ac.uk/entries/brill-s-new-pauly/hellebore-e506810?s.num=0&amp;s.f.s2_parent=s.f.book.brill-s-new-pauly&amp;s.q=hellebore [Accessed: 13th April 2019].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Hünemörder, C. ‘Intoxicating substances’. </w:t>
      </w:r>
      <w:proofErr w:type="gramStart"/>
      <w:r w:rsidRPr="003F3C99">
        <w:rPr>
          <w:rFonts w:ascii="Times New Roman" w:hAnsi="Times New Roman" w:cs="Times New Roman"/>
          <w:i/>
          <w:sz w:val="24"/>
          <w:szCs w:val="24"/>
        </w:rPr>
        <w:t>Brill’s New Pauly.</w:t>
      </w:r>
      <w:proofErr w:type="gramEnd"/>
      <w:r w:rsidRPr="009A06BC">
        <w:rPr>
          <w:rFonts w:ascii="Times New Roman" w:hAnsi="Times New Roman" w:cs="Times New Roman"/>
          <w:sz w:val="24"/>
          <w:szCs w:val="24"/>
        </w:rPr>
        <w:t xml:space="preserve"> Available at: https://referenceworks-brillonline-com.ezproxy.uwtsd.ac.uk/entries/brill-s-new-pauly/intoxicating-substances-e1019200# [Accessed: 27</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May 2019].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Hünemörder, C. ‘Squill’. </w:t>
      </w:r>
      <w:proofErr w:type="gramStart"/>
      <w:r w:rsidRPr="003F3C99">
        <w:rPr>
          <w:rFonts w:ascii="Times New Roman" w:hAnsi="Times New Roman" w:cs="Times New Roman"/>
          <w:i/>
          <w:sz w:val="24"/>
          <w:szCs w:val="24"/>
        </w:rPr>
        <w:t>Brill’s New Pauly.</w:t>
      </w:r>
      <w:proofErr w:type="gramEnd"/>
      <w:r w:rsidRPr="009A06BC">
        <w:rPr>
          <w:rFonts w:ascii="Times New Roman" w:hAnsi="Times New Roman" w:cs="Times New Roman"/>
          <w:sz w:val="24"/>
          <w:szCs w:val="24"/>
        </w:rPr>
        <w:t xml:space="preserve"> Available at: https://referenceworks-brillonline-com.ezproxy.uwtsd.ac.uk/entries/brill-s-new-pauly/squill-e728890?s.num=0&amp;s.f.s2_parent=s.f.book.brill-s-new-pauly&amp;s.q=squill [Accessed: 27</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May 2019].</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Iamblichus </w:t>
      </w:r>
      <w:r w:rsidRPr="003F3C99">
        <w:rPr>
          <w:rFonts w:ascii="Times New Roman" w:hAnsi="Times New Roman" w:cs="Times New Roman"/>
          <w:i/>
          <w:sz w:val="24"/>
          <w:szCs w:val="24"/>
        </w:rPr>
        <w:t>Life of Pythagoras</w:t>
      </w:r>
      <w:r w:rsidRPr="009A06BC">
        <w:rPr>
          <w:rFonts w:ascii="Times New Roman" w:hAnsi="Times New Roman" w:cs="Times New Roman"/>
          <w:sz w:val="24"/>
          <w:szCs w:val="24"/>
        </w:rPr>
        <w:t xml:space="preserve"> 163</w:t>
      </w:r>
    </w:p>
    <w:p w:rsidR="00453A63" w:rsidRPr="00453A63" w:rsidRDefault="00453A63" w:rsidP="00E67321">
      <w:pPr>
        <w:spacing w:line="480" w:lineRule="auto"/>
        <w:ind w:left="720" w:hanging="720"/>
        <w:rPr>
          <w:rFonts w:ascii="Times New Roman" w:hAnsi="Times New Roman" w:cs="Times New Roman"/>
          <w:i/>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lang w:val="el-GR"/>
        </w:rPr>
        <w:t>ἰατρός</w:t>
      </w:r>
      <w:proofErr w:type="gramEnd"/>
      <w:r w:rsidRPr="00453A63">
        <w:rPr>
          <w:rFonts w:ascii="Times New Roman" w:hAnsi="Times New Roman" w:cs="Times New Roman"/>
          <w:sz w:val="24"/>
          <w:szCs w:val="24"/>
        </w:rPr>
        <w:t>, -</w:t>
      </w:r>
      <w:r>
        <w:rPr>
          <w:rFonts w:ascii="Times New Roman" w:hAnsi="Times New Roman" w:cs="Times New Roman"/>
          <w:sz w:val="24"/>
          <w:szCs w:val="24"/>
          <w:lang w:val="el-GR"/>
        </w:rPr>
        <w:t>οῦ</w:t>
      </w:r>
      <w:r w:rsidRPr="00453A63">
        <w:rPr>
          <w:rFonts w:ascii="Times New Roman" w:hAnsi="Times New Roman" w:cs="Times New Roman"/>
          <w:sz w:val="24"/>
          <w:szCs w:val="24"/>
        </w:rPr>
        <w:t xml:space="preserve">, </w:t>
      </w:r>
      <w:r>
        <w:rPr>
          <w:rFonts w:ascii="Times New Roman" w:hAnsi="Times New Roman" w:cs="Times New Roman"/>
          <w:sz w:val="24"/>
          <w:szCs w:val="24"/>
          <w:lang w:val="el-GR"/>
        </w:rPr>
        <w:t>ὁ</w:t>
      </w:r>
      <w:r>
        <w:rPr>
          <w:rFonts w:ascii="Times New Roman" w:hAnsi="Times New Roman" w:cs="Times New Roman"/>
          <w:sz w:val="24"/>
          <w:szCs w:val="24"/>
        </w:rPr>
        <w:t xml:space="preserve">’ </w:t>
      </w:r>
      <w:r>
        <w:rPr>
          <w:rFonts w:ascii="Times New Roman" w:hAnsi="Times New Roman" w:cs="Times New Roman"/>
          <w:i/>
          <w:sz w:val="24"/>
          <w:szCs w:val="24"/>
        </w:rPr>
        <w:t>Thesaurus Linguae Graecae</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Innes, M. M. (</w:t>
      </w:r>
      <w:r w:rsidR="003F3C99">
        <w:rPr>
          <w:rFonts w:ascii="Times New Roman" w:hAnsi="Times New Roman" w:cs="Times New Roman"/>
          <w:sz w:val="24"/>
          <w:szCs w:val="24"/>
        </w:rPr>
        <w:t>trans.</w:t>
      </w:r>
      <w:r w:rsidRPr="009A06BC">
        <w:rPr>
          <w:rFonts w:ascii="Times New Roman" w:hAnsi="Times New Roman" w:cs="Times New Roman"/>
          <w:sz w:val="24"/>
          <w:szCs w:val="24"/>
        </w:rPr>
        <w:t xml:space="preserve">) </w:t>
      </w:r>
      <w:proofErr w:type="gramStart"/>
      <w:r w:rsidRPr="003F3C99">
        <w:rPr>
          <w:rFonts w:ascii="Times New Roman" w:hAnsi="Times New Roman" w:cs="Times New Roman"/>
          <w:i/>
          <w:sz w:val="24"/>
          <w:szCs w:val="24"/>
        </w:rPr>
        <w:t>The</w:t>
      </w:r>
      <w:proofErr w:type="gramEnd"/>
      <w:r w:rsidRPr="003F3C99">
        <w:rPr>
          <w:rFonts w:ascii="Times New Roman" w:hAnsi="Times New Roman" w:cs="Times New Roman"/>
          <w:i/>
          <w:sz w:val="24"/>
          <w:szCs w:val="24"/>
        </w:rPr>
        <w:t xml:space="preserve"> Metamorphoses of Ovid.</w:t>
      </w:r>
      <w:r w:rsidRPr="009A06BC">
        <w:rPr>
          <w:rFonts w:ascii="Times New Roman" w:hAnsi="Times New Roman" w:cs="Times New Roman"/>
          <w:sz w:val="24"/>
          <w:szCs w:val="24"/>
        </w:rPr>
        <w:t xml:space="preserve"> London: Penguin Books Ltd., 1974.</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Irwin, M.E. ‘Flower power in medicine and magic: Theophrastus’ response to the rootcutters’, </w:t>
      </w:r>
      <w:r w:rsidRPr="003F3C99">
        <w:rPr>
          <w:rFonts w:ascii="Times New Roman" w:hAnsi="Times New Roman" w:cs="Times New Roman"/>
          <w:i/>
          <w:sz w:val="24"/>
          <w:szCs w:val="24"/>
        </w:rPr>
        <w:t>Mouseion,</w:t>
      </w:r>
      <w:r w:rsidRPr="009A06BC">
        <w:rPr>
          <w:rFonts w:ascii="Times New Roman" w:hAnsi="Times New Roman" w:cs="Times New Roman"/>
          <w:sz w:val="24"/>
          <w:szCs w:val="24"/>
        </w:rPr>
        <w:t xml:space="preserve"> Vol. 6, No. 3, 2006, pp. 425-37.</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Jones, H.L. (ed.) </w:t>
      </w:r>
      <w:proofErr w:type="gramStart"/>
      <w:r w:rsidRPr="003F3C99">
        <w:rPr>
          <w:rFonts w:ascii="Times New Roman" w:hAnsi="Times New Roman" w:cs="Times New Roman"/>
          <w:i/>
          <w:sz w:val="24"/>
          <w:szCs w:val="24"/>
        </w:rPr>
        <w:t>The</w:t>
      </w:r>
      <w:proofErr w:type="gramEnd"/>
      <w:r w:rsidRPr="003F3C99">
        <w:rPr>
          <w:rFonts w:ascii="Times New Roman" w:hAnsi="Times New Roman" w:cs="Times New Roman"/>
          <w:i/>
          <w:sz w:val="24"/>
          <w:szCs w:val="24"/>
        </w:rPr>
        <w:t xml:space="preserve"> Geography of Strabo.</w:t>
      </w:r>
      <w:r w:rsidRPr="009A06BC">
        <w:rPr>
          <w:rFonts w:ascii="Times New Roman" w:hAnsi="Times New Roman" w:cs="Times New Roman"/>
          <w:sz w:val="24"/>
          <w:szCs w:val="24"/>
        </w:rPr>
        <w:t xml:space="preserve"> Cambridge: Harvard University Press, 1924.</w:t>
      </w:r>
    </w:p>
    <w:p w:rsidR="00D710D5" w:rsidRPr="00D710D5" w:rsidRDefault="00D710D5"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Jouanna, J. ‘Chapter One: Egyptian Medicine and Greek Medicine.’ </w:t>
      </w:r>
      <w:r>
        <w:rPr>
          <w:rFonts w:ascii="Times New Roman" w:hAnsi="Times New Roman" w:cs="Times New Roman"/>
          <w:i/>
          <w:sz w:val="24"/>
          <w:szCs w:val="24"/>
        </w:rPr>
        <w:t xml:space="preserve">Greek Medicine from Hippocrates to Galen: Selected Papers. </w:t>
      </w:r>
      <w:r>
        <w:rPr>
          <w:rFonts w:ascii="Times New Roman" w:hAnsi="Times New Roman" w:cs="Times New Roman"/>
          <w:sz w:val="24"/>
          <w:szCs w:val="24"/>
        </w:rPr>
        <w:t>N. Allies (trans.) pp. 3-20. Available at: https://www.jstor.org/stable/10.1163/j.ctt1w76vxr.6 [Accessed: 28</w:t>
      </w:r>
      <w:r w:rsidRPr="00D710D5">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C703C2" w:rsidRPr="00C703C2" w:rsidRDefault="00C703C2"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Kieckhefer, R. </w:t>
      </w:r>
      <w:r>
        <w:rPr>
          <w:rFonts w:ascii="Times New Roman" w:hAnsi="Times New Roman" w:cs="Times New Roman"/>
          <w:i/>
          <w:sz w:val="24"/>
          <w:szCs w:val="24"/>
        </w:rPr>
        <w:t xml:space="preserve">Magic in the </w:t>
      </w:r>
      <w:proofErr w:type="gramStart"/>
      <w:r>
        <w:rPr>
          <w:rFonts w:ascii="Times New Roman" w:hAnsi="Times New Roman" w:cs="Times New Roman"/>
          <w:i/>
          <w:sz w:val="24"/>
          <w:szCs w:val="24"/>
        </w:rPr>
        <w:t>Middle</w:t>
      </w:r>
      <w:proofErr w:type="gramEnd"/>
      <w:r>
        <w:rPr>
          <w:rFonts w:ascii="Times New Roman" w:hAnsi="Times New Roman" w:cs="Times New Roman"/>
          <w:i/>
          <w:sz w:val="24"/>
          <w:szCs w:val="24"/>
        </w:rPr>
        <w:t xml:space="preserve"> Ages. </w:t>
      </w:r>
      <w:r>
        <w:rPr>
          <w:rFonts w:ascii="Times New Roman" w:hAnsi="Times New Roman" w:cs="Times New Roman"/>
          <w:sz w:val="24"/>
          <w:szCs w:val="24"/>
        </w:rPr>
        <w:t>Cambridge: Cambridge University Press, 1990.</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 xml:space="preserve">King, H. </w:t>
      </w:r>
      <w:r w:rsidRPr="003F3C99">
        <w:rPr>
          <w:rFonts w:ascii="Times New Roman" w:hAnsi="Times New Roman" w:cs="Times New Roman"/>
          <w:i/>
          <w:sz w:val="24"/>
          <w:szCs w:val="24"/>
        </w:rPr>
        <w:t>Greek and Roman Medicine.</w:t>
      </w:r>
      <w:proofErr w:type="gramEnd"/>
      <w:r w:rsidRPr="009A06BC">
        <w:rPr>
          <w:rFonts w:ascii="Times New Roman" w:hAnsi="Times New Roman" w:cs="Times New Roman"/>
          <w:sz w:val="24"/>
          <w:szCs w:val="24"/>
        </w:rPr>
        <w:t xml:space="preserve"> London: Bristol Classical Press, 2001.</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Kinman, T. and Watson, S. ‘Everything You Need to Know About Gout.’ </w:t>
      </w:r>
      <w:proofErr w:type="gramStart"/>
      <w:r w:rsidRPr="003F3C99">
        <w:rPr>
          <w:rFonts w:ascii="Times New Roman" w:hAnsi="Times New Roman" w:cs="Times New Roman"/>
          <w:i/>
          <w:sz w:val="24"/>
          <w:szCs w:val="24"/>
        </w:rPr>
        <w:t>Healthline.</w:t>
      </w:r>
      <w:proofErr w:type="gramEnd"/>
      <w:r w:rsidRPr="009A06BC">
        <w:rPr>
          <w:rFonts w:ascii="Times New Roman" w:hAnsi="Times New Roman" w:cs="Times New Roman"/>
          <w:sz w:val="24"/>
          <w:szCs w:val="24"/>
        </w:rPr>
        <w:t xml:space="preserve"> Available at: https://www.healthline.com/health/gout [Accessed: 20</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August 2019].</w:t>
      </w:r>
    </w:p>
    <w:p w:rsidR="0043598B" w:rsidRPr="0043598B" w:rsidRDefault="0043598B"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Kline, A. S. (trans.) ‘</w:t>
      </w:r>
      <w:r>
        <w:rPr>
          <w:rFonts w:ascii="Times New Roman" w:hAnsi="Times New Roman" w:cs="Times New Roman"/>
          <w:i/>
          <w:sz w:val="24"/>
          <w:szCs w:val="24"/>
        </w:rPr>
        <w:t xml:space="preserve">Metamorphoses </w:t>
      </w:r>
      <w:r>
        <w:rPr>
          <w:rFonts w:ascii="Times New Roman" w:hAnsi="Times New Roman" w:cs="Times New Roman"/>
          <w:sz w:val="24"/>
          <w:szCs w:val="24"/>
        </w:rPr>
        <w:t xml:space="preserve">Book X.’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Ovid Collection. </w:t>
      </w:r>
      <w:proofErr w:type="gramStart"/>
      <w:r>
        <w:rPr>
          <w:rFonts w:ascii="Times New Roman" w:hAnsi="Times New Roman" w:cs="Times New Roman"/>
          <w:sz w:val="24"/>
          <w:szCs w:val="24"/>
        </w:rPr>
        <w:t>University of Virginia Library.</w:t>
      </w:r>
      <w:proofErr w:type="gramEnd"/>
      <w:r>
        <w:rPr>
          <w:rFonts w:ascii="Times New Roman" w:hAnsi="Times New Roman" w:cs="Times New Roman"/>
          <w:sz w:val="24"/>
          <w:szCs w:val="24"/>
        </w:rPr>
        <w:t xml:space="preserve"> Available at: https://ovid.lib.virginia.edu/trans/Metamorph10.htm [Accessed: 6</w:t>
      </w:r>
      <w:r w:rsidRPr="0043598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EE430A" w:rsidRPr="00EE430A" w:rsidRDefault="00EE430A"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Kolata, G. ‘In Ancient Times, Flowers and Fennel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Family Planning.’ </w:t>
      </w:r>
      <w:proofErr w:type="gramStart"/>
      <w:r>
        <w:rPr>
          <w:rFonts w:ascii="Times New Roman" w:hAnsi="Times New Roman" w:cs="Times New Roman"/>
          <w:i/>
          <w:sz w:val="24"/>
          <w:szCs w:val="24"/>
        </w:rPr>
        <w:t>The New York Times.</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8</w:t>
      </w:r>
      <w:r w:rsidRPr="00EE430A">
        <w:rPr>
          <w:rFonts w:ascii="Times New Roman" w:hAnsi="Times New Roman" w:cs="Times New Roman"/>
          <w:sz w:val="24"/>
          <w:szCs w:val="24"/>
          <w:vertAlign w:val="superscript"/>
        </w:rPr>
        <w:t>th</w:t>
      </w:r>
      <w:r>
        <w:rPr>
          <w:rFonts w:ascii="Times New Roman" w:hAnsi="Times New Roman" w:cs="Times New Roman"/>
          <w:sz w:val="24"/>
          <w:szCs w:val="24"/>
        </w:rPr>
        <w:t xml:space="preserve"> March 1994, C.1.</w:t>
      </w:r>
      <w:proofErr w:type="gramEnd"/>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Kraemer, Jr., C. J. (ed.) </w:t>
      </w:r>
      <w:proofErr w:type="gramStart"/>
      <w:r w:rsidRPr="003F3C99">
        <w:rPr>
          <w:rFonts w:ascii="Times New Roman" w:hAnsi="Times New Roman" w:cs="Times New Roman"/>
          <w:i/>
          <w:sz w:val="24"/>
          <w:szCs w:val="24"/>
        </w:rPr>
        <w:t>The</w:t>
      </w:r>
      <w:proofErr w:type="gramEnd"/>
      <w:r w:rsidRPr="003F3C99">
        <w:rPr>
          <w:rFonts w:ascii="Times New Roman" w:hAnsi="Times New Roman" w:cs="Times New Roman"/>
          <w:i/>
          <w:sz w:val="24"/>
          <w:szCs w:val="24"/>
        </w:rPr>
        <w:t xml:space="preserve"> Complete Works of Horace.</w:t>
      </w:r>
      <w:r w:rsidRPr="009A06BC">
        <w:rPr>
          <w:rFonts w:ascii="Times New Roman" w:hAnsi="Times New Roman" w:cs="Times New Roman"/>
          <w:sz w:val="24"/>
          <w:szCs w:val="24"/>
        </w:rPr>
        <w:t xml:space="preserve"> New York: The Modern Library, 1936.</w:t>
      </w:r>
    </w:p>
    <w:p w:rsidR="00E67321" w:rsidRPr="003F3C99" w:rsidRDefault="00E67321" w:rsidP="00E67321">
      <w:pPr>
        <w:spacing w:line="480" w:lineRule="auto"/>
        <w:ind w:left="720" w:hanging="720"/>
        <w:rPr>
          <w:rFonts w:ascii="Times New Roman" w:hAnsi="Times New Roman" w:cs="Times New Roman"/>
          <w:sz w:val="24"/>
          <w:szCs w:val="24"/>
          <w:lang w:val="es-ES"/>
        </w:rPr>
      </w:pPr>
      <w:r w:rsidRPr="003F3C99">
        <w:rPr>
          <w:rFonts w:ascii="Times New Roman" w:hAnsi="Times New Roman" w:cs="Times New Roman"/>
          <w:i/>
          <w:sz w:val="24"/>
          <w:szCs w:val="24"/>
          <w:lang w:val="es-ES"/>
        </w:rPr>
        <w:t>Kyranides</w:t>
      </w:r>
      <w:r w:rsidR="003F3C99" w:rsidRPr="003F3C99">
        <w:rPr>
          <w:rFonts w:ascii="Times New Roman" w:hAnsi="Times New Roman" w:cs="Times New Roman"/>
          <w:sz w:val="24"/>
          <w:szCs w:val="24"/>
          <w:lang w:val="es-ES"/>
        </w:rPr>
        <w:t xml:space="preserve"> V</w:t>
      </w:r>
      <w:r w:rsidR="003F3C99">
        <w:rPr>
          <w:rFonts w:ascii="Times New Roman" w:hAnsi="Times New Roman" w:cs="Times New Roman"/>
          <w:sz w:val="24"/>
          <w:szCs w:val="24"/>
          <w:lang w:val="es-ES"/>
        </w:rPr>
        <w:t>-XXIV</w:t>
      </w:r>
    </w:p>
    <w:p w:rsidR="00E67321" w:rsidRPr="009A06BC" w:rsidRDefault="00E67321" w:rsidP="00E67321">
      <w:pPr>
        <w:spacing w:line="480" w:lineRule="auto"/>
        <w:ind w:left="720" w:hanging="720"/>
        <w:rPr>
          <w:rFonts w:ascii="Times New Roman" w:hAnsi="Times New Roman" w:cs="Times New Roman"/>
          <w:sz w:val="24"/>
          <w:szCs w:val="24"/>
        </w:rPr>
      </w:pPr>
      <w:r w:rsidRPr="003F3C99">
        <w:rPr>
          <w:rFonts w:ascii="Times New Roman" w:hAnsi="Times New Roman" w:cs="Times New Roman"/>
          <w:sz w:val="24"/>
          <w:szCs w:val="24"/>
          <w:lang w:val="es-ES"/>
        </w:rPr>
        <w:t xml:space="preserve">‘Kyranides.’ </w:t>
      </w:r>
      <w:r w:rsidRPr="003F3C99">
        <w:rPr>
          <w:rFonts w:ascii="Times New Roman" w:hAnsi="Times New Roman" w:cs="Times New Roman"/>
          <w:i/>
          <w:sz w:val="24"/>
          <w:szCs w:val="24"/>
          <w:lang w:val="es-ES"/>
        </w:rPr>
        <w:t>Grimoires.</w:t>
      </w:r>
      <w:r w:rsidRPr="003F3C99">
        <w:rPr>
          <w:rFonts w:ascii="Times New Roman" w:hAnsi="Times New Roman" w:cs="Times New Roman"/>
          <w:sz w:val="24"/>
          <w:szCs w:val="24"/>
          <w:lang w:val="es-ES"/>
        </w:rPr>
        <w:t xml:space="preserve"> </w:t>
      </w:r>
      <w:r w:rsidRPr="009A06BC">
        <w:rPr>
          <w:rFonts w:ascii="Times New Roman" w:hAnsi="Times New Roman" w:cs="Times New Roman"/>
          <w:sz w:val="24"/>
          <w:szCs w:val="24"/>
        </w:rPr>
        <w:t>Grimoire Encyclopaedia. Available at: https://www.grimoire.org/grimoire/cyranides/ [Accessed: 1</w:t>
      </w:r>
      <w:r w:rsidRPr="009A06BC">
        <w:rPr>
          <w:rFonts w:ascii="Times New Roman" w:hAnsi="Times New Roman" w:cs="Times New Roman"/>
          <w:sz w:val="24"/>
          <w:szCs w:val="24"/>
          <w:vertAlign w:val="superscript"/>
        </w:rPr>
        <w:t>st</w:t>
      </w:r>
      <w:r w:rsidRPr="009A06BC">
        <w:rPr>
          <w:rFonts w:ascii="Times New Roman" w:hAnsi="Times New Roman" w:cs="Times New Roman"/>
          <w:sz w:val="24"/>
          <w:szCs w:val="24"/>
        </w:rPr>
        <w:t xml:space="preserve"> July 2019].</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lang w:val="es-ES"/>
        </w:rPr>
        <w:t xml:space="preserve">Lacio, J. </w:t>
      </w:r>
      <w:r w:rsidRPr="003F3C99">
        <w:rPr>
          <w:rFonts w:ascii="Times New Roman" w:hAnsi="Times New Roman" w:cs="Times New Roman"/>
          <w:i/>
          <w:sz w:val="24"/>
          <w:szCs w:val="24"/>
          <w:lang w:val="es-ES"/>
        </w:rPr>
        <w:t>Pedacio Dioscorides Ana Zarbeo, Acerca de la Material Medicinal, y de los Venenos Mortiferos.</w:t>
      </w:r>
      <w:r w:rsidRPr="009A06BC">
        <w:rPr>
          <w:rFonts w:ascii="Times New Roman" w:hAnsi="Times New Roman" w:cs="Times New Roman"/>
          <w:sz w:val="24"/>
          <w:szCs w:val="24"/>
          <w:lang w:val="es-ES"/>
        </w:rPr>
        <w:t xml:space="preserve"> </w:t>
      </w:r>
      <w:r w:rsidRPr="009A06BC">
        <w:rPr>
          <w:rFonts w:ascii="Times New Roman" w:hAnsi="Times New Roman" w:cs="Times New Roman"/>
          <w:sz w:val="24"/>
          <w:szCs w:val="24"/>
        </w:rPr>
        <w:t>1555. Available at: https://dl.wdl.org/10632/service/10632.pdf [Accessed: 24</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April 2019].</w:t>
      </w:r>
    </w:p>
    <w:p w:rsidR="00603127" w:rsidRDefault="00603127"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Lattimore, R. (trans.) ‘The Works and Days.’ </w:t>
      </w:r>
      <w:r>
        <w:rPr>
          <w:rFonts w:ascii="Times New Roman" w:hAnsi="Times New Roman" w:cs="Times New Roman"/>
          <w:i/>
          <w:sz w:val="24"/>
          <w:szCs w:val="24"/>
        </w:rPr>
        <w:t>Hesiod.</w:t>
      </w:r>
      <w:r>
        <w:rPr>
          <w:rFonts w:ascii="Times New Roman" w:hAnsi="Times New Roman" w:cs="Times New Roman"/>
          <w:sz w:val="24"/>
          <w:szCs w:val="24"/>
        </w:rPr>
        <w:t xml:space="preserve"> Ann Arbor: The University of Michigan Press, 1965.</w:t>
      </w:r>
    </w:p>
    <w:p w:rsidR="00453A63" w:rsidRPr="00453A63" w:rsidRDefault="00453A63"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Lawall, G., Iverson, S., and Wooley, A. (eds.) </w:t>
      </w:r>
      <w:r w:rsidRPr="00453A63">
        <w:rPr>
          <w:rFonts w:ascii="Times New Roman" w:hAnsi="Times New Roman" w:cs="Times New Roman"/>
          <w:i/>
          <w:sz w:val="24"/>
          <w:szCs w:val="24"/>
        </w:rPr>
        <w:t>Fabulae Graecae: A Revised Edition</w:t>
      </w:r>
      <w:r>
        <w:rPr>
          <w:rFonts w:ascii="Times New Roman" w:hAnsi="Times New Roman" w:cs="Times New Roman"/>
          <w:i/>
          <w:sz w:val="24"/>
          <w:szCs w:val="24"/>
        </w:rPr>
        <w:t xml:space="preserve"> of Ritchie’s </w:t>
      </w:r>
      <w:r>
        <w:rPr>
          <w:rFonts w:ascii="Times New Roman" w:hAnsi="Times New Roman" w:cs="Times New Roman"/>
          <w:sz w:val="24"/>
          <w:szCs w:val="24"/>
        </w:rPr>
        <w:t>Fabulae Faciles. New York: Longman, 1991.</w:t>
      </w:r>
    </w:p>
    <w:p w:rsidR="00F209E2" w:rsidRPr="00F209E2" w:rsidRDefault="00F209E2" w:rsidP="00E67321">
      <w:pPr>
        <w:spacing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Lefrak, M. ‘Mano a Manna.’</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The Washington Post Magazine.</w:t>
      </w:r>
      <w:proofErr w:type="gramEnd"/>
      <w:r>
        <w:rPr>
          <w:rFonts w:ascii="Times New Roman" w:hAnsi="Times New Roman" w:cs="Times New Roman"/>
          <w:i/>
          <w:sz w:val="24"/>
          <w:szCs w:val="24"/>
        </w:rPr>
        <w:t xml:space="preserve"> </w:t>
      </w:r>
      <w:r>
        <w:rPr>
          <w:rFonts w:ascii="Times New Roman" w:hAnsi="Times New Roman" w:cs="Times New Roman"/>
          <w:sz w:val="24"/>
          <w:szCs w:val="24"/>
        </w:rPr>
        <w:t>12</w:t>
      </w:r>
      <w:r w:rsidRPr="00F209E2">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2018.</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LiDonnici, L. R. </w:t>
      </w:r>
      <w:r w:rsidRPr="00881816">
        <w:rPr>
          <w:rFonts w:ascii="Times New Roman" w:hAnsi="Times New Roman" w:cs="Times New Roman"/>
          <w:i/>
          <w:sz w:val="24"/>
          <w:szCs w:val="24"/>
        </w:rPr>
        <w:t>The Epidaurian Miracle Inscriptions: Text, Translation, and Commentary.</w:t>
      </w:r>
      <w:r w:rsidRPr="009A06BC">
        <w:rPr>
          <w:rFonts w:ascii="Times New Roman" w:hAnsi="Times New Roman" w:cs="Times New Roman"/>
          <w:sz w:val="24"/>
          <w:szCs w:val="24"/>
        </w:rPr>
        <w:t xml:space="preserve"> Atlanta: Scholars Press, 1995.</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Lloyd, G. E. R. </w:t>
      </w:r>
      <w:r w:rsidRPr="00881816">
        <w:rPr>
          <w:rFonts w:ascii="Times New Roman" w:hAnsi="Times New Roman" w:cs="Times New Roman"/>
          <w:i/>
          <w:sz w:val="24"/>
          <w:szCs w:val="24"/>
        </w:rPr>
        <w:t>Science, Folklore and Ideology</w:t>
      </w:r>
      <w:r w:rsidR="00881816">
        <w:rPr>
          <w:rFonts w:ascii="Times New Roman" w:hAnsi="Times New Roman" w:cs="Times New Roman"/>
          <w:i/>
          <w:sz w:val="24"/>
          <w:szCs w:val="24"/>
        </w:rPr>
        <w:t>: Studies in the Life Sciences in Ancient Greece.</w:t>
      </w:r>
      <w:r w:rsidRPr="009A06BC">
        <w:rPr>
          <w:rFonts w:ascii="Times New Roman" w:hAnsi="Times New Roman" w:cs="Times New Roman"/>
          <w:sz w:val="24"/>
          <w:szCs w:val="24"/>
        </w:rPr>
        <w:t xml:space="preserve"> </w:t>
      </w:r>
      <w:r w:rsidR="00C703C2">
        <w:rPr>
          <w:rFonts w:ascii="Times New Roman" w:hAnsi="Times New Roman" w:cs="Times New Roman"/>
          <w:sz w:val="24"/>
          <w:szCs w:val="24"/>
        </w:rPr>
        <w:t xml:space="preserve">Cambridge: </w:t>
      </w:r>
      <w:r w:rsidR="00881816">
        <w:rPr>
          <w:rFonts w:ascii="Times New Roman" w:hAnsi="Times New Roman" w:cs="Times New Roman"/>
          <w:sz w:val="24"/>
          <w:szCs w:val="24"/>
        </w:rPr>
        <w:t>CUP Archive, 1983</w:t>
      </w:r>
      <w:r w:rsidRPr="009A06BC">
        <w:rPr>
          <w:rFonts w:ascii="Times New Roman" w:hAnsi="Times New Roman" w:cs="Times New Roman"/>
          <w:sz w:val="24"/>
          <w:szCs w:val="24"/>
        </w:rPr>
        <w:t>.</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Longrigg, J. </w:t>
      </w:r>
      <w:r w:rsidRPr="00DA2F4A">
        <w:rPr>
          <w:rFonts w:ascii="Times New Roman" w:hAnsi="Times New Roman" w:cs="Times New Roman"/>
          <w:i/>
          <w:sz w:val="24"/>
          <w:szCs w:val="24"/>
        </w:rPr>
        <w:t>Greek Medicine: From the Heroic to the Hellenistic Age.</w:t>
      </w:r>
      <w:r w:rsidRPr="009A06BC">
        <w:rPr>
          <w:rFonts w:ascii="Times New Roman" w:hAnsi="Times New Roman" w:cs="Times New Roman"/>
          <w:sz w:val="24"/>
          <w:szCs w:val="24"/>
        </w:rPr>
        <w:t xml:space="preserve"> London: Duckworth, 1998.</w:t>
      </w:r>
    </w:p>
    <w:p w:rsidR="009410CB" w:rsidRPr="009410CB" w:rsidRDefault="009410CB"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Machemer, G. A. ‘Medicine, Music, and Magic: The Healing Grace of Pindar’s Fourth Nemean.’ </w:t>
      </w:r>
      <w:proofErr w:type="gramStart"/>
      <w:r>
        <w:rPr>
          <w:rFonts w:ascii="Times New Roman" w:hAnsi="Times New Roman" w:cs="Times New Roman"/>
          <w:i/>
          <w:sz w:val="24"/>
          <w:szCs w:val="24"/>
        </w:rPr>
        <w:t>Harvard Studies in Classical Philology.</w:t>
      </w:r>
      <w:proofErr w:type="gramEnd"/>
      <w:r>
        <w:rPr>
          <w:rFonts w:ascii="Times New Roman" w:hAnsi="Times New Roman" w:cs="Times New Roman"/>
          <w:i/>
          <w:sz w:val="24"/>
          <w:szCs w:val="24"/>
        </w:rPr>
        <w:t xml:space="preserve"> </w:t>
      </w:r>
      <w:r>
        <w:rPr>
          <w:rFonts w:ascii="Times New Roman" w:hAnsi="Times New Roman" w:cs="Times New Roman"/>
          <w:sz w:val="24"/>
          <w:szCs w:val="24"/>
        </w:rPr>
        <w:t>Vol. 95, 1993, pp. 113-41. Available at: https://www.jstor.org/stable/311379 [Accessed: 28</w:t>
      </w:r>
      <w:r w:rsidRPr="009410C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603127" w:rsidRPr="00603127" w:rsidRDefault="00603127"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Mandelbaum, A. (trans.)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Metamorphoses of Ovid. </w:t>
      </w:r>
      <w:r>
        <w:rPr>
          <w:rFonts w:ascii="Times New Roman" w:hAnsi="Times New Roman" w:cs="Times New Roman"/>
          <w:sz w:val="24"/>
          <w:szCs w:val="24"/>
        </w:rPr>
        <w:t>New York: Harcourt, Inc., 1993.</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Marcellus </w:t>
      </w:r>
      <w:r w:rsidRPr="00DA2F4A">
        <w:rPr>
          <w:rFonts w:ascii="Times New Roman" w:hAnsi="Times New Roman" w:cs="Times New Roman"/>
          <w:i/>
          <w:sz w:val="24"/>
          <w:szCs w:val="24"/>
        </w:rPr>
        <w:t xml:space="preserve">Letter of Cornelius Celsus </w:t>
      </w:r>
      <w:proofErr w:type="gramStart"/>
      <w:r w:rsidRPr="00DA2F4A">
        <w:rPr>
          <w:rFonts w:ascii="Times New Roman" w:hAnsi="Times New Roman" w:cs="Times New Roman"/>
          <w:i/>
          <w:sz w:val="24"/>
          <w:szCs w:val="24"/>
        </w:rPr>
        <w:t>On</w:t>
      </w:r>
      <w:proofErr w:type="gramEnd"/>
      <w:r w:rsidRPr="00DA2F4A">
        <w:rPr>
          <w:rFonts w:ascii="Times New Roman" w:hAnsi="Times New Roman" w:cs="Times New Roman"/>
          <w:i/>
          <w:sz w:val="24"/>
          <w:szCs w:val="24"/>
        </w:rPr>
        <w:t xml:space="preserve"> Remedies (CML)</w:t>
      </w:r>
      <w:r w:rsidRPr="009A06BC">
        <w:rPr>
          <w:rFonts w:ascii="Times New Roman" w:hAnsi="Times New Roman" w:cs="Times New Roman"/>
          <w:sz w:val="24"/>
          <w:szCs w:val="24"/>
        </w:rPr>
        <w:t xml:space="preserve"> 5.36</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lang w:val="es-ES"/>
        </w:rPr>
        <w:t xml:space="preserve">Marcett, M. E. et al. </w:t>
      </w:r>
      <w:r w:rsidRPr="00DA2F4A">
        <w:rPr>
          <w:rFonts w:ascii="Times New Roman" w:hAnsi="Times New Roman" w:cs="Times New Roman"/>
          <w:i/>
          <w:sz w:val="24"/>
          <w:szCs w:val="24"/>
        </w:rPr>
        <w:t>The Compact Homer: Iliad and Odyssey.</w:t>
      </w:r>
      <w:r w:rsidRPr="009A06BC">
        <w:rPr>
          <w:rFonts w:ascii="Times New Roman" w:hAnsi="Times New Roman" w:cs="Times New Roman"/>
          <w:sz w:val="24"/>
          <w:szCs w:val="24"/>
        </w:rPr>
        <w:t xml:space="preserve"> </w:t>
      </w:r>
      <w:r w:rsidR="00DA2F4A">
        <w:rPr>
          <w:rFonts w:ascii="Times New Roman" w:hAnsi="Times New Roman" w:cs="Times New Roman"/>
          <w:sz w:val="24"/>
          <w:szCs w:val="24"/>
        </w:rPr>
        <w:t>A. Lang, W. Leaf, and E. Myers (</w:t>
      </w:r>
      <w:proofErr w:type="gramStart"/>
      <w:r w:rsidR="00DA2F4A">
        <w:rPr>
          <w:rFonts w:ascii="Times New Roman" w:hAnsi="Times New Roman" w:cs="Times New Roman"/>
          <w:sz w:val="24"/>
          <w:szCs w:val="24"/>
        </w:rPr>
        <w:t>trans</w:t>
      </w:r>
      <w:proofErr w:type="gramEnd"/>
      <w:r w:rsidR="00DA2F4A">
        <w:rPr>
          <w:rFonts w:ascii="Times New Roman" w:hAnsi="Times New Roman" w:cs="Times New Roman"/>
          <w:sz w:val="24"/>
          <w:szCs w:val="24"/>
        </w:rPr>
        <w:t xml:space="preserve">.). </w:t>
      </w:r>
      <w:r w:rsidRPr="009A06BC">
        <w:rPr>
          <w:rFonts w:ascii="Times New Roman" w:hAnsi="Times New Roman" w:cs="Times New Roman"/>
          <w:sz w:val="24"/>
          <w:szCs w:val="24"/>
        </w:rPr>
        <w:t>Woodbury: Barron’s Educational Series, 1963.</w:t>
      </w:r>
    </w:p>
    <w:p w:rsidR="003D08FF" w:rsidRPr="003D08FF" w:rsidRDefault="003D08FF"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Martin, T. (trans.) ‘Refrain 5: Hell-Broth.’ </w:t>
      </w:r>
      <w:proofErr w:type="gramStart"/>
      <w:r>
        <w:rPr>
          <w:rFonts w:ascii="Times New Roman" w:hAnsi="Times New Roman" w:cs="Times New Roman"/>
          <w:i/>
          <w:sz w:val="24"/>
          <w:szCs w:val="24"/>
        </w:rPr>
        <w:t>The Complete Works of Horace.</w:t>
      </w:r>
      <w:proofErr w:type="gramEnd"/>
      <w:r>
        <w:rPr>
          <w:rFonts w:ascii="Times New Roman" w:hAnsi="Times New Roman" w:cs="Times New Roman"/>
          <w:i/>
          <w:sz w:val="24"/>
          <w:szCs w:val="24"/>
        </w:rPr>
        <w:t xml:space="preserve"> </w:t>
      </w:r>
      <w:r>
        <w:rPr>
          <w:rFonts w:ascii="Times New Roman" w:hAnsi="Times New Roman" w:cs="Times New Roman"/>
          <w:sz w:val="24"/>
          <w:szCs w:val="24"/>
        </w:rPr>
        <w:t>C. J. Kraemer, Jr. (ed.) New York: The Modern Library, 1936.</w:t>
      </w:r>
      <w:r w:rsidR="00A0085C">
        <w:rPr>
          <w:rFonts w:ascii="Times New Roman" w:hAnsi="Times New Roman" w:cs="Times New Roman"/>
          <w:sz w:val="24"/>
          <w:szCs w:val="24"/>
        </w:rPr>
        <w:t xml:space="preserve"> pp. 95-99.</w:t>
      </w:r>
    </w:p>
    <w:p w:rsidR="00603127" w:rsidRPr="00603127" w:rsidRDefault="00603127"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Mathias, M. E. ‘Magic, Myth and Medicine.’ </w:t>
      </w:r>
      <w:r>
        <w:rPr>
          <w:rFonts w:ascii="Times New Roman" w:hAnsi="Times New Roman" w:cs="Times New Roman"/>
          <w:i/>
          <w:sz w:val="24"/>
          <w:szCs w:val="24"/>
        </w:rPr>
        <w:t xml:space="preserve">Economic Botany, </w:t>
      </w:r>
      <w:r>
        <w:rPr>
          <w:rFonts w:ascii="Times New Roman" w:hAnsi="Times New Roman" w:cs="Times New Roman"/>
          <w:sz w:val="24"/>
          <w:szCs w:val="24"/>
        </w:rPr>
        <w:t>Vol. 48, No. 1, Jan-Mar 1994, pp. 3-7. Available at: http://www.jstor.org/stable/4255562 [Accessed: 28th May 2016].</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Michaud, P. M. and Méléance, E. (2019).</w:t>
      </w:r>
      <w:proofErr w:type="gramEnd"/>
      <w:r w:rsidRPr="009A06BC">
        <w:rPr>
          <w:rFonts w:ascii="Times New Roman" w:hAnsi="Times New Roman" w:cs="Times New Roman"/>
          <w:sz w:val="24"/>
          <w:szCs w:val="24"/>
        </w:rPr>
        <w:t xml:space="preserve"> </w:t>
      </w:r>
      <w:proofErr w:type="gramStart"/>
      <w:r w:rsidRPr="00DA2F4A">
        <w:rPr>
          <w:rFonts w:ascii="Times New Roman" w:hAnsi="Times New Roman" w:cs="Times New Roman"/>
          <w:i/>
          <w:sz w:val="24"/>
          <w:szCs w:val="24"/>
        </w:rPr>
        <w:t>Sang-dragon.</w:t>
      </w:r>
      <w:proofErr w:type="gramEnd"/>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lastRenderedPageBreak/>
        <w:t xml:space="preserve">Moura, A. </w:t>
      </w:r>
      <w:r w:rsidRPr="00DA2F4A">
        <w:rPr>
          <w:rFonts w:ascii="Times New Roman" w:hAnsi="Times New Roman" w:cs="Times New Roman"/>
          <w:i/>
          <w:sz w:val="24"/>
          <w:szCs w:val="24"/>
        </w:rPr>
        <w:t xml:space="preserve">Grimoire for the Green Witch: A Complete Book of Shadows. </w:t>
      </w:r>
      <w:r w:rsidRPr="009A06BC">
        <w:rPr>
          <w:rFonts w:ascii="Times New Roman" w:hAnsi="Times New Roman" w:cs="Times New Roman"/>
          <w:sz w:val="24"/>
          <w:szCs w:val="24"/>
        </w:rPr>
        <w:t>Woodbury: Llewellyn Worldwide, Ltd., 2015.</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Neverman, L. ‘Birdsfoot Trefoil – Weekly Weeder #27.’ </w:t>
      </w:r>
      <w:r w:rsidRPr="00DA2F4A">
        <w:rPr>
          <w:rFonts w:ascii="Times New Roman" w:hAnsi="Times New Roman" w:cs="Times New Roman"/>
          <w:i/>
          <w:sz w:val="24"/>
          <w:szCs w:val="24"/>
        </w:rPr>
        <w:t>Common Sense Home: Wildcrafting.</w:t>
      </w:r>
      <w:r w:rsidRPr="009A06BC">
        <w:rPr>
          <w:rFonts w:ascii="Times New Roman" w:hAnsi="Times New Roman" w:cs="Times New Roman"/>
          <w:sz w:val="24"/>
          <w:szCs w:val="24"/>
        </w:rPr>
        <w:t xml:space="preserve"> Available at: https://commonsensehome.com/birdsfoot-trefoil/ [Accessed: 20</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August 2019].</w:t>
      </w:r>
    </w:p>
    <w:p w:rsidR="00447C91" w:rsidRDefault="00447C91"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Nicander </w:t>
      </w:r>
      <w:r>
        <w:rPr>
          <w:rFonts w:ascii="Times New Roman" w:hAnsi="Times New Roman" w:cs="Times New Roman"/>
          <w:i/>
          <w:sz w:val="24"/>
          <w:szCs w:val="24"/>
          <w:lang w:val="el-GR"/>
        </w:rPr>
        <w:t>Ἀλεζιφάρμακα</w:t>
      </w:r>
      <w:r w:rsidRPr="00447C91">
        <w:rPr>
          <w:rFonts w:ascii="Times New Roman" w:hAnsi="Times New Roman" w:cs="Times New Roman"/>
          <w:i/>
          <w:sz w:val="24"/>
          <w:szCs w:val="24"/>
        </w:rPr>
        <w:t xml:space="preserve"> </w:t>
      </w:r>
      <w:r>
        <w:rPr>
          <w:rFonts w:ascii="Times New Roman" w:hAnsi="Times New Roman" w:cs="Times New Roman"/>
          <w:sz w:val="24"/>
          <w:szCs w:val="24"/>
        </w:rPr>
        <w:t>208</w:t>
      </w:r>
    </w:p>
    <w:p w:rsidR="00D26905" w:rsidRPr="00D26905" w:rsidRDefault="00D26905"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Nutton, V. ‘Review: Peter Cordes, “Iatros: das Bild des Artzes in der griechischen Literatur von Homer bis Aristoteles.”’ </w:t>
      </w:r>
      <w:proofErr w:type="gramStart"/>
      <w:r>
        <w:rPr>
          <w:rFonts w:ascii="Times New Roman" w:hAnsi="Times New Roman" w:cs="Times New Roman"/>
          <w:i/>
          <w:sz w:val="24"/>
          <w:szCs w:val="24"/>
        </w:rPr>
        <w:t>Medical History.</w:t>
      </w:r>
      <w:proofErr w:type="gramEnd"/>
      <w:r>
        <w:rPr>
          <w:rFonts w:ascii="Times New Roman" w:hAnsi="Times New Roman" w:cs="Times New Roman"/>
          <w:i/>
          <w:sz w:val="24"/>
          <w:szCs w:val="24"/>
        </w:rPr>
        <w:t xml:space="preserve"> </w:t>
      </w:r>
      <w:r>
        <w:rPr>
          <w:rFonts w:ascii="Times New Roman" w:hAnsi="Times New Roman" w:cs="Times New Roman"/>
          <w:sz w:val="24"/>
          <w:szCs w:val="24"/>
        </w:rPr>
        <w:t>Vol. 39, No. 3, Jul. 1995, pp. 394. Available at: https://mcbi.nlm.nih.gov/pmc/articles/PMC1037023 [Accessed: 30</w:t>
      </w:r>
      <w:r w:rsidRPr="00D26905">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80455B" w:rsidRPr="0080455B" w:rsidRDefault="0080455B" w:rsidP="00E67321">
      <w:pPr>
        <w:spacing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Nutton, V. ‘Rufus of Ephesus in the Medical Context of his Time.’</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On Melancholy: Rufus of Ephesus. </w:t>
      </w:r>
      <w:r>
        <w:rPr>
          <w:rFonts w:ascii="Times New Roman" w:hAnsi="Times New Roman" w:cs="Times New Roman"/>
          <w:sz w:val="24"/>
          <w:szCs w:val="24"/>
        </w:rPr>
        <w:t>pp. 139-58. Available at: https://www.jstor.org/stable/j.ctv9b2w2k.9 [Accessed: 28</w:t>
      </w:r>
      <w:r w:rsidRPr="0080455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‘Olens, -entis.’</w:t>
      </w:r>
      <w:proofErr w:type="gramEnd"/>
      <w:r w:rsidRPr="009A06BC">
        <w:rPr>
          <w:rFonts w:ascii="Times New Roman" w:hAnsi="Times New Roman" w:cs="Times New Roman"/>
          <w:sz w:val="24"/>
          <w:szCs w:val="24"/>
        </w:rPr>
        <w:t xml:space="preserve"> </w:t>
      </w:r>
      <w:proofErr w:type="gramStart"/>
      <w:r w:rsidRPr="00DA2F4A">
        <w:rPr>
          <w:rFonts w:ascii="Times New Roman" w:hAnsi="Times New Roman" w:cs="Times New Roman"/>
          <w:i/>
          <w:sz w:val="24"/>
          <w:szCs w:val="24"/>
        </w:rPr>
        <w:t>Collins Gem Latin Dictionary.</w:t>
      </w:r>
      <w:proofErr w:type="gramEnd"/>
      <w:r w:rsidRPr="009A06BC">
        <w:rPr>
          <w:rFonts w:ascii="Times New Roman" w:hAnsi="Times New Roman" w:cs="Times New Roman"/>
          <w:sz w:val="24"/>
          <w:szCs w:val="24"/>
        </w:rPr>
        <w:t xml:space="preserve"> Glasgow: HarperCollins Publishers, 2004, p. 238.</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‘Olens, -ntis.’</w:t>
      </w:r>
      <w:proofErr w:type="gramEnd"/>
      <w:r w:rsidRPr="009A06BC">
        <w:rPr>
          <w:rFonts w:ascii="Times New Roman" w:hAnsi="Times New Roman" w:cs="Times New Roman"/>
          <w:sz w:val="24"/>
          <w:szCs w:val="24"/>
        </w:rPr>
        <w:t xml:space="preserve"> </w:t>
      </w:r>
      <w:proofErr w:type="gramStart"/>
      <w:r w:rsidRPr="00DA2F4A">
        <w:rPr>
          <w:rFonts w:ascii="Times New Roman" w:hAnsi="Times New Roman" w:cs="Times New Roman"/>
          <w:i/>
          <w:sz w:val="24"/>
          <w:szCs w:val="24"/>
        </w:rPr>
        <w:t>Oxford Latin Desk Dictionary.</w:t>
      </w:r>
      <w:proofErr w:type="gramEnd"/>
      <w:r w:rsidRPr="009A06BC">
        <w:rPr>
          <w:rFonts w:ascii="Times New Roman" w:hAnsi="Times New Roman" w:cs="Times New Roman"/>
          <w:sz w:val="24"/>
          <w:szCs w:val="24"/>
        </w:rPr>
        <w:t xml:space="preserve"> New York: Oxford University Press, 2005, p. 128.</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Oribasius </w:t>
      </w:r>
      <w:r w:rsidRPr="00DA2F4A">
        <w:rPr>
          <w:rFonts w:ascii="Times New Roman" w:hAnsi="Times New Roman" w:cs="Times New Roman"/>
          <w:i/>
          <w:sz w:val="24"/>
          <w:szCs w:val="24"/>
        </w:rPr>
        <w:t xml:space="preserve">Medical Collections </w:t>
      </w:r>
      <w:r w:rsidRPr="009A06BC">
        <w:rPr>
          <w:rFonts w:ascii="Times New Roman" w:hAnsi="Times New Roman" w:cs="Times New Roman"/>
          <w:sz w:val="24"/>
          <w:szCs w:val="24"/>
        </w:rPr>
        <w:t>3.168ff</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Osborn, D. K. ‘The Four Humors.’</w:t>
      </w:r>
      <w:proofErr w:type="gramEnd"/>
      <w:r w:rsidRPr="009A06BC">
        <w:rPr>
          <w:rFonts w:ascii="Times New Roman" w:hAnsi="Times New Roman" w:cs="Times New Roman"/>
          <w:sz w:val="24"/>
          <w:szCs w:val="24"/>
        </w:rPr>
        <w:t xml:space="preserve"> </w:t>
      </w:r>
      <w:proofErr w:type="gramStart"/>
      <w:r w:rsidRPr="00DA2F4A">
        <w:rPr>
          <w:rFonts w:ascii="Times New Roman" w:hAnsi="Times New Roman" w:cs="Times New Roman"/>
          <w:i/>
          <w:sz w:val="24"/>
          <w:szCs w:val="24"/>
        </w:rPr>
        <w:t>Greek Medicine.Net.</w:t>
      </w:r>
      <w:proofErr w:type="gramEnd"/>
      <w:r w:rsidRPr="009A06BC">
        <w:rPr>
          <w:rFonts w:ascii="Times New Roman" w:hAnsi="Times New Roman" w:cs="Times New Roman"/>
          <w:sz w:val="24"/>
          <w:szCs w:val="24"/>
        </w:rPr>
        <w:t xml:space="preserve"> 2018. Available at: http://www.greekmedicine.net/b_p/Four_Humors.html [Accessed: 15</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December 2019].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Ovid </w:t>
      </w:r>
      <w:r w:rsidRPr="00DA2F4A">
        <w:rPr>
          <w:rFonts w:ascii="Times New Roman" w:hAnsi="Times New Roman" w:cs="Times New Roman"/>
          <w:i/>
          <w:sz w:val="24"/>
          <w:szCs w:val="24"/>
        </w:rPr>
        <w:t>Metamorphoses</w:t>
      </w:r>
      <w:r w:rsidRPr="009A06BC">
        <w:rPr>
          <w:rFonts w:ascii="Times New Roman" w:hAnsi="Times New Roman" w:cs="Times New Roman"/>
          <w:sz w:val="24"/>
          <w:szCs w:val="24"/>
        </w:rPr>
        <w:t xml:space="preserve"> </w:t>
      </w:r>
      <w:r w:rsidR="00DA2F4A">
        <w:rPr>
          <w:rFonts w:ascii="Times New Roman" w:hAnsi="Times New Roman" w:cs="Times New Roman"/>
          <w:sz w:val="24"/>
          <w:szCs w:val="24"/>
        </w:rPr>
        <w:t>I, IX, X</w:t>
      </w:r>
    </w:p>
    <w:p w:rsidR="00E67321" w:rsidRPr="009A06BC" w:rsidRDefault="00E67321" w:rsidP="00E67321">
      <w:pPr>
        <w:spacing w:line="480" w:lineRule="auto"/>
        <w:ind w:left="720" w:hanging="720"/>
        <w:rPr>
          <w:rFonts w:ascii="Times New Roman" w:hAnsi="Times New Roman" w:cs="Times New Roman"/>
          <w:sz w:val="24"/>
          <w:szCs w:val="24"/>
        </w:rPr>
      </w:pPr>
      <w:r w:rsidRPr="00DA2F4A">
        <w:rPr>
          <w:rFonts w:ascii="Times New Roman" w:hAnsi="Times New Roman" w:cs="Times New Roman"/>
          <w:i/>
          <w:sz w:val="24"/>
          <w:szCs w:val="24"/>
        </w:rPr>
        <w:t>P. Ovidius Naso.</w:t>
      </w:r>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The Latin Library.</w:t>
      </w:r>
      <w:proofErr w:type="gramEnd"/>
      <w:r w:rsidRPr="009A06BC">
        <w:rPr>
          <w:rFonts w:ascii="Times New Roman" w:hAnsi="Times New Roman" w:cs="Times New Roman"/>
          <w:sz w:val="24"/>
          <w:szCs w:val="24"/>
        </w:rPr>
        <w:t xml:space="preserve"> Available at: https://www.thelatinlibrary.com/ovid.html [Accessed: 18th August 2019].</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lastRenderedPageBreak/>
        <w:t>Pachis, P. ‘“Γαλλαîον Κυβέλης ỏλόλυγμα” (Anthol.</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Palat.</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VI, 173).</w:t>
      </w:r>
      <w:proofErr w:type="gramEnd"/>
      <w:r w:rsidRPr="009A06BC">
        <w:rPr>
          <w:rFonts w:ascii="Times New Roman" w:hAnsi="Times New Roman" w:cs="Times New Roman"/>
          <w:sz w:val="24"/>
          <w:szCs w:val="24"/>
        </w:rPr>
        <w:t xml:space="preserve"> </w:t>
      </w:r>
      <w:proofErr w:type="gramStart"/>
      <w:r w:rsidRPr="00DA2F4A">
        <w:rPr>
          <w:rFonts w:ascii="Times New Roman" w:hAnsi="Times New Roman" w:cs="Times New Roman"/>
          <w:i/>
          <w:sz w:val="24"/>
          <w:szCs w:val="24"/>
        </w:rPr>
        <w:t>L’Élément Orgiastique Dans Le Culte De Cybèle.’</w:t>
      </w:r>
      <w:proofErr w:type="gramEnd"/>
      <w:r w:rsidRPr="00DA2F4A">
        <w:rPr>
          <w:rFonts w:ascii="Times New Roman" w:hAnsi="Times New Roman" w:cs="Times New Roman"/>
          <w:i/>
          <w:sz w:val="24"/>
          <w:szCs w:val="24"/>
        </w:rPr>
        <w:t xml:space="preserve"> </w:t>
      </w:r>
      <w:proofErr w:type="gramStart"/>
      <w:r w:rsidRPr="00DA2F4A">
        <w:rPr>
          <w:rFonts w:ascii="Times New Roman" w:hAnsi="Times New Roman" w:cs="Times New Roman"/>
          <w:i/>
          <w:sz w:val="24"/>
          <w:szCs w:val="24"/>
        </w:rPr>
        <w:t>Cybele, Attis and Related Cults.</w:t>
      </w:r>
      <w:proofErr w:type="gramEnd"/>
      <w:r w:rsidR="00DA2F4A">
        <w:rPr>
          <w:rFonts w:ascii="Times New Roman" w:hAnsi="Times New Roman" w:cs="Times New Roman"/>
          <w:sz w:val="24"/>
          <w:szCs w:val="24"/>
        </w:rPr>
        <w:t xml:space="preserve"> E</w:t>
      </w:r>
      <w:r w:rsidRPr="009A06BC">
        <w:rPr>
          <w:rFonts w:ascii="Times New Roman" w:hAnsi="Times New Roman" w:cs="Times New Roman"/>
          <w:sz w:val="24"/>
          <w:szCs w:val="24"/>
        </w:rPr>
        <w:t xml:space="preserve">. </w:t>
      </w:r>
      <w:r w:rsidR="00DA2F4A">
        <w:rPr>
          <w:rFonts w:ascii="Times New Roman" w:hAnsi="Times New Roman" w:cs="Times New Roman"/>
          <w:sz w:val="24"/>
          <w:szCs w:val="24"/>
        </w:rPr>
        <w:t>N. Lane (</w:t>
      </w:r>
      <w:proofErr w:type="gramStart"/>
      <w:r w:rsidR="00DA2F4A">
        <w:rPr>
          <w:rFonts w:ascii="Times New Roman" w:hAnsi="Times New Roman" w:cs="Times New Roman"/>
          <w:sz w:val="24"/>
          <w:szCs w:val="24"/>
        </w:rPr>
        <w:t>ed</w:t>
      </w:r>
      <w:proofErr w:type="gramEnd"/>
      <w:r w:rsidR="00DA2F4A">
        <w:rPr>
          <w:rFonts w:ascii="Times New Roman" w:hAnsi="Times New Roman" w:cs="Times New Roman"/>
          <w:sz w:val="24"/>
          <w:szCs w:val="24"/>
        </w:rPr>
        <w:t>.)</w:t>
      </w:r>
      <w:r w:rsidRPr="009A06BC">
        <w:rPr>
          <w:rFonts w:ascii="Times New Roman" w:hAnsi="Times New Roman" w:cs="Times New Roman"/>
          <w:sz w:val="24"/>
          <w:szCs w:val="24"/>
        </w:rPr>
        <w:t>. Vol. 131, 1996, pp. 193-222. Available at: https://doi.org/10.1163/9789004295889_010 [Accessed: 15</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December 2019].</w:t>
      </w:r>
    </w:p>
    <w:p w:rsidR="00E67321" w:rsidRPr="009A06BC" w:rsidRDefault="00E67321" w:rsidP="00E67321">
      <w:pPr>
        <w:spacing w:line="480" w:lineRule="auto"/>
        <w:ind w:left="720" w:hanging="720"/>
        <w:rPr>
          <w:rFonts w:ascii="Times New Roman" w:hAnsi="Times New Roman" w:cs="Times New Roman"/>
          <w:sz w:val="24"/>
          <w:szCs w:val="24"/>
        </w:rPr>
      </w:pPr>
      <w:r w:rsidRPr="00DA2F4A">
        <w:rPr>
          <w:rFonts w:ascii="Times New Roman" w:hAnsi="Times New Roman" w:cs="Times New Roman"/>
          <w:i/>
          <w:sz w:val="24"/>
          <w:szCs w:val="24"/>
        </w:rPr>
        <w:t>Papyri Demoticae Magicae</w:t>
      </w:r>
      <w:r w:rsidRPr="009A06BC">
        <w:rPr>
          <w:rFonts w:ascii="Times New Roman" w:hAnsi="Times New Roman" w:cs="Times New Roman"/>
          <w:sz w:val="24"/>
          <w:szCs w:val="24"/>
        </w:rPr>
        <w:t xml:space="preserve"> I-XXIX</w:t>
      </w:r>
    </w:p>
    <w:p w:rsidR="00E67321" w:rsidRPr="009A06BC" w:rsidRDefault="00E67321" w:rsidP="00E67321">
      <w:pPr>
        <w:spacing w:line="480" w:lineRule="auto"/>
        <w:ind w:left="720" w:hanging="720"/>
        <w:rPr>
          <w:rFonts w:ascii="Times New Roman" w:hAnsi="Times New Roman" w:cs="Times New Roman"/>
          <w:sz w:val="24"/>
          <w:szCs w:val="24"/>
        </w:rPr>
      </w:pPr>
      <w:r w:rsidRPr="00DA2F4A">
        <w:rPr>
          <w:rFonts w:ascii="Times New Roman" w:hAnsi="Times New Roman" w:cs="Times New Roman"/>
          <w:i/>
          <w:sz w:val="24"/>
          <w:szCs w:val="24"/>
        </w:rPr>
        <w:t>Papyri Graecae Magicae</w:t>
      </w:r>
      <w:r w:rsidRPr="009A06BC">
        <w:rPr>
          <w:rFonts w:ascii="Times New Roman" w:hAnsi="Times New Roman" w:cs="Times New Roman"/>
          <w:sz w:val="24"/>
          <w:szCs w:val="24"/>
        </w:rPr>
        <w:t xml:space="preserve"> I-XXXVI</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DA2F4A">
        <w:rPr>
          <w:rFonts w:ascii="Times New Roman" w:hAnsi="Times New Roman" w:cs="Times New Roman"/>
          <w:i/>
          <w:sz w:val="24"/>
          <w:szCs w:val="24"/>
        </w:rPr>
        <w:t>Papyri Graecae Magicae.</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Internet Archive.</w:t>
      </w:r>
      <w:proofErr w:type="gramEnd"/>
      <w:r w:rsidRPr="009A06BC">
        <w:rPr>
          <w:rFonts w:ascii="Times New Roman" w:hAnsi="Times New Roman" w:cs="Times New Roman"/>
          <w:sz w:val="24"/>
          <w:szCs w:val="24"/>
        </w:rPr>
        <w:t xml:space="preserve"> Available at: https://archive.org/stream/Papyri_Graecae_Magicae/Papyri_Graecae_Magicae_djvu.txt [Accessed: 24</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April 2019].</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 xml:space="preserve">Parmar, H. </w:t>
      </w:r>
      <w:r w:rsidRPr="00DA2F4A">
        <w:rPr>
          <w:rFonts w:ascii="Times New Roman" w:hAnsi="Times New Roman" w:cs="Times New Roman"/>
          <w:i/>
          <w:sz w:val="24"/>
          <w:szCs w:val="24"/>
        </w:rPr>
        <w:t>Strabo and India.</w:t>
      </w:r>
      <w:proofErr w:type="gramEnd"/>
      <w:r w:rsidRPr="009A06BC">
        <w:rPr>
          <w:rFonts w:ascii="Times New Roman" w:hAnsi="Times New Roman" w:cs="Times New Roman"/>
          <w:sz w:val="24"/>
          <w:szCs w:val="24"/>
        </w:rPr>
        <w:t xml:space="preserve"> Edinburgh: The University of Edinburgh, 2015. Available at: https://www.era.lib.ed.ac.uk/bitstream/handle/1842/23448/Parmar2016.pdf?sequence=2&amp;isAllowed=y [Accessed 20</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August 2019].</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Peacham </w:t>
      </w:r>
      <w:r w:rsidRPr="00DA2F4A">
        <w:rPr>
          <w:rFonts w:ascii="Times New Roman" w:hAnsi="Times New Roman" w:cs="Times New Roman"/>
          <w:i/>
          <w:sz w:val="24"/>
          <w:szCs w:val="24"/>
        </w:rPr>
        <w:t>Minerva Britanna</w:t>
      </w:r>
      <w:r w:rsidRPr="009A06BC">
        <w:rPr>
          <w:rFonts w:ascii="Times New Roman" w:hAnsi="Times New Roman" w:cs="Times New Roman"/>
          <w:sz w:val="24"/>
          <w:szCs w:val="24"/>
        </w:rPr>
        <w:t xml:space="preserve"> 1612</w:t>
      </w:r>
    </w:p>
    <w:p w:rsidR="00447C91" w:rsidRDefault="00447C91" w:rsidP="00E67321">
      <w:pPr>
        <w:spacing w:line="480" w:lineRule="auto"/>
        <w:ind w:left="720" w:hanging="720"/>
        <w:rPr>
          <w:rFonts w:ascii="Times New Roman" w:hAnsi="Times New Roman" w:cs="Times New Roman"/>
          <w:sz w:val="24"/>
          <w:szCs w:val="24"/>
        </w:rPr>
      </w:pPr>
      <w:r w:rsidRPr="00CB5F38">
        <w:rPr>
          <w:rFonts w:ascii="Times New Roman" w:hAnsi="Times New Roman" w:cs="Times New Roman"/>
          <w:sz w:val="24"/>
          <w:szCs w:val="24"/>
        </w:rPr>
        <w:t xml:space="preserve">Petronius </w:t>
      </w:r>
      <w:r w:rsidRPr="00CB5F38">
        <w:rPr>
          <w:rFonts w:ascii="Times New Roman" w:hAnsi="Times New Roman" w:cs="Times New Roman"/>
          <w:i/>
          <w:sz w:val="24"/>
          <w:szCs w:val="24"/>
        </w:rPr>
        <w:t xml:space="preserve">Fragmentum </w:t>
      </w:r>
      <w:r w:rsidRPr="00CB5F38">
        <w:rPr>
          <w:rFonts w:ascii="Times New Roman" w:hAnsi="Times New Roman" w:cs="Times New Roman"/>
          <w:sz w:val="24"/>
          <w:szCs w:val="24"/>
        </w:rPr>
        <w:t>XXXIII</w:t>
      </w:r>
    </w:p>
    <w:p w:rsidR="00453A63" w:rsidRDefault="00453A63"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lang w:val="el-GR"/>
        </w:rPr>
        <w:t>φάρμακοω</w:t>
      </w:r>
      <w:proofErr w:type="gramEnd"/>
      <w:r w:rsidRPr="00453A63">
        <w:rPr>
          <w:rFonts w:ascii="Times New Roman" w:hAnsi="Times New Roman" w:cs="Times New Roman"/>
          <w:sz w:val="24"/>
          <w:szCs w:val="24"/>
        </w:rPr>
        <w:t>, -</w:t>
      </w:r>
      <w:r>
        <w:rPr>
          <w:rFonts w:ascii="Times New Roman" w:hAnsi="Times New Roman" w:cs="Times New Roman"/>
          <w:sz w:val="24"/>
          <w:szCs w:val="24"/>
          <w:lang w:val="el-GR"/>
        </w:rPr>
        <w:t>ου</w:t>
      </w:r>
      <w:r w:rsidRPr="00453A63">
        <w:rPr>
          <w:rFonts w:ascii="Times New Roman" w:hAnsi="Times New Roman" w:cs="Times New Roman"/>
          <w:sz w:val="24"/>
          <w:szCs w:val="24"/>
        </w:rPr>
        <w:t xml:space="preserve">, </w:t>
      </w:r>
      <w:r>
        <w:rPr>
          <w:rFonts w:ascii="Times New Roman" w:hAnsi="Times New Roman" w:cs="Times New Roman"/>
          <w:sz w:val="24"/>
          <w:szCs w:val="24"/>
          <w:lang w:val="el-GR"/>
        </w:rPr>
        <w:t>τό</w:t>
      </w:r>
      <w:r>
        <w:rPr>
          <w:rFonts w:ascii="Times New Roman" w:hAnsi="Times New Roman" w:cs="Times New Roman"/>
          <w:sz w:val="24"/>
          <w:szCs w:val="24"/>
        </w:rPr>
        <w:t xml:space="preserve">’ </w:t>
      </w:r>
      <w:r>
        <w:rPr>
          <w:rFonts w:ascii="Times New Roman" w:hAnsi="Times New Roman" w:cs="Times New Roman"/>
          <w:i/>
          <w:sz w:val="24"/>
          <w:szCs w:val="24"/>
        </w:rPr>
        <w:t>Thesaurus Linguae Graecae</w:t>
      </w:r>
    </w:p>
    <w:p w:rsidR="000A4FE1" w:rsidRPr="000A4FE1" w:rsidRDefault="000A4FE1"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Phillips, J. H. ‘Reviewed Work: “Miasma: Pollution and Purification in Early Greek Religion” by Robert Parker.’ </w:t>
      </w:r>
      <w:proofErr w:type="gramStart"/>
      <w:r>
        <w:rPr>
          <w:rFonts w:ascii="Times New Roman" w:hAnsi="Times New Roman" w:cs="Times New Roman"/>
          <w:i/>
          <w:sz w:val="24"/>
          <w:szCs w:val="24"/>
        </w:rPr>
        <w:t>Journal of the History of Medicine and Allied Sciences.</w:t>
      </w:r>
      <w:proofErr w:type="gramEnd"/>
      <w:r>
        <w:rPr>
          <w:rFonts w:ascii="Times New Roman" w:hAnsi="Times New Roman" w:cs="Times New Roman"/>
          <w:i/>
          <w:sz w:val="24"/>
          <w:szCs w:val="24"/>
        </w:rPr>
        <w:t xml:space="preserve"> </w:t>
      </w:r>
      <w:r>
        <w:rPr>
          <w:rFonts w:ascii="Times New Roman" w:hAnsi="Times New Roman" w:cs="Times New Roman"/>
          <w:sz w:val="24"/>
          <w:szCs w:val="24"/>
        </w:rPr>
        <w:t>Vol. 41, No. 3, Jul. 1986, pp. 327-28. Available at: https://www.jstor.org/stable/24633450 [Accessed: 30</w:t>
      </w:r>
      <w:r w:rsidRPr="000A4FE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FD3756" w:rsidRPr="002C42A2" w:rsidRDefault="00FD3756" w:rsidP="00E67321">
      <w:pPr>
        <w:spacing w:line="480" w:lineRule="auto"/>
        <w:ind w:left="720" w:hanging="720"/>
        <w:rPr>
          <w:rFonts w:ascii="Times New Roman" w:hAnsi="Times New Roman" w:cs="Times New Roman"/>
          <w:sz w:val="24"/>
          <w:szCs w:val="24"/>
          <w:lang w:val="es-ES"/>
        </w:rPr>
      </w:pPr>
      <w:r w:rsidRPr="002C42A2">
        <w:rPr>
          <w:rFonts w:ascii="Times New Roman" w:hAnsi="Times New Roman" w:cs="Times New Roman"/>
          <w:sz w:val="24"/>
          <w:szCs w:val="24"/>
          <w:lang w:val="es-ES"/>
        </w:rPr>
        <w:t xml:space="preserve">Pindar </w:t>
      </w:r>
      <w:r w:rsidRPr="002C42A2">
        <w:rPr>
          <w:rFonts w:ascii="Times New Roman" w:hAnsi="Times New Roman" w:cs="Times New Roman"/>
          <w:i/>
          <w:sz w:val="24"/>
          <w:szCs w:val="24"/>
          <w:lang w:val="es-ES"/>
        </w:rPr>
        <w:t xml:space="preserve">Lyrica Nemea </w:t>
      </w:r>
      <w:r w:rsidRPr="002C42A2">
        <w:rPr>
          <w:rFonts w:ascii="Times New Roman" w:hAnsi="Times New Roman" w:cs="Times New Roman"/>
          <w:sz w:val="24"/>
          <w:szCs w:val="24"/>
          <w:lang w:val="es-ES"/>
        </w:rPr>
        <w:t>3.55, 4.1-2</w:t>
      </w:r>
    </w:p>
    <w:p w:rsidR="00FD3756" w:rsidRPr="00FD3756" w:rsidRDefault="00FD3756" w:rsidP="00E67321">
      <w:pPr>
        <w:spacing w:line="480" w:lineRule="auto"/>
        <w:ind w:left="720" w:hanging="720"/>
        <w:rPr>
          <w:rFonts w:ascii="Times New Roman" w:hAnsi="Times New Roman" w:cs="Times New Roman"/>
          <w:sz w:val="24"/>
          <w:szCs w:val="24"/>
          <w:lang w:val="es-ES"/>
        </w:rPr>
      </w:pPr>
      <w:r w:rsidRPr="00FD3756">
        <w:rPr>
          <w:rFonts w:ascii="Times New Roman" w:hAnsi="Times New Roman" w:cs="Times New Roman"/>
          <w:sz w:val="24"/>
          <w:szCs w:val="24"/>
          <w:lang w:val="es-ES"/>
        </w:rPr>
        <w:lastRenderedPageBreak/>
        <w:t xml:space="preserve">Pindar </w:t>
      </w:r>
      <w:r w:rsidRPr="00FD3756">
        <w:rPr>
          <w:rFonts w:ascii="Times New Roman" w:hAnsi="Times New Roman" w:cs="Times New Roman"/>
          <w:i/>
          <w:sz w:val="24"/>
          <w:szCs w:val="24"/>
          <w:lang w:val="es-ES"/>
        </w:rPr>
        <w:t>Lyrica Ol</w:t>
      </w:r>
      <w:r>
        <w:rPr>
          <w:rFonts w:ascii="Times New Roman" w:hAnsi="Times New Roman" w:cs="Times New Roman"/>
          <w:i/>
          <w:sz w:val="24"/>
          <w:szCs w:val="24"/>
          <w:lang w:val="es-ES"/>
        </w:rPr>
        <w:t xml:space="preserve">ympia </w:t>
      </w:r>
      <w:r>
        <w:rPr>
          <w:rFonts w:ascii="Times New Roman" w:hAnsi="Times New Roman" w:cs="Times New Roman"/>
          <w:sz w:val="24"/>
          <w:szCs w:val="24"/>
          <w:lang w:val="es-ES"/>
        </w:rPr>
        <w:t>9.97, 13.68-85</w:t>
      </w:r>
    </w:p>
    <w:p w:rsidR="007E0D51" w:rsidRPr="009410CB" w:rsidRDefault="007E0D51" w:rsidP="000A1AFA">
      <w:pPr>
        <w:spacing w:line="480" w:lineRule="auto"/>
        <w:ind w:left="720" w:hanging="720"/>
        <w:rPr>
          <w:rFonts w:ascii="Times New Roman" w:hAnsi="Times New Roman" w:cs="Times New Roman"/>
          <w:sz w:val="24"/>
          <w:szCs w:val="24"/>
        </w:rPr>
      </w:pPr>
      <w:r w:rsidRPr="009410CB">
        <w:rPr>
          <w:rFonts w:ascii="Times New Roman" w:hAnsi="Times New Roman" w:cs="Times New Roman"/>
          <w:sz w:val="24"/>
          <w:szCs w:val="24"/>
        </w:rPr>
        <w:t xml:space="preserve">Plato </w:t>
      </w:r>
      <w:r w:rsidRPr="009410CB">
        <w:rPr>
          <w:rFonts w:ascii="Times New Roman" w:hAnsi="Times New Roman" w:cs="Times New Roman"/>
          <w:i/>
          <w:sz w:val="24"/>
          <w:szCs w:val="24"/>
        </w:rPr>
        <w:t>Euthyphro</w:t>
      </w:r>
    </w:p>
    <w:p w:rsidR="007E0D51" w:rsidRPr="00FD3756" w:rsidRDefault="007E0D51" w:rsidP="000A1AFA">
      <w:pPr>
        <w:spacing w:line="480" w:lineRule="auto"/>
        <w:ind w:left="720" w:hanging="720"/>
        <w:rPr>
          <w:rFonts w:ascii="Times New Roman" w:hAnsi="Times New Roman" w:cs="Times New Roman"/>
          <w:i/>
          <w:sz w:val="24"/>
          <w:szCs w:val="24"/>
        </w:rPr>
      </w:pPr>
      <w:r w:rsidRPr="00FD3756">
        <w:rPr>
          <w:rFonts w:ascii="Times New Roman" w:hAnsi="Times New Roman" w:cs="Times New Roman"/>
          <w:sz w:val="24"/>
          <w:szCs w:val="24"/>
        </w:rPr>
        <w:t xml:space="preserve">Plato </w:t>
      </w:r>
      <w:r w:rsidRPr="00FD3756">
        <w:rPr>
          <w:rFonts w:ascii="Times New Roman" w:hAnsi="Times New Roman" w:cs="Times New Roman"/>
          <w:i/>
          <w:sz w:val="24"/>
          <w:szCs w:val="24"/>
        </w:rPr>
        <w:t>Crito</w:t>
      </w:r>
    </w:p>
    <w:p w:rsidR="007E0D51" w:rsidRPr="00FD3756" w:rsidRDefault="007E0D51" w:rsidP="000A1AFA">
      <w:pPr>
        <w:spacing w:line="480" w:lineRule="auto"/>
        <w:ind w:left="720" w:hanging="720"/>
        <w:rPr>
          <w:rFonts w:ascii="Times New Roman" w:hAnsi="Times New Roman" w:cs="Times New Roman"/>
          <w:sz w:val="24"/>
          <w:szCs w:val="24"/>
        </w:rPr>
      </w:pPr>
      <w:r w:rsidRPr="00FD3756">
        <w:rPr>
          <w:rFonts w:ascii="Times New Roman" w:hAnsi="Times New Roman" w:cs="Times New Roman"/>
          <w:sz w:val="24"/>
          <w:szCs w:val="24"/>
        </w:rPr>
        <w:t xml:space="preserve">Plato </w:t>
      </w:r>
      <w:proofErr w:type="gramStart"/>
      <w:r w:rsidRPr="00FD3756">
        <w:rPr>
          <w:rFonts w:ascii="Times New Roman" w:hAnsi="Times New Roman" w:cs="Times New Roman"/>
          <w:i/>
          <w:sz w:val="24"/>
          <w:szCs w:val="24"/>
        </w:rPr>
        <w:t>The</w:t>
      </w:r>
      <w:proofErr w:type="gramEnd"/>
      <w:r w:rsidRPr="00FD3756">
        <w:rPr>
          <w:rFonts w:ascii="Times New Roman" w:hAnsi="Times New Roman" w:cs="Times New Roman"/>
          <w:i/>
          <w:sz w:val="24"/>
          <w:szCs w:val="24"/>
        </w:rPr>
        <w:t xml:space="preserve"> Republic </w:t>
      </w:r>
      <w:r w:rsidRPr="00FD3756">
        <w:rPr>
          <w:rFonts w:ascii="Times New Roman" w:hAnsi="Times New Roman" w:cs="Times New Roman"/>
          <w:sz w:val="24"/>
          <w:szCs w:val="24"/>
        </w:rPr>
        <w:t>404-408</w:t>
      </w:r>
    </w:p>
    <w:p w:rsidR="000A1AFA" w:rsidRPr="009410CB" w:rsidRDefault="000A1AFA" w:rsidP="000A1AFA">
      <w:pPr>
        <w:spacing w:line="480" w:lineRule="auto"/>
        <w:ind w:left="720" w:hanging="720"/>
        <w:rPr>
          <w:rFonts w:ascii="Times New Roman" w:hAnsi="Times New Roman" w:cs="Times New Roman"/>
          <w:sz w:val="24"/>
          <w:szCs w:val="24"/>
        </w:rPr>
      </w:pPr>
      <w:r w:rsidRPr="009410CB">
        <w:rPr>
          <w:rFonts w:ascii="Times New Roman" w:hAnsi="Times New Roman" w:cs="Times New Roman"/>
          <w:sz w:val="24"/>
          <w:szCs w:val="24"/>
        </w:rPr>
        <w:t xml:space="preserve">Plato </w:t>
      </w:r>
      <w:r w:rsidRPr="009410CB">
        <w:rPr>
          <w:rFonts w:ascii="Times New Roman" w:hAnsi="Times New Roman" w:cs="Times New Roman"/>
          <w:i/>
          <w:sz w:val="24"/>
          <w:szCs w:val="24"/>
        </w:rPr>
        <w:t>Timaeus</w:t>
      </w:r>
      <w:r w:rsidRPr="009410CB">
        <w:rPr>
          <w:rFonts w:ascii="Times New Roman" w:hAnsi="Times New Roman" w:cs="Times New Roman"/>
          <w:sz w:val="24"/>
          <w:szCs w:val="24"/>
        </w:rPr>
        <w:t xml:space="preserve"> 85A-B, 89B-D</w:t>
      </w:r>
    </w:p>
    <w:p w:rsidR="000A1AFA" w:rsidRPr="00CB5F38" w:rsidRDefault="000A1AFA" w:rsidP="00E67321">
      <w:pPr>
        <w:spacing w:line="480" w:lineRule="auto"/>
        <w:ind w:left="720" w:hanging="720"/>
        <w:rPr>
          <w:rFonts w:ascii="Times New Roman" w:hAnsi="Times New Roman" w:cs="Times New Roman"/>
          <w:sz w:val="24"/>
          <w:szCs w:val="24"/>
        </w:rPr>
      </w:pPr>
      <w:r w:rsidRPr="00CB5F38">
        <w:rPr>
          <w:rFonts w:ascii="Times New Roman" w:hAnsi="Times New Roman" w:cs="Times New Roman"/>
          <w:sz w:val="24"/>
          <w:szCs w:val="24"/>
        </w:rPr>
        <w:t xml:space="preserve">Plautus </w:t>
      </w:r>
      <w:r w:rsidRPr="00CB5F38">
        <w:rPr>
          <w:rFonts w:ascii="Times New Roman" w:hAnsi="Times New Roman" w:cs="Times New Roman"/>
          <w:i/>
          <w:sz w:val="24"/>
          <w:szCs w:val="24"/>
        </w:rPr>
        <w:t xml:space="preserve">Menaechmi </w:t>
      </w:r>
      <w:r w:rsidRPr="00CB5F38">
        <w:rPr>
          <w:rFonts w:ascii="Times New Roman" w:hAnsi="Times New Roman" w:cs="Times New Roman"/>
          <w:sz w:val="24"/>
          <w:szCs w:val="24"/>
        </w:rPr>
        <w:t>875</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Pliny the Elder </w:t>
      </w:r>
      <w:r w:rsidRPr="00DA2F4A">
        <w:rPr>
          <w:rFonts w:ascii="Times New Roman" w:hAnsi="Times New Roman" w:cs="Times New Roman"/>
          <w:i/>
          <w:sz w:val="24"/>
          <w:szCs w:val="24"/>
        </w:rPr>
        <w:t>Historia Naturalis</w:t>
      </w:r>
      <w:r w:rsidRPr="009A06BC">
        <w:rPr>
          <w:rFonts w:ascii="Times New Roman" w:hAnsi="Times New Roman" w:cs="Times New Roman"/>
          <w:sz w:val="24"/>
          <w:szCs w:val="24"/>
        </w:rPr>
        <w:t xml:space="preserve"> </w:t>
      </w:r>
      <w:r w:rsidR="00DA2F4A">
        <w:rPr>
          <w:rFonts w:ascii="Times New Roman" w:hAnsi="Times New Roman" w:cs="Times New Roman"/>
          <w:sz w:val="24"/>
          <w:szCs w:val="24"/>
        </w:rPr>
        <w:t>XX, XXII, XXVII, LX, LXVII</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Plotkin, M.J. </w:t>
      </w:r>
      <w:r w:rsidRPr="00DA2F4A">
        <w:rPr>
          <w:rFonts w:ascii="Times New Roman" w:hAnsi="Times New Roman" w:cs="Times New Roman"/>
          <w:i/>
          <w:sz w:val="24"/>
          <w:szCs w:val="24"/>
        </w:rPr>
        <w:t>Medicine Quest.</w:t>
      </w:r>
      <w:r w:rsidRPr="009A06BC">
        <w:rPr>
          <w:rFonts w:ascii="Times New Roman" w:hAnsi="Times New Roman" w:cs="Times New Roman"/>
          <w:sz w:val="24"/>
          <w:szCs w:val="24"/>
        </w:rPr>
        <w:t xml:space="preserve"> New York: Viking, 2000.</w:t>
      </w:r>
    </w:p>
    <w:p w:rsidR="000A1AFA" w:rsidRPr="000A1AFA" w:rsidRDefault="000A1AFA"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Plutarch </w:t>
      </w:r>
      <w:r>
        <w:rPr>
          <w:rFonts w:ascii="Times New Roman" w:hAnsi="Times New Roman" w:cs="Times New Roman"/>
          <w:i/>
          <w:sz w:val="24"/>
          <w:szCs w:val="24"/>
        </w:rPr>
        <w:t xml:space="preserve">Life of Cato </w:t>
      </w:r>
      <w:r>
        <w:rPr>
          <w:rFonts w:ascii="Times New Roman" w:hAnsi="Times New Roman" w:cs="Times New Roman"/>
          <w:sz w:val="24"/>
          <w:szCs w:val="24"/>
        </w:rPr>
        <w:t>23-24</w:t>
      </w:r>
    </w:p>
    <w:p w:rsidR="00E67321"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Porter, M.H. et al. ‘Sorting Mentha Names’.</w:t>
      </w:r>
      <w:proofErr w:type="gramEnd"/>
      <w:r w:rsidRPr="009A06BC">
        <w:rPr>
          <w:rFonts w:ascii="Times New Roman" w:hAnsi="Times New Roman" w:cs="Times New Roman"/>
          <w:sz w:val="24"/>
          <w:szCs w:val="24"/>
        </w:rPr>
        <w:t xml:space="preserve"> </w:t>
      </w:r>
      <w:proofErr w:type="gramStart"/>
      <w:r w:rsidRPr="00DA2F4A">
        <w:rPr>
          <w:rFonts w:ascii="Times New Roman" w:hAnsi="Times New Roman" w:cs="Times New Roman"/>
          <w:i/>
          <w:sz w:val="24"/>
          <w:szCs w:val="24"/>
        </w:rPr>
        <w:t>Multilingual Multiscript Plant Name Database.</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The University of Melbourne, Australia.</w:t>
      </w:r>
      <w:proofErr w:type="gramEnd"/>
      <w:r w:rsidRPr="009A06BC">
        <w:rPr>
          <w:rFonts w:ascii="Times New Roman" w:hAnsi="Times New Roman" w:cs="Times New Roman"/>
          <w:sz w:val="24"/>
          <w:szCs w:val="24"/>
        </w:rPr>
        <w:t xml:space="preserve"> 2017. Available at: http://www.plantnames.unimelb.edu.au/Sorting/Mentha.html [Accessed: 28th May 2019].</w:t>
      </w:r>
    </w:p>
    <w:p w:rsidR="000D167D" w:rsidRPr="000D167D" w:rsidRDefault="000D167D"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Rawlinson, G. (trans.) </w:t>
      </w:r>
      <w:r>
        <w:rPr>
          <w:rFonts w:ascii="Times New Roman" w:hAnsi="Times New Roman" w:cs="Times New Roman"/>
          <w:i/>
          <w:sz w:val="24"/>
          <w:szCs w:val="24"/>
        </w:rPr>
        <w:t xml:space="preserve">Herodotus: The Persian Wars. </w:t>
      </w:r>
      <w:r>
        <w:rPr>
          <w:rFonts w:ascii="Times New Roman" w:hAnsi="Times New Roman" w:cs="Times New Roman"/>
          <w:sz w:val="24"/>
          <w:szCs w:val="24"/>
        </w:rPr>
        <w:t>New York: The Modern Library, 1942.</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Rich, A. ‘Ecballium elaterium – (L.)’ </w:t>
      </w:r>
      <w:proofErr w:type="gramStart"/>
      <w:r w:rsidRPr="00DA2F4A">
        <w:rPr>
          <w:rFonts w:ascii="Times New Roman" w:hAnsi="Times New Roman" w:cs="Times New Roman"/>
          <w:i/>
          <w:sz w:val="24"/>
          <w:szCs w:val="24"/>
        </w:rPr>
        <w:t>Plants for a Future.</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PFAF.</w:t>
      </w:r>
      <w:proofErr w:type="gramEnd"/>
      <w:r w:rsidRPr="009A06BC">
        <w:rPr>
          <w:rFonts w:ascii="Times New Roman" w:hAnsi="Times New Roman" w:cs="Times New Roman"/>
          <w:sz w:val="24"/>
          <w:szCs w:val="24"/>
        </w:rPr>
        <w:t xml:space="preserve"> 2020. Available at: https://pfaf.org/user/Plant.aspx?LatinName=Ecballium+elaterium [Accessed: 7</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March 2020].</w:t>
      </w:r>
    </w:p>
    <w:p w:rsidR="00A74BDB" w:rsidRDefault="00A74BDB" w:rsidP="00E67321">
      <w:pPr>
        <w:spacing w:line="480" w:lineRule="auto"/>
        <w:ind w:left="720" w:hanging="720"/>
        <w:rPr>
          <w:rFonts w:ascii="Times New Roman" w:hAnsi="Times New Roman" w:cs="Times New Roman"/>
          <w:sz w:val="24"/>
          <w:szCs w:val="24"/>
        </w:rPr>
      </w:pPr>
      <w:r w:rsidRPr="00A74BDB">
        <w:rPr>
          <w:rFonts w:ascii="Times New Roman" w:hAnsi="Times New Roman" w:cs="Times New Roman"/>
          <w:sz w:val="24"/>
          <w:szCs w:val="24"/>
        </w:rPr>
        <w:t>Rupp, R. ‘Fennel: Multitasking V</w:t>
      </w:r>
      <w:r>
        <w:rPr>
          <w:rFonts w:ascii="Times New Roman" w:hAnsi="Times New Roman" w:cs="Times New Roman"/>
          <w:sz w:val="24"/>
          <w:szCs w:val="24"/>
        </w:rPr>
        <w:t xml:space="preserve">egetable, Ancient Birth Control.’ </w:t>
      </w:r>
      <w:proofErr w:type="gramStart"/>
      <w:r>
        <w:rPr>
          <w:rFonts w:ascii="Times New Roman" w:hAnsi="Times New Roman" w:cs="Times New Roman"/>
          <w:i/>
          <w:sz w:val="24"/>
          <w:szCs w:val="24"/>
        </w:rPr>
        <w:t>National Geographic.</w:t>
      </w:r>
      <w:proofErr w:type="gramEnd"/>
      <w:r>
        <w:rPr>
          <w:rFonts w:ascii="Times New Roman" w:hAnsi="Times New Roman" w:cs="Times New Roman"/>
          <w:i/>
          <w:sz w:val="24"/>
          <w:szCs w:val="24"/>
        </w:rPr>
        <w:t xml:space="preserve"> </w:t>
      </w:r>
      <w:r>
        <w:rPr>
          <w:rFonts w:ascii="Times New Roman" w:hAnsi="Times New Roman" w:cs="Times New Roman"/>
          <w:sz w:val="24"/>
          <w:szCs w:val="24"/>
        </w:rPr>
        <w:t>3</w:t>
      </w:r>
      <w:r w:rsidRPr="00A74BDB">
        <w:rPr>
          <w:rFonts w:ascii="Times New Roman" w:hAnsi="Times New Roman" w:cs="Times New Roman"/>
          <w:sz w:val="24"/>
          <w:szCs w:val="24"/>
          <w:vertAlign w:val="superscript"/>
        </w:rPr>
        <w:t>rd</w:t>
      </w:r>
      <w:r>
        <w:rPr>
          <w:rFonts w:ascii="Times New Roman" w:hAnsi="Times New Roman" w:cs="Times New Roman"/>
          <w:sz w:val="24"/>
          <w:szCs w:val="24"/>
        </w:rPr>
        <w:t xml:space="preserve"> August 2016.  Available at: https://www.nationalgeographic.com/people-and-</w:t>
      </w:r>
      <w:r>
        <w:rPr>
          <w:rFonts w:ascii="Times New Roman" w:hAnsi="Times New Roman" w:cs="Times New Roman"/>
          <w:sz w:val="24"/>
          <w:szCs w:val="24"/>
        </w:rPr>
        <w:lastRenderedPageBreak/>
        <w:t>culture/food/the-plate/2016/08/fennel--multitasking-vegetable--ancient-birth-control// [Accessed: 7</w:t>
      </w:r>
      <w:r w:rsidRPr="00A74BD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rsidR="00447C91" w:rsidRPr="00447C91" w:rsidRDefault="00447C91"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Russell, J. B. </w:t>
      </w:r>
      <w:r>
        <w:rPr>
          <w:rFonts w:ascii="Times New Roman" w:hAnsi="Times New Roman" w:cs="Times New Roman"/>
          <w:i/>
          <w:sz w:val="24"/>
          <w:szCs w:val="24"/>
        </w:rPr>
        <w:t xml:space="preserve">Witchcraft in the </w:t>
      </w:r>
      <w:proofErr w:type="gramStart"/>
      <w:r>
        <w:rPr>
          <w:rFonts w:ascii="Times New Roman" w:hAnsi="Times New Roman" w:cs="Times New Roman"/>
          <w:i/>
          <w:sz w:val="24"/>
          <w:szCs w:val="24"/>
        </w:rPr>
        <w:t>Middle</w:t>
      </w:r>
      <w:proofErr w:type="gramEnd"/>
      <w:r>
        <w:rPr>
          <w:rFonts w:ascii="Times New Roman" w:hAnsi="Times New Roman" w:cs="Times New Roman"/>
          <w:i/>
          <w:sz w:val="24"/>
          <w:szCs w:val="24"/>
        </w:rPr>
        <w:t xml:space="preserve"> Ages. </w:t>
      </w:r>
      <w:r>
        <w:rPr>
          <w:rFonts w:ascii="Times New Roman" w:hAnsi="Times New Roman" w:cs="Times New Roman"/>
          <w:sz w:val="24"/>
          <w:szCs w:val="24"/>
        </w:rPr>
        <w:t>Ithaca: Cornell University Press, 1984.</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A74BDB">
        <w:rPr>
          <w:rStyle w:val="IntenseEmphasis"/>
          <w:rFonts w:ascii="Times New Roman" w:hAnsi="Times New Roman" w:cs="Times New Roman"/>
          <w:b w:val="0"/>
          <w:i w:val="0"/>
          <w:color w:val="auto"/>
          <w:sz w:val="24"/>
          <w:szCs w:val="24"/>
        </w:rPr>
        <w:t>‘Sanguinaria canadensis.’</w:t>
      </w:r>
      <w:proofErr w:type="gramEnd"/>
      <w:r w:rsidRPr="00A74BDB">
        <w:rPr>
          <w:rStyle w:val="IntenseEmphasis"/>
          <w:rFonts w:ascii="Times New Roman" w:hAnsi="Times New Roman" w:cs="Times New Roman"/>
          <w:b w:val="0"/>
          <w:i w:val="0"/>
          <w:color w:val="auto"/>
          <w:sz w:val="24"/>
          <w:szCs w:val="24"/>
        </w:rPr>
        <w:t xml:space="preserve"> </w:t>
      </w:r>
      <w:proofErr w:type="gramStart"/>
      <w:r w:rsidRPr="00DA2F4A">
        <w:rPr>
          <w:rStyle w:val="IntenseEmphasis"/>
          <w:rFonts w:ascii="Times New Roman" w:hAnsi="Times New Roman" w:cs="Times New Roman"/>
          <w:b w:val="0"/>
          <w:color w:val="auto"/>
          <w:sz w:val="24"/>
          <w:szCs w:val="24"/>
        </w:rPr>
        <w:t>Plant Finder.</w:t>
      </w:r>
      <w:proofErr w:type="gramEnd"/>
      <w:r w:rsidRPr="009A06BC">
        <w:rPr>
          <w:rStyle w:val="IntenseEmphasis"/>
          <w:rFonts w:ascii="Times New Roman" w:hAnsi="Times New Roman" w:cs="Times New Roman"/>
          <w:b w:val="0"/>
          <w:i w:val="0"/>
          <w:color w:val="auto"/>
          <w:sz w:val="24"/>
          <w:szCs w:val="24"/>
        </w:rPr>
        <w:t xml:space="preserve"> </w:t>
      </w:r>
      <w:proofErr w:type="gramStart"/>
      <w:r w:rsidRPr="009A06BC">
        <w:rPr>
          <w:rStyle w:val="IntenseEmphasis"/>
          <w:rFonts w:ascii="Times New Roman" w:hAnsi="Times New Roman" w:cs="Times New Roman"/>
          <w:b w:val="0"/>
          <w:i w:val="0"/>
          <w:color w:val="auto"/>
          <w:sz w:val="24"/>
          <w:szCs w:val="24"/>
        </w:rPr>
        <w:t>Missouri Botanical Garden.</w:t>
      </w:r>
      <w:proofErr w:type="gramEnd"/>
      <w:r w:rsidRPr="009A06BC">
        <w:rPr>
          <w:rStyle w:val="IntenseEmphasis"/>
          <w:rFonts w:ascii="Times New Roman" w:hAnsi="Times New Roman" w:cs="Times New Roman"/>
          <w:b w:val="0"/>
          <w:i w:val="0"/>
          <w:color w:val="auto"/>
          <w:sz w:val="24"/>
          <w:szCs w:val="24"/>
        </w:rPr>
        <w:t xml:space="preserve"> Available at: </w:t>
      </w:r>
      <w:r w:rsidRPr="009A06BC">
        <w:rPr>
          <w:rFonts w:ascii="Times New Roman" w:hAnsi="Times New Roman" w:cs="Times New Roman"/>
          <w:sz w:val="24"/>
          <w:szCs w:val="24"/>
        </w:rPr>
        <w:t>http://www.missouribotanicalgarden.org/PlantFinder/PlantFinderDetails.aspx?kempercode=m290 [Accessed: 22</w:t>
      </w:r>
      <w:r w:rsidRPr="009A06BC">
        <w:rPr>
          <w:rFonts w:ascii="Times New Roman" w:hAnsi="Times New Roman" w:cs="Times New Roman"/>
          <w:sz w:val="24"/>
          <w:szCs w:val="24"/>
          <w:vertAlign w:val="superscript"/>
        </w:rPr>
        <w:t>nd</w:t>
      </w:r>
      <w:r w:rsidRPr="009A06BC">
        <w:rPr>
          <w:rFonts w:ascii="Times New Roman" w:hAnsi="Times New Roman" w:cs="Times New Roman"/>
          <w:sz w:val="24"/>
          <w:szCs w:val="24"/>
        </w:rPr>
        <w:t xml:space="preserve"> August 2019].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Sb. 10.10492.2-3 ‘P.NYU.2.28.1-6’</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Sb. 10.10745 ‘Calamintha’</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Sb. 14.11650 ‘Ilspc.</w:t>
      </w:r>
      <w:proofErr w:type="gramEnd"/>
      <w:r w:rsidRPr="009A06BC">
        <w:rPr>
          <w:rFonts w:ascii="Times New Roman" w:hAnsi="Times New Roman" w:cs="Times New Roman"/>
          <w:sz w:val="24"/>
          <w:szCs w:val="24"/>
        </w:rPr>
        <w:t xml:space="preserve"> Arsinoite’</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Sb. 16.13045 ‘Two Medical Inscriptions’</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Scarborough, J. ‘The Pharmacology of Sacred Plants, Herbs, and Roots.’ </w:t>
      </w:r>
      <w:r w:rsidRPr="00DA2F4A">
        <w:rPr>
          <w:rFonts w:ascii="Times New Roman" w:hAnsi="Times New Roman" w:cs="Times New Roman"/>
          <w:i/>
          <w:sz w:val="24"/>
          <w:szCs w:val="24"/>
        </w:rPr>
        <w:t>Magika Hiera: Ancient Greek Magic and Religion.</w:t>
      </w:r>
      <w:r w:rsidRPr="009A06BC">
        <w:rPr>
          <w:rFonts w:ascii="Times New Roman" w:hAnsi="Times New Roman" w:cs="Times New Roman"/>
          <w:sz w:val="24"/>
          <w:szCs w:val="24"/>
        </w:rPr>
        <w:t xml:space="preserve"> New York: Oxford University Press, 1997.</w:t>
      </w:r>
    </w:p>
    <w:p w:rsidR="00447C91" w:rsidRPr="00447C91" w:rsidRDefault="00447C91"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Shakespeare </w:t>
      </w:r>
      <w:r>
        <w:rPr>
          <w:rFonts w:ascii="Times New Roman" w:hAnsi="Times New Roman" w:cs="Times New Roman"/>
          <w:i/>
          <w:sz w:val="24"/>
          <w:szCs w:val="24"/>
        </w:rPr>
        <w:t xml:space="preserve">Hamlet </w:t>
      </w:r>
      <w:r>
        <w:rPr>
          <w:rFonts w:ascii="Times New Roman" w:hAnsi="Times New Roman" w:cs="Times New Roman"/>
          <w:sz w:val="24"/>
          <w:szCs w:val="24"/>
        </w:rPr>
        <w:t>3.3</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Shelton, J.C. ‘An Astrological Prediction of Disturbances in Egypt,’ </w:t>
      </w:r>
      <w:r w:rsidRPr="00DA2F4A">
        <w:rPr>
          <w:rFonts w:ascii="Times New Roman" w:hAnsi="Times New Roman" w:cs="Times New Roman"/>
          <w:i/>
          <w:sz w:val="24"/>
          <w:szCs w:val="24"/>
        </w:rPr>
        <w:t>Ancient Society,</w:t>
      </w:r>
      <w:r w:rsidRPr="009A06BC">
        <w:rPr>
          <w:rFonts w:ascii="Times New Roman" w:hAnsi="Times New Roman" w:cs="Times New Roman"/>
          <w:sz w:val="24"/>
          <w:szCs w:val="24"/>
        </w:rPr>
        <w:t xml:space="preserve"> Vol. 7, 1976, pp. 209-13.</w:t>
      </w:r>
    </w:p>
    <w:p w:rsidR="00DC2B46" w:rsidRPr="00DC2B46" w:rsidRDefault="00DC2B46"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Shou-</w:t>
      </w:r>
      <w:r w:rsidR="00362FEE">
        <w:rPr>
          <w:rFonts w:ascii="Times New Roman" w:hAnsi="Times New Roman" w:cs="Times New Roman"/>
          <w:sz w:val="24"/>
          <w:szCs w:val="24"/>
        </w:rPr>
        <w:t>z</w:t>
      </w:r>
      <w:r>
        <w:rPr>
          <w:rFonts w:ascii="Times New Roman" w:hAnsi="Times New Roman" w:cs="Times New Roman"/>
          <w:sz w:val="24"/>
          <w:szCs w:val="24"/>
        </w:rPr>
        <w:t xml:space="preserve">hong, Y. ‘The Divine Farmer’s </w:t>
      </w:r>
      <w:r>
        <w:rPr>
          <w:rFonts w:ascii="Times New Roman" w:hAnsi="Times New Roman" w:cs="Times New Roman"/>
          <w:i/>
          <w:sz w:val="24"/>
          <w:szCs w:val="24"/>
        </w:rPr>
        <w:t xml:space="preserve">Materia Medica: </w:t>
      </w:r>
      <w:r>
        <w:rPr>
          <w:rFonts w:ascii="Times New Roman" w:hAnsi="Times New Roman" w:cs="Times New Roman"/>
          <w:sz w:val="24"/>
          <w:szCs w:val="24"/>
        </w:rPr>
        <w:t xml:space="preserve">A Translation of the </w:t>
      </w:r>
      <w:r>
        <w:rPr>
          <w:rFonts w:ascii="Times New Roman" w:hAnsi="Times New Roman" w:cs="Times New Roman"/>
          <w:i/>
          <w:sz w:val="24"/>
          <w:szCs w:val="24"/>
        </w:rPr>
        <w:t xml:space="preserve">Shen Nong Ben Cao Jing. </w:t>
      </w:r>
      <w:r>
        <w:rPr>
          <w:rFonts w:ascii="Times New Roman" w:hAnsi="Times New Roman" w:cs="Times New Roman"/>
          <w:sz w:val="24"/>
          <w:szCs w:val="24"/>
        </w:rPr>
        <w:t>Boulder: Blue Poppy Press, 1998.</w:t>
      </w:r>
    </w:p>
    <w:p w:rsidR="00E67321"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 xml:space="preserve">Simoons, F. J. </w:t>
      </w:r>
      <w:r w:rsidRPr="00DA2F4A">
        <w:rPr>
          <w:rFonts w:ascii="Times New Roman" w:hAnsi="Times New Roman" w:cs="Times New Roman"/>
          <w:i/>
          <w:sz w:val="24"/>
          <w:szCs w:val="24"/>
        </w:rPr>
        <w:t>Plants of Life, Plants of Death.</w:t>
      </w:r>
      <w:proofErr w:type="gramEnd"/>
      <w:r w:rsidRPr="009A06BC">
        <w:rPr>
          <w:rFonts w:ascii="Times New Roman" w:hAnsi="Times New Roman" w:cs="Times New Roman"/>
          <w:sz w:val="24"/>
          <w:szCs w:val="24"/>
        </w:rPr>
        <w:t xml:space="preserve"> Madison: University of Wisconsin Press, 1998.</w:t>
      </w:r>
    </w:p>
    <w:p w:rsidR="008C19CD" w:rsidRDefault="008C19CD" w:rsidP="00E67321">
      <w:pPr>
        <w:spacing w:line="480" w:lineRule="auto"/>
        <w:ind w:left="720" w:hanging="720"/>
        <w:rPr>
          <w:rFonts w:ascii="Times New Roman" w:hAnsi="Times New Roman" w:cs="Times New Roman"/>
          <w:sz w:val="24"/>
          <w:szCs w:val="24"/>
        </w:rPr>
      </w:pPr>
      <w:r w:rsidRPr="008C19CD">
        <w:rPr>
          <w:rFonts w:ascii="Times New Roman" w:hAnsi="Times New Roman" w:cs="Times New Roman"/>
          <w:sz w:val="24"/>
          <w:szCs w:val="24"/>
        </w:rPr>
        <w:t xml:space="preserve">Simplicius </w:t>
      </w:r>
      <w:r w:rsidRPr="008C19CD">
        <w:rPr>
          <w:rFonts w:ascii="Times New Roman" w:hAnsi="Times New Roman" w:cs="Times New Roman"/>
          <w:i/>
          <w:sz w:val="24"/>
          <w:szCs w:val="24"/>
        </w:rPr>
        <w:t xml:space="preserve">Commentary on Aristotle’s Physics </w:t>
      </w:r>
      <w:r w:rsidR="00F21926">
        <w:rPr>
          <w:rFonts w:ascii="Times New Roman" w:hAnsi="Times New Roman" w:cs="Times New Roman"/>
          <w:sz w:val="24"/>
          <w:szCs w:val="24"/>
        </w:rPr>
        <w:t>32.3,</w:t>
      </w:r>
      <w:r w:rsidRPr="008C19CD">
        <w:rPr>
          <w:rFonts w:ascii="Times New Roman" w:hAnsi="Times New Roman" w:cs="Times New Roman"/>
          <w:sz w:val="24"/>
          <w:szCs w:val="24"/>
        </w:rPr>
        <w:t xml:space="preserve"> 300.19</w:t>
      </w:r>
    </w:p>
    <w:p w:rsidR="00F21926" w:rsidRPr="00F21926" w:rsidRDefault="00F21926"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Singer, C. ‘The Herbal in Antiquity and Its Transmission to Later Ages.’ </w:t>
      </w:r>
      <w:proofErr w:type="gramStart"/>
      <w:r>
        <w:rPr>
          <w:rFonts w:ascii="Times New Roman" w:hAnsi="Times New Roman" w:cs="Times New Roman"/>
          <w:i/>
          <w:sz w:val="24"/>
          <w:szCs w:val="24"/>
        </w:rPr>
        <w:t>The Journal of Hellenic Studies.</w:t>
      </w:r>
      <w:proofErr w:type="gramEnd"/>
      <w:r>
        <w:rPr>
          <w:rFonts w:ascii="Times New Roman" w:hAnsi="Times New Roman" w:cs="Times New Roman"/>
          <w:i/>
          <w:sz w:val="24"/>
          <w:szCs w:val="24"/>
        </w:rPr>
        <w:t xml:space="preserve"> </w:t>
      </w:r>
      <w:r>
        <w:rPr>
          <w:rFonts w:ascii="Times New Roman" w:hAnsi="Times New Roman" w:cs="Times New Roman"/>
          <w:sz w:val="24"/>
          <w:szCs w:val="24"/>
        </w:rPr>
        <w:t>Vol. 47, Part 1, 1927, pp. 1-52. Available at: https://www.jstor.org/stable/625251 [Accessed: 29</w:t>
      </w:r>
      <w:r w:rsidRPr="00F2192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7E2C02" w:rsidRDefault="007E2C02"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Sitch, B. ‘Pliny Exhibition: Pliny the Elder and Civilisations.’ </w:t>
      </w:r>
      <w:proofErr w:type="gramStart"/>
      <w:r>
        <w:rPr>
          <w:rFonts w:ascii="Times New Roman" w:hAnsi="Times New Roman" w:cs="Times New Roman"/>
          <w:i/>
          <w:sz w:val="24"/>
          <w:szCs w:val="24"/>
        </w:rPr>
        <w:t>Ancient Worlds.</w:t>
      </w:r>
      <w:proofErr w:type="gramEnd"/>
      <w:r>
        <w:rPr>
          <w:rFonts w:ascii="Times New Roman" w:hAnsi="Times New Roman" w:cs="Times New Roman"/>
          <w:i/>
          <w:sz w:val="24"/>
          <w:szCs w:val="24"/>
        </w:rPr>
        <w:t xml:space="preserve"> </w:t>
      </w:r>
      <w:r>
        <w:rPr>
          <w:rFonts w:ascii="Times New Roman" w:hAnsi="Times New Roman" w:cs="Times New Roman"/>
          <w:sz w:val="24"/>
          <w:szCs w:val="24"/>
        </w:rPr>
        <w:t>5</w:t>
      </w:r>
      <w:r w:rsidRPr="007E2C0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Available at: https://ancientworldsmanchester.wordpress.com/tag/pliny-exhibition/ [Accessed: 7</w:t>
      </w:r>
      <w:r w:rsidRPr="007E2C0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rsidR="00432E69" w:rsidRPr="00432E69" w:rsidRDefault="00432E69"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Smith, Sir W. </w:t>
      </w:r>
      <w:r>
        <w:rPr>
          <w:rFonts w:ascii="Times New Roman" w:hAnsi="Times New Roman" w:cs="Times New Roman"/>
          <w:i/>
          <w:sz w:val="24"/>
          <w:szCs w:val="24"/>
        </w:rPr>
        <w:t xml:space="preserve">Smaller Classical Dictionary. </w:t>
      </w:r>
      <w:r>
        <w:rPr>
          <w:rFonts w:ascii="Times New Roman" w:hAnsi="Times New Roman" w:cs="Times New Roman"/>
          <w:sz w:val="24"/>
          <w:szCs w:val="24"/>
        </w:rPr>
        <w:t>E. H. Blakeney and J. Warrington (eds.) New York: E. P. Dutton &amp; Co., Inc., 1958.</w:t>
      </w:r>
    </w:p>
    <w:p w:rsidR="004E4CB5" w:rsidRDefault="004E4CB5" w:rsidP="00E67321">
      <w:pPr>
        <w:spacing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Smith, W. D.</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The Hippocratic Tradition.</w:t>
      </w:r>
      <w:proofErr w:type="gramEnd"/>
      <w:r>
        <w:rPr>
          <w:rFonts w:ascii="Times New Roman" w:hAnsi="Times New Roman" w:cs="Times New Roman"/>
          <w:i/>
          <w:sz w:val="24"/>
          <w:szCs w:val="24"/>
        </w:rPr>
        <w:t xml:space="preserve"> </w:t>
      </w:r>
      <w:r>
        <w:rPr>
          <w:rFonts w:ascii="Times New Roman" w:hAnsi="Times New Roman" w:cs="Times New Roman"/>
          <w:sz w:val="24"/>
          <w:szCs w:val="24"/>
        </w:rPr>
        <w:t>Ithaca:  Cornell University Press, 1979.</w:t>
      </w:r>
    </w:p>
    <w:p w:rsidR="00406BB4" w:rsidRDefault="00406BB4"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Sommerstein, A. H. (trans.) </w:t>
      </w:r>
      <w:r>
        <w:rPr>
          <w:rFonts w:ascii="Times New Roman" w:hAnsi="Times New Roman" w:cs="Times New Roman"/>
          <w:i/>
          <w:sz w:val="24"/>
          <w:szCs w:val="24"/>
        </w:rPr>
        <w:t xml:space="preserve">Aristophanes: Lysistrata and Other Plays. </w:t>
      </w:r>
      <w:r>
        <w:rPr>
          <w:rFonts w:ascii="Times New Roman" w:hAnsi="Times New Roman" w:cs="Times New Roman"/>
          <w:sz w:val="24"/>
          <w:szCs w:val="24"/>
        </w:rPr>
        <w:t>New York: Penguin Books, 2002.</w:t>
      </w:r>
    </w:p>
    <w:p w:rsidR="00EF2725" w:rsidRDefault="00EF2725"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Sophocles </w:t>
      </w:r>
      <w:r>
        <w:rPr>
          <w:rFonts w:ascii="Times New Roman" w:hAnsi="Times New Roman" w:cs="Times New Roman"/>
          <w:i/>
          <w:sz w:val="24"/>
          <w:szCs w:val="24"/>
        </w:rPr>
        <w:t>Ajax</w:t>
      </w:r>
    </w:p>
    <w:p w:rsidR="00EF2725" w:rsidRPr="00EF2725" w:rsidRDefault="00EF2725" w:rsidP="00E67321">
      <w:pPr>
        <w:spacing w:line="480" w:lineRule="auto"/>
        <w:ind w:left="720" w:hanging="720"/>
        <w:rPr>
          <w:rFonts w:ascii="Times New Roman" w:hAnsi="Times New Roman" w:cs="Times New Roman"/>
          <w:i/>
          <w:sz w:val="24"/>
          <w:szCs w:val="24"/>
        </w:rPr>
      </w:pPr>
      <w:r>
        <w:rPr>
          <w:rFonts w:ascii="Times New Roman" w:hAnsi="Times New Roman" w:cs="Times New Roman"/>
          <w:sz w:val="24"/>
          <w:szCs w:val="24"/>
        </w:rPr>
        <w:t xml:space="preserve">Sophocles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Women of Trachis</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‘Squill.’</w:t>
      </w:r>
      <w:proofErr w:type="gramEnd"/>
      <w:r w:rsidRPr="009A06BC">
        <w:rPr>
          <w:rFonts w:ascii="Times New Roman" w:hAnsi="Times New Roman" w:cs="Times New Roman"/>
          <w:sz w:val="24"/>
          <w:szCs w:val="24"/>
        </w:rPr>
        <w:t xml:space="preserve"> </w:t>
      </w:r>
      <w:proofErr w:type="gramStart"/>
      <w:r w:rsidRPr="00DA2F4A">
        <w:rPr>
          <w:rFonts w:ascii="Times New Roman" w:hAnsi="Times New Roman" w:cs="Times New Roman"/>
          <w:i/>
          <w:sz w:val="24"/>
          <w:szCs w:val="24"/>
        </w:rPr>
        <w:t>ScienceDirect.</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Elsevier.</w:t>
      </w:r>
      <w:proofErr w:type="gramEnd"/>
      <w:r w:rsidRPr="009A06BC">
        <w:rPr>
          <w:rFonts w:ascii="Times New Roman" w:hAnsi="Times New Roman" w:cs="Times New Roman"/>
          <w:sz w:val="24"/>
          <w:szCs w:val="24"/>
        </w:rPr>
        <w:t xml:space="preserve"> Available at: https://www.sciencedirect.com/topics/agricultural-and-biological-sciences/squill [Accessed: 28</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May 2019].</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Strabo </w:t>
      </w:r>
      <w:r w:rsidRPr="00DA2F4A">
        <w:rPr>
          <w:rFonts w:ascii="Times New Roman" w:hAnsi="Times New Roman" w:cs="Times New Roman"/>
          <w:i/>
          <w:sz w:val="24"/>
          <w:szCs w:val="24"/>
        </w:rPr>
        <w:t xml:space="preserve">Geographica </w:t>
      </w:r>
      <w:r w:rsidRPr="009A06BC">
        <w:rPr>
          <w:rFonts w:ascii="Times New Roman" w:hAnsi="Times New Roman" w:cs="Times New Roman"/>
          <w:sz w:val="24"/>
          <w:szCs w:val="24"/>
        </w:rPr>
        <w:t>17.3</w:t>
      </w:r>
    </w:p>
    <w:p w:rsidR="00447C91" w:rsidRPr="00447C91" w:rsidRDefault="00447C91"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Summers, M. </w:t>
      </w:r>
      <w:proofErr w:type="gramStart"/>
      <w:r>
        <w:rPr>
          <w:rFonts w:ascii="Times New Roman" w:hAnsi="Times New Roman" w:cs="Times New Roman"/>
          <w:i/>
          <w:sz w:val="24"/>
          <w:szCs w:val="24"/>
        </w:rPr>
        <w:t>The History of Witchcraft and Demonology.</w:t>
      </w:r>
      <w:proofErr w:type="gramEnd"/>
      <w:r>
        <w:rPr>
          <w:rFonts w:ascii="Times New Roman" w:hAnsi="Times New Roman" w:cs="Times New Roman"/>
          <w:i/>
          <w:sz w:val="24"/>
          <w:szCs w:val="24"/>
        </w:rPr>
        <w:t xml:space="preserve"> </w:t>
      </w:r>
      <w:r>
        <w:rPr>
          <w:rFonts w:ascii="Times New Roman" w:hAnsi="Times New Roman" w:cs="Times New Roman"/>
          <w:sz w:val="24"/>
          <w:szCs w:val="24"/>
        </w:rPr>
        <w:t>New York: University Books, Inc., 1956.</w:t>
      </w:r>
    </w:p>
    <w:p w:rsidR="00E67321" w:rsidRDefault="00E67321" w:rsidP="00E67321">
      <w:pPr>
        <w:spacing w:line="480" w:lineRule="auto"/>
        <w:ind w:left="720" w:hanging="720"/>
        <w:rPr>
          <w:rFonts w:ascii="Times New Roman" w:hAnsi="Times New Roman" w:cs="Times New Roman"/>
          <w:sz w:val="24"/>
          <w:szCs w:val="24"/>
        </w:rPr>
      </w:pPr>
      <w:r w:rsidRPr="00DA2F4A">
        <w:rPr>
          <w:rFonts w:ascii="Times New Roman" w:hAnsi="Times New Roman" w:cs="Times New Roman"/>
          <w:i/>
          <w:sz w:val="24"/>
          <w:szCs w:val="24"/>
        </w:rPr>
        <w:t>Supplementa Magica</w:t>
      </w:r>
      <w:r w:rsidRPr="009A06BC">
        <w:rPr>
          <w:rFonts w:ascii="Times New Roman" w:hAnsi="Times New Roman" w:cs="Times New Roman"/>
          <w:sz w:val="24"/>
          <w:szCs w:val="24"/>
        </w:rPr>
        <w:t xml:space="preserve"> </w:t>
      </w:r>
      <w:r w:rsidR="002C42A2">
        <w:rPr>
          <w:rFonts w:ascii="Times New Roman" w:hAnsi="Times New Roman" w:cs="Times New Roman"/>
          <w:sz w:val="24"/>
          <w:szCs w:val="24"/>
        </w:rPr>
        <w:t>I &amp; II</w:t>
      </w:r>
    </w:p>
    <w:p w:rsidR="008707E0" w:rsidRPr="008707E0" w:rsidRDefault="008707E0"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Temkin, O. ‘Greek Medicine as Science and Craft.’ </w:t>
      </w:r>
      <w:r>
        <w:rPr>
          <w:rFonts w:ascii="Times New Roman" w:hAnsi="Times New Roman" w:cs="Times New Roman"/>
          <w:i/>
          <w:sz w:val="24"/>
          <w:szCs w:val="24"/>
        </w:rPr>
        <w:t xml:space="preserve">Isis. </w:t>
      </w:r>
      <w:r>
        <w:rPr>
          <w:rFonts w:ascii="Times New Roman" w:hAnsi="Times New Roman" w:cs="Times New Roman"/>
          <w:sz w:val="24"/>
          <w:szCs w:val="24"/>
        </w:rPr>
        <w:t>Vol. 44, No. 3, Sep. 1953, pp. 213-25. Available at: https://www.jstor.org/stable/227086 [Accessed: 29</w:t>
      </w:r>
      <w:r w:rsidRPr="008707E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Thayer, B. ‘Strabo: The Geography.’ </w:t>
      </w:r>
      <w:proofErr w:type="gramStart"/>
      <w:r w:rsidRPr="00DA2F4A">
        <w:rPr>
          <w:rFonts w:ascii="Times New Roman" w:hAnsi="Times New Roman" w:cs="Times New Roman"/>
          <w:i/>
          <w:sz w:val="24"/>
          <w:szCs w:val="24"/>
        </w:rPr>
        <w:t>LacusCurtius.</w:t>
      </w:r>
      <w:proofErr w:type="gramEnd"/>
      <w:r w:rsidRPr="009A06BC">
        <w:rPr>
          <w:rFonts w:ascii="Times New Roman" w:hAnsi="Times New Roman" w:cs="Times New Roman"/>
          <w:sz w:val="24"/>
          <w:szCs w:val="24"/>
        </w:rPr>
        <w:t xml:space="preserve"> Available at: http://penelope.uchicago.edu/Thayer/E/Roman/Texts/Strabo/home.html [Accessed: 12</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February 2019].</w:t>
      </w:r>
    </w:p>
    <w:p w:rsidR="00DA2F4A" w:rsidRPr="00DA2F4A" w:rsidRDefault="00DA2F4A" w:rsidP="00E67321">
      <w:pPr>
        <w:spacing w:line="480" w:lineRule="auto"/>
        <w:ind w:left="720" w:hanging="720"/>
        <w:rPr>
          <w:rFonts w:ascii="Times New Roman" w:hAnsi="Times New Roman" w:cs="Times New Roman"/>
          <w:i/>
          <w:sz w:val="24"/>
          <w:szCs w:val="24"/>
        </w:rPr>
      </w:pPr>
      <w:r>
        <w:rPr>
          <w:rFonts w:ascii="Times New Roman" w:hAnsi="Times New Roman" w:cs="Times New Roman"/>
          <w:sz w:val="24"/>
          <w:szCs w:val="24"/>
        </w:rPr>
        <w:t xml:space="preserve">Theophrastus </w:t>
      </w:r>
      <w:r>
        <w:rPr>
          <w:rFonts w:ascii="Times New Roman" w:hAnsi="Times New Roman" w:cs="Times New Roman"/>
          <w:i/>
          <w:sz w:val="24"/>
          <w:szCs w:val="24"/>
        </w:rPr>
        <w:t>Causis Plantarum</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Theophrastus </w:t>
      </w:r>
      <w:r w:rsidRPr="00DA2F4A">
        <w:rPr>
          <w:rFonts w:ascii="Times New Roman" w:hAnsi="Times New Roman" w:cs="Times New Roman"/>
          <w:i/>
          <w:sz w:val="24"/>
          <w:szCs w:val="24"/>
        </w:rPr>
        <w:t>Historia Plantarum</w:t>
      </w:r>
      <w:r w:rsidRPr="009A06BC">
        <w:rPr>
          <w:rFonts w:ascii="Times New Roman" w:hAnsi="Times New Roman" w:cs="Times New Roman"/>
          <w:sz w:val="24"/>
          <w:szCs w:val="24"/>
        </w:rPr>
        <w:t xml:space="preserve"> </w:t>
      </w:r>
      <w:r w:rsidR="00DA2F4A">
        <w:rPr>
          <w:rFonts w:ascii="Times New Roman" w:hAnsi="Times New Roman" w:cs="Times New Roman"/>
          <w:sz w:val="24"/>
          <w:szCs w:val="24"/>
        </w:rPr>
        <w:t>IX</w:t>
      </w:r>
    </w:p>
    <w:p w:rsidR="007B309E" w:rsidRPr="007B309E" w:rsidRDefault="007B309E"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Thucydides </w:t>
      </w:r>
      <w:r>
        <w:rPr>
          <w:rFonts w:ascii="Times New Roman" w:hAnsi="Times New Roman" w:cs="Times New Roman"/>
          <w:i/>
          <w:sz w:val="24"/>
          <w:szCs w:val="24"/>
        </w:rPr>
        <w:t xml:space="preserve">History of the Peloponnesian War </w:t>
      </w:r>
      <w:r>
        <w:rPr>
          <w:rFonts w:ascii="Times New Roman" w:hAnsi="Times New Roman" w:cs="Times New Roman"/>
          <w:sz w:val="24"/>
          <w:szCs w:val="24"/>
        </w:rPr>
        <w:t>I-II</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Thucydides </w:t>
      </w:r>
      <w:r w:rsidRPr="00DA2F4A">
        <w:rPr>
          <w:rStyle w:val="IntenseEmphasis"/>
          <w:rFonts w:ascii="Times New Roman" w:hAnsi="Times New Roman" w:cs="Times New Roman"/>
          <w:b w:val="0"/>
          <w:color w:val="auto"/>
          <w:sz w:val="24"/>
          <w:szCs w:val="24"/>
        </w:rPr>
        <w:t>Isis and Osiris</w:t>
      </w:r>
      <w:r w:rsidRPr="009A06BC">
        <w:rPr>
          <w:rStyle w:val="IntenseEmphasis"/>
          <w:rFonts w:ascii="Times New Roman" w:hAnsi="Times New Roman" w:cs="Times New Roman"/>
          <w:b w:val="0"/>
          <w:i w:val="0"/>
          <w:color w:val="auto"/>
          <w:sz w:val="24"/>
          <w:szCs w:val="24"/>
        </w:rPr>
        <w:t xml:space="preserve"> 383c-d</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Touwaide, A. ‘Medicinal plants’.</w:t>
      </w:r>
      <w:proofErr w:type="gramEnd"/>
      <w:r w:rsidRPr="009A06BC">
        <w:rPr>
          <w:rFonts w:ascii="Times New Roman" w:hAnsi="Times New Roman" w:cs="Times New Roman"/>
          <w:sz w:val="24"/>
          <w:szCs w:val="24"/>
        </w:rPr>
        <w:t xml:space="preserve"> </w:t>
      </w:r>
      <w:proofErr w:type="gramStart"/>
      <w:r w:rsidRPr="00DA2F4A">
        <w:rPr>
          <w:rFonts w:ascii="Times New Roman" w:hAnsi="Times New Roman" w:cs="Times New Roman"/>
          <w:i/>
          <w:sz w:val="24"/>
          <w:szCs w:val="24"/>
        </w:rPr>
        <w:t>Brill’s New Pauly.</w:t>
      </w:r>
      <w:proofErr w:type="gramEnd"/>
      <w:r w:rsidRPr="009A06BC">
        <w:rPr>
          <w:rFonts w:ascii="Times New Roman" w:hAnsi="Times New Roman" w:cs="Times New Roman"/>
          <w:sz w:val="24"/>
          <w:szCs w:val="24"/>
        </w:rPr>
        <w:t xml:space="preserve"> Available at: http://dx.doi.org.ezproxy.uwtsd.ac.uk/10.1163/1574-9347_bnp_e12222440 [Accessed: 24th April 2019].</w:t>
      </w:r>
    </w:p>
    <w:p w:rsidR="00E67321" w:rsidRDefault="00E67321" w:rsidP="00E67321">
      <w:pPr>
        <w:spacing w:line="480" w:lineRule="auto"/>
        <w:ind w:left="720" w:hanging="720"/>
        <w:rPr>
          <w:rStyle w:val="IntenseEmphasis"/>
          <w:rFonts w:ascii="Times New Roman" w:hAnsi="Times New Roman" w:cs="Times New Roman"/>
          <w:b w:val="0"/>
          <w:i w:val="0"/>
          <w:color w:val="auto"/>
          <w:sz w:val="24"/>
          <w:szCs w:val="24"/>
        </w:rPr>
      </w:pPr>
      <w:r w:rsidRPr="009A06BC">
        <w:rPr>
          <w:rStyle w:val="IntenseEmphasis"/>
          <w:rFonts w:ascii="Times New Roman" w:hAnsi="Times New Roman" w:cs="Times New Roman"/>
          <w:b w:val="0"/>
          <w:i w:val="0"/>
          <w:color w:val="auto"/>
          <w:sz w:val="24"/>
          <w:szCs w:val="24"/>
        </w:rPr>
        <w:t xml:space="preserve">Ujváry, I. ‘Pest Control Agents from Natural Products.’ </w:t>
      </w:r>
      <w:proofErr w:type="gramStart"/>
      <w:r w:rsidRPr="00DA2F4A">
        <w:rPr>
          <w:rStyle w:val="IntenseEmphasis"/>
          <w:rFonts w:ascii="Times New Roman" w:hAnsi="Times New Roman" w:cs="Times New Roman"/>
          <w:b w:val="0"/>
          <w:color w:val="auto"/>
          <w:sz w:val="24"/>
          <w:szCs w:val="24"/>
        </w:rPr>
        <w:t>Hayes’ Handbook of Pesticide Toxicology.</w:t>
      </w:r>
      <w:proofErr w:type="gramEnd"/>
      <w:r w:rsidRPr="009A06BC">
        <w:rPr>
          <w:rStyle w:val="IntenseEmphasis"/>
          <w:rFonts w:ascii="Times New Roman" w:hAnsi="Times New Roman" w:cs="Times New Roman"/>
          <w:b w:val="0"/>
          <w:i w:val="0"/>
          <w:color w:val="auto"/>
          <w:sz w:val="24"/>
          <w:szCs w:val="24"/>
        </w:rPr>
        <w:t xml:space="preserve"> Amsterdam: Elsevier, 2010, pp. 119-229.</w:t>
      </w:r>
    </w:p>
    <w:p w:rsidR="00AC333A" w:rsidRPr="00AC333A" w:rsidRDefault="00AC333A" w:rsidP="00E67321">
      <w:pPr>
        <w:spacing w:line="480" w:lineRule="auto"/>
        <w:ind w:left="720" w:hanging="720"/>
        <w:rPr>
          <w:rStyle w:val="IntenseEmphasis"/>
          <w:rFonts w:ascii="Times New Roman" w:hAnsi="Times New Roman" w:cs="Times New Roman"/>
          <w:b w:val="0"/>
          <w:i w:val="0"/>
          <w:color w:val="auto"/>
          <w:sz w:val="24"/>
          <w:szCs w:val="24"/>
        </w:rPr>
      </w:pPr>
      <w:proofErr w:type="gramStart"/>
      <w:r w:rsidRPr="00AC333A">
        <w:rPr>
          <w:rStyle w:val="IntenseEmphasis"/>
          <w:rFonts w:ascii="Times New Roman" w:hAnsi="Times New Roman" w:cs="Times New Roman"/>
          <w:b w:val="0"/>
          <w:i w:val="0"/>
          <w:color w:val="auto"/>
          <w:sz w:val="24"/>
          <w:szCs w:val="24"/>
        </w:rPr>
        <w:t>van</w:t>
      </w:r>
      <w:proofErr w:type="gramEnd"/>
      <w:r w:rsidRPr="00AC333A">
        <w:rPr>
          <w:rStyle w:val="IntenseEmphasis"/>
          <w:rFonts w:ascii="Times New Roman" w:hAnsi="Times New Roman" w:cs="Times New Roman"/>
          <w:b w:val="0"/>
          <w:i w:val="0"/>
          <w:color w:val="auto"/>
          <w:sz w:val="24"/>
          <w:szCs w:val="24"/>
        </w:rPr>
        <w:t xml:space="preserve"> der Lugt, M. ‘The Learned</w:t>
      </w:r>
      <w:r>
        <w:rPr>
          <w:rStyle w:val="IntenseEmphasis"/>
          <w:rFonts w:ascii="Times New Roman" w:hAnsi="Times New Roman" w:cs="Times New Roman"/>
          <w:b w:val="0"/>
          <w:i w:val="0"/>
          <w:color w:val="auto"/>
          <w:sz w:val="24"/>
          <w:szCs w:val="24"/>
        </w:rPr>
        <w:t xml:space="preserve"> Physician as a Charismatic Healer: Urso of Salerno (Flourished End of Twelfth Century) on Incantations in Medicine, Magic, and Religion.’ </w:t>
      </w:r>
      <w:proofErr w:type="gramStart"/>
      <w:r>
        <w:rPr>
          <w:rStyle w:val="IntenseEmphasis"/>
          <w:rFonts w:ascii="Times New Roman" w:hAnsi="Times New Roman" w:cs="Times New Roman"/>
          <w:b w:val="0"/>
          <w:color w:val="auto"/>
          <w:sz w:val="24"/>
          <w:szCs w:val="24"/>
        </w:rPr>
        <w:t>Bulletin of the History of Medicine.</w:t>
      </w:r>
      <w:proofErr w:type="gramEnd"/>
      <w:r>
        <w:rPr>
          <w:rStyle w:val="IntenseEmphasis"/>
          <w:rFonts w:ascii="Times New Roman" w:hAnsi="Times New Roman" w:cs="Times New Roman"/>
          <w:b w:val="0"/>
          <w:color w:val="auto"/>
          <w:sz w:val="24"/>
          <w:szCs w:val="24"/>
        </w:rPr>
        <w:t xml:space="preserve"> </w:t>
      </w:r>
      <w:r>
        <w:rPr>
          <w:rStyle w:val="IntenseEmphasis"/>
          <w:rFonts w:ascii="Times New Roman" w:hAnsi="Times New Roman" w:cs="Times New Roman"/>
          <w:b w:val="0"/>
          <w:i w:val="0"/>
          <w:color w:val="auto"/>
          <w:sz w:val="24"/>
          <w:szCs w:val="24"/>
        </w:rPr>
        <w:t>Vol. 87, No. 3, 2013, pp. 307-46. Available at: https://www.jstor.org/stable/26305934 [Accessed: 28</w:t>
      </w:r>
      <w:r w:rsidRPr="00AC333A">
        <w:rPr>
          <w:rStyle w:val="IntenseEmphasis"/>
          <w:rFonts w:ascii="Times New Roman" w:hAnsi="Times New Roman" w:cs="Times New Roman"/>
          <w:b w:val="0"/>
          <w:i w:val="0"/>
          <w:color w:val="auto"/>
          <w:sz w:val="24"/>
          <w:szCs w:val="24"/>
          <w:vertAlign w:val="superscript"/>
        </w:rPr>
        <w:t>th</w:t>
      </w:r>
      <w:r>
        <w:rPr>
          <w:rStyle w:val="IntenseEmphasis"/>
          <w:rFonts w:ascii="Times New Roman" w:hAnsi="Times New Roman" w:cs="Times New Roman"/>
          <w:b w:val="0"/>
          <w:i w:val="0"/>
          <w:color w:val="auto"/>
          <w:sz w:val="24"/>
          <w:szCs w:val="24"/>
        </w:rPr>
        <w:t xml:space="preserve"> March 2020].</w:t>
      </w:r>
    </w:p>
    <w:p w:rsidR="000A3563" w:rsidRPr="000A3563" w:rsidRDefault="000A3563" w:rsidP="00E67321">
      <w:pPr>
        <w:spacing w:line="480" w:lineRule="auto"/>
        <w:ind w:left="720" w:hanging="720"/>
        <w:rPr>
          <w:rFonts w:ascii="Times New Roman" w:hAnsi="Times New Roman" w:cs="Times New Roman"/>
          <w:sz w:val="24"/>
          <w:szCs w:val="24"/>
        </w:rPr>
      </w:pPr>
      <w:proofErr w:type="gramStart"/>
      <w:r w:rsidRPr="000A3563">
        <w:rPr>
          <w:rStyle w:val="IntenseEmphasis"/>
          <w:rFonts w:ascii="Times New Roman" w:hAnsi="Times New Roman" w:cs="Times New Roman"/>
          <w:b w:val="0"/>
          <w:i w:val="0"/>
          <w:color w:val="auto"/>
          <w:sz w:val="24"/>
          <w:szCs w:val="24"/>
        </w:rPr>
        <w:lastRenderedPageBreak/>
        <w:t>van</w:t>
      </w:r>
      <w:proofErr w:type="gramEnd"/>
      <w:r w:rsidRPr="000A3563">
        <w:rPr>
          <w:rStyle w:val="IntenseEmphasis"/>
          <w:rFonts w:ascii="Times New Roman" w:hAnsi="Times New Roman" w:cs="Times New Roman"/>
          <w:b w:val="0"/>
          <w:i w:val="0"/>
          <w:color w:val="auto"/>
          <w:sz w:val="24"/>
          <w:szCs w:val="24"/>
        </w:rPr>
        <w:t xml:space="preserve"> Nuffelen, P. ‘Galen, Divination and th</w:t>
      </w:r>
      <w:r>
        <w:rPr>
          <w:rStyle w:val="IntenseEmphasis"/>
          <w:rFonts w:ascii="Times New Roman" w:hAnsi="Times New Roman" w:cs="Times New Roman"/>
          <w:b w:val="0"/>
          <w:i w:val="0"/>
          <w:color w:val="auto"/>
          <w:sz w:val="24"/>
          <w:szCs w:val="24"/>
        </w:rPr>
        <w:t xml:space="preserve">e Status of Medicine.’ </w:t>
      </w:r>
      <w:proofErr w:type="gramStart"/>
      <w:r>
        <w:rPr>
          <w:rStyle w:val="IntenseEmphasis"/>
          <w:rFonts w:ascii="Times New Roman" w:hAnsi="Times New Roman" w:cs="Times New Roman"/>
          <w:b w:val="0"/>
          <w:color w:val="auto"/>
          <w:sz w:val="24"/>
          <w:szCs w:val="24"/>
        </w:rPr>
        <w:t>The Classical Quarterly.</w:t>
      </w:r>
      <w:proofErr w:type="gramEnd"/>
      <w:r>
        <w:rPr>
          <w:rStyle w:val="IntenseEmphasis"/>
          <w:rFonts w:ascii="Times New Roman" w:hAnsi="Times New Roman" w:cs="Times New Roman"/>
          <w:b w:val="0"/>
          <w:color w:val="auto"/>
          <w:sz w:val="24"/>
          <w:szCs w:val="24"/>
        </w:rPr>
        <w:t xml:space="preserve"> </w:t>
      </w:r>
      <w:r>
        <w:rPr>
          <w:rStyle w:val="IntenseEmphasis"/>
          <w:rFonts w:ascii="Times New Roman" w:hAnsi="Times New Roman" w:cs="Times New Roman"/>
          <w:b w:val="0"/>
          <w:i w:val="0"/>
          <w:color w:val="auto"/>
          <w:sz w:val="24"/>
          <w:szCs w:val="24"/>
        </w:rPr>
        <w:t>Vol. 64, No. 1, May 2014, pp. 337-52. Available at: https://www.jstor.org/stable/26546306 [Accessed: 28</w:t>
      </w:r>
      <w:r w:rsidRPr="000A3563">
        <w:rPr>
          <w:rStyle w:val="IntenseEmphasis"/>
          <w:rFonts w:ascii="Times New Roman" w:hAnsi="Times New Roman" w:cs="Times New Roman"/>
          <w:b w:val="0"/>
          <w:i w:val="0"/>
          <w:color w:val="auto"/>
          <w:sz w:val="24"/>
          <w:szCs w:val="24"/>
          <w:vertAlign w:val="superscript"/>
        </w:rPr>
        <w:t>th</w:t>
      </w:r>
      <w:r>
        <w:rPr>
          <w:rStyle w:val="IntenseEmphasis"/>
          <w:rFonts w:ascii="Times New Roman" w:hAnsi="Times New Roman" w:cs="Times New Roman"/>
          <w:b w:val="0"/>
          <w:i w:val="0"/>
          <w:color w:val="auto"/>
          <w:sz w:val="24"/>
          <w:szCs w:val="24"/>
        </w:rPr>
        <w:t xml:space="preserve"> March 2020].</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Walkington </w:t>
      </w:r>
      <w:r w:rsidRPr="00DA2F4A">
        <w:rPr>
          <w:rFonts w:ascii="Times New Roman" w:hAnsi="Times New Roman" w:cs="Times New Roman"/>
          <w:i/>
          <w:sz w:val="24"/>
          <w:szCs w:val="24"/>
        </w:rPr>
        <w:t>Optick Glasse of Humors</w:t>
      </w:r>
      <w:r w:rsidRPr="009A06BC">
        <w:rPr>
          <w:rFonts w:ascii="Times New Roman" w:hAnsi="Times New Roman" w:cs="Times New Roman"/>
          <w:sz w:val="24"/>
          <w:szCs w:val="24"/>
        </w:rPr>
        <w:t xml:space="preserve"> </w:t>
      </w:r>
      <w:r w:rsidR="00B01E90">
        <w:rPr>
          <w:rFonts w:ascii="Times New Roman" w:hAnsi="Times New Roman" w:cs="Times New Roman"/>
          <w:sz w:val="24"/>
          <w:szCs w:val="24"/>
        </w:rPr>
        <w:t>(</w:t>
      </w:r>
      <w:r w:rsidRPr="009A06BC">
        <w:rPr>
          <w:rFonts w:ascii="Times New Roman" w:hAnsi="Times New Roman" w:cs="Times New Roman"/>
          <w:sz w:val="24"/>
          <w:szCs w:val="24"/>
        </w:rPr>
        <w:t>1639</w:t>
      </w:r>
      <w:r w:rsidR="00B01E90">
        <w:rPr>
          <w:rFonts w:ascii="Times New Roman" w:hAnsi="Times New Roman" w:cs="Times New Roman"/>
          <w:sz w:val="24"/>
          <w:szCs w:val="24"/>
        </w:rPr>
        <w:t>)</w:t>
      </w:r>
    </w:p>
    <w:p w:rsidR="00B01E90" w:rsidRPr="00B01E90" w:rsidRDefault="00B01E90"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Warner, R. (trans.) </w:t>
      </w:r>
      <w:r>
        <w:rPr>
          <w:rFonts w:ascii="Times New Roman" w:hAnsi="Times New Roman" w:cs="Times New Roman"/>
          <w:i/>
          <w:sz w:val="24"/>
          <w:szCs w:val="24"/>
        </w:rPr>
        <w:t xml:space="preserve">Three Great Plays of Euripides. </w:t>
      </w:r>
      <w:r>
        <w:rPr>
          <w:rStyle w:val="IntenseEmphasis"/>
          <w:rFonts w:ascii="Times New Roman" w:hAnsi="Times New Roman" w:cs="Times New Roman"/>
          <w:b w:val="0"/>
          <w:i w:val="0"/>
          <w:color w:val="auto"/>
          <w:sz w:val="24"/>
          <w:szCs w:val="24"/>
        </w:rPr>
        <w:t>New York: Mentor, 1958.</w:t>
      </w:r>
    </w:p>
    <w:p w:rsidR="00E67321"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Wedeck, H. E. </w:t>
      </w:r>
      <w:proofErr w:type="gramStart"/>
      <w:r w:rsidRPr="00DA2F4A">
        <w:rPr>
          <w:rFonts w:ascii="Times New Roman" w:hAnsi="Times New Roman" w:cs="Times New Roman"/>
          <w:i/>
          <w:sz w:val="24"/>
          <w:szCs w:val="24"/>
        </w:rPr>
        <w:t>A Treasury of Witchcraft.</w:t>
      </w:r>
      <w:proofErr w:type="gramEnd"/>
      <w:r w:rsidRPr="009A06BC">
        <w:rPr>
          <w:rFonts w:ascii="Times New Roman" w:hAnsi="Times New Roman" w:cs="Times New Roman"/>
          <w:sz w:val="24"/>
          <w:szCs w:val="24"/>
        </w:rPr>
        <w:t xml:space="preserve"> Secaucus: Citadel Press, 1961.</w:t>
      </w:r>
    </w:p>
    <w:p w:rsidR="0074221E" w:rsidRPr="0074221E" w:rsidRDefault="0074221E"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Weissenrieder, A. ‘“It Proceeded from the Entrance of a Demon into the Man.”: Epileptic Seizures in Ancient Medical Texts and the New Testament.’ </w:t>
      </w:r>
      <w:proofErr w:type="gramStart"/>
      <w:r>
        <w:rPr>
          <w:rFonts w:ascii="Times New Roman" w:hAnsi="Times New Roman" w:cs="Times New Roman"/>
          <w:i/>
          <w:sz w:val="24"/>
          <w:szCs w:val="24"/>
        </w:rPr>
        <w:t>Embodiment in Evolution and Culture.</w:t>
      </w:r>
      <w:proofErr w:type="gramEnd"/>
      <w:r>
        <w:rPr>
          <w:rFonts w:ascii="Times New Roman" w:hAnsi="Times New Roman" w:cs="Times New Roman"/>
          <w:i/>
          <w:sz w:val="24"/>
          <w:szCs w:val="24"/>
        </w:rPr>
        <w:t xml:space="preserve"> </w:t>
      </w:r>
      <w:r>
        <w:rPr>
          <w:rFonts w:ascii="Times New Roman" w:hAnsi="Times New Roman" w:cs="Times New Roman"/>
          <w:sz w:val="24"/>
          <w:szCs w:val="24"/>
        </w:rPr>
        <w:t>pp. 265-82. Available at: https://www.jstor.org/stable/j.ctt2250vc6.19 [Accessed: 28</w:t>
      </w:r>
      <w:r w:rsidRPr="0074221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447C91" w:rsidRPr="00447C91" w:rsidRDefault="00447C91" w:rsidP="00E673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Wells, S. and Taylor, G. (eds.)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Oxford Shakespeare: The Complete Works. </w:t>
      </w:r>
      <w:r>
        <w:rPr>
          <w:rFonts w:ascii="Times New Roman" w:hAnsi="Times New Roman" w:cs="Times New Roman"/>
          <w:sz w:val="24"/>
          <w:szCs w:val="24"/>
        </w:rPr>
        <w:t>Oxford: Clarendon Press, 1994.</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Wood, M. </w:t>
      </w:r>
      <w:proofErr w:type="gramStart"/>
      <w:r w:rsidRPr="00DA2F4A">
        <w:rPr>
          <w:rFonts w:ascii="Times New Roman" w:hAnsi="Times New Roman" w:cs="Times New Roman"/>
          <w:i/>
          <w:sz w:val="24"/>
          <w:szCs w:val="24"/>
        </w:rPr>
        <w:t>The Earthwise Herbal Repertory.</w:t>
      </w:r>
      <w:proofErr w:type="gramEnd"/>
      <w:r w:rsidRPr="009A06BC">
        <w:rPr>
          <w:rFonts w:ascii="Times New Roman" w:hAnsi="Times New Roman" w:cs="Times New Roman"/>
          <w:sz w:val="24"/>
          <w:szCs w:val="24"/>
        </w:rPr>
        <w:t xml:space="preserve"> Berkeley: North Atlantic Books, 2016.</w:t>
      </w:r>
    </w:p>
    <w:p w:rsidR="00E67321" w:rsidRPr="009A06BC" w:rsidRDefault="00E67321" w:rsidP="00E67321">
      <w:pPr>
        <w:spacing w:line="480" w:lineRule="auto"/>
        <w:ind w:left="720" w:hanging="720"/>
        <w:rPr>
          <w:rFonts w:ascii="Times New Roman" w:hAnsi="Times New Roman" w:cs="Times New Roman"/>
          <w:sz w:val="24"/>
          <w:szCs w:val="24"/>
        </w:rPr>
      </w:pPr>
      <w:proofErr w:type="gramStart"/>
      <w:r w:rsidRPr="009A06BC">
        <w:rPr>
          <w:rFonts w:ascii="Times New Roman" w:hAnsi="Times New Roman" w:cs="Times New Roman"/>
          <w:sz w:val="24"/>
          <w:szCs w:val="24"/>
        </w:rPr>
        <w:t>‘The World of Shakespeare’s Humors.’</w:t>
      </w:r>
      <w:proofErr w:type="gramEnd"/>
      <w:r w:rsidRPr="009A06BC">
        <w:rPr>
          <w:rFonts w:ascii="Times New Roman" w:hAnsi="Times New Roman" w:cs="Times New Roman"/>
          <w:sz w:val="24"/>
          <w:szCs w:val="24"/>
        </w:rPr>
        <w:t xml:space="preserve"> </w:t>
      </w:r>
      <w:proofErr w:type="gramStart"/>
      <w:r w:rsidRPr="00DA2F4A">
        <w:rPr>
          <w:rFonts w:ascii="Times New Roman" w:hAnsi="Times New Roman" w:cs="Times New Roman"/>
          <w:i/>
          <w:sz w:val="24"/>
          <w:szCs w:val="24"/>
        </w:rPr>
        <w:t>History of Medicine.</w:t>
      </w:r>
      <w:proofErr w:type="gramEnd"/>
      <w:r w:rsidRPr="009A06BC">
        <w:rPr>
          <w:rFonts w:ascii="Times New Roman" w:hAnsi="Times New Roman" w:cs="Times New Roman"/>
          <w:sz w:val="24"/>
          <w:szCs w:val="24"/>
        </w:rPr>
        <w:t xml:space="preserve"> </w:t>
      </w:r>
      <w:proofErr w:type="gramStart"/>
      <w:r w:rsidRPr="009A06BC">
        <w:rPr>
          <w:rFonts w:ascii="Times New Roman" w:hAnsi="Times New Roman" w:cs="Times New Roman"/>
          <w:sz w:val="24"/>
          <w:szCs w:val="24"/>
        </w:rPr>
        <w:t>National Library of Medicine.</w:t>
      </w:r>
      <w:proofErr w:type="gramEnd"/>
      <w:r w:rsidRPr="009A06BC">
        <w:rPr>
          <w:rFonts w:ascii="Times New Roman" w:hAnsi="Times New Roman" w:cs="Times New Roman"/>
          <w:sz w:val="24"/>
          <w:szCs w:val="24"/>
        </w:rPr>
        <w:t xml:space="preserve"> 2013. Available at: https://www.nlm.nih.gov/exhibition/shakespeare/fourhumors.html [Accessed: 15</w:t>
      </w:r>
      <w:r w:rsidRPr="009A06BC">
        <w:rPr>
          <w:rFonts w:ascii="Times New Roman" w:hAnsi="Times New Roman" w:cs="Times New Roman"/>
          <w:sz w:val="24"/>
          <w:szCs w:val="24"/>
          <w:vertAlign w:val="superscript"/>
        </w:rPr>
        <w:t>th</w:t>
      </w:r>
      <w:r w:rsidRPr="009A06BC">
        <w:rPr>
          <w:rFonts w:ascii="Times New Roman" w:hAnsi="Times New Roman" w:cs="Times New Roman"/>
          <w:sz w:val="24"/>
          <w:szCs w:val="24"/>
        </w:rPr>
        <w:t xml:space="preserve"> December 2019].</w:t>
      </w:r>
    </w:p>
    <w:p w:rsidR="00E67321" w:rsidRPr="009A06BC" w:rsidRDefault="00E67321" w:rsidP="00E67321">
      <w:pPr>
        <w:spacing w:line="480" w:lineRule="auto"/>
        <w:ind w:left="720" w:hanging="720"/>
        <w:rPr>
          <w:rFonts w:ascii="Times New Roman" w:hAnsi="Times New Roman" w:cs="Times New Roman"/>
          <w:sz w:val="24"/>
          <w:szCs w:val="24"/>
        </w:rPr>
      </w:pPr>
      <w:r w:rsidRPr="009A06BC">
        <w:rPr>
          <w:rFonts w:ascii="Times New Roman" w:hAnsi="Times New Roman" w:cs="Times New Roman"/>
          <w:sz w:val="24"/>
          <w:szCs w:val="24"/>
        </w:rPr>
        <w:t xml:space="preserve">Yronwode, C. </w:t>
      </w:r>
      <w:r w:rsidRPr="00DA2F4A">
        <w:rPr>
          <w:rFonts w:ascii="Times New Roman" w:hAnsi="Times New Roman" w:cs="Times New Roman"/>
          <w:i/>
          <w:sz w:val="24"/>
          <w:szCs w:val="24"/>
        </w:rPr>
        <w:t>Hoodoo Herb and Root Magic: A Materia Magica of African-American Conjure.</w:t>
      </w:r>
      <w:r w:rsidRPr="009A06BC">
        <w:rPr>
          <w:rFonts w:ascii="Times New Roman" w:hAnsi="Times New Roman" w:cs="Times New Roman"/>
          <w:sz w:val="24"/>
          <w:szCs w:val="24"/>
        </w:rPr>
        <w:t xml:space="preserve"> Forestville: Lucky Mojo Curio Company, 2002.</w:t>
      </w:r>
    </w:p>
    <w:sectPr w:rsidR="00E67321" w:rsidRPr="009A06BC" w:rsidSect="00483C8A">
      <w:footerReference w:type="default" r:id="rId1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AD8" w:rsidRDefault="006D2AD8" w:rsidP="008F6237">
      <w:pPr>
        <w:spacing w:after="0" w:line="240" w:lineRule="auto"/>
      </w:pPr>
      <w:r>
        <w:separator/>
      </w:r>
    </w:p>
  </w:endnote>
  <w:endnote w:type="continuationSeparator" w:id="0">
    <w:p w:rsidR="006D2AD8" w:rsidRDefault="006D2AD8" w:rsidP="008F62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400495610"/>
      <w:docPartObj>
        <w:docPartGallery w:val="Page Numbers (Bottom of Page)"/>
        <w:docPartUnique/>
      </w:docPartObj>
    </w:sdtPr>
    <w:sdtContent>
      <w:p w:rsidR="005D0A96" w:rsidRPr="008A3BE8" w:rsidRDefault="005D0A96">
        <w:pPr>
          <w:pStyle w:val="Footer"/>
          <w:jc w:val="right"/>
          <w:rPr>
            <w:rFonts w:ascii="Times New Roman" w:hAnsi="Times New Roman" w:cs="Times New Roman"/>
            <w:sz w:val="24"/>
            <w:szCs w:val="24"/>
          </w:rPr>
        </w:pPr>
        <w:r w:rsidRPr="008A3BE8">
          <w:rPr>
            <w:rFonts w:ascii="Times New Roman" w:hAnsi="Times New Roman" w:cs="Times New Roman"/>
            <w:sz w:val="24"/>
            <w:szCs w:val="24"/>
          </w:rPr>
          <w:fldChar w:fldCharType="begin"/>
        </w:r>
        <w:r w:rsidRPr="008A3BE8">
          <w:rPr>
            <w:rFonts w:ascii="Times New Roman" w:hAnsi="Times New Roman" w:cs="Times New Roman"/>
            <w:sz w:val="24"/>
            <w:szCs w:val="24"/>
          </w:rPr>
          <w:instrText xml:space="preserve"> PAGE   \* MERGEFORMAT </w:instrText>
        </w:r>
        <w:r w:rsidRPr="008A3BE8">
          <w:rPr>
            <w:rFonts w:ascii="Times New Roman" w:hAnsi="Times New Roman" w:cs="Times New Roman"/>
            <w:sz w:val="24"/>
            <w:szCs w:val="24"/>
          </w:rPr>
          <w:fldChar w:fldCharType="separate"/>
        </w:r>
        <w:r w:rsidR="00851E5A">
          <w:rPr>
            <w:rFonts w:ascii="Times New Roman" w:hAnsi="Times New Roman" w:cs="Times New Roman"/>
            <w:noProof/>
            <w:sz w:val="24"/>
            <w:szCs w:val="24"/>
          </w:rPr>
          <w:t>2</w:t>
        </w:r>
        <w:r w:rsidRPr="008A3BE8">
          <w:rPr>
            <w:rFonts w:ascii="Times New Roman" w:hAnsi="Times New Roman" w:cs="Times New Roman"/>
            <w:sz w:val="24"/>
            <w:szCs w:val="24"/>
          </w:rPr>
          <w:fldChar w:fldCharType="end"/>
        </w:r>
      </w:p>
    </w:sdtContent>
  </w:sdt>
  <w:p w:rsidR="005D0A96" w:rsidRDefault="005D0A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AD8" w:rsidRDefault="006D2AD8" w:rsidP="008F6237">
      <w:pPr>
        <w:spacing w:after="0" w:line="240" w:lineRule="auto"/>
      </w:pPr>
      <w:r>
        <w:separator/>
      </w:r>
    </w:p>
  </w:footnote>
  <w:footnote w:type="continuationSeparator" w:id="0">
    <w:p w:rsidR="006D2AD8" w:rsidRDefault="006D2AD8" w:rsidP="008F6237">
      <w:pPr>
        <w:spacing w:after="0" w:line="240" w:lineRule="auto"/>
      </w:pPr>
      <w:r>
        <w:continuationSeparator/>
      </w:r>
    </w:p>
  </w:footnote>
  <w:footnote w:id="1">
    <w:p w:rsidR="005D0A96" w:rsidRPr="0084749E"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84749E">
        <w:rPr>
          <w:rFonts w:ascii="Times New Roman" w:hAnsi="Times New Roman" w:cs="Times New Roman"/>
          <w:lang w:val="es-ES"/>
        </w:rPr>
        <w:t xml:space="preserve"> van der Lugt, 2013: 308-09</w:t>
      </w:r>
    </w:p>
  </w:footnote>
  <w:footnote w:id="2">
    <w:p w:rsidR="005D0A96" w:rsidRPr="0084749E"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84749E">
        <w:rPr>
          <w:rFonts w:ascii="Times New Roman" w:hAnsi="Times New Roman" w:cs="Times New Roman"/>
          <w:lang w:val="es-ES"/>
        </w:rPr>
        <w:t xml:space="preserve"> Dio. Sic. 31.43</w:t>
      </w:r>
    </w:p>
  </w:footnote>
  <w:footnote w:id="3">
    <w:p w:rsidR="005D0A96" w:rsidRPr="00385CDE"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385CDE">
        <w:rPr>
          <w:rFonts w:ascii="Times New Roman" w:hAnsi="Times New Roman" w:cs="Times New Roman"/>
        </w:rPr>
        <w:t xml:space="preserve"> Collins, 1968: 259</w:t>
      </w:r>
    </w:p>
  </w:footnote>
  <w:footnote w:id="4">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Aristoph.</w:t>
      </w:r>
      <w:proofErr w:type="gramEnd"/>
      <w:r w:rsidRPr="00A954F1">
        <w:rPr>
          <w:rFonts w:ascii="Times New Roman" w:hAnsi="Times New Roman" w:cs="Times New Roman"/>
        </w:rPr>
        <w:t xml:space="preserve"> </w:t>
      </w:r>
      <w:r w:rsidRPr="00A954F1">
        <w:rPr>
          <w:rFonts w:ascii="Times New Roman" w:hAnsi="Times New Roman" w:cs="Times New Roman"/>
          <w:i/>
        </w:rPr>
        <w:t xml:space="preserve">Clouds </w:t>
      </w:r>
      <w:r w:rsidRPr="00A954F1">
        <w:rPr>
          <w:rFonts w:ascii="Times New Roman" w:hAnsi="Times New Roman" w:cs="Times New Roman"/>
        </w:rPr>
        <w:t>749-52</w:t>
      </w:r>
    </w:p>
  </w:footnote>
  <w:footnote w:id="5">
    <w:p w:rsidR="005D0A96" w:rsidRPr="005D2BD8" w:rsidRDefault="005D0A96" w:rsidP="00385CDE">
      <w:pPr>
        <w:pStyle w:val="FootnoteText"/>
      </w:pPr>
      <w:r w:rsidRPr="00A954F1">
        <w:rPr>
          <w:rStyle w:val="FootnoteReference"/>
          <w:rFonts w:ascii="Times New Roman" w:hAnsi="Times New Roman" w:cs="Times New Roman"/>
        </w:rPr>
        <w:footnoteRef/>
      </w:r>
      <w:r w:rsidRPr="00A954F1">
        <w:rPr>
          <w:rFonts w:ascii="Times New Roman" w:hAnsi="Times New Roman" w:cs="Times New Roman"/>
        </w:rPr>
        <w:t xml:space="preserve"> Garland, 2013: 171</w:t>
      </w:r>
      <w:r>
        <w:rPr>
          <w:rFonts w:ascii="Times New Roman" w:hAnsi="Times New Roman" w:cs="Times New Roman"/>
        </w:rPr>
        <w:t xml:space="preserve">; cf. </w:t>
      </w:r>
      <w:r w:rsidRPr="00A954F1">
        <w:rPr>
          <w:rFonts w:ascii="Times New Roman" w:hAnsi="Times New Roman" w:cs="Times New Roman"/>
        </w:rPr>
        <w:t xml:space="preserve">Pind. </w:t>
      </w:r>
      <w:r w:rsidRPr="00A954F1">
        <w:rPr>
          <w:rFonts w:ascii="Times New Roman" w:hAnsi="Times New Roman" w:cs="Times New Roman"/>
          <w:i/>
        </w:rPr>
        <w:t xml:space="preserve">Lyr. Pyth. </w:t>
      </w:r>
      <w:r w:rsidRPr="00A954F1">
        <w:rPr>
          <w:rFonts w:ascii="Times New Roman" w:hAnsi="Times New Roman" w:cs="Times New Roman"/>
        </w:rPr>
        <w:t>3.47-55</w:t>
      </w:r>
    </w:p>
  </w:footnote>
  <w:footnote w:id="6">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e.g</w:t>
      </w:r>
      <w:proofErr w:type="gramEnd"/>
      <w:r w:rsidRPr="00A954F1">
        <w:rPr>
          <w:rFonts w:ascii="Times New Roman" w:hAnsi="Times New Roman" w:cs="Times New Roman"/>
        </w:rPr>
        <w:t xml:space="preserve">. Machaon and Podaleirios at Hom. </w:t>
      </w:r>
      <w:r w:rsidRPr="00A954F1">
        <w:rPr>
          <w:rFonts w:ascii="Times New Roman" w:hAnsi="Times New Roman" w:cs="Times New Roman"/>
          <w:i/>
        </w:rPr>
        <w:t xml:space="preserve">Il. </w:t>
      </w:r>
      <w:r w:rsidRPr="00A954F1">
        <w:rPr>
          <w:rFonts w:ascii="Times New Roman" w:hAnsi="Times New Roman" w:cs="Times New Roman"/>
        </w:rPr>
        <w:t xml:space="preserve">4.217-19, 11.830-33 (cf. Garland, 2013: 173), and Ilus at </w:t>
      </w:r>
      <w:proofErr w:type="gramStart"/>
      <w:r w:rsidRPr="00A954F1">
        <w:rPr>
          <w:rFonts w:ascii="Times New Roman" w:hAnsi="Times New Roman" w:cs="Times New Roman"/>
          <w:i/>
        </w:rPr>
        <w:t>Od</w:t>
      </w:r>
      <w:proofErr w:type="gramEnd"/>
      <w:r w:rsidRPr="00A954F1">
        <w:rPr>
          <w:rFonts w:ascii="Times New Roman" w:hAnsi="Times New Roman" w:cs="Times New Roman"/>
          <w:i/>
        </w:rPr>
        <w:t xml:space="preserve">. </w:t>
      </w:r>
      <w:r w:rsidRPr="00A954F1">
        <w:rPr>
          <w:rFonts w:ascii="Times New Roman" w:hAnsi="Times New Roman" w:cs="Times New Roman"/>
        </w:rPr>
        <w:t>1.258-62.</w:t>
      </w:r>
    </w:p>
  </w:footnote>
  <w:footnote w:id="7">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i.e</w:t>
      </w:r>
      <w:proofErr w:type="gramEnd"/>
      <w:r w:rsidRPr="00A954F1">
        <w:rPr>
          <w:rFonts w:ascii="Times New Roman" w:hAnsi="Times New Roman" w:cs="Times New Roman"/>
        </w:rPr>
        <w:t xml:space="preserve">. Chiron, alluded to at Hom. </w:t>
      </w:r>
      <w:proofErr w:type="gramStart"/>
      <w:r w:rsidRPr="00A954F1">
        <w:rPr>
          <w:rFonts w:ascii="Times New Roman" w:hAnsi="Times New Roman" w:cs="Times New Roman"/>
          <w:i/>
        </w:rPr>
        <w:t xml:space="preserve">Il. </w:t>
      </w:r>
      <w:r w:rsidRPr="00A954F1">
        <w:rPr>
          <w:rFonts w:ascii="Times New Roman" w:hAnsi="Times New Roman" w:cs="Times New Roman"/>
        </w:rPr>
        <w:t>4.219 and Pind.</w:t>
      </w:r>
      <w:proofErr w:type="gramEnd"/>
      <w:r w:rsidRPr="00A954F1">
        <w:rPr>
          <w:rFonts w:ascii="Times New Roman" w:hAnsi="Times New Roman" w:cs="Times New Roman"/>
        </w:rPr>
        <w:t xml:space="preserve"> </w:t>
      </w:r>
      <w:r w:rsidRPr="00A954F1">
        <w:rPr>
          <w:rFonts w:ascii="Times New Roman" w:hAnsi="Times New Roman" w:cs="Times New Roman"/>
          <w:i/>
        </w:rPr>
        <w:t xml:space="preserve">Lyr. Nem. </w:t>
      </w:r>
      <w:r w:rsidRPr="00A954F1">
        <w:rPr>
          <w:rFonts w:ascii="Times New Roman" w:hAnsi="Times New Roman" w:cs="Times New Roman"/>
        </w:rPr>
        <w:t>3.54-55</w:t>
      </w:r>
    </w:p>
  </w:footnote>
  <w:footnote w:id="8">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e.g. Homer’s account of Paeëon (</w:t>
      </w:r>
      <w:r w:rsidRPr="00A954F1">
        <w:rPr>
          <w:rFonts w:ascii="Times New Roman" w:hAnsi="Times New Roman" w:cs="Times New Roman"/>
          <w:i/>
        </w:rPr>
        <w:t xml:space="preserve">Il. </w:t>
      </w:r>
      <w:r w:rsidRPr="00A954F1">
        <w:rPr>
          <w:rFonts w:ascii="Times New Roman" w:hAnsi="Times New Roman" w:cs="Times New Roman"/>
        </w:rPr>
        <w:t>5.401 and 5.900) and Aeschylus’ of Asclepius (</w:t>
      </w:r>
      <w:r w:rsidRPr="00A954F1">
        <w:rPr>
          <w:rFonts w:ascii="Times New Roman" w:hAnsi="Times New Roman" w:cs="Times New Roman"/>
          <w:i/>
        </w:rPr>
        <w:t xml:space="preserve">Agam. </w:t>
      </w:r>
      <w:r w:rsidRPr="00A954F1">
        <w:rPr>
          <w:rFonts w:ascii="Times New Roman" w:hAnsi="Times New Roman" w:cs="Times New Roman"/>
        </w:rPr>
        <w:t>1250-70)</w:t>
      </w:r>
    </w:p>
  </w:footnote>
  <w:footnote w:id="9">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Aesch.</w:t>
      </w:r>
      <w:proofErr w:type="gramEnd"/>
      <w:r w:rsidRPr="00A954F1">
        <w:rPr>
          <w:rFonts w:ascii="Times New Roman" w:hAnsi="Times New Roman" w:cs="Times New Roman"/>
        </w:rPr>
        <w:t xml:space="preserve"> </w:t>
      </w:r>
      <w:proofErr w:type="gramStart"/>
      <w:r w:rsidRPr="00A954F1">
        <w:rPr>
          <w:rFonts w:ascii="Times New Roman" w:hAnsi="Times New Roman" w:cs="Times New Roman"/>
          <w:i/>
        </w:rPr>
        <w:t>Choe.</w:t>
      </w:r>
      <w:proofErr w:type="gramEnd"/>
      <w:r w:rsidRPr="00A954F1">
        <w:rPr>
          <w:rFonts w:ascii="Times New Roman" w:hAnsi="Times New Roman" w:cs="Times New Roman"/>
          <w:i/>
        </w:rPr>
        <w:t xml:space="preserve"> </w:t>
      </w:r>
      <w:r w:rsidRPr="00A954F1">
        <w:rPr>
          <w:rFonts w:ascii="Times New Roman" w:hAnsi="Times New Roman" w:cs="Times New Roman"/>
        </w:rPr>
        <w:t>698-99</w:t>
      </w:r>
    </w:p>
  </w:footnote>
  <w:footnote w:id="10">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Pind.</w:t>
      </w:r>
      <w:proofErr w:type="gramEnd"/>
      <w:r w:rsidRPr="00A954F1">
        <w:rPr>
          <w:rFonts w:ascii="Times New Roman" w:hAnsi="Times New Roman" w:cs="Times New Roman"/>
        </w:rPr>
        <w:t xml:space="preserve"> </w:t>
      </w:r>
      <w:r w:rsidRPr="00A954F1">
        <w:rPr>
          <w:rFonts w:ascii="Times New Roman" w:hAnsi="Times New Roman" w:cs="Times New Roman"/>
          <w:i/>
        </w:rPr>
        <w:t xml:space="preserve">Lyr. Nem. </w:t>
      </w:r>
      <w:r w:rsidRPr="00A954F1">
        <w:rPr>
          <w:rFonts w:ascii="Times New Roman" w:hAnsi="Times New Roman" w:cs="Times New Roman"/>
        </w:rPr>
        <w:t>4.1-2; cf. Machemer, 1993: 120-36</w:t>
      </w:r>
    </w:p>
  </w:footnote>
  <w:footnote w:id="11">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e.g</w:t>
      </w:r>
      <w:proofErr w:type="gramEnd"/>
      <w:r w:rsidRPr="00A954F1">
        <w:rPr>
          <w:rFonts w:ascii="Times New Roman" w:hAnsi="Times New Roman" w:cs="Times New Roman"/>
        </w:rPr>
        <w:t xml:space="preserve">. Hes. </w:t>
      </w:r>
      <w:r w:rsidRPr="00A954F1">
        <w:rPr>
          <w:rFonts w:ascii="Times New Roman" w:hAnsi="Times New Roman" w:cs="Times New Roman"/>
          <w:i/>
        </w:rPr>
        <w:t xml:space="preserve">Op. </w:t>
      </w:r>
      <w:proofErr w:type="gramStart"/>
      <w:r w:rsidRPr="00A954F1">
        <w:rPr>
          <w:rFonts w:ascii="Times New Roman" w:hAnsi="Times New Roman" w:cs="Times New Roman"/>
          <w:i/>
        </w:rPr>
        <w:t>et</w:t>
      </w:r>
      <w:proofErr w:type="gramEnd"/>
      <w:r w:rsidRPr="00A954F1">
        <w:rPr>
          <w:rFonts w:ascii="Times New Roman" w:hAnsi="Times New Roman" w:cs="Times New Roman"/>
          <w:i/>
        </w:rPr>
        <w:t xml:space="preserve"> Di. </w:t>
      </w:r>
      <w:proofErr w:type="gramStart"/>
      <w:r w:rsidRPr="00A954F1">
        <w:rPr>
          <w:rFonts w:ascii="Times New Roman" w:hAnsi="Times New Roman" w:cs="Times New Roman"/>
        </w:rPr>
        <w:t>485 and Aesch.</w:t>
      </w:r>
      <w:proofErr w:type="gramEnd"/>
      <w:r w:rsidRPr="00A954F1">
        <w:rPr>
          <w:rFonts w:ascii="Times New Roman" w:hAnsi="Times New Roman" w:cs="Times New Roman"/>
        </w:rPr>
        <w:t xml:space="preserve"> </w:t>
      </w:r>
      <w:proofErr w:type="gramStart"/>
      <w:r w:rsidRPr="00A954F1">
        <w:rPr>
          <w:rFonts w:ascii="Times New Roman" w:hAnsi="Times New Roman" w:cs="Times New Roman"/>
          <w:i/>
        </w:rPr>
        <w:t>Agam.</w:t>
      </w:r>
      <w:proofErr w:type="gramEnd"/>
      <w:r w:rsidRPr="00A954F1">
        <w:rPr>
          <w:rFonts w:ascii="Times New Roman" w:hAnsi="Times New Roman" w:cs="Times New Roman"/>
          <w:i/>
        </w:rPr>
        <w:t xml:space="preserve"> </w:t>
      </w:r>
      <w:r w:rsidRPr="00A954F1">
        <w:rPr>
          <w:rFonts w:ascii="Times New Roman" w:hAnsi="Times New Roman" w:cs="Times New Roman"/>
        </w:rPr>
        <w:t>548</w:t>
      </w:r>
    </w:p>
  </w:footnote>
  <w:footnote w:id="12">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proofErr w:type="gramStart"/>
      <w:r w:rsidRPr="00A954F1">
        <w:rPr>
          <w:rFonts w:ascii="Times New Roman" w:hAnsi="Times New Roman" w:cs="Times New Roman"/>
        </w:rPr>
        <w:t>Hom.</w:t>
      </w:r>
      <w:proofErr w:type="gramEnd"/>
      <w:r w:rsidRPr="00A954F1">
        <w:rPr>
          <w:rFonts w:ascii="Times New Roman" w:hAnsi="Times New Roman" w:cs="Times New Roman"/>
        </w:rPr>
        <w:t xml:space="preserve"> </w:t>
      </w:r>
      <w:r w:rsidRPr="00A954F1">
        <w:rPr>
          <w:rFonts w:ascii="Times New Roman" w:hAnsi="Times New Roman" w:cs="Times New Roman"/>
          <w:i/>
        </w:rPr>
        <w:t xml:space="preserve">Il. </w:t>
      </w:r>
      <w:r w:rsidRPr="00A954F1">
        <w:rPr>
          <w:rFonts w:ascii="Times New Roman" w:hAnsi="Times New Roman" w:cs="Times New Roman"/>
        </w:rPr>
        <w:t>4.218, 11.830</w:t>
      </w:r>
    </w:p>
  </w:footnote>
  <w:footnote w:id="13">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Hom.</w:t>
      </w:r>
      <w:proofErr w:type="gramEnd"/>
      <w:r w:rsidRPr="00A954F1">
        <w:rPr>
          <w:rFonts w:ascii="Times New Roman" w:hAnsi="Times New Roman" w:cs="Times New Roman"/>
        </w:rPr>
        <w:t xml:space="preserve"> </w:t>
      </w:r>
      <w:proofErr w:type="gramStart"/>
      <w:r w:rsidRPr="00A954F1">
        <w:rPr>
          <w:rFonts w:ascii="Times New Roman" w:hAnsi="Times New Roman" w:cs="Times New Roman"/>
          <w:i/>
        </w:rPr>
        <w:t>Od</w:t>
      </w:r>
      <w:proofErr w:type="gramEnd"/>
      <w:r w:rsidRPr="00A954F1">
        <w:rPr>
          <w:rFonts w:ascii="Times New Roman" w:hAnsi="Times New Roman" w:cs="Times New Roman"/>
          <w:i/>
        </w:rPr>
        <w:t xml:space="preserve">. </w:t>
      </w:r>
      <w:r w:rsidRPr="00A954F1">
        <w:rPr>
          <w:rFonts w:ascii="Times New Roman" w:hAnsi="Times New Roman" w:cs="Times New Roman"/>
        </w:rPr>
        <w:t>1.261, 2.329</w:t>
      </w:r>
    </w:p>
  </w:footnote>
  <w:footnote w:id="14">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Hom.</w:t>
      </w:r>
      <w:proofErr w:type="gramEnd"/>
      <w:r w:rsidRPr="00A954F1">
        <w:rPr>
          <w:rFonts w:ascii="Times New Roman" w:hAnsi="Times New Roman" w:cs="Times New Roman"/>
        </w:rPr>
        <w:t xml:space="preserve"> </w:t>
      </w:r>
      <w:proofErr w:type="gramStart"/>
      <w:r w:rsidRPr="00A954F1">
        <w:rPr>
          <w:rFonts w:ascii="Times New Roman" w:hAnsi="Times New Roman" w:cs="Times New Roman"/>
          <w:i/>
        </w:rPr>
        <w:t>Od</w:t>
      </w:r>
      <w:proofErr w:type="gramEnd"/>
      <w:r w:rsidRPr="00A954F1">
        <w:rPr>
          <w:rFonts w:ascii="Times New Roman" w:hAnsi="Times New Roman" w:cs="Times New Roman"/>
          <w:i/>
        </w:rPr>
        <w:t xml:space="preserve">. </w:t>
      </w:r>
      <w:r w:rsidRPr="00A954F1">
        <w:rPr>
          <w:rFonts w:ascii="Times New Roman" w:hAnsi="Times New Roman" w:cs="Times New Roman"/>
        </w:rPr>
        <w:t xml:space="preserve">10.236-94; cf. Soph. </w:t>
      </w:r>
      <w:r w:rsidRPr="00A954F1">
        <w:rPr>
          <w:rFonts w:ascii="Times New Roman" w:hAnsi="Times New Roman" w:cs="Times New Roman"/>
          <w:i/>
        </w:rPr>
        <w:t xml:space="preserve">Trach. </w:t>
      </w:r>
      <w:proofErr w:type="gramStart"/>
      <w:r w:rsidRPr="00A954F1">
        <w:rPr>
          <w:rFonts w:ascii="Times New Roman" w:hAnsi="Times New Roman" w:cs="Times New Roman"/>
        </w:rPr>
        <w:t>575, 581 and Pind.</w:t>
      </w:r>
      <w:proofErr w:type="gramEnd"/>
      <w:r w:rsidRPr="00A954F1">
        <w:rPr>
          <w:rFonts w:ascii="Times New Roman" w:hAnsi="Times New Roman" w:cs="Times New Roman"/>
        </w:rPr>
        <w:t xml:space="preserve"> </w:t>
      </w:r>
      <w:r w:rsidRPr="00A954F1">
        <w:rPr>
          <w:rFonts w:ascii="Times New Roman" w:hAnsi="Times New Roman" w:cs="Times New Roman"/>
          <w:i/>
        </w:rPr>
        <w:t xml:space="preserve">Lyr. Olym. </w:t>
      </w:r>
      <w:r w:rsidRPr="00A954F1">
        <w:rPr>
          <w:rFonts w:ascii="Times New Roman" w:hAnsi="Times New Roman" w:cs="Times New Roman"/>
        </w:rPr>
        <w:t>13.68</w:t>
      </w:r>
    </w:p>
  </w:footnote>
  <w:footnote w:id="15">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Collins, 1968: 255</w:t>
      </w:r>
    </w:p>
  </w:footnote>
  <w:footnote w:id="16">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i/>
        </w:rPr>
        <w:t>Agam.</w:t>
      </w:r>
      <w:proofErr w:type="gramEnd"/>
      <w:r w:rsidRPr="00A954F1">
        <w:rPr>
          <w:rFonts w:ascii="Times New Roman" w:hAnsi="Times New Roman" w:cs="Times New Roman"/>
          <w:i/>
        </w:rPr>
        <w:t xml:space="preserve"> </w:t>
      </w:r>
      <w:r w:rsidRPr="00A954F1">
        <w:rPr>
          <w:rFonts w:ascii="Times New Roman" w:hAnsi="Times New Roman" w:cs="Times New Roman"/>
        </w:rPr>
        <w:t>1250-70</w:t>
      </w:r>
    </w:p>
  </w:footnote>
  <w:footnote w:id="17">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He points to medic-magicians Agamede (</w:t>
      </w:r>
      <w:r w:rsidRPr="00A954F1">
        <w:rPr>
          <w:rFonts w:ascii="Times New Roman" w:hAnsi="Times New Roman" w:cs="Times New Roman"/>
          <w:i/>
        </w:rPr>
        <w:t xml:space="preserve">Il. </w:t>
      </w:r>
      <w:r w:rsidRPr="00A954F1">
        <w:rPr>
          <w:rFonts w:ascii="Times New Roman" w:hAnsi="Times New Roman" w:cs="Times New Roman"/>
        </w:rPr>
        <w:t>11.741), Polydamna, Helen, and Paeëon (</w:t>
      </w:r>
      <w:r w:rsidRPr="00A954F1">
        <w:rPr>
          <w:rFonts w:ascii="Times New Roman" w:hAnsi="Times New Roman" w:cs="Times New Roman"/>
          <w:i/>
        </w:rPr>
        <w:t xml:space="preserve">Od. </w:t>
      </w:r>
      <w:r w:rsidRPr="00A954F1">
        <w:rPr>
          <w:rFonts w:ascii="Times New Roman" w:hAnsi="Times New Roman" w:cs="Times New Roman"/>
        </w:rPr>
        <w:t>4.220-31).</w:t>
      </w:r>
    </w:p>
  </w:footnote>
  <w:footnote w:id="18">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Both Ulysses (</w:t>
      </w:r>
      <w:r w:rsidRPr="00A954F1">
        <w:rPr>
          <w:rFonts w:ascii="Times New Roman" w:hAnsi="Times New Roman" w:cs="Times New Roman"/>
          <w:i/>
        </w:rPr>
        <w:t xml:space="preserve">Od. </w:t>
      </w:r>
      <w:r w:rsidRPr="00A954F1">
        <w:rPr>
          <w:rFonts w:ascii="Times New Roman" w:hAnsi="Times New Roman" w:cs="Times New Roman"/>
        </w:rPr>
        <w:t>1.261) and Telemachus (</w:t>
      </w:r>
      <w:r w:rsidRPr="00A954F1">
        <w:rPr>
          <w:rFonts w:ascii="Times New Roman" w:hAnsi="Times New Roman" w:cs="Times New Roman"/>
          <w:i/>
        </w:rPr>
        <w:t xml:space="preserve">Od. </w:t>
      </w:r>
      <w:r w:rsidRPr="00A954F1">
        <w:rPr>
          <w:rFonts w:ascii="Times New Roman" w:hAnsi="Times New Roman" w:cs="Times New Roman"/>
        </w:rPr>
        <w:t>2.329) sail there for herbal “weapons.”</w:t>
      </w:r>
    </w:p>
  </w:footnote>
  <w:footnote w:id="19">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i/>
        </w:rPr>
        <w:t>Od</w:t>
      </w:r>
      <w:proofErr w:type="gramEnd"/>
      <w:r w:rsidRPr="00A954F1">
        <w:rPr>
          <w:rFonts w:ascii="Times New Roman" w:hAnsi="Times New Roman" w:cs="Times New Roman"/>
          <w:i/>
        </w:rPr>
        <w:t xml:space="preserve">. </w:t>
      </w:r>
      <w:r w:rsidRPr="00A954F1">
        <w:rPr>
          <w:rFonts w:ascii="Times New Roman" w:hAnsi="Times New Roman" w:cs="Times New Roman"/>
        </w:rPr>
        <w:t>10.236-94</w:t>
      </w:r>
    </w:p>
  </w:footnote>
  <w:footnote w:id="20">
    <w:p w:rsidR="005D0A96" w:rsidRPr="003542D7" w:rsidRDefault="005D0A96" w:rsidP="00385CDE">
      <w:pPr>
        <w:pStyle w:val="FootnoteText"/>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i/>
        </w:rPr>
        <w:t>Trach.</w:t>
      </w:r>
      <w:proofErr w:type="gramEnd"/>
      <w:r w:rsidRPr="00A954F1">
        <w:rPr>
          <w:rFonts w:ascii="Times New Roman" w:hAnsi="Times New Roman" w:cs="Times New Roman"/>
          <w:i/>
        </w:rPr>
        <w:t xml:space="preserve"> </w:t>
      </w:r>
      <w:r w:rsidRPr="00A954F1">
        <w:rPr>
          <w:rFonts w:ascii="Times New Roman" w:hAnsi="Times New Roman" w:cs="Times New Roman"/>
        </w:rPr>
        <w:t>584-85</w:t>
      </w:r>
    </w:p>
  </w:footnote>
  <w:footnote w:id="21">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Collins, 1968: 266-69; cf. Plato </w:t>
      </w:r>
      <w:r w:rsidRPr="00A954F1">
        <w:rPr>
          <w:rFonts w:ascii="Times New Roman" w:hAnsi="Times New Roman" w:cs="Times New Roman"/>
          <w:i/>
        </w:rPr>
        <w:t>Meno,</w:t>
      </w:r>
      <w:r w:rsidRPr="00A954F1">
        <w:rPr>
          <w:rFonts w:ascii="Times New Roman" w:hAnsi="Times New Roman" w:cs="Times New Roman"/>
        </w:rPr>
        <w:t xml:space="preserve"> </w:t>
      </w:r>
      <w:r w:rsidRPr="00A954F1">
        <w:rPr>
          <w:rFonts w:ascii="Times New Roman" w:hAnsi="Times New Roman" w:cs="Times New Roman"/>
          <w:i/>
        </w:rPr>
        <w:t xml:space="preserve">Dirae Teorum, </w:t>
      </w:r>
      <w:r w:rsidRPr="00A954F1">
        <w:rPr>
          <w:rFonts w:ascii="Times New Roman" w:hAnsi="Times New Roman" w:cs="Times New Roman"/>
        </w:rPr>
        <w:t xml:space="preserve">and </w:t>
      </w:r>
      <w:r w:rsidRPr="00A954F1">
        <w:rPr>
          <w:rFonts w:ascii="Times New Roman" w:hAnsi="Times New Roman" w:cs="Times New Roman"/>
          <w:i/>
        </w:rPr>
        <w:t xml:space="preserve">Aristogeiton </w:t>
      </w:r>
      <w:r w:rsidRPr="00A954F1">
        <w:rPr>
          <w:rFonts w:ascii="Times New Roman" w:hAnsi="Times New Roman" w:cs="Times New Roman"/>
        </w:rPr>
        <w:t>for punishments for magicians knowingly making “harmful drugs” and for healers’ malpractice</w:t>
      </w:r>
    </w:p>
  </w:footnote>
  <w:footnote w:id="22">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cf. Soph. </w:t>
      </w:r>
      <w:r w:rsidRPr="00A954F1">
        <w:rPr>
          <w:rFonts w:ascii="Times New Roman" w:hAnsi="Times New Roman" w:cs="Times New Roman"/>
          <w:i/>
        </w:rPr>
        <w:t xml:space="preserve">Ajax </w:t>
      </w:r>
      <w:r w:rsidRPr="00A954F1">
        <w:rPr>
          <w:rFonts w:ascii="Times New Roman" w:hAnsi="Times New Roman" w:cs="Times New Roman"/>
        </w:rPr>
        <w:t xml:space="preserve">582-83 (Grene &amp; Lattimore, trans.): “No good physician quavers incantations / </w:t>
      </w:r>
      <w:proofErr w:type="gramStart"/>
      <w:r w:rsidRPr="00A954F1">
        <w:rPr>
          <w:rFonts w:ascii="Times New Roman" w:hAnsi="Times New Roman" w:cs="Times New Roman"/>
        </w:rPr>
        <w:t>When</w:t>
      </w:r>
      <w:proofErr w:type="gramEnd"/>
      <w:r w:rsidRPr="00A954F1">
        <w:rPr>
          <w:rFonts w:ascii="Times New Roman" w:hAnsi="Times New Roman" w:cs="Times New Roman"/>
        </w:rPr>
        <w:t xml:space="preserve"> the malady he’s treating needs the knife.”</w:t>
      </w:r>
    </w:p>
  </w:footnote>
  <w:footnote w:id="23">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r>
        <w:rPr>
          <w:rFonts w:ascii="Times New Roman" w:hAnsi="Times New Roman" w:cs="Times New Roman"/>
        </w:rPr>
        <w:t xml:space="preserve">Hdt. </w:t>
      </w:r>
      <w:r>
        <w:rPr>
          <w:rFonts w:ascii="Times New Roman" w:hAnsi="Times New Roman" w:cs="Times New Roman"/>
          <w:i/>
        </w:rPr>
        <w:t xml:space="preserve">Hist. </w:t>
      </w:r>
      <w:r>
        <w:rPr>
          <w:rFonts w:ascii="Times New Roman" w:hAnsi="Times New Roman" w:cs="Times New Roman"/>
        </w:rPr>
        <w:t xml:space="preserve">3.129 (Rawlinson, trans.); cf. </w:t>
      </w:r>
      <w:r w:rsidRPr="00A954F1">
        <w:rPr>
          <w:rFonts w:ascii="Times New Roman" w:hAnsi="Times New Roman" w:cs="Times New Roman"/>
        </w:rPr>
        <w:t xml:space="preserve">Hom. </w:t>
      </w:r>
      <w:proofErr w:type="gramStart"/>
      <w:r w:rsidRPr="00A954F1">
        <w:rPr>
          <w:rFonts w:ascii="Times New Roman" w:hAnsi="Times New Roman" w:cs="Times New Roman"/>
          <w:i/>
        </w:rPr>
        <w:t>Od</w:t>
      </w:r>
      <w:proofErr w:type="gramEnd"/>
      <w:r w:rsidRPr="00A954F1">
        <w:rPr>
          <w:rFonts w:ascii="Times New Roman" w:hAnsi="Times New Roman" w:cs="Times New Roman"/>
          <w:i/>
        </w:rPr>
        <w:t xml:space="preserve">. </w:t>
      </w:r>
      <w:r w:rsidRPr="00A954F1">
        <w:rPr>
          <w:rFonts w:ascii="Times New Roman" w:hAnsi="Times New Roman" w:cs="Times New Roman"/>
        </w:rPr>
        <w:t>4.220-31</w:t>
      </w:r>
    </w:p>
  </w:footnote>
  <w:footnote w:id="24">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r>
        <w:rPr>
          <w:rFonts w:ascii="Times New Roman" w:hAnsi="Times New Roman" w:cs="Times New Roman"/>
        </w:rPr>
        <w:t xml:space="preserve">Hdt. </w:t>
      </w:r>
      <w:r w:rsidRPr="00A954F1">
        <w:rPr>
          <w:rFonts w:ascii="Times New Roman" w:hAnsi="Times New Roman" w:cs="Times New Roman"/>
          <w:i/>
        </w:rPr>
        <w:t xml:space="preserve">Hist. </w:t>
      </w:r>
      <w:r>
        <w:rPr>
          <w:rFonts w:ascii="Times New Roman" w:hAnsi="Times New Roman" w:cs="Times New Roman"/>
        </w:rPr>
        <w:t>3.</w:t>
      </w:r>
      <w:r w:rsidRPr="00A954F1">
        <w:rPr>
          <w:rFonts w:ascii="Times New Roman" w:hAnsi="Times New Roman" w:cs="Times New Roman"/>
        </w:rPr>
        <w:t>129-34, regarding Democedes of Croton</w:t>
      </w:r>
    </w:p>
  </w:footnote>
  <w:footnote w:id="25">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Jouanna, 2012: 11-14; cf. Hippoc. </w:t>
      </w:r>
      <w:r w:rsidRPr="00A954F1">
        <w:rPr>
          <w:rFonts w:ascii="Times New Roman" w:hAnsi="Times New Roman" w:cs="Times New Roman"/>
          <w:i/>
        </w:rPr>
        <w:t xml:space="preserve">Anc. Med. </w:t>
      </w:r>
    </w:p>
  </w:footnote>
  <w:footnote w:id="26">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2012: 19-20</w:t>
      </w:r>
    </w:p>
  </w:footnote>
  <w:footnote w:id="27">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van Nuffelen, 2014: 338</w:t>
      </w:r>
    </w:p>
  </w:footnote>
  <w:footnote w:id="28">
    <w:p w:rsidR="005D0A96" w:rsidRPr="00697673" w:rsidRDefault="005D0A96" w:rsidP="00385CDE">
      <w:pPr>
        <w:pStyle w:val="FootnoteText"/>
        <w:rPr>
          <w:rFonts w:ascii="Times New Roman" w:hAnsi="Times New Roman" w:cs="Times New Roman"/>
        </w:rPr>
      </w:pPr>
      <w:r w:rsidRPr="00697673">
        <w:rPr>
          <w:rStyle w:val="FootnoteReference"/>
          <w:rFonts w:ascii="Times New Roman" w:hAnsi="Times New Roman" w:cs="Times New Roman"/>
        </w:rPr>
        <w:footnoteRef/>
      </w:r>
      <w:r w:rsidRPr="00697673">
        <w:rPr>
          <w:rFonts w:ascii="Times New Roman" w:hAnsi="Times New Roman" w:cs="Times New Roman"/>
        </w:rPr>
        <w:t xml:space="preserve"> </w:t>
      </w:r>
      <w:r>
        <w:rPr>
          <w:rFonts w:ascii="Times New Roman" w:hAnsi="Times New Roman" w:cs="Times New Roman"/>
        </w:rPr>
        <w:t>see King, 2006: 16-17</w:t>
      </w:r>
    </w:p>
  </w:footnote>
  <w:footnote w:id="29">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See esp. </w:t>
      </w:r>
      <w:r w:rsidRPr="00A954F1">
        <w:rPr>
          <w:rFonts w:ascii="Times New Roman" w:hAnsi="Times New Roman" w:cs="Times New Roman"/>
          <w:i/>
        </w:rPr>
        <w:t xml:space="preserve">Med. </w:t>
      </w:r>
      <w:r w:rsidRPr="00A954F1">
        <w:rPr>
          <w:rFonts w:ascii="Times New Roman" w:hAnsi="Times New Roman" w:cs="Times New Roman"/>
        </w:rPr>
        <w:t xml:space="preserve">385, 789, 806, 1126, and 1201; cf. Thuc. </w:t>
      </w:r>
      <w:r w:rsidRPr="00A954F1">
        <w:rPr>
          <w:rFonts w:ascii="Times New Roman" w:hAnsi="Times New Roman" w:cs="Times New Roman"/>
          <w:i/>
        </w:rPr>
        <w:t xml:space="preserve">Hist. </w:t>
      </w:r>
      <w:r w:rsidRPr="00A954F1">
        <w:rPr>
          <w:rFonts w:ascii="Times New Roman" w:hAnsi="Times New Roman" w:cs="Times New Roman"/>
        </w:rPr>
        <w:t>1.138.4.1-2 and 2.48.2-4</w:t>
      </w:r>
    </w:p>
  </w:footnote>
  <w:footnote w:id="30">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Eur. </w:t>
      </w:r>
      <w:r w:rsidRPr="00A954F1">
        <w:rPr>
          <w:rFonts w:ascii="Times New Roman" w:hAnsi="Times New Roman" w:cs="Times New Roman"/>
          <w:i/>
        </w:rPr>
        <w:t xml:space="preserve">Trag. </w:t>
      </w:r>
      <w:proofErr w:type="gramStart"/>
      <w:r w:rsidRPr="00A954F1">
        <w:rPr>
          <w:rFonts w:ascii="Times New Roman" w:hAnsi="Times New Roman" w:cs="Times New Roman"/>
          <w:i/>
        </w:rPr>
        <w:t>Frag.</w:t>
      </w:r>
      <w:proofErr w:type="gramEnd"/>
      <w:r w:rsidRPr="00A954F1">
        <w:rPr>
          <w:rFonts w:ascii="Times New Roman" w:hAnsi="Times New Roman" w:cs="Times New Roman"/>
          <w:i/>
        </w:rPr>
        <w:t xml:space="preserve"> </w:t>
      </w:r>
      <w:r w:rsidRPr="00A954F1">
        <w:rPr>
          <w:rFonts w:ascii="Times New Roman" w:hAnsi="Times New Roman" w:cs="Times New Roman"/>
        </w:rPr>
        <w:t xml:space="preserve">288-89 “unmanly remedies,” plus their use by </w:t>
      </w:r>
      <w:r>
        <w:rPr>
          <w:rFonts w:ascii="Times New Roman" w:hAnsi="Times New Roman" w:cs="Times New Roman"/>
        </w:rPr>
        <w:t xml:space="preserve">predominantly </w:t>
      </w:r>
      <w:r w:rsidRPr="00A954F1">
        <w:rPr>
          <w:rFonts w:ascii="Times New Roman" w:hAnsi="Times New Roman" w:cs="Times New Roman"/>
        </w:rPr>
        <w:t xml:space="preserve">female characters in </w:t>
      </w:r>
      <w:r>
        <w:rPr>
          <w:rFonts w:ascii="Times New Roman" w:hAnsi="Times New Roman" w:cs="Times New Roman"/>
        </w:rPr>
        <w:t>other plays</w:t>
      </w:r>
    </w:p>
  </w:footnote>
  <w:footnote w:id="31">
    <w:p w:rsidR="005D0A96" w:rsidRPr="009F32F3"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Collins, 1968: 252</w:t>
      </w:r>
      <w:r>
        <w:rPr>
          <w:rFonts w:ascii="Times New Roman" w:hAnsi="Times New Roman" w:cs="Times New Roman"/>
        </w:rPr>
        <w:t xml:space="preserve">; versus </w:t>
      </w:r>
      <w:r w:rsidRPr="00A954F1">
        <w:rPr>
          <w:rFonts w:ascii="Times New Roman" w:hAnsi="Times New Roman" w:cs="Times New Roman"/>
          <w:lang w:val="el-GR"/>
        </w:rPr>
        <w:t>ἱερεία</w:t>
      </w:r>
      <w:r>
        <w:rPr>
          <w:rFonts w:ascii="Times New Roman" w:hAnsi="Times New Roman" w:cs="Times New Roman"/>
          <w:lang w:val="el-GR"/>
        </w:rPr>
        <w:t>ι</w:t>
      </w:r>
      <w:r>
        <w:rPr>
          <w:rFonts w:ascii="Times New Roman" w:hAnsi="Times New Roman" w:cs="Times New Roman"/>
        </w:rPr>
        <w:t xml:space="preserve"> at 266-69</w:t>
      </w:r>
    </w:p>
  </w:footnote>
  <w:footnote w:id="32">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Aristoph.</w:t>
      </w:r>
      <w:proofErr w:type="gramEnd"/>
      <w:r w:rsidRPr="00A954F1">
        <w:rPr>
          <w:rFonts w:ascii="Times New Roman" w:hAnsi="Times New Roman" w:cs="Times New Roman"/>
        </w:rPr>
        <w:t xml:space="preserve"> </w:t>
      </w:r>
      <w:r w:rsidRPr="00A954F1">
        <w:rPr>
          <w:rFonts w:ascii="Times New Roman" w:hAnsi="Times New Roman" w:cs="Times New Roman"/>
          <w:i/>
        </w:rPr>
        <w:t xml:space="preserve">Clouds </w:t>
      </w:r>
      <w:r w:rsidRPr="00A954F1">
        <w:rPr>
          <w:rFonts w:ascii="Times New Roman" w:hAnsi="Times New Roman" w:cs="Times New Roman"/>
        </w:rPr>
        <w:t>749-58</w:t>
      </w:r>
    </w:p>
  </w:footnote>
  <w:footnote w:id="33">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Soph. </w:t>
      </w:r>
      <w:r w:rsidRPr="00A954F1">
        <w:rPr>
          <w:rFonts w:ascii="Times New Roman" w:hAnsi="Times New Roman" w:cs="Times New Roman"/>
          <w:i/>
        </w:rPr>
        <w:t xml:space="preserve">Trach. </w:t>
      </w:r>
      <w:r w:rsidRPr="00A954F1">
        <w:rPr>
          <w:rFonts w:ascii="Times New Roman" w:hAnsi="Times New Roman" w:cs="Times New Roman"/>
        </w:rPr>
        <w:t xml:space="preserve">584-85, 669-70, and 771; cf. Hor. </w:t>
      </w:r>
      <w:r w:rsidRPr="00A954F1">
        <w:rPr>
          <w:rFonts w:ascii="Times New Roman" w:hAnsi="Times New Roman" w:cs="Times New Roman"/>
          <w:i/>
        </w:rPr>
        <w:t xml:space="preserve">Epod. </w:t>
      </w:r>
      <w:r w:rsidRPr="00A954F1">
        <w:rPr>
          <w:rFonts w:ascii="Times New Roman" w:hAnsi="Times New Roman" w:cs="Times New Roman"/>
        </w:rPr>
        <w:t xml:space="preserve">5 and </w:t>
      </w:r>
      <w:proofErr w:type="gramStart"/>
      <w:r w:rsidRPr="00A954F1">
        <w:rPr>
          <w:rFonts w:ascii="Times New Roman" w:hAnsi="Times New Roman" w:cs="Times New Roman"/>
          <w:i/>
        </w:rPr>
        <w:t>Od</w:t>
      </w:r>
      <w:proofErr w:type="gramEnd"/>
      <w:r w:rsidRPr="00A954F1">
        <w:rPr>
          <w:rFonts w:ascii="Times New Roman" w:hAnsi="Times New Roman" w:cs="Times New Roman"/>
          <w:i/>
        </w:rPr>
        <w:t xml:space="preserve">. </w:t>
      </w:r>
      <w:r w:rsidRPr="00A954F1">
        <w:rPr>
          <w:rFonts w:ascii="Times New Roman" w:hAnsi="Times New Roman" w:cs="Times New Roman"/>
        </w:rPr>
        <w:t>2.8, and Aelian (see Collins, 1968: 254)</w:t>
      </w:r>
    </w:p>
  </w:footnote>
  <w:footnote w:id="34">
    <w:p w:rsidR="005D0A96" w:rsidRPr="00440E92" w:rsidRDefault="005D0A96" w:rsidP="00385CDE">
      <w:pPr>
        <w:pStyle w:val="FootnoteText"/>
      </w:pPr>
      <w:r w:rsidRPr="00A954F1">
        <w:rPr>
          <w:rStyle w:val="FootnoteReference"/>
          <w:rFonts w:ascii="Times New Roman" w:hAnsi="Times New Roman" w:cs="Times New Roman"/>
        </w:rPr>
        <w:footnoteRef/>
      </w:r>
      <w:r w:rsidRPr="00A954F1">
        <w:rPr>
          <w:rFonts w:ascii="Times New Roman" w:hAnsi="Times New Roman" w:cs="Times New Roman"/>
        </w:rPr>
        <w:t xml:space="preserve"> Hor. </w:t>
      </w:r>
      <w:r w:rsidRPr="00A954F1">
        <w:rPr>
          <w:rFonts w:ascii="Times New Roman" w:hAnsi="Times New Roman" w:cs="Times New Roman"/>
          <w:i/>
        </w:rPr>
        <w:t xml:space="preserve">Epod. </w:t>
      </w:r>
      <w:r w:rsidRPr="00A954F1">
        <w:rPr>
          <w:rFonts w:ascii="Times New Roman" w:hAnsi="Times New Roman" w:cs="Times New Roman"/>
        </w:rPr>
        <w:t>5.68-79</w:t>
      </w:r>
    </w:p>
  </w:footnote>
  <w:footnote w:id="35">
    <w:p w:rsidR="005D0A96" w:rsidRPr="00A954F1"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A954F1">
        <w:rPr>
          <w:rFonts w:ascii="Times New Roman" w:hAnsi="Times New Roman" w:cs="Times New Roman"/>
          <w:lang w:val="es-ES"/>
        </w:rPr>
        <w:t xml:space="preserve"> Garland, 2013: 171; cf. van der Lugt, 2013: 308-09</w:t>
      </w:r>
    </w:p>
  </w:footnote>
  <w:footnote w:id="36">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Collins, 1968: 259, 263</w:t>
      </w:r>
      <w:r>
        <w:rPr>
          <w:rFonts w:ascii="Times New Roman" w:hAnsi="Times New Roman" w:cs="Times New Roman"/>
        </w:rPr>
        <w:t>; cf. King, 2006: 16</w:t>
      </w:r>
    </w:p>
  </w:footnote>
  <w:footnote w:id="37">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Per Collins (1968: 265), the pun is the resemblance of “scapegoat” to “sorcerer.”</w:t>
      </w:r>
    </w:p>
  </w:footnote>
  <w:footnote w:id="38">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w:t>
      </w:r>
      <w:r w:rsidRPr="00632392">
        <w:rPr>
          <w:rFonts w:ascii="Times New Roman" w:hAnsi="Times New Roman" w:cs="Times New Roman"/>
          <w:i/>
          <w:lang w:val="es-ES"/>
        </w:rPr>
        <w:t xml:space="preserve">Od. </w:t>
      </w:r>
      <w:r w:rsidRPr="00632392">
        <w:rPr>
          <w:rFonts w:ascii="Times New Roman" w:hAnsi="Times New Roman" w:cs="Times New Roman"/>
          <w:lang w:val="es-ES"/>
        </w:rPr>
        <w:t>19.457</w:t>
      </w:r>
    </w:p>
  </w:footnote>
  <w:footnote w:id="39">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w:t>
      </w:r>
      <w:r w:rsidRPr="00632392">
        <w:rPr>
          <w:rFonts w:ascii="Times New Roman" w:hAnsi="Times New Roman" w:cs="Times New Roman"/>
          <w:i/>
          <w:lang w:val="es-ES"/>
        </w:rPr>
        <w:t xml:space="preserve">Lyr. Pyth. </w:t>
      </w:r>
      <w:r w:rsidRPr="00632392">
        <w:rPr>
          <w:rFonts w:ascii="Times New Roman" w:hAnsi="Times New Roman" w:cs="Times New Roman"/>
          <w:lang w:val="es-ES"/>
        </w:rPr>
        <w:t>52-54</w:t>
      </w:r>
    </w:p>
  </w:footnote>
  <w:footnote w:id="40">
    <w:p w:rsidR="005D0A96" w:rsidRPr="00A954F1"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A954F1">
        <w:rPr>
          <w:rFonts w:ascii="Times New Roman" w:hAnsi="Times New Roman" w:cs="Times New Roman"/>
          <w:lang w:val="es-ES"/>
        </w:rPr>
        <w:t xml:space="preserve"> van Nuffelen, 2014: 342-44; cf. Gal. </w:t>
      </w:r>
      <w:r w:rsidRPr="00A954F1">
        <w:rPr>
          <w:rFonts w:ascii="Times New Roman" w:hAnsi="Times New Roman" w:cs="Times New Roman"/>
          <w:i/>
          <w:lang w:val="es-ES"/>
        </w:rPr>
        <w:t xml:space="preserve">Praen. </w:t>
      </w:r>
      <w:r w:rsidRPr="00A954F1">
        <w:rPr>
          <w:rFonts w:ascii="Times New Roman" w:hAnsi="Times New Roman" w:cs="Times New Roman"/>
          <w:lang w:val="es-ES"/>
        </w:rPr>
        <w:t>1.6, 7.8</w:t>
      </w:r>
    </w:p>
  </w:footnote>
  <w:footnote w:id="41">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van Nuffelen, 2014: 338</w:t>
      </w:r>
    </w:p>
  </w:footnote>
  <w:footnote w:id="42">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ibid. pp. 345-46</w:t>
      </w:r>
    </w:p>
  </w:footnote>
  <w:footnote w:id="43">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w:t>
      </w:r>
      <w:r>
        <w:rPr>
          <w:rFonts w:ascii="Times New Roman" w:hAnsi="Times New Roman" w:cs="Times New Roman"/>
          <w:lang w:val="es-ES"/>
        </w:rPr>
        <w:t xml:space="preserve">1-2; cf. </w:t>
      </w:r>
      <w:r w:rsidRPr="00632392">
        <w:rPr>
          <w:rFonts w:ascii="Times New Roman" w:hAnsi="Times New Roman" w:cs="Times New Roman"/>
          <w:lang w:val="es-ES"/>
        </w:rPr>
        <w:t>Garland, 2013: 171, 175</w:t>
      </w:r>
    </w:p>
  </w:footnote>
  <w:footnote w:id="44">
    <w:p w:rsidR="005D0A96" w:rsidRPr="009B7C03" w:rsidRDefault="005D0A96" w:rsidP="00385CDE">
      <w:pPr>
        <w:pStyle w:val="FootnoteText"/>
        <w:rPr>
          <w:rFonts w:ascii="Times New Roman" w:hAnsi="Times New Roman" w:cs="Times New Roman"/>
        </w:rPr>
      </w:pPr>
      <w:r w:rsidRPr="009B7C03">
        <w:rPr>
          <w:rStyle w:val="FootnoteReference"/>
          <w:rFonts w:ascii="Times New Roman" w:hAnsi="Times New Roman" w:cs="Times New Roman"/>
        </w:rPr>
        <w:footnoteRef/>
      </w:r>
      <w:r w:rsidRPr="009B7C03">
        <w:rPr>
          <w:rFonts w:ascii="Times New Roman" w:hAnsi="Times New Roman" w:cs="Times New Roman"/>
        </w:rPr>
        <w:t xml:space="preserve"> ibid. 19-20; translations vary (e.g. </w:t>
      </w:r>
      <w:r>
        <w:rPr>
          <w:rFonts w:ascii="Times New Roman" w:hAnsi="Times New Roman" w:cs="Times New Roman"/>
        </w:rPr>
        <w:t>Longrigg, 1998: 101), and there is speculation over reference to assisted suicide, euthanasia, or simply precision with toxic medicinal herbs (King, 2006: 14, et al.).</w:t>
      </w:r>
    </w:p>
  </w:footnote>
  <w:footnote w:id="45">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i/>
        </w:rPr>
        <w:t>Comm. on Hipp.</w:t>
      </w:r>
      <w:proofErr w:type="gramEnd"/>
      <w:r w:rsidRPr="00A954F1">
        <w:rPr>
          <w:rFonts w:ascii="Times New Roman" w:hAnsi="Times New Roman" w:cs="Times New Roman"/>
          <w:i/>
        </w:rPr>
        <w:t xml:space="preserve"> Oath </w:t>
      </w:r>
      <w:r w:rsidRPr="00A954F1">
        <w:rPr>
          <w:rFonts w:ascii="Times New Roman" w:hAnsi="Times New Roman" w:cs="Times New Roman"/>
        </w:rPr>
        <w:t>3; cf. ibid. pp. 348-50</w:t>
      </w:r>
    </w:p>
  </w:footnote>
  <w:footnote w:id="46">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e.g. </w:t>
      </w:r>
      <w:r w:rsidRPr="00632392">
        <w:rPr>
          <w:rFonts w:ascii="Times New Roman" w:hAnsi="Times New Roman" w:cs="Times New Roman"/>
          <w:i/>
          <w:lang w:val="es-ES"/>
        </w:rPr>
        <w:t xml:space="preserve">Suppl. Mag. </w:t>
      </w:r>
      <w:r w:rsidRPr="00632392">
        <w:rPr>
          <w:rFonts w:ascii="Times New Roman" w:hAnsi="Times New Roman" w:cs="Times New Roman"/>
          <w:lang w:val="es-ES"/>
        </w:rPr>
        <w:t>2.94</w:t>
      </w:r>
    </w:p>
  </w:footnote>
  <w:footnote w:id="47">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de Haro Sánchez, 2015: 186-89</w:t>
      </w:r>
    </w:p>
  </w:footnote>
  <w:footnote w:id="48">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Hippoc.</w:t>
      </w:r>
      <w:proofErr w:type="gramEnd"/>
      <w:r w:rsidRPr="00A954F1">
        <w:rPr>
          <w:rFonts w:ascii="Times New Roman" w:hAnsi="Times New Roman" w:cs="Times New Roman"/>
        </w:rPr>
        <w:t xml:space="preserve"> </w:t>
      </w:r>
      <w:proofErr w:type="gramStart"/>
      <w:r w:rsidRPr="00A954F1">
        <w:rPr>
          <w:rFonts w:ascii="Times New Roman" w:hAnsi="Times New Roman" w:cs="Times New Roman"/>
          <w:i/>
        </w:rPr>
        <w:t>Sac.</w:t>
      </w:r>
      <w:proofErr w:type="gramEnd"/>
      <w:r w:rsidRPr="00A954F1">
        <w:rPr>
          <w:rFonts w:ascii="Times New Roman" w:hAnsi="Times New Roman" w:cs="Times New Roman"/>
          <w:i/>
        </w:rPr>
        <w:t xml:space="preserve"> Dis. </w:t>
      </w:r>
      <w:r w:rsidRPr="00A954F1">
        <w:rPr>
          <w:rFonts w:ascii="Times New Roman" w:hAnsi="Times New Roman" w:cs="Times New Roman"/>
        </w:rPr>
        <w:t>1.6.354</w:t>
      </w:r>
    </w:p>
  </w:footnote>
  <w:footnote w:id="49">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1998: 167</w:t>
      </w:r>
    </w:p>
  </w:footnote>
  <w:footnote w:id="50">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r w:rsidRPr="00A954F1">
        <w:rPr>
          <w:rFonts w:ascii="Times New Roman" w:hAnsi="Times New Roman" w:cs="Times New Roman"/>
          <w:i/>
        </w:rPr>
        <w:t xml:space="preserve">HP </w:t>
      </w:r>
      <w:r w:rsidRPr="00A954F1">
        <w:rPr>
          <w:rFonts w:ascii="Times New Roman" w:hAnsi="Times New Roman" w:cs="Times New Roman"/>
        </w:rPr>
        <w:t>9.10.1-4</w:t>
      </w:r>
    </w:p>
  </w:footnote>
  <w:footnote w:id="51">
    <w:p w:rsidR="005D0A96" w:rsidRPr="00DD2F9F" w:rsidRDefault="005D0A96" w:rsidP="00385CDE">
      <w:pPr>
        <w:pStyle w:val="FootnoteText"/>
        <w:rPr>
          <w:rFonts w:ascii="Times New Roman" w:hAnsi="Times New Roman" w:cs="Times New Roman"/>
        </w:rPr>
      </w:pPr>
      <w:r w:rsidRPr="00DD2F9F">
        <w:rPr>
          <w:rStyle w:val="FootnoteReference"/>
          <w:rFonts w:ascii="Times New Roman" w:hAnsi="Times New Roman" w:cs="Times New Roman"/>
        </w:rPr>
        <w:footnoteRef/>
      </w:r>
      <w:r w:rsidRPr="00DD2F9F">
        <w:rPr>
          <w:rFonts w:ascii="Times New Roman" w:hAnsi="Times New Roman" w:cs="Times New Roman"/>
        </w:rPr>
        <w:t xml:space="preserve"> </w:t>
      </w:r>
      <w:r>
        <w:rPr>
          <w:rFonts w:ascii="Times New Roman" w:hAnsi="Times New Roman" w:cs="Times New Roman"/>
        </w:rPr>
        <w:t>ibid. 9.8.8.11</w:t>
      </w:r>
    </w:p>
  </w:footnote>
  <w:footnote w:id="52">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Longrigg, 1998: 31</w:t>
      </w:r>
    </w:p>
  </w:footnote>
  <w:footnote w:id="53">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Hippoc.</w:t>
      </w:r>
      <w:proofErr w:type="gramEnd"/>
      <w:r w:rsidRPr="00A954F1">
        <w:rPr>
          <w:rFonts w:ascii="Times New Roman" w:hAnsi="Times New Roman" w:cs="Times New Roman"/>
        </w:rPr>
        <w:t xml:space="preserve"> </w:t>
      </w:r>
      <w:r w:rsidRPr="00A954F1">
        <w:rPr>
          <w:rFonts w:ascii="Times New Roman" w:hAnsi="Times New Roman" w:cs="Times New Roman"/>
          <w:i/>
        </w:rPr>
        <w:t xml:space="preserve">Dis. </w:t>
      </w:r>
      <w:r w:rsidRPr="00A954F1">
        <w:rPr>
          <w:rFonts w:ascii="Times New Roman" w:hAnsi="Times New Roman" w:cs="Times New Roman"/>
        </w:rPr>
        <w:t xml:space="preserve">2 and </w:t>
      </w:r>
      <w:r w:rsidRPr="00A954F1">
        <w:rPr>
          <w:rFonts w:ascii="Times New Roman" w:hAnsi="Times New Roman" w:cs="Times New Roman"/>
          <w:i/>
        </w:rPr>
        <w:t xml:space="preserve">Anc. Med. </w:t>
      </w:r>
      <w:r w:rsidRPr="00A954F1">
        <w:rPr>
          <w:rFonts w:ascii="Times New Roman" w:hAnsi="Times New Roman" w:cs="Times New Roman"/>
        </w:rPr>
        <w:t xml:space="preserve">9; cf. </w:t>
      </w:r>
      <w:r w:rsidRPr="00A954F1">
        <w:rPr>
          <w:rFonts w:ascii="Times New Roman" w:hAnsi="Times New Roman" w:cs="Times New Roman"/>
          <w:i/>
        </w:rPr>
        <w:t xml:space="preserve">Anon. Lond. </w:t>
      </w:r>
      <w:r w:rsidRPr="00A954F1">
        <w:rPr>
          <w:rFonts w:ascii="Times New Roman" w:hAnsi="Times New Roman" w:cs="Times New Roman"/>
        </w:rPr>
        <w:t>5.35-7.40</w:t>
      </w:r>
    </w:p>
  </w:footnote>
  <w:footnote w:id="54">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r w:rsidRPr="00A954F1">
        <w:rPr>
          <w:rFonts w:ascii="Times New Roman" w:hAnsi="Times New Roman" w:cs="Times New Roman"/>
          <w:i/>
        </w:rPr>
        <w:t xml:space="preserve">De Plantis </w:t>
      </w:r>
      <w:r w:rsidRPr="00A954F1">
        <w:rPr>
          <w:rFonts w:ascii="Times New Roman" w:hAnsi="Times New Roman" w:cs="Times New Roman"/>
        </w:rPr>
        <w:t>1.3.2</w:t>
      </w:r>
    </w:p>
  </w:footnote>
  <w:footnote w:id="55">
    <w:p w:rsidR="005D0A96" w:rsidRPr="00363586" w:rsidRDefault="005D0A96" w:rsidP="00385CDE">
      <w:pPr>
        <w:pStyle w:val="FootnoteText"/>
      </w:pPr>
      <w:r w:rsidRPr="00A954F1">
        <w:rPr>
          <w:rStyle w:val="FootnoteReference"/>
          <w:rFonts w:ascii="Times New Roman" w:hAnsi="Times New Roman" w:cs="Times New Roman"/>
        </w:rPr>
        <w:footnoteRef/>
      </w:r>
      <w:r w:rsidRPr="00A954F1">
        <w:rPr>
          <w:rFonts w:ascii="Times New Roman" w:hAnsi="Times New Roman" w:cs="Times New Roman"/>
        </w:rPr>
        <w:t xml:space="preserve"> Celsus </w:t>
      </w:r>
      <w:r w:rsidRPr="00A954F1">
        <w:rPr>
          <w:rFonts w:ascii="Times New Roman" w:hAnsi="Times New Roman" w:cs="Times New Roman"/>
          <w:i/>
        </w:rPr>
        <w:t xml:space="preserve">On Med. </w:t>
      </w:r>
      <w:r w:rsidRPr="00A954F1">
        <w:rPr>
          <w:rFonts w:ascii="Times New Roman" w:hAnsi="Times New Roman" w:cs="Times New Roman"/>
        </w:rPr>
        <w:t>3.9.2</w:t>
      </w:r>
    </w:p>
  </w:footnote>
  <w:footnote w:id="56">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Hip</w:t>
      </w:r>
      <w:r>
        <w:rPr>
          <w:rFonts w:ascii="Times New Roman" w:hAnsi="Times New Roman" w:cs="Times New Roman"/>
        </w:rPr>
        <w:t>p</w:t>
      </w:r>
      <w:r w:rsidRPr="00A954F1">
        <w:rPr>
          <w:rFonts w:ascii="Times New Roman" w:hAnsi="Times New Roman" w:cs="Times New Roman"/>
        </w:rPr>
        <w:t>oc.</w:t>
      </w:r>
      <w:proofErr w:type="gramEnd"/>
      <w:r w:rsidRPr="00A954F1">
        <w:rPr>
          <w:rFonts w:ascii="Times New Roman" w:hAnsi="Times New Roman" w:cs="Times New Roman"/>
        </w:rPr>
        <w:t xml:space="preserve"> </w:t>
      </w:r>
      <w:proofErr w:type="gramStart"/>
      <w:r w:rsidRPr="00A954F1">
        <w:rPr>
          <w:rFonts w:ascii="Times New Roman" w:hAnsi="Times New Roman" w:cs="Times New Roman"/>
          <w:i/>
        </w:rPr>
        <w:t>Reg. in Acu.</w:t>
      </w:r>
      <w:proofErr w:type="gramEnd"/>
      <w:r w:rsidRPr="00A954F1">
        <w:rPr>
          <w:rFonts w:ascii="Times New Roman" w:hAnsi="Times New Roman" w:cs="Times New Roman"/>
          <w:i/>
        </w:rPr>
        <w:t xml:space="preserve"> Dis. </w:t>
      </w:r>
      <w:r w:rsidRPr="00A954F1">
        <w:rPr>
          <w:rFonts w:ascii="Times New Roman" w:hAnsi="Times New Roman" w:cs="Times New Roman"/>
        </w:rPr>
        <w:t xml:space="preserve">1 and </w:t>
      </w:r>
      <w:r w:rsidRPr="00A954F1">
        <w:rPr>
          <w:rFonts w:ascii="Times New Roman" w:hAnsi="Times New Roman" w:cs="Times New Roman"/>
          <w:i/>
        </w:rPr>
        <w:t xml:space="preserve">Reg. </w:t>
      </w:r>
      <w:r w:rsidRPr="00A954F1">
        <w:rPr>
          <w:rFonts w:ascii="Times New Roman" w:hAnsi="Times New Roman" w:cs="Times New Roman"/>
        </w:rPr>
        <w:t>1.2</w:t>
      </w:r>
    </w:p>
  </w:footnote>
  <w:footnote w:id="57">
    <w:p w:rsidR="005D0A96" w:rsidRPr="00A954F1" w:rsidRDefault="005D0A96" w:rsidP="00385CDE">
      <w:pPr>
        <w:pStyle w:val="FootnoteText"/>
        <w:rPr>
          <w:rFonts w:ascii="Times New Roman" w:hAnsi="Times New Roman" w:cs="Times New Roman"/>
          <w:i/>
        </w:rPr>
      </w:pPr>
      <w:r w:rsidRPr="00A954F1">
        <w:rPr>
          <w:rStyle w:val="FootnoteReference"/>
          <w:rFonts w:ascii="Times New Roman" w:hAnsi="Times New Roman" w:cs="Times New Roman"/>
        </w:rPr>
        <w:footnoteRef/>
      </w:r>
      <w:r w:rsidRPr="00A954F1">
        <w:rPr>
          <w:rFonts w:ascii="Times New Roman" w:hAnsi="Times New Roman" w:cs="Times New Roman"/>
        </w:rPr>
        <w:t xml:space="preserve"> Gal. </w:t>
      </w:r>
      <w:r w:rsidRPr="00A954F1">
        <w:rPr>
          <w:rFonts w:ascii="Times New Roman" w:hAnsi="Times New Roman" w:cs="Times New Roman"/>
          <w:i/>
        </w:rPr>
        <w:t>On Hab.</w:t>
      </w:r>
      <w:r w:rsidRPr="00A954F1">
        <w:rPr>
          <w:rFonts w:ascii="Times New Roman" w:hAnsi="Times New Roman" w:cs="Times New Roman"/>
        </w:rPr>
        <w:t xml:space="preserve">; cf. Erasis. </w:t>
      </w:r>
      <w:proofErr w:type="gramStart"/>
      <w:r w:rsidRPr="00A954F1">
        <w:rPr>
          <w:rFonts w:ascii="Times New Roman" w:hAnsi="Times New Roman" w:cs="Times New Roman"/>
          <w:i/>
        </w:rPr>
        <w:t>On Par.</w:t>
      </w:r>
      <w:proofErr w:type="gramEnd"/>
    </w:p>
  </w:footnote>
  <w:footnote w:id="58">
    <w:p w:rsidR="005D0A96" w:rsidRPr="00363586" w:rsidRDefault="005D0A96" w:rsidP="00385CDE">
      <w:pPr>
        <w:pStyle w:val="FootnoteText"/>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r w:rsidRPr="00A954F1">
        <w:rPr>
          <w:rFonts w:ascii="Times New Roman" w:hAnsi="Times New Roman" w:cs="Times New Roman"/>
          <w:i/>
        </w:rPr>
        <w:t xml:space="preserve">DMM </w:t>
      </w:r>
      <w:r w:rsidRPr="00A954F1">
        <w:rPr>
          <w:rFonts w:ascii="Times New Roman" w:hAnsi="Times New Roman" w:cs="Times New Roman"/>
        </w:rPr>
        <w:t>1.116</w:t>
      </w:r>
    </w:p>
  </w:footnote>
  <w:footnote w:id="59">
    <w:p w:rsidR="005D0A96" w:rsidRPr="00977EA4" w:rsidRDefault="005D0A96" w:rsidP="00385CDE">
      <w:pPr>
        <w:pStyle w:val="FootnoteText"/>
        <w:rPr>
          <w:rFonts w:ascii="Times New Roman" w:hAnsi="Times New Roman" w:cs="Times New Roman"/>
        </w:rPr>
      </w:pPr>
      <w:r w:rsidRPr="004C3C18">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sidRPr="00977EA4">
        <w:rPr>
          <w:rFonts w:ascii="Times New Roman" w:hAnsi="Times New Roman" w:cs="Times New Roman"/>
        </w:rPr>
        <w:t xml:space="preserve"> </w:t>
      </w:r>
      <w:r w:rsidRPr="00977EA4">
        <w:rPr>
          <w:rFonts w:ascii="Times New Roman" w:hAnsi="Times New Roman" w:cs="Times New Roman"/>
          <w:i/>
        </w:rPr>
        <w:t xml:space="preserve">DMM </w:t>
      </w:r>
      <w:r w:rsidRPr="00977EA4">
        <w:rPr>
          <w:rFonts w:ascii="Times New Roman" w:hAnsi="Times New Roman" w:cs="Times New Roman"/>
        </w:rPr>
        <w:t>4.70</w:t>
      </w:r>
    </w:p>
  </w:footnote>
  <w:footnote w:id="60">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See van Nuffelen, 2013: 350.</w:t>
      </w:r>
    </w:p>
  </w:footnote>
  <w:footnote w:id="61">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See Temkin, 1953: 213.</w:t>
      </w:r>
    </w:p>
  </w:footnote>
  <w:footnote w:id="62">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r w:rsidRPr="00A954F1">
        <w:rPr>
          <w:rFonts w:ascii="Times New Roman" w:hAnsi="Times New Roman" w:cs="Times New Roman"/>
          <w:i/>
        </w:rPr>
        <w:t xml:space="preserve">Anc. Med. </w:t>
      </w:r>
      <w:r w:rsidRPr="00A954F1">
        <w:rPr>
          <w:rFonts w:ascii="Times New Roman" w:hAnsi="Times New Roman" w:cs="Times New Roman"/>
        </w:rPr>
        <w:t>1-2</w:t>
      </w:r>
    </w:p>
  </w:footnote>
  <w:footnote w:id="63">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r w:rsidRPr="00A954F1">
        <w:rPr>
          <w:rFonts w:ascii="Times New Roman" w:hAnsi="Times New Roman" w:cs="Times New Roman"/>
          <w:i/>
        </w:rPr>
        <w:t xml:space="preserve">De Plantis </w:t>
      </w:r>
      <w:r w:rsidRPr="00A954F1">
        <w:rPr>
          <w:rFonts w:ascii="Times New Roman" w:hAnsi="Times New Roman" w:cs="Times New Roman"/>
        </w:rPr>
        <w:t>1.3.3</w:t>
      </w:r>
    </w:p>
  </w:footnote>
  <w:footnote w:id="64">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r w:rsidRPr="00A954F1">
        <w:rPr>
          <w:rFonts w:ascii="Times New Roman" w:hAnsi="Times New Roman" w:cs="Times New Roman"/>
          <w:i/>
        </w:rPr>
        <w:t xml:space="preserve">HP </w:t>
      </w:r>
      <w:r w:rsidRPr="00A954F1">
        <w:rPr>
          <w:rFonts w:ascii="Times New Roman" w:hAnsi="Times New Roman" w:cs="Times New Roman"/>
        </w:rPr>
        <w:t>9.10.1-4 breaks “herbs” down into juices, fruits, leaves, and roots.</w:t>
      </w:r>
    </w:p>
  </w:footnote>
  <w:footnote w:id="65">
    <w:p w:rsidR="005D0A96" w:rsidRPr="008547A8" w:rsidRDefault="005D0A96" w:rsidP="00385CDE">
      <w:pPr>
        <w:pStyle w:val="FootnoteText"/>
      </w:pPr>
      <w:r w:rsidRPr="00A954F1">
        <w:rPr>
          <w:rStyle w:val="FootnoteReference"/>
          <w:rFonts w:ascii="Times New Roman" w:hAnsi="Times New Roman" w:cs="Times New Roman"/>
        </w:rPr>
        <w:footnoteRef/>
      </w:r>
      <w:r w:rsidRPr="00A954F1">
        <w:rPr>
          <w:rFonts w:ascii="Times New Roman" w:hAnsi="Times New Roman" w:cs="Times New Roman"/>
        </w:rPr>
        <w:t xml:space="preserve"> Regarding Chapter 2’s case-study, see moly (Hom. </w:t>
      </w:r>
      <w:proofErr w:type="gramStart"/>
      <w:r w:rsidRPr="00A954F1">
        <w:rPr>
          <w:rFonts w:ascii="Times New Roman" w:hAnsi="Times New Roman" w:cs="Times New Roman"/>
          <w:i/>
        </w:rPr>
        <w:t>Od</w:t>
      </w:r>
      <w:proofErr w:type="gramEnd"/>
      <w:r w:rsidRPr="00A954F1">
        <w:rPr>
          <w:rFonts w:ascii="Times New Roman" w:hAnsi="Times New Roman" w:cs="Times New Roman"/>
          <w:i/>
        </w:rPr>
        <w:t xml:space="preserve">. </w:t>
      </w:r>
      <w:r w:rsidRPr="00A954F1">
        <w:rPr>
          <w:rFonts w:ascii="Times New Roman" w:hAnsi="Times New Roman" w:cs="Times New Roman"/>
        </w:rPr>
        <w:t xml:space="preserve">10.236-94) and reeds / fennel stalks (Eur. </w:t>
      </w:r>
      <w:r w:rsidRPr="00A954F1">
        <w:rPr>
          <w:rFonts w:ascii="Times New Roman" w:hAnsi="Times New Roman" w:cs="Times New Roman"/>
          <w:i/>
        </w:rPr>
        <w:t xml:space="preserve">Hel. </w:t>
      </w:r>
      <w:r w:rsidRPr="00A954F1">
        <w:rPr>
          <w:rFonts w:ascii="Times New Roman" w:hAnsi="Times New Roman" w:cs="Times New Roman"/>
        </w:rPr>
        <w:t>1360).</w:t>
      </w:r>
    </w:p>
  </w:footnote>
  <w:footnote w:id="66">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King, 2006: 51, 55</w:t>
      </w:r>
    </w:p>
  </w:footnote>
  <w:footnote w:id="67">
    <w:p w:rsidR="005D0A96" w:rsidRPr="00385CDE"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385CDE">
        <w:rPr>
          <w:rFonts w:ascii="Times New Roman" w:hAnsi="Times New Roman" w:cs="Times New Roman"/>
        </w:rPr>
        <w:t xml:space="preserve"> van der Lugt, 2013: 307-08</w:t>
      </w:r>
    </w:p>
  </w:footnote>
  <w:footnote w:id="68">
    <w:p w:rsidR="005D0A96" w:rsidRPr="00385CDE"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385CDE">
        <w:rPr>
          <w:rFonts w:ascii="Times New Roman" w:hAnsi="Times New Roman" w:cs="Times New Roman"/>
        </w:rPr>
        <w:t xml:space="preserve"> Chaucer </w:t>
      </w:r>
      <w:r w:rsidRPr="00385CDE">
        <w:rPr>
          <w:rFonts w:ascii="Times New Roman" w:hAnsi="Times New Roman" w:cs="Times New Roman"/>
          <w:i/>
        </w:rPr>
        <w:t xml:space="preserve">The Canterbury Tales </w:t>
      </w:r>
      <w:r w:rsidRPr="00385CDE">
        <w:rPr>
          <w:rFonts w:ascii="Times New Roman" w:hAnsi="Times New Roman" w:cs="Times New Roman"/>
        </w:rPr>
        <w:t>1387-1400</w:t>
      </w:r>
    </w:p>
  </w:footnote>
  <w:footnote w:id="69">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r w:rsidRPr="00A954F1">
        <w:rPr>
          <w:rFonts w:ascii="Times New Roman" w:hAnsi="Times New Roman" w:cs="Times New Roman"/>
          <w:i/>
        </w:rPr>
        <w:t xml:space="preserve">Deutsche Kalendar, </w:t>
      </w:r>
      <w:r w:rsidRPr="00A954F1">
        <w:rPr>
          <w:rFonts w:ascii="Times New Roman" w:hAnsi="Times New Roman" w:cs="Times New Roman"/>
        </w:rPr>
        <w:t>Elyot</w:t>
      </w:r>
      <w:r>
        <w:rPr>
          <w:rFonts w:ascii="Times New Roman" w:hAnsi="Times New Roman" w:cs="Times New Roman"/>
        </w:rPr>
        <w:t xml:space="preserve"> (1541),</w:t>
      </w:r>
      <w:r w:rsidRPr="00A954F1">
        <w:rPr>
          <w:rFonts w:ascii="Times New Roman" w:hAnsi="Times New Roman" w:cs="Times New Roman"/>
        </w:rPr>
        <w:t xml:space="preserve"> Peacham </w:t>
      </w:r>
      <w:r>
        <w:rPr>
          <w:rFonts w:ascii="Times New Roman" w:hAnsi="Times New Roman" w:cs="Times New Roman"/>
        </w:rPr>
        <w:t xml:space="preserve">(1612), </w:t>
      </w:r>
      <w:r w:rsidRPr="00A954F1">
        <w:rPr>
          <w:rFonts w:ascii="Times New Roman" w:hAnsi="Times New Roman" w:cs="Times New Roman"/>
        </w:rPr>
        <w:t xml:space="preserve">and Walkington </w:t>
      </w:r>
      <w:r>
        <w:rPr>
          <w:rFonts w:ascii="Times New Roman" w:hAnsi="Times New Roman" w:cs="Times New Roman"/>
        </w:rPr>
        <w:t xml:space="preserve">(1639); </w:t>
      </w:r>
      <w:r w:rsidRPr="00A954F1">
        <w:rPr>
          <w:rFonts w:ascii="Times New Roman" w:hAnsi="Times New Roman" w:cs="Times New Roman"/>
        </w:rPr>
        <w:t>cf. Hendrickson, 1969: 62 and Curry, 1926: 6</w:t>
      </w:r>
    </w:p>
  </w:footnote>
  <w:footnote w:id="70">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w:t>
      </w:r>
      <w:proofErr w:type="gramStart"/>
      <w:r w:rsidRPr="00A954F1">
        <w:rPr>
          <w:rFonts w:ascii="Times New Roman" w:hAnsi="Times New Roman" w:cs="Times New Roman"/>
        </w:rPr>
        <w:t>e.g</w:t>
      </w:r>
      <w:proofErr w:type="gramEnd"/>
      <w:r w:rsidRPr="00A954F1">
        <w:rPr>
          <w:rFonts w:ascii="Times New Roman" w:hAnsi="Times New Roman" w:cs="Times New Roman"/>
        </w:rPr>
        <w:t xml:space="preserve">. Urso </w:t>
      </w:r>
      <w:r w:rsidRPr="00A954F1">
        <w:rPr>
          <w:rFonts w:ascii="Times New Roman" w:hAnsi="Times New Roman" w:cs="Times New Roman"/>
          <w:i/>
        </w:rPr>
        <w:t xml:space="preserve">Aph. </w:t>
      </w:r>
      <w:r w:rsidRPr="00A954F1">
        <w:rPr>
          <w:rFonts w:ascii="Times New Roman" w:hAnsi="Times New Roman" w:cs="Times New Roman"/>
        </w:rPr>
        <w:t>24 on impotence spells</w:t>
      </w:r>
    </w:p>
  </w:footnote>
  <w:footnote w:id="71">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van der Lugt, 2013: 329</w:t>
      </w:r>
    </w:p>
  </w:footnote>
  <w:footnote w:id="72">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Wood, 2016: 101-23</w:t>
      </w:r>
    </w:p>
  </w:footnote>
  <w:footnote w:id="73">
    <w:p w:rsidR="005D0A96" w:rsidRPr="00632392" w:rsidRDefault="005D0A96" w:rsidP="00385CDE">
      <w:pPr>
        <w:pStyle w:val="FootnoteText"/>
        <w:rPr>
          <w:rFonts w:ascii="Times New Roman" w:hAnsi="Times New Roman" w:cs="Times New Roman"/>
          <w:lang w:val="es-ES"/>
        </w:rPr>
      </w:pPr>
      <w:r w:rsidRPr="00A954F1">
        <w:rPr>
          <w:rStyle w:val="FootnoteReference"/>
          <w:rFonts w:ascii="Times New Roman" w:hAnsi="Times New Roman" w:cs="Times New Roman"/>
        </w:rPr>
        <w:footnoteRef/>
      </w:r>
      <w:r w:rsidRPr="00632392">
        <w:rPr>
          <w:rFonts w:ascii="Times New Roman" w:hAnsi="Times New Roman" w:cs="Times New Roman"/>
          <w:lang w:val="es-ES"/>
        </w:rPr>
        <w:t xml:space="preserve"> e.g. Moura, 2015</w:t>
      </w:r>
    </w:p>
  </w:footnote>
  <w:footnote w:id="74">
    <w:p w:rsidR="005D0A96" w:rsidRDefault="005D0A96" w:rsidP="00385CDE">
      <w:pPr>
        <w:pStyle w:val="FootnoteText"/>
      </w:pPr>
      <w:r w:rsidRPr="00A954F1">
        <w:rPr>
          <w:rStyle w:val="FootnoteReference"/>
          <w:rFonts w:ascii="Times New Roman" w:hAnsi="Times New Roman" w:cs="Times New Roman"/>
        </w:rPr>
        <w:footnoteRef/>
      </w:r>
      <w:r w:rsidRPr="00A954F1">
        <w:rPr>
          <w:rFonts w:ascii="Times New Roman" w:hAnsi="Times New Roman" w:cs="Times New Roman"/>
        </w:rPr>
        <w:t xml:space="preserve"> e.g. Cunningham, 2017 and Culpeper, 1653</w:t>
      </w:r>
    </w:p>
  </w:footnote>
  <w:footnote w:id="75">
    <w:p w:rsidR="005D0A96" w:rsidRPr="00A954F1" w:rsidRDefault="005D0A96" w:rsidP="00385CDE">
      <w:pPr>
        <w:pStyle w:val="FootnoteText"/>
        <w:rPr>
          <w:rFonts w:ascii="Times New Roman" w:hAnsi="Times New Roman" w:cs="Times New Roman"/>
        </w:rPr>
      </w:pPr>
      <w:r w:rsidRPr="00A954F1">
        <w:rPr>
          <w:rStyle w:val="FootnoteReference"/>
          <w:rFonts w:ascii="Times New Roman" w:hAnsi="Times New Roman" w:cs="Times New Roman"/>
        </w:rPr>
        <w:footnoteRef/>
      </w:r>
      <w:r w:rsidRPr="00A954F1">
        <w:rPr>
          <w:rFonts w:ascii="Times New Roman" w:hAnsi="Times New Roman" w:cs="Times New Roman"/>
        </w:rPr>
        <w:t xml:space="preserve"> like nearly 30 of the ones in de Haro Sánchez, 2004: 39-60</w:t>
      </w:r>
    </w:p>
  </w:footnote>
  <w:footnote w:id="76">
    <w:p w:rsidR="005D0A96" w:rsidRPr="004C3C18" w:rsidRDefault="005D0A96" w:rsidP="00385CDE">
      <w:pPr>
        <w:pStyle w:val="FootnoteText"/>
        <w:rPr>
          <w:rFonts w:ascii="Times New Roman" w:hAnsi="Times New Roman" w:cs="Times New Roman"/>
        </w:rPr>
      </w:pPr>
      <w:r w:rsidRPr="004C3C18">
        <w:rPr>
          <w:rStyle w:val="FootnoteReference"/>
          <w:rFonts w:ascii="Times New Roman" w:hAnsi="Times New Roman" w:cs="Times New Roman"/>
        </w:rPr>
        <w:footnoteRef/>
      </w:r>
      <w:r w:rsidRPr="004C3C18">
        <w:rPr>
          <w:rFonts w:ascii="Times New Roman" w:hAnsi="Times New Roman" w:cs="Times New Roman"/>
        </w:rPr>
        <w:t xml:space="preserve"> Taken from Wood, 2016: 111</w:t>
      </w:r>
    </w:p>
  </w:footnote>
  <w:footnote w:id="77">
    <w:p w:rsidR="005D0A96" w:rsidRPr="0084749E" w:rsidRDefault="005D0A96" w:rsidP="00385CDE">
      <w:pPr>
        <w:pStyle w:val="FootnoteText"/>
        <w:rPr>
          <w:rFonts w:ascii="Times New Roman" w:hAnsi="Times New Roman" w:cs="Times New Roman"/>
          <w:i/>
        </w:rPr>
      </w:pPr>
      <w:r>
        <w:rPr>
          <w:rStyle w:val="FootnoteReference"/>
          <w:rFonts w:ascii="Times New Roman" w:hAnsi="Times New Roman" w:cs="Times New Roman"/>
        </w:rPr>
        <w:footnoteRef/>
      </w:r>
      <w:r w:rsidRPr="0084749E">
        <w:rPr>
          <w:rFonts w:ascii="Times New Roman" w:hAnsi="Times New Roman" w:cs="Times New Roman"/>
        </w:rPr>
        <w:t xml:space="preserve"> </w:t>
      </w:r>
      <w:r w:rsidRPr="0084749E">
        <w:rPr>
          <w:rFonts w:ascii="Times New Roman" w:hAnsi="Times New Roman" w:cs="Times New Roman"/>
          <w:i/>
        </w:rPr>
        <w:t>De Materia Medica (DMM)</w:t>
      </w:r>
    </w:p>
  </w:footnote>
  <w:footnote w:id="78">
    <w:p w:rsidR="005D0A96" w:rsidRPr="0084749E" w:rsidRDefault="005D0A96" w:rsidP="00385CDE">
      <w:pPr>
        <w:pStyle w:val="FootnoteText"/>
        <w:rPr>
          <w:rFonts w:ascii="Times New Roman" w:hAnsi="Times New Roman" w:cs="Times New Roman"/>
          <w:i/>
        </w:rPr>
      </w:pPr>
      <w:r>
        <w:rPr>
          <w:rStyle w:val="FootnoteReference"/>
          <w:rFonts w:ascii="Times New Roman" w:hAnsi="Times New Roman" w:cs="Times New Roman"/>
        </w:rPr>
        <w:footnoteRef/>
      </w:r>
      <w:r w:rsidRPr="0084749E">
        <w:rPr>
          <w:rFonts w:ascii="Times New Roman" w:hAnsi="Times New Roman" w:cs="Times New Roman"/>
        </w:rPr>
        <w:t xml:space="preserve"> </w:t>
      </w:r>
      <w:r w:rsidRPr="0084749E">
        <w:rPr>
          <w:rFonts w:ascii="Times New Roman" w:hAnsi="Times New Roman" w:cs="Times New Roman"/>
          <w:i/>
        </w:rPr>
        <w:t>Historia Naturalis (HN)</w:t>
      </w:r>
    </w:p>
  </w:footnote>
  <w:footnote w:id="79">
    <w:p w:rsidR="005D0A96" w:rsidRPr="00A064D6" w:rsidRDefault="005D0A96" w:rsidP="00385CDE">
      <w:pPr>
        <w:pStyle w:val="FootnoteText"/>
        <w:rPr>
          <w:rFonts w:ascii="Times New Roman" w:hAnsi="Times New Roman" w:cs="Times New Roman"/>
          <w:i/>
        </w:rPr>
      </w:pPr>
      <w:r>
        <w:rPr>
          <w:rStyle w:val="FootnoteReference"/>
          <w:rFonts w:ascii="Times New Roman" w:hAnsi="Times New Roman" w:cs="Times New Roman"/>
        </w:rPr>
        <w:footnoteRef/>
      </w:r>
      <w:r w:rsidRPr="0084749E">
        <w:rPr>
          <w:rFonts w:ascii="Times New Roman" w:hAnsi="Times New Roman" w:cs="Times New Roman"/>
        </w:rPr>
        <w:t xml:space="preserve"> </w:t>
      </w:r>
      <w:r w:rsidRPr="0084749E">
        <w:rPr>
          <w:rFonts w:ascii="Times New Roman" w:hAnsi="Times New Roman" w:cs="Times New Roman"/>
          <w:i/>
        </w:rPr>
        <w:t>Historia Plantarum (HP)</w:t>
      </w:r>
      <w:r>
        <w:rPr>
          <w:rFonts w:ascii="Times New Roman" w:hAnsi="Times New Roman" w:cs="Times New Roman"/>
          <w:i/>
        </w:rPr>
        <w:t xml:space="preserve"> </w:t>
      </w:r>
      <w:r>
        <w:rPr>
          <w:rFonts w:ascii="Times New Roman" w:hAnsi="Times New Roman" w:cs="Times New Roman"/>
        </w:rPr>
        <w:t xml:space="preserve">and </w:t>
      </w:r>
      <w:r>
        <w:rPr>
          <w:rFonts w:ascii="Times New Roman" w:hAnsi="Times New Roman" w:cs="Times New Roman"/>
          <w:i/>
        </w:rPr>
        <w:t>De Causis Plantarum (CP)</w:t>
      </w:r>
    </w:p>
  </w:footnote>
  <w:footnote w:id="80">
    <w:p w:rsidR="005D0A96" w:rsidRPr="0084749E" w:rsidRDefault="005D0A96" w:rsidP="00385CDE">
      <w:pPr>
        <w:pStyle w:val="FootnoteText"/>
        <w:rPr>
          <w:rFonts w:ascii="Times New Roman" w:hAnsi="Times New Roman" w:cs="Times New Roman"/>
          <w:i/>
        </w:rPr>
      </w:pPr>
      <w:r>
        <w:rPr>
          <w:rStyle w:val="FootnoteReference"/>
          <w:rFonts w:ascii="Times New Roman" w:hAnsi="Times New Roman" w:cs="Times New Roman"/>
        </w:rPr>
        <w:footnoteRef/>
      </w:r>
      <w:r w:rsidRPr="0084749E">
        <w:rPr>
          <w:rFonts w:ascii="Times New Roman" w:hAnsi="Times New Roman" w:cs="Times New Roman"/>
        </w:rPr>
        <w:t xml:space="preserve"> </w:t>
      </w:r>
      <w:r w:rsidRPr="0084749E">
        <w:rPr>
          <w:rFonts w:ascii="Times New Roman" w:hAnsi="Times New Roman" w:cs="Times New Roman"/>
          <w:i/>
        </w:rPr>
        <w:t>De Simplicium Medicamentorum, Temperamentis, ac Facultatibus (SMT)</w:t>
      </w:r>
    </w:p>
  </w:footnote>
  <w:footnote w:id="81">
    <w:p w:rsidR="005D0A96" w:rsidRPr="0084749E" w:rsidRDefault="005D0A96" w:rsidP="00385CDE">
      <w:pPr>
        <w:pStyle w:val="FootnoteText"/>
        <w:rPr>
          <w:rFonts w:ascii="Times New Roman" w:hAnsi="Times New Roman" w:cs="Times New Roman"/>
          <w:i/>
        </w:rPr>
      </w:pPr>
      <w:r>
        <w:rPr>
          <w:rStyle w:val="FootnoteReference"/>
          <w:rFonts w:ascii="Times New Roman" w:hAnsi="Times New Roman" w:cs="Times New Roman"/>
        </w:rPr>
        <w:footnoteRef/>
      </w:r>
      <w:r w:rsidRPr="0084749E">
        <w:rPr>
          <w:rFonts w:ascii="Times New Roman" w:hAnsi="Times New Roman" w:cs="Times New Roman"/>
        </w:rPr>
        <w:t xml:space="preserve"> </w:t>
      </w:r>
      <w:r w:rsidRPr="0084749E">
        <w:rPr>
          <w:rFonts w:ascii="Times New Roman" w:hAnsi="Times New Roman" w:cs="Times New Roman"/>
          <w:i/>
        </w:rPr>
        <w:t xml:space="preserve">Papyri Demoticae Magicae </w:t>
      </w:r>
      <w:r w:rsidRPr="0084749E">
        <w:rPr>
          <w:rFonts w:ascii="Times New Roman" w:hAnsi="Times New Roman" w:cs="Times New Roman"/>
        </w:rPr>
        <w:t xml:space="preserve">and </w:t>
      </w:r>
      <w:r w:rsidRPr="0084749E">
        <w:rPr>
          <w:rFonts w:ascii="Times New Roman" w:hAnsi="Times New Roman" w:cs="Times New Roman"/>
          <w:i/>
        </w:rPr>
        <w:t>Papyri Graecae Magicae</w:t>
      </w:r>
    </w:p>
  </w:footnote>
  <w:footnote w:id="82">
    <w:p w:rsidR="005D0A96" w:rsidRPr="00385CDE"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sidRPr="00385CDE">
        <w:rPr>
          <w:rFonts w:ascii="Times New Roman" w:hAnsi="Times New Roman" w:cs="Times New Roman"/>
          <w:lang w:val="es-ES"/>
        </w:rPr>
        <w:t xml:space="preserve"> ‘Dill’ et al.</w:t>
      </w:r>
    </w:p>
  </w:footnote>
  <w:footnote w:id="83">
    <w:p w:rsidR="005D0A96" w:rsidRPr="00385CDE"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sidRPr="00385CDE">
        <w:rPr>
          <w:rFonts w:ascii="Times New Roman" w:hAnsi="Times New Roman" w:cs="Times New Roman"/>
          <w:lang w:val="es-ES"/>
        </w:rPr>
        <w:t xml:space="preserve"> </w:t>
      </w:r>
      <w:r w:rsidRPr="00385CDE">
        <w:rPr>
          <w:rFonts w:ascii="Times New Roman" w:hAnsi="Times New Roman" w:cs="Times New Roman"/>
          <w:i/>
          <w:lang w:val="es-ES"/>
        </w:rPr>
        <w:t xml:space="preserve">De Plantis </w:t>
      </w:r>
      <w:r w:rsidRPr="00385CDE">
        <w:rPr>
          <w:rFonts w:ascii="Times New Roman" w:hAnsi="Times New Roman" w:cs="Times New Roman"/>
          <w:lang w:val="es-ES"/>
        </w:rPr>
        <w:t>7</w:t>
      </w:r>
    </w:p>
  </w:footnote>
  <w:footnote w:id="8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cf. Theophr. </w:t>
      </w:r>
      <w:r>
        <w:rPr>
          <w:rFonts w:ascii="Times New Roman" w:hAnsi="Times New Roman" w:cs="Times New Roman"/>
          <w:i/>
        </w:rPr>
        <w:t xml:space="preserve">CP, </w:t>
      </w:r>
      <w:r>
        <w:rPr>
          <w:rFonts w:ascii="Times New Roman" w:hAnsi="Times New Roman" w:cs="Times New Roman"/>
        </w:rPr>
        <w:t>which explores at length the origin and effects of external factors on plants’ “distinctive properties” during development.</w:t>
      </w:r>
    </w:p>
  </w:footnote>
  <w:footnote w:id="85">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Aristot. </w:t>
      </w:r>
      <w:r>
        <w:rPr>
          <w:rFonts w:ascii="Times New Roman" w:hAnsi="Times New Roman" w:cs="Times New Roman"/>
          <w:i/>
          <w:lang w:val="es-ES"/>
        </w:rPr>
        <w:t xml:space="preserve">De Plantis </w:t>
      </w:r>
      <w:r>
        <w:rPr>
          <w:rFonts w:ascii="Times New Roman" w:hAnsi="Times New Roman" w:cs="Times New Roman"/>
          <w:lang w:val="es-ES"/>
        </w:rPr>
        <w:t>4</w:t>
      </w:r>
    </w:p>
  </w:footnote>
  <w:footnote w:id="86">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ibid.</w:t>
      </w:r>
    </w:p>
  </w:footnote>
  <w:footnote w:id="87">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Aristot. </w:t>
      </w:r>
      <w:r>
        <w:rPr>
          <w:rFonts w:ascii="Times New Roman" w:hAnsi="Times New Roman" w:cs="Times New Roman"/>
          <w:i/>
          <w:lang w:val="es-ES"/>
        </w:rPr>
        <w:t xml:space="preserve">De Plantis </w:t>
      </w:r>
      <w:r>
        <w:rPr>
          <w:rFonts w:ascii="Times New Roman" w:hAnsi="Times New Roman" w:cs="Times New Roman"/>
          <w:lang w:val="es-ES"/>
        </w:rPr>
        <w:t>3-7</w:t>
      </w:r>
    </w:p>
  </w:footnote>
  <w:footnote w:id="8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‘Strychnos’</w:t>
      </w:r>
    </w:p>
  </w:footnote>
  <w:footnote w:id="89">
    <w:p w:rsidR="005D0A96" w:rsidRPr="00385CDE"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Hünemörder </w:t>
      </w:r>
      <w:r w:rsidRPr="00385CDE">
        <w:rPr>
          <w:rStyle w:val="IntenseEmphasis"/>
          <w:rFonts w:ascii="Times New Roman" w:hAnsi="Times New Roman" w:cs="Times New Roman"/>
          <w:b w:val="0"/>
          <w:i w:val="0"/>
          <w:color w:val="auto"/>
        </w:rPr>
        <w:t>‘Strychnos’</w:t>
      </w:r>
    </w:p>
  </w:footnote>
  <w:footnote w:id="90">
    <w:p w:rsidR="005D0A96" w:rsidRPr="00385CDE" w:rsidRDefault="005D0A96" w:rsidP="00385CDE">
      <w:pPr>
        <w:pStyle w:val="FootnoteText"/>
        <w:rPr>
          <w:rFonts w:ascii="Times New Roman" w:hAnsi="Times New Roman" w:cs="Times New Roman"/>
        </w:rPr>
      </w:pPr>
      <w:r w:rsidRPr="00385CDE">
        <w:rPr>
          <w:rStyle w:val="FootnoteReference"/>
          <w:rFonts w:ascii="Times New Roman" w:hAnsi="Times New Roman" w:cs="Times New Roman"/>
        </w:rPr>
        <w:footnoteRef/>
      </w:r>
      <w:r w:rsidRPr="00385CDE">
        <w:rPr>
          <w:rFonts w:ascii="Times New Roman" w:hAnsi="Times New Roman" w:cs="Times New Roman"/>
        </w:rPr>
        <w:t xml:space="preserve"> </w:t>
      </w:r>
      <w:r w:rsidRPr="00316778">
        <w:rPr>
          <w:rStyle w:val="IntenseEmphasis"/>
          <w:rFonts w:ascii="Times New Roman" w:hAnsi="Times New Roman" w:cs="Times New Roman"/>
          <w:b w:val="0"/>
          <w:color w:val="auto"/>
        </w:rPr>
        <w:t>HN</w:t>
      </w:r>
      <w:r w:rsidRPr="00385CDE">
        <w:rPr>
          <w:rStyle w:val="IntenseEmphasis"/>
          <w:rFonts w:ascii="Times New Roman" w:hAnsi="Times New Roman" w:cs="Times New Roman"/>
          <w:b w:val="0"/>
          <w:i w:val="0"/>
          <w:color w:val="auto"/>
        </w:rPr>
        <w:t xml:space="preserve"> 26.120</w:t>
      </w:r>
    </w:p>
  </w:footnote>
  <w:footnote w:id="91">
    <w:p w:rsidR="005D0A96" w:rsidRDefault="005D0A96" w:rsidP="00385CDE">
      <w:pPr>
        <w:pStyle w:val="FootnoteText"/>
        <w:rPr>
          <w:rFonts w:ascii="Times New Roman" w:hAnsi="Times New Roman" w:cs="Times New Roman"/>
        </w:rPr>
      </w:pPr>
      <w:r w:rsidRPr="00385CDE">
        <w:rPr>
          <w:rStyle w:val="FootnoteReference"/>
          <w:rFonts w:ascii="Times New Roman" w:hAnsi="Times New Roman" w:cs="Times New Roman"/>
        </w:rPr>
        <w:footnoteRef/>
      </w:r>
      <w:r w:rsidRPr="00385CDE">
        <w:rPr>
          <w:rFonts w:ascii="Times New Roman" w:hAnsi="Times New Roman" w:cs="Times New Roman"/>
        </w:rPr>
        <w:t xml:space="preserve"> </w:t>
      </w:r>
      <w:r w:rsidRPr="00316778">
        <w:rPr>
          <w:rStyle w:val="IntenseEmphasis"/>
          <w:rFonts w:ascii="Times New Roman" w:hAnsi="Times New Roman" w:cs="Times New Roman"/>
          <w:b w:val="0"/>
          <w:color w:val="auto"/>
        </w:rPr>
        <w:t>HP</w:t>
      </w:r>
      <w:r w:rsidRPr="00385CDE">
        <w:rPr>
          <w:rStyle w:val="IntenseEmphasis"/>
          <w:rFonts w:ascii="Times New Roman" w:hAnsi="Times New Roman" w:cs="Times New Roman"/>
          <w:b w:val="0"/>
          <w:i w:val="0"/>
          <w:color w:val="auto"/>
        </w:rPr>
        <w:t xml:space="preserve"> 3.18.11</w:t>
      </w:r>
    </w:p>
  </w:footnote>
  <w:footnote w:id="92">
    <w:p w:rsidR="005D0A96" w:rsidRPr="00385CDE" w:rsidRDefault="005D0A96" w:rsidP="00385CDE">
      <w:pPr>
        <w:pStyle w:val="FootnoteText"/>
        <w:rPr>
          <w:rFonts w:ascii="Times New Roman" w:hAnsi="Times New Roman" w:cs="Times New Roman"/>
          <w:b/>
          <w:i/>
        </w:rPr>
      </w:pPr>
      <w:r w:rsidRPr="00EB7A07">
        <w:rPr>
          <w:rStyle w:val="FootnoteReference"/>
          <w:rFonts w:ascii="Times New Roman" w:hAnsi="Times New Roman" w:cs="Times New Roman"/>
          <w:b/>
          <w:i/>
        </w:rPr>
        <w:footnoteRef/>
      </w:r>
      <w:r w:rsidRPr="00EB7A07">
        <w:rPr>
          <w:rFonts w:ascii="Times New Roman" w:hAnsi="Times New Roman" w:cs="Times New Roman"/>
          <w:b/>
          <w:i/>
        </w:rPr>
        <w:t xml:space="preserve"> </w:t>
      </w:r>
      <w:r w:rsidRPr="00385CDE">
        <w:rPr>
          <w:rStyle w:val="IntenseEmphasis"/>
          <w:rFonts w:ascii="Times New Roman" w:hAnsi="Times New Roman" w:cs="Times New Roman"/>
          <w:b w:val="0"/>
          <w:i w:val="0"/>
          <w:color w:val="auto"/>
        </w:rPr>
        <w:t>“Agrimony”</w:t>
      </w:r>
    </w:p>
  </w:footnote>
  <w:footnote w:id="93">
    <w:p w:rsidR="005D0A96" w:rsidRPr="00385CDE" w:rsidRDefault="005D0A96" w:rsidP="00385CDE">
      <w:pPr>
        <w:pStyle w:val="FootnoteText"/>
        <w:rPr>
          <w:rFonts w:ascii="Times New Roman" w:hAnsi="Times New Roman" w:cs="Times New Roman"/>
          <w:b/>
        </w:rPr>
      </w:pPr>
      <w:r w:rsidRPr="00385CDE">
        <w:rPr>
          <w:rStyle w:val="FootnoteReference"/>
          <w:rFonts w:ascii="Times New Roman" w:hAnsi="Times New Roman" w:cs="Times New Roman"/>
          <w:b/>
          <w:i/>
        </w:rPr>
        <w:footnoteRef/>
      </w:r>
      <w:r w:rsidRPr="00385CDE">
        <w:rPr>
          <w:rFonts w:ascii="Times New Roman" w:hAnsi="Times New Roman" w:cs="Times New Roman"/>
          <w:b/>
          <w:i/>
        </w:rPr>
        <w:t xml:space="preserve"> </w:t>
      </w:r>
      <w:r w:rsidRPr="00385CDE">
        <w:rPr>
          <w:rStyle w:val="IntenseEmphasis"/>
          <w:rFonts w:ascii="Times New Roman" w:hAnsi="Times New Roman" w:cs="Times New Roman"/>
          <w:b w:val="0"/>
          <w:i w:val="0"/>
          <w:color w:val="auto"/>
        </w:rPr>
        <w:t>2017: 100</w:t>
      </w:r>
    </w:p>
  </w:footnote>
  <w:footnote w:id="94">
    <w:p w:rsidR="005D0A96" w:rsidRPr="00385CDE" w:rsidRDefault="005D0A96" w:rsidP="00385CDE">
      <w:pPr>
        <w:pStyle w:val="FootnoteText"/>
        <w:rPr>
          <w:rFonts w:ascii="Times New Roman" w:hAnsi="Times New Roman" w:cs="Times New Roman"/>
          <w:b/>
        </w:rPr>
      </w:pPr>
      <w:r w:rsidRPr="00385CDE">
        <w:rPr>
          <w:rStyle w:val="FootnoteReference"/>
          <w:rFonts w:ascii="Times New Roman" w:hAnsi="Times New Roman" w:cs="Times New Roman"/>
          <w:b/>
        </w:rPr>
        <w:footnoteRef/>
      </w:r>
      <w:r w:rsidRPr="00385CDE">
        <w:rPr>
          <w:rFonts w:ascii="Times New Roman" w:hAnsi="Times New Roman" w:cs="Times New Roman"/>
          <w:b/>
        </w:rPr>
        <w:t xml:space="preserve"> </w:t>
      </w:r>
      <w:r w:rsidRPr="00385CDE">
        <w:rPr>
          <w:rStyle w:val="IntenseEmphasis"/>
          <w:rFonts w:ascii="Times New Roman" w:hAnsi="Times New Roman" w:cs="Times New Roman"/>
          <w:b w:val="0"/>
          <w:color w:val="auto"/>
        </w:rPr>
        <w:t xml:space="preserve">DMM </w:t>
      </w:r>
      <w:r w:rsidRPr="00385CDE">
        <w:rPr>
          <w:rStyle w:val="IntenseEmphasis"/>
          <w:rFonts w:ascii="Times New Roman" w:hAnsi="Times New Roman" w:cs="Times New Roman"/>
          <w:b w:val="0"/>
          <w:i w:val="0"/>
          <w:color w:val="auto"/>
        </w:rPr>
        <w:t>4.75</w:t>
      </w:r>
      <w:r w:rsidRPr="00385CDE">
        <w:rPr>
          <w:rStyle w:val="IntenseEmphasis"/>
          <w:rFonts w:ascii="Times New Roman" w:hAnsi="Times New Roman" w:cs="Times New Roman"/>
          <w:b w:val="0"/>
          <w:color w:val="auto"/>
        </w:rPr>
        <w:t xml:space="preserve"> </w:t>
      </w:r>
    </w:p>
  </w:footnote>
  <w:footnote w:id="95">
    <w:p w:rsidR="005D0A96" w:rsidRDefault="005D0A96" w:rsidP="00385CDE">
      <w:pPr>
        <w:pStyle w:val="FootnoteText"/>
        <w:rPr>
          <w:rFonts w:ascii="Times New Roman" w:hAnsi="Times New Roman" w:cs="Times New Roman"/>
        </w:rPr>
      </w:pPr>
      <w:r w:rsidRPr="00385CDE">
        <w:rPr>
          <w:rStyle w:val="FootnoteReference"/>
          <w:rFonts w:ascii="Times New Roman" w:hAnsi="Times New Roman" w:cs="Times New Roman"/>
          <w:b/>
        </w:rPr>
        <w:footnoteRef/>
      </w:r>
      <w:r w:rsidRPr="00385CDE">
        <w:rPr>
          <w:rFonts w:ascii="Times New Roman" w:hAnsi="Times New Roman" w:cs="Times New Roman"/>
          <w:b/>
        </w:rPr>
        <w:t xml:space="preserve"> </w:t>
      </w:r>
      <w:proofErr w:type="gramStart"/>
      <w:r w:rsidRPr="00385CDE">
        <w:rPr>
          <w:rFonts w:ascii="Times New Roman" w:hAnsi="Times New Roman" w:cs="Times New Roman"/>
        </w:rPr>
        <w:t>Hippoc.</w:t>
      </w:r>
      <w:proofErr w:type="gramEnd"/>
      <w:r w:rsidRPr="00385CDE">
        <w:rPr>
          <w:rFonts w:ascii="Times New Roman" w:hAnsi="Times New Roman" w:cs="Times New Roman"/>
          <w:b/>
        </w:rPr>
        <w:t xml:space="preserve"> </w:t>
      </w:r>
      <w:proofErr w:type="gramStart"/>
      <w:r w:rsidRPr="00385CDE">
        <w:rPr>
          <w:rStyle w:val="IntenseEmphasis"/>
          <w:rFonts w:ascii="Times New Roman" w:hAnsi="Times New Roman" w:cs="Times New Roman"/>
          <w:b w:val="0"/>
          <w:color w:val="auto"/>
        </w:rPr>
        <w:t>Aph.</w:t>
      </w:r>
      <w:proofErr w:type="gramEnd"/>
      <w:r w:rsidRPr="00385CDE">
        <w:rPr>
          <w:rStyle w:val="IntenseEmphasis"/>
          <w:rFonts w:ascii="Times New Roman" w:hAnsi="Times New Roman" w:cs="Times New Roman"/>
          <w:b w:val="0"/>
          <w:color w:val="auto"/>
        </w:rPr>
        <w:t xml:space="preserve"> </w:t>
      </w:r>
      <w:r w:rsidRPr="00385CDE">
        <w:rPr>
          <w:rStyle w:val="IntenseEmphasis"/>
          <w:rFonts w:ascii="Times New Roman" w:hAnsi="Times New Roman" w:cs="Times New Roman"/>
          <w:b w:val="0"/>
          <w:i w:val="0"/>
          <w:color w:val="auto"/>
        </w:rPr>
        <w:t>4.16, 4.506L</w:t>
      </w:r>
    </w:p>
  </w:footnote>
  <w:footnote w:id="9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4.151-52</w:t>
      </w:r>
    </w:p>
  </w:footnote>
  <w:footnote w:id="97">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1998: 163</w:t>
      </w:r>
    </w:p>
  </w:footnote>
  <w:footnote w:id="98">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2017: 134-35</w:t>
      </w:r>
    </w:p>
  </w:footnote>
  <w:footnote w:id="99">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2016: 99</w:t>
      </w:r>
    </w:p>
  </w:footnote>
  <w:footnote w:id="100">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w:t>
      </w:r>
      <w:r w:rsidRPr="00C95FF5">
        <w:rPr>
          <w:rStyle w:val="IntenseEmphasis"/>
          <w:rFonts w:ascii="Times New Roman" w:hAnsi="Times New Roman" w:cs="Times New Roman"/>
          <w:b w:val="0"/>
          <w:i w:val="0"/>
          <w:color w:val="auto"/>
          <w:lang w:val="es-ES"/>
        </w:rPr>
        <w:t xml:space="preserve">Pliny </w:t>
      </w:r>
      <w:r w:rsidRPr="00C95FF5">
        <w:rPr>
          <w:rStyle w:val="IntenseEmphasis"/>
          <w:rFonts w:ascii="Times New Roman" w:hAnsi="Times New Roman" w:cs="Times New Roman"/>
          <w:b w:val="0"/>
          <w:color w:val="auto"/>
          <w:lang w:val="es-ES"/>
        </w:rPr>
        <w:t>HN</w:t>
      </w:r>
      <w:r w:rsidRPr="00C95FF5">
        <w:rPr>
          <w:rStyle w:val="IntenseEmphasis"/>
          <w:rFonts w:ascii="Times New Roman" w:hAnsi="Times New Roman" w:cs="Times New Roman"/>
          <w:b w:val="0"/>
          <w:i w:val="0"/>
          <w:color w:val="auto"/>
          <w:lang w:val="es-ES"/>
        </w:rPr>
        <w:t xml:space="preserve"> 27.6, 9.8</w:t>
      </w:r>
    </w:p>
  </w:footnote>
  <w:footnote w:id="101">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‘Mint’</w:t>
      </w:r>
    </w:p>
  </w:footnote>
  <w:footnote w:id="102">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w:t>
      </w:r>
      <w:r>
        <w:rPr>
          <w:rFonts w:ascii="Times New Roman" w:hAnsi="Times New Roman" w:cs="Times New Roman"/>
          <w:i/>
          <w:lang w:val="es-ES"/>
        </w:rPr>
        <w:t xml:space="preserve">DMM </w:t>
      </w:r>
      <w:r>
        <w:rPr>
          <w:rFonts w:ascii="Times New Roman" w:hAnsi="Times New Roman" w:cs="Times New Roman"/>
          <w:lang w:val="es-ES"/>
        </w:rPr>
        <w:t>3.37-8</w:t>
      </w:r>
      <w:r>
        <w:rPr>
          <w:rFonts w:ascii="Times New Roman" w:hAnsi="Times New Roman" w:cs="Times New Roman"/>
          <w:sz w:val="24"/>
          <w:szCs w:val="24"/>
          <w:lang w:val="es-ES"/>
        </w:rPr>
        <w:t xml:space="preserve"> </w:t>
      </w:r>
    </w:p>
  </w:footnote>
  <w:footnote w:id="103">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w:t>
      </w:r>
      <w:r>
        <w:rPr>
          <w:rFonts w:ascii="Times New Roman" w:hAnsi="Times New Roman" w:cs="Times New Roman"/>
          <w:i/>
          <w:lang w:val="es-ES"/>
        </w:rPr>
        <w:t xml:space="preserve">Acerca de la Material Medicinal </w:t>
      </w:r>
      <w:r>
        <w:rPr>
          <w:rFonts w:ascii="Times New Roman" w:hAnsi="Times New Roman" w:cs="Times New Roman"/>
          <w:lang w:val="es-ES"/>
        </w:rPr>
        <w:t>4.151-2, pp. 465-67</w:t>
      </w:r>
    </w:p>
  </w:footnote>
  <w:footnote w:id="10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‘Mint’</w:t>
      </w:r>
    </w:p>
  </w:footnote>
  <w:footnote w:id="10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Porter, ‘Sorting Mentha Names’</w:t>
      </w:r>
    </w:p>
  </w:footnote>
  <w:footnote w:id="10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‘Mint’</w:t>
      </w:r>
    </w:p>
  </w:footnote>
  <w:footnote w:id="10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25.26-27</w:t>
      </w:r>
    </w:p>
  </w:footnote>
  <w:footnote w:id="10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3.50</w:t>
      </w:r>
    </w:p>
  </w:footnote>
  <w:footnote w:id="10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i/>
        </w:rPr>
        <w:t>Od</w:t>
      </w:r>
      <w:proofErr w:type="gramEnd"/>
      <w:r>
        <w:rPr>
          <w:rFonts w:ascii="Times New Roman" w:hAnsi="Times New Roman" w:cs="Times New Roman"/>
          <w:i/>
        </w:rPr>
        <w:t xml:space="preserve">. </w:t>
      </w:r>
      <w:r>
        <w:rPr>
          <w:rFonts w:ascii="Times New Roman" w:hAnsi="Times New Roman" w:cs="Times New Roman"/>
        </w:rPr>
        <w:t>10.302-06</w:t>
      </w:r>
    </w:p>
  </w:footnote>
  <w:footnote w:id="11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Acerca de la Material Medicinal </w:t>
      </w:r>
      <w:r>
        <w:rPr>
          <w:rFonts w:ascii="Times New Roman" w:hAnsi="Times New Roman" w:cs="Times New Roman"/>
        </w:rPr>
        <w:t xml:space="preserve">3.50, pp. 300; Lacio blames copy errors in versions of the </w:t>
      </w:r>
      <w:r>
        <w:rPr>
          <w:rFonts w:ascii="Times New Roman" w:hAnsi="Times New Roman" w:cs="Times New Roman"/>
          <w:i/>
        </w:rPr>
        <w:t xml:space="preserve">DMM </w:t>
      </w:r>
      <w:r>
        <w:rPr>
          <w:rFonts w:ascii="Times New Roman" w:hAnsi="Times New Roman" w:cs="Times New Roman"/>
        </w:rPr>
        <w:t>available to him for some of these discrepancies between his and his peers’ translations.</w:t>
      </w:r>
    </w:p>
  </w:footnote>
  <w:footnote w:id="11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‘Moly,’ cf. R. M. Henry, 1906</w:t>
      </w:r>
    </w:p>
  </w:footnote>
  <w:footnote w:id="11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i/>
        </w:rPr>
        <w:t>Od</w:t>
      </w:r>
      <w:proofErr w:type="gramEnd"/>
      <w:r>
        <w:rPr>
          <w:rFonts w:ascii="Times New Roman" w:hAnsi="Times New Roman" w:cs="Times New Roman"/>
          <w:i/>
        </w:rPr>
        <w:t xml:space="preserve">. </w:t>
      </w:r>
      <w:r>
        <w:rPr>
          <w:rFonts w:ascii="Times New Roman" w:hAnsi="Times New Roman" w:cs="Times New Roman"/>
        </w:rPr>
        <w:t>10.302-06</w:t>
      </w:r>
    </w:p>
  </w:footnote>
  <w:footnote w:id="11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Br. Marie-Victorin, 1935: 39.2.1</w:t>
      </w:r>
    </w:p>
  </w:footnote>
  <w:footnote w:id="11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Michaud and Méléance, 2019</w:t>
      </w:r>
    </w:p>
  </w:footnote>
  <w:footnote w:id="11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Hom.</w:t>
      </w:r>
      <w:proofErr w:type="gramEnd"/>
      <w:r>
        <w:rPr>
          <w:rFonts w:ascii="Times New Roman" w:hAnsi="Times New Roman" w:cs="Times New Roman"/>
        </w:rPr>
        <w:t xml:space="preserve"> </w:t>
      </w:r>
      <w:proofErr w:type="gramStart"/>
      <w:r>
        <w:rPr>
          <w:rFonts w:ascii="Times New Roman" w:hAnsi="Times New Roman" w:cs="Times New Roman"/>
          <w:i/>
        </w:rPr>
        <w:t>Od</w:t>
      </w:r>
      <w:proofErr w:type="gramEnd"/>
      <w:r>
        <w:rPr>
          <w:rFonts w:ascii="Times New Roman" w:hAnsi="Times New Roman" w:cs="Times New Roman"/>
          <w:i/>
        </w:rPr>
        <w:t xml:space="preserve">. </w:t>
      </w:r>
      <w:r>
        <w:rPr>
          <w:rFonts w:ascii="Times New Roman" w:hAnsi="Times New Roman" w:cs="Times New Roman"/>
        </w:rPr>
        <w:t>10.302-06</w:t>
      </w:r>
    </w:p>
  </w:footnote>
  <w:footnote w:id="116">
    <w:p w:rsidR="005D0A96" w:rsidRDefault="005D0A96" w:rsidP="00385CDE">
      <w:pPr>
        <w:pStyle w:val="FootnoteText"/>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cs="Times New Roman"/>
        </w:rPr>
        <w:t xml:space="preserve"> There are hundreds of texts available on silphium, including S. Amigues’ comprehensive essay ‘Le silphium – État de la question,’</w:t>
      </w:r>
      <w:r>
        <w:rPr>
          <w:rFonts w:ascii="Times New Roman" w:hAnsi="Times New Roman" w:cs="Times New Roman"/>
          <w:i/>
        </w:rPr>
        <w:t xml:space="preserve"> </w:t>
      </w:r>
      <w:r>
        <w:rPr>
          <w:rFonts w:ascii="Times New Roman" w:hAnsi="Times New Roman" w:cs="Times New Roman"/>
        </w:rPr>
        <w:t>and on biblical plants like manna (if indeed it was a plant), including M. Lefrak’s article ‘Mano a Manna’</w:t>
      </w:r>
      <w:r>
        <w:rPr>
          <w:rFonts w:ascii="Times New Roman" w:hAnsi="Times New Roman" w:cs="Times New Roman"/>
          <w:i/>
        </w:rPr>
        <w:t xml:space="preserve"> </w:t>
      </w:r>
      <w:r>
        <w:rPr>
          <w:rFonts w:ascii="Times New Roman" w:hAnsi="Times New Roman" w:cs="Times New Roman"/>
        </w:rPr>
        <w:t xml:space="preserve">about chefs trying to find the supposedly heaven-sent food mentioned in </w:t>
      </w:r>
      <w:r>
        <w:rPr>
          <w:rFonts w:ascii="Times New Roman" w:hAnsi="Times New Roman" w:cs="Times New Roman"/>
          <w:i/>
        </w:rPr>
        <w:t>Exodus.</w:t>
      </w:r>
    </w:p>
  </w:footnote>
  <w:footnote w:id="117">
    <w:p w:rsidR="005D0A96" w:rsidRDefault="005D0A96" w:rsidP="00385CDE">
      <w:pPr>
        <w:pStyle w:val="FootnoteText"/>
        <w:tabs>
          <w:tab w:val="left" w:pos="8625"/>
        </w:tabs>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PDM </w:t>
      </w:r>
      <w:r>
        <w:rPr>
          <w:rFonts w:ascii="Times New Roman" w:hAnsi="Times New Roman" w:cs="Times New Roman"/>
        </w:rPr>
        <w:t>Col. 21</w:t>
      </w:r>
      <w:r>
        <w:rPr>
          <w:rFonts w:ascii="Times New Roman" w:hAnsi="Times New Roman" w:cs="Times New Roman"/>
        </w:rPr>
        <w:tab/>
      </w:r>
    </w:p>
  </w:footnote>
  <w:footnote w:id="11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PGM </w:t>
      </w:r>
      <w:r>
        <w:rPr>
          <w:rFonts w:ascii="Times New Roman" w:hAnsi="Times New Roman" w:cs="Times New Roman"/>
        </w:rPr>
        <w:t>1.34</w:t>
      </w:r>
    </w:p>
  </w:footnote>
  <w:footnote w:id="11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PGM </w:t>
      </w:r>
      <w:r>
        <w:rPr>
          <w:rFonts w:ascii="Times New Roman" w:hAnsi="Times New Roman" w:cs="Times New Roman"/>
        </w:rPr>
        <w:t>2.8</w:t>
      </w:r>
    </w:p>
  </w:footnote>
  <w:footnote w:id="12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PDM </w:t>
      </w:r>
      <w:r>
        <w:rPr>
          <w:rFonts w:ascii="Times New Roman" w:hAnsi="Times New Roman" w:cs="Times New Roman"/>
        </w:rPr>
        <w:t>Col. 5</w:t>
      </w:r>
    </w:p>
  </w:footnote>
  <w:footnote w:id="12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PDM </w:t>
      </w:r>
      <w:r>
        <w:rPr>
          <w:rFonts w:ascii="Times New Roman" w:hAnsi="Times New Roman" w:cs="Times New Roman"/>
        </w:rPr>
        <w:t>Col. 12</w:t>
      </w:r>
    </w:p>
  </w:footnote>
  <w:footnote w:id="12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PDM </w:t>
      </w:r>
      <w:r>
        <w:rPr>
          <w:rFonts w:ascii="Times New Roman" w:hAnsi="Times New Roman" w:cs="Times New Roman"/>
        </w:rPr>
        <w:t>Col. 21</w:t>
      </w:r>
    </w:p>
  </w:footnote>
  <w:footnote w:id="12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16.159</w:t>
      </w:r>
    </w:p>
  </w:footnote>
  <w:footnote w:id="12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16.178</w:t>
      </w:r>
    </w:p>
  </w:footnote>
  <w:footnote w:id="12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Most notably the account of Faunus and Syrinx in Ov.</w:t>
      </w:r>
      <w:proofErr w:type="gramEnd"/>
      <w:r>
        <w:rPr>
          <w:rFonts w:ascii="Times New Roman" w:hAnsi="Times New Roman" w:cs="Times New Roman"/>
        </w:rPr>
        <w:t xml:space="preserve"> </w:t>
      </w:r>
      <w:proofErr w:type="gramStart"/>
      <w:r>
        <w:rPr>
          <w:rFonts w:ascii="Times New Roman" w:hAnsi="Times New Roman" w:cs="Times New Roman"/>
          <w:i/>
        </w:rPr>
        <w:t>Met.</w:t>
      </w:r>
      <w:proofErr w:type="gramEnd"/>
      <w:r>
        <w:rPr>
          <w:rFonts w:ascii="Times New Roman" w:hAnsi="Times New Roman" w:cs="Times New Roman"/>
          <w:i/>
        </w:rPr>
        <w:t xml:space="preserve"> </w:t>
      </w:r>
      <w:r>
        <w:rPr>
          <w:rFonts w:ascii="Times New Roman" w:hAnsi="Times New Roman" w:cs="Times New Roman"/>
        </w:rPr>
        <w:t>1.700-11</w:t>
      </w:r>
    </w:p>
  </w:footnote>
  <w:footnote w:id="12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Theophr.</w:t>
      </w:r>
      <w:proofErr w:type="gramEnd"/>
      <w:r>
        <w:rPr>
          <w:rFonts w:ascii="Times New Roman" w:hAnsi="Times New Roman" w:cs="Times New Roman"/>
        </w:rPr>
        <w:t xml:space="preserve"> </w:t>
      </w:r>
      <w:r>
        <w:rPr>
          <w:rFonts w:ascii="Times New Roman" w:hAnsi="Times New Roman" w:cs="Times New Roman"/>
          <w:i/>
        </w:rPr>
        <w:t xml:space="preserve">HP </w:t>
      </w:r>
      <w:r>
        <w:rPr>
          <w:rFonts w:ascii="Times New Roman" w:hAnsi="Times New Roman" w:cs="Times New Roman"/>
        </w:rPr>
        <w:t xml:space="preserve">4.11.1-13, cf. Pliny </w:t>
      </w:r>
      <w:r>
        <w:rPr>
          <w:rFonts w:ascii="Times New Roman" w:hAnsi="Times New Roman" w:cs="Times New Roman"/>
          <w:i/>
        </w:rPr>
        <w:t xml:space="preserve">HN </w:t>
      </w:r>
      <w:r>
        <w:rPr>
          <w:rFonts w:ascii="Times New Roman" w:hAnsi="Times New Roman" w:cs="Times New Roman"/>
        </w:rPr>
        <w:t>16.164</w:t>
      </w:r>
    </w:p>
  </w:footnote>
  <w:footnote w:id="12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De Agri Cultura </w:t>
      </w:r>
      <w:r>
        <w:rPr>
          <w:rFonts w:ascii="Times New Roman" w:hAnsi="Times New Roman" w:cs="Times New Roman"/>
        </w:rPr>
        <w:t>160</w:t>
      </w:r>
    </w:p>
  </w:footnote>
  <w:footnote w:id="12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Physiognomics </w:t>
      </w:r>
      <w:r>
        <w:rPr>
          <w:rFonts w:ascii="Times New Roman" w:hAnsi="Times New Roman" w:cs="Times New Roman"/>
        </w:rPr>
        <w:t>1</w:t>
      </w:r>
    </w:p>
  </w:footnote>
  <w:footnote w:id="129">
    <w:p w:rsidR="005D0A96" w:rsidRPr="00C92246" w:rsidRDefault="005D0A96" w:rsidP="00385CDE">
      <w:pPr>
        <w:pStyle w:val="FootnoteText"/>
        <w:rPr>
          <w:rFonts w:ascii="Times New Roman" w:hAnsi="Times New Roman" w:cs="Times New Roman"/>
        </w:rPr>
      </w:pPr>
      <w:r w:rsidRPr="00C92246">
        <w:rPr>
          <w:rStyle w:val="FootnoteReference"/>
          <w:rFonts w:ascii="Times New Roman" w:hAnsi="Times New Roman" w:cs="Times New Roman"/>
        </w:rPr>
        <w:footnoteRef/>
      </w:r>
      <w:r w:rsidRPr="00C92246">
        <w:rPr>
          <w:rFonts w:ascii="Times New Roman" w:hAnsi="Times New Roman" w:cs="Times New Roman"/>
        </w:rPr>
        <w:t xml:space="preserve"> </w:t>
      </w:r>
      <w:r>
        <w:rPr>
          <w:rFonts w:ascii="Times New Roman" w:hAnsi="Times New Roman" w:cs="Times New Roman"/>
        </w:rPr>
        <w:t>Theophrastus (</w:t>
      </w:r>
      <w:r>
        <w:rPr>
          <w:rFonts w:ascii="Times New Roman" w:hAnsi="Times New Roman" w:cs="Times New Roman"/>
          <w:i/>
        </w:rPr>
        <w:t xml:space="preserve">HP </w:t>
      </w:r>
      <w:r>
        <w:rPr>
          <w:rFonts w:ascii="Times New Roman" w:hAnsi="Times New Roman" w:cs="Times New Roman"/>
        </w:rPr>
        <w:t>1)</w:t>
      </w:r>
      <w:r>
        <w:rPr>
          <w:rFonts w:ascii="Times New Roman" w:hAnsi="Times New Roman" w:cs="Times New Roman"/>
          <w:i/>
        </w:rPr>
        <w:t xml:space="preserve"> </w:t>
      </w:r>
      <w:r>
        <w:rPr>
          <w:rFonts w:ascii="Times New Roman" w:hAnsi="Times New Roman" w:cs="Times New Roman"/>
        </w:rPr>
        <w:t>seems to agree.</w:t>
      </w:r>
    </w:p>
  </w:footnote>
  <w:footnote w:id="13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2017</w:t>
      </w:r>
    </w:p>
  </w:footnote>
  <w:footnote w:id="13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2016</w:t>
      </w:r>
    </w:p>
  </w:footnote>
  <w:footnote w:id="13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sidRPr="00385CDE">
        <w:rPr>
          <w:rStyle w:val="IntenseEmphasis"/>
          <w:rFonts w:ascii="Times New Roman" w:hAnsi="Times New Roman" w:cs="Times New Roman"/>
          <w:b w:val="0"/>
          <w:i w:val="0"/>
          <w:color w:val="auto"/>
        </w:rPr>
        <w:t>Scarborough, 1991: 151</w:t>
      </w:r>
    </w:p>
  </w:footnote>
  <w:footnote w:id="13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2015</w:t>
      </w:r>
    </w:p>
  </w:footnote>
  <w:footnote w:id="13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2002</w:t>
      </w:r>
    </w:p>
  </w:footnote>
  <w:footnote w:id="13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De Plantis </w:t>
      </w:r>
      <w:r>
        <w:rPr>
          <w:rFonts w:ascii="Times New Roman" w:hAnsi="Times New Roman" w:cs="Times New Roman"/>
        </w:rPr>
        <w:t>1</w:t>
      </w:r>
    </w:p>
  </w:footnote>
  <w:footnote w:id="13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1998: 165-67 dubs this renaissance primarily “Alexandrian” in nature, though there is earlier evidence in Ar. </w:t>
      </w:r>
      <w:r>
        <w:rPr>
          <w:rFonts w:ascii="Times New Roman" w:hAnsi="Times New Roman" w:cs="Times New Roman"/>
          <w:i/>
        </w:rPr>
        <w:t xml:space="preserve">Nu. </w:t>
      </w:r>
      <w:proofErr w:type="gramStart"/>
      <w:r>
        <w:rPr>
          <w:rFonts w:ascii="Times New Roman" w:hAnsi="Times New Roman" w:cs="Times New Roman"/>
        </w:rPr>
        <w:t xml:space="preserve">767, Critias </w:t>
      </w:r>
      <w:r>
        <w:rPr>
          <w:rFonts w:ascii="Times New Roman" w:hAnsi="Times New Roman" w:cs="Times New Roman"/>
          <w:i/>
        </w:rPr>
        <w:t xml:space="preserve">Fr. </w:t>
      </w:r>
      <w:r>
        <w:rPr>
          <w:rFonts w:ascii="Times New Roman" w:hAnsi="Times New Roman" w:cs="Times New Roman"/>
        </w:rPr>
        <w:t>70 D., Theopomp.</w:t>
      </w:r>
      <w:proofErr w:type="gramEnd"/>
      <w:r>
        <w:rPr>
          <w:rFonts w:ascii="Times New Roman" w:hAnsi="Times New Roman" w:cs="Times New Roman"/>
        </w:rPr>
        <w:t xml:space="preserve"> </w:t>
      </w:r>
      <w:r>
        <w:rPr>
          <w:rFonts w:ascii="Times New Roman" w:hAnsi="Times New Roman" w:cs="Times New Roman"/>
          <w:i/>
        </w:rPr>
        <w:t xml:space="preserve">Com. </w:t>
      </w:r>
      <w:r>
        <w:rPr>
          <w:rFonts w:ascii="Times New Roman" w:hAnsi="Times New Roman" w:cs="Times New Roman"/>
        </w:rPr>
        <w:t xml:space="preserve">2, Aeschin. </w:t>
      </w:r>
      <w:proofErr w:type="gramStart"/>
      <w:r>
        <w:rPr>
          <w:rFonts w:ascii="Times New Roman" w:hAnsi="Times New Roman" w:cs="Times New Roman"/>
        </w:rPr>
        <w:t xml:space="preserve">3.162, Phld. </w:t>
      </w:r>
      <w:r>
        <w:rPr>
          <w:rFonts w:ascii="Times New Roman" w:hAnsi="Times New Roman" w:cs="Times New Roman"/>
          <w:i/>
        </w:rPr>
        <w:t xml:space="preserve">Rh. </w:t>
      </w:r>
      <w:r>
        <w:rPr>
          <w:rFonts w:ascii="Times New Roman" w:hAnsi="Times New Roman" w:cs="Times New Roman"/>
        </w:rPr>
        <w:t>1.34 S., et al.</w:t>
      </w:r>
      <w:proofErr w:type="gramEnd"/>
    </w:p>
  </w:footnote>
  <w:footnote w:id="13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Plin.</w:t>
      </w:r>
      <w:proofErr w:type="gramEnd"/>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22.159</w:t>
      </w:r>
    </w:p>
  </w:footnote>
  <w:footnote w:id="13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4.401-44</w:t>
      </w:r>
    </w:p>
  </w:footnote>
  <w:footnote w:id="13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IG</w:t>
      </w:r>
      <w:r>
        <w:rPr>
          <w:rFonts w:ascii="Times New Roman" w:hAnsi="Times New Roman" w:cs="Times New Roman"/>
        </w:rPr>
        <w:t xml:space="preserve"> A17, B19, B22, and C1-2</w:t>
      </w:r>
    </w:p>
  </w:footnote>
  <w:footnote w:id="14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IG </w:t>
      </w:r>
      <w:r>
        <w:rPr>
          <w:rFonts w:ascii="Times New Roman" w:hAnsi="Times New Roman" w:cs="Times New Roman"/>
        </w:rPr>
        <w:t>A20 and B6</w:t>
      </w:r>
    </w:p>
  </w:footnote>
  <w:footnote w:id="141">
    <w:p w:rsidR="005D0A96" w:rsidRDefault="005D0A96" w:rsidP="00385CDE">
      <w:pPr>
        <w:pStyle w:val="FootnoteText"/>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IG </w:t>
      </w:r>
      <w:r>
        <w:rPr>
          <w:rFonts w:ascii="Times New Roman" w:hAnsi="Times New Roman" w:cs="Times New Roman"/>
        </w:rPr>
        <w:t>C6-7</w:t>
      </w:r>
    </w:p>
  </w:footnote>
  <w:footnote w:id="14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i/>
        </w:rPr>
        <w:t>Sac.</w:t>
      </w:r>
      <w:proofErr w:type="gramEnd"/>
      <w:r>
        <w:rPr>
          <w:rFonts w:ascii="Times New Roman" w:hAnsi="Times New Roman" w:cs="Times New Roman"/>
          <w:i/>
        </w:rPr>
        <w:t xml:space="preserve"> Dis. </w:t>
      </w:r>
      <w:r>
        <w:rPr>
          <w:rFonts w:ascii="Times New Roman" w:hAnsi="Times New Roman" w:cs="Times New Roman"/>
        </w:rPr>
        <w:t>1.6.354, 12-20L</w:t>
      </w:r>
    </w:p>
  </w:footnote>
  <w:footnote w:id="14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22.159</w:t>
      </w:r>
    </w:p>
  </w:footnote>
  <w:footnote w:id="14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‘Intoxicating Substances’</w:t>
      </w:r>
    </w:p>
  </w:footnote>
  <w:footnote w:id="14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4.219-29</w:t>
      </w:r>
    </w:p>
  </w:footnote>
  <w:footnote w:id="14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4.1716-1870</w:t>
      </w:r>
    </w:p>
  </w:footnote>
  <w:footnote w:id="14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PGM </w:t>
      </w:r>
      <w:r>
        <w:rPr>
          <w:rFonts w:ascii="Times New Roman" w:hAnsi="Times New Roman" w:cs="Times New Roman"/>
        </w:rPr>
        <w:t>4.3209-54, 4.2785-890</w:t>
      </w:r>
    </w:p>
  </w:footnote>
  <w:footnote w:id="14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1.1</w:t>
      </w:r>
    </w:p>
  </w:footnote>
  <w:footnote w:id="14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1.222-31</w:t>
      </w:r>
    </w:p>
  </w:footnote>
  <w:footnote w:id="15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4.3209-54</w:t>
      </w:r>
    </w:p>
  </w:footnote>
  <w:footnote w:id="15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2017: 187</w:t>
      </w:r>
    </w:p>
  </w:footnote>
  <w:footnote w:id="15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Ov.</w:t>
      </w:r>
      <w:proofErr w:type="gramEnd"/>
      <w:r>
        <w:rPr>
          <w:rFonts w:ascii="Times New Roman" w:hAnsi="Times New Roman" w:cs="Times New Roman"/>
        </w:rPr>
        <w:t xml:space="preserve"> </w:t>
      </w:r>
      <w:proofErr w:type="gramStart"/>
      <w:r>
        <w:rPr>
          <w:rFonts w:ascii="Times New Roman" w:hAnsi="Times New Roman" w:cs="Times New Roman"/>
          <w:i/>
        </w:rPr>
        <w:t>Met.</w:t>
      </w:r>
      <w:proofErr w:type="gramEnd"/>
      <w:r>
        <w:rPr>
          <w:rFonts w:ascii="Times New Roman" w:hAnsi="Times New Roman" w:cs="Times New Roman"/>
          <w:i/>
        </w:rPr>
        <w:t xml:space="preserve"> </w:t>
      </w:r>
      <w:r>
        <w:rPr>
          <w:rFonts w:ascii="Times New Roman" w:hAnsi="Times New Roman" w:cs="Times New Roman"/>
        </w:rPr>
        <w:t>1.698-712</w:t>
      </w:r>
    </w:p>
  </w:footnote>
  <w:footnote w:id="15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Ov.</w:t>
      </w:r>
      <w:proofErr w:type="gramEnd"/>
      <w:r>
        <w:rPr>
          <w:rFonts w:ascii="Times New Roman" w:hAnsi="Times New Roman" w:cs="Times New Roman"/>
        </w:rPr>
        <w:t xml:space="preserve"> </w:t>
      </w:r>
      <w:proofErr w:type="gramStart"/>
      <w:r>
        <w:rPr>
          <w:rFonts w:ascii="Times New Roman" w:hAnsi="Times New Roman" w:cs="Times New Roman"/>
          <w:i/>
        </w:rPr>
        <w:t>Met.</w:t>
      </w:r>
      <w:proofErr w:type="gramEnd"/>
      <w:r>
        <w:rPr>
          <w:rFonts w:ascii="Times New Roman" w:hAnsi="Times New Roman" w:cs="Times New Roman"/>
          <w:i/>
        </w:rPr>
        <w:t xml:space="preserve"> </w:t>
      </w:r>
      <w:r>
        <w:rPr>
          <w:rFonts w:ascii="Times New Roman" w:hAnsi="Times New Roman" w:cs="Times New Roman"/>
        </w:rPr>
        <w:t>10.298-518</w:t>
      </w:r>
    </w:p>
  </w:footnote>
  <w:footnote w:id="15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Strabo </w:t>
      </w:r>
      <w:r>
        <w:rPr>
          <w:rFonts w:ascii="Times New Roman" w:hAnsi="Times New Roman" w:cs="Times New Roman"/>
          <w:i/>
        </w:rPr>
        <w:t xml:space="preserve">Geo. </w:t>
      </w:r>
      <w:r>
        <w:rPr>
          <w:rFonts w:ascii="Times New Roman" w:hAnsi="Times New Roman" w:cs="Times New Roman"/>
        </w:rPr>
        <w:t>8.3.14</w:t>
      </w:r>
    </w:p>
  </w:footnote>
  <w:footnote w:id="155">
    <w:p w:rsidR="005D0A96" w:rsidRDefault="005D0A96" w:rsidP="00385CDE">
      <w:pPr>
        <w:pStyle w:val="FootnoteText"/>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Hom.</w:t>
      </w:r>
      <w:proofErr w:type="gramEnd"/>
      <w:r>
        <w:rPr>
          <w:rFonts w:ascii="Times New Roman" w:hAnsi="Times New Roman" w:cs="Times New Roman"/>
        </w:rPr>
        <w:t xml:space="preserve"> </w:t>
      </w:r>
      <w:proofErr w:type="gramStart"/>
      <w:r>
        <w:rPr>
          <w:rFonts w:ascii="Times New Roman" w:hAnsi="Times New Roman" w:cs="Times New Roman"/>
          <w:i/>
        </w:rPr>
        <w:t>Od</w:t>
      </w:r>
      <w:proofErr w:type="gramEnd"/>
      <w:r>
        <w:rPr>
          <w:rFonts w:ascii="Times New Roman" w:hAnsi="Times New Roman" w:cs="Times New Roman"/>
          <w:i/>
        </w:rPr>
        <w:t xml:space="preserve">. </w:t>
      </w:r>
      <w:r>
        <w:rPr>
          <w:rFonts w:ascii="Times New Roman" w:hAnsi="Times New Roman" w:cs="Times New Roman"/>
        </w:rPr>
        <w:t>10.302-06</w:t>
      </w:r>
    </w:p>
  </w:footnote>
  <w:footnote w:id="15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PDM </w:t>
      </w:r>
      <w:r>
        <w:rPr>
          <w:rFonts w:ascii="Times New Roman" w:hAnsi="Times New Roman" w:cs="Times New Roman"/>
        </w:rPr>
        <w:t>Col. 5</w:t>
      </w:r>
    </w:p>
  </w:footnote>
  <w:footnote w:id="15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Epod.</w:t>
      </w:r>
      <w:r>
        <w:rPr>
          <w:rFonts w:ascii="Times New Roman" w:hAnsi="Times New Roman" w:cs="Times New Roman"/>
        </w:rPr>
        <w:t>5.30-31</w:t>
      </w:r>
    </w:p>
  </w:footnote>
  <w:footnote w:id="15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King, 2006: 48</w:t>
      </w:r>
    </w:p>
  </w:footnote>
  <w:footnote w:id="15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Antiphon 1 </w:t>
      </w:r>
      <w:r>
        <w:rPr>
          <w:rFonts w:ascii="Times New Roman" w:hAnsi="Times New Roman" w:cs="Times New Roman"/>
          <w:i/>
        </w:rPr>
        <w:t xml:space="preserve">Prosecution of the Stepmother for Poisoning </w:t>
      </w:r>
      <w:r>
        <w:rPr>
          <w:rFonts w:ascii="Times New Roman" w:hAnsi="Times New Roman" w:cs="Times New Roman"/>
        </w:rPr>
        <w:t>19; cf. King, 2006: 49</w:t>
      </w:r>
    </w:p>
  </w:footnote>
  <w:footnote w:id="16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Theophr.</w:t>
      </w:r>
      <w:proofErr w:type="gramEnd"/>
      <w:r>
        <w:rPr>
          <w:rFonts w:ascii="Times New Roman" w:hAnsi="Times New Roman" w:cs="Times New Roman"/>
        </w:rPr>
        <w:t xml:space="preserve"> </w:t>
      </w:r>
      <w:r>
        <w:rPr>
          <w:rFonts w:ascii="Times New Roman" w:hAnsi="Times New Roman" w:cs="Times New Roman"/>
          <w:i/>
        </w:rPr>
        <w:t xml:space="preserve">HP </w:t>
      </w:r>
      <w:r>
        <w:rPr>
          <w:rFonts w:ascii="Times New Roman" w:hAnsi="Times New Roman" w:cs="Times New Roman"/>
        </w:rPr>
        <w:t>3.18.11; see Hünemörder ‘Strychnos’ for alternate sources</w:t>
      </w:r>
    </w:p>
  </w:footnote>
  <w:footnote w:id="16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Cunningham,  2017: 100-101</w:t>
      </w:r>
    </w:p>
  </w:footnote>
  <w:footnote w:id="16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 xml:space="preserve">4.70; cf. Hünemörder ‘Henbane’ and </w:t>
      </w:r>
      <w:r>
        <w:rPr>
          <w:rFonts w:ascii="Times New Roman" w:hAnsi="Times New Roman" w:cs="Times New Roman"/>
          <w:i/>
        </w:rPr>
        <w:t xml:space="preserve">Das Lorscher Arzneibuch </w:t>
      </w:r>
      <w:r>
        <w:rPr>
          <w:rFonts w:ascii="Times New Roman" w:hAnsi="Times New Roman" w:cs="Times New Roman"/>
        </w:rPr>
        <w:t>‘Iusquiamus’</w:t>
      </w:r>
    </w:p>
  </w:footnote>
  <w:footnote w:id="16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 xml:space="preserve">Dioscorides points to Celsus </w:t>
      </w:r>
      <w:r>
        <w:rPr>
          <w:rFonts w:ascii="Times New Roman" w:hAnsi="Times New Roman" w:cs="Times New Roman"/>
          <w:i/>
        </w:rPr>
        <w:t xml:space="preserve">DM </w:t>
      </w:r>
      <w:r>
        <w:rPr>
          <w:rFonts w:ascii="Times New Roman" w:hAnsi="Times New Roman" w:cs="Times New Roman"/>
        </w:rPr>
        <w:t>5.27.12b and Scribonius Largus 181, according to Hünemörder ‘Intoxicating Substances,’ as having “prescribed wine mead and donkey’s milk.”</w:t>
      </w:r>
      <w:proofErr w:type="gramEnd"/>
    </w:p>
  </w:footnote>
  <w:footnote w:id="16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Col. 24</w:t>
      </w:r>
    </w:p>
  </w:footnote>
  <w:footnote w:id="16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Plin.</w:t>
      </w:r>
      <w:proofErr w:type="gramEnd"/>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 xml:space="preserve">25.150; he warns that “as a sleeping-draught, the quantity administered to the patient should be proportionate to his strength” (he recommends two ounces on average).  At </w:t>
      </w:r>
      <w:r>
        <w:rPr>
          <w:rFonts w:ascii="Times New Roman" w:hAnsi="Times New Roman" w:cs="Times New Roman"/>
          <w:i/>
        </w:rPr>
        <w:t xml:space="preserve">DMM </w:t>
      </w:r>
      <w:r>
        <w:rPr>
          <w:rFonts w:ascii="Times New Roman" w:hAnsi="Times New Roman" w:cs="Times New Roman"/>
        </w:rPr>
        <w:t>4.75, Dioscorides dilutes the juice with “melicraton” in an anodyne recipe that circumvented the risk of hellebore’s toxicity upsetting the patient, thus upholding the idea that one poison would “kill” another if that other poison were the strongest-acting thing inside a person.</w:t>
      </w:r>
    </w:p>
  </w:footnote>
  <w:footnote w:id="16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Psuedo-Hippocrates notes in </w:t>
      </w:r>
      <w:r>
        <w:rPr>
          <w:rFonts w:ascii="Times New Roman" w:hAnsi="Times New Roman" w:cs="Times New Roman"/>
          <w:i/>
        </w:rPr>
        <w:t xml:space="preserve">Places in Man </w:t>
      </w:r>
      <w:r>
        <w:rPr>
          <w:rFonts w:ascii="Times New Roman" w:hAnsi="Times New Roman" w:cs="Times New Roman"/>
        </w:rPr>
        <w:t>39 that a small dosage of “an infusion of mandrake-root” was sufficient to relieve both physical and mental anguish, though his warning about delirium as a side-effect of overdose may suggest that the true purpose of the drug was to give a patient a sedative high.</w:t>
      </w:r>
      <w:r>
        <w:rPr>
          <w:rFonts w:ascii="Times New Roman" w:hAnsi="Times New Roman" w:cs="Times New Roman"/>
          <w:sz w:val="24"/>
          <w:szCs w:val="24"/>
        </w:rPr>
        <w:t xml:space="preserve">  </w:t>
      </w:r>
      <w:r>
        <w:rPr>
          <w:rFonts w:ascii="Times New Roman" w:hAnsi="Times New Roman" w:cs="Times New Roman"/>
        </w:rPr>
        <w:t>Dioscorides (</w:t>
      </w:r>
      <w:r>
        <w:rPr>
          <w:rFonts w:ascii="Times New Roman" w:hAnsi="Times New Roman" w:cs="Times New Roman"/>
          <w:i/>
        </w:rPr>
        <w:t xml:space="preserve">DMM </w:t>
      </w:r>
      <w:r>
        <w:rPr>
          <w:rFonts w:ascii="Times New Roman" w:hAnsi="Times New Roman" w:cs="Times New Roman"/>
        </w:rPr>
        <w:t>4.75) claims that doctors “administer a cyathos of [root bark boiled in wine] to insomniacs, to those in severe pain, or to those whom they wish to anesthetise” before surgery; he also says that mandrake root was administered as a suppository for helping patients sleep.</w:t>
      </w:r>
    </w:p>
  </w:footnote>
  <w:footnote w:id="16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4.75 offers these remarks on mandrake leaves and fruit.</w:t>
      </w:r>
    </w:p>
  </w:footnote>
  <w:footnote w:id="16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‘Zoology and Botany’ and ‘Intoxicating Substances’</w:t>
      </w:r>
    </w:p>
  </w:footnote>
  <w:footnote w:id="16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33, 34.3-206</w:t>
      </w:r>
    </w:p>
  </w:footnote>
  <w:footnote w:id="17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34.209-233</w:t>
      </w:r>
    </w:p>
  </w:footnote>
  <w:footnote w:id="17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Col. 24</w:t>
      </w:r>
    </w:p>
  </w:footnote>
  <w:footnote w:id="172">
    <w:p w:rsidR="005D0A96" w:rsidRPr="009A1EB4" w:rsidRDefault="005D0A96">
      <w:pPr>
        <w:pStyle w:val="FootnoteText"/>
        <w:rPr>
          <w:rFonts w:ascii="Times New Roman" w:hAnsi="Times New Roman" w:cs="Times New Roman"/>
        </w:rPr>
      </w:pPr>
      <w:r w:rsidRPr="009A1EB4">
        <w:rPr>
          <w:rStyle w:val="FootnoteReference"/>
          <w:rFonts w:ascii="Times New Roman" w:hAnsi="Times New Roman" w:cs="Times New Roman"/>
        </w:rPr>
        <w:footnoteRef/>
      </w:r>
      <w:r w:rsidRPr="009A1EB4">
        <w:rPr>
          <w:rFonts w:ascii="Times New Roman" w:hAnsi="Times New Roman" w:cs="Times New Roman"/>
        </w:rPr>
        <w:t xml:space="preserve"> </w:t>
      </w:r>
      <w:r>
        <w:rPr>
          <w:rFonts w:ascii="Times New Roman" w:hAnsi="Times New Roman" w:cs="Times New Roman"/>
        </w:rPr>
        <w:t>2017: 167-8</w:t>
      </w:r>
    </w:p>
  </w:footnote>
  <w:footnote w:id="17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20.198-202</w:t>
      </w:r>
    </w:p>
  </w:footnote>
  <w:footnote w:id="17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‘Intoxicating Substances’</w:t>
      </w:r>
    </w:p>
  </w:footnote>
  <w:footnote w:id="17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210-11 and Yronwode, 2002: 157</w:t>
      </w:r>
    </w:p>
  </w:footnote>
  <w:footnote w:id="17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If Pliny’s remark at </w:t>
      </w:r>
      <w:r>
        <w:rPr>
          <w:rFonts w:ascii="Times New Roman" w:hAnsi="Times New Roman" w:cs="Times New Roman"/>
          <w:i/>
        </w:rPr>
        <w:t xml:space="preserve">HN </w:t>
      </w:r>
      <w:r>
        <w:rPr>
          <w:rFonts w:ascii="Times New Roman" w:hAnsi="Times New Roman" w:cs="Times New Roman"/>
        </w:rPr>
        <w:t>27.6 that “men have turned [aconite] to the advantage of their health [insomuch as its] nature is to kill a human being unless it finds something else in him to destroy” is anything to go by, that is.</w:t>
      </w:r>
    </w:p>
  </w:footnote>
  <w:footnote w:id="17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See Touwaide ‘Medicinal Plants’ for notes on gynecology in the </w:t>
      </w:r>
      <w:r>
        <w:rPr>
          <w:rFonts w:ascii="Times New Roman" w:hAnsi="Times New Roman" w:cs="Times New Roman"/>
          <w:i/>
        </w:rPr>
        <w:t xml:space="preserve">Hippocratic Corpus, </w:t>
      </w:r>
      <w:r>
        <w:rPr>
          <w:rFonts w:ascii="Times New Roman" w:hAnsi="Times New Roman" w:cs="Times New Roman"/>
        </w:rPr>
        <w:t xml:space="preserve">and Diosc. </w:t>
      </w:r>
      <w:proofErr w:type="gramStart"/>
      <w:r>
        <w:rPr>
          <w:rFonts w:ascii="Times New Roman" w:hAnsi="Times New Roman" w:cs="Times New Roman"/>
          <w:i/>
        </w:rPr>
        <w:t xml:space="preserve">DMM </w:t>
      </w:r>
      <w:r>
        <w:rPr>
          <w:rFonts w:ascii="Times New Roman" w:hAnsi="Times New Roman" w:cs="Times New Roman"/>
        </w:rPr>
        <w:t>4.151-52 for notes on “purification” of menstrual blood.</w:t>
      </w:r>
      <w:proofErr w:type="gramEnd"/>
    </w:p>
  </w:footnote>
  <w:footnote w:id="17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w:t>
      </w:r>
    </w:p>
  </w:footnote>
  <w:footnote w:id="17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134-35 and Moura, 2015: 226</w:t>
      </w:r>
    </w:p>
  </w:footnote>
  <w:footnote w:id="180">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w:t>
      </w:r>
      <w:r>
        <w:rPr>
          <w:rFonts w:ascii="Times New Roman" w:hAnsi="Times New Roman" w:cs="Times New Roman"/>
          <w:i/>
          <w:lang w:val="es-ES"/>
        </w:rPr>
        <w:t xml:space="preserve">HP </w:t>
      </w:r>
      <w:r>
        <w:rPr>
          <w:rFonts w:ascii="Times New Roman" w:hAnsi="Times New Roman" w:cs="Times New Roman"/>
          <w:lang w:val="es-ES"/>
        </w:rPr>
        <w:t xml:space="preserve">9.8; cf. Diosc. </w:t>
      </w:r>
      <w:r>
        <w:rPr>
          <w:rFonts w:ascii="Times New Roman" w:hAnsi="Times New Roman" w:cs="Times New Roman"/>
          <w:i/>
          <w:lang w:val="es-ES"/>
        </w:rPr>
        <w:t xml:space="preserve">DMM </w:t>
      </w:r>
      <w:r>
        <w:rPr>
          <w:rFonts w:ascii="Times New Roman" w:hAnsi="Times New Roman" w:cs="Times New Roman"/>
          <w:lang w:val="es-ES"/>
        </w:rPr>
        <w:t>4.152</w:t>
      </w:r>
    </w:p>
  </w:footnote>
  <w:footnote w:id="18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lang w:val="es-ES"/>
        </w:rPr>
        <w:t xml:space="preserve"> Diosc. </w:t>
      </w:r>
      <w:r>
        <w:rPr>
          <w:rFonts w:ascii="Times New Roman" w:hAnsi="Times New Roman" w:cs="Times New Roman"/>
          <w:i/>
        </w:rPr>
        <w:t xml:space="preserve">DMM </w:t>
      </w:r>
      <w:r>
        <w:rPr>
          <w:rFonts w:ascii="Times New Roman" w:hAnsi="Times New Roman" w:cs="Times New Roman"/>
        </w:rPr>
        <w:t>4.75</w:t>
      </w:r>
    </w:p>
  </w:footnote>
  <w:footnote w:id="18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167-68</w:t>
      </w:r>
    </w:p>
  </w:footnote>
  <w:footnote w:id="18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Gerarde, 1597: 281, who cites the </w:t>
      </w:r>
      <w:r>
        <w:rPr>
          <w:rFonts w:ascii="Times New Roman" w:hAnsi="Times New Roman" w:cs="Times New Roman"/>
          <w:i/>
        </w:rPr>
        <w:t xml:space="preserve">Juliana Anicia Codex </w:t>
      </w:r>
      <w:r>
        <w:rPr>
          <w:rFonts w:ascii="Times New Roman" w:hAnsi="Times New Roman" w:cs="Times New Roman"/>
        </w:rPr>
        <w:t>from the 6</w:t>
      </w:r>
      <w:r>
        <w:rPr>
          <w:rFonts w:ascii="Times New Roman" w:hAnsi="Times New Roman" w:cs="Times New Roman"/>
          <w:vertAlign w:val="superscript"/>
        </w:rPr>
        <w:t>th</w:t>
      </w:r>
      <w:r>
        <w:rPr>
          <w:rFonts w:ascii="Times New Roman" w:hAnsi="Times New Roman" w:cs="Times New Roman"/>
        </w:rPr>
        <w:t xml:space="preserve"> c. CE; cf. Yronwode, 2002: 132</w:t>
      </w:r>
    </w:p>
  </w:footnote>
  <w:footnote w:id="18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Plin.</w:t>
      </w:r>
      <w:proofErr w:type="gramEnd"/>
      <w:r>
        <w:rPr>
          <w:rFonts w:ascii="Times New Roman" w:hAnsi="Times New Roman" w:cs="Times New Roman"/>
        </w:rPr>
        <w:t xml:space="preserve"> </w:t>
      </w:r>
      <w:proofErr w:type="gramStart"/>
      <w:r>
        <w:rPr>
          <w:rFonts w:ascii="Times New Roman" w:hAnsi="Times New Roman" w:cs="Times New Roman"/>
          <w:i/>
        </w:rPr>
        <w:t xml:space="preserve">HN </w:t>
      </w:r>
      <w:r>
        <w:rPr>
          <w:rFonts w:ascii="Times New Roman" w:hAnsi="Times New Roman" w:cs="Times New Roman"/>
        </w:rPr>
        <w:t>20.144-58 (cf. Hünemörder ‘Mint’) and 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 xml:space="preserve">3.37-38 attest to this, with Lacio (1555) adding that the earlier contested </w:t>
      </w:r>
      <w:r>
        <w:rPr>
          <w:rFonts w:ascii="Times New Roman" w:hAnsi="Times New Roman" w:cs="Times New Roman"/>
          <w:i/>
        </w:rPr>
        <w:t xml:space="preserve">Mentastrum </w:t>
      </w:r>
      <w:r>
        <w:rPr>
          <w:rFonts w:ascii="Times New Roman" w:hAnsi="Times New Roman" w:cs="Times New Roman"/>
        </w:rPr>
        <w:t>variety was known in the 16</w:t>
      </w:r>
      <w:r>
        <w:rPr>
          <w:rFonts w:ascii="Times New Roman" w:hAnsi="Times New Roman" w:cs="Times New Roman"/>
          <w:vertAlign w:val="superscript"/>
        </w:rPr>
        <w:t>th</w:t>
      </w:r>
      <w:r>
        <w:rPr>
          <w:rFonts w:ascii="Times New Roman" w:hAnsi="Times New Roman" w:cs="Times New Roman"/>
        </w:rPr>
        <w:t xml:space="preserve"> C. CE to counter “all kinds of poisons.”</w:t>
      </w:r>
    </w:p>
  </w:footnote>
  <w:footnote w:id="18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 xml:space="preserve">3.37-38 </w:t>
      </w:r>
    </w:p>
  </w:footnote>
  <w:footnote w:id="18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134) claims that mint can ward off people and spirits who have wronged the magician.</w:t>
      </w:r>
    </w:p>
  </w:footnote>
  <w:footnote w:id="187">
    <w:p w:rsidR="005D0A96" w:rsidRDefault="005D0A96" w:rsidP="00385CDE">
      <w:pPr>
        <w:pStyle w:val="FootnoteText"/>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cs="Times New Roman"/>
        </w:rPr>
        <w:t xml:space="preserve"> At </w:t>
      </w:r>
      <w:r>
        <w:rPr>
          <w:rFonts w:ascii="Times New Roman" w:hAnsi="Times New Roman" w:cs="Times New Roman"/>
          <w:i/>
        </w:rPr>
        <w:t xml:space="preserve">DMM </w:t>
      </w:r>
      <w:r>
        <w:rPr>
          <w:rFonts w:ascii="Times New Roman" w:hAnsi="Times New Roman" w:cs="Times New Roman"/>
        </w:rPr>
        <w:t xml:space="preserve">3.30-31, Dioscorides especially praises </w:t>
      </w:r>
      <w:r>
        <w:rPr>
          <w:rFonts w:ascii="Times New Roman" w:hAnsi="Times New Roman" w:cs="Times New Roman"/>
          <w:i/>
        </w:rPr>
        <w:t xml:space="preserve">Origanum hercleoticum </w:t>
      </w:r>
      <w:r>
        <w:rPr>
          <w:rFonts w:ascii="Times New Roman" w:hAnsi="Times New Roman" w:cs="Times New Roman"/>
        </w:rPr>
        <w:t xml:space="preserve">and </w:t>
      </w:r>
      <w:r>
        <w:rPr>
          <w:rFonts w:ascii="Times New Roman" w:hAnsi="Times New Roman" w:cs="Times New Roman"/>
          <w:i/>
        </w:rPr>
        <w:t xml:space="preserve">O. tragoriganum </w:t>
      </w:r>
      <w:r>
        <w:rPr>
          <w:rFonts w:ascii="Times New Roman" w:hAnsi="Times New Roman" w:cs="Times New Roman"/>
        </w:rPr>
        <w:t xml:space="preserve">for their roots’ potency against snakebites, hemlock poisoning, et al.  The menstrual use is also raised here, though Touwaide (‘Medicinal Plants’) thinks the formula may have come from among the fifteen listed in the </w:t>
      </w:r>
      <w:r>
        <w:rPr>
          <w:rFonts w:ascii="Times New Roman" w:hAnsi="Times New Roman" w:cs="Times New Roman"/>
          <w:i/>
        </w:rPr>
        <w:t>Hippocratic Corpus.</w:t>
      </w:r>
    </w:p>
  </w:footnote>
  <w:footnote w:id="18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140-41) again provides the clearest exorcist account, this time saying that visible entities like lawmen, informants, and other meddlers in the magician’s otherwise content life would be the prime targets.</w:t>
      </w:r>
    </w:p>
  </w:footnote>
  <w:footnote w:id="18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At </w:t>
      </w:r>
      <w:r>
        <w:rPr>
          <w:rFonts w:ascii="Times New Roman" w:hAnsi="Times New Roman" w:cs="Times New Roman"/>
          <w:i/>
        </w:rPr>
        <w:t xml:space="preserve">DMM </w:t>
      </w:r>
      <w:r>
        <w:rPr>
          <w:rFonts w:ascii="Times New Roman" w:hAnsi="Times New Roman" w:cs="Times New Roman"/>
        </w:rPr>
        <w:t xml:space="preserve">3.32, Dioscorides echoes statements from the </w:t>
      </w:r>
      <w:r>
        <w:rPr>
          <w:rFonts w:ascii="Times New Roman" w:hAnsi="Times New Roman" w:cs="Times New Roman"/>
          <w:i/>
        </w:rPr>
        <w:t xml:space="preserve">Corpus </w:t>
      </w:r>
      <w:r>
        <w:rPr>
          <w:rFonts w:ascii="Times New Roman" w:hAnsi="Times New Roman" w:cs="Times New Roman"/>
        </w:rPr>
        <w:t>as to pennyroyal’s gynecological prowess.</w:t>
      </w:r>
    </w:p>
  </w:footnote>
  <w:footnote w:id="19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143-44</w:t>
      </w:r>
    </w:p>
  </w:footnote>
  <w:footnote w:id="19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The famed recipe is mentioned in Plin. </w:t>
      </w:r>
      <w:proofErr w:type="gramStart"/>
      <w:r>
        <w:rPr>
          <w:rFonts w:ascii="Times New Roman" w:hAnsi="Times New Roman" w:cs="Times New Roman"/>
          <w:i/>
        </w:rPr>
        <w:t xml:space="preserve">HN </w:t>
      </w:r>
      <w:r>
        <w:rPr>
          <w:rFonts w:ascii="Times New Roman" w:hAnsi="Times New Roman" w:cs="Times New Roman"/>
        </w:rPr>
        <w:t>20.264.</w:t>
      </w:r>
      <w:proofErr w:type="gramEnd"/>
      <w:r>
        <w:rPr>
          <w:rFonts w:ascii="Times New Roman" w:hAnsi="Times New Roman" w:cs="Times New Roman"/>
        </w:rPr>
        <w:t xml:space="preserve">  Cunningham (2017: 86-87) assumes that trefoil’s apparent ability to repel snakes was the reason behind its inclusion in that antivenin cocktail and, by extension, behind its reputation amongst magicians for staving off malevolent entities.</w:t>
      </w:r>
    </w:p>
  </w:footnote>
  <w:footnote w:id="19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Touwaide, ‘Medicinal Plants’</w:t>
      </w:r>
    </w:p>
  </w:footnote>
  <w:footnote w:id="19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72-73</w:t>
      </w:r>
    </w:p>
  </w:footnote>
  <w:footnote w:id="19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12.401-44</w:t>
      </w:r>
    </w:p>
  </w:footnote>
  <w:footnote w:id="19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At </w:t>
      </w:r>
      <w:r>
        <w:rPr>
          <w:rFonts w:ascii="Times New Roman" w:hAnsi="Times New Roman" w:cs="Times New Roman"/>
          <w:i/>
        </w:rPr>
        <w:t xml:space="preserve">DMM </w:t>
      </w:r>
      <w:r>
        <w:rPr>
          <w:rFonts w:ascii="Times New Roman" w:hAnsi="Times New Roman" w:cs="Times New Roman"/>
        </w:rPr>
        <w:t xml:space="preserve">3.24-26, Dioscorides dubs </w:t>
      </w:r>
      <w:r>
        <w:rPr>
          <w:rFonts w:ascii="Times New Roman" w:hAnsi="Times New Roman" w:cs="Times New Roman"/>
          <w:i/>
        </w:rPr>
        <w:t xml:space="preserve">Absinthium vulgare </w:t>
      </w:r>
      <w:r>
        <w:rPr>
          <w:rFonts w:ascii="Times New Roman" w:hAnsi="Times New Roman" w:cs="Times New Roman"/>
        </w:rPr>
        <w:t>the best strain for the job.</w:t>
      </w:r>
    </w:p>
  </w:footnote>
  <w:footnote w:id="19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Per Moura, 2015: 228.</w:t>
      </w:r>
      <w:proofErr w:type="gramEnd"/>
    </w:p>
  </w:footnote>
  <w:footnote w:id="19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7.472.5-16L</w:t>
      </w:r>
    </w:p>
  </w:footnote>
  <w:footnote w:id="19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referenced</w:t>
      </w:r>
      <w:proofErr w:type="gramEnd"/>
      <w:r>
        <w:rPr>
          <w:rFonts w:ascii="Times New Roman" w:hAnsi="Times New Roman" w:cs="Times New Roman"/>
        </w:rPr>
        <w:t xml:space="preserve"> in Aristot. </w:t>
      </w:r>
      <w:r>
        <w:rPr>
          <w:rFonts w:ascii="Times New Roman" w:hAnsi="Times New Roman" w:cs="Times New Roman"/>
          <w:i/>
        </w:rPr>
        <w:t xml:space="preserve">Hist. An. </w:t>
      </w:r>
      <w:r>
        <w:rPr>
          <w:rFonts w:ascii="Times New Roman" w:hAnsi="Times New Roman" w:cs="Times New Roman"/>
        </w:rPr>
        <w:t>512b.1ff</w:t>
      </w:r>
    </w:p>
  </w:footnote>
  <w:footnote w:id="19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Longrigg (1998: 163) and Dioscorides (</w:t>
      </w:r>
      <w:r>
        <w:rPr>
          <w:rFonts w:ascii="Times New Roman" w:hAnsi="Times New Roman" w:cs="Times New Roman"/>
          <w:i/>
        </w:rPr>
        <w:t xml:space="preserve">DMM </w:t>
      </w:r>
      <w:r>
        <w:rPr>
          <w:rFonts w:ascii="Times New Roman" w:hAnsi="Times New Roman" w:cs="Times New Roman"/>
        </w:rPr>
        <w:t xml:space="preserve">4.151-52) accredit the author of </w:t>
      </w:r>
      <w:r>
        <w:rPr>
          <w:rFonts w:ascii="Times New Roman" w:hAnsi="Times New Roman" w:cs="Times New Roman"/>
          <w:i/>
        </w:rPr>
        <w:t xml:space="preserve">Aphorisms </w:t>
      </w:r>
      <w:r>
        <w:rPr>
          <w:rFonts w:ascii="Times New Roman" w:hAnsi="Times New Roman" w:cs="Times New Roman"/>
        </w:rPr>
        <w:t>4.16 and 4.506L with prizing hellebore “especially for its emetic and diarrhoetic effect” on the gastrointestinal system.</w:t>
      </w:r>
    </w:p>
  </w:footnote>
  <w:footnote w:id="20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HP </w:t>
      </w:r>
      <w:r>
        <w:rPr>
          <w:rFonts w:ascii="Times New Roman" w:hAnsi="Times New Roman" w:cs="Times New Roman"/>
        </w:rPr>
        <w:t>9.10</w:t>
      </w:r>
    </w:p>
  </w:footnote>
  <w:footnote w:id="20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4.152</w:t>
      </w:r>
    </w:p>
  </w:footnote>
  <w:footnote w:id="20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PGM </w:t>
      </w:r>
      <w:r>
        <w:rPr>
          <w:rFonts w:ascii="Times New Roman" w:hAnsi="Times New Roman" w:cs="Times New Roman"/>
        </w:rPr>
        <w:t>4.401-44</w:t>
      </w:r>
    </w:p>
  </w:footnote>
  <w:footnote w:id="20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Moura, 2015: 226</w:t>
      </w:r>
    </w:p>
  </w:footnote>
  <w:footnote w:id="20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4.70</w:t>
      </w:r>
    </w:p>
  </w:footnote>
  <w:footnote w:id="20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PGM </w:t>
      </w:r>
      <w:r>
        <w:rPr>
          <w:rFonts w:ascii="Times New Roman" w:hAnsi="Times New Roman" w:cs="Times New Roman"/>
        </w:rPr>
        <w:t>36.320-32 mixes them with “Mare’s Milk” in a recipe for “A Contraceptive, the Only One in the World”; Cunningham (2015: 226) says root-cutters inadvertently challenged that prestigious title by designing an amulet to be worn while conducting love spells, rather than during sex (when the former is worn).</w:t>
      </w:r>
    </w:p>
  </w:footnote>
  <w:footnote w:id="20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Moura (2015: 226)</w:t>
      </w:r>
    </w:p>
  </w:footnote>
  <w:footnote w:id="20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Ps.-Hippoc. </w:t>
      </w:r>
      <w:r>
        <w:rPr>
          <w:rFonts w:ascii="Times New Roman" w:hAnsi="Times New Roman" w:cs="Times New Roman"/>
          <w:i/>
        </w:rPr>
        <w:t xml:space="preserve">Places in Man </w:t>
      </w:r>
      <w:r>
        <w:rPr>
          <w:rFonts w:ascii="Times New Roman" w:hAnsi="Times New Roman" w:cs="Times New Roman"/>
        </w:rPr>
        <w:t>39</w:t>
      </w:r>
    </w:p>
  </w:footnote>
  <w:footnote w:id="20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4.75</w:t>
      </w:r>
    </w:p>
  </w:footnote>
  <w:footnote w:id="20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w:t>
      </w:r>
    </w:p>
  </w:footnote>
  <w:footnote w:id="21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w:t>
      </w:r>
    </w:p>
  </w:footnote>
  <w:footnote w:id="21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HP </w:t>
      </w:r>
      <w:r>
        <w:rPr>
          <w:rFonts w:ascii="Times New Roman" w:hAnsi="Times New Roman" w:cs="Times New Roman"/>
        </w:rPr>
        <w:t>9.8</w:t>
      </w:r>
    </w:p>
  </w:footnote>
  <w:footnote w:id="21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2017: 167-68</w:t>
      </w:r>
    </w:p>
  </w:footnote>
  <w:footnote w:id="21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2002: 132</w:t>
      </w:r>
    </w:p>
  </w:footnote>
  <w:footnote w:id="214">
    <w:p w:rsidR="005D0A96" w:rsidRPr="00385CDE"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Plin.</w:t>
      </w:r>
      <w:proofErr w:type="gramEnd"/>
      <w:r>
        <w:rPr>
          <w:rFonts w:ascii="Times New Roman" w:hAnsi="Times New Roman" w:cs="Times New Roman"/>
        </w:rPr>
        <w:t xml:space="preserve"> </w:t>
      </w:r>
      <w:r w:rsidRPr="00385CDE">
        <w:rPr>
          <w:rFonts w:ascii="Times New Roman" w:hAnsi="Times New Roman" w:cs="Times New Roman"/>
          <w:i/>
          <w:lang w:val="es-ES"/>
        </w:rPr>
        <w:t xml:space="preserve">HN </w:t>
      </w:r>
      <w:r w:rsidRPr="00385CDE">
        <w:rPr>
          <w:rFonts w:ascii="Times New Roman" w:hAnsi="Times New Roman" w:cs="Times New Roman"/>
          <w:lang w:val="es-ES"/>
        </w:rPr>
        <w:t>20.144-58; cf. Hünemörder ‘Mint’</w:t>
      </w:r>
    </w:p>
  </w:footnote>
  <w:footnote w:id="21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sidRPr="00385CDE">
        <w:rPr>
          <w:rFonts w:ascii="Times New Roman" w:hAnsi="Times New Roman" w:cs="Times New Roman"/>
          <w:lang w:val="es-ES"/>
        </w:rPr>
        <w:t xml:space="preserve"> Diosc. </w:t>
      </w:r>
      <w:r>
        <w:rPr>
          <w:rFonts w:ascii="Times New Roman" w:hAnsi="Times New Roman" w:cs="Times New Roman"/>
          <w:i/>
        </w:rPr>
        <w:t xml:space="preserve">DMM </w:t>
      </w:r>
      <w:r>
        <w:rPr>
          <w:rFonts w:ascii="Times New Roman" w:hAnsi="Times New Roman" w:cs="Times New Roman"/>
        </w:rPr>
        <w:t>3.37-38</w:t>
      </w:r>
    </w:p>
  </w:footnote>
  <w:footnote w:id="21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174</w:t>
      </w:r>
    </w:p>
  </w:footnote>
  <w:footnote w:id="21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134</w:t>
      </w:r>
    </w:p>
  </w:footnote>
  <w:footnote w:id="21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Hünemörder (‘Mint’) turns to Ovid (</w:t>
      </w:r>
      <w:r>
        <w:rPr>
          <w:rFonts w:ascii="Times New Roman" w:hAnsi="Times New Roman" w:cs="Times New Roman"/>
          <w:i/>
        </w:rPr>
        <w:t xml:space="preserve">Met. </w:t>
      </w:r>
      <w:r>
        <w:rPr>
          <w:rFonts w:ascii="Times New Roman" w:hAnsi="Times New Roman" w:cs="Times New Roman"/>
        </w:rPr>
        <w:t xml:space="preserve">10.725) and Strabonius (8.3.14) for an account of the myth of Minthe and Persephone.  Ovid (trans. Innes), however, merely quotes Venus as saying, “Persephone was once allowed to change a woman’s body into fragrant mint,” as she prepares to turn her dead lover Adonis into an anemone (the color of which he likens to Persephone’s pomegranate, appropriately enough).  In medicine, there is an extra layer of irony, as pomegranate juice and mint root appear together in a mixture for stopping hiccups, vomiting, and excess cholera (Diosc. </w:t>
      </w:r>
      <w:r>
        <w:rPr>
          <w:rFonts w:ascii="Times New Roman" w:hAnsi="Times New Roman" w:cs="Times New Roman"/>
          <w:i/>
        </w:rPr>
        <w:t xml:space="preserve">DMM </w:t>
      </w:r>
      <w:r>
        <w:rPr>
          <w:rFonts w:ascii="Times New Roman" w:hAnsi="Times New Roman" w:cs="Times New Roman"/>
        </w:rPr>
        <w:t>3.37-38).</w:t>
      </w:r>
    </w:p>
  </w:footnote>
  <w:footnote w:id="21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At </w:t>
      </w:r>
      <w:r>
        <w:rPr>
          <w:rFonts w:ascii="Times New Roman" w:hAnsi="Times New Roman" w:cs="Times New Roman"/>
          <w:i/>
        </w:rPr>
        <w:t xml:space="preserve">HN </w:t>
      </w:r>
      <w:r>
        <w:rPr>
          <w:rFonts w:ascii="Times New Roman" w:hAnsi="Times New Roman" w:cs="Times New Roman"/>
        </w:rPr>
        <w:t>20.153, Pliny states that “[p]ennyroyal, boiled with honey and soda, cures intestinal disorders.  Taken in wine it acts as a diuretic and, if the wine is Aminian, it disperses kidney stones and all internal pains.”</w:t>
      </w:r>
    </w:p>
  </w:footnote>
  <w:footnote w:id="22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At </w:t>
      </w:r>
      <w:r>
        <w:rPr>
          <w:rFonts w:ascii="Times New Roman" w:hAnsi="Times New Roman" w:cs="Times New Roman"/>
          <w:i/>
        </w:rPr>
        <w:t xml:space="preserve">DMM </w:t>
      </w:r>
      <w:r>
        <w:rPr>
          <w:rFonts w:ascii="Times New Roman" w:hAnsi="Times New Roman" w:cs="Times New Roman"/>
        </w:rPr>
        <w:t>3.32, while disputing Pliny’s claims, Dioscorides posits that the honey-and-soda mixture was better for clearing up excess phlegm in the lungs, and that pennyroyal’s oil or juice could be used in a diluted vinegar solution to combat excess “black cholera.”</w:t>
      </w:r>
    </w:p>
  </w:footnote>
  <w:footnote w:id="22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4.112-13</w:t>
      </w:r>
    </w:p>
  </w:footnote>
  <w:footnote w:id="22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86-87</w:t>
      </w:r>
    </w:p>
  </w:footnote>
  <w:footnote w:id="22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72-73) attributes the first use to red flowers and the second use to white flowers.</w:t>
      </w:r>
    </w:p>
  </w:footnote>
  <w:footnote w:id="22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Pliny (</w:t>
      </w:r>
      <w:r>
        <w:rPr>
          <w:rFonts w:ascii="Times New Roman" w:hAnsi="Times New Roman" w:cs="Times New Roman"/>
          <w:i/>
        </w:rPr>
        <w:t xml:space="preserve">HN </w:t>
      </w:r>
      <w:r>
        <w:rPr>
          <w:rFonts w:ascii="Times New Roman" w:hAnsi="Times New Roman" w:cs="Times New Roman"/>
        </w:rPr>
        <w:t>27.45-52) preferred elixirs and amulets made from wormwood roots or leaves, whereas Dioscorides (</w:t>
      </w:r>
      <w:r>
        <w:rPr>
          <w:rFonts w:ascii="Times New Roman" w:hAnsi="Times New Roman" w:cs="Times New Roman"/>
          <w:i/>
        </w:rPr>
        <w:t xml:space="preserve">DMM </w:t>
      </w:r>
      <w:r>
        <w:rPr>
          <w:rFonts w:ascii="Times New Roman" w:hAnsi="Times New Roman" w:cs="Times New Roman"/>
        </w:rPr>
        <w:t>3.24-26) considered the herb’s juice more practical.</w:t>
      </w:r>
    </w:p>
  </w:footnote>
  <w:footnote w:id="22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261-62</w:t>
      </w:r>
    </w:p>
  </w:footnote>
  <w:footnote w:id="22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Moura, 2015: 224-28</w:t>
      </w:r>
    </w:p>
  </w:footnote>
  <w:footnote w:id="22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Hamlet </w:t>
      </w:r>
      <w:r>
        <w:rPr>
          <w:rFonts w:ascii="Times New Roman" w:hAnsi="Times New Roman" w:cs="Times New Roman"/>
        </w:rPr>
        <w:t>3.3, published in 1603</w:t>
      </w:r>
    </w:p>
  </w:footnote>
  <w:footnote w:id="228">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Diosc. </w:t>
      </w:r>
      <w:r>
        <w:rPr>
          <w:rFonts w:ascii="Times New Roman" w:hAnsi="Times New Roman" w:cs="Times New Roman"/>
          <w:i/>
          <w:lang w:val="es-ES"/>
        </w:rPr>
        <w:t xml:space="preserve">DMM </w:t>
      </w:r>
      <w:r>
        <w:rPr>
          <w:rFonts w:ascii="Times New Roman" w:hAnsi="Times New Roman" w:cs="Times New Roman"/>
          <w:lang w:val="es-ES"/>
        </w:rPr>
        <w:t>4.70</w:t>
      </w:r>
    </w:p>
  </w:footnote>
  <w:footnote w:id="229">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Moura, 2015: 226</w:t>
      </w:r>
    </w:p>
  </w:footnote>
  <w:footnote w:id="230">
    <w:p w:rsidR="005D0A96" w:rsidRDefault="005D0A96" w:rsidP="00385CDE">
      <w:pPr>
        <w:pStyle w:val="FootnoteText"/>
        <w:rPr>
          <w:rFonts w:ascii="Times New Roman" w:hAnsi="Times New Roman" w:cs="Times New Roman"/>
          <w:lang w:val="es-ES"/>
        </w:rPr>
      </w:pPr>
      <w:r>
        <w:rPr>
          <w:rStyle w:val="FootnoteReference"/>
          <w:rFonts w:ascii="Times New Roman" w:hAnsi="Times New Roman" w:cs="Times New Roman"/>
        </w:rPr>
        <w:footnoteRef/>
      </w:r>
      <w:r>
        <w:rPr>
          <w:rFonts w:ascii="Times New Roman" w:hAnsi="Times New Roman" w:cs="Times New Roman"/>
          <w:lang w:val="es-ES"/>
        </w:rPr>
        <w:t xml:space="preserve"> Diosc. </w:t>
      </w:r>
      <w:r>
        <w:rPr>
          <w:rFonts w:ascii="Times New Roman" w:hAnsi="Times New Roman" w:cs="Times New Roman"/>
          <w:i/>
          <w:lang w:val="es-ES"/>
        </w:rPr>
        <w:t xml:space="preserve">DMM </w:t>
      </w:r>
      <w:r>
        <w:rPr>
          <w:rFonts w:ascii="Times New Roman" w:hAnsi="Times New Roman" w:cs="Times New Roman"/>
          <w:lang w:val="es-ES"/>
        </w:rPr>
        <w:t>4.152</w:t>
      </w:r>
    </w:p>
  </w:footnote>
  <w:footnote w:id="23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Moura (2015: 226) makes this point.  Perhaps she is referring to the sorts of visions about which Theophrastus (</w:t>
      </w:r>
      <w:r>
        <w:rPr>
          <w:rFonts w:ascii="Times New Roman" w:hAnsi="Times New Roman" w:cs="Times New Roman"/>
          <w:i/>
        </w:rPr>
        <w:t xml:space="preserve">HP </w:t>
      </w:r>
      <w:r>
        <w:rPr>
          <w:rFonts w:ascii="Times New Roman" w:hAnsi="Times New Roman" w:cs="Times New Roman"/>
        </w:rPr>
        <w:t>9.8) warns harvesters: he relates a folk legend that seeing an eagle while cutting the root will ensure the cutter’s death within a year.</w:t>
      </w:r>
    </w:p>
  </w:footnote>
  <w:footnote w:id="23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3.37-38</w:t>
      </w:r>
    </w:p>
  </w:footnote>
  <w:footnote w:id="23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174</w:t>
      </w:r>
    </w:p>
  </w:footnote>
  <w:footnote w:id="23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w:t>
      </w:r>
    </w:p>
  </w:footnote>
  <w:footnote w:id="23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134</w:t>
      </w:r>
    </w:p>
  </w:footnote>
  <w:footnote w:id="23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3.30-31</w:t>
      </w:r>
    </w:p>
  </w:footnote>
  <w:footnote w:id="23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140-41</w:t>
      </w:r>
    </w:p>
  </w:footnote>
  <w:footnote w:id="23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Plin.</w:t>
      </w:r>
      <w:proofErr w:type="gramEnd"/>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20.198-202</w:t>
      </w:r>
    </w:p>
  </w:footnote>
  <w:footnote w:id="23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210-11 and Yronwode, 2002: 157</w:t>
      </w:r>
    </w:p>
  </w:footnote>
  <w:footnote w:id="24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261-62 and Moura, 2015: 224-28</w:t>
      </w:r>
    </w:p>
  </w:footnote>
  <w:footnote w:id="24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207</w:t>
      </w:r>
    </w:p>
  </w:footnote>
  <w:footnote w:id="24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The author of ‘Belladonna’ attributes the namesake of the </w:t>
      </w:r>
      <w:r>
        <w:rPr>
          <w:rFonts w:ascii="Times New Roman" w:hAnsi="Times New Roman" w:cs="Times New Roman"/>
          <w:i/>
        </w:rPr>
        <w:t xml:space="preserve">Atropa belladonna </w:t>
      </w:r>
      <w:r>
        <w:rPr>
          <w:rFonts w:ascii="Times New Roman" w:hAnsi="Times New Roman" w:cs="Times New Roman"/>
        </w:rPr>
        <w:t>version of Datura to “Venetian ladies of the court” in the early Renaissance, and reserves a place for it “in the medieval witches’ pharmacopoeia in brews and salves, used as a constituent in their flying ointments.”</w:t>
      </w:r>
    </w:p>
  </w:footnote>
  <w:footnote w:id="24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4.75</w:t>
      </w:r>
    </w:p>
  </w:footnote>
  <w:footnote w:id="24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2017: 100-01</w:t>
      </w:r>
    </w:p>
  </w:footnote>
  <w:footnote w:id="24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2015: 226</w:t>
      </w:r>
    </w:p>
  </w:footnote>
  <w:footnote w:id="246">
    <w:p w:rsidR="005D0A96" w:rsidRDefault="005D0A96" w:rsidP="00385CDE">
      <w:pPr>
        <w:pStyle w:val="FootnoteText"/>
      </w:pPr>
      <w:r>
        <w:rPr>
          <w:rStyle w:val="FootnoteReference"/>
          <w:rFonts w:ascii="Times New Roman" w:hAnsi="Times New Roman" w:cs="Times New Roman"/>
        </w:rPr>
        <w:footnoteRef/>
      </w:r>
      <w:r>
        <w:rPr>
          <w:rFonts w:ascii="Times New Roman" w:hAnsi="Times New Roman" w:cs="Times New Roman"/>
        </w:rPr>
        <w:t xml:space="preserve"> 2015: 221, 240-41</w:t>
      </w:r>
    </w:p>
  </w:footnote>
  <w:footnote w:id="24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‘Agrimonia eupatoria – L.’</w:t>
      </w:r>
    </w:p>
  </w:footnote>
  <w:footnote w:id="24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Chancellor, 1985</w:t>
      </w:r>
    </w:p>
  </w:footnote>
  <w:footnote w:id="24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Ps.-Hippoc. </w:t>
      </w:r>
      <w:r>
        <w:rPr>
          <w:rFonts w:ascii="Times New Roman" w:hAnsi="Times New Roman" w:cs="Times New Roman"/>
          <w:i/>
        </w:rPr>
        <w:t xml:space="preserve">Diseases </w:t>
      </w:r>
      <w:proofErr w:type="gramStart"/>
      <w:r>
        <w:rPr>
          <w:rFonts w:ascii="Times New Roman" w:hAnsi="Times New Roman" w:cs="Times New Roman"/>
        </w:rPr>
        <w:t>2.43,</w:t>
      </w:r>
      <w:proofErr w:type="gramEnd"/>
      <w:r>
        <w:rPr>
          <w:rFonts w:ascii="Times New Roman" w:hAnsi="Times New Roman" w:cs="Times New Roman"/>
        </w:rPr>
        <w:t xml:space="preserve"> cf. Diosc. </w:t>
      </w:r>
      <w:r>
        <w:rPr>
          <w:rFonts w:ascii="Times New Roman" w:hAnsi="Times New Roman" w:cs="Times New Roman"/>
          <w:i/>
        </w:rPr>
        <w:t xml:space="preserve">DMM </w:t>
      </w:r>
      <w:r>
        <w:rPr>
          <w:rFonts w:ascii="Times New Roman" w:hAnsi="Times New Roman" w:cs="Times New Roman"/>
        </w:rPr>
        <w:t>4.152</w:t>
      </w:r>
    </w:p>
  </w:footnote>
  <w:footnote w:id="25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4.151</w:t>
      </w:r>
    </w:p>
  </w:footnote>
  <w:footnote w:id="25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134-35</w:t>
      </w:r>
    </w:p>
  </w:footnote>
  <w:footnote w:id="25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4.75</w:t>
      </w:r>
    </w:p>
  </w:footnote>
  <w:footnote w:id="25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Ps.-Hippoc. </w:t>
      </w:r>
      <w:r>
        <w:rPr>
          <w:rFonts w:ascii="Times New Roman" w:hAnsi="Times New Roman" w:cs="Times New Roman"/>
          <w:i/>
        </w:rPr>
        <w:t xml:space="preserve">Places in Man </w:t>
      </w:r>
      <w:r>
        <w:rPr>
          <w:rFonts w:ascii="Times New Roman" w:hAnsi="Times New Roman" w:cs="Times New Roman"/>
        </w:rPr>
        <w:t>39</w:t>
      </w:r>
    </w:p>
  </w:footnote>
  <w:footnote w:id="25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4.112-13</w:t>
      </w:r>
    </w:p>
  </w:footnote>
  <w:footnote w:id="25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Hom.</w:t>
      </w:r>
      <w:proofErr w:type="gramEnd"/>
      <w:r>
        <w:rPr>
          <w:rFonts w:ascii="Times New Roman" w:hAnsi="Times New Roman" w:cs="Times New Roman"/>
        </w:rPr>
        <w:t xml:space="preserve"> </w:t>
      </w:r>
      <w:proofErr w:type="gramStart"/>
      <w:r>
        <w:rPr>
          <w:rFonts w:ascii="Times New Roman" w:hAnsi="Times New Roman" w:cs="Times New Roman"/>
          <w:i/>
        </w:rPr>
        <w:t>Od</w:t>
      </w:r>
      <w:proofErr w:type="gramEnd"/>
      <w:r>
        <w:rPr>
          <w:rFonts w:ascii="Times New Roman" w:hAnsi="Times New Roman" w:cs="Times New Roman"/>
          <w:i/>
        </w:rPr>
        <w:t xml:space="preserve">. </w:t>
      </w:r>
      <w:r>
        <w:rPr>
          <w:rFonts w:ascii="Times New Roman" w:hAnsi="Times New Roman" w:cs="Times New Roman"/>
        </w:rPr>
        <w:t>9.91-97</w:t>
      </w:r>
    </w:p>
  </w:footnote>
  <w:footnote w:id="25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 (trans. Lang, Leaf, and Myers)</w:t>
      </w:r>
    </w:p>
  </w:footnote>
  <w:footnote w:id="25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86-87</w:t>
      </w:r>
    </w:p>
  </w:footnote>
  <w:footnote w:id="25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3.24-26</w:t>
      </w:r>
    </w:p>
  </w:footnote>
  <w:footnote w:id="25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20.144-58; cf. Hünemörder ‘Mint’</w:t>
      </w:r>
    </w:p>
  </w:footnote>
  <w:footnote w:id="26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2017: 174</w:t>
      </w:r>
    </w:p>
  </w:footnote>
  <w:footnote w:id="26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3.37-38</w:t>
      </w:r>
    </w:p>
  </w:footnote>
  <w:footnote w:id="26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2015: 224</w:t>
      </w:r>
    </w:p>
  </w:footnote>
  <w:footnote w:id="26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2002: 134</w:t>
      </w:r>
    </w:p>
  </w:footnote>
  <w:footnote w:id="26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i/>
        </w:rPr>
        <w:t>Metam.</w:t>
      </w:r>
      <w:proofErr w:type="gramEnd"/>
      <w:r>
        <w:rPr>
          <w:rFonts w:ascii="Times New Roman" w:hAnsi="Times New Roman" w:cs="Times New Roman"/>
          <w:i/>
        </w:rPr>
        <w:t xml:space="preserve"> </w:t>
      </w:r>
      <w:r>
        <w:rPr>
          <w:rFonts w:ascii="Times New Roman" w:hAnsi="Times New Roman" w:cs="Times New Roman"/>
        </w:rPr>
        <w:t>9.729</w:t>
      </w:r>
    </w:p>
  </w:footnote>
  <w:footnote w:id="26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2004: 238 </w:t>
      </w:r>
    </w:p>
  </w:footnote>
  <w:footnote w:id="266">
    <w:p w:rsidR="005D0A96" w:rsidRDefault="005D0A96" w:rsidP="00385CDE">
      <w:pPr>
        <w:pStyle w:val="FootnoteText"/>
      </w:pPr>
      <w:r>
        <w:rPr>
          <w:rStyle w:val="FootnoteReference"/>
          <w:rFonts w:ascii="Times New Roman" w:hAnsi="Times New Roman" w:cs="Times New Roman"/>
        </w:rPr>
        <w:footnoteRef/>
      </w:r>
      <w:r>
        <w:rPr>
          <w:rFonts w:ascii="Times New Roman" w:hAnsi="Times New Roman" w:cs="Times New Roman"/>
        </w:rPr>
        <w:t xml:space="preserve"> 2005: 128</w:t>
      </w:r>
    </w:p>
  </w:footnote>
  <w:footnote w:id="26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2017: 198</w:t>
      </w:r>
    </w:p>
  </w:footnote>
  <w:footnote w:id="26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20.152-57</w:t>
      </w:r>
    </w:p>
  </w:footnote>
  <w:footnote w:id="26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3.32</w:t>
      </w:r>
    </w:p>
  </w:footnote>
  <w:footnote w:id="27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ibid. for both Diosc.</w:t>
      </w:r>
      <w:proofErr w:type="gramEnd"/>
      <w:r>
        <w:rPr>
          <w:rFonts w:ascii="Times New Roman" w:hAnsi="Times New Roman" w:cs="Times New Roman"/>
        </w:rPr>
        <w:t xml:space="preserve"> </w:t>
      </w:r>
      <w:proofErr w:type="gramStart"/>
      <w:r>
        <w:rPr>
          <w:rFonts w:ascii="Times New Roman" w:hAnsi="Times New Roman" w:cs="Times New Roman"/>
        </w:rPr>
        <w:t>and</w:t>
      </w:r>
      <w:proofErr w:type="gramEnd"/>
      <w:r>
        <w:rPr>
          <w:rFonts w:ascii="Times New Roman" w:hAnsi="Times New Roman" w:cs="Times New Roman"/>
        </w:rPr>
        <w:t xml:space="preserve"> Plin.</w:t>
      </w:r>
    </w:p>
  </w:footnote>
  <w:footnote w:id="27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2002: 143-44</w:t>
      </w:r>
    </w:p>
  </w:footnote>
  <w:footnote w:id="27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2015: 223-27</w:t>
      </w:r>
    </w:p>
  </w:footnote>
  <w:footnote w:id="27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2017: 230</w:t>
      </w:r>
    </w:p>
  </w:footnote>
  <w:footnote w:id="27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CH </w:t>
      </w:r>
      <w:r>
        <w:rPr>
          <w:rFonts w:ascii="Times New Roman" w:hAnsi="Times New Roman" w:cs="Times New Roman"/>
        </w:rPr>
        <w:t>40; cf. Touwaide ‘Medicinal Plants’</w:t>
      </w:r>
    </w:p>
  </w:footnote>
  <w:footnote w:id="27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3.30-31</w:t>
      </w:r>
    </w:p>
  </w:footnote>
  <w:footnote w:id="27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2002: 140-41</w:t>
      </w:r>
    </w:p>
  </w:footnote>
  <w:footnote w:id="27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2002: 141</w:t>
      </w:r>
    </w:p>
  </w:footnote>
  <w:footnote w:id="27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2002: 132</w:t>
      </w:r>
    </w:p>
  </w:footnote>
  <w:footnote w:id="27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2002: 87</w:t>
      </w:r>
    </w:p>
  </w:footnote>
  <w:footnote w:id="28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p. 21, in the 1986 printing.</w:t>
      </w:r>
      <w:proofErr w:type="gramEnd"/>
    </w:p>
  </w:footnote>
  <w:footnote w:id="281">
    <w:p w:rsidR="005D0A96" w:rsidRDefault="005D0A96" w:rsidP="00385CDE">
      <w:pPr>
        <w:pStyle w:val="FootnoteText"/>
      </w:pPr>
      <w:r>
        <w:rPr>
          <w:rStyle w:val="FootnoteReference"/>
          <w:rFonts w:ascii="Times New Roman" w:hAnsi="Times New Roman" w:cs="Times New Roman"/>
        </w:rPr>
        <w:footnoteRef/>
      </w:r>
      <w:r>
        <w:rPr>
          <w:rFonts w:ascii="Times New Roman" w:hAnsi="Times New Roman" w:cs="Times New Roman"/>
        </w:rPr>
        <w:t xml:space="preserve"> 2002: 18</w:t>
      </w:r>
    </w:p>
  </w:footnote>
  <w:footnote w:id="28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Plin.</w:t>
      </w:r>
      <w:proofErr w:type="gramEnd"/>
      <w:r>
        <w:rPr>
          <w:rFonts w:ascii="Times New Roman" w:hAnsi="Times New Roman" w:cs="Times New Roman"/>
        </w:rPr>
        <w:t xml:space="preserve"> </w:t>
      </w:r>
      <w:r>
        <w:rPr>
          <w:rFonts w:ascii="Times New Roman" w:hAnsi="Times New Roman" w:cs="Times New Roman"/>
          <w:i/>
        </w:rPr>
        <w:t xml:space="preserve">HN </w:t>
      </w:r>
      <w:r>
        <w:rPr>
          <w:rFonts w:ascii="Times New Roman" w:hAnsi="Times New Roman" w:cs="Times New Roman"/>
        </w:rPr>
        <w:t>20.198-202</w:t>
      </w:r>
    </w:p>
  </w:footnote>
  <w:footnote w:id="28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157</w:t>
      </w:r>
    </w:p>
  </w:footnote>
  <w:footnote w:id="28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PDM </w:t>
      </w:r>
      <w:r>
        <w:rPr>
          <w:rFonts w:ascii="Times New Roman" w:hAnsi="Times New Roman" w:cs="Times New Roman"/>
        </w:rPr>
        <w:t>Col. 24</w:t>
      </w:r>
    </w:p>
  </w:footnote>
  <w:footnote w:id="28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PGM </w:t>
      </w:r>
      <w:r>
        <w:rPr>
          <w:rFonts w:ascii="Times New Roman" w:hAnsi="Times New Roman" w:cs="Times New Roman"/>
        </w:rPr>
        <w:t>4.1716-1870, calling for 4 drams of opium in a myrrh-centered offering</w:t>
      </w:r>
    </w:p>
  </w:footnote>
  <w:footnote w:id="28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Hünemörder (‘Intoxicating Substances’) insists that this is the Egyptian “drug to lull all pain and anger, and bring forgetfulness of every sorrow” which Zeus’ sorceress daughter drops into wine at Telemachus’ and Menelaus’ feast (Homer </w:t>
      </w:r>
      <w:r>
        <w:rPr>
          <w:rFonts w:ascii="Times New Roman" w:hAnsi="Times New Roman" w:cs="Times New Roman"/>
          <w:i/>
        </w:rPr>
        <w:t xml:space="preserve">Odyssey </w:t>
      </w:r>
      <w:r>
        <w:rPr>
          <w:rFonts w:ascii="Times New Roman" w:hAnsi="Times New Roman" w:cs="Times New Roman"/>
        </w:rPr>
        <w:t>4.219-29, trans. Lang, Leaf, and Myers).</w:t>
      </w:r>
    </w:p>
  </w:footnote>
  <w:footnote w:id="28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3.37-38, 3.24-26, and 4.112-13, respectively</w:t>
      </w:r>
    </w:p>
  </w:footnote>
  <w:footnote w:id="28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3.30 and 3.32, respectively</w:t>
      </w:r>
    </w:p>
  </w:footnote>
  <w:footnote w:id="289">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3.32</w:t>
      </w:r>
    </w:p>
  </w:footnote>
  <w:footnote w:id="29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95, </w:t>
      </w:r>
      <w:r>
        <w:rPr>
          <w:rFonts w:ascii="Times New Roman" w:hAnsi="Times New Roman" w:cs="Times New Roman"/>
          <w:i/>
        </w:rPr>
        <w:t xml:space="preserve">PGM </w:t>
      </w:r>
      <w:r>
        <w:rPr>
          <w:rFonts w:ascii="Times New Roman" w:hAnsi="Times New Roman" w:cs="Times New Roman"/>
        </w:rPr>
        <w:t xml:space="preserve">1.34, and </w:t>
      </w:r>
      <w:r>
        <w:rPr>
          <w:rFonts w:ascii="Times New Roman" w:hAnsi="Times New Roman" w:cs="Times New Roman"/>
          <w:i/>
        </w:rPr>
        <w:t xml:space="preserve">PDM </w:t>
      </w:r>
      <w:r>
        <w:rPr>
          <w:rFonts w:ascii="Times New Roman" w:hAnsi="Times New Roman" w:cs="Times New Roman"/>
        </w:rPr>
        <w:t>Col. 12 show this in cucumber and reeds.</w:t>
      </w:r>
    </w:p>
  </w:footnote>
  <w:footnote w:id="29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The plant’s common name, per A. Rich ‘Ecballium elaterium – (L.).’</w:t>
      </w:r>
      <w:proofErr w:type="gramEnd"/>
    </w:p>
  </w:footnote>
  <w:footnote w:id="29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Sciatica for cucumber (Diosc.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 xml:space="preserve">4.155), and dislocations and fractures for reeds (Cato </w:t>
      </w:r>
      <w:r>
        <w:rPr>
          <w:rFonts w:ascii="Times New Roman" w:hAnsi="Times New Roman" w:cs="Times New Roman"/>
          <w:i/>
        </w:rPr>
        <w:t xml:space="preserve">De Agri Cultura </w:t>
      </w:r>
      <w:r>
        <w:rPr>
          <w:rFonts w:ascii="Times New Roman" w:hAnsi="Times New Roman" w:cs="Times New Roman"/>
        </w:rPr>
        <w:t>160)</w:t>
      </w:r>
    </w:p>
  </w:footnote>
  <w:footnote w:id="29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CH </w:t>
      </w:r>
      <w:r>
        <w:rPr>
          <w:rFonts w:ascii="Times New Roman" w:hAnsi="Times New Roman" w:cs="Times New Roman"/>
        </w:rPr>
        <w:t>33; cf. Touwaide ‘Medicinal Plants’</w:t>
      </w:r>
    </w:p>
  </w:footnote>
  <w:footnote w:id="29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Yronwode, 2002: 140-41, 207 and Moura, 2015: 228 show this in oregano and wormwood.</w:t>
      </w:r>
    </w:p>
  </w:footnote>
  <w:footnote w:id="29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Plin.</w:t>
      </w:r>
      <w:proofErr w:type="gramEnd"/>
      <w:r>
        <w:rPr>
          <w:rFonts w:ascii="Times New Roman" w:hAnsi="Times New Roman" w:cs="Times New Roman"/>
        </w:rPr>
        <w:t xml:space="preserve"> </w:t>
      </w:r>
      <w:proofErr w:type="gramStart"/>
      <w:r>
        <w:rPr>
          <w:rFonts w:ascii="Times New Roman" w:hAnsi="Times New Roman" w:cs="Times New Roman"/>
          <w:i/>
        </w:rPr>
        <w:t xml:space="preserve">HN </w:t>
      </w:r>
      <w:r>
        <w:rPr>
          <w:rFonts w:ascii="Times New Roman" w:hAnsi="Times New Roman" w:cs="Times New Roman"/>
        </w:rPr>
        <w:t>27.45-52 and Diosc.</w:t>
      </w:r>
      <w:proofErr w:type="gramEnd"/>
      <w:r>
        <w:rPr>
          <w:rFonts w:ascii="Times New Roman" w:hAnsi="Times New Roman" w:cs="Times New Roman"/>
        </w:rPr>
        <w:t xml:space="preserve"> </w:t>
      </w:r>
      <w:r>
        <w:rPr>
          <w:rFonts w:ascii="Times New Roman" w:hAnsi="Times New Roman" w:cs="Times New Roman"/>
          <w:i/>
        </w:rPr>
        <w:t xml:space="preserve">DMM </w:t>
      </w:r>
      <w:r>
        <w:rPr>
          <w:rFonts w:ascii="Times New Roman" w:hAnsi="Times New Roman" w:cs="Times New Roman"/>
        </w:rPr>
        <w:t xml:space="preserve">3.24-26 show this in wormwood, and </w:t>
      </w:r>
      <w:r>
        <w:rPr>
          <w:rFonts w:ascii="Times New Roman" w:hAnsi="Times New Roman" w:cs="Times New Roman"/>
          <w:i/>
        </w:rPr>
        <w:t xml:space="preserve">DMM </w:t>
      </w:r>
      <w:r>
        <w:rPr>
          <w:rFonts w:ascii="Times New Roman" w:hAnsi="Times New Roman" w:cs="Times New Roman"/>
        </w:rPr>
        <w:t>3.30-31 shows this in oregano.</w:t>
      </w:r>
    </w:p>
  </w:footnote>
  <w:footnote w:id="296">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Cunningham, 2017: 100-01, and especially Moura, 2015: 226, offer proof of this.</w:t>
      </w:r>
    </w:p>
  </w:footnote>
  <w:footnote w:id="297">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Moura, 2015: 228 and </w:t>
      </w:r>
      <w:r>
        <w:rPr>
          <w:rFonts w:ascii="Times New Roman" w:hAnsi="Times New Roman" w:cs="Times New Roman"/>
          <w:i/>
        </w:rPr>
        <w:t xml:space="preserve">PGM </w:t>
      </w:r>
      <w:r>
        <w:rPr>
          <w:rFonts w:ascii="Times New Roman" w:hAnsi="Times New Roman" w:cs="Times New Roman"/>
        </w:rPr>
        <w:t xml:space="preserve">4.1331-89 show this in wormwood; Cunningham, 2017: 210-11, Yronwode, 2002: 157, and </w:t>
      </w:r>
      <w:r>
        <w:rPr>
          <w:rFonts w:ascii="Times New Roman" w:hAnsi="Times New Roman" w:cs="Times New Roman"/>
          <w:i/>
        </w:rPr>
        <w:t xml:space="preserve">PDM </w:t>
      </w:r>
      <w:r>
        <w:rPr>
          <w:rFonts w:ascii="Times New Roman" w:hAnsi="Times New Roman" w:cs="Times New Roman"/>
        </w:rPr>
        <w:t>Col. 24 show this in poppy.</w:t>
      </w:r>
    </w:p>
  </w:footnote>
  <w:footnote w:id="298">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2015: 226-28</w:t>
      </w:r>
    </w:p>
  </w:footnote>
  <w:footnote w:id="299">
    <w:p w:rsidR="005D0A96" w:rsidRPr="0005775A"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See King (2006: 27) and Hippoc. </w:t>
      </w:r>
      <w:proofErr w:type="gramStart"/>
      <w:r>
        <w:rPr>
          <w:rFonts w:ascii="Times New Roman" w:hAnsi="Times New Roman" w:cs="Times New Roman"/>
          <w:i/>
        </w:rPr>
        <w:t>On the Sac.</w:t>
      </w:r>
      <w:proofErr w:type="gramEnd"/>
      <w:r>
        <w:rPr>
          <w:rFonts w:ascii="Times New Roman" w:hAnsi="Times New Roman" w:cs="Times New Roman"/>
          <w:i/>
        </w:rPr>
        <w:t xml:space="preserve"> </w:t>
      </w:r>
      <w:proofErr w:type="gramStart"/>
      <w:r>
        <w:rPr>
          <w:rFonts w:ascii="Times New Roman" w:hAnsi="Times New Roman" w:cs="Times New Roman"/>
          <w:i/>
        </w:rPr>
        <w:t xml:space="preserve">Dis. </w:t>
      </w:r>
      <w:r>
        <w:rPr>
          <w:rFonts w:ascii="Times New Roman" w:hAnsi="Times New Roman" w:cs="Times New Roman"/>
        </w:rPr>
        <w:t>regarding “the base of the intellect.”</w:t>
      </w:r>
      <w:proofErr w:type="gramEnd"/>
    </w:p>
  </w:footnote>
  <w:footnote w:id="300">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e.g</w:t>
      </w:r>
      <w:proofErr w:type="gramEnd"/>
      <w:r>
        <w:rPr>
          <w:rFonts w:ascii="Times New Roman" w:hAnsi="Times New Roman" w:cs="Times New Roman"/>
        </w:rPr>
        <w:t xml:space="preserve">. hellebore (Plin. </w:t>
      </w:r>
      <w:proofErr w:type="gramStart"/>
      <w:r>
        <w:rPr>
          <w:rFonts w:ascii="Times New Roman" w:hAnsi="Times New Roman" w:cs="Times New Roman"/>
          <w:i/>
        </w:rPr>
        <w:t xml:space="preserve">HN </w:t>
      </w:r>
      <w:r>
        <w:rPr>
          <w:rFonts w:ascii="Times New Roman" w:hAnsi="Times New Roman" w:cs="Times New Roman"/>
        </w:rPr>
        <w:t>27.6).</w:t>
      </w:r>
      <w:proofErr w:type="gramEnd"/>
      <w:r>
        <w:rPr>
          <w:rFonts w:ascii="Times New Roman" w:hAnsi="Times New Roman" w:cs="Times New Roman"/>
        </w:rPr>
        <w:t xml:space="preserve">  For more information, see Diosc. </w:t>
      </w:r>
      <w:proofErr w:type="gramStart"/>
      <w:r>
        <w:rPr>
          <w:rFonts w:ascii="Times New Roman" w:hAnsi="Times New Roman" w:cs="Times New Roman"/>
          <w:i/>
        </w:rPr>
        <w:t xml:space="preserve">DMM </w:t>
      </w:r>
      <w:r>
        <w:rPr>
          <w:rFonts w:ascii="Times New Roman" w:hAnsi="Times New Roman" w:cs="Times New Roman"/>
        </w:rPr>
        <w:t>4.75, 4.152; Ps.-Hippoc.</w:t>
      </w:r>
      <w:proofErr w:type="gramEnd"/>
      <w:r>
        <w:rPr>
          <w:rFonts w:ascii="Times New Roman" w:hAnsi="Times New Roman" w:cs="Times New Roman"/>
        </w:rPr>
        <w:t xml:space="preserve"> </w:t>
      </w:r>
      <w:proofErr w:type="gramStart"/>
      <w:r>
        <w:rPr>
          <w:rFonts w:ascii="Times New Roman" w:hAnsi="Times New Roman" w:cs="Times New Roman"/>
          <w:i/>
        </w:rPr>
        <w:t xml:space="preserve">Dis. </w:t>
      </w:r>
      <w:r>
        <w:rPr>
          <w:rFonts w:ascii="Times New Roman" w:hAnsi="Times New Roman" w:cs="Times New Roman"/>
        </w:rPr>
        <w:t>2.43; Hippoc.</w:t>
      </w:r>
      <w:proofErr w:type="gramEnd"/>
      <w:r>
        <w:rPr>
          <w:rFonts w:ascii="Times New Roman" w:hAnsi="Times New Roman" w:cs="Times New Roman"/>
        </w:rPr>
        <w:t xml:space="preserve"> </w:t>
      </w:r>
      <w:proofErr w:type="gramStart"/>
      <w:r>
        <w:rPr>
          <w:rFonts w:ascii="Times New Roman" w:hAnsi="Times New Roman" w:cs="Times New Roman"/>
          <w:i/>
        </w:rPr>
        <w:t>Aph.</w:t>
      </w:r>
      <w:proofErr w:type="gramEnd"/>
      <w:r>
        <w:rPr>
          <w:rFonts w:ascii="Times New Roman" w:hAnsi="Times New Roman" w:cs="Times New Roman"/>
          <w:i/>
        </w:rPr>
        <w:t xml:space="preserve"> </w:t>
      </w:r>
      <w:proofErr w:type="gramStart"/>
      <w:r>
        <w:rPr>
          <w:rFonts w:ascii="Times New Roman" w:hAnsi="Times New Roman" w:cs="Times New Roman"/>
        </w:rPr>
        <w:t>4; and Touwaide ‘Medicinal Plants.’</w:t>
      </w:r>
      <w:proofErr w:type="gramEnd"/>
    </w:p>
  </w:footnote>
  <w:footnote w:id="301">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e.g</w:t>
      </w:r>
      <w:proofErr w:type="gramEnd"/>
      <w:r>
        <w:rPr>
          <w:rFonts w:ascii="Times New Roman" w:hAnsi="Times New Roman" w:cs="Times New Roman"/>
        </w:rPr>
        <w:t xml:space="preserve">. </w:t>
      </w:r>
      <w:r>
        <w:rPr>
          <w:rFonts w:ascii="Times New Roman" w:hAnsi="Times New Roman" w:cs="Times New Roman"/>
          <w:i/>
        </w:rPr>
        <w:t xml:space="preserve">PGM </w:t>
      </w:r>
      <w:r>
        <w:rPr>
          <w:rFonts w:ascii="Times New Roman" w:hAnsi="Times New Roman" w:cs="Times New Roman"/>
        </w:rPr>
        <w:t>36.320-32, where henbane is worn in a sterility amulet during sex.</w:t>
      </w:r>
    </w:p>
  </w:footnote>
  <w:footnote w:id="302">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e.g., myrrh (Diosc.</w:t>
      </w:r>
      <w:proofErr w:type="gramEnd"/>
      <w:r>
        <w:rPr>
          <w:rFonts w:ascii="Times New Roman" w:hAnsi="Times New Roman" w:cs="Times New Roman"/>
        </w:rPr>
        <w:t xml:space="preserve"> </w:t>
      </w:r>
      <w:proofErr w:type="gramStart"/>
      <w:r>
        <w:rPr>
          <w:rFonts w:ascii="Times New Roman" w:hAnsi="Times New Roman" w:cs="Times New Roman"/>
          <w:i/>
        </w:rPr>
        <w:t xml:space="preserve">DMM </w:t>
      </w:r>
      <w:r>
        <w:rPr>
          <w:rFonts w:ascii="Times New Roman" w:hAnsi="Times New Roman" w:cs="Times New Roman"/>
        </w:rPr>
        <w:t>1.63) and fennel (Touwaide ‘Medicinal Plants,’ Plin.</w:t>
      </w:r>
      <w:proofErr w:type="gramEnd"/>
      <w:r>
        <w:rPr>
          <w:rFonts w:ascii="Times New Roman" w:hAnsi="Times New Roman" w:cs="Times New Roman"/>
        </w:rPr>
        <w:t xml:space="preserve"> </w:t>
      </w:r>
      <w:proofErr w:type="gramStart"/>
      <w:r>
        <w:rPr>
          <w:rFonts w:ascii="Times New Roman" w:hAnsi="Times New Roman" w:cs="Times New Roman"/>
          <w:i/>
        </w:rPr>
        <w:t xml:space="preserve">HN </w:t>
      </w:r>
      <w:r>
        <w:rPr>
          <w:rFonts w:ascii="Times New Roman" w:hAnsi="Times New Roman" w:cs="Times New Roman"/>
        </w:rPr>
        <w:t>20.264).</w:t>
      </w:r>
      <w:proofErr w:type="gramEnd"/>
    </w:p>
  </w:footnote>
  <w:footnote w:id="303">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 xml:space="preserve">On Recognising the Best Physicians </w:t>
      </w:r>
      <w:r>
        <w:rPr>
          <w:rFonts w:ascii="Times New Roman" w:hAnsi="Times New Roman" w:cs="Times New Roman"/>
        </w:rPr>
        <w:t>10.2; cf. King, 2006: 44</w:t>
      </w:r>
    </w:p>
  </w:footnote>
  <w:footnote w:id="304">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See King (2006: 28) on Erasistratus’ theory of </w:t>
      </w:r>
      <w:r>
        <w:rPr>
          <w:rFonts w:ascii="Times New Roman" w:hAnsi="Times New Roman" w:cs="Times New Roman"/>
          <w:i/>
        </w:rPr>
        <w:t xml:space="preserve">“pneuma” </w:t>
      </w:r>
      <w:r>
        <w:rPr>
          <w:rFonts w:ascii="Times New Roman" w:hAnsi="Times New Roman" w:cs="Times New Roman"/>
        </w:rPr>
        <w:t xml:space="preserve">(breaths, or “airs”); cf. Longrigg (1998: 45) on </w:t>
      </w:r>
      <w:r>
        <w:rPr>
          <w:rFonts w:ascii="Times New Roman" w:hAnsi="Times New Roman" w:cs="Times New Roman"/>
          <w:i/>
        </w:rPr>
        <w:t xml:space="preserve">“pneuma” </w:t>
      </w:r>
      <w:r>
        <w:rPr>
          <w:rFonts w:ascii="Times New Roman" w:hAnsi="Times New Roman" w:cs="Times New Roman"/>
        </w:rPr>
        <w:t xml:space="preserve">and </w:t>
      </w:r>
      <w:r>
        <w:rPr>
          <w:rFonts w:ascii="Times New Roman" w:hAnsi="Times New Roman" w:cs="Times New Roman"/>
          <w:i/>
        </w:rPr>
        <w:t xml:space="preserve">“physai” </w:t>
      </w:r>
      <w:r>
        <w:rPr>
          <w:rFonts w:ascii="Times New Roman" w:hAnsi="Times New Roman" w:cs="Times New Roman"/>
        </w:rPr>
        <w:t xml:space="preserve">(gases) in Hippoc. </w:t>
      </w:r>
      <w:proofErr w:type="gramStart"/>
      <w:r>
        <w:rPr>
          <w:rFonts w:ascii="Times New Roman" w:hAnsi="Times New Roman" w:cs="Times New Roman"/>
          <w:i/>
        </w:rPr>
        <w:t xml:space="preserve">Breaths </w:t>
      </w:r>
      <w:r>
        <w:rPr>
          <w:rFonts w:ascii="Times New Roman" w:hAnsi="Times New Roman" w:cs="Times New Roman"/>
        </w:rPr>
        <w:t>7.</w:t>
      </w:r>
      <w:proofErr w:type="gramEnd"/>
    </w:p>
  </w:footnote>
  <w:footnote w:id="305">
    <w:p w:rsidR="005D0A96" w:rsidRDefault="005D0A96" w:rsidP="00385CDE">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According to Pliny </w:t>
      </w:r>
      <w:r>
        <w:rPr>
          <w:rFonts w:ascii="Times New Roman" w:hAnsi="Times New Roman" w:cs="Times New Roman"/>
          <w:i/>
        </w:rPr>
        <w:t>HN</w:t>
      </w:r>
      <w:r>
        <w:rPr>
          <w:rFonts w:ascii="Times New Roman" w:hAnsi="Times New Roman" w:cs="Times New Roman"/>
        </w:rPr>
        <w:t xml:space="preserve"> 20.157, but also noted by Cunningham (2017: 174), et al.</w:t>
      </w:r>
    </w:p>
  </w:footnote>
  <w:footnote w:id="306">
    <w:p w:rsidR="005D0A96" w:rsidRPr="00DC7566" w:rsidRDefault="005D0A96" w:rsidP="00385CDE">
      <w:pPr>
        <w:pStyle w:val="FootnoteText"/>
        <w:rPr>
          <w:rFonts w:ascii="Times New Roman" w:hAnsi="Times New Roman" w:cs="Times New Roman"/>
        </w:rPr>
      </w:pPr>
      <w:r w:rsidRPr="00DC7566">
        <w:rPr>
          <w:rStyle w:val="FootnoteReference"/>
          <w:rFonts w:ascii="Times New Roman" w:hAnsi="Times New Roman" w:cs="Times New Roman"/>
        </w:rPr>
        <w:footnoteRef/>
      </w:r>
      <w:r w:rsidRPr="00DC7566">
        <w:rPr>
          <w:rFonts w:ascii="Times New Roman" w:hAnsi="Times New Roman" w:cs="Times New Roman"/>
        </w:rPr>
        <w:t xml:space="preserve"> </w:t>
      </w:r>
      <w:proofErr w:type="gramStart"/>
      <w:r w:rsidRPr="00DC7566">
        <w:rPr>
          <w:rFonts w:ascii="Times New Roman" w:hAnsi="Times New Roman" w:cs="Times New Roman"/>
        </w:rPr>
        <w:t>Hom.</w:t>
      </w:r>
      <w:proofErr w:type="gramEnd"/>
      <w:r w:rsidRPr="00DC7566">
        <w:rPr>
          <w:rFonts w:ascii="Times New Roman" w:hAnsi="Times New Roman" w:cs="Times New Roman"/>
        </w:rPr>
        <w:t xml:space="preserve"> </w:t>
      </w:r>
      <w:r w:rsidRPr="00DC7566">
        <w:rPr>
          <w:rFonts w:ascii="Times New Roman" w:hAnsi="Times New Roman" w:cs="Times New Roman"/>
          <w:i/>
        </w:rPr>
        <w:t xml:space="preserve">Il. </w:t>
      </w:r>
      <w:r w:rsidRPr="00DC7566">
        <w:rPr>
          <w:rFonts w:ascii="Times New Roman" w:hAnsi="Times New Roman" w:cs="Times New Roman"/>
        </w:rPr>
        <w:t>4.218</w:t>
      </w:r>
    </w:p>
  </w:footnote>
  <w:footnote w:id="307">
    <w:p w:rsidR="005D0A96" w:rsidRPr="00DC7566" w:rsidRDefault="005D0A96" w:rsidP="00385CDE">
      <w:pPr>
        <w:pStyle w:val="FootnoteText"/>
        <w:rPr>
          <w:rFonts w:ascii="Times New Roman" w:hAnsi="Times New Roman" w:cs="Times New Roman"/>
        </w:rPr>
      </w:pPr>
      <w:r w:rsidRPr="00DC7566">
        <w:rPr>
          <w:rStyle w:val="FootnoteReference"/>
          <w:rFonts w:ascii="Times New Roman" w:hAnsi="Times New Roman" w:cs="Times New Roman"/>
        </w:rPr>
        <w:footnoteRef/>
      </w:r>
      <w:r w:rsidRPr="00DC7566">
        <w:rPr>
          <w:rFonts w:ascii="Times New Roman" w:hAnsi="Times New Roman" w:cs="Times New Roman"/>
        </w:rPr>
        <w:t xml:space="preserve"> </w:t>
      </w:r>
      <w:proofErr w:type="gramStart"/>
      <w:r w:rsidRPr="00DC7566">
        <w:rPr>
          <w:rFonts w:ascii="Times New Roman" w:hAnsi="Times New Roman" w:cs="Times New Roman"/>
        </w:rPr>
        <w:t>Hes.</w:t>
      </w:r>
      <w:proofErr w:type="gramEnd"/>
      <w:r w:rsidRPr="00DC7566">
        <w:rPr>
          <w:rFonts w:ascii="Times New Roman" w:hAnsi="Times New Roman" w:cs="Times New Roman"/>
        </w:rPr>
        <w:t xml:space="preserve"> </w:t>
      </w:r>
      <w:r w:rsidRPr="00DC7566">
        <w:rPr>
          <w:rFonts w:ascii="Times New Roman" w:hAnsi="Times New Roman" w:cs="Times New Roman"/>
          <w:i/>
        </w:rPr>
        <w:t xml:space="preserve">Op. </w:t>
      </w:r>
      <w:proofErr w:type="gramStart"/>
      <w:r w:rsidRPr="00DC7566">
        <w:rPr>
          <w:rFonts w:ascii="Times New Roman" w:hAnsi="Times New Roman" w:cs="Times New Roman"/>
          <w:i/>
        </w:rPr>
        <w:t>et</w:t>
      </w:r>
      <w:proofErr w:type="gramEnd"/>
      <w:r w:rsidRPr="00DC7566">
        <w:rPr>
          <w:rFonts w:ascii="Times New Roman" w:hAnsi="Times New Roman" w:cs="Times New Roman"/>
          <w:i/>
        </w:rPr>
        <w:t xml:space="preserve"> Di. </w:t>
      </w:r>
      <w:r w:rsidRPr="00DC7566">
        <w:rPr>
          <w:rFonts w:ascii="Times New Roman" w:hAnsi="Times New Roman" w:cs="Times New Roman"/>
        </w:rPr>
        <w:t>485</w:t>
      </w:r>
    </w:p>
  </w:footnote>
  <w:footnote w:id="308">
    <w:p w:rsidR="005D0A96" w:rsidRPr="00DC7566" w:rsidRDefault="005D0A96" w:rsidP="00385CDE">
      <w:pPr>
        <w:pStyle w:val="FootnoteText"/>
        <w:rPr>
          <w:rFonts w:ascii="Times New Roman" w:hAnsi="Times New Roman" w:cs="Times New Roman"/>
        </w:rPr>
      </w:pPr>
      <w:r w:rsidRPr="00DC7566">
        <w:rPr>
          <w:rStyle w:val="FootnoteReference"/>
          <w:rFonts w:ascii="Times New Roman" w:hAnsi="Times New Roman" w:cs="Times New Roman"/>
        </w:rPr>
        <w:footnoteRef/>
      </w:r>
      <w:r w:rsidRPr="00DC7566">
        <w:rPr>
          <w:rFonts w:ascii="Times New Roman" w:hAnsi="Times New Roman" w:cs="Times New Roman"/>
        </w:rPr>
        <w:t xml:space="preserve"> </w:t>
      </w:r>
      <w:proofErr w:type="gramStart"/>
      <w:r w:rsidRPr="00DC7566">
        <w:rPr>
          <w:rFonts w:ascii="Times New Roman" w:hAnsi="Times New Roman" w:cs="Times New Roman"/>
        </w:rPr>
        <w:t>Aesch.</w:t>
      </w:r>
      <w:proofErr w:type="gramEnd"/>
      <w:r w:rsidRPr="00DC7566">
        <w:rPr>
          <w:rFonts w:ascii="Times New Roman" w:hAnsi="Times New Roman" w:cs="Times New Roman"/>
        </w:rPr>
        <w:t xml:space="preserve"> </w:t>
      </w:r>
      <w:proofErr w:type="gramStart"/>
      <w:r w:rsidRPr="00DC7566">
        <w:rPr>
          <w:rFonts w:ascii="Times New Roman" w:hAnsi="Times New Roman" w:cs="Times New Roman"/>
          <w:i/>
        </w:rPr>
        <w:t>Agam.</w:t>
      </w:r>
      <w:proofErr w:type="gramEnd"/>
      <w:r w:rsidRPr="00DC7566">
        <w:rPr>
          <w:rFonts w:ascii="Times New Roman" w:hAnsi="Times New Roman" w:cs="Times New Roman"/>
          <w:i/>
        </w:rPr>
        <w:t xml:space="preserve"> </w:t>
      </w:r>
      <w:r w:rsidRPr="00DC7566">
        <w:rPr>
          <w:rFonts w:ascii="Times New Roman" w:hAnsi="Times New Roman" w:cs="Times New Roman"/>
        </w:rPr>
        <w:t>835</w:t>
      </w:r>
    </w:p>
  </w:footnote>
  <w:footnote w:id="309">
    <w:p w:rsidR="005D0A96" w:rsidRPr="00DC7566" w:rsidRDefault="005D0A96" w:rsidP="00385CDE">
      <w:pPr>
        <w:pStyle w:val="FootnoteText"/>
        <w:rPr>
          <w:rFonts w:ascii="Times New Roman" w:hAnsi="Times New Roman" w:cs="Times New Roman"/>
        </w:rPr>
      </w:pPr>
      <w:r w:rsidRPr="00DC7566">
        <w:rPr>
          <w:rStyle w:val="FootnoteReference"/>
          <w:rFonts w:ascii="Times New Roman" w:hAnsi="Times New Roman" w:cs="Times New Roman"/>
        </w:rPr>
        <w:footnoteRef/>
      </w:r>
      <w:r w:rsidRPr="00DC7566">
        <w:rPr>
          <w:rFonts w:ascii="Times New Roman" w:hAnsi="Times New Roman" w:cs="Times New Roman"/>
        </w:rPr>
        <w:t xml:space="preserve"> </w:t>
      </w:r>
      <w:proofErr w:type="gramStart"/>
      <w:r w:rsidRPr="00DC7566">
        <w:rPr>
          <w:rFonts w:ascii="Times New Roman" w:hAnsi="Times New Roman" w:cs="Times New Roman"/>
        </w:rPr>
        <w:t>Hom.</w:t>
      </w:r>
      <w:proofErr w:type="gramEnd"/>
      <w:r w:rsidRPr="00DC7566">
        <w:rPr>
          <w:rFonts w:ascii="Times New Roman" w:hAnsi="Times New Roman" w:cs="Times New Roman"/>
        </w:rPr>
        <w:t xml:space="preserve"> </w:t>
      </w:r>
      <w:proofErr w:type="gramStart"/>
      <w:r w:rsidRPr="00DC7566">
        <w:rPr>
          <w:rFonts w:ascii="Times New Roman" w:hAnsi="Times New Roman" w:cs="Times New Roman"/>
          <w:i/>
        </w:rPr>
        <w:t>Od</w:t>
      </w:r>
      <w:proofErr w:type="gramEnd"/>
      <w:r w:rsidRPr="00DC7566">
        <w:rPr>
          <w:rFonts w:ascii="Times New Roman" w:hAnsi="Times New Roman" w:cs="Times New Roman"/>
          <w:i/>
        </w:rPr>
        <w:t xml:space="preserve">. </w:t>
      </w:r>
      <w:r w:rsidRPr="00DC7566">
        <w:rPr>
          <w:rFonts w:ascii="Times New Roman" w:hAnsi="Times New Roman" w:cs="Times New Roman"/>
        </w:rPr>
        <w:t>4.220-31</w:t>
      </w:r>
    </w:p>
  </w:footnote>
  <w:footnote w:id="310">
    <w:p w:rsidR="005D0A96" w:rsidRPr="00977270" w:rsidRDefault="005D0A96" w:rsidP="00385CDE">
      <w:pPr>
        <w:pStyle w:val="FootnoteText"/>
      </w:pPr>
      <w:r w:rsidRPr="00DC7566">
        <w:rPr>
          <w:rStyle w:val="FootnoteReference"/>
          <w:rFonts w:ascii="Times New Roman" w:hAnsi="Times New Roman" w:cs="Times New Roman"/>
        </w:rPr>
        <w:footnoteRef/>
      </w:r>
      <w:r w:rsidRPr="00DC7566">
        <w:rPr>
          <w:rFonts w:ascii="Times New Roman" w:hAnsi="Times New Roman" w:cs="Times New Roman"/>
        </w:rPr>
        <w:t xml:space="preserve"> </w:t>
      </w:r>
      <w:proofErr w:type="gramStart"/>
      <w:r w:rsidRPr="00DC7566">
        <w:rPr>
          <w:rFonts w:ascii="Times New Roman" w:hAnsi="Times New Roman" w:cs="Times New Roman"/>
        </w:rPr>
        <w:t>van</w:t>
      </w:r>
      <w:proofErr w:type="gramEnd"/>
      <w:r w:rsidRPr="00DC7566">
        <w:rPr>
          <w:rFonts w:ascii="Times New Roman" w:hAnsi="Times New Roman" w:cs="Times New Roman"/>
        </w:rPr>
        <w:t xml:space="preserve"> Nuffelen (2014: 348); cf. Gal. </w:t>
      </w:r>
      <w:r w:rsidRPr="00DC7566">
        <w:rPr>
          <w:rFonts w:ascii="Times New Roman" w:hAnsi="Times New Roman" w:cs="Times New Roman"/>
          <w:i/>
        </w:rPr>
        <w:t xml:space="preserve">Comm. on Hipp. Oath </w:t>
      </w:r>
      <w:r w:rsidRPr="00DC7566">
        <w:rPr>
          <w:rFonts w:ascii="Times New Roman" w:hAnsi="Times New Roman" w:cs="Times New Roman"/>
        </w:rPr>
        <w:t>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C1697"/>
    <w:multiLevelType w:val="hybridMultilevel"/>
    <w:tmpl w:val="D13CA3A8"/>
    <w:lvl w:ilvl="0" w:tplc="359E74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B074B0"/>
    <w:multiLevelType w:val="hybridMultilevel"/>
    <w:tmpl w:val="F2984DB4"/>
    <w:lvl w:ilvl="0" w:tplc="DDD25DC6">
      <w:start w:val="14"/>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6860AF"/>
    <w:multiLevelType w:val="hybridMultilevel"/>
    <w:tmpl w:val="DDE08B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242442"/>
    <w:multiLevelType w:val="hybridMultilevel"/>
    <w:tmpl w:val="46B63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C76779"/>
    <w:multiLevelType w:val="hybridMultilevel"/>
    <w:tmpl w:val="1E34055E"/>
    <w:lvl w:ilvl="0" w:tplc="6E762A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05056F"/>
    <w:multiLevelType w:val="hybridMultilevel"/>
    <w:tmpl w:val="6BE489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18D1BA4"/>
    <w:multiLevelType w:val="hybridMultilevel"/>
    <w:tmpl w:val="7C94AF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90273D"/>
    <w:multiLevelType w:val="hybridMultilevel"/>
    <w:tmpl w:val="80409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6D799E"/>
    <w:multiLevelType w:val="hybridMultilevel"/>
    <w:tmpl w:val="DF1613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D78565C"/>
    <w:multiLevelType w:val="hybridMultilevel"/>
    <w:tmpl w:val="A0D23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3"/>
  </w:num>
  <w:num w:numId="3">
    <w:abstractNumId w:val="2"/>
  </w:num>
  <w:num w:numId="4">
    <w:abstractNumId w:val="9"/>
  </w:num>
  <w:num w:numId="5">
    <w:abstractNumId w:val="4"/>
  </w:num>
  <w:num w:numId="6">
    <w:abstractNumId w:val="1"/>
  </w:num>
  <w:num w:numId="7">
    <w:abstractNumId w:val="5"/>
  </w:num>
  <w:num w:numId="8">
    <w:abstractNumId w:val="8"/>
  </w:num>
  <w:num w:numId="9">
    <w:abstractNumId w:val="0"/>
  </w:num>
  <w:num w:numId="10">
    <w:abstractNumId w:val="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2C26F8"/>
    <w:rsid w:val="000006A2"/>
    <w:rsid w:val="00000D19"/>
    <w:rsid w:val="00013292"/>
    <w:rsid w:val="00015383"/>
    <w:rsid w:val="00021B7C"/>
    <w:rsid w:val="00026C63"/>
    <w:rsid w:val="00030C68"/>
    <w:rsid w:val="000348DC"/>
    <w:rsid w:val="00057CC0"/>
    <w:rsid w:val="000613D5"/>
    <w:rsid w:val="000679E2"/>
    <w:rsid w:val="00074603"/>
    <w:rsid w:val="00075CB6"/>
    <w:rsid w:val="00082D80"/>
    <w:rsid w:val="00083D9B"/>
    <w:rsid w:val="00085F14"/>
    <w:rsid w:val="000A0F7E"/>
    <w:rsid w:val="000A1006"/>
    <w:rsid w:val="000A1AFA"/>
    <w:rsid w:val="000A3563"/>
    <w:rsid w:val="000A4FE1"/>
    <w:rsid w:val="000A617F"/>
    <w:rsid w:val="000A73B8"/>
    <w:rsid w:val="000C1F21"/>
    <w:rsid w:val="000C7A3D"/>
    <w:rsid w:val="000C7C40"/>
    <w:rsid w:val="000D167D"/>
    <w:rsid w:val="000D45EE"/>
    <w:rsid w:val="000D6381"/>
    <w:rsid w:val="000E3F06"/>
    <w:rsid w:val="000E7299"/>
    <w:rsid w:val="000F3ECC"/>
    <w:rsid w:val="000F4411"/>
    <w:rsid w:val="000F78A4"/>
    <w:rsid w:val="00102F21"/>
    <w:rsid w:val="00104DBC"/>
    <w:rsid w:val="00110F74"/>
    <w:rsid w:val="0011306E"/>
    <w:rsid w:val="001132C7"/>
    <w:rsid w:val="0011400F"/>
    <w:rsid w:val="00114650"/>
    <w:rsid w:val="00116281"/>
    <w:rsid w:val="00117521"/>
    <w:rsid w:val="00121A0B"/>
    <w:rsid w:val="00123FB5"/>
    <w:rsid w:val="0013107D"/>
    <w:rsid w:val="00131A6E"/>
    <w:rsid w:val="00133016"/>
    <w:rsid w:val="0013388D"/>
    <w:rsid w:val="00143B36"/>
    <w:rsid w:val="00152115"/>
    <w:rsid w:val="0015529A"/>
    <w:rsid w:val="001572FF"/>
    <w:rsid w:val="00157730"/>
    <w:rsid w:val="00166655"/>
    <w:rsid w:val="00166969"/>
    <w:rsid w:val="0016783F"/>
    <w:rsid w:val="0016793E"/>
    <w:rsid w:val="0017286D"/>
    <w:rsid w:val="00174809"/>
    <w:rsid w:val="001767A7"/>
    <w:rsid w:val="00180209"/>
    <w:rsid w:val="00182E4B"/>
    <w:rsid w:val="00185F28"/>
    <w:rsid w:val="001A06D9"/>
    <w:rsid w:val="001A2D54"/>
    <w:rsid w:val="001A7301"/>
    <w:rsid w:val="001B3A0C"/>
    <w:rsid w:val="001B5328"/>
    <w:rsid w:val="001C5D36"/>
    <w:rsid w:val="001D058C"/>
    <w:rsid w:val="001D653E"/>
    <w:rsid w:val="001E13D3"/>
    <w:rsid w:val="001F0DD8"/>
    <w:rsid w:val="001F6CC1"/>
    <w:rsid w:val="002110D4"/>
    <w:rsid w:val="00217EBD"/>
    <w:rsid w:val="002250FA"/>
    <w:rsid w:val="00233C7D"/>
    <w:rsid w:val="0023446E"/>
    <w:rsid w:val="00237D59"/>
    <w:rsid w:val="002451A7"/>
    <w:rsid w:val="00245F1E"/>
    <w:rsid w:val="00263DB9"/>
    <w:rsid w:val="00284E80"/>
    <w:rsid w:val="00285A7C"/>
    <w:rsid w:val="002864A4"/>
    <w:rsid w:val="002913AE"/>
    <w:rsid w:val="002950BC"/>
    <w:rsid w:val="00297BF7"/>
    <w:rsid w:val="002A2D50"/>
    <w:rsid w:val="002B1DB8"/>
    <w:rsid w:val="002C12DD"/>
    <w:rsid w:val="002C1886"/>
    <w:rsid w:val="002C1950"/>
    <w:rsid w:val="002C26F8"/>
    <w:rsid w:val="002C42A2"/>
    <w:rsid w:val="002C5CEA"/>
    <w:rsid w:val="002D15D2"/>
    <w:rsid w:val="002D3F29"/>
    <w:rsid w:val="002D4915"/>
    <w:rsid w:val="002F1712"/>
    <w:rsid w:val="0030305E"/>
    <w:rsid w:val="00316778"/>
    <w:rsid w:val="00326357"/>
    <w:rsid w:val="00333CE6"/>
    <w:rsid w:val="003351C2"/>
    <w:rsid w:val="00335E47"/>
    <w:rsid w:val="003400BD"/>
    <w:rsid w:val="00344E87"/>
    <w:rsid w:val="00351395"/>
    <w:rsid w:val="00351D86"/>
    <w:rsid w:val="00354656"/>
    <w:rsid w:val="003559BC"/>
    <w:rsid w:val="00360925"/>
    <w:rsid w:val="00362FEE"/>
    <w:rsid w:val="0036731B"/>
    <w:rsid w:val="00371CD4"/>
    <w:rsid w:val="00371E51"/>
    <w:rsid w:val="00373A9E"/>
    <w:rsid w:val="00374B22"/>
    <w:rsid w:val="003815AC"/>
    <w:rsid w:val="00385CDE"/>
    <w:rsid w:val="00386D19"/>
    <w:rsid w:val="0039307D"/>
    <w:rsid w:val="0039347B"/>
    <w:rsid w:val="00393EE1"/>
    <w:rsid w:val="0039415F"/>
    <w:rsid w:val="003969EF"/>
    <w:rsid w:val="00397E29"/>
    <w:rsid w:val="003A159B"/>
    <w:rsid w:val="003A22B8"/>
    <w:rsid w:val="003A5BEC"/>
    <w:rsid w:val="003C0382"/>
    <w:rsid w:val="003C110C"/>
    <w:rsid w:val="003C73D5"/>
    <w:rsid w:val="003D08FF"/>
    <w:rsid w:val="003D2D06"/>
    <w:rsid w:val="003D4CCE"/>
    <w:rsid w:val="003E0BF8"/>
    <w:rsid w:val="003E203D"/>
    <w:rsid w:val="003F02CD"/>
    <w:rsid w:val="003F3C99"/>
    <w:rsid w:val="00401FC2"/>
    <w:rsid w:val="00402EC9"/>
    <w:rsid w:val="00403452"/>
    <w:rsid w:val="0040438B"/>
    <w:rsid w:val="00406A31"/>
    <w:rsid w:val="00406BB4"/>
    <w:rsid w:val="00407EF5"/>
    <w:rsid w:val="0041321B"/>
    <w:rsid w:val="00416641"/>
    <w:rsid w:val="00424CC1"/>
    <w:rsid w:val="004263B4"/>
    <w:rsid w:val="00427CB7"/>
    <w:rsid w:val="00427F17"/>
    <w:rsid w:val="00432E69"/>
    <w:rsid w:val="0043598B"/>
    <w:rsid w:val="0044566C"/>
    <w:rsid w:val="00447C91"/>
    <w:rsid w:val="00453191"/>
    <w:rsid w:val="00453A63"/>
    <w:rsid w:val="004600D1"/>
    <w:rsid w:val="00482667"/>
    <w:rsid w:val="00483B3F"/>
    <w:rsid w:val="00483C8A"/>
    <w:rsid w:val="00484C83"/>
    <w:rsid w:val="0048570E"/>
    <w:rsid w:val="00486A03"/>
    <w:rsid w:val="00490D73"/>
    <w:rsid w:val="00492226"/>
    <w:rsid w:val="0049552A"/>
    <w:rsid w:val="00497A81"/>
    <w:rsid w:val="004A0802"/>
    <w:rsid w:val="004A17CF"/>
    <w:rsid w:val="004A53CB"/>
    <w:rsid w:val="004A5B38"/>
    <w:rsid w:val="004B080A"/>
    <w:rsid w:val="004B2CD8"/>
    <w:rsid w:val="004C3663"/>
    <w:rsid w:val="004C3C18"/>
    <w:rsid w:val="004C5F0E"/>
    <w:rsid w:val="004C782F"/>
    <w:rsid w:val="004C7ECA"/>
    <w:rsid w:val="004D0D85"/>
    <w:rsid w:val="004D36EB"/>
    <w:rsid w:val="004E4183"/>
    <w:rsid w:val="004E4CB5"/>
    <w:rsid w:val="004F0D6C"/>
    <w:rsid w:val="004F1399"/>
    <w:rsid w:val="004F286A"/>
    <w:rsid w:val="004F5D02"/>
    <w:rsid w:val="00507981"/>
    <w:rsid w:val="00511AA0"/>
    <w:rsid w:val="00514B81"/>
    <w:rsid w:val="00516690"/>
    <w:rsid w:val="005207BC"/>
    <w:rsid w:val="00524344"/>
    <w:rsid w:val="00525D7A"/>
    <w:rsid w:val="00526C59"/>
    <w:rsid w:val="00532FE1"/>
    <w:rsid w:val="0053355A"/>
    <w:rsid w:val="00534784"/>
    <w:rsid w:val="00536A58"/>
    <w:rsid w:val="00541E13"/>
    <w:rsid w:val="0055120A"/>
    <w:rsid w:val="00552714"/>
    <w:rsid w:val="0056034B"/>
    <w:rsid w:val="005632DE"/>
    <w:rsid w:val="00567D9A"/>
    <w:rsid w:val="00570B34"/>
    <w:rsid w:val="005711AE"/>
    <w:rsid w:val="00574292"/>
    <w:rsid w:val="00575B50"/>
    <w:rsid w:val="0058282C"/>
    <w:rsid w:val="005846FD"/>
    <w:rsid w:val="00592476"/>
    <w:rsid w:val="00592E73"/>
    <w:rsid w:val="005A4373"/>
    <w:rsid w:val="005A6BE5"/>
    <w:rsid w:val="005B1A02"/>
    <w:rsid w:val="005B6C8E"/>
    <w:rsid w:val="005C1D19"/>
    <w:rsid w:val="005C55F3"/>
    <w:rsid w:val="005D0A96"/>
    <w:rsid w:val="005D6C82"/>
    <w:rsid w:val="005E66B4"/>
    <w:rsid w:val="005F256F"/>
    <w:rsid w:val="005F5474"/>
    <w:rsid w:val="006025B4"/>
    <w:rsid w:val="00603127"/>
    <w:rsid w:val="00616ACE"/>
    <w:rsid w:val="00620463"/>
    <w:rsid w:val="00627F56"/>
    <w:rsid w:val="00633AF5"/>
    <w:rsid w:val="006349C6"/>
    <w:rsid w:val="00636512"/>
    <w:rsid w:val="00644198"/>
    <w:rsid w:val="00653A2B"/>
    <w:rsid w:val="00657F65"/>
    <w:rsid w:val="006641B2"/>
    <w:rsid w:val="00681724"/>
    <w:rsid w:val="00681DB1"/>
    <w:rsid w:val="00686CAF"/>
    <w:rsid w:val="006953A6"/>
    <w:rsid w:val="006976E4"/>
    <w:rsid w:val="006A04D1"/>
    <w:rsid w:val="006A07B3"/>
    <w:rsid w:val="006A10FC"/>
    <w:rsid w:val="006A27D6"/>
    <w:rsid w:val="006A4C0C"/>
    <w:rsid w:val="006B065A"/>
    <w:rsid w:val="006B0C8B"/>
    <w:rsid w:val="006B0CA3"/>
    <w:rsid w:val="006B1884"/>
    <w:rsid w:val="006B213B"/>
    <w:rsid w:val="006C1BF3"/>
    <w:rsid w:val="006D2AD8"/>
    <w:rsid w:val="006D59AB"/>
    <w:rsid w:val="006E1717"/>
    <w:rsid w:val="006E2BFC"/>
    <w:rsid w:val="006F38E3"/>
    <w:rsid w:val="006F72AB"/>
    <w:rsid w:val="007040F0"/>
    <w:rsid w:val="00706043"/>
    <w:rsid w:val="00716036"/>
    <w:rsid w:val="00717D48"/>
    <w:rsid w:val="00724DC4"/>
    <w:rsid w:val="00732384"/>
    <w:rsid w:val="007406FC"/>
    <w:rsid w:val="00740784"/>
    <w:rsid w:val="0074221E"/>
    <w:rsid w:val="0074243C"/>
    <w:rsid w:val="0074655D"/>
    <w:rsid w:val="007510B9"/>
    <w:rsid w:val="00752950"/>
    <w:rsid w:val="00767AC9"/>
    <w:rsid w:val="007729AD"/>
    <w:rsid w:val="0078155F"/>
    <w:rsid w:val="00783B2B"/>
    <w:rsid w:val="007869C0"/>
    <w:rsid w:val="0079600A"/>
    <w:rsid w:val="007A4788"/>
    <w:rsid w:val="007A6F05"/>
    <w:rsid w:val="007B0CEE"/>
    <w:rsid w:val="007B1DB7"/>
    <w:rsid w:val="007B2418"/>
    <w:rsid w:val="007B309E"/>
    <w:rsid w:val="007C25BC"/>
    <w:rsid w:val="007C7D69"/>
    <w:rsid w:val="007D3FD3"/>
    <w:rsid w:val="007D7410"/>
    <w:rsid w:val="007E0D51"/>
    <w:rsid w:val="007E1A6C"/>
    <w:rsid w:val="007E25C1"/>
    <w:rsid w:val="007E2C02"/>
    <w:rsid w:val="007E39CF"/>
    <w:rsid w:val="007E6C0C"/>
    <w:rsid w:val="007F112A"/>
    <w:rsid w:val="007F431C"/>
    <w:rsid w:val="007F5246"/>
    <w:rsid w:val="00800027"/>
    <w:rsid w:val="00802686"/>
    <w:rsid w:val="0080455B"/>
    <w:rsid w:val="008048CE"/>
    <w:rsid w:val="00806D03"/>
    <w:rsid w:val="00807DF0"/>
    <w:rsid w:val="00820E6D"/>
    <w:rsid w:val="00835005"/>
    <w:rsid w:val="00843A44"/>
    <w:rsid w:val="0084598C"/>
    <w:rsid w:val="008461E7"/>
    <w:rsid w:val="0084753A"/>
    <w:rsid w:val="00851E5A"/>
    <w:rsid w:val="008707E0"/>
    <w:rsid w:val="00873462"/>
    <w:rsid w:val="00881816"/>
    <w:rsid w:val="00882450"/>
    <w:rsid w:val="00887965"/>
    <w:rsid w:val="00892D1B"/>
    <w:rsid w:val="00893E90"/>
    <w:rsid w:val="008A2C7A"/>
    <w:rsid w:val="008A3BE8"/>
    <w:rsid w:val="008B1F6B"/>
    <w:rsid w:val="008B5636"/>
    <w:rsid w:val="008B628F"/>
    <w:rsid w:val="008C19CD"/>
    <w:rsid w:val="008C2C21"/>
    <w:rsid w:val="008C465B"/>
    <w:rsid w:val="008D623A"/>
    <w:rsid w:val="008D736B"/>
    <w:rsid w:val="008D76F8"/>
    <w:rsid w:val="008E1874"/>
    <w:rsid w:val="008E1C5B"/>
    <w:rsid w:val="008E24CD"/>
    <w:rsid w:val="008E2BE4"/>
    <w:rsid w:val="008E6D04"/>
    <w:rsid w:val="008F030B"/>
    <w:rsid w:val="008F2352"/>
    <w:rsid w:val="008F2D0E"/>
    <w:rsid w:val="008F41E2"/>
    <w:rsid w:val="008F6237"/>
    <w:rsid w:val="009017ED"/>
    <w:rsid w:val="00905B0B"/>
    <w:rsid w:val="00906E48"/>
    <w:rsid w:val="009100AB"/>
    <w:rsid w:val="0091145A"/>
    <w:rsid w:val="00912D0C"/>
    <w:rsid w:val="00913B6A"/>
    <w:rsid w:val="009168BA"/>
    <w:rsid w:val="00921D24"/>
    <w:rsid w:val="00931868"/>
    <w:rsid w:val="00931C95"/>
    <w:rsid w:val="00940724"/>
    <w:rsid w:val="009410CB"/>
    <w:rsid w:val="0094610B"/>
    <w:rsid w:val="00954CED"/>
    <w:rsid w:val="0095781D"/>
    <w:rsid w:val="00957B38"/>
    <w:rsid w:val="00961E42"/>
    <w:rsid w:val="00962B70"/>
    <w:rsid w:val="009630AD"/>
    <w:rsid w:val="0096572C"/>
    <w:rsid w:val="00977CAB"/>
    <w:rsid w:val="00982A9C"/>
    <w:rsid w:val="009936FF"/>
    <w:rsid w:val="009A06BC"/>
    <w:rsid w:val="009A1EB4"/>
    <w:rsid w:val="009A4A23"/>
    <w:rsid w:val="009A545C"/>
    <w:rsid w:val="009B3ACD"/>
    <w:rsid w:val="009C18DE"/>
    <w:rsid w:val="009C3E41"/>
    <w:rsid w:val="009C4BA2"/>
    <w:rsid w:val="009C572A"/>
    <w:rsid w:val="009C58E6"/>
    <w:rsid w:val="009D0F4A"/>
    <w:rsid w:val="009F32F3"/>
    <w:rsid w:val="00A005D8"/>
    <w:rsid w:val="00A0085C"/>
    <w:rsid w:val="00A01B32"/>
    <w:rsid w:val="00A1053E"/>
    <w:rsid w:val="00A10C57"/>
    <w:rsid w:val="00A11674"/>
    <w:rsid w:val="00A11ABB"/>
    <w:rsid w:val="00A12041"/>
    <w:rsid w:val="00A1305B"/>
    <w:rsid w:val="00A13117"/>
    <w:rsid w:val="00A2696B"/>
    <w:rsid w:val="00A273B9"/>
    <w:rsid w:val="00A31728"/>
    <w:rsid w:val="00A40C56"/>
    <w:rsid w:val="00A43C03"/>
    <w:rsid w:val="00A43F40"/>
    <w:rsid w:val="00A45786"/>
    <w:rsid w:val="00A51496"/>
    <w:rsid w:val="00A620C6"/>
    <w:rsid w:val="00A63084"/>
    <w:rsid w:val="00A641C6"/>
    <w:rsid w:val="00A70B2A"/>
    <w:rsid w:val="00A71FDD"/>
    <w:rsid w:val="00A72CEE"/>
    <w:rsid w:val="00A74BDB"/>
    <w:rsid w:val="00A85EEA"/>
    <w:rsid w:val="00A87252"/>
    <w:rsid w:val="00AA0A0F"/>
    <w:rsid w:val="00AA1385"/>
    <w:rsid w:val="00AB0921"/>
    <w:rsid w:val="00AB0F12"/>
    <w:rsid w:val="00AB1138"/>
    <w:rsid w:val="00AB2B20"/>
    <w:rsid w:val="00AB5E7E"/>
    <w:rsid w:val="00AC0059"/>
    <w:rsid w:val="00AC333A"/>
    <w:rsid w:val="00AC63CD"/>
    <w:rsid w:val="00AD5233"/>
    <w:rsid w:val="00B01E90"/>
    <w:rsid w:val="00B1184A"/>
    <w:rsid w:val="00B12E17"/>
    <w:rsid w:val="00B17247"/>
    <w:rsid w:val="00B22F4E"/>
    <w:rsid w:val="00B3051C"/>
    <w:rsid w:val="00B311C0"/>
    <w:rsid w:val="00B3188E"/>
    <w:rsid w:val="00B31EA1"/>
    <w:rsid w:val="00B35761"/>
    <w:rsid w:val="00B524EB"/>
    <w:rsid w:val="00B534B0"/>
    <w:rsid w:val="00B55B2D"/>
    <w:rsid w:val="00B576CE"/>
    <w:rsid w:val="00B62DAF"/>
    <w:rsid w:val="00B63FCD"/>
    <w:rsid w:val="00B75CAE"/>
    <w:rsid w:val="00B83521"/>
    <w:rsid w:val="00B8543B"/>
    <w:rsid w:val="00B9054F"/>
    <w:rsid w:val="00B94BDD"/>
    <w:rsid w:val="00BA12D4"/>
    <w:rsid w:val="00BA1690"/>
    <w:rsid w:val="00BA4F67"/>
    <w:rsid w:val="00BA5B82"/>
    <w:rsid w:val="00BA7080"/>
    <w:rsid w:val="00BB4295"/>
    <w:rsid w:val="00BB717C"/>
    <w:rsid w:val="00BC0944"/>
    <w:rsid w:val="00BC53C1"/>
    <w:rsid w:val="00BC7ED1"/>
    <w:rsid w:val="00BD3232"/>
    <w:rsid w:val="00BD3575"/>
    <w:rsid w:val="00BD5FD1"/>
    <w:rsid w:val="00BE12D1"/>
    <w:rsid w:val="00BE3CE7"/>
    <w:rsid w:val="00BE49A7"/>
    <w:rsid w:val="00BE4AEC"/>
    <w:rsid w:val="00BE4B3A"/>
    <w:rsid w:val="00BE7FC5"/>
    <w:rsid w:val="00BF1B9F"/>
    <w:rsid w:val="00BF60B7"/>
    <w:rsid w:val="00BF6C63"/>
    <w:rsid w:val="00BF72B0"/>
    <w:rsid w:val="00C11C9F"/>
    <w:rsid w:val="00C15A2B"/>
    <w:rsid w:val="00C17AE1"/>
    <w:rsid w:val="00C277CB"/>
    <w:rsid w:val="00C278B0"/>
    <w:rsid w:val="00C32210"/>
    <w:rsid w:val="00C52418"/>
    <w:rsid w:val="00C52A62"/>
    <w:rsid w:val="00C57A6E"/>
    <w:rsid w:val="00C61DEC"/>
    <w:rsid w:val="00C62C12"/>
    <w:rsid w:val="00C703C2"/>
    <w:rsid w:val="00C70CE5"/>
    <w:rsid w:val="00C923F7"/>
    <w:rsid w:val="00C94FB3"/>
    <w:rsid w:val="00C95B32"/>
    <w:rsid w:val="00C95FF5"/>
    <w:rsid w:val="00CA26E8"/>
    <w:rsid w:val="00CA3020"/>
    <w:rsid w:val="00CA7043"/>
    <w:rsid w:val="00CA7D35"/>
    <w:rsid w:val="00CB2AFD"/>
    <w:rsid w:val="00CB5F38"/>
    <w:rsid w:val="00CC2280"/>
    <w:rsid w:val="00CC477F"/>
    <w:rsid w:val="00CC47E4"/>
    <w:rsid w:val="00CC6608"/>
    <w:rsid w:val="00CD7738"/>
    <w:rsid w:val="00CE08C0"/>
    <w:rsid w:val="00CE6395"/>
    <w:rsid w:val="00CF414E"/>
    <w:rsid w:val="00CF6091"/>
    <w:rsid w:val="00CF6BC7"/>
    <w:rsid w:val="00CF6F79"/>
    <w:rsid w:val="00D03DE0"/>
    <w:rsid w:val="00D15887"/>
    <w:rsid w:val="00D236D7"/>
    <w:rsid w:val="00D23936"/>
    <w:rsid w:val="00D263B3"/>
    <w:rsid w:val="00D2678C"/>
    <w:rsid w:val="00D26831"/>
    <w:rsid w:val="00D26905"/>
    <w:rsid w:val="00D33F16"/>
    <w:rsid w:val="00D34A2F"/>
    <w:rsid w:val="00D43DB8"/>
    <w:rsid w:val="00D44B6C"/>
    <w:rsid w:val="00D53801"/>
    <w:rsid w:val="00D55940"/>
    <w:rsid w:val="00D56949"/>
    <w:rsid w:val="00D618A7"/>
    <w:rsid w:val="00D62A2F"/>
    <w:rsid w:val="00D6352C"/>
    <w:rsid w:val="00D641FE"/>
    <w:rsid w:val="00D658B4"/>
    <w:rsid w:val="00D65E9B"/>
    <w:rsid w:val="00D7001C"/>
    <w:rsid w:val="00D710D5"/>
    <w:rsid w:val="00D818EC"/>
    <w:rsid w:val="00D9006B"/>
    <w:rsid w:val="00D901B7"/>
    <w:rsid w:val="00D9076A"/>
    <w:rsid w:val="00D935F8"/>
    <w:rsid w:val="00D968CF"/>
    <w:rsid w:val="00DA1B12"/>
    <w:rsid w:val="00DA21FE"/>
    <w:rsid w:val="00DA2F4A"/>
    <w:rsid w:val="00DB397E"/>
    <w:rsid w:val="00DB6084"/>
    <w:rsid w:val="00DB64D6"/>
    <w:rsid w:val="00DC1B98"/>
    <w:rsid w:val="00DC2B46"/>
    <w:rsid w:val="00DC6E4F"/>
    <w:rsid w:val="00DD3D07"/>
    <w:rsid w:val="00DD5DA0"/>
    <w:rsid w:val="00DD6661"/>
    <w:rsid w:val="00DF30BF"/>
    <w:rsid w:val="00DF764D"/>
    <w:rsid w:val="00E02BA4"/>
    <w:rsid w:val="00E2158B"/>
    <w:rsid w:val="00E257D0"/>
    <w:rsid w:val="00E441B7"/>
    <w:rsid w:val="00E50EFC"/>
    <w:rsid w:val="00E64322"/>
    <w:rsid w:val="00E67321"/>
    <w:rsid w:val="00E7130A"/>
    <w:rsid w:val="00E86995"/>
    <w:rsid w:val="00E94F9C"/>
    <w:rsid w:val="00E96780"/>
    <w:rsid w:val="00EB6A5A"/>
    <w:rsid w:val="00EB6C7A"/>
    <w:rsid w:val="00EC1E62"/>
    <w:rsid w:val="00EC5CA8"/>
    <w:rsid w:val="00EC7624"/>
    <w:rsid w:val="00ED65EF"/>
    <w:rsid w:val="00EE0579"/>
    <w:rsid w:val="00EE12CD"/>
    <w:rsid w:val="00EE430A"/>
    <w:rsid w:val="00EF2725"/>
    <w:rsid w:val="00EF39AA"/>
    <w:rsid w:val="00EF50CC"/>
    <w:rsid w:val="00F127E4"/>
    <w:rsid w:val="00F12A07"/>
    <w:rsid w:val="00F14866"/>
    <w:rsid w:val="00F150F4"/>
    <w:rsid w:val="00F17FD8"/>
    <w:rsid w:val="00F209E2"/>
    <w:rsid w:val="00F21926"/>
    <w:rsid w:val="00F3386F"/>
    <w:rsid w:val="00F45938"/>
    <w:rsid w:val="00F52210"/>
    <w:rsid w:val="00F5332A"/>
    <w:rsid w:val="00F64324"/>
    <w:rsid w:val="00F64694"/>
    <w:rsid w:val="00F660D7"/>
    <w:rsid w:val="00F77F83"/>
    <w:rsid w:val="00F80EA6"/>
    <w:rsid w:val="00F81494"/>
    <w:rsid w:val="00F82E64"/>
    <w:rsid w:val="00F84A0F"/>
    <w:rsid w:val="00F95597"/>
    <w:rsid w:val="00FA1C86"/>
    <w:rsid w:val="00FA34B2"/>
    <w:rsid w:val="00FA6F9F"/>
    <w:rsid w:val="00FC12D8"/>
    <w:rsid w:val="00FC1FEC"/>
    <w:rsid w:val="00FC213E"/>
    <w:rsid w:val="00FD3756"/>
    <w:rsid w:val="00FD65B2"/>
    <w:rsid w:val="00FD7D18"/>
    <w:rsid w:val="00FE1DB4"/>
    <w:rsid w:val="00FF21BA"/>
    <w:rsid w:val="00FF48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C8A"/>
  </w:style>
  <w:style w:type="paragraph" w:styleId="Heading2">
    <w:name w:val="heading 2"/>
    <w:basedOn w:val="Normal"/>
    <w:next w:val="Normal"/>
    <w:link w:val="Heading2Char"/>
    <w:uiPriority w:val="9"/>
    <w:unhideWhenUsed/>
    <w:qFormat/>
    <w:rsid w:val="009A06B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8F6237"/>
    <w:pPr>
      <w:spacing w:after="0" w:line="240" w:lineRule="auto"/>
    </w:pPr>
    <w:rPr>
      <w:sz w:val="20"/>
      <w:szCs w:val="20"/>
    </w:rPr>
  </w:style>
  <w:style w:type="character" w:customStyle="1" w:styleId="FootnoteTextChar">
    <w:name w:val="Footnote Text Char"/>
    <w:basedOn w:val="DefaultParagraphFont"/>
    <w:link w:val="FootnoteText"/>
    <w:rsid w:val="008F6237"/>
    <w:rPr>
      <w:sz w:val="20"/>
      <w:szCs w:val="20"/>
    </w:rPr>
  </w:style>
  <w:style w:type="character" w:styleId="FootnoteReference">
    <w:name w:val="footnote reference"/>
    <w:basedOn w:val="DefaultParagraphFont"/>
    <w:unhideWhenUsed/>
    <w:rsid w:val="008F6237"/>
    <w:rPr>
      <w:vertAlign w:val="superscript"/>
    </w:rPr>
  </w:style>
  <w:style w:type="paragraph" w:styleId="ListParagraph">
    <w:name w:val="List Paragraph"/>
    <w:basedOn w:val="Normal"/>
    <w:uiPriority w:val="34"/>
    <w:qFormat/>
    <w:rsid w:val="00E7130A"/>
    <w:pPr>
      <w:ind w:left="720"/>
      <w:contextualSpacing/>
    </w:pPr>
  </w:style>
  <w:style w:type="paragraph" w:styleId="Header">
    <w:name w:val="header"/>
    <w:basedOn w:val="Normal"/>
    <w:link w:val="HeaderChar"/>
    <w:uiPriority w:val="99"/>
    <w:semiHidden/>
    <w:unhideWhenUsed/>
    <w:rsid w:val="008A3B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3BE8"/>
  </w:style>
  <w:style w:type="paragraph" w:styleId="Footer">
    <w:name w:val="footer"/>
    <w:basedOn w:val="Normal"/>
    <w:link w:val="FooterChar"/>
    <w:uiPriority w:val="99"/>
    <w:unhideWhenUsed/>
    <w:rsid w:val="008A3B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BE8"/>
  </w:style>
  <w:style w:type="table" w:styleId="TableGrid">
    <w:name w:val="Table Grid"/>
    <w:basedOn w:val="TableNormal"/>
    <w:uiPriority w:val="59"/>
    <w:rsid w:val="005924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E67321"/>
    <w:rPr>
      <w:b/>
      <w:bCs/>
      <w:i/>
      <w:iCs/>
      <w:color w:val="4F81BD" w:themeColor="accent1"/>
    </w:rPr>
  </w:style>
  <w:style w:type="paragraph" w:styleId="BalloonText">
    <w:name w:val="Balloon Text"/>
    <w:basedOn w:val="Normal"/>
    <w:link w:val="BalloonTextChar"/>
    <w:uiPriority w:val="99"/>
    <w:semiHidden/>
    <w:unhideWhenUsed/>
    <w:rsid w:val="00910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0AB"/>
    <w:rPr>
      <w:rFonts w:ascii="Tahoma" w:hAnsi="Tahoma" w:cs="Tahoma"/>
      <w:sz w:val="16"/>
      <w:szCs w:val="16"/>
    </w:rPr>
  </w:style>
  <w:style w:type="character" w:customStyle="1" w:styleId="Heading2Char">
    <w:name w:val="Heading 2 Char"/>
    <w:basedOn w:val="DefaultParagraphFont"/>
    <w:link w:val="Heading2"/>
    <w:uiPriority w:val="9"/>
    <w:rsid w:val="009A06BC"/>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A74BDB"/>
    <w:rPr>
      <w:color w:val="0000FF" w:themeColor="hyperlink"/>
      <w:u w:val="single"/>
    </w:rPr>
  </w:style>
  <w:style w:type="character" w:styleId="CommentReference">
    <w:name w:val="annotation reference"/>
    <w:basedOn w:val="DefaultParagraphFont"/>
    <w:uiPriority w:val="99"/>
    <w:semiHidden/>
    <w:unhideWhenUsed/>
    <w:rsid w:val="005A6BE5"/>
    <w:rPr>
      <w:sz w:val="18"/>
      <w:szCs w:val="18"/>
    </w:rPr>
  </w:style>
  <w:style w:type="paragraph" w:styleId="CommentText">
    <w:name w:val="annotation text"/>
    <w:basedOn w:val="Normal"/>
    <w:link w:val="CommentTextChar"/>
    <w:uiPriority w:val="99"/>
    <w:semiHidden/>
    <w:unhideWhenUsed/>
    <w:rsid w:val="005A6BE5"/>
    <w:pPr>
      <w:spacing w:line="240" w:lineRule="auto"/>
    </w:pPr>
    <w:rPr>
      <w:sz w:val="24"/>
      <w:szCs w:val="24"/>
    </w:rPr>
  </w:style>
  <w:style w:type="character" w:customStyle="1" w:styleId="CommentTextChar">
    <w:name w:val="Comment Text Char"/>
    <w:basedOn w:val="DefaultParagraphFont"/>
    <w:link w:val="CommentText"/>
    <w:uiPriority w:val="99"/>
    <w:semiHidden/>
    <w:rsid w:val="005A6BE5"/>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B5DED9-07CE-4175-B8E4-573A7553A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9662</TotalTime>
  <Pages>125</Pages>
  <Words>27919</Words>
  <Characters>159143</Characters>
  <Application>Microsoft Office Word</Application>
  <DocSecurity>0</DocSecurity>
  <Lines>1326</Lines>
  <Paragraphs>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242</cp:revision>
  <cp:lastPrinted>2020-03-07T00:44:00Z</cp:lastPrinted>
  <dcterms:created xsi:type="dcterms:W3CDTF">2020-03-08T02:36:00Z</dcterms:created>
  <dcterms:modified xsi:type="dcterms:W3CDTF">2020-04-15T21:03:00Z</dcterms:modified>
</cp:coreProperties>
</file>