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00A63" w14:textId="3E5ECE7E" w:rsidR="00EB6B6B" w:rsidRDefault="00EB6B6B">
      <w:r w:rsidRPr="00EB6B6B">
        <w:drawing>
          <wp:inline distT="0" distB="0" distL="0" distR="0" wp14:anchorId="56247C55" wp14:editId="0A766E15">
            <wp:extent cx="5731510" cy="3223895"/>
            <wp:effectExtent l="0" t="0" r="0" b="1905"/>
            <wp:docPr id="1473066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0669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468C8" w14:textId="3F04A513" w:rsidR="00EB6B6B" w:rsidRDefault="00EB6B6B">
      <w:r w:rsidRPr="00EB6B6B">
        <w:drawing>
          <wp:inline distT="0" distB="0" distL="0" distR="0" wp14:anchorId="303D9F9F" wp14:editId="09BA2986">
            <wp:extent cx="5731510" cy="3223895"/>
            <wp:effectExtent l="0" t="0" r="0" b="1905"/>
            <wp:docPr id="1337765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7651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40A2C" w14:textId="06A7DA4B" w:rsidR="00EB6B6B" w:rsidRDefault="00EB6B6B">
      <w:r w:rsidRPr="00EB6B6B">
        <w:lastRenderedPageBreak/>
        <w:drawing>
          <wp:inline distT="0" distB="0" distL="0" distR="0" wp14:anchorId="706E2BEF" wp14:editId="6364FB02">
            <wp:extent cx="5731510" cy="3223895"/>
            <wp:effectExtent l="0" t="0" r="0" b="1905"/>
            <wp:docPr id="1550121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12106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1E3C7" w14:textId="7D93EC3E" w:rsidR="00EB6B6B" w:rsidRDefault="00EB6B6B">
      <w:r w:rsidRPr="00EB6B6B">
        <w:drawing>
          <wp:inline distT="0" distB="0" distL="0" distR="0" wp14:anchorId="2EDAFF16" wp14:editId="0450231E">
            <wp:extent cx="5731510" cy="3223895"/>
            <wp:effectExtent l="0" t="0" r="0" b="1905"/>
            <wp:docPr id="2775020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50206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67ACE" w14:textId="0F6EF547" w:rsidR="00EB6B6B" w:rsidRDefault="00EB6B6B">
      <w:r w:rsidRPr="00EB6B6B">
        <w:lastRenderedPageBreak/>
        <w:drawing>
          <wp:inline distT="0" distB="0" distL="0" distR="0" wp14:anchorId="2EC44D2E" wp14:editId="1C479F6C">
            <wp:extent cx="5731510" cy="3223895"/>
            <wp:effectExtent l="0" t="0" r="0" b="1905"/>
            <wp:docPr id="582620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6205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AC86F" w14:textId="2C8A9B67" w:rsidR="00EB6B6B" w:rsidRDefault="00EB6B6B">
      <w:r w:rsidRPr="00EB6B6B">
        <w:drawing>
          <wp:inline distT="0" distB="0" distL="0" distR="0" wp14:anchorId="5C789363" wp14:editId="4E747B98">
            <wp:extent cx="5731510" cy="3223895"/>
            <wp:effectExtent l="0" t="0" r="0" b="1905"/>
            <wp:docPr id="2462079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20798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EF200" w14:textId="1C0C4616" w:rsidR="00EB6B6B" w:rsidRDefault="00EB6B6B">
      <w:r w:rsidRPr="00EB6B6B">
        <w:lastRenderedPageBreak/>
        <w:drawing>
          <wp:inline distT="0" distB="0" distL="0" distR="0" wp14:anchorId="1DE98021" wp14:editId="146370A0">
            <wp:extent cx="5731510" cy="3223895"/>
            <wp:effectExtent l="0" t="0" r="0" b="1905"/>
            <wp:docPr id="12002578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25789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02D8E" w14:textId="2D572E65" w:rsidR="00EB6B6B" w:rsidRDefault="00EB6B6B">
      <w:r w:rsidRPr="00EB6B6B">
        <w:drawing>
          <wp:inline distT="0" distB="0" distL="0" distR="0" wp14:anchorId="049B9F34" wp14:editId="2F2CBA88">
            <wp:extent cx="5731510" cy="3223895"/>
            <wp:effectExtent l="0" t="0" r="0" b="1905"/>
            <wp:docPr id="15030918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09188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92E6E" w14:textId="13343336" w:rsidR="00EB6B6B" w:rsidRDefault="00EB6B6B">
      <w:r w:rsidRPr="00EB6B6B">
        <w:lastRenderedPageBreak/>
        <w:drawing>
          <wp:inline distT="0" distB="0" distL="0" distR="0" wp14:anchorId="549D4A13" wp14:editId="4A91F7CF">
            <wp:extent cx="5731510" cy="3223895"/>
            <wp:effectExtent l="0" t="0" r="0" b="1905"/>
            <wp:docPr id="8199579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95792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73386" w14:textId="00605575" w:rsidR="00EB6B6B" w:rsidRDefault="00EB6B6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References:</w:t>
      </w:r>
    </w:p>
    <w:p w14:paraId="501484F1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>BBC (2020). Christmas market visited by 2.6 million people. BBC News. [online] 8 Jan. Available at: https://www.bbc.co.uk/news/uk-scotland-edinburgh-east-fife-51037714.</w:t>
      </w:r>
    </w:p>
    <w:p w14:paraId="3E3CE46C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proofErr w:type="spellStart"/>
      <w:r w:rsidRPr="00EB6B6B">
        <w:rPr>
          <w:rFonts w:ascii="Arial" w:hAnsi="Arial" w:cs="Arial"/>
          <w:lang w:val="en-GB"/>
        </w:rPr>
        <w:t>Egresi</w:t>
      </w:r>
      <w:proofErr w:type="spellEnd"/>
      <w:r w:rsidRPr="00EB6B6B">
        <w:rPr>
          <w:rFonts w:ascii="Arial" w:hAnsi="Arial" w:cs="Arial"/>
          <w:lang w:val="en-GB"/>
        </w:rPr>
        <w:t xml:space="preserve">, I.O., </w:t>
      </w:r>
      <w:proofErr w:type="spellStart"/>
      <w:r w:rsidRPr="00EB6B6B">
        <w:rPr>
          <w:rFonts w:ascii="Arial" w:hAnsi="Arial" w:cs="Arial"/>
          <w:lang w:val="en-GB"/>
        </w:rPr>
        <w:t>Răcăşan</w:t>
      </w:r>
      <w:proofErr w:type="spellEnd"/>
      <w:r w:rsidRPr="00EB6B6B">
        <w:rPr>
          <w:rFonts w:ascii="Arial" w:hAnsi="Arial" w:cs="Arial"/>
          <w:lang w:val="en-GB"/>
        </w:rPr>
        <w:t xml:space="preserve">, B.S., </w:t>
      </w:r>
      <w:proofErr w:type="spellStart"/>
      <w:r w:rsidRPr="00EB6B6B">
        <w:rPr>
          <w:rFonts w:ascii="Arial" w:hAnsi="Arial" w:cs="Arial"/>
          <w:lang w:val="en-GB"/>
        </w:rPr>
        <w:t>Dezsi</w:t>
      </w:r>
      <w:proofErr w:type="spellEnd"/>
      <w:r w:rsidRPr="00EB6B6B">
        <w:rPr>
          <w:rFonts w:ascii="Arial" w:hAnsi="Arial" w:cs="Arial"/>
          <w:lang w:val="en-GB"/>
        </w:rPr>
        <w:t xml:space="preserve">, S., </w:t>
      </w:r>
      <w:proofErr w:type="spellStart"/>
      <w:r w:rsidRPr="00EB6B6B">
        <w:rPr>
          <w:rFonts w:ascii="Arial" w:hAnsi="Arial" w:cs="Arial"/>
          <w:lang w:val="en-GB"/>
        </w:rPr>
        <w:t>Ilieş</w:t>
      </w:r>
      <w:proofErr w:type="spellEnd"/>
      <w:r w:rsidRPr="00EB6B6B">
        <w:rPr>
          <w:rFonts w:ascii="Arial" w:hAnsi="Arial" w:cs="Arial"/>
          <w:lang w:val="en-GB"/>
        </w:rPr>
        <w:t xml:space="preserve">, M. and </w:t>
      </w:r>
      <w:proofErr w:type="spellStart"/>
      <w:r w:rsidRPr="00EB6B6B">
        <w:rPr>
          <w:rFonts w:ascii="Arial" w:hAnsi="Arial" w:cs="Arial"/>
          <w:lang w:val="en-GB"/>
        </w:rPr>
        <w:t>Ilieş</w:t>
      </w:r>
      <w:proofErr w:type="spellEnd"/>
      <w:r w:rsidRPr="00EB6B6B">
        <w:rPr>
          <w:rFonts w:ascii="Arial" w:hAnsi="Arial" w:cs="Arial"/>
          <w:lang w:val="en-GB"/>
        </w:rPr>
        <w:t xml:space="preserve">, G., 2021. Christmas markets in city </w:t>
      </w:r>
      <w:proofErr w:type="spellStart"/>
      <w:r w:rsidRPr="00EB6B6B">
        <w:rPr>
          <w:rFonts w:ascii="Arial" w:hAnsi="Arial" w:cs="Arial"/>
          <w:lang w:val="en-GB"/>
        </w:rPr>
        <w:t>centers</w:t>
      </w:r>
      <w:proofErr w:type="spellEnd"/>
      <w:r w:rsidRPr="00EB6B6B">
        <w:rPr>
          <w:rFonts w:ascii="Arial" w:hAnsi="Arial" w:cs="Arial"/>
          <w:lang w:val="en-GB"/>
        </w:rPr>
        <w:t xml:space="preserve">: how do they impact local residents and </w:t>
      </w:r>
      <w:proofErr w:type="gramStart"/>
      <w:r w:rsidRPr="00EB6B6B">
        <w:rPr>
          <w:rFonts w:ascii="Arial" w:hAnsi="Arial" w:cs="Arial"/>
          <w:lang w:val="en-GB"/>
        </w:rPr>
        <w:t>businesses?.</w:t>
      </w:r>
      <w:proofErr w:type="gramEnd"/>
      <w:r w:rsidRPr="00EB6B6B">
        <w:rPr>
          <w:rFonts w:ascii="Arial" w:hAnsi="Arial" w:cs="Arial"/>
          <w:lang w:val="en-GB"/>
        </w:rPr>
        <w:t xml:space="preserve"> International Journal of Tourism Cities, 7(2), pp.391-409.</w:t>
      </w:r>
    </w:p>
    <w:p w14:paraId="4113D907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 xml:space="preserve">‌Fox, D. et al. (2014) Doing events research: from theory to practice. Routledge: Oxford </w:t>
      </w:r>
    </w:p>
    <w:p w14:paraId="3179BA8F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>Getz, D., 2017. Developing a framework for sustainable event cities. Event Management, 21(5), pp.575-591.</w:t>
      </w:r>
    </w:p>
    <w:p w14:paraId="25F6D1B3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 xml:space="preserve">Getz, D. and Page, S. (2019) Event studies: theory, research and policy for planned events. 3rd </w:t>
      </w:r>
      <w:proofErr w:type="spellStart"/>
      <w:r w:rsidRPr="00EB6B6B">
        <w:rPr>
          <w:rFonts w:ascii="Arial" w:hAnsi="Arial" w:cs="Arial"/>
          <w:lang w:val="en-GB"/>
        </w:rPr>
        <w:t>Edition.Routledge</w:t>
      </w:r>
      <w:proofErr w:type="spellEnd"/>
      <w:r w:rsidRPr="00EB6B6B">
        <w:rPr>
          <w:rFonts w:ascii="Arial" w:hAnsi="Arial" w:cs="Arial"/>
          <w:lang w:val="en-GB"/>
        </w:rPr>
        <w:t>: Oxford</w:t>
      </w:r>
    </w:p>
    <w:p w14:paraId="08D77A07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 xml:space="preserve">Manchester City Council (2024). Manchester Christmas Markets 2024 - the countdown is on! | Manchester City Council. Manchester.gov.uk. [online] </w:t>
      </w:r>
      <w:proofErr w:type="gramStart"/>
      <w:r w:rsidRPr="00EB6B6B">
        <w:rPr>
          <w:rFonts w:ascii="Arial" w:hAnsi="Arial" w:cs="Arial"/>
          <w:lang w:val="en-GB"/>
        </w:rPr>
        <w:t>doi:https://www.manchester.gov.uk/site/scripts/news_article.php?newsID=9543</w:t>
      </w:r>
      <w:proofErr w:type="gramEnd"/>
      <w:r w:rsidRPr="00EB6B6B">
        <w:rPr>
          <w:rFonts w:ascii="Arial" w:hAnsi="Arial" w:cs="Arial"/>
          <w:lang w:val="en-GB"/>
        </w:rPr>
        <w:t>.</w:t>
      </w:r>
    </w:p>
    <w:p w14:paraId="4D710249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>Mair, J. ed., 2019. The Routledge handbook of festivals (pp. 1-11). London and New York: Routledge.</w:t>
      </w:r>
    </w:p>
    <w:p w14:paraId="037176A7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 xml:space="preserve">McCartney, G., 2014, July. With or without you? Building a case for further MICE (meetings, incentive travel, conventions, exhibitions) development in </w:t>
      </w:r>
      <w:r w:rsidRPr="00EB6B6B">
        <w:rPr>
          <w:rFonts w:ascii="Arial" w:hAnsi="Arial" w:cs="Arial"/>
          <w:lang w:val="en-GB"/>
        </w:rPr>
        <w:lastRenderedPageBreak/>
        <w:t>Macao. In Journal of Convention &amp; Event Tourism (Vol. 15, No. 3, pp. 173-197). Routledge.</w:t>
      </w:r>
    </w:p>
    <w:p w14:paraId="32E186C3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>Meredith, J. (2022) Project management: a managerial approach</w:t>
      </w:r>
    </w:p>
    <w:p w14:paraId="10FBB31F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proofErr w:type="spellStart"/>
      <w:r w:rsidRPr="00EB6B6B">
        <w:rPr>
          <w:rFonts w:ascii="Arial" w:hAnsi="Arial" w:cs="Arial"/>
          <w:lang w:val="en-GB"/>
        </w:rPr>
        <w:t>Moshood</w:t>
      </w:r>
      <w:proofErr w:type="spellEnd"/>
      <w:r w:rsidRPr="00EB6B6B">
        <w:rPr>
          <w:rFonts w:ascii="Arial" w:hAnsi="Arial" w:cs="Arial"/>
          <w:lang w:val="en-GB"/>
        </w:rPr>
        <w:t xml:space="preserve">, T.D., </w:t>
      </w:r>
      <w:proofErr w:type="spellStart"/>
      <w:r w:rsidRPr="00EB6B6B">
        <w:rPr>
          <w:rFonts w:ascii="Arial" w:hAnsi="Arial" w:cs="Arial"/>
          <w:lang w:val="en-GB"/>
        </w:rPr>
        <w:t>Nawanir</w:t>
      </w:r>
      <w:proofErr w:type="spellEnd"/>
      <w:r w:rsidRPr="00EB6B6B">
        <w:rPr>
          <w:rFonts w:ascii="Arial" w:hAnsi="Arial" w:cs="Arial"/>
          <w:lang w:val="en-GB"/>
        </w:rPr>
        <w:t xml:space="preserve">, G., Mahmud, F., Mohamad, F., Ahmad, M.H. and </w:t>
      </w:r>
      <w:proofErr w:type="spellStart"/>
      <w:r w:rsidRPr="00EB6B6B">
        <w:rPr>
          <w:rFonts w:ascii="Arial" w:hAnsi="Arial" w:cs="Arial"/>
          <w:lang w:val="en-GB"/>
        </w:rPr>
        <w:t>AbdulGhani</w:t>
      </w:r>
      <w:proofErr w:type="spellEnd"/>
      <w:r w:rsidRPr="00EB6B6B">
        <w:rPr>
          <w:rFonts w:ascii="Arial" w:hAnsi="Arial" w:cs="Arial"/>
          <w:lang w:val="en-GB"/>
        </w:rPr>
        <w:t xml:space="preserve">, A. (2022). Sustainability of biodegradable plastics: New problem or solution to solve the global plastic pollution? Current Research in Green and Sustainable Chemistry, [online] 5(100273), p.100273. </w:t>
      </w:r>
      <w:proofErr w:type="spellStart"/>
      <w:proofErr w:type="gramStart"/>
      <w:r w:rsidRPr="00EB6B6B">
        <w:rPr>
          <w:rFonts w:ascii="Arial" w:hAnsi="Arial" w:cs="Arial"/>
          <w:lang w:val="en-GB"/>
        </w:rPr>
        <w:t>doi:https</w:t>
      </w:r>
      <w:proofErr w:type="spellEnd"/>
      <w:r w:rsidRPr="00EB6B6B">
        <w:rPr>
          <w:rFonts w:ascii="Arial" w:hAnsi="Arial" w:cs="Arial"/>
          <w:lang w:val="en-GB"/>
        </w:rPr>
        <w:t>://doi.org/10.1016/j.crgsc.2022.100273</w:t>
      </w:r>
      <w:proofErr w:type="gramEnd"/>
      <w:r w:rsidRPr="00EB6B6B">
        <w:rPr>
          <w:rFonts w:ascii="Arial" w:hAnsi="Arial" w:cs="Arial"/>
          <w:lang w:val="en-GB"/>
        </w:rPr>
        <w:t>.</w:t>
      </w:r>
    </w:p>
    <w:p w14:paraId="23135C4B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 xml:space="preserve">NEC </w:t>
      </w:r>
      <w:proofErr w:type="gramStart"/>
      <w:r w:rsidRPr="00EB6B6B">
        <w:rPr>
          <w:rFonts w:ascii="Arial" w:hAnsi="Arial" w:cs="Arial"/>
          <w:lang w:val="en-GB"/>
        </w:rPr>
        <w:t>Group  (</w:t>
      </w:r>
      <w:proofErr w:type="gramEnd"/>
      <w:r w:rsidRPr="00EB6B6B">
        <w:rPr>
          <w:rFonts w:ascii="Arial" w:hAnsi="Arial" w:cs="Arial"/>
          <w:lang w:val="en-GB"/>
        </w:rPr>
        <w:t>2024). Good Food Show Winter. [online] Available at: https://www.thenec.co.uk/whats-on/good-food-show-winter/ [Accessed 7 Oct. 2024].</w:t>
      </w:r>
    </w:p>
    <w:p w14:paraId="38C86D48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>O’Toole, W. (2011) Events feasibility and development: from strategy to operations. Elsevier: Oxford</w:t>
      </w:r>
    </w:p>
    <w:p w14:paraId="7C153A4B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>Page, S.J. and Connell, J., 2012. The Routledge handbook of events. London: Routledge.</w:t>
      </w:r>
    </w:p>
    <w:p w14:paraId="556A58F7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>Rogers, T. and Davidson, R., 2015. Marketing destinations and venues for conferences, conventions and business events. Routledge.</w:t>
      </w:r>
    </w:p>
    <w:p w14:paraId="6BE3D006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>Smith, A. (2012) Events and urban regeneration: the strategic use of events to revitalise cities. Routledge: Oxford</w:t>
      </w:r>
    </w:p>
    <w:p w14:paraId="1DB05D49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proofErr w:type="spellStart"/>
      <w:r w:rsidRPr="00EB6B6B">
        <w:rPr>
          <w:rFonts w:ascii="Arial" w:hAnsi="Arial" w:cs="Arial"/>
          <w:lang w:val="en-GB"/>
        </w:rPr>
        <w:t>Tallon</w:t>
      </w:r>
      <w:proofErr w:type="spellEnd"/>
      <w:r w:rsidRPr="00EB6B6B">
        <w:rPr>
          <w:rFonts w:ascii="Arial" w:hAnsi="Arial" w:cs="Arial"/>
          <w:lang w:val="en-GB"/>
        </w:rPr>
        <w:t>, A., 2020. Urban Regeneration in the UK. Routledge.</w:t>
      </w:r>
    </w:p>
    <w:p w14:paraId="11F76A9A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 xml:space="preserve">The NEC (2023). Find a </w:t>
      </w:r>
      <w:proofErr w:type="gramStart"/>
      <w:r w:rsidRPr="00EB6B6B">
        <w:rPr>
          <w:rFonts w:ascii="Arial" w:hAnsi="Arial" w:cs="Arial"/>
          <w:lang w:val="en-GB"/>
        </w:rPr>
        <w:t>Hotel</w:t>
      </w:r>
      <w:proofErr w:type="gramEnd"/>
      <w:r w:rsidRPr="00EB6B6B">
        <w:rPr>
          <w:rFonts w:ascii="Arial" w:hAnsi="Arial" w:cs="Arial"/>
          <w:lang w:val="en-GB"/>
        </w:rPr>
        <w:t>. [online] Available at: https://www.thenec.co.uk/visitors/find-a-hotel/ [Accessed 8 Oct. 2024].</w:t>
      </w:r>
    </w:p>
    <w:p w14:paraId="5BC14872" w14:textId="77777777" w:rsidR="00EB6B6B" w:rsidRPr="00EB6B6B" w:rsidRDefault="00EB6B6B" w:rsidP="00EB6B6B">
      <w:pPr>
        <w:numPr>
          <w:ilvl w:val="0"/>
          <w:numId w:val="1"/>
        </w:numPr>
        <w:rPr>
          <w:rFonts w:ascii="Arial" w:hAnsi="Arial" w:cs="Arial"/>
        </w:rPr>
      </w:pPr>
      <w:r w:rsidRPr="00EB6B6B">
        <w:rPr>
          <w:rFonts w:ascii="Arial" w:hAnsi="Arial" w:cs="Arial"/>
          <w:lang w:val="en-GB"/>
        </w:rPr>
        <w:t xml:space="preserve">Yousaf, A., 2022. Developing Digital Marketing Strategies to attract family customers. Case study: Holiday Club </w:t>
      </w:r>
      <w:proofErr w:type="spellStart"/>
      <w:r w:rsidRPr="00EB6B6B">
        <w:rPr>
          <w:rFonts w:ascii="Arial" w:hAnsi="Arial" w:cs="Arial"/>
          <w:lang w:val="en-GB"/>
        </w:rPr>
        <w:t>Caribia</w:t>
      </w:r>
      <w:proofErr w:type="spellEnd"/>
      <w:r w:rsidRPr="00EB6B6B">
        <w:rPr>
          <w:rFonts w:ascii="Arial" w:hAnsi="Arial" w:cs="Arial"/>
          <w:lang w:val="en-GB"/>
        </w:rPr>
        <w:t xml:space="preserve"> Turku.</w:t>
      </w:r>
    </w:p>
    <w:p w14:paraId="462008B2" w14:textId="77777777" w:rsidR="00EB6B6B" w:rsidRPr="00EB6B6B" w:rsidRDefault="00EB6B6B">
      <w:pPr>
        <w:rPr>
          <w:rFonts w:ascii="Arial" w:hAnsi="Arial" w:cs="Arial"/>
        </w:rPr>
      </w:pPr>
    </w:p>
    <w:sectPr w:rsidR="00EB6B6B" w:rsidRPr="00EB6B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23E96"/>
    <w:multiLevelType w:val="hybridMultilevel"/>
    <w:tmpl w:val="91A4DF46"/>
    <w:lvl w:ilvl="0" w:tplc="29782BF2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F6A70C8" w:tentative="1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88ACA4C" w:tentative="1">
      <w:start w:val="1"/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7AE35B8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F98D214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A8E4AC2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574CF04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FB2CBCE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0B20C32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777725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B6B"/>
    <w:rsid w:val="00EB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58C18D6"/>
  <w15:chartTrackingRefBased/>
  <w15:docId w15:val="{D83D02C9-FD2A-4045-8C08-C79346617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6B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6B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6B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6B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6B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6B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6B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6B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6B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6B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6B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6B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6B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6B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6B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6B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6B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6B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6B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6B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6B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6B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6B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6B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6B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6B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6B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6B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6B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1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983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98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393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13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03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85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34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14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16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2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44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35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64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66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77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92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27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40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Cucu (2213956)</dc:creator>
  <cp:keywords/>
  <dc:description/>
  <cp:lastModifiedBy>Petru Cucu (2213956)</cp:lastModifiedBy>
  <cp:revision>1</cp:revision>
  <dcterms:created xsi:type="dcterms:W3CDTF">2024-10-16T16:48:00Z</dcterms:created>
  <dcterms:modified xsi:type="dcterms:W3CDTF">2024-10-16T16:53:00Z</dcterms:modified>
</cp:coreProperties>
</file>