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54A19779" w14:textId="77777777" w:rsidR="009E6098" w:rsidRPr="001C2E2B" w:rsidRDefault="009E6098" w:rsidP="009E6098">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Learner’s name: </w:t>
            </w:r>
            <w:r>
              <w:rPr>
                <w:rFonts w:ascii="Times New Roman" w:hAnsi="Times New Roman" w:cs="Times New Roman"/>
                <w:bCs/>
                <w:color w:val="auto"/>
                <w:sz w:val="48"/>
              </w:rPr>
              <w:t>Lauren McMillan</w:t>
            </w:r>
          </w:p>
          <w:p w14:paraId="563CD539" w14:textId="77777777" w:rsidR="009E6098" w:rsidRDefault="009E6098" w:rsidP="009E6098">
            <w:pPr>
              <w:overflowPunct/>
              <w:autoSpaceDE/>
              <w:autoSpaceDN/>
              <w:adjustRightInd/>
              <w:ind w:right="-957"/>
              <w:textAlignment w:val="auto"/>
              <w:rPr>
                <w:rFonts w:ascii="Times New Roman" w:hAnsi="Times New Roman" w:cs="Times New Roman"/>
                <w:b/>
                <w:color w:val="auto"/>
                <w:sz w:val="48"/>
              </w:rPr>
            </w:pPr>
          </w:p>
          <w:p w14:paraId="76CCC47E" w14:textId="77777777" w:rsidR="009E6098" w:rsidRDefault="009E6098" w:rsidP="009E6098">
            <w:pPr>
              <w:ind w:right="-957"/>
              <w:rPr>
                <w:rFonts w:ascii="Times New Roman" w:hAnsi="Times New Roman" w:cs="Times New Roman"/>
                <w:bCs/>
                <w:sz w:val="48"/>
              </w:rPr>
            </w:pPr>
            <w:r>
              <w:rPr>
                <w:rFonts w:ascii="Times New Roman" w:hAnsi="Times New Roman" w:cs="Times New Roman"/>
                <w:b/>
                <w:sz w:val="48"/>
              </w:rPr>
              <w:t xml:space="preserve">Email address: </w:t>
            </w:r>
            <w:hyperlink r:id="rId11" w:history="1">
              <w:r w:rsidRPr="00D90559">
                <w:rPr>
                  <w:rStyle w:val="Hyperlink"/>
                  <w:rFonts w:ascii="Times New Roman" w:hAnsi="Times New Roman" w:cs="Times New Roman"/>
                  <w:bCs/>
                  <w:sz w:val="48"/>
                </w:rPr>
                <w:t>2521024@student.uwtsd.ac.uk</w:t>
              </w:r>
            </w:hyperlink>
          </w:p>
          <w:p w14:paraId="289B1F58" w14:textId="77777777" w:rsidR="009E6098" w:rsidRPr="00BD5365" w:rsidRDefault="009E6098" w:rsidP="009E6098">
            <w:pPr>
              <w:ind w:right="-957"/>
              <w:rPr>
                <w:rFonts w:ascii="Times New Roman" w:hAnsi="Times New Roman" w:cs="Times New Roman"/>
                <w:bCs/>
                <w:sz w:val="48"/>
              </w:rPr>
            </w:pPr>
            <w:hyperlink r:id="rId12" w:history="1">
              <w:r w:rsidRPr="00D90559">
                <w:rPr>
                  <w:rStyle w:val="Hyperlink"/>
                  <w:rFonts w:ascii="Times New Roman" w:hAnsi="Times New Roman" w:cs="Times New Roman"/>
                  <w:bCs/>
                  <w:sz w:val="48"/>
                </w:rPr>
                <w:t>Mcmillanlauren2@gmail.com</w:t>
              </w:r>
            </w:hyperlink>
            <w:r>
              <w:rPr>
                <w:rFonts w:ascii="Times New Roman" w:hAnsi="Times New Roman" w:cs="Times New Roman"/>
                <w:bCs/>
                <w:sz w:val="48"/>
              </w:rPr>
              <w:t xml:space="preserve"> </w:t>
            </w:r>
          </w:p>
          <w:p w14:paraId="620E3953" w14:textId="77777777" w:rsidR="009E6098" w:rsidRDefault="009E6098" w:rsidP="009E6098">
            <w:pPr>
              <w:ind w:right="-957"/>
              <w:rPr>
                <w:rFonts w:ascii="Times New Roman" w:hAnsi="Times New Roman" w:cs="Times New Roman"/>
                <w:b/>
                <w:sz w:val="48"/>
              </w:rPr>
            </w:pPr>
          </w:p>
          <w:p w14:paraId="56BA147F" w14:textId="77777777" w:rsidR="009E6098" w:rsidRDefault="009E6098" w:rsidP="009E6098">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3BB122D4" w14:textId="77777777" w:rsidR="009E6098" w:rsidRPr="002514A4" w:rsidRDefault="009E6098" w:rsidP="009E6098">
            <w:pPr>
              <w:ind w:right="-957"/>
              <w:rPr>
                <w:rFonts w:ascii="Times New Roman" w:hAnsi="Times New Roman" w:cs="Times New Roman"/>
                <w:bCs/>
                <w:sz w:val="48"/>
              </w:rPr>
            </w:pPr>
            <w:r>
              <w:rPr>
                <w:rFonts w:ascii="Times New Roman" w:hAnsi="Times New Roman" w:cs="Times New Roman"/>
                <w:bCs/>
                <w:sz w:val="48"/>
              </w:rPr>
              <w:t>2521024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1D68DA91" w14:textId="3D250ECD" w:rsidR="00D3203C" w:rsidRDefault="00D3203C" w:rsidP="009E6098">
      <w:pP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001C70AE" w14:textId="77777777" w:rsidR="00FB751B" w:rsidRDefault="00FB751B" w:rsidP="00FB751B">
            <w:pPr>
              <w:rPr>
                <w:sz w:val="24"/>
                <w:szCs w:val="24"/>
              </w:rPr>
            </w:pPr>
            <w:r w:rsidRPr="00FB751B">
              <w:rPr>
                <w:sz w:val="24"/>
                <w:szCs w:val="24"/>
              </w:rPr>
              <w:t xml:space="preserve">This case study will aim to critically reflect on the assessment process of a family of two children for who I am the allocated Social Worker under a statutory Care and Support Protection Plan (CASPP), within the Child Protection (CP) process. The Welsh Government state that Local Authorities (LA) have a duty to assess children’s needs under Part 3 of the Social Services and Wellbeing (Wales) Act 2014 (SSWBA), where it appears that a child may have needs for care and support (Social Care Wales, 2017). </w:t>
            </w:r>
          </w:p>
          <w:p w14:paraId="2F9EE42B" w14:textId="77777777" w:rsidR="00FB751B" w:rsidRPr="00FB751B" w:rsidRDefault="00FB751B" w:rsidP="00FB751B">
            <w:pPr>
              <w:rPr>
                <w:sz w:val="24"/>
                <w:szCs w:val="24"/>
              </w:rPr>
            </w:pPr>
          </w:p>
          <w:p w14:paraId="5E1B6766" w14:textId="77777777" w:rsidR="00FB751B" w:rsidRDefault="00FB751B" w:rsidP="00FB751B">
            <w:pPr>
              <w:rPr>
                <w:sz w:val="24"/>
                <w:szCs w:val="24"/>
              </w:rPr>
            </w:pPr>
            <w:r w:rsidRPr="00FB751B">
              <w:rPr>
                <w:sz w:val="24"/>
                <w:szCs w:val="24"/>
              </w:rPr>
              <w:t xml:space="preserve">Critical reflection is an essential process that supports ongoing learning and professional growth. It involves a more in-depth process of thinking about the conditions that shape our actions and how we feel about our actions. Critical reflection strengthens the quality of assessments, improves professional decision making and ultimately contributes to safeguarding children from harm (MacFarlane, 2024). </w:t>
            </w:r>
          </w:p>
          <w:p w14:paraId="1B802D3E" w14:textId="77777777" w:rsidR="00FB751B" w:rsidRPr="00FB751B" w:rsidRDefault="00FB751B" w:rsidP="00FB751B">
            <w:pPr>
              <w:rPr>
                <w:sz w:val="24"/>
                <w:szCs w:val="24"/>
              </w:rPr>
            </w:pPr>
          </w:p>
          <w:p w14:paraId="5C5AA9FE" w14:textId="77777777" w:rsidR="00FB751B" w:rsidRDefault="00FB751B" w:rsidP="00FB751B">
            <w:pPr>
              <w:rPr>
                <w:sz w:val="24"/>
                <w:szCs w:val="24"/>
              </w:rPr>
            </w:pPr>
            <w:r w:rsidRPr="00FB751B">
              <w:rPr>
                <w:sz w:val="24"/>
                <w:szCs w:val="24"/>
              </w:rPr>
              <w:t xml:space="preserve">To reflect on my chosen case study, I will use a reflective model known as the Driscoll cycle, this model outlines a three-step process: "What?", "So what?", and "Now what?" (Greene,2024). </w:t>
            </w:r>
          </w:p>
          <w:p w14:paraId="01DF6992" w14:textId="77777777" w:rsidR="00FB751B" w:rsidRPr="00FB751B" w:rsidRDefault="00FB751B" w:rsidP="00FB751B">
            <w:pPr>
              <w:rPr>
                <w:sz w:val="24"/>
                <w:szCs w:val="24"/>
              </w:rPr>
            </w:pPr>
          </w:p>
          <w:p w14:paraId="1D3859C1" w14:textId="77777777" w:rsidR="00FB751B" w:rsidRDefault="00FB751B" w:rsidP="00FB751B">
            <w:pPr>
              <w:rPr>
                <w:sz w:val="24"/>
                <w:szCs w:val="24"/>
              </w:rPr>
            </w:pPr>
            <w:r w:rsidRPr="00FB751B">
              <w:rPr>
                <w:b/>
                <w:bCs/>
                <w:sz w:val="24"/>
                <w:szCs w:val="24"/>
              </w:rPr>
              <w:t>What?</w:t>
            </w:r>
            <w:r w:rsidRPr="00FB751B">
              <w:rPr>
                <w:sz w:val="24"/>
                <w:szCs w:val="24"/>
              </w:rPr>
              <w:t xml:space="preserve"> At this stage, I will outline and describe the specific action or event that I am choosing to reflect upon.</w:t>
            </w:r>
          </w:p>
          <w:p w14:paraId="5AF27378" w14:textId="77777777" w:rsidR="00FB751B" w:rsidRPr="00FB751B" w:rsidRDefault="00FB751B" w:rsidP="00FB751B">
            <w:pPr>
              <w:rPr>
                <w:sz w:val="24"/>
                <w:szCs w:val="24"/>
              </w:rPr>
            </w:pPr>
          </w:p>
          <w:p w14:paraId="15D80AD8" w14:textId="77777777" w:rsidR="00FB751B" w:rsidRDefault="00FB751B" w:rsidP="00FB751B">
            <w:pPr>
              <w:rPr>
                <w:sz w:val="24"/>
                <w:szCs w:val="24"/>
              </w:rPr>
            </w:pPr>
            <w:r w:rsidRPr="00FB751B">
              <w:rPr>
                <w:b/>
                <w:bCs/>
                <w:sz w:val="24"/>
                <w:szCs w:val="24"/>
              </w:rPr>
              <w:t>So what?</w:t>
            </w:r>
            <w:r w:rsidRPr="00FB751B">
              <w:rPr>
                <w:sz w:val="24"/>
                <w:szCs w:val="24"/>
              </w:rPr>
              <w:t xml:space="preserve"> This stage focuses on exploring why the action or event is meaningful, examining its importance and implications.</w:t>
            </w:r>
          </w:p>
          <w:p w14:paraId="3D601DED" w14:textId="77777777" w:rsidR="00FB751B" w:rsidRPr="00FB751B" w:rsidRDefault="00FB751B" w:rsidP="00FB751B">
            <w:pPr>
              <w:rPr>
                <w:sz w:val="24"/>
                <w:szCs w:val="24"/>
              </w:rPr>
            </w:pPr>
          </w:p>
          <w:p w14:paraId="1C24D01F" w14:textId="77777777" w:rsidR="00FB751B" w:rsidRPr="00FB751B" w:rsidRDefault="00FB751B" w:rsidP="00FB751B">
            <w:pPr>
              <w:rPr>
                <w:sz w:val="24"/>
                <w:szCs w:val="24"/>
              </w:rPr>
            </w:pPr>
            <w:r w:rsidRPr="00FB751B">
              <w:rPr>
                <w:b/>
                <w:bCs/>
                <w:sz w:val="24"/>
                <w:szCs w:val="24"/>
              </w:rPr>
              <w:lastRenderedPageBreak/>
              <w:t>Now what?</w:t>
            </w:r>
            <w:r w:rsidRPr="00FB751B">
              <w:rPr>
                <w:sz w:val="24"/>
                <w:szCs w:val="24"/>
              </w:rPr>
              <w:t xml:space="preserve"> In the final stage, I will consider how the insights gained from the experience will influence my future decisions or actions when faced with similar situations. </w:t>
            </w:r>
          </w:p>
          <w:p w14:paraId="4B50EBF6" w14:textId="77777777" w:rsidR="00FB751B" w:rsidRDefault="00FB751B" w:rsidP="00FB751B">
            <w:pPr>
              <w:rPr>
                <w:sz w:val="24"/>
                <w:szCs w:val="24"/>
              </w:rPr>
            </w:pPr>
          </w:p>
          <w:p w14:paraId="36E90435" w14:textId="77777777" w:rsidR="000D5239" w:rsidRPr="00FB751B" w:rsidRDefault="000D5239" w:rsidP="00FB751B">
            <w:pPr>
              <w:rPr>
                <w:sz w:val="24"/>
                <w:szCs w:val="24"/>
              </w:rPr>
            </w:pPr>
          </w:p>
          <w:p w14:paraId="7A7906C5" w14:textId="77777777" w:rsidR="00FB751B" w:rsidRDefault="00FB751B" w:rsidP="00FB751B">
            <w:pPr>
              <w:rPr>
                <w:b/>
                <w:bCs/>
                <w:sz w:val="24"/>
                <w:szCs w:val="24"/>
              </w:rPr>
            </w:pPr>
            <w:r w:rsidRPr="00FB751B">
              <w:rPr>
                <w:b/>
                <w:bCs/>
                <w:sz w:val="24"/>
                <w:szCs w:val="24"/>
              </w:rPr>
              <w:t xml:space="preserve">What? </w:t>
            </w:r>
          </w:p>
          <w:p w14:paraId="715122FA" w14:textId="77777777" w:rsidR="000D5239" w:rsidRPr="00FB751B" w:rsidRDefault="000D5239" w:rsidP="00FB751B">
            <w:pPr>
              <w:rPr>
                <w:b/>
                <w:bCs/>
                <w:sz w:val="24"/>
                <w:szCs w:val="24"/>
              </w:rPr>
            </w:pPr>
          </w:p>
          <w:p w14:paraId="10059B92" w14:textId="77777777" w:rsidR="00FB751B" w:rsidRPr="00FB751B" w:rsidRDefault="00FB751B" w:rsidP="00FB751B">
            <w:pPr>
              <w:rPr>
                <w:sz w:val="24"/>
                <w:szCs w:val="24"/>
              </w:rPr>
            </w:pPr>
            <w:r w:rsidRPr="00FB751B">
              <w:rPr>
                <w:sz w:val="24"/>
                <w:szCs w:val="24"/>
              </w:rPr>
              <w:t xml:space="preserve">This family consists of: </w:t>
            </w:r>
          </w:p>
          <w:p w14:paraId="422DE803" w14:textId="77777777" w:rsidR="00FB751B" w:rsidRPr="00FB751B" w:rsidRDefault="00FB751B" w:rsidP="00FB751B">
            <w:pPr>
              <w:numPr>
                <w:ilvl w:val="0"/>
                <w:numId w:val="54"/>
              </w:numPr>
              <w:overflowPunct/>
              <w:autoSpaceDE/>
              <w:autoSpaceDN/>
              <w:adjustRightInd/>
              <w:spacing w:after="160" w:line="278" w:lineRule="auto"/>
              <w:textAlignment w:val="auto"/>
              <w:rPr>
                <w:sz w:val="24"/>
                <w:szCs w:val="24"/>
              </w:rPr>
            </w:pPr>
            <w:r w:rsidRPr="00FB751B">
              <w:rPr>
                <w:sz w:val="24"/>
                <w:szCs w:val="24"/>
              </w:rPr>
              <w:t>Child 3 – 13</w:t>
            </w:r>
            <w:r w:rsidRPr="00FB751B">
              <w:rPr>
                <w:sz w:val="24"/>
                <w:szCs w:val="24"/>
              </w:rPr>
              <w:noBreakHyphen/>
              <w:t>year</w:t>
            </w:r>
            <w:r w:rsidRPr="00FB751B">
              <w:rPr>
                <w:sz w:val="24"/>
                <w:szCs w:val="24"/>
              </w:rPr>
              <w:noBreakHyphen/>
              <w:t>old female</w:t>
            </w:r>
          </w:p>
          <w:p w14:paraId="762A88DD" w14:textId="77777777" w:rsidR="00FB751B" w:rsidRPr="00FB751B" w:rsidRDefault="00FB751B" w:rsidP="00FB751B">
            <w:pPr>
              <w:numPr>
                <w:ilvl w:val="0"/>
                <w:numId w:val="54"/>
              </w:numPr>
              <w:overflowPunct/>
              <w:autoSpaceDE/>
              <w:autoSpaceDN/>
              <w:adjustRightInd/>
              <w:spacing w:after="160" w:line="278" w:lineRule="auto"/>
              <w:textAlignment w:val="auto"/>
              <w:rPr>
                <w:sz w:val="24"/>
                <w:szCs w:val="24"/>
              </w:rPr>
            </w:pPr>
            <w:r w:rsidRPr="00FB751B">
              <w:rPr>
                <w:sz w:val="24"/>
                <w:szCs w:val="24"/>
              </w:rPr>
              <w:t>Child 4 – 11</w:t>
            </w:r>
            <w:r w:rsidRPr="00FB751B">
              <w:rPr>
                <w:sz w:val="24"/>
                <w:szCs w:val="24"/>
              </w:rPr>
              <w:noBreakHyphen/>
              <w:t>year</w:t>
            </w:r>
            <w:r w:rsidRPr="00FB751B">
              <w:rPr>
                <w:sz w:val="24"/>
                <w:szCs w:val="24"/>
              </w:rPr>
              <w:noBreakHyphen/>
              <w:t>old male</w:t>
            </w:r>
          </w:p>
          <w:p w14:paraId="58D174F4" w14:textId="77777777" w:rsidR="00FB751B" w:rsidRPr="00FB751B" w:rsidRDefault="00FB751B" w:rsidP="00FB751B">
            <w:pPr>
              <w:numPr>
                <w:ilvl w:val="0"/>
                <w:numId w:val="54"/>
              </w:numPr>
              <w:overflowPunct/>
              <w:autoSpaceDE/>
              <w:autoSpaceDN/>
              <w:adjustRightInd/>
              <w:spacing w:after="160" w:line="278" w:lineRule="auto"/>
              <w:textAlignment w:val="auto"/>
              <w:rPr>
                <w:sz w:val="24"/>
                <w:szCs w:val="24"/>
              </w:rPr>
            </w:pPr>
            <w:r w:rsidRPr="00FB751B">
              <w:rPr>
                <w:sz w:val="24"/>
                <w:szCs w:val="24"/>
              </w:rPr>
              <w:t>Person 5 – mother</w:t>
            </w:r>
          </w:p>
          <w:p w14:paraId="7680996B" w14:textId="77777777" w:rsidR="00FB751B" w:rsidRDefault="00FB751B" w:rsidP="00FB751B">
            <w:pPr>
              <w:rPr>
                <w:sz w:val="24"/>
                <w:szCs w:val="24"/>
              </w:rPr>
            </w:pPr>
            <w:r w:rsidRPr="00FB751B">
              <w:rPr>
                <w:sz w:val="24"/>
                <w:szCs w:val="24"/>
              </w:rPr>
              <w:t>At referral, the family was assessed as requiring Care and Support intervention under the Social Services and Well-being (Wales) Act 2014 due to identified care and support needs. However, ongoing assessment identified escalating concerns regarding neglect and emotional harm, leading professionals to conclude that the children were suffering, or at risk of suffering, significant harm and therefore required Child Protection (CP) intervention.</w:t>
            </w:r>
          </w:p>
          <w:p w14:paraId="47C334E5" w14:textId="77777777" w:rsidR="00FB751B" w:rsidRPr="00FB751B" w:rsidRDefault="00FB751B" w:rsidP="00FB751B">
            <w:pPr>
              <w:rPr>
                <w:sz w:val="24"/>
                <w:szCs w:val="24"/>
              </w:rPr>
            </w:pPr>
          </w:p>
          <w:p w14:paraId="3E8A8379" w14:textId="77777777" w:rsidR="00FB751B" w:rsidRDefault="00FB751B" w:rsidP="00FB751B">
            <w:pPr>
              <w:rPr>
                <w:sz w:val="24"/>
                <w:szCs w:val="24"/>
              </w:rPr>
            </w:pPr>
            <w:r w:rsidRPr="00FB751B">
              <w:rPr>
                <w:sz w:val="24"/>
                <w:szCs w:val="24"/>
              </w:rPr>
              <w:t>Child 3 and Child 4 had not attended school for a significant period, resulting in concerns regarding educational neglect and social isolation. The children were also not routinely attending health appointments, limiting professionals' ability to monitor their development and wellbeing. Beyond professional concerns, it was important to consider the lived experiences of the children. Their prolonged absence from education potentially limited opportunities for peer relationships, social development and access to trusted adults outside of the family home. Reflecting on this case, I recognise the importance of ensuring that children's voices and experiences remain central to assessment and decision-making, consistent with the rights-based approach promoted within Welsh social work practice. The family experienced difficulties engaging with services and maintaining consistent routines, which contributed to professional concerns regarding the children's welfare.</w:t>
            </w:r>
          </w:p>
          <w:p w14:paraId="2B5ECA1F" w14:textId="77777777" w:rsidR="00FB751B" w:rsidRPr="00FB751B" w:rsidRDefault="00FB751B" w:rsidP="00FB751B">
            <w:pPr>
              <w:rPr>
                <w:sz w:val="24"/>
                <w:szCs w:val="24"/>
              </w:rPr>
            </w:pPr>
          </w:p>
          <w:p w14:paraId="62E29E7C" w14:textId="77777777" w:rsidR="00FB751B" w:rsidRDefault="00FB751B" w:rsidP="00FB751B">
            <w:pPr>
              <w:rPr>
                <w:sz w:val="24"/>
                <w:szCs w:val="24"/>
              </w:rPr>
            </w:pPr>
            <w:r w:rsidRPr="00FB751B">
              <w:rPr>
                <w:sz w:val="24"/>
                <w:szCs w:val="24"/>
              </w:rPr>
              <w:t>This family live in a semi-rural community with a population of under 3000 residents, predominantly White British, with LA data indicating that approximately 20% of residents can speak Welsh, which is slightly lower than average for its county but does reflect the need for bilingual services in the area (ONS, 2021). Under the Active offer, public services have a statutory duty to offer services in Welsh, in safeguarding work, this can be important as language choice can impact on the communication that you have with a family. This area is not seen as deprived, however does experience pockets of housing and income pressure which reflects rising living costs and limited access to affordable housing (Welsh Government,2025). This LA continues to experience significant homelessness pressures, with households, including children, placed in temporary accommodation due to housing shortages and complex family needs (Welsh Government, 2025). These wider socio</w:t>
            </w:r>
            <w:r w:rsidRPr="00FB751B">
              <w:rPr>
                <w:sz w:val="24"/>
                <w:szCs w:val="24"/>
              </w:rPr>
              <w:noBreakHyphen/>
              <w:t xml:space="preserve">economic factors provide important context for understanding vulnerabilities within families in this area. </w:t>
            </w:r>
          </w:p>
          <w:p w14:paraId="3B1E0FE4" w14:textId="77777777" w:rsidR="00FB751B" w:rsidRPr="00FB751B" w:rsidRDefault="00FB751B" w:rsidP="00FB751B">
            <w:pPr>
              <w:rPr>
                <w:sz w:val="24"/>
                <w:szCs w:val="24"/>
              </w:rPr>
            </w:pPr>
          </w:p>
          <w:p w14:paraId="2AE6D99C" w14:textId="77777777" w:rsidR="00FB751B" w:rsidRDefault="00FB751B" w:rsidP="00FB751B">
            <w:pPr>
              <w:rPr>
                <w:sz w:val="24"/>
                <w:szCs w:val="24"/>
              </w:rPr>
            </w:pPr>
            <w:r w:rsidRPr="00FB751B">
              <w:rPr>
                <w:sz w:val="24"/>
                <w:szCs w:val="24"/>
              </w:rPr>
              <w:t xml:space="preserve">My professional role and responsibilities whilst working with this family evolved over time. Initially, the family was supported under a voluntary plan, meaning that the frequency of </w:t>
            </w:r>
            <w:r w:rsidRPr="00FB751B">
              <w:rPr>
                <w:sz w:val="24"/>
                <w:szCs w:val="24"/>
              </w:rPr>
              <w:lastRenderedPageBreak/>
              <w:t xml:space="preserve">visits and interventions was guided by the family's presenting needs, levels of engagement and willingness to work with services. During this phase, my practice reflected the principles of partnership, relationship-based practice and early intervention, with the aim of building trust and supporting positive change through voluntary engagement. However, once concerns increased and the threshold for Child Protection (CP) intervention was met, my role became statutory. As the allocated Social Worker, I had a legal duty to undertake home visits at least every 10 working days, complete Child Protection Case Conference (CPCC) reports, contribute to multi-agency assessments, monitor progress against the Child Protection Plan, and chair Core Group Meetings (CGMs). My responsibility shifted from primarily supporting the family to balancing support with safeguarding and oversight and ensuring that risks to the child were continually assessed and managed. These actions were consistent with the principles set out in Working Together to Safeguard Children, which emphasises that safeguarding is a shared responsibility and requires coordinated multi-agency intervention to protect children from harm (Department for Education,2023). </w:t>
            </w:r>
          </w:p>
          <w:p w14:paraId="438DE0A3" w14:textId="77777777" w:rsidR="00FB751B" w:rsidRPr="00FB751B" w:rsidRDefault="00FB751B" w:rsidP="00FB751B">
            <w:pPr>
              <w:rPr>
                <w:sz w:val="24"/>
                <w:szCs w:val="24"/>
              </w:rPr>
            </w:pPr>
          </w:p>
          <w:p w14:paraId="7536F1FC" w14:textId="2AAA0574" w:rsidR="00FB751B" w:rsidRDefault="00FB751B" w:rsidP="00FB751B">
            <w:pPr>
              <w:rPr>
                <w:sz w:val="24"/>
                <w:szCs w:val="24"/>
              </w:rPr>
            </w:pPr>
            <w:r w:rsidRPr="00FB751B">
              <w:rPr>
                <w:sz w:val="24"/>
                <w:szCs w:val="24"/>
              </w:rPr>
              <w:t>A range of professionals were involved with the family throughout the intervention, including health professionals, police, education staff, early help practitioners and the local authority's therapeutic services. Information was shared between agencies in accordance with safeguarding procedures and information-sharing protocols</w:t>
            </w:r>
            <w:r w:rsidR="00EF5FBE">
              <w:rPr>
                <w:sz w:val="24"/>
                <w:szCs w:val="24"/>
              </w:rPr>
              <w:t xml:space="preserve"> (</w:t>
            </w:r>
            <w:r w:rsidR="0019548A">
              <w:rPr>
                <w:sz w:val="24"/>
                <w:szCs w:val="24"/>
              </w:rPr>
              <w:t>Social Care Wales,2026)</w:t>
            </w:r>
            <w:r w:rsidRPr="00FB751B">
              <w:rPr>
                <w:sz w:val="24"/>
                <w:szCs w:val="24"/>
              </w:rPr>
              <w:t xml:space="preserve">. This reflected the statutory responsibility on agencies to share relevant information where there are safeguarding concerns. Whilst consent should be sought wherever appropriate, safeguarding legislation recognises that information may be shared without consent when this is necessary to protect a child from harm. During the early intervention stage, consent was sought where possible; however, as safeguarding concerns escalated, there was a lawful basis to share information without consent to safeguard the children. Effective multi-agency working was central to this process, ensuring that information was shared appropriately, risks were understood from different professional perspectives, and interventions were coordinated effectively. Working Together to Safeguard Children highlights the importance of professional curiosity, effective information sharing, and constructive professional challenge where there are differing views regarding risk. (Department for Education,2023). </w:t>
            </w:r>
          </w:p>
          <w:p w14:paraId="68479CFF" w14:textId="77777777" w:rsidR="00FB751B" w:rsidRPr="00FB751B" w:rsidRDefault="00FB751B" w:rsidP="00FB751B">
            <w:pPr>
              <w:rPr>
                <w:sz w:val="24"/>
                <w:szCs w:val="24"/>
              </w:rPr>
            </w:pPr>
          </w:p>
          <w:p w14:paraId="57EE5937" w14:textId="77777777" w:rsidR="00FB751B" w:rsidRDefault="00FB751B" w:rsidP="00FB751B">
            <w:pPr>
              <w:rPr>
                <w:sz w:val="24"/>
                <w:szCs w:val="24"/>
              </w:rPr>
            </w:pPr>
            <w:r w:rsidRPr="00FB751B">
              <w:rPr>
                <w:sz w:val="24"/>
                <w:szCs w:val="24"/>
              </w:rPr>
              <w:t>During the early stages of involvement, there was some professional disagreement regarding whether the threshold for Child Protection procedures had been met. At that time, it was my professional judgement that the family should be afforded the opportunity to engage voluntarily with support services before more intrusive statutory intervention was implemented. I felt that establishing a trusting relationship and encouraging collaboration was likely to achieve more sustainable outcomes for the children. However, I remained mindful that safeguarding children's welfare must remain the paramount consideration, and I continued to monitor risk closely, recognising that voluntary engagement must not delay protective action when significant harm is suspected.</w:t>
            </w:r>
          </w:p>
          <w:p w14:paraId="3936E385" w14:textId="77777777" w:rsidR="00FB751B" w:rsidRPr="00FB751B" w:rsidRDefault="00FB751B" w:rsidP="00FB751B">
            <w:pPr>
              <w:rPr>
                <w:sz w:val="24"/>
                <w:szCs w:val="24"/>
              </w:rPr>
            </w:pPr>
          </w:p>
          <w:p w14:paraId="6DE178CE" w14:textId="77777777" w:rsidR="00FB751B" w:rsidRPr="00FB751B" w:rsidRDefault="00FB751B" w:rsidP="00FB751B">
            <w:pPr>
              <w:rPr>
                <w:sz w:val="24"/>
                <w:szCs w:val="24"/>
              </w:rPr>
            </w:pPr>
            <w:r w:rsidRPr="00FB751B">
              <w:rPr>
                <w:sz w:val="24"/>
                <w:szCs w:val="24"/>
              </w:rPr>
              <w:t xml:space="preserve">Throughout my involvement, safeguarding procedures provided the framework for decision-making and risk management. These procedures ensured that concerns were appropriately assessed, information was shared between agencies, and decisions were made in a transparent and accountable manner. The XXX Regional Safeguarding Board also provides </w:t>
            </w:r>
            <w:r w:rsidRPr="00FB751B">
              <w:rPr>
                <w:sz w:val="24"/>
                <w:szCs w:val="24"/>
              </w:rPr>
              <w:lastRenderedPageBreak/>
              <w:t>the multi-agency policies, procedures, training and quality assurance mechanisms that guide safeguarding practice across the region, promoting consistency and ensuring agencies work together effectively to safeguard children. The work of Regional Safeguarding Boards is supported through the Social Services and Well-being (Wales) Act 2014 and overseen by the National Independent Safeguarding Board for Wales, which monitors the effectiveness of safeguarding arrangements and makes recommendations for improvement. Whilst safeguarding practice in Wales is shaped by the Social Services and Well-being (Wales) Act 2014, the broader legal framework continues to interact with UK legislation, including the Children Act 1989. Both frameworks emphasise the protection of children from significant harm, although Wales places greater emphasis on well-being, voice and co-production.</w:t>
            </w:r>
          </w:p>
          <w:p w14:paraId="7DE47144" w14:textId="77777777" w:rsidR="00FB751B" w:rsidRPr="00FB751B" w:rsidRDefault="00FB751B" w:rsidP="00FB751B">
            <w:pPr>
              <w:rPr>
                <w:sz w:val="24"/>
                <w:szCs w:val="24"/>
              </w:rPr>
            </w:pPr>
          </w:p>
          <w:p w14:paraId="3FDA366A" w14:textId="77777777" w:rsidR="00FB751B" w:rsidRPr="00FB751B" w:rsidRDefault="00FB751B" w:rsidP="00FB751B">
            <w:pPr>
              <w:rPr>
                <w:sz w:val="24"/>
                <w:szCs w:val="24"/>
              </w:rPr>
            </w:pPr>
          </w:p>
          <w:p w14:paraId="31664BF6" w14:textId="77777777" w:rsidR="00FB751B" w:rsidRDefault="00FB751B" w:rsidP="00FB751B">
            <w:pPr>
              <w:rPr>
                <w:b/>
                <w:bCs/>
                <w:sz w:val="24"/>
                <w:szCs w:val="24"/>
              </w:rPr>
            </w:pPr>
            <w:r w:rsidRPr="00FB751B">
              <w:rPr>
                <w:b/>
                <w:bCs/>
                <w:sz w:val="24"/>
                <w:szCs w:val="24"/>
              </w:rPr>
              <w:t>So what?</w:t>
            </w:r>
          </w:p>
          <w:p w14:paraId="7FB85FDB" w14:textId="77777777" w:rsidR="00FB751B" w:rsidRPr="00FB751B" w:rsidRDefault="00FB751B" w:rsidP="00FB751B">
            <w:pPr>
              <w:rPr>
                <w:b/>
                <w:bCs/>
                <w:sz w:val="24"/>
                <w:szCs w:val="24"/>
              </w:rPr>
            </w:pPr>
          </w:p>
          <w:p w14:paraId="3C7CF2D6" w14:textId="77777777" w:rsidR="00FB751B" w:rsidRDefault="00FB751B" w:rsidP="00FB751B">
            <w:pPr>
              <w:rPr>
                <w:sz w:val="24"/>
                <w:szCs w:val="24"/>
              </w:rPr>
            </w:pPr>
            <w:r w:rsidRPr="00FB751B">
              <w:rPr>
                <w:sz w:val="24"/>
                <w:szCs w:val="24"/>
              </w:rPr>
              <w:t xml:space="preserve">This case raised significant safeguarding concerns because despite prolonged involvement under a voluntary Care and Support Plan, there was limited evidence of meaningful change and concerns regarding the childrens welfare persisted. Concerns included chronic non-school attendance, missed health appointments, child-on-parent abuse, and indicators of disguised compliance. Whilst individual concerns may not have met the threshold for Child Protection intervention in isolation, the cumulative impact of these factors suggested that the children were experiencing, or were at risk of experiencing, significant harm through neglect. The Wales Safeguarding Procedures emphasise the importance of considering the cumulative impact of neglect and the long-term consequences for children's development, wellbeing and life opportunities (Safeguarding Wales, 2019). </w:t>
            </w:r>
          </w:p>
          <w:p w14:paraId="210D4235" w14:textId="77777777" w:rsidR="00FB751B" w:rsidRPr="00FB751B" w:rsidRDefault="00FB751B" w:rsidP="00FB751B">
            <w:pPr>
              <w:rPr>
                <w:sz w:val="24"/>
                <w:szCs w:val="24"/>
              </w:rPr>
            </w:pPr>
          </w:p>
          <w:p w14:paraId="207CC6BF" w14:textId="77777777" w:rsidR="00FB751B" w:rsidRDefault="00FB751B" w:rsidP="00FB751B">
            <w:pPr>
              <w:rPr>
                <w:sz w:val="24"/>
                <w:szCs w:val="24"/>
              </w:rPr>
            </w:pPr>
            <w:r w:rsidRPr="00FB751B">
              <w:rPr>
                <w:sz w:val="24"/>
                <w:szCs w:val="24"/>
              </w:rPr>
              <w:t>Determining whether the threshold for Child Protection had been met required careful professional judgement. Initially, professionals attempted to work with the family through voluntary engagement, reflecting the strengths-based principles of the SSWA 2014. However, as concerns remained and the family’s engagement did not result in sustainable changes for the children, it became increasingly difficult to justify maintaining a voluntary approach. This highlighted the tension between providing supportive intervention and exercising statutory authority to protect children from harm. Reflecting on this decision, I found it professionally challenging to balance my desire to maintain a positive working relationship with Parent 5 against my responsibility to escalate concerns when sufficient change was not taking place.</w:t>
            </w:r>
          </w:p>
          <w:p w14:paraId="10587BF8" w14:textId="77777777" w:rsidR="00FB751B" w:rsidRPr="00FB751B" w:rsidRDefault="00FB751B" w:rsidP="00FB751B">
            <w:pPr>
              <w:rPr>
                <w:sz w:val="24"/>
                <w:szCs w:val="24"/>
              </w:rPr>
            </w:pPr>
          </w:p>
          <w:p w14:paraId="6DE16068" w14:textId="77777777" w:rsidR="00FB751B" w:rsidRDefault="00FB751B" w:rsidP="00FB751B">
            <w:pPr>
              <w:rPr>
                <w:sz w:val="24"/>
                <w:szCs w:val="24"/>
              </w:rPr>
            </w:pPr>
            <w:r w:rsidRPr="00FB751B">
              <w:rPr>
                <w:sz w:val="24"/>
                <w:szCs w:val="24"/>
              </w:rPr>
              <w:t>There were differing professional views regarding whether Child Protection thresholds had been met. Some practitioners believed further voluntary intervention should be attempted, whilst others considered the cumulative impact of concerns sufficient to justify statutory intervention. Professional disagreement can be beneficial in safeguarding practice when it encourages critical thinking and reduces the risk of groupthink. Reflecting on this case, the challenge was ensuring that differences in opinion remained focused on the children's lived experiences rather than organisational perspectives or professional preferences.</w:t>
            </w:r>
          </w:p>
          <w:p w14:paraId="4E9DC27F" w14:textId="77777777" w:rsidR="00FB751B" w:rsidRPr="00FB751B" w:rsidRDefault="00FB751B" w:rsidP="00FB751B">
            <w:pPr>
              <w:rPr>
                <w:sz w:val="24"/>
                <w:szCs w:val="24"/>
              </w:rPr>
            </w:pPr>
          </w:p>
          <w:p w14:paraId="7A3C5982" w14:textId="77777777" w:rsidR="00FB751B" w:rsidRDefault="00FB751B" w:rsidP="00FB751B">
            <w:pPr>
              <w:rPr>
                <w:sz w:val="24"/>
                <w:szCs w:val="24"/>
              </w:rPr>
            </w:pPr>
            <w:r w:rsidRPr="00FB751B">
              <w:rPr>
                <w:sz w:val="24"/>
                <w:szCs w:val="24"/>
              </w:rPr>
              <w:lastRenderedPageBreak/>
              <w:t>An ethical dilemma throughout the case involved balancing the rights of the parent to make decisions about family life against the rights of the children to be protected from harm. Article 8 of the European Convention on Human Rights protects the right to private and family life, whilst safeguarding legislation places a duty on professionals to intervene where children are experiencing significant harm. Escalating the case to Child Protection procedures therefore involved balancing respect for family autonomy with the principle that the child's welfare must remain paramount. The rights-based approach underpinning Welsh social care practice also required consideration of the children's voices and experiences. Consistent with the United Nations Convention on the Rights of the Child (UNCRC), the children's welfare and best interests remained central to decision-making throughout the assessment process. Parent 5 expressed feelings that professionals were "working against her" rather than "working with her", demonstrating the impact that statutory intervention can have on the professional relationship. This created a further ethical challenge, as maintaining engagement and trust remained essential whilst simultaneously increasing monitoring and oversight. Power imbalances were evident both between professionals and within professional-family relationships. As the case progressed to Child Protection procedures, statutory authority increased the power held by social services. Whilst this enabled greater oversight of risk, it also had the potential to impact engagement, as Parent 5 felt decisions were being imposed rather than made collaboratively. Anti-oppressive practice was also important throughout this case. As a social worker, I was required to remain aware of the power imbalance that existed between professionals and the family, particularly once statutory intervention was implemented. This involved ensuring that Parent 5's views were listened to and considered, while also advocating for the children's voices and experiences. The principles of voice and control within the Social Services and Well-being (Wales) Act 2014, alongside the Welsh Government's Active Offer, reinforced the importance of promoting participation and reducing barriers to engagement wherever possible.</w:t>
            </w:r>
          </w:p>
          <w:p w14:paraId="76A72DEC" w14:textId="77777777" w:rsidR="007A7BF4" w:rsidRPr="00FB751B" w:rsidRDefault="007A7BF4" w:rsidP="00FB751B">
            <w:pPr>
              <w:rPr>
                <w:sz w:val="24"/>
                <w:szCs w:val="24"/>
              </w:rPr>
            </w:pPr>
          </w:p>
          <w:p w14:paraId="7842C76F" w14:textId="77777777" w:rsidR="00FB751B" w:rsidRDefault="00FB751B" w:rsidP="00FB751B">
            <w:pPr>
              <w:rPr>
                <w:sz w:val="24"/>
                <w:szCs w:val="24"/>
              </w:rPr>
            </w:pPr>
            <w:r w:rsidRPr="00FB751B">
              <w:rPr>
                <w:sz w:val="24"/>
                <w:szCs w:val="24"/>
              </w:rPr>
              <w:t>Research suggests that families may disengage from services when interventions become more authoritative, potentially increasing risks to children (Forrester et al., 2013). Therefore, throughout the Child Protection process I remained mindful of maintaining a relationship-based approach while ensuring that safeguarding concerns were not minimised or overlooked. Reflecting on the case, I also became aware of the potential risk of professional drift when families demonstrate intermittent engagement without sustained change. It was therefore important to remain focused on outcomes for the children rather than levels of parental cooperation alone.</w:t>
            </w:r>
          </w:p>
          <w:p w14:paraId="4EB62D6B" w14:textId="77777777" w:rsidR="007A7BF4" w:rsidRPr="00FB751B" w:rsidRDefault="007A7BF4" w:rsidP="00FB751B">
            <w:pPr>
              <w:rPr>
                <w:sz w:val="24"/>
                <w:szCs w:val="24"/>
              </w:rPr>
            </w:pPr>
          </w:p>
          <w:p w14:paraId="34E9ED3A" w14:textId="77777777" w:rsidR="00FB751B" w:rsidRDefault="00FB751B" w:rsidP="00FB751B">
            <w:pPr>
              <w:rPr>
                <w:sz w:val="24"/>
                <w:szCs w:val="24"/>
              </w:rPr>
            </w:pPr>
            <w:r w:rsidRPr="00FB751B">
              <w:rPr>
                <w:sz w:val="24"/>
                <w:szCs w:val="24"/>
              </w:rPr>
              <w:t xml:space="preserve">Analysis was central to my assessment and decision making throughout my involvement with this family. My assessments were not based on isolated information but rather on the analysis of information collected through multi-agency involvement. Chronologies were particularly important in identifying patterns of concerns that may have been less apparent when looking at isolated incidents. For example, missed health appointments, ongoing school nonattendance and inconsistent engagement formed a pattern that indicated concerns around parental capacity to meet the childrens needs. </w:t>
            </w:r>
          </w:p>
          <w:p w14:paraId="1EED15DA" w14:textId="77777777" w:rsidR="007A7BF4" w:rsidRPr="00FB751B" w:rsidRDefault="007A7BF4" w:rsidP="00FB751B">
            <w:pPr>
              <w:rPr>
                <w:sz w:val="24"/>
                <w:szCs w:val="24"/>
              </w:rPr>
            </w:pPr>
          </w:p>
          <w:p w14:paraId="0D3EA64F" w14:textId="77777777" w:rsidR="00FB751B" w:rsidRDefault="00FB751B" w:rsidP="00FB751B">
            <w:pPr>
              <w:rPr>
                <w:sz w:val="24"/>
                <w:szCs w:val="24"/>
              </w:rPr>
            </w:pPr>
            <w:r w:rsidRPr="00FB751B">
              <w:rPr>
                <w:sz w:val="24"/>
                <w:szCs w:val="24"/>
              </w:rPr>
              <w:lastRenderedPageBreak/>
              <w:t>Historical information also played a significant role in the assessment process. Reviewing previous records allowed me to identify recurring concerns and any successful interventions. Whilst parent 5 often indicated a willingness to engage with support services, there was a clear pattern of disengagement. This prompted consideration of whether Person 5's engagement reflected genuine change or disguised compliance. Research has highlighted the risk that professionals may overestimate parental capacity for change where compliance appears cooperative but does not result in sustained improvements for children (Brandon et al., 2020). This reinforced the importance of professional curiosity throughout the assessment process. Whilst Parent 5 frequently expressed a willingness to engage with services, it was necessary to look beyond verbal assurances and consider whether meaningful changes were occurring in the children's daily lives. Maintaining professional curiosity enabled me to triangulate information from multiple agencies and avoid relying solely on parental self-reporting.</w:t>
            </w:r>
          </w:p>
          <w:p w14:paraId="31C0A0B8" w14:textId="77777777" w:rsidR="007A7BF4" w:rsidRPr="00FB751B" w:rsidRDefault="007A7BF4" w:rsidP="00FB751B">
            <w:pPr>
              <w:rPr>
                <w:sz w:val="24"/>
                <w:szCs w:val="24"/>
              </w:rPr>
            </w:pPr>
          </w:p>
          <w:p w14:paraId="377EEF2E" w14:textId="77777777" w:rsidR="00FB751B" w:rsidRDefault="00FB751B" w:rsidP="00FB751B">
            <w:pPr>
              <w:rPr>
                <w:sz w:val="24"/>
                <w:szCs w:val="24"/>
              </w:rPr>
            </w:pPr>
            <w:r w:rsidRPr="00FB751B">
              <w:rPr>
                <w:sz w:val="24"/>
                <w:szCs w:val="24"/>
              </w:rPr>
              <w:t>Risk analysis involved considering both protective and risk factors. Protective factors included the family’s engagement with some professionals, the childrens attachments to their parent and the presence of services offering support. However, the risk factors such as educational neglect, social isolation, unmet health needs and inconsistent parents outweighed these. The assessment moved beyond looking at individual incidents and focused on understanding the overall picture of the children's lives. By considering how these concerns were connected, I was able to better understand the level of vulnerability and risk experienced by the children. This case also highlighted the challenges of assessing neglect, as harm was not associated with a single incident but instead developed gradually through a pattern of unmet needs. Reflecting on the assessment, I recognised how educational neglect, missed health appointments and inconsistent engagement collectively increased the risk of cumulative harm. This reinforced the importance of focusing on the child's overall lived experience rather than assessing individual incidents in isolation.</w:t>
            </w:r>
          </w:p>
          <w:p w14:paraId="1CFA213E" w14:textId="77777777" w:rsidR="007A7BF4" w:rsidRPr="00FB751B" w:rsidRDefault="007A7BF4" w:rsidP="00FB751B">
            <w:pPr>
              <w:rPr>
                <w:sz w:val="24"/>
                <w:szCs w:val="24"/>
              </w:rPr>
            </w:pPr>
          </w:p>
          <w:p w14:paraId="1BAA8052" w14:textId="77777777" w:rsidR="00FB751B" w:rsidRDefault="00FB751B" w:rsidP="00FB751B">
            <w:pPr>
              <w:rPr>
                <w:sz w:val="24"/>
                <w:szCs w:val="24"/>
              </w:rPr>
            </w:pPr>
            <w:r w:rsidRPr="00FB751B">
              <w:rPr>
                <w:sz w:val="24"/>
                <w:szCs w:val="24"/>
              </w:rPr>
              <w:t>The assessment process also involved managing uncertainty. Information was not always clear, and professionals sometimes held different views about the level of risk. For example, some practitioners believed the family's engagement demonstrated a willingness and capacity to change, while others felt there was little evidence that this engagement was leading to meaningful improvements for the children. This required me to regularly review new information, question my own assumptions and maintain professional curiosity. Looking back, I recognise the importance of avoiding optimism bias, where professionals may be overly hopeful about a family's ability to change, as well as avoiding assumptions that focus only on deficits and fail to recognise strengths. Regular supervision was particularly valuable in supporting this process. It provided an opportunity to reflect on threshold decisions, challenge my reasoning and consider alternative perspectives, reducing the risk that professional judgement would be influenced by personal bias or assumptions.</w:t>
            </w:r>
          </w:p>
          <w:p w14:paraId="42D4BA43" w14:textId="77777777" w:rsidR="007A7BF4" w:rsidRPr="00FB751B" w:rsidRDefault="007A7BF4" w:rsidP="00FB751B">
            <w:pPr>
              <w:rPr>
                <w:sz w:val="24"/>
                <w:szCs w:val="24"/>
              </w:rPr>
            </w:pPr>
          </w:p>
          <w:p w14:paraId="77097DA3" w14:textId="77777777" w:rsidR="00FB751B" w:rsidRDefault="00FB751B" w:rsidP="00FB751B">
            <w:pPr>
              <w:rPr>
                <w:sz w:val="24"/>
                <w:szCs w:val="24"/>
              </w:rPr>
            </w:pPr>
            <w:r w:rsidRPr="00FB751B">
              <w:rPr>
                <w:sz w:val="24"/>
                <w:szCs w:val="24"/>
              </w:rPr>
              <w:t xml:space="preserve">Bronfenbrenner’s ecological systems theory was particularly useful in understanding the complexity of this case. Rather than viewing concerns solely because of parental behaviour, the theory encouraged consideration of the wider systems influencing the family. The childrens experiences were shapes not only by relationships within the home but also by interactions with education, health, social care and wider community. This perspective supporting a holistic assessment and highlighted the importance of coordinated multi agency intervention. </w:t>
            </w:r>
          </w:p>
          <w:p w14:paraId="25102ED3" w14:textId="77777777" w:rsidR="007A7BF4" w:rsidRPr="00FB751B" w:rsidRDefault="007A7BF4" w:rsidP="00FB751B">
            <w:pPr>
              <w:rPr>
                <w:sz w:val="24"/>
                <w:szCs w:val="24"/>
              </w:rPr>
            </w:pPr>
          </w:p>
          <w:p w14:paraId="4225CABB" w14:textId="77777777" w:rsidR="00FB751B" w:rsidRPr="00FB751B" w:rsidRDefault="00FB751B" w:rsidP="00FB751B">
            <w:pPr>
              <w:rPr>
                <w:sz w:val="24"/>
                <w:szCs w:val="24"/>
              </w:rPr>
            </w:pPr>
            <w:r w:rsidRPr="00FB751B">
              <w:rPr>
                <w:sz w:val="24"/>
                <w:szCs w:val="24"/>
              </w:rPr>
              <w:lastRenderedPageBreak/>
              <w:t xml:space="preserve">Relationship based practice influenced my approach during the voluntary stage of intervention. Building trust and establishing a relationship with parent 5 was essential to promoting engagement and supporting change. This approach reflects the SSWA 2014, which emphasises voice, control and co production. However, the case demonstrated that relationship-based practice alone may not be sufficient where safeguarding concerns continue to escalate. I was required to balance empathy and support with authoritative practice and clear challenge when risks remained. This case highlighted the distinctive nature of safeguarding practice in Wales. Whilst both the Social Services and Well-being (Wales) Act 2014 and the Children Act 1989 aim to protect children from significant harm, Welsh legislation places greater emphasis on wellbeing, prevention, participation and co-production. Working within this framework encouraged a focus on partnership and early intervention before escalation to Child Protection procedures. However, this case also demonstrated the challenge of balancing empowerment and collaborative working with the need for statutory intervention when risks to children remained unresolved. A comparison can be drawn with child protection practice in Aotearoa New Zealand, where social work places a strong emphasis on involving children, whānau (extended family) and Indigenous communities in decision-making processes. Research highlights the importance of culturally responsive, family-led approaches that seek to strengthen family networks while maintaining a focus on children's safety and wellbeing. Although both countries promote participation and relationship-based practice, this case demonstrated that professionals must still be prepared to exercise statutory authority when voluntary engagement does not result in meaningful and sustained improvements for children (Fitzmaurice-Brown L, 2024). </w:t>
            </w:r>
          </w:p>
          <w:p w14:paraId="3EDF2CCB" w14:textId="77777777" w:rsidR="00FB751B" w:rsidRPr="00FB751B" w:rsidRDefault="00FB751B" w:rsidP="00FB751B">
            <w:pPr>
              <w:rPr>
                <w:sz w:val="24"/>
                <w:szCs w:val="24"/>
              </w:rPr>
            </w:pPr>
          </w:p>
          <w:p w14:paraId="12C63ED1" w14:textId="77777777" w:rsidR="00FB751B" w:rsidRDefault="00FB751B" w:rsidP="00FB751B">
            <w:pPr>
              <w:rPr>
                <w:sz w:val="24"/>
                <w:szCs w:val="24"/>
              </w:rPr>
            </w:pPr>
            <w:r w:rsidRPr="00FB751B">
              <w:rPr>
                <w:sz w:val="24"/>
                <w:szCs w:val="24"/>
              </w:rPr>
              <w:t>Strengths-based practice also informed my assessment (Haworth E, 2023). From the outset, I worked to identify and build on the family's strengths, including areas where Parent 5 showed commitment to meeting the children's needs. Recognising strengths helped to promote engagement and supported a collaborative approach to working with the family. However, reflecting on the case, I became aware of the limitations of relying too heavily on a strengths-based approach within a safeguarding context. Whilst it is important to recognise positives, there is a risk that a strong focus on strengths can overshadow ongoing concerns or minimise the impact of harm. This case highlighted the importance of balancing strengths with an honest assessment of risk to ensure that children's needs remain central to decision-making.</w:t>
            </w:r>
          </w:p>
          <w:p w14:paraId="0B8D1181" w14:textId="77777777" w:rsidR="00814B1C" w:rsidRPr="00FB751B" w:rsidRDefault="00814B1C" w:rsidP="00FB751B">
            <w:pPr>
              <w:rPr>
                <w:sz w:val="24"/>
                <w:szCs w:val="24"/>
              </w:rPr>
            </w:pPr>
          </w:p>
          <w:p w14:paraId="5A648DF3" w14:textId="77777777" w:rsidR="00FB751B" w:rsidRDefault="00FB751B" w:rsidP="00FB751B">
            <w:pPr>
              <w:rPr>
                <w:sz w:val="24"/>
                <w:szCs w:val="24"/>
              </w:rPr>
            </w:pPr>
            <w:r w:rsidRPr="00FB751B">
              <w:rPr>
                <w:sz w:val="24"/>
                <w:szCs w:val="24"/>
              </w:rPr>
              <w:t>A trauma-informed perspective was also helpful in understanding the family's situation (MacFarlane G, 2023). It encouraged me to consider how previous life experiences may have influenced Parent 5's engagement with services and her ability to respond to professional concerns. Viewing behaviour through a trauma-informed lens helped me to respond with empathy and understanding, rather than judgement. At the same time, it was important not to lose sight of my responsibility to safeguard the children. This approach allowed me to maintain a supportive relationship with the parent while continuing to hold her accountable for meeting the children's needs and ensuring that safeguarding remained the primary focus.</w:t>
            </w:r>
          </w:p>
          <w:p w14:paraId="1C5066E2" w14:textId="77777777" w:rsidR="00814B1C" w:rsidRPr="00FB751B" w:rsidRDefault="00814B1C" w:rsidP="00FB751B">
            <w:pPr>
              <w:rPr>
                <w:sz w:val="24"/>
                <w:szCs w:val="24"/>
              </w:rPr>
            </w:pPr>
          </w:p>
          <w:p w14:paraId="5EA67BB1" w14:textId="77777777" w:rsidR="00FB751B" w:rsidRPr="00FB751B" w:rsidRDefault="00FB751B" w:rsidP="00FB751B">
            <w:pPr>
              <w:rPr>
                <w:sz w:val="24"/>
                <w:szCs w:val="24"/>
              </w:rPr>
            </w:pPr>
            <w:r w:rsidRPr="00FB751B">
              <w:rPr>
                <w:sz w:val="24"/>
                <w:szCs w:val="24"/>
              </w:rPr>
              <w:t xml:space="preserve">Attachment theory also informed my understanding of the children's experiences. Secure attachments are important in promoting emotional wellbeing, resilience and healthy </w:t>
            </w:r>
            <w:r w:rsidRPr="00FB751B">
              <w:rPr>
                <w:sz w:val="24"/>
                <w:szCs w:val="24"/>
              </w:rPr>
              <w:lastRenderedPageBreak/>
              <w:t>development (Bowlby, 1988). The persistent concerns regarding educational neglect and unmet needs prompted consideration of the potential impact on the children's sense of security and trust. Whilst there was evidence of an emotional bond between Parent 5 and the children, the assessment required consideration of whether the parent was consistently able to meet their emotional and developmental needs. The assessment was also informed by broader international and human rights frameworks. Article 8 of the European Convention on Human Rights requires professionals to respect an individual's right to family life, while recognising that intervention may be necessary where children are at risk of significant harm. Similarly, the United Nations Convention on the Rights of the Child (UNCRC) reinforces children's rights to protection, education and participation in decisions affecting them. Although the United Kingdom has left the European Union, European and international human rights principles continue to influence safeguarding practice in Wales through legislation, policy and professional guidance. These frameworks supported a rights-based approach to decision-making throughout this case.</w:t>
            </w:r>
          </w:p>
          <w:p w14:paraId="33E41C07" w14:textId="77777777" w:rsidR="00FB751B" w:rsidRPr="00FB751B" w:rsidRDefault="00FB751B" w:rsidP="00FB751B">
            <w:pPr>
              <w:rPr>
                <w:sz w:val="24"/>
                <w:szCs w:val="24"/>
              </w:rPr>
            </w:pPr>
          </w:p>
          <w:p w14:paraId="19968DAD" w14:textId="77777777" w:rsidR="00814B1C" w:rsidRDefault="00FB751B" w:rsidP="00FB751B">
            <w:pPr>
              <w:rPr>
                <w:b/>
                <w:bCs/>
                <w:sz w:val="24"/>
                <w:szCs w:val="24"/>
              </w:rPr>
            </w:pPr>
            <w:r w:rsidRPr="00FB751B">
              <w:rPr>
                <w:b/>
                <w:bCs/>
                <w:sz w:val="24"/>
                <w:szCs w:val="24"/>
              </w:rPr>
              <w:t>Now what?</w:t>
            </w:r>
          </w:p>
          <w:p w14:paraId="51141381" w14:textId="5387BE26" w:rsidR="00FB751B" w:rsidRPr="00FB751B" w:rsidRDefault="00FB751B" w:rsidP="00FB751B">
            <w:pPr>
              <w:rPr>
                <w:b/>
                <w:bCs/>
                <w:sz w:val="24"/>
                <w:szCs w:val="24"/>
              </w:rPr>
            </w:pPr>
            <w:r w:rsidRPr="00FB751B">
              <w:rPr>
                <w:b/>
                <w:bCs/>
                <w:sz w:val="24"/>
                <w:szCs w:val="24"/>
              </w:rPr>
              <w:t xml:space="preserve"> </w:t>
            </w:r>
          </w:p>
          <w:p w14:paraId="0A3D2956" w14:textId="77777777" w:rsidR="00FB751B" w:rsidRDefault="00FB751B" w:rsidP="00FB751B">
            <w:pPr>
              <w:rPr>
                <w:sz w:val="24"/>
                <w:szCs w:val="24"/>
              </w:rPr>
            </w:pPr>
            <w:r w:rsidRPr="00FB751B">
              <w:rPr>
                <w:sz w:val="24"/>
                <w:szCs w:val="24"/>
              </w:rPr>
              <w:t xml:space="preserve">This case reinforced the importance of understanding safeguarding thresholds and recognising when voluntary intervention is no longer sufficient to safeguard children. Reflecting on this case, I learned that whilst relationship based and strengths-based approaches are valuable in promoting engagement, it’s important to ensure they don’t result in professional drift or delay decisive action when risks remain. This case highlighted the importance of continually evaluating whether interventions are resulting in meaningful change for children rather than focusing solely on parental engagement. </w:t>
            </w:r>
          </w:p>
          <w:p w14:paraId="251ACC39" w14:textId="77777777" w:rsidR="00814B1C" w:rsidRPr="00FB751B" w:rsidRDefault="00814B1C" w:rsidP="00FB751B">
            <w:pPr>
              <w:rPr>
                <w:sz w:val="24"/>
                <w:szCs w:val="24"/>
              </w:rPr>
            </w:pPr>
          </w:p>
          <w:p w14:paraId="67678A2D" w14:textId="77777777" w:rsidR="00FB751B" w:rsidRPr="00FB751B" w:rsidRDefault="00FB751B" w:rsidP="00FB751B">
            <w:pPr>
              <w:rPr>
                <w:sz w:val="24"/>
                <w:szCs w:val="24"/>
              </w:rPr>
            </w:pPr>
            <w:r w:rsidRPr="00FB751B">
              <w:rPr>
                <w:sz w:val="24"/>
                <w:szCs w:val="24"/>
              </w:rPr>
              <w:t xml:space="preserve">Working with this family also strengthened my understanding of risk management and analysis. I learned the importance of considering the cumulative impact of concerns rather than viewing incidents in isolation. The use of chronologies, historical information and multi-agency evidence enabled a more informed assessment of risk and helped identify patterns that may otherwise have been overlooked. This reinforced the need to remain professionally curious and to challenge assumptions when assessing parental capacity to change. </w:t>
            </w:r>
          </w:p>
          <w:p w14:paraId="0A2CDA8F" w14:textId="77777777" w:rsidR="00FB751B" w:rsidRDefault="00FB751B" w:rsidP="00FB751B">
            <w:pPr>
              <w:rPr>
                <w:sz w:val="24"/>
                <w:szCs w:val="24"/>
              </w:rPr>
            </w:pPr>
            <w:r w:rsidRPr="00FB751B">
              <w:rPr>
                <w:sz w:val="24"/>
                <w:szCs w:val="24"/>
              </w:rPr>
              <w:t xml:space="preserve">The case further developed my confidence in exercising professional judgement within situations of uncertainty. There were occasions when professionals held differing views regarding risk and threshold decisions, requiring me to carefully balance evidence, professional expertise and the lived experience of the children. Reflecting on this process has increased my awareness of the potential impact of optimism bias and the importance of maintaining evidence informed approach to decision making. </w:t>
            </w:r>
          </w:p>
          <w:p w14:paraId="38AE02D9" w14:textId="77777777" w:rsidR="00814B1C" w:rsidRPr="00FB751B" w:rsidRDefault="00814B1C" w:rsidP="00FB751B">
            <w:pPr>
              <w:rPr>
                <w:sz w:val="24"/>
                <w:szCs w:val="24"/>
              </w:rPr>
            </w:pPr>
          </w:p>
          <w:p w14:paraId="75C95D3D" w14:textId="77777777" w:rsidR="00FB751B" w:rsidRDefault="00FB751B" w:rsidP="00FB751B">
            <w:pPr>
              <w:rPr>
                <w:sz w:val="24"/>
                <w:szCs w:val="24"/>
              </w:rPr>
            </w:pPr>
            <w:r w:rsidRPr="00FB751B">
              <w:rPr>
                <w:sz w:val="24"/>
                <w:szCs w:val="24"/>
              </w:rPr>
              <w:t xml:space="preserve">Emotionally, this case highlighted the challenges of safeguarding practice. As a Social Worker, it can be difficult to manage the tension between maintaining positive relationships with families and implementing statutory interventions that may be perceived as intrusive. I recognise that safeguarding work can create feelings of anxiety, responsibility and self-doubt, particularly when making decision that have significant implications for families. The experience reinforced the importance of reflection and supervision in supporting professional resilience. This case also reinforced the value of critical reflection as an ongoing aspect of professional practice. Reflecting on my decisions enabled me to consider </w:t>
            </w:r>
            <w:r w:rsidRPr="00FB751B">
              <w:rPr>
                <w:sz w:val="24"/>
                <w:szCs w:val="24"/>
              </w:rPr>
              <w:lastRenderedPageBreak/>
              <w:t>how my values, assumptions and professional experiences influenced the assessment process and how future practice could be strengthened.</w:t>
            </w:r>
          </w:p>
          <w:p w14:paraId="2D4A892D" w14:textId="77777777" w:rsidR="00814B1C" w:rsidRPr="00FB751B" w:rsidRDefault="00814B1C" w:rsidP="00FB751B">
            <w:pPr>
              <w:rPr>
                <w:sz w:val="24"/>
                <w:szCs w:val="24"/>
              </w:rPr>
            </w:pPr>
          </w:p>
          <w:p w14:paraId="490ADD54" w14:textId="77777777" w:rsidR="00FB751B" w:rsidRPr="00FB751B" w:rsidRDefault="00FB751B" w:rsidP="00FB751B">
            <w:pPr>
              <w:rPr>
                <w:sz w:val="24"/>
                <w:szCs w:val="24"/>
              </w:rPr>
            </w:pPr>
            <w:r w:rsidRPr="00FB751B">
              <w:rPr>
                <w:sz w:val="24"/>
                <w:szCs w:val="24"/>
              </w:rPr>
              <w:t>This experience will influence my future assessments by encouraging me to place greater emphasis on analysis rather than simply gathering information. I will continue to use chronologies and historical information to identify patterns of risk and will place greater focus on measuring whether interventions are leading to sustained improvements for children.</w:t>
            </w:r>
          </w:p>
          <w:p w14:paraId="40D9B635" w14:textId="77777777" w:rsidR="00FB751B" w:rsidRDefault="00FB751B" w:rsidP="00FB751B">
            <w:pPr>
              <w:rPr>
                <w:sz w:val="24"/>
                <w:szCs w:val="24"/>
              </w:rPr>
            </w:pPr>
            <w:r w:rsidRPr="00FB751B">
              <w:rPr>
                <w:sz w:val="24"/>
                <w:szCs w:val="24"/>
              </w:rPr>
              <w:t>In future work with families, I will continue to prioritise relationship-based practice whilst maintaining clear professional boundaries and a focus on safeguarding outcomes. I have learned that positive engagement should not be confused with reduced risk and that professional challenge is sometimes necessary to ensure that children's needs remain central.</w:t>
            </w:r>
          </w:p>
          <w:p w14:paraId="22C101E9" w14:textId="77777777" w:rsidR="00814B1C" w:rsidRPr="00FB751B" w:rsidRDefault="00814B1C" w:rsidP="00FB751B">
            <w:pPr>
              <w:rPr>
                <w:sz w:val="24"/>
                <w:szCs w:val="24"/>
              </w:rPr>
            </w:pPr>
          </w:p>
          <w:p w14:paraId="7B2FEF29" w14:textId="77777777" w:rsidR="00FB751B" w:rsidRDefault="00FB751B" w:rsidP="00FB751B">
            <w:pPr>
              <w:rPr>
                <w:sz w:val="24"/>
                <w:szCs w:val="24"/>
              </w:rPr>
            </w:pPr>
            <w:r w:rsidRPr="00FB751B">
              <w:rPr>
                <w:sz w:val="24"/>
                <w:szCs w:val="24"/>
              </w:rPr>
              <w:t>The case has also reinforced the importance of effective partnership working with other agencies. In future practice, I will continue to value professional challenge and differing perspectives, recognising that constructive disagreement can strengthen decision-making and improve safeguarding outcomes.</w:t>
            </w:r>
          </w:p>
          <w:p w14:paraId="16FB3931" w14:textId="77777777" w:rsidR="00814B1C" w:rsidRPr="00FB751B" w:rsidRDefault="00814B1C" w:rsidP="00FB751B">
            <w:pPr>
              <w:rPr>
                <w:sz w:val="24"/>
                <w:szCs w:val="24"/>
              </w:rPr>
            </w:pPr>
          </w:p>
          <w:p w14:paraId="78F6E4E9" w14:textId="77777777" w:rsidR="00FB751B" w:rsidRDefault="00FB751B" w:rsidP="00FB751B">
            <w:pPr>
              <w:rPr>
                <w:sz w:val="24"/>
                <w:szCs w:val="24"/>
              </w:rPr>
            </w:pPr>
            <w:r w:rsidRPr="00FB751B">
              <w:rPr>
                <w:sz w:val="24"/>
                <w:szCs w:val="24"/>
              </w:rPr>
              <w:t>Moving forward, I would benefit from further professional development relating to neglect, disguised compliance and advanced risk assessment. Enhancing my knowledge in these areas would further support my ability to identify when children are experiencing cumulative harm and assist in making timely safeguarding decisions.</w:t>
            </w:r>
          </w:p>
          <w:p w14:paraId="754DC15C" w14:textId="77777777" w:rsidR="00814B1C" w:rsidRPr="00FB751B" w:rsidRDefault="00814B1C" w:rsidP="00FB751B">
            <w:pPr>
              <w:rPr>
                <w:sz w:val="24"/>
                <w:szCs w:val="24"/>
              </w:rPr>
            </w:pPr>
          </w:p>
          <w:p w14:paraId="32B8C9F0" w14:textId="77777777" w:rsidR="00FB751B" w:rsidRDefault="00FB751B" w:rsidP="00FB751B">
            <w:pPr>
              <w:rPr>
                <w:sz w:val="24"/>
                <w:szCs w:val="24"/>
              </w:rPr>
            </w:pPr>
            <w:r w:rsidRPr="00FB751B">
              <w:rPr>
                <w:sz w:val="24"/>
                <w:szCs w:val="24"/>
              </w:rPr>
              <w:t>I also recognise the ongoing value of supervision and reflective practice. Regular supervision provides opportunities to explore complex cases, challenge thinking, consider alternative perspectives and manage the emotional impact of safeguarding work. Reflective discussion with colleagues and managers remains essential in promoting accountability and professional development.</w:t>
            </w:r>
          </w:p>
          <w:p w14:paraId="6D81A268" w14:textId="77777777" w:rsidR="00814B1C" w:rsidRPr="00FB751B" w:rsidRDefault="00814B1C" w:rsidP="00FB751B">
            <w:pPr>
              <w:rPr>
                <w:sz w:val="24"/>
                <w:szCs w:val="24"/>
              </w:rPr>
            </w:pPr>
          </w:p>
          <w:p w14:paraId="7627C970" w14:textId="77777777" w:rsidR="00FB751B" w:rsidRDefault="00FB751B" w:rsidP="00FB751B">
            <w:pPr>
              <w:rPr>
                <w:sz w:val="24"/>
                <w:szCs w:val="24"/>
              </w:rPr>
            </w:pPr>
            <w:r w:rsidRPr="00FB751B">
              <w:rPr>
                <w:sz w:val="24"/>
                <w:szCs w:val="24"/>
              </w:rPr>
              <w:t xml:space="preserve">As a social worker practising in Wales, I am committed to ongoing professional development and maintaining an up-to-date understanding of Welsh legislation, policy and safeguarding procedures. This will ensure that my practice continues to reflect the principles of the Social Services and Well-being (Wales) Act 2014 while meeting the needs of children and families in an increasingly complex safeguarding environment (Social Care Wales, 2026). </w:t>
            </w:r>
          </w:p>
          <w:p w14:paraId="59F05E59" w14:textId="77777777" w:rsidR="00232435" w:rsidRPr="00FB751B" w:rsidRDefault="00232435" w:rsidP="00FB751B">
            <w:pPr>
              <w:rPr>
                <w:sz w:val="24"/>
                <w:szCs w:val="24"/>
              </w:rPr>
            </w:pPr>
          </w:p>
          <w:p w14:paraId="6F67B1F0" w14:textId="77777777" w:rsidR="00FB751B" w:rsidRDefault="00FB751B" w:rsidP="00FB751B">
            <w:pPr>
              <w:rPr>
                <w:sz w:val="24"/>
                <w:szCs w:val="24"/>
              </w:rPr>
            </w:pPr>
            <w:r w:rsidRPr="00FB751B">
              <w:rPr>
                <w:sz w:val="24"/>
                <w:szCs w:val="24"/>
              </w:rPr>
              <w:t>This case study has demonstrated the complexity of safeguarding practice and the importance of integrating assessment, analysis, professional judgement and multi-agency working to promote children's welfare. Through critical reflection, I have shown how safeguarding decisions were informed by the Social Services and Well-being (Wales) Act 2014, Wales Safeguarding Procedures and the rights-based approach embedded within Welsh social work practice, alongside wider UK and international frameworks including the Children Act 1989, the ECHR and the UNCRC.</w:t>
            </w:r>
          </w:p>
          <w:p w14:paraId="0CA87E38" w14:textId="77777777" w:rsidR="00232435" w:rsidRPr="00FB751B" w:rsidRDefault="00232435" w:rsidP="00FB751B">
            <w:pPr>
              <w:rPr>
                <w:sz w:val="24"/>
                <w:szCs w:val="24"/>
              </w:rPr>
            </w:pPr>
          </w:p>
          <w:p w14:paraId="782245E3" w14:textId="77777777" w:rsidR="00FB751B" w:rsidRDefault="00FB751B" w:rsidP="00FB751B">
            <w:pPr>
              <w:rPr>
                <w:sz w:val="24"/>
                <w:szCs w:val="24"/>
              </w:rPr>
            </w:pPr>
            <w:r w:rsidRPr="00FB751B">
              <w:rPr>
                <w:sz w:val="24"/>
                <w:szCs w:val="24"/>
              </w:rPr>
              <w:t xml:space="preserve">The case highlighted the need to balance relationship-based practice with statutory intervention, while using social work theory and evidence-based assessment to understand risk and inform decision-making. Overall, this experience has strengthened my </w:t>
            </w:r>
            <w:r w:rsidRPr="00FB751B">
              <w:rPr>
                <w:sz w:val="24"/>
                <w:szCs w:val="24"/>
              </w:rPr>
              <w:lastRenderedPageBreak/>
              <w:t>understanding of safeguarding within the Welsh context and reinforced the importance of reflective, rights-based and collaborative practice in achieving positive outcomes for children.</w:t>
            </w:r>
          </w:p>
          <w:p w14:paraId="6B6B0921" w14:textId="77777777" w:rsidR="00232435" w:rsidRDefault="00232435" w:rsidP="00FB751B">
            <w:pPr>
              <w:rPr>
                <w:sz w:val="24"/>
                <w:szCs w:val="24"/>
              </w:rPr>
            </w:pPr>
          </w:p>
          <w:p w14:paraId="2D317030" w14:textId="5C1D5F57" w:rsidR="00232435" w:rsidRPr="00232435" w:rsidRDefault="00232435" w:rsidP="00FB751B">
            <w:pPr>
              <w:rPr>
                <w:b/>
                <w:bCs/>
                <w:sz w:val="24"/>
                <w:szCs w:val="24"/>
              </w:rPr>
            </w:pPr>
            <w:r>
              <w:rPr>
                <w:b/>
                <w:bCs/>
                <w:sz w:val="24"/>
                <w:szCs w:val="24"/>
              </w:rPr>
              <w:t>3993 words</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8A834" w14:textId="77777777" w:rsidR="0012728F" w:rsidRDefault="0012728F">
      <w:r>
        <w:separator/>
      </w:r>
    </w:p>
  </w:endnote>
  <w:endnote w:type="continuationSeparator" w:id="0">
    <w:p w14:paraId="3B458E94" w14:textId="77777777" w:rsidR="0012728F" w:rsidRDefault="0012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0B138" w14:textId="77777777" w:rsidR="0012728F" w:rsidRDefault="0012728F">
      <w:r>
        <w:separator/>
      </w:r>
    </w:p>
  </w:footnote>
  <w:footnote w:type="continuationSeparator" w:id="0">
    <w:p w14:paraId="17DD06AF" w14:textId="77777777" w:rsidR="0012728F" w:rsidRDefault="00127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812857"/>
    <w:multiLevelType w:val="multilevel"/>
    <w:tmpl w:val="A07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99210008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2F4"/>
    <w:rsid w:val="000C378F"/>
    <w:rsid w:val="000C467A"/>
    <w:rsid w:val="000C6892"/>
    <w:rsid w:val="000C6FFE"/>
    <w:rsid w:val="000D0BB6"/>
    <w:rsid w:val="000D2ED2"/>
    <w:rsid w:val="000D523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28F"/>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548A"/>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435"/>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3671"/>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47647"/>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0499"/>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BF4"/>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B1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175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098"/>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4CCA"/>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679A"/>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FBE"/>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B751B"/>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cmillanlauren2@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1024@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4572</Words>
  <Characters>26066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McMillan</cp:lastModifiedBy>
  <cp:revision>14</cp:revision>
  <cp:lastPrinted>2020-02-11T19:20:00Z</cp:lastPrinted>
  <dcterms:created xsi:type="dcterms:W3CDTF">2026-09-30T10:25:00Z</dcterms:created>
  <dcterms:modified xsi:type="dcterms:W3CDTF">2026-10-05T08:11:00Z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