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6F445"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1BD61656"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12F069D0"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30BBC12B"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713D9229" w14:textId="77777777" w:rsidR="008B0729" w:rsidRPr="00C731F4" w:rsidRDefault="008B0729" w:rsidP="00C731F4">
      <w:pPr>
        <w:spacing w:after="0" w:line="360" w:lineRule="auto"/>
        <w:contextualSpacing/>
        <w:jc w:val="center"/>
        <w:rPr>
          <w:rFonts w:ascii="Arial" w:hAnsi="Arial" w:cs="Arial"/>
          <w:b/>
          <w:bCs/>
          <w:sz w:val="22"/>
          <w:szCs w:val="22"/>
          <w:lang w:val="en-GB"/>
        </w:rPr>
      </w:pPr>
      <w:r w:rsidRPr="00C731F4">
        <w:rPr>
          <w:rFonts w:ascii="Arial" w:hAnsi="Arial" w:cs="Arial"/>
          <w:b/>
          <w:bCs/>
          <w:sz w:val="22"/>
          <w:szCs w:val="22"/>
          <w:lang w:val="en-GB"/>
        </w:rPr>
        <w:t>LCBB6006 Project Management</w:t>
      </w:r>
    </w:p>
    <w:p w14:paraId="15A4783F"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30AD9123"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28822DD3"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0DD0DF9E"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4B924232"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03A97234"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05D97447"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0C028BF6" w14:textId="28236745" w:rsidR="008B0729" w:rsidRPr="00C731F4" w:rsidRDefault="008B0729" w:rsidP="00C731F4">
      <w:pPr>
        <w:spacing w:after="0" w:line="360" w:lineRule="auto"/>
        <w:contextualSpacing/>
        <w:jc w:val="center"/>
        <w:rPr>
          <w:rFonts w:ascii="Arial" w:hAnsi="Arial" w:cs="Arial"/>
          <w:b/>
          <w:bCs/>
          <w:sz w:val="22"/>
          <w:szCs w:val="22"/>
          <w:lang w:val="en-GB"/>
        </w:rPr>
      </w:pPr>
      <w:r w:rsidRPr="00C731F4">
        <w:rPr>
          <w:rFonts w:ascii="Arial" w:hAnsi="Arial" w:cs="Arial"/>
          <w:b/>
          <w:bCs/>
          <w:sz w:val="22"/>
          <w:szCs w:val="22"/>
          <w:lang w:val="en-GB"/>
        </w:rPr>
        <w:t>Component 2: Coursework Essay</w:t>
      </w:r>
    </w:p>
    <w:p w14:paraId="5FCA4DF1" w14:textId="69C13880" w:rsidR="008B0729" w:rsidRPr="00C731F4" w:rsidRDefault="008B0729" w:rsidP="00C731F4">
      <w:pPr>
        <w:spacing w:after="0" w:line="360" w:lineRule="auto"/>
        <w:contextualSpacing/>
        <w:jc w:val="center"/>
        <w:rPr>
          <w:rFonts w:ascii="Arial" w:hAnsi="Arial" w:cs="Arial"/>
          <w:b/>
          <w:bCs/>
          <w:sz w:val="22"/>
          <w:szCs w:val="22"/>
          <w:lang w:val="en-GB"/>
        </w:rPr>
      </w:pPr>
      <w:r w:rsidRPr="00C731F4">
        <w:rPr>
          <w:rFonts w:ascii="Arial" w:hAnsi="Arial" w:cs="Arial"/>
          <w:b/>
          <w:bCs/>
          <w:sz w:val="22"/>
          <w:szCs w:val="22"/>
          <w:lang w:val="en-GB"/>
        </w:rPr>
        <w:t>Name</w:t>
      </w:r>
      <w:r w:rsidR="008B62EE">
        <w:rPr>
          <w:rFonts w:ascii="Arial" w:hAnsi="Arial" w:cs="Arial"/>
          <w:b/>
          <w:bCs/>
          <w:sz w:val="22"/>
          <w:szCs w:val="22"/>
          <w:lang w:val="en-GB"/>
        </w:rPr>
        <w:t>: Ervin Kis</w:t>
      </w:r>
    </w:p>
    <w:p w14:paraId="0C4EB9F3" w14:textId="5898DFD6" w:rsidR="00507B2D" w:rsidRPr="00C731F4" w:rsidRDefault="008B62EE" w:rsidP="00C731F4">
      <w:pPr>
        <w:spacing w:after="0" w:line="360" w:lineRule="auto"/>
        <w:contextualSpacing/>
        <w:jc w:val="center"/>
        <w:rPr>
          <w:rFonts w:ascii="Arial" w:hAnsi="Arial" w:cs="Arial"/>
          <w:b/>
          <w:bCs/>
          <w:sz w:val="22"/>
          <w:szCs w:val="22"/>
          <w:lang w:val="en-GB"/>
        </w:rPr>
      </w:pPr>
      <w:r>
        <w:rPr>
          <w:rFonts w:ascii="Arial" w:hAnsi="Arial" w:cs="Arial"/>
          <w:b/>
          <w:bCs/>
          <w:sz w:val="22"/>
          <w:szCs w:val="22"/>
          <w:lang w:val="en-GB"/>
        </w:rPr>
        <w:t>Student nr:2331457</w:t>
      </w:r>
    </w:p>
    <w:p w14:paraId="0FD20023" w14:textId="77777777" w:rsidR="00507B2D" w:rsidRPr="00C731F4" w:rsidRDefault="00507B2D" w:rsidP="00C731F4">
      <w:pPr>
        <w:spacing w:after="0" w:line="360" w:lineRule="auto"/>
        <w:contextualSpacing/>
        <w:jc w:val="center"/>
        <w:rPr>
          <w:rFonts w:ascii="Arial" w:hAnsi="Arial" w:cs="Arial"/>
          <w:b/>
          <w:bCs/>
          <w:sz w:val="22"/>
          <w:szCs w:val="22"/>
          <w:lang w:val="en-GB"/>
        </w:rPr>
      </w:pPr>
    </w:p>
    <w:p w14:paraId="12E816A3" w14:textId="77777777" w:rsidR="00507B2D" w:rsidRPr="00C731F4" w:rsidRDefault="00507B2D" w:rsidP="00C731F4">
      <w:pPr>
        <w:spacing w:after="0" w:line="360" w:lineRule="auto"/>
        <w:contextualSpacing/>
        <w:jc w:val="center"/>
        <w:rPr>
          <w:rFonts w:ascii="Arial" w:hAnsi="Arial" w:cs="Arial"/>
          <w:b/>
          <w:bCs/>
          <w:sz w:val="22"/>
          <w:szCs w:val="22"/>
          <w:lang w:val="en-GB"/>
        </w:rPr>
      </w:pPr>
    </w:p>
    <w:p w14:paraId="150C1BC7" w14:textId="77777777" w:rsidR="00507B2D" w:rsidRDefault="00507B2D" w:rsidP="00C731F4">
      <w:pPr>
        <w:spacing w:after="0" w:line="360" w:lineRule="auto"/>
        <w:contextualSpacing/>
        <w:jc w:val="center"/>
        <w:rPr>
          <w:rFonts w:ascii="Arial" w:hAnsi="Arial" w:cs="Arial"/>
          <w:b/>
          <w:bCs/>
          <w:sz w:val="22"/>
          <w:szCs w:val="22"/>
          <w:lang w:val="en-GB"/>
        </w:rPr>
      </w:pPr>
    </w:p>
    <w:p w14:paraId="6F8F3BB7" w14:textId="77777777" w:rsidR="00C731F4" w:rsidRDefault="00C731F4" w:rsidP="00C731F4">
      <w:pPr>
        <w:spacing w:after="0" w:line="360" w:lineRule="auto"/>
        <w:contextualSpacing/>
        <w:jc w:val="center"/>
        <w:rPr>
          <w:rFonts w:ascii="Arial" w:hAnsi="Arial" w:cs="Arial"/>
          <w:b/>
          <w:bCs/>
          <w:sz w:val="22"/>
          <w:szCs w:val="22"/>
          <w:lang w:val="en-GB"/>
        </w:rPr>
      </w:pPr>
    </w:p>
    <w:p w14:paraId="64F2DA8F" w14:textId="77777777" w:rsidR="00C731F4" w:rsidRDefault="00C731F4" w:rsidP="00C731F4">
      <w:pPr>
        <w:spacing w:after="0" w:line="360" w:lineRule="auto"/>
        <w:contextualSpacing/>
        <w:jc w:val="center"/>
        <w:rPr>
          <w:rFonts w:ascii="Arial" w:hAnsi="Arial" w:cs="Arial"/>
          <w:b/>
          <w:bCs/>
          <w:sz w:val="22"/>
          <w:szCs w:val="22"/>
          <w:lang w:val="en-GB"/>
        </w:rPr>
      </w:pPr>
    </w:p>
    <w:p w14:paraId="53B77C2F" w14:textId="77777777" w:rsidR="00C731F4" w:rsidRDefault="00C731F4" w:rsidP="00C731F4">
      <w:pPr>
        <w:spacing w:after="0" w:line="360" w:lineRule="auto"/>
        <w:contextualSpacing/>
        <w:jc w:val="center"/>
        <w:rPr>
          <w:rFonts w:ascii="Arial" w:hAnsi="Arial" w:cs="Arial"/>
          <w:b/>
          <w:bCs/>
          <w:sz w:val="22"/>
          <w:szCs w:val="22"/>
          <w:lang w:val="en-GB"/>
        </w:rPr>
      </w:pPr>
    </w:p>
    <w:p w14:paraId="412407EB" w14:textId="77777777" w:rsidR="00C731F4" w:rsidRDefault="00C731F4" w:rsidP="00C731F4">
      <w:pPr>
        <w:spacing w:after="0" w:line="360" w:lineRule="auto"/>
        <w:contextualSpacing/>
        <w:jc w:val="center"/>
        <w:rPr>
          <w:rFonts w:ascii="Arial" w:hAnsi="Arial" w:cs="Arial"/>
          <w:b/>
          <w:bCs/>
          <w:sz w:val="22"/>
          <w:szCs w:val="22"/>
          <w:lang w:val="en-GB"/>
        </w:rPr>
      </w:pPr>
    </w:p>
    <w:p w14:paraId="1E508AFB" w14:textId="77777777" w:rsidR="00C731F4" w:rsidRDefault="00C731F4" w:rsidP="00C731F4">
      <w:pPr>
        <w:spacing w:after="0" w:line="360" w:lineRule="auto"/>
        <w:contextualSpacing/>
        <w:jc w:val="center"/>
        <w:rPr>
          <w:rFonts w:ascii="Arial" w:hAnsi="Arial" w:cs="Arial"/>
          <w:b/>
          <w:bCs/>
          <w:sz w:val="22"/>
          <w:szCs w:val="22"/>
          <w:lang w:val="en-GB"/>
        </w:rPr>
      </w:pPr>
    </w:p>
    <w:p w14:paraId="12F07309" w14:textId="77777777" w:rsidR="00C731F4" w:rsidRDefault="00C731F4" w:rsidP="00C731F4">
      <w:pPr>
        <w:spacing w:after="0" w:line="360" w:lineRule="auto"/>
        <w:contextualSpacing/>
        <w:jc w:val="center"/>
        <w:rPr>
          <w:rFonts w:ascii="Arial" w:hAnsi="Arial" w:cs="Arial"/>
          <w:b/>
          <w:bCs/>
          <w:sz w:val="22"/>
          <w:szCs w:val="22"/>
          <w:lang w:val="en-GB"/>
        </w:rPr>
      </w:pPr>
    </w:p>
    <w:p w14:paraId="2D79EE6C" w14:textId="77777777" w:rsidR="00C731F4" w:rsidRDefault="00C731F4" w:rsidP="00C731F4">
      <w:pPr>
        <w:spacing w:after="0" w:line="360" w:lineRule="auto"/>
        <w:contextualSpacing/>
        <w:jc w:val="center"/>
        <w:rPr>
          <w:rFonts w:ascii="Arial" w:hAnsi="Arial" w:cs="Arial"/>
          <w:b/>
          <w:bCs/>
          <w:sz w:val="22"/>
          <w:szCs w:val="22"/>
          <w:lang w:val="en-GB"/>
        </w:rPr>
      </w:pPr>
    </w:p>
    <w:p w14:paraId="39BC6A05" w14:textId="77777777" w:rsidR="00C731F4" w:rsidRDefault="00C731F4" w:rsidP="00C731F4">
      <w:pPr>
        <w:spacing w:after="0" w:line="360" w:lineRule="auto"/>
        <w:contextualSpacing/>
        <w:jc w:val="center"/>
        <w:rPr>
          <w:rFonts w:ascii="Arial" w:hAnsi="Arial" w:cs="Arial"/>
          <w:b/>
          <w:bCs/>
          <w:sz w:val="22"/>
          <w:szCs w:val="22"/>
          <w:lang w:val="en-GB"/>
        </w:rPr>
      </w:pPr>
    </w:p>
    <w:p w14:paraId="0C3C11EB" w14:textId="77777777" w:rsidR="00C731F4" w:rsidRDefault="00C731F4" w:rsidP="00C731F4">
      <w:pPr>
        <w:spacing w:after="0" w:line="360" w:lineRule="auto"/>
        <w:contextualSpacing/>
        <w:jc w:val="center"/>
        <w:rPr>
          <w:rFonts w:ascii="Arial" w:hAnsi="Arial" w:cs="Arial"/>
          <w:b/>
          <w:bCs/>
          <w:sz w:val="22"/>
          <w:szCs w:val="22"/>
          <w:lang w:val="en-GB"/>
        </w:rPr>
      </w:pPr>
    </w:p>
    <w:p w14:paraId="77881E83" w14:textId="77777777" w:rsidR="00C731F4" w:rsidRPr="00C731F4" w:rsidRDefault="00C731F4" w:rsidP="00C731F4">
      <w:pPr>
        <w:spacing w:after="0" w:line="360" w:lineRule="auto"/>
        <w:contextualSpacing/>
        <w:jc w:val="center"/>
        <w:rPr>
          <w:rFonts w:ascii="Arial" w:hAnsi="Arial" w:cs="Arial"/>
          <w:b/>
          <w:bCs/>
          <w:sz w:val="22"/>
          <w:szCs w:val="22"/>
          <w:lang w:val="en-GB"/>
        </w:rPr>
      </w:pPr>
    </w:p>
    <w:p w14:paraId="65BC505F" w14:textId="77777777" w:rsidR="00507B2D" w:rsidRPr="00C731F4" w:rsidRDefault="00507B2D" w:rsidP="00C731F4">
      <w:pPr>
        <w:spacing w:after="0" w:line="360" w:lineRule="auto"/>
        <w:contextualSpacing/>
        <w:jc w:val="center"/>
        <w:rPr>
          <w:rFonts w:ascii="Arial" w:hAnsi="Arial" w:cs="Arial"/>
          <w:b/>
          <w:bCs/>
          <w:sz w:val="22"/>
          <w:szCs w:val="22"/>
          <w:lang w:val="en-GB"/>
        </w:rPr>
      </w:pPr>
    </w:p>
    <w:p w14:paraId="32D6EB24" w14:textId="77777777" w:rsidR="008B0729" w:rsidRPr="00C731F4" w:rsidRDefault="008B0729" w:rsidP="00C731F4">
      <w:pPr>
        <w:spacing w:after="0" w:line="360" w:lineRule="auto"/>
        <w:contextualSpacing/>
        <w:jc w:val="center"/>
        <w:rPr>
          <w:rFonts w:ascii="Arial" w:hAnsi="Arial" w:cs="Arial"/>
          <w:b/>
          <w:bCs/>
          <w:sz w:val="22"/>
          <w:szCs w:val="22"/>
          <w:lang w:val="en-GB"/>
        </w:rPr>
      </w:pPr>
    </w:p>
    <w:p w14:paraId="0CE6C43A" w14:textId="77777777" w:rsidR="008B0729" w:rsidRPr="00C731F4" w:rsidRDefault="008B0729" w:rsidP="00C731F4">
      <w:pPr>
        <w:spacing w:after="0" w:line="360" w:lineRule="auto"/>
        <w:contextualSpacing/>
        <w:jc w:val="center"/>
        <w:rPr>
          <w:rFonts w:ascii="Arial" w:hAnsi="Arial" w:cs="Arial"/>
          <w:b/>
          <w:bCs/>
          <w:sz w:val="22"/>
          <w:szCs w:val="22"/>
          <w:lang w:val="en-GB"/>
        </w:rPr>
      </w:pPr>
    </w:p>
    <w:sdt>
      <w:sdtPr>
        <w:rPr>
          <w:rFonts w:ascii="Arial" w:eastAsiaTheme="minorHAnsi" w:hAnsi="Arial" w:cs="Arial"/>
          <w:color w:val="auto"/>
          <w:kern w:val="2"/>
          <w:sz w:val="22"/>
          <w:szCs w:val="22"/>
          <w:lang w:val="en-GB"/>
          <w14:ligatures w14:val="standardContextual"/>
        </w:rPr>
        <w:id w:val="-1565412151"/>
        <w:docPartObj>
          <w:docPartGallery w:val="Table of Contents"/>
          <w:docPartUnique/>
        </w:docPartObj>
      </w:sdtPr>
      <w:sdtEndPr>
        <w:rPr>
          <w:b/>
          <w:bCs/>
          <w:noProof/>
        </w:rPr>
      </w:sdtEndPr>
      <w:sdtContent>
        <w:p w14:paraId="2E16B497" w14:textId="6030F5F7" w:rsidR="009A60F9" w:rsidRPr="00C731F4" w:rsidRDefault="009A60F9" w:rsidP="00C731F4">
          <w:pPr>
            <w:pStyle w:val="TOCHeading"/>
            <w:spacing w:line="360" w:lineRule="auto"/>
            <w:rPr>
              <w:rFonts w:ascii="Arial" w:hAnsi="Arial" w:cs="Arial"/>
              <w:color w:val="auto"/>
              <w:sz w:val="22"/>
              <w:szCs w:val="22"/>
              <w:lang w:val="en-GB"/>
            </w:rPr>
          </w:pPr>
          <w:r w:rsidRPr="00C731F4">
            <w:rPr>
              <w:rFonts w:ascii="Arial" w:hAnsi="Arial" w:cs="Arial"/>
              <w:color w:val="auto"/>
              <w:sz w:val="22"/>
              <w:szCs w:val="22"/>
              <w:lang w:val="en-GB"/>
            </w:rPr>
            <w:t>Table of Contents</w:t>
          </w:r>
        </w:p>
        <w:p w14:paraId="1946A170" w14:textId="000D8A28" w:rsidR="009A60F9" w:rsidRPr="00C731F4" w:rsidRDefault="009A60F9" w:rsidP="00C731F4">
          <w:pPr>
            <w:pStyle w:val="TOC1"/>
            <w:tabs>
              <w:tab w:val="right" w:leader="dot" w:pos="9350"/>
            </w:tabs>
            <w:spacing w:line="360" w:lineRule="auto"/>
            <w:rPr>
              <w:rFonts w:ascii="Arial" w:hAnsi="Arial" w:cs="Arial"/>
              <w:noProof/>
              <w:sz w:val="22"/>
              <w:szCs w:val="22"/>
              <w:lang w:val="en-GB"/>
            </w:rPr>
          </w:pPr>
          <w:r w:rsidRPr="00C731F4">
            <w:rPr>
              <w:rFonts w:ascii="Arial" w:hAnsi="Arial" w:cs="Arial"/>
              <w:sz w:val="22"/>
              <w:szCs w:val="22"/>
              <w:lang w:val="en-GB"/>
            </w:rPr>
            <w:fldChar w:fldCharType="begin"/>
          </w:r>
          <w:r w:rsidRPr="00C731F4">
            <w:rPr>
              <w:rFonts w:ascii="Arial" w:hAnsi="Arial" w:cs="Arial"/>
              <w:sz w:val="22"/>
              <w:szCs w:val="22"/>
              <w:lang w:val="en-GB"/>
            </w:rPr>
            <w:instrText xml:space="preserve"> TOC \o "1-3" \h \z \u </w:instrText>
          </w:r>
          <w:r w:rsidRPr="00C731F4">
            <w:rPr>
              <w:rFonts w:ascii="Arial" w:hAnsi="Arial" w:cs="Arial"/>
              <w:sz w:val="22"/>
              <w:szCs w:val="22"/>
              <w:lang w:val="en-GB"/>
            </w:rPr>
            <w:fldChar w:fldCharType="separate"/>
          </w:r>
          <w:hyperlink w:anchor="_Toc234984819" w:history="1">
            <w:r w:rsidRPr="00C731F4">
              <w:rPr>
                <w:rStyle w:val="Hyperlink"/>
                <w:rFonts w:ascii="Arial" w:hAnsi="Arial" w:cs="Arial"/>
                <w:noProof/>
                <w:color w:val="auto"/>
                <w:sz w:val="22"/>
                <w:szCs w:val="22"/>
                <w:lang w:val="en-GB"/>
              </w:rPr>
              <w:t>Introduction/ Background</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_Toc234984819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3</w:t>
            </w:r>
            <w:r w:rsidRPr="00C731F4">
              <w:rPr>
                <w:rFonts w:ascii="Arial" w:hAnsi="Arial" w:cs="Arial"/>
                <w:noProof/>
                <w:webHidden/>
                <w:sz w:val="22"/>
                <w:szCs w:val="22"/>
                <w:lang w:val="en-GB"/>
              </w:rPr>
              <w:fldChar w:fldCharType="end"/>
            </w:r>
          </w:hyperlink>
        </w:p>
        <w:p w14:paraId="45AC097F" w14:textId="5172FC1D" w:rsidR="009A60F9" w:rsidRPr="00C731F4" w:rsidRDefault="009A60F9" w:rsidP="00C731F4">
          <w:pPr>
            <w:pStyle w:val="TOC2"/>
            <w:tabs>
              <w:tab w:val="right" w:leader="dot" w:pos="9350"/>
            </w:tabs>
            <w:spacing w:line="360" w:lineRule="auto"/>
            <w:rPr>
              <w:rFonts w:ascii="Arial" w:hAnsi="Arial" w:cs="Arial"/>
              <w:noProof/>
              <w:sz w:val="22"/>
              <w:szCs w:val="22"/>
              <w:lang w:val="en-GB"/>
            </w:rPr>
          </w:pPr>
          <w:hyperlink w:anchor="_Toc234984820" w:history="1">
            <w:r w:rsidRPr="00C731F4">
              <w:rPr>
                <w:rStyle w:val="Hyperlink"/>
                <w:rFonts w:ascii="Arial" w:hAnsi="Arial" w:cs="Arial"/>
                <w:noProof/>
                <w:color w:val="auto"/>
                <w:sz w:val="22"/>
                <w:szCs w:val="22"/>
                <w:lang w:val="en-GB"/>
              </w:rPr>
              <w:t>1. Turnkey Contracting</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_Toc234984820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3</w:t>
            </w:r>
            <w:r w:rsidRPr="00C731F4">
              <w:rPr>
                <w:rFonts w:ascii="Arial" w:hAnsi="Arial" w:cs="Arial"/>
                <w:noProof/>
                <w:webHidden/>
                <w:sz w:val="22"/>
                <w:szCs w:val="22"/>
                <w:lang w:val="en-GB"/>
              </w:rPr>
              <w:fldChar w:fldCharType="end"/>
            </w:r>
          </w:hyperlink>
        </w:p>
        <w:p w14:paraId="73F535BC" w14:textId="4AA46C13" w:rsidR="009A60F9" w:rsidRPr="00C731F4" w:rsidRDefault="009A60F9" w:rsidP="00C731F4">
          <w:pPr>
            <w:pStyle w:val="TOC2"/>
            <w:tabs>
              <w:tab w:val="right" w:leader="dot" w:pos="9350"/>
            </w:tabs>
            <w:spacing w:line="360" w:lineRule="auto"/>
            <w:rPr>
              <w:rFonts w:ascii="Arial" w:hAnsi="Arial" w:cs="Arial"/>
              <w:noProof/>
              <w:sz w:val="22"/>
              <w:szCs w:val="22"/>
              <w:lang w:val="en-GB"/>
            </w:rPr>
          </w:pPr>
          <w:hyperlink w:anchor="_Toc234984821" w:history="1">
            <w:r w:rsidRPr="00C731F4">
              <w:rPr>
                <w:rStyle w:val="Hyperlink"/>
                <w:rFonts w:ascii="Arial" w:hAnsi="Arial" w:cs="Arial"/>
                <w:noProof/>
                <w:color w:val="auto"/>
                <w:sz w:val="22"/>
                <w:szCs w:val="22"/>
                <w:lang w:val="en-GB"/>
              </w:rPr>
              <w:t>2. Multicontract</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_Toc234984821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4</w:t>
            </w:r>
            <w:r w:rsidRPr="00C731F4">
              <w:rPr>
                <w:rFonts w:ascii="Arial" w:hAnsi="Arial" w:cs="Arial"/>
                <w:noProof/>
                <w:webHidden/>
                <w:sz w:val="22"/>
                <w:szCs w:val="22"/>
                <w:lang w:val="en-GB"/>
              </w:rPr>
              <w:fldChar w:fldCharType="end"/>
            </w:r>
          </w:hyperlink>
        </w:p>
        <w:p w14:paraId="211B5D04" w14:textId="11858E28" w:rsidR="009A60F9" w:rsidRPr="00C731F4" w:rsidRDefault="009A60F9" w:rsidP="00C731F4">
          <w:pPr>
            <w:pStyle w:val="TOC2"/>
            <w:tabs>
              <w:tab w:val="right" w:leader="dot" w:pos="9350"/>
            </w:tabs>
            <w:spacing w:line="360" w:lineRule="auto"/>
            <w:rPr>
              <w:rFonts w:ascii="Arial" w:hAnsi="Arial" w:cs="Arial"/>
              <w:noProof/>
              <w:sz w:val="22"/>
              <w:szCs w:val="22"/>
              <w:lang w:val="en-GB"/>
            </w:rPr>
          </w:pPr>
          <w:hyperlink w:anchor="_Toc234984822" w:history="1">
            <w:r w:rsidRPr="00C731F4">
              <w:rPr>
                <w:rStyle w:val="Hyperlink"/>
                <w:rFonts w:ascii="Arial" w:hAnsi="Arial" w:cs="Arial"/>
                <w:noProof/>
                <w:color w:val="auto"/>
                <w:sz w:val="22"/>
                <w:szCs w:val="22"/>
                <w:lang w:val="en-GB"/>
              </w:rPr>
              <w:t>3. Do-it-Yourself (DIY)</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_Toc234984822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5</w:t>
            </w:r>
            <w:r w:rsidRPr="00C731F4">
              <w:rPr>
                <w:rFonts w:ascii="Arial" w:hAnsi="Arial" w:cs="Arial"/>
                <w:noProof/>
                <w:webHidden/>
                <w:sz w:val="22"/>
                <w:szCs w:val="22"/>
                <w:lang w:val="en-GB"/>
              </w:rPr>
              <w:fldChar w:fldCharType="end"/>
            </w:r>
          </w:hyperlink>
        </w:p>
        <w:p w14:paraId="31CC35B3" w14:textId="23CE13E1" w:rsidR="009A60F9" w:rsidRPr="00C731F4" w:rsidRDefault="009A60F9" w:rsidP="00C731F4">
          <w:pPr>
            <w:pStyle w:val="TOC2"/>
            <w:tabs>
              <w:tab w:val="right" w:leader="dot" w:pos="9350"/>
            </w:tabs>
            <w:spacing w:line="360" w:lineRule="auto"/>
            <w:rPr>
              <w:rFonts w:ascii="Arial" w:hAnsi="Arial" w:cs="Arial"/>
              <w:noProof/>
              <w:sz w:val="22"/>
              <w:szCs w:val="22"/>
              <w:lang w:val="en-GB"/>
            </w:rPr>
          </w:pPr>
          <w:hyperlink w:anchor="_Toc234984823" w:history="1">
            <w:r w:rsidRPr="00C731F4">
              <w:rPr>
                <w:rStyle w:val="Hyperlink"/>
                <w:rFonts w:ascii="Arial" w:hAnsi="Arial" w:cs="Arial"/>
                <w:noProof/>
                <w:color w:val="auto"/>
                <w:sz w:val="22"/>
                <w:szCs w:val="22"/>
                <w:lang w:val="en-GB"/>
              </w:rPr>
              <w:t>4. Multicontract + DIY</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_Toc234984823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6</w:t>
            </w:r>
            <w:r w:rsidRPr="00C731F4">
              <w:rPr>
                <w:rFonts w:ascii="Arial" w:hAnsi="Arial" w:cs="Arial"/>
                <w:noProof/>
                <w:webHidden/>
                <w:sz w:val="22"/>
                <w:szCs w:val="22"/>
                <w:lang w:val="en-GB"/>
              </w:rPr>
              <w:fldChar w:fldCharType="end"/>
            </w:r>
          </w:hyperlink>
        </w:p>
        <w:p w14:paraId="0234E64D" w14:textId="603C991F" w:rsidR="009A60F9" w:rsidRPr="00C731F4" w:rsidRDefault="009A60F9" w:rsidP="00C731F4">
          <w:pPr>
            <w:pStyle w:val="TOC1"/>
            <w:tabs>
              <w:tab w:val="right" w:leader="dot" w:pos="9350"/>
            </w:tabs>
            <w:spacing w:line="360" w:lineRule="auto"/>
            <w:rPr>
              <w:rFonts w:ascii="Arial" w:hAnsi="Arial" w:cs="Arial"/>
              <w:noProof/>
              <w:sz w:val="22"/>
              <w:szCs w:val="22"/>
              <w:lang w:val="en-GB"/>
            </w:rPr>
          </w:pPr>
          <w:hyperlink w:anchor="_Toc234984824" w:history="1">
            <w:r w:rsidRPr="00C731F4">
              <w:rPr>
                <w:rStyle w:val="Hyperlink"/>
                <w:rFonts w:ascii="Arial" w:hAnsi="Arial" w:cs="Arial"/>
                <w:noProof/>
                <w:color w:val="auto"/>
                <w:sz w:val="22"/>
                <w:szCs w:val="22"/>
                <w:lang w:val="en-GB"/>
              </w:rPr>
              <w:t>Conclusion</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_Toc234984824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7</w:t>
            </w:r>
            <w:r w:rsidRPr="00C731F4">
              <w:rPr>
                <w:rFonts w:ascii="Arial" w:hAnsi="Arial" w:cs="Arial"/>
                <w:noProof/>
                <w:webHidden/>
                <w:sz w:val="22"/>
                <w:szCs w:val="22"/>
                <w:lang w:val="en-GB"/>
              </w:rPr>
              <w:fldChar w:fldCharType="end"/>
            </w:r>
          </w:hyperlink>
        </w:p>
        <w:p w14:paraId="4273DC62" w14:textId="7064DE8D" w:rsidR="009A60F9" w:rsidRPr="00C731F4" w:rsidRDefault="009A60F9" w:rsidP="00C731F4">
          <w:pPr>
            <w:pStyle w:val="TOC1"/>
            <w:tabs>
              <w:tab w:val="right" w:leader="dot" w:pos="9350"/>
            </w:tabs>
            <w:spacing w:line="360" w:lineRule="auto"/>
            <w:rPr>
              <w:rFonts w:ascii="Arial" w:hAnsi="Arial" w:cs="Arial"/>
              <w:noProof/>
              <w:sz w:val="22"/>
              <w:szCs w:val="22"/>
              <w:lang w:val="en-GB"/>
            </w:rPr>
          </w:pPr>
          <w:hyperlink w:anchor="_Toc234984825" w:history="1">
            <w:r w:rsidRPr="00C731F4">
              <w:rPr>
                <w:rStyle w:val="Hyperlink"/>
                <w:rFonts w:ascii="Arial" w:hAnsi="Arial" w:cs="Arial"/>
                <w:noProof/>
                <w:color w:val="auto"/>
                <w:sz w:val="22"/>
                <w:szCs w:val="22"/>
                <w:lang w:val="en-GB"/>
              </w:rPr>
              <w:t>Reference List</w:t>
            </w:r>
            <w:r w:rsidRPr="00C731F4">
              <w:rPr>
                <w:rFonts w:ascii="Arial" w:hAnsi="Arial" w:cs="Arial"/>
                <w:noProof/>
                <w:webHidden/>
                <w:sz w:val="22"/>
                <w:szCs w:val="22"/>
                <w:lang w:val="en-GB"/>
              </w:rPr>
              <w:tab/>
            </w:r>
            <w:r w:rsidRPr="00C731F4">
              <w:rPr>
                <w:rFonts w:ascii="Arial" w:hAnsi="Arial" w:cs="Arial"/>
                <w:noProof/>
                <w:webHidden/>
                <w:sz w:val="22"/>
                <w:szCs w:val="22"/>
                <w:lang w:val="en-GB"/>
              </w:rPr>
              <w:fldChar w:fldCharType="begin"/>
            </w:r>
            <w:r w:rsidRPr="00C731F4">
              <w:rPr>
                <w:rFonts w:ascii="Arial" w:hAnsi="Arial" w:cs="Arial"/>
                <w:noProof/>
                <w:webHidden/>
                <w:sz w:val="22"/>
                <w:szCs w:val="22"/>
                <w:lang w:val="en-GB"/>
              </w:rPr>
              <w:instrText xml:space="preserve"> PAGEREF _Toc234984825 \h </w:instrText>
            </w:r>
            <w:r w:rsidRPr="00C731F4">
              <w:rPr>
                <w:rFonts w:ascii="Arial" w:hAnsi="Arial" w:cs="Arial"/>
                <w:noProof/>
                <w:webHidden/>
                <w:sz w:val="22"/>
                <w:szCs w:val="22"/>
                <w:lang w:val="en-GB"/>
              </w:rPr>
            </w:r>
            <w:r w:rsidRPr="00C731F4">
              <w:rPr>
                <w:rFonts w:ascii="Arial" w:hAnsi="Arial" w:cs="Arial"/>
                <w:noProof/>
                <w:webHidden/>
                <w:sz w:val="22"/>
                <w:szCs w:val="22"/>
                <w:lang w:val="en-GB"/>
              </w:rPr>
              <w:fldChar w:fldCharType="separate"/>
            </w:r>
            <w:r w:rsidR="00C731F4">
              <w:rPr>
                <w:rFonts w:ascii="Arial" w:hAnsi="Arial" w:cs="Arial"/>
                <w:noProof/>
                <w:webHidden/>
                <w:sz w:val="22"/>
                <w:szCs w:val="22"/>
                <w:lang w:val="en-GB"/>
              </w:rPr>
              <w:t>8</w:t>
            </w:r>
            <w:r w:rsidRPr="00C731F4">
              <w:rPr>
                <w:rFonts w:ascii="Arial" w:hAnsi="Arial" w:cs="Arial"/>
                <w:noProof/>
                <w:webHidden/>
                <w:sz w:val="22"/>
                <w:szCs w:val="22"/>
                <w:lang w:val="en-GB"/>
              </w:rPr>
              <w:fldChar w:fldCharType="end"/>
            </w:r>
          </w:hyperlink>
        </w:p>
        <w:p w14:paraId="381ADB2C" w14:textId="68BAC553" w:rsidR="009A60F9" w:rsidRPr="00C731F4" w:rsidRDefault="009A60F9" w:rsidP="00C731F4">
          <w:pPr>
            <w:spacing w:line="360" w:lineRule="auto"/>
            <w:rPr>
              <w:rFonts w:ascii="Arial" w:hAnsi="Arial" w:cs="Arial"/>
              <w:sz w:val="22"/>
              <w:szCs w:val="22"/>
              <w:lang w:val="en-GB"/>
            </w:rPr>
          </w:pPr>
          <w:r w:rsidRPr="00C731F4">
            <w:rPr>
              <w:rFonts w:ascii="Arial" w:hAnsi="Arial" w:cs="Arial"/>
              <w:b/>
              <w:bCs/>
              <w:noProof/>
              <w:sz w:val="22"/>
              <w:szCs w:val="22"/>
              <w:lang w:val="en-GB"/>
            </w:rPr>
            <w:fldChar w:fldCharType="end"/>
          </w:r>
        </w:p>
      </w:sdtContent>
    </w:sdt>
    <w:p w14:paraId="3C0785FF" w14:textId="77777777" w:rsidR="00C731F4" w:rsidRDefault="00C731F4" w:rsidP="00C731F4">
      <w:pPr>
        <w:spacing w:after="0" w:line="360" w:lineRule="auto"/>
        <w:contextualSpacing/>
        <w:jc w:val="center"/>
        <w:rPr>
          <w:rFonts w:ascii="Arial" w:hAnsi="Arial" w:cs="Arial"/>
          <w:b/>
          <w:bCs/>
          <w:sz w:val="22"/>
          <w:szCs w:val="22"/>
          <w:lang w:val="en-GB"/>
        </w:rPr>
      </w:pPr>
    </w:p>
    <w:p w14:paraId="07AC4B9A" w14:textId="77777777" w:rsidR="00C731F4" w:rsidRDefault="00C731F4" w:rsidP="00C731F4">
      <w:pPr>
        <w:spacing w:after="0" w:line="360" w:lineRule="auto"/>
        <w:contextualSpacing/>
        <w:jc w:val="center"/>
        <w:rPr>
          <w:rFonts w:ascii="Arial" w:hAnsi="Arial" w:cs="Arial"/>
          <w:b/>
          <w:bCs/>
          <w:sz w:val="22"/>
          <w:szCs w:val="22"/>
          <w:lang w:val="en-GB"/>
        </w:rPr>
      </w:pPr>
    </w:p>
    <w:p w14:paraId="77DCFCC1" w14:textId="77777777" w:rsidR="00C731F4" w:rsidRDefault="00C731F4" w:rsidP="00C731F4">
      <w:pPr>
        <w:spacing w:after="0" w:line="360" w:lineRule="auto"/>
        <w:contextualSpacing/>
        <w:jc w:val="center"/>
        <w:rPr>
          <w:rFonts w:ascii="Arial" w:hAnsi="Arial" w:cs="Arial"/>
          <w:b/>
          <w:bCs/>
          <w:sz w:val="22"/>
          <w:szCs w:val="22"/>
          <w:lang w:val="en-GB"/>
        </w:rPr>
      </w:pPr>
    </w:p>
    <w:p w14:paraId="73D95F96" w14:textId="77777777" w:rsidR="00C731F4" w:rsidRDefault="00C731F4" w:rsidP="00C731F4">
      <w:pPr>
        <w:spacing w:after="0" w:line="360" w:lineRule="auto"/>
        <w:contextualSpacing/>
        <w:jc w:val="center"/>
        <w:rPr>
          <w:rFonts w:ascii="Arial" w:hAnsi="Arial" w:cs="Arial"/>
          <w:b/>
          <w:bCs/>
          <w:sz w:val="22"/>
          <w:szCs w:val="22"/>
          <w:lang w:val="en-GB"/>
        </w:rPr>
      </w:pPr>
    </w:p>
    <w:p w14:paraId="7534F7D9" w14:textId="77777777" w:rsidR="00C731F4" w:rsidRDefault="00C731F4" w:rsidP="00C731F4">
      <w:pPr>
        <w:spacing w:after="0" w:line="360" w:lineRule="auto"/>
        <w:contextualSpacing/>
        <w:jc w:val="center"/>
        <w:rPr>
          <w:rFonts w:ascii="Arial" w:hAnsi="Arial" w:cs="Arial"/>
          <w:b/>
          <w:bCs/>
          <w:sz w:val="22"/>
          <w:szCs w:val="22"/>
          <w:lang w:val="en-GB"/>
        </w:rPr>
      </w:pPr>
    </w:p>
    <w:p w14:paraId="0C153180" w14:textId="77777777" w:rsidR="00C731F4" w:rsidRDefault="00C731F4" w:rsidP="00C731F4">
      <w:pPr>
        <w:spacing w:after="0" w:line="360" w:lineRule="auto"/>
        <w:contextualSpacing/>
        <w:jc w:val="center"/>
        <w:rPr>
          <w:rFonts w:ascii="Arial" w:hAnsi="Arial" w:cs="Arial"/>
          <w:b/>
          <w:bCs/>
          <w:sz w:val="22"/>
          <w:szCs w:val="22"/>
          <w:lang w:val="en-GB"/>
        </w:rPr>
      </w:pPr>
    </w:p>
    <w:p w14:paraId="2418C41C" w14:textId="77777777" w:rsidR="00C731F4" w:rsidRDefault="00C731F4" w:rsidP="00C731F4">
      <w:pPr>
        <w:spacing w:after="0" w:line="360" w:lineRule="auto"/>
        <w:contextualSpacing/>
        <w:jc w:val="center"/>
        <w:rPr>
          <w:rFonts w:ascii="Arial" w:hAnsi="Arial" w:cs="Arial"/>
          <w:b/>
          <w:bCs/>
          <w:sz w:val="22"/>
          <w:szCs w:val="22"/>
          <w:lang w:val="en-GB"/>
        </w:rPr>
      </w:pPr>
    </w:p>
    <w:p w14:paraId="65281A05" w14:textId="77777777" w:rsidR="00C731F4" w:rsidRDefault="00C731F4" w:rsidP="00C731F4">
      <w:pPr>
        <w:spacing w:after="0" w:line="360" w:lineRule="auto"/>
        <w:contextualSpacing/>
        <w:jc w:val="center"/>
        <w:rPr>
          <w:rFonts w:ascii="Arial" w:hAnsi="Arial" w:cs="Arial"/>
          <w:b/>
          <w:bCs/>
          <w:sz w:val="22"/>
          <w:szCs w:val="22"/>
          <w:lang w:val="en-GB"/>
        </w:rPr>
      </w:pPr>
    </w:p>
    <w:p w14:paraId="4E7B2654" w14:textId="77777777" w:rsidR="00C731F4" w:rsidRDefault="00C731F4" w:rsidP="00C731F4">
      <w:pPr>
        <w:spacing w:after="0" w:line="360" w:lineRule="auto"/>
        <w:contextualSpacing/>
        <w:jc w:val="center"/>
        <w:rPr>
          <w:rFonts w:ascii="Arial" w:hAnsi="Arial" w:cs="Arial"/>
          <w:b/>
          <w:bCs/>
          <w:sz w:val="22"/>
          <w:szCs w:val="22"/>
          <w:lang w:val="en-GB"/>
        </w:rPr>
      </w:pPr>
    </w:p>
    <w:p w14:paraId="657A4FA9" w14:textId="77777777" w:rsidR="00C731F4" w:rsidRDefault="00C731F4" w:rsidP="00C731F4">
      <w:pPr>
        <w:spacing w:after="0" w:line="360" w:lineRule="auto"/>
        <w:contextualSpacing/>
        <w:jc w:val="center"/>
        <w:rPr>
          <w:rFonts w:ascii="Arial" w:hAnsi="Arial" w:cs="Arial"/>
          <w:b/>
          <w:bCs/>
          <w:sz w:val="22"/>
          <w:szCs w:val="22"/>
          <w:lang w:val="en-GB"/>
        </w:rPr>
      </w:pPr>
    </w:p>
    <w:p w14:paraId="204EFCDC" w14:textId="77777777" w:rsidR="00C731F4" w:rsidRDefault="00C731F4" w:rsidP="00C731F4">
      <w:pPr>
        <w:spacing w:after="0" w:line="360" w:lineRule="auto"/>
        <w:contextualSpacing/>
        <w:jc w:val="center"/>
        <w:rPr>
          <w:rFonts w:ascii="Arial" w:hAnsi="Arial" w:cs="Arial"/>
          <w:b/>
          <w:bCs/>
          <w:sz w:val="22"/>
          <w:szCs w:val="22"/>
          <w:lang w:val="en-GB"/>
        </w:rPr>
      </w:pPr>
    </w:p>
    <w:p w14:paraId="11473E12" w14:textId="77777777" w:rsidR="00C731F4" w:rsidRDefault="00C731F4" w:rsidP="00C731F4">
      <w:pPr>
        <w:spacing w:after="0" w:line="360" w:lineRule="auto"/>
        <w:contextualSpacing/>
        <w:jc w:val="center"/>
        <w:rPr>
          <w:rFonts w:ascii="Arial" w:hAnsi="Arial" w:cs="Arial"/>
          <w:b/>
          <w:bCs/>
          <w:sz w:val="22"/>
          <w:szCs w:val="22"/>
          <w:lang w:val="en-GB"/>
        </w:rPr>
      </w:pPr>
    </w:p>
    <w:p w14:paraId="7524EA37" w14:textId="77777777" w:rsidR="00C731F4" w:rsidRDefault="00C731F4" w:rsidP="00C731F4">
      <w:pPr>
        <w:spacing w:after="0" w:line="360" w:lineRule="auto"/>
        <w:contextualSpacing/>
        <w:jc w:val="center"/>
        <w:rPr>
          <w:rFonts w:ascii="Arial" w:hAnsi="Arial" w:cs="Arial"/>
          <w:b/>
          <w:bCs/>
          <w:sz w:val="22"/>
          <w:szCs w:val="22"/>
          <w:lang w:val="en-GB"/>
        </w:rPr>
      </w:pPr>
    </w:p>
    <w:p w14:paraId="243A2A3B" w14:textId="77777777" w:rsidR="00C731F4" w:rsidRDefault="00C731F4" w:rsidP="00C731F4">
      <w:pPr>
        <w:spacing w:after="0" w:line="360" w:lineRule="auto"/>
        <w:contextualSpacing/>
        <w:jc w:val="center"/>
        <w:rPr>
          <w:rFonts w:ascii="Arial" w:hAnsi="Arial" w:cs="Arial"/>
          <w:b/>
          <w:bCs/>
          <w:sz w:val="22"/>
          <w:szCs w:val="22"/>
          <w:lang w:val="en-GB"/>
        </w:rPr>
      </w:pPr>
    </w:p>
    <w:p w14:paraId="6672E2A3" w14:textId="77777777" w:rsidR="00C731F4" w:rsidRDefault="00C731F4" w:rsidP="00C731F4">
      <w:pPr>
        <w:spacing w:after="0" w:line="360" w:lineRule="auto"/>
        <w:contextualSpacing/>
        <w:jc w:val="center"/>
        <w:rPr>
          <w:rFonts w:ascii="Arial" w:hAnsi="Arial" w:cs="Arial"/>
          <w:b/>
          <w:bCs/>
          <w:sz w:val="22"/>
          <w:szCs w:val="22"/>
          <w:lang w:val="en-GB"/>
        </w:rPr>
      </w:pPr>
    </w:p>
    <w:p w14:paraId="606D72CF" w14:textId="77777777" w:rsidR="00C731F4" w:rsidRDefault="00C731F4" w:rsidP="00C731F4">
      <w:pPr>
        <w:spacing w:after="0" w:line="360" w:lineRule="auto"/>
        <w:contextualSpacing/>
        <w:jc w:val="center"/>
        <w:rPr>
          <w:rFonts w:ascii="Arial" w:hAnsi="Arial" w:cs="Arial"/>
          <w:b/>
          <w:bCs/>
          <w:sz w:val="22"/>
          <w:szCs w:val="22"/>
          <w:lang w:val="en-GB"/>
        </w:rPr>
      </w:pPr>
    </w:p>
    <w:p w14:paraId="61DA691B" w14:textId="77777777" w:rsidR="00C731F4" w:rsidRDefault="00C731F4" w:rsidP="00C731F4">
      <w:pPr>
        <w:spacing w:after="0" w:line="360" w:lineRule="auto"/>
        <w:contextualSpacing/>
        <w:jc w:val="center"/>
        <w:rPr>
          <w:rFonts w:ascii="Arial" w:hAnsi="Arial" w:cs="Arial"/>
          <w:b/>
          <w:bCs/>
          <w:sz w:val="22"/>
          <w:szCs w:val="22"/>
          <w:lang w:val="en-GB"/>
        </w:rPr>
      </w:pPr>
    </w:p>
    <w:p w14:paraId="12FF1EF5" w14:textId="77777777" w:rsidR="00C731F4" w:rsidRDefault="00C731F4" w:rsidP="00C731F4">
      <w:pPr>
        <w:spacing w:after="0" w:line="360" w:lineRule="auto"/>
        <w:contextualSpacing/>
        <w:jc w:val="center"/>
        <w:rPr>
          <w:rFonts w:ascii="Arial" w:hAnsi="Arial" w:cs="Arial"/>
          <w:b/>
          <w:bCs/>
          <w:sz w:val="22"/>
          <w:szCs w:val="22"/>
          <w:lang w:val="en-GB"/>
        </w:rPr>
      </w:pPr>
    </w:p>
    <w:p w14:paraId="605350ED" w14:textId="77777777" w:rsidR="00C731F4" w:rsidRDefault="00C731F4" w:rsidP="00C731F4">
      <w:pPr>
        <w:spacing w:after="0" w:line="360" w:lineRule="auto"/>
        <w:contextualSpacing/>
        <w:jc w:val="center"/>
        <w:rPr>
          <w:rFonts w:ascii="Arial" w:hAnsi="Arial" w:cs="Arial"/>
          <w:b/>
          <w:bCs/>
          <w:sz w:val="22"/>
          <w:szCs w:val="22"/>
          <w:lang w:val="en-GB"/>
        </w:rPr>
      </w:pPr>
    </w:p>
    <w:p w14:paraId="77548F94" w14:textId="77777777" w:rsidR="00C731F4" w:rsidRDefault="00C731F4" w:rsidP="00C731F4">
      <w:pPr>
        <w:spacing w:after="0" w:line="360" w:lineRule="auto"/>
        <w:contextualSpacing/>
        <w:jc w:val="center"/>
        <w:rPr>
          <w:rFonts w:ascii="Arial" w:hAnsi="Arial" w:cs="Arial"/>
          <w:b/>
          <w:bCs/>
          <w:sz w:val="22"/>
          <w:szCs w:val="22"/>
          <w:lang w:val="en-GB"/>
        </w:rPr>
      </w:pPr>
    </w:p>
    <w:p w14:paraId="021507CC" w14:textId="77777777" w:rsidR="00C731F4" w:rsidRDefault="00C731F4" w:rsidP="00C731F4">
      <w:pPr>
        <w:spacing w:after="0" w:line="360" w:lineRule="auto"/>
        <w:contextualSpacing/>
        <w:jc w:val="center"/>
        <w:rPr>
          <w:rFonts w:ascii="Arial" w:hAnsi="Arial" w:cs="Arial"/>
          <w:b/>
          <w:bCs/>
          <w:sz w:val="22"/>
          <w:szCs w:val="22"/>
          <w:lang w:val="en-GB"/>
        </w:rPr>
      </w:pPr>
    </w:p>
    <w:p w14:paraId="7BD8C74A" w14:textId="77777777" w:rsidR="00C731F4" w:rsidRDefault="00C731F4" w:rsidP="00C731F4">
      <w:pPr>
        <w:spacing w:after="0" w:line="360" w:lineRule="auto"/>
        <w:contextualSpacing/>
        <w:jc w:val="center"/>
        <w:rPr>
          <w:rFonts w:ascii="Arial" w:hAnsi="Arial" w:cs="Arial"/>
          <w:b/>
          <w:bCs/>
          <w:sz w:val="22"/>
          <w:szCs w:val="22"/>
          <w:lang w:val="en-GB"/>
        </w:rPr>
      </w:pPr>
    </w:p>
    <w:p w14:paraId="52EC3459" w14:textId="4DA9277D" w:rsidR="00AA60C8" w:rsidRPr="00C731F4" w:rsidRDefault="00AA60C8" w:rsidP="00C731F4">
      <w:pPr>
        <w:spacing w:after="0" w:line="360" w:lineRule="auto"/>
        <w:contextualSpacing/>
        <w:jc w:val="center"/>
        <w:rPr>
          <w:rFonts w:ascii="Arial" w:hAnsi="Arial" w:cs="Arial"/>
          <w:b/>
          <w:bCs/>
          <w:sz w:val="22"/>
          <w:szCs w:val="22"/>
          <w:lang w:val="en-GB"/>
        </w:rPr>
      </w:pPr>
      <w:r w:rsidRPr="00C731F4">
        <w:rPr>
          <w:rFonts w:ascii="Arial" w:hAnsi="Arial" w:cs="Arial"/>
          <w:b/>
          <w:bCs/>
          <w:sz w:val="22"/>
          <w:szCs w:val="22"/>
          <w:lang w:val="en-GB"/>
        </w:rPr>
        <w:t xml:space="preserve">Contracting Methods in Project Management: An Evaluation of Turnkey, </w:t>
      </w:r>
      <w:proofErr w:type="spellStart"/>
      <w:r w:rsidRPr="00C731F4">
        <w:rPr>
          <w:rFonts w:ascii="Arial" w:hAnsi="Arial" w:cs="Arial"/>
          <w:b/>
          <w:bCs/>
          <w:sz w:val="22"/>
          <w:szCs w:val="22"/>
          <w:lang w:val="en-GB"/>
        </w:rPr>
        <w:t>Multicontract</w:t>
      </w:r>
      <w:proofErr w:type="spellEnd"/>
      <w:r w:rsidRPr="00C731F4">
        <w:rPr>
          <w:rFonts w:ascii="Arial" w:hAnsi="Arial" w:cs="Arial"/>
          <w:b/>
          <w:bCs/>
          <w:sz w:val="22"/>
          <w:szCs w:val="22"/>
          <w:lang w:val="en-GB"/>
        </w:rPr>
        <w:t>, DIY</w:t>
      </w:r>
      <w:r w:rsidR="00850701" w:rsidRPr="00C731F4">
        <w:rPr>
          <w:rFonts w:ascii="Arial" w:hAnsi="Arial" w:cs="Arial"/>
          <w:b/>
          <w:bCs/>
          <w:sz w:val="22"/>
          <w:szCs w:val="22"/>
          <w:lang w:val="en-GB"/>
        </w:rPr>
        <w:t>,</w:t>
      </w:r>
      <w:r w:rsidRPr="00C731F4">
        <w:rPr>
          <w:rFonts w:ascii="Arial" w:hAnsi="Arial" w:cs="Arial"/>
          <w:b/>
          <w:bCs/>
          <w:sz w:val="22"/>
          <w:szCs w:val="22"/>
          <w:lang w:val="en-GB"/>
        </w:rPr>
        <w:t xml:space="preserve"> and </w:t>
      </w:r>
      <w:proofErr w:type="spellStart"/>
      <w:r w:rsidRPr="00C731F4">
        <w:rPr>
          <w:rFonts w:ascii="Arial" w:hAnsi="Arial" w:cs="Arial"/>
          <w:b/>
          <w:bCs/>
          <w:sz w:val="22"/>
          <w:szCs w:val="22"/>
          <w:lang w:val="en-GB"/>
        </w:rPr>
        <w:t>Multicontract+DIY</w:t>
      </w:r>
      <w:proofErr w:type="spellEnd"/>
      <w:r w:rsidRPr="00C731F4">
        <w:rPr>
          <w:rFonts w:ascii="Arial" w:hAnsi="Arial" w:cs="Arial"/>
          <w:b/>
          <w:bCs/>
          <w:sz w:val="22"/>
          <w:szCs w:val="22"/>
          <w:lang w:val="en-GB"/>
        </w:rPr>
        <w:t xml:space="preserve"> Approaches</w:t>
      </w:r>
    </w:p>
    <w:p w14:paraId="20535060" w14:textId="0227F21F" w:rsidR="00AA60C8" w:rsidRPr="00C731F4" w:rsidRDefault="00AA60C8" w:rsidP="00C731F4">
      <w:pPr>
        <w:pStyle w:val="Heading1"/>
        <w:spacing w:line="360" w:lineRule="auto"/>
        <w:jc w:val="center"/>
        <w:rPr>
          <w:rFonts w:ascii="Arial" w:hAnsi="Arial" w:cs="Arial"/>
          <w:b/>
          <w:bCs/>
          <w:color w:val="auto"/>
          <w:sz w:val="22"/>
          <w:szCs w:val="22"/>
          <w:lang w:val="en-GB"/>
        </w:rPr>
      </w:pPr>
      <w:bookmarkStart w:id="0" w:name="_Toc234984819"/>
      <w:r w:rsidRPr="00C731F4">
        <w:rPr>
          <w:rFonts w:ascii="Arial" w:hAnsi="Arial" w:cs="Arial"/>
          <w:b/>
          <w:bCs/>
          <w:color w:val="auto"/>
          <w:sz w:val="22"/>
          <w:szCs w:val="22"/>
          <w:lang w:val="en-GB"/>
        </w:rPr>
        <w:lastRenderedPageBreak/>
        <w:t>Introduction</w:t>
      </w:r>
      <w:r w:rsidR="002D5182" w:rsidRPr="00C731F4">
        <w:rPr>
          <w:rFonts w:ascii="Arial" w:hAnsi="Arial" w:cs="Arial"/>
          <w:b/>
          <w:bCs/>
          <w:color w:val="auto"/>
          <w:sz w:val="22"/>
          <w:szCs w:val="22"/>
          <w:lang w:val="en-GB"/>
        </w:rPr>
        <w:t>/ Background</w:t>
      </w:r>
      <w:bookmarkEnd w:id="0"/>
    </w:p>
    <w:p w14:paraId="373F2FB8" w14:textId="1DAFA870" w:rsidR="00AA60C8" w:rsidRPr="00C731F4" w:rsidRDefault="00A22D75"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Many people and organizations today have a new or renewed interest in project management due to its importance. </w:t>
      </w:r>
      <w:r w:rsidR="00AA1716" w:rsidRPr="00C731F4">
        <w:rPr>
          <w:rFonts w:ascii="Arial" w:hAnsi="Arial" w:cs="Arial"/>
          <w:sz w:val="22"/>
          <w:szCs w:val="22"/>
          <w:lang w:val="en-GB"/>
        </w:rPr>
        <w:t>To discuss project management</w:t>
      </w:r>
      <w:r w:rsidR="00AC2139" w:rsidRPr="00C731F4">
        <w:rPr>
          <w:rFonts w:ascii="Arial" w:hAnsi="Arial" w:cs="Arial"/>
          <w:sz w:val="22"/>
          <w:szCs w:val="22"/>
          <w:lang w:val="en-GB"/>
        </w:rPr>
        <w:t xml:space="preserve"> (PM)</w:t>
      </w:r>
      <w:r w:rsidR="00AA1716" w:rsidRPr="00C731F4">
        <w:rPr>
          <w:rFonts w:ascii="Arial" w:hAnsi="Arial" w:cs="Arial"/>
          <w:sz w:val="22"/>
          <w:szCs w:val="22"/>
          <w:lang w:val="en-GB"/>
        </w:rPr>
        <w:t xml:space="preserve">, it is important to understand the concept of a project. A project is a temporary </w:t>
      </w:r>
      <w:proofErr w:type="spellStart"/>
      <w:r w:rsidR="00AA1716" w:rsidRPr="00C731F4">
        <w:rPr>
          <w:rFonts w:ascii="Arial" w:hAnsi="Arial" w:cs="Arial"/>
          <w:sz w:val="22"/>
          <w:szCs w:val="22"/>
          <w:lang w:val="en-GB"/>
        </w:rPr>
        <w:t>endeavor</w:t>
      </w:r>
      <w:proofErr w:type="spellEnd"/>
      <w:r w:rsidR="00AA1716" w:rsidRPr="00C731F4">
        <w:rPr>
          <w:rFonts w:ascii="Arial" w:hAnsi="Arial" w:cs="Arial"/>
          <w:sz w:val="22"/>
          <w:szCs w:val="22"/>
          <w:lang w:val="en-GB"/>
        </w:rPr>
        <w:t xml:space="preserve"> undertaken to create a unique product, service, or result</w:t>
      </w:r>
      <w:r w:rsidR="00017B35" w:rsidRPr="00C731F4">
        <w:rPr>
          <w:rFonts w:ascii="Arial" w:hAnsi="Arial" w:cs="Arial"/>
          <w:sz w:val="22"/>
          <w:szCs w:val="22"/>
          <w:lang w:val="en-GB"/>
        </w:rPr>
        <w:t xml:space="preserve"> (Schwalbe, 2009)</w:t>
      </w:r>
      <w:r w:rsidR="00AA1716" w:rsidRPr="00C731F4">
        <w:rPr>
          <w:rFonts w:ascii="Arial" w:hAnsi="Arial" w:cs="Arial"/>
          <w:sz w:val="22"/>
          <w:szCs w:val="22"/>
          <w:lang w:val="en-GB"/>
        </w:rPr>
        <w:t>.</w:t>
      </w:r>
      <w:r w:rsidRPr="00C731F4">
        <w:rPr>
          <w:rFonts w:ascii="Arial" w:hAnsi="Arial" w:cs="Arial"/>
          <w:sz w:val="22"/>
          <w:szCs w:val="22"/>
          <w:lang w:val="en-GB"/>
        </w:rPr>
        <w:t xml:space="preserve"> Therefore, </w:t>
      </w:r>
      <w:r w:rsidR="00AA60C8" w:rsidRPr="00C731F4">
        <w:rPr>
          <w:rFonts w:ascii="Arial" w:hAnsi="Arial" w:cs="Arial"/>
          <w:sz w:val="22"/>
          <w:szCs w:val="22"/>
          <w:lang w:val="en-GB"/>
        </w:rPr>
        <w:t>PM is a discipline that involves planning, organizing</w:t>
      </w:r>
      <w:r w:rsidR="00850701" w:rsidRPr="00C731F4">
        <w:rPr>
          <w:rFonts w:ascii="Arial" w:hAnsi="Arial" w:cs="Arial"/>
          <w:sz w:val="22"/>
          <w:szCs w:val="22"/>
          <w:lang w:val="en-GB"/>
        </w:rPr>
        <w:t xml:space="preserve">, </w:t>
      </w:r>
      <w:r w:rsidR="00AA60C8" w:rsidRPr="00C731F4">
        <w:rPr>
          <w:rFonts w:ascii="Arial" w:hAnsi="Arial" w:cs="Arial"/>
          <w:sz w:val="22"/>
          <w:szCs w:val="22"/>
          <w:lang w:val="en-GB"/>
        </w:rPr>
        <w:t>and controlling resources to meet specified project goals within a given timeframe, budget, scope</w:t>
      </w:r>
      <w:r w:rsidR="00850701" w:rsidRPr="00C731F4">
        <w:rPr>
          <w:rFonts w:ascii="Arial" w:hAnsi="Arial" w:cs="Arial"/>
          <w:sz w:val="22"/>
          <w:szCs w:val="22"/>
          <w:lang w:val="en-GB"/>
        </w:rPr>
        <w:t>,</w:t>
      </w:r>
      <w:r w:rsidR="00AA60C8" w:rsidRPr="00C731F4">
        <w:rPr>
          <w:rFonts w:ascii="Arial" w:hAnsi="Arial" w:cs="Arial"/>
          <w:sz w:val="22"/>
          <w:szCs w:val="22"/>
          <w:lang w:val="en-GB"/>
        </w:rPr>
        <w:t xml:space="preserve"> and quality (PMI, 2021). One of the core aspects of PM practice is determining whether an organisation will complete project tasks internally or obtain them from </w:t>
      </w:r>
      <w:r w:rsidR="00850701" w:rsidRPr="00C731F4">
        <w:rPr>
          <w:rFonts w:ascii="Arial" w:hAnsi="Arial" w:cs="Arial"/>
          <w:sz w:val="22"/>
          <w:szCs w:val="22"/>
          <w:lang w:val="en-GB"/>
        </w:rPr>
        <w:t>an</w:t>
      </w:r>
      <w:r w:rsidR="00AA60C8" w:rsidRPr="00C731F4">
        <w:rPr>
          <w:rFonts w:ascii="Arial" w:hAnsi="Arial" w:cs="Arial"/>
          <w:sz w:val="22"/>
          <w:szCs w:val="22"/>
          <w:lang w:val="en-GB"/>
        </w:rPr>
        <w:t xml:space="preserve"> outside party by signing a formal contract (Turner, 2014). This is known as contract strategy and has important implications for the distribution of risk, some level of control that the client retains over the project, and its ultimate success (Turner and Simister, 2001).</w:t>
      </w:r>
    </w:p>
    <w:p w14:paraId="0E166C34" w14:textId="05BC6F9A"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There are several reasons why organisations may choose to contract out parts of a project, such as a lack of in-house technical expertise, a desire to transfer risk to specialist contractors, resource constraints, or to gain access to the economies of scale and speed that can be provided by external contractors (Walker, 2015; Winch, 201</w:t>
      </w:r>
      <w:r w:rsidR="00405E1A" w:rsidRPr="00C731F4">
        <w:rPr>
          <w:rFonts w:ascii="Arial" w:hAnsi="Arial" w:cs="Arial"/>
          <w:sz w:val="22"/>
          <w:szCs w:val="22"/>
          <w:lang w:val="en-GB"/>
        </w:rPr>
        <w:t>2</w:t>
      </w:r>
      <w:r w:rsidRPr="00C731F4">
        <w:rPr>
          <w:rFonts w:ascii="Arial" w:hAnsi="Arial" w:cs="Arial"/>
          <w:sz w:val="22"/>
          <w:szCs w:val="22"/>
          <w:lang w:val="en-GB"/>
        </w:rPr>
        <w:t>). Conversely, having the work done by an in-house team may be preferred if an organisation has a project that drives its strategic agenda, wants to protect its proprietary knowledge, or has a strong desire to maintain close project management quality control (Kerzner, 20</w:t>
      </w:r>
      <w:r w:rsidR="00405E1A" w:rsidRPr="00C731F4">
        <w:rPr>
          <w:rFonts w:ascii="Arial" w:hAnsi="Arial" w:cs="Arial"/>
          <w:sz w:val="22"/>
          <w:szCs w:val="22"/>
          <w:lang w:val="en-GB"/>
        </w:rPr>
        <w:t>25</w:t>
      </w:r>
      <w:r w:rsidRPr="00C731F4">
        <w:rPr>
          <w:rFonts w:ascii="Arial" w:hAnsi="Arial" w:cs="Arial"/>
          <w:sz w:val="22"/>
          <w:szCs w:val="22"/>
          <w:lang w:val="en-GB"/>
        </w:rPr>
        <w:t>)</w:t>
      </w:r>
      <w:r w:rsidR="007737E6" w:rsidRPr="00C731F4">
        <w:rPr>
          <w:rFonts w:ascii="Arial" w:hAnsi="Arial" w:cs="Arial"/>
          <w:sz w:val="22"/>
          <w:szCs w:val="22"/>
          <w:lang w:val="en-GB"/>
        </w:rPr>
        <w:t>.</w:t>
      </w:r>
    </w:p>
    <w:p w14:paraId="0D41CFE0" w14:textId="53DA5DC1"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In this essay, the four main approaches to contracting in project management — Turnkey,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xml:space="preserve">, Do-it-Yourself (DIY), and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DIY — are explained and discussed critically, examining their strengths and weaknesses. Throughout, contextualised examples are provided from a 'hypothetical' commercial office building construction project to demonstrate how the selection of the contract strategy influences the actual management of the project in practice</w:t>
      </w:r>
      <w:r w:rsidR="00344E71" w:rsidRPr="00C731F4">
        <w:rPr>
          <w:rFonts w:ascii="Arial" w:hAnsi="Arial" w:cs="Arial"/>
          <w:sz w:val="22"/>
          <w:szCs w:val="22"/>
          <w:lang w:val="en-GB"/>
        </w:rPr>
        <w:t xml:space="preserve">. </w:t>
      </w:r>
      <w:r w:rsidR="00177C37" w:rsidRPr="00C731F4">
        <w:rPr>
          <w:rFonts w:ascii="Arial" w:hAnsi="Arial" w:cs="Arial"/>
          <w:sz w:val="22"/>
          <w:szCs w:val="22"/>
          <w:lang w:val="en-GB"/>
        </w:rPr>
        <w:t>A range</w:t>
      </w:r>
      <w:r w:rsidRPr="00C731F4">
        <w:rPr>
          <w:rFonts w:ascii="Arial" w:hAnsi="Arial" w:cs="Arial"/>
          <w:sz w:val="22"/>
          <w:szCs w:val="22"/>
          <w:lang w:val="en-GB"/>
        </w:rPr>
        <w:t xml:space="preserve"> of practical tools</w:t>
      </w:r>
      <w:r w:rsidR="00177C37" w:rsidRPr="00C731F4">
        <w:rPr>
          <w:rFonts w:ascii="Arial" w:hAnsi="Arial" w:cs="Arial"/>
          <w:sz w:val="22"/>
          <w:szCs w:val="22"/>
          <w:lang w:val="en-GB"/>
        </w:rPr>
        <w:t xml:space="preserve">, </w:t>
      </w:r>
      <w:r w:rsidRPr="00C731F4">
        <w:rPr>
          <w:rFonts w:ascii="Arial" w:hAnsi="Arial" w:cs="Arial"/>
          <w:sz w:val="22"/>
          <w:szCs w:val="22"/>
          <w:lang w:val="en-GB"/>
        </w:rPr>
        <w:t>such as the Work Breakdown Structure (WBS), Gantt chart, risk register</w:t>
      </w:r>
      <w:r w:rsidR="00405E1A" w:rsidRPr="00C731F4">
        <w:rPr>
          <w:rFonts w:ascii="Arial" w:hAnsi="Arial" w:cs="Arial"/>
          <w:sz w:val="22"/>
          <w:szCs w:val="22"/>
          <w:lang w:val="en-GB"/>
        </w:rPr>
        <w:t xml:space="preserve">, </w:t>
      </w:r>
      <w:r w:rsidRPr="00C731F4">
        <w:rPr>
          <w:rFonts w:ascii="Arial" w:hAnsi="Arial" w:cs="Arial"/>
          <w:sz w:val="22"/>
          <w:szCs w:val="22"/>
          <w:lang w:val="en-GB"/>
        </w:rPr>
        <w:t>and stakeholder matrix</w:t>
      </w:r>
      <w:r w:rsidR="00177C37" w:rsidRPr="00C731F4">
        <w:rPr>
          <w:rFonts w:ascii="Arial" w:hAnsi="Arial" w:cs="Arial"/>
          <w:sz w:val="22"/>
          <w:szCs w:val="22"/>
          <w:lang w:val="en-GB"/>
        </w:rPr>
        <w:t>,</w:t>
      </w:r>
      <w:r w:rsidR="00BF1B52" w:rsidRPr="00C731F4">
        <w:rPr>
          <w:rFonts w:ascii="Arial" w:hAnsi="Arial" w:cs="Arial"/>
          <w:sz w:val="22"/>
          <w:szCs w:val="22"/>
          <w:lang w:val="en-GB"/>
        </w:rPr>
        <w:t xml:space="preserve"> are used</w:t>
      </w:r>
      <w:r w:rsidR="00177C37" w:rsidRPr="00C731F4">
        <w:rPr>
          <w:rFonts w:ascii="Arial" w:hAnsi="Arial" w:cs="Arial"/>
          <w:sz w:val="22"/>
          <w:szCs w:val="22"/>
          <w:lang w:val="en-GB"/>
        </w:rPr>
        <w:t xml:space="preserve"> in the examples provided</w:t>
      </w:r>
      <w:r w:rsidRPr="00C731F4">
        <w:rPr>
          <w:rFonts w:ascii="Arial" w:hAnsi="Arial" w:cs="Arial"/>
          <w:sz w:val="22"/>
          <w:szCs w:val="22"/>
          <w:lang w:val="en-GB"/>
        </w:rPr>
        <w:t>.</w:t>
      </w:r>
    </w:p>
    <w:p w14:paraId="30D074B4" w14:textId="2472AD50" w:rsidR="00AA60C8" w:rsidRPr="00C731F4" w:rsidRDefault="00E1567F" w:rsidP="00C731F4">
      <w:pPr>
        <w:pStyle w:val="Heading2"/>
        <w:spacing w:line="360" w:lineRule="auto"/>
        <w:rPr>
          <w:rFonts w:ascii="Arial" w:hAnsi="Arial" w:cs="Arial"/>
          <w:b/>
          <w:bCs/>
          <w:color w:val="auto"/>
          <w:sz w:val="22"/>
          <w:szCs w:val="22"/>
          <w:lang w:val="en-GB"/>
        </w:rPr>
      </w:pPr>
      <w:bookmarkStart w:id="1" w:name="_Toc234984820"/>
      <w:r w:rsidRPr="00C731F4">
        <w:rPr>
          <w:rFonts w:ascii="Arial" w:hAnsi="Arial" w:cs="Arial"/>
          <w:b/>
          <w:bCs/>
          <w:color w:val="auto"/>
          <w:sz w:val="22"/>
          <w:szCs w:val="22"/>
          <w:lang w:val="en-GB"/>
        </w:rPr>
        <w:t xml:space="preserve">1. </w:t>
      </w:r>
      <w:r w:rsidR="00AA60C8" w:rsidRPr="00C731F4">
        <w:rPr>
          <w:rFonts w:ascii="Arial" w:hAnsi="Arial" w:cs="Arial"/>
          <w:b/>
          <w:bCs/>
          <w:color w:val="auto"/>
          <w:sz w:val="22"/>
          <w:szCs w:val="22"/>
          <w:lang w:val="en-GB"/>
        </w:rPr>
        <w:t>Turnkey Contracting</w:t>
      </w:r>
      <w:bookmarkEnd w:id="1"/>
    </w:p>
    <w:p w14:paraId="4819FD4C" w14:textId="65E5FCAC"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The turnkey method involves a client hiring a single main contractor to design, procure</w:t>
      </w:r>
      <w:r w:rsidR="007A51D1" w:rsidRPr="00C731F4">
        <w:rPr>
          <w:rFonts w:ascii="Arial" w:hAnsi="Arial" w:cs="Arial"/>
          <w:sz w:val="22"/>
          <w:szCs w:val="22"/>
          <w:lang w:val="en-GB"/>
        </w:rPr>
        <w:t>,</w:t>
      </w:r>
      <w:r w:rsidRPr="00C731F4">
        <w:rPr>
          <w:rFonts w:ascii="Arial" w:hAnsi="Arial" w:cs="Arial"/>
          <w:sz w:val="22"/>
          <w:szCs w:val="22"/>
          <w:lang w:val="en-GB"/>
        </w:rPr>
        <w:t xml:space="preserve"> and construct the whole project, producing a design that is complete and functioning before the client </w:t>
      </w:r>
      <w:proofErr w:type="gramStart"/>
      <w:r w:rsidRPr="00C731F4">
        <w:rPr>
          <w:rFonts w:ascii="Arial" w:hAnsi="Arial" w:cs="Arial"/>
          <w:sz w:val="22"/>
          <w:szCs w:val="22"/>
          <w:lang w:val="en-GB"/>
        </w:rPr>
        <w:t>is able to</w:t>
      </w:r>
      <w:proofErr w:type="gramEnd"/>
      <w:r w:rsidRPr="00C731F4">
        <w:rPr>
          <w:rFonts w:ascii="Arial" w:hAnsi="Arial" w:cs="Arial"/>
          <w:sz w:val="22"/>
          <w:szCs w:val="22"/>
          <w:lang w:val="en-GB"/>
        </w:rPr>
        <w:t xml:space="preserve"> ‘unlock with a single key’ (Turner, 2014). The client usually provides performance or output requirements</w:t>
      </w:r>
      <w:r w:rsidR="005D2876" w:rsidRPr="00C731F4">
        <w:rPr>
          <w:rFonts w:ascii="Arial" w:hAnsi="Arial" w:cs="Arial"/>
          <w:sz w:val="22"/>
          <w:szCs w:val="22"/>
          <w:lang w:val="en-GB"/>
        </w:rPr>
        <w:t>,</w:t>
      </w:r>
      <w:r w:rsidRPr="00C731F4">
        <w:rPr>
          <w:rFonts w:ascii="Arial" w:hAnsi="Arial" w:cs="Arial"/>
          <w:sz w:val="22"/>
          <w:szCs w:val="22"/>
          <w:lang w:val="en-GB"/>
        </w:rPr>
        <w:t xml:space="preserve"> and the contractor is required to decide on how best to deliver the </w:t>
      </w:r>
      <w:r w:rsidR="007737E6" w:rsidRPr="00C731F4">
        <w:rPr>
          <w:rFonts w:ascii="Arial" w:hAnsi="Arial" w:cs="Arial"/>
          <w:sz w:val="22"/>
          <w:szCs w:val="22"/>
          <w:lang w:val="en-GB"/>
        </w:rPr>
        <w:t>project needs</w:t>
      </w:r>
      <w:r w:rsidRPr="00C731F4">
        <w:rPr>
          <w:rFonts w:ascii="Arial" w:hAnsi="Arial" w:cs="Arial"/>
          <w:sz w:val="22"/>
          <w:szCs w:val="22"/>
          <w:lang w:val="en-GB"/>
        </w:rPr>
        <w:t xml:space="preserve"> (Walker, 2015).</w:t>
      </w:r>
    </w:p>
    <w:p w14:paraId="281739A2" w14:textId="51594859"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The biggest benefit of turnkey contracting is that there is one point of contact for the client, as opposed to many, making administration much easier. </w:t>
      </w:r>
      <w:proofErr w:type="gramStart"/>
      <w:r w:rsidRPr="00C731F4">
        <w:rPr>
          <w:rFonts w:ascii="Arial" w:hAnsi="Arial" w:cs="Arial"/>
          <w:sz w:val="22"/>
          <w:szCs w:val="22"/>
          <w:lang w:val="en-GB"/>
        </w:rPr>
        <w:t>The majority of</w:t>
      </w:r>
      <w:proofErr w:type="gramEnd"/>
      <w:r w:rsidRPr="00C731F4">
        <w:rPr>
          <w:rFonts w:ascii="Arial" w:hAnsi="Arial" w:cs="Arial"/>
          <w:sz w:val="22"/>
          <w:szCs w:val="22"/>
          <w:lang w:val="en-GB"/>
        </w:rPr>
        <w:t xml:space="preserve"> design and </w:t>
      </w:r>
      <w:r w:rsidRPr="00C731F4">
        <w:rPr>
          <w:rFonts w:ascii="Arial" w:hAnsi="Arial" w:cs="Arial"/>
          <w:sz w:val="22"/>
          <w:szCs w:val="22"/>
          <w:lang w:val="en-GB"/>
        </w:rPr>
        <w:lastRenderedPageBreak/>
        <w:t>construction risk is passed on to the contractor, who is usually responsible for cost overruns and delays (Turner and Simister, 2001). Turnkey also allows the design and construction to overlap, speeding up the delivery, which is useful for time</w:t>
      </w:r>
      <w:r w:rsidR="006B261F" w:rsidRPr="00C731F4">
        <w:rPr>
          <w:rFonts w:ascii="Arial" w:hAnsi="Arial" w:cs="Arial"/>
          <w:sz w:val="22"/>
          <w:szCs w:val="22"/>
          <w:lang w:val="en-GB"/>
        </w:rPr>
        <w:t>-</w:t>
      </w:r>
      <w:r w:rsidRPr="00C731F4">
        <w:rPr>
          <w:rFonts w:ascii="Arial" w:hAnsi="Arial" w:cs="Arial"/>
          <w:sz w:val="22"/>
          <w:szCs w:val="22"/>
          <w:lang w:val="en-GB"/>
        </w:rPr>
        <w:t>critical projects where the requirement is clearly defined and standardised, like a speculative office development or factory unit.</w:t>
      </w:r>
    </w:p>
    <w:p w14:paraId="1E0ABA58" w14:textId="1997ADF9"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The client, however, sacrifices the level of control over design decisions</w:t>
      </w:r>
      <w:r w:rsidR="007160A0" w:rsidRPr="00C731F4">
        <w:rPr>
          <w:rFonts w:ascii="Arial" w:hAnsi="Arial" w:cs="Arial"/>
          <w:sz w:val="22"/>
          <w:szCs w:val="22"/>
          <w:lang w:val="en-GB"/>
        </w:rPr>
        <w:t>,</w:t>
      </w:r>
      <w:r w:rsidRPr="00C731F4">
        <w:rPr>
          <w:rFonts w:ascii="Arial" w:hAnsi="Arial" w:cs="Arial"/>
          <w:sz w:val="22"/>
          <w:szCs w:val="22"/>
          <w:lang w:val="en-GB"/>
        </w:rPr>
        <w:t xml:space="preserve"> and this can lead to a finished building that does not exactly match its functional needs. There can also be less transparency around sub-contractor selection and pricing, and contractors may charge a premium for the risks they take on (Chapman and Ward, 2003). Making late variations is difficult and costly, and disputes over the interpretation of performance specifications can create an adversarial client-contractor relationship (Eriksson, 2008).</w:t>
      </w:r>
    </w:p>
    <w:p w14:paraId="1C9B882E" w14:textId="5168177D"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In the case of the office building, a client-level WBS would only outline the high-level turnkey packages, and the contractor would create and manage his or her own detailed sub-WBS</w:t>
      </w:r>
      <w:r w:rsidR="007160A0" w:rsidRPr="00C731F4">
        <w:rPr>
          <w:rFonts w:ascii="Arial" w:hAnsi="Arial" w:cs="Arial"/>
          <w:sz w:val="22"/>
          <w:szCs w:val="22"/>
          <w:lang w:val="en-GB"/>
        </w:rPr>
        <w:t>’</w:t>
      </w:r>
      <w:r w:rsidRPr="00C731F4">
        <w:rPr>
          <w:rFonts w:ascii="Arial" w:hAnsi="Arial" w:cs="Arial"/>
          <w:sz w:val="22"/>
          <w:szCs w:val="22"/>
          <w:lang w:val="en-GB"/>
        </w:rPr>
        <w:t>s internally. The client's risk register would focus on contractor risks, including market and financial risks, and not on fine-grained technical risks, whilst the client</w:t>
      </w:r>
      <w:r w:rsidR="002F0663" w:rsidRPr="00C731F4">
        <w:rPr>
          <w:rFonts w:ascii="Arial" w:hAnsi="Arial" w:cs="Arial"/>
          <w:sz w:val="22"/>
          <w:szCs w:val="22"/>
          <w:lang w:val="en-GB"/>
        </w:rPr>
        <w:t>’s</w:t>
      </w:r>
      <w:r w:rsidRPr="00C731F4">
        <w:rPr>
          <w:rFonts w:ascii="Arial" w:hAnsi="Arial" w:cs="Arial"/>
          <w:sz w:val="22"/>
          <w:szCs w:val="22"/>
          <w:lang w:val="en-GB"/>
        </w:rPr>
        <w:t xml:space="preserve"> Gantt chart would only include the major stages of work</w:t>
      </w:r>
      <w:r w:rsidR="002F0663" w:rsidRPr="00C731F4">
        <w:rPr>
          <w:rFonts w:ascii="Arial" w:hAnsi="Arial" w:cs="Arial"/>
          <w:sz w:val="22"/>
          <w:szCs w:val="22"/>
          <w:lang w:val="en-GB"/>
        </w:rPr>
        <w:t>,</w:t>
      </w:r>
      <w:r w:rsidRPr="00C731F4">
        <w:rPr>
          <w:rFonts w:ascii="Arial" w:hAnsi="Arial" w:cs="Arial"/>
          <w:sz w:val="22"/>
          <w:szCs w:val="22"/>
          <w:lang w:val="en-GB"/>
        </w:rPr>
        <w:t xml:space="preserve"> including mobilisation and practical completion. The stakeholder matrix would categorize the turnkey contractor as a </w:t>
      </w:r>
      <w:r w:rsidR="002F0663" w:rsidRPr="00C731F4">
        <w:rPr>
          <w:rFonts w:ascii="Arial" w:hAnsi="Arial" w:cs="Arial"/>
          <w:sz w:val="22"/>
          <w:szCs w:val="22"/>
          <w:lang w:val="en-GB"/>
        </w:rPr>
        <w:t>high-power</w:t>
      </w:r>
      <w:r w:rsidRPr="00C731F4">
        <w:rPr>
          <w:rFonts w:ascii="Arial" w:hAnsi="Arial" w:cs="Arial"/>
          <w:sz w:val="22"/>
          <w:szCs w:val="22"/>
          <w:lang w:val="en-GB"/>
        </w:rPr>
        <w:t>, high</w:t>
      </w:r>
      <w:r w:rsidR="00B453D3" w:rsidRPr="00C731F4">
        <w:rPr>
          <w:rFonts w:ascii="Arial" w:hAnsi="Arial" w:cs="Arial"/>
          <w:sz w:val="22"/>
          <w:szCs w:val="22"/>
          <w:lang w:val="en-GB"/>
        </w:rPr>
        <w:t>-</w:t>
      </w:r>
      <w:r w:rsidRPr="00C731F4">
        <w:rPr>
          <w:rFonts w:ascii="Arial" w:hAnsi="Arial" w:cs="Arial"/>
          <w:sz w:val="22"/>
          <w:szCs w:val="22"/>
          <w:lang w:val="en-GB"/>
        </w:rPr>
        <w:t xml:space="preserve">interest stakeholder, thus making close relationship management essential, according to Loosemore et al. (2006). Turnkey is best suited for a project where speed and risk transfer </w:t>
      </w:r>
      <w:r w:rsidR="002F0663" w:rsidRPr="00C731F4">
        <w:rPr>
          <w:rFonts w:ascii="Arial" w:hAnsi="Arial" w:cs="Arial"/>
          <w:sz w:val="22"/>
          <w:szCs w:val="22"/>
          <w:lang w:val="en-GB"/>
        </w:rPr>
        <w:t>are</w:t>
      </w:r>
      <w:r w:rsidRPr="00C731F4">
        <w:rPr>
          <w:rFonts w:ascii="Arial" w:hAnsi="Arial" w:cs="Arial"/>
          <w:sz w:val="22"/>
          <w:szCs w:val="22"/>
          <w:lang w:val="en-GB"/>
        </w:rPr>
        <w:t xml:space="preserve"> </w:t>
      </w:r>
      <w:r w:rsidR="00867313" w:rsidRPr="00C731F4">
        <w:rPr>
          <w:rFonts w:ascii="Arial" w:hAnsi="Arial" w:cs="Arial"/>
          <w:sz w:val="22"/>
          <w:szCs w:val="22"/>
          <w:lang w:val="en-GB"/>
        </w:rPr>
        <w:t xml:space="preserve">more </w:t>
      </w:r>
      <w:r w:rsidRPr="00C731F4">
        <w:rPr>
          <w:rFonts w:ascii="Arial" w:hAnsi="Arial" w:cs="Arial"/>
          <w:sz w:val="22"/>
          <w:szCs w:val="22"/>
          <w:lang w:val="en-GB"/>
        </w:rPr>
        <w:t>valued than customisation, like other retail units or hotel development.</w:t>
      </w:r>
    </w:p>
    <w:p w14:paraId="15C407C2" w14:textId="11F09581" w:rsidR="00AA60C8" w:rsidRPr="00C731F4" w:rsidRDefault="00E1567F" w:rsidP="00C731F4">
      <w:pPr>
        <w:pStyle w:val="Heading2"/>
        <w:spacing w:line="360" w:lineRule="auto"/>
        <w:rPr>
          <w:rFonts w:ascii="Arial" w:hAnsi="Arial" w:cs="Arial"/>
          <w:b/>
          <w:bCs/>
          <w:color w:val="auto"/>
          <w:sz w:val="22"/>
          <w:szCs w:val="22"/>
          <w:lang w:val="en-GB"/>
        </w:rPr>
      </w:pPr>
      <w:bookmarkStart w:id="2" w:name="_Toc234984821"/>
      <w:r w:rsidRPr="00C731F4">
        <w:rPr>
          <w:rFonts w:ascii="Arial" w:hAnsi="Arial" w:cs="Arial"/>
          <w:b/>
          <w:bCs/>
          <w:color w:val="auto"/>
          <w:sz w:val="22"/>
          <w:szCs w:val="22"/>
          <w:lang w:val="en-GB"/>
        </w:rPr>
        <w:t xml:space="preserve">2. </w:t>
      </w:r>
      <w:proofErr w:type="spellStart"/>
      <w:r w:rsidR="00AA60C8" w:rsidRPr="00C731F4">
        <w:rPr>
          <w:rFonts w:ascii="Arial" w:hAnsi="Arial" w:cs="Arial"/>
          <w:b/>
          <w:bCs/>
          <w:color w:val="auto"/>
          <w:sz w:val="22"/>
          <w:szCs w:val="22"/>
          <w:lang w:val="en-GB"/>
        </w:rPr>
        <w:t>Multicontract</w:t>
      </w:r>
      <w:bookmarkEnd w:id="2"/>
      <w:proofErr w:type="spellEnd"/>
    </w:p>
    <w:p w14:paraId="1C6A560D" w14:textId="49068C03"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The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xml:space="preserve"> or package deal approach involves the client (often assisted by a project manager or design consultant) breaking the project into </w:t>
      </w:r>
      <w:proofErr w:type="gramStart"/>
      <w:r w:rsidRPr="00C731F4">
        <w:rPr>
          <w:rFonts w:ascii="Arial" w:hAnsi="Arial" w:cs="Arial"/>
          <w:sz w:val="22"/>
          <w:szCs w:val="22"/>
          <w:lang w:val="en-GB"/>
        </w:rPr>
        <w:t>a number of</w:t>
      </w:r>
      <w:proofErr w:type="gramEnd"/>
      <w:r w:rsidRPr="00C731F4">
        <w:rPr>
          <w:rFonts w:ascii="Arial" w:hAnsi="Arial" w:cs="Arial"/>
          <w:sz w:val="22"/>
          <w:szCs w:val="22"/>
          <w:lang w:val="en-GB"/>
        </w:rPr>
        <w:t xml:space="preserve"> separate work packages and contracting directly with </w:t>
      </w:r>
      <w:proofErr w:type="gramStart"/>
      <w:r w:rsidRPr="00C731F4">
        <w:rPr>
          <w:rFonts w:ascii="Arial" w:hAnsi="Arial" w:cs="Arial"/>
          <w:sz w:val="22"/>
          <w:szCs w:val="22"/>
          <w:lang w:val="en-GB"/>
        </w:rPr>
        <w:t>a number of</w:t>
      </w:r>
      <w:proofErr w:type="gramEnd"/>
      <w:r w:rsidRPr="00C731F4">
        <w:rPr>
          <w:rFonts w:ascii="Arial" w:hAnsi="Arial" w:cs="Arial"/>
          <w:sz w:val="22"/>
          <w:szCs w:val="22"/>
          <w:lang w:val="en-GB"/>
        </w:rPr>
        <w:t xml:space="preserve"> specialist contractors, such as the structural, mechanical</w:t>
      </w:r>
      <w:r w:rsidR="00B453D3" w:rsidRPr="00C731F4">
        <w:rPr>
          <w:rFonts w:ascii="Arial" w:hAnsi="Arial" w:cs="Arial"/>
          <w:sz w:val="22"/>
          <w:szCs w:val="22"/>
          <w:lang w:val="en-GB"/>
        </w:rPr>
        <w:t>,</w:t>
      </w:r>
      <w:r w:rsidRPr="00C731F4">
        <w:rPr>
          <w:rFonts w:ascii="Arial" w:hAnsi="Arial" w:cs="Arial"/>
          <w:sz w:val="22"/>
          <w:szCs w:val="22"/>
          <w:lang w:val="en-GB"/>
        </w:rPr>
        <w:t xml:space="preserve"> and electrical façade contractors (Turner, 2014). Unlike turnkey, the client retains overall design responsibility, usually through an appointed design team, and coordinates the various contractors either directly or through an appointed construction or project manager (Winch, 201</w:t>
      </w:r>
      <w:r w:rsidR="00B453D3" w:rsidRPr="00C731F4">
        <w:rPr>
          <w:rFonts w:ascii="Arial" w:hAnsi="Arial" w:cs="Arial"/>
          <w:sz w:val="22"/>
          <w:szCs w:val="22"/>
          <w:lang w:val="en-GB"/>
        </w:rPr>
        <w:t>2</w:t>
      </w:r>
      <w:r w:rsidRPr="00C731F4">
        <w:rPr>
          <w:rFonts w:ascii="Arial" w:hAnsi="Arial" w:cs="Arial"/>
          <w:sz w:val="22"/>
          <w:szCs w:val="22"/>
          <w:lang w:val="en-GB"/>
        </w:rPr>
        <w:t>).</w:t>
      </w:r>
    </w:p>
    <w:p w14:paraId="3673E985" w14:textId="25B603A6"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This gives the client more control of design and </w:t>
      </w:r>
      <w:proofErr w:type="gramStart"/>
      <w:r w:rsidRPr="00C731F4">
        <w:rPr>
          <w:rFonts w:ascii="Arial" w:hAnsi="Arial" w:cs="Arial"/>
          <w:sz w:val="22"/>
          <w:szCs w:val="22"/>
          <w:lang w:val="en-GB"/>
        </w:rPr>
        <w:t>quality, and</w:t>
      </w:r>
      <w:proofErr w:type="gramEnd"/>
      <w:r w:rsidRPr="00C731F4">
        <w:rPr>
          <w:rFonts w:ascii="Arial" w:hAnsi="Arial" w:cs="Arial"/>
          <w:sz w:val="22"/>
          <w:szCs w:val="22"/>
          <w:lang w:val="en-GB"/>
        </w:rPr>
        <w:t xml:space="preserve"> can enable the </w:t>
      </w:r>
      <w:r w:rsidR="00CA3997" w:rsidRPr="00C731F4">
        <w:rPr>
          <w:rFonts w:ascii="Arial" w:hAnsi="Arial" w:cs="Arial"/>
          <w:sz w:val="22"/>
          <w:szCs w:val="22"/>
          <w:lang w:val="en-GB"/>
        </w:rPr>
        <w:t>best-in-class</w:t>
      </w:r>
      <w:r w:rsidRPr="00C731F4">
        <w:rPr>
          <w:rFonts w:ascii="Arial" w:hAnsi="Arial" w:cs="Arial"/>
          <w:sz w:val="22"/>
          <w:szCs w:val="22"/>
          <w:lang w:val="en-GB"/>
        </w:rPr>
        <w:t xml:space="preserve"> specialist contractors to be chosen for each package. Competitive tendering of individual packages can lead to cost savings, and the client has additional transparency as to the cost of each package and the ability to change the scope of one package without renegotiating an entire single contract (Meredith</w:t>
      </w:r>
      <w:r w:rsidR="003D4E31" w:rsidRPr="00C731F4">
        <w:rPr>
          <w:rFonts w:ascii="Arial" w:hAnsi="Arial" w:cs="Arial"/>
          <w:sz w:val="22"/>
          <w:szCs w:val="22"/>
          <w:lang w:val="en-GB"/>
        </w:rPr>
        <w:t xml:space="preserve"> et al.</w:t>
      </w:r>
      <w:r w:rsidRPr="00C731F4">
        <w:rPr>
          <w:rFonts w:ascii="Arial" w:hAnsi="Arial" w:cs="Arial"/>
          <w:sz w:val="22"/>
          <w:szCs w:val="22"/>
          <w:lang w:val="en-GB"/>
        </w:rPr>
        <w:t>, 2017).</w:t>
      </w:r>
    </w:p>
    <w:p w14:paraId="17D26105" w14:textId="3C69808E"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lastRenderedPageBreak/>
        <w:t xml:space="preserve">The main disadvantage is the high level of coordination required from the client or project manager, as several contracts with dependent interfaces </w:t>
      </w:r>
      <w:proofErr w:type="gramStart"/>
      <w:r w:rsidRPr="00C731F4">
        <w:rPr>
          <w:rFonts w:ascii="Arial" w:hAnsi="Arial" w:cs="Arial"/>
          <w:sz w:val="22"/>
          <w:szCs w:val="22"/>
          <w:lang w:val="en-GB"/>
        </w:rPr>
        <w:t>have to</w:t>
      </w:r>
      <w:proofErr w:type="gramEnd"/>
      <w:r w:rsidRPr="00C731F4">
        <w:rPr>
          <w:rFonts w:ascii="Arial" w:hAnsi="Arial" w:cs="Arial"/>
          <w:sz w:val="22"/>
          <w:szCs w:val="22"/>
          <w:lang w:val="en-GB"/>
        </w:rPr>
        <w:t xml:space="preserve"> be coordinated actively (Turner, 20</w:t>
      </w:r>
      <w:r w:rsidR="003B0832" w:rsidRPr="00C731F4">
        <w:rPr>
          <w:rFonts w:ascii="Arial" w:hAnsi="Arial" w:cs="Arial"/>
          <w:sz w:val="22"/>
          <w:szCs w:val="22"/>
          <w:lang w:val="en-GB"/>
        </w:rPr>
        <w:t>17</w:t>
      </w:r>
      <w:r w:rsidRPr="00C731F4">
        <w:rPr>
          <w:rFonts w:ascii="Arial" w:hAnsi="Arial" w:cs="Arial"/>
          <w:sz w:val="22"/>
          <w:szCs w:val="22"/>
          <w:lang w:val="en-GB"/>
        </w:rPr>
        <w:t>). The responsibility is distributed amongst contractors, which can lead to disputes regarding interface problems, defects at the interface of the two packages, and delay</w:t>
      </w:r>
      <w:r w:rsidR="003D4E31" w:rsidRPr="00C731F4">
        <w:rPr>
          <w:rFonts w:ascii="Arial" w:hAnsi="Arial" w:cs="Arial"/>
          <w:sz w:val="22"/>
          <w:szCs w:val="22"/>
          <w:lang w:val="en-GB"/>
        </w:rPr>
        <w:t xml:space="preserve">s </w:t>
      </w:r>
      <w:r w:rsidRPr="00C731F4">
        <w:rPr>
          <w:rFonts w:ascii="Arial" w:hAnsi="Arial" w:cs="Arial"/>
          <w:sz w:val="22"/>
          <w:szCs w:val="22"/>
          <w:lang w:val="en-GB"/>
        </w:rPr>
        <w:t>within one package can be cascaded through the programme if the downstream contractors depend on it. This approach thus demands a client who has a robust project management capability either in-house or through consultants.</w:t>
      </w:r>
    </w:p>
    <w:p w14:paraId="7CE0BE27" w14:textId="47ECD7C1"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In the case of an office building, the WBS would break down the project into deliverables- based packages, for example, </w:t>
      </w:r>
      <w:r w:rsidR="00F5024D" w:rsidRPr="00C731F4">
        <w:rPr>
          <w:rFonts w:ascii="Arial" w:hAnsi="Arial" w:cs="Arial"/>
          <w:sz w:val="22"/>
          <w:szCs w:val="22"/>
          <w:lang w:val="en-GB"/>
        </w:rPr>
        <w:t>foundations;</w:t>
      </w:r>
      <w:r w:rsidRPr="00C731F4">
        <w:rPr>
          <w:rFonts w:ascii="Arial" w:hAnsi="Arial" w:cs="Arial"/>
          <w:sz w:val="22"/>
          <w:szCs w:val="22"/>
          <w:lang w:val="en-GB"/>
        </w:rPr>
        <w:t xml:space="preserve"> superstructure, mechanical and electrical services, and finishes, with each package awarded as an individual contract. A detailed Gantt chart would be used extensively to sequence and integrate the individual programmes of the various contractors as well as to determine critical-path and package inter-dependencies. The risk register would contain separate entries for interface risk and coordination delay, and the stakeholder matrix would have many medium power contractor stakeholders with active communication and management plans (Cleland and Ireland, 2006).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xml:space="preserve"> is therefore more suitable for large, complex projects where the client has robust in-house project management resource</w:t>
      </w:r>
      <w:r w:rsidR="00FC1338" w:rsidRPr="00C731F4">
        <w:rPr>
          <w:rFonts w:ascii="Arial" w:hAnsi="Arial" w:cs="Arial"/>
          <w:sz w:val="22"/>
          <w:szCs w:val="22"/>
          <w:lang w:val="en-GB"/>
        </w:rPr>
        <w:t>s</w:t>
      </w:r>
      <w:r w:rsidRPr="00C731F4">
        <w:rPr>
          <w:rFonts w:ascii="Arial" w:hAnsi="Arial" w:cs="Arial"/>
          <w:sz w:val="22"/>
          <w:szCs w:val="22"/>
          <w:lang w:val="en-GB"/>
        </w:rPr>
        <w:t xml:space="preserve"> and wants to undertake cost and quality optimisation through package competition.</w:t>
      </w:r>
    </w:p>
    <w:p w14:paraId="54EBC6FE" w14:textId="2BDDCE92" w:rsidR="00AA60C8" w:rsidRPr="00C731F4" w:rsidRDefault="00E1567F" w:rsidP="00C731F4">
      <w:pPr>
        <w:pStyle w:val="Heading2"/>
        <w:spacing w:line="360" w:lineRule="auto"/>
        <w:rPr>
          <w:rFonts w:ascii="Arial" w:hAnsi="Arial" w:cs="Arial"/>
          <w:b/>
          <w:bCs/>
          <w:color w:val="auto"/>
          <w:sz w:val="22"/>
          <w:szCs w:val="22"/>
          <w:lang w:val="en-GB"/>
        </w:rPr>
      </w:pPr>
      <w:bookmarkStart w:id="3" w:name="_Toc234984822"/>
      <w:r w:rsidRPr="00C731F4">
        <w:rPr>
          <w:rFonts w:ascii="Arial" w:hAnsi="Arial" w:cs="Arial"/>
          <w:b/>
          <w:bCs/>
          <w:color w:val="auto"/>
          <w:sz w:val="22"/>
          <w:szCs w:val="22"/>
          <w:lang w:val="en-GB"/>
        </w:rPr>
        <w:t xml:space="preserve">3. </w:t>
      </w:r>
      <w:r w:rsidR="00AA60C8" w:rsidRPr="00C731F4">
        <w:rPr>
          <w:rFonts w:ascii="Arial" w:hAnsi="Arial" w:cs="Arial"/>
          <w:b/>
          <w:bCs/>
          <w:color w:val="auto"/>
          <w:sz w:val="22"/>
          <w:szCs w:val="22"/>
          <w:lang w:val="en-GB"/>
        </w:rPr>
        <w:t>Do-it-Yourself (DIY)</w:t>
      </w:r>
      <w:bookmarkEnd w:id="3"/>
    </w:p>
    <w:p w14:paraId="743DDC9B" w14:textId="4760BB9E"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In a DIY approach, an organisation delivers a project mainly through its own means, staff, plant</w:t>
      </w:r>
      <w:r w:rsidR="00FC1338" w:rsidRPr="00C731F4">
        <w:rPr>
          <w:rFonts w:ascii="Arial" w:hAnsi="Arial" w:cs="Arial"/>
          <w:sz w:val="22"/>
          <w:szCs w:val="22"/>
          <w:lang w:val="en-GB"/>
        </w:rPr>
        <w:t xml:space="preserve">, </w:t>
      </w:r>
      <w:r w:rsidRPr="00C731F4">
        <w:rPr>
          <w:rFonts w:ascii="Arial" w:hAnsi="Arial" w:cs="Arial"/>
          <w:sz w:val="22"/>
          <w:szCs w:val="22"/>
          <w:lang w:val="en-GB"/>
        </w:rPr>
        <w:t>and expertise, using minimal outsourcing for design and construction work (Turner, 2014). This is typical when an organisation has its own specialist expertise available, such as an engineering company building its own plant, or a computer department installing a system with its own staff.</w:t>
      </w:r>
    </w:p>
    <w:p w14:paraId="04451A74" w14:textId="38F99B1D"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The key advantage of DIY delivery is the maximum degree of control it affords over quality, design</w:t>
      </w:r>
      <w:r w:rsidR="0077511D" w:rsidRPr="00C731F4">
        <w:rPr>
          <w:rFonts w:ascii="Arial" w:hAnsi="Arial" w:cs="Arial"/>
          <w:sz w:val="22"/>
          <w:szCs w:val="22"/>
          <w:lang w:val="en-GB"/>
        </w:rPr>
        <w:t>,</w:t>
      </w:r>
      <w:r w:rsidRPr="00C731F4">
        <w:rPr>
          <w:rFonts w:ascii="Arial" w:hAnsi="Arial" w:cs="Arial"/>
          <w:sz w:val="22"/>
          <w:szCs w:val="22"/>
          <w:lang w:val="en-GB"/>
        </w:rPr>
        <w:t xml:space="preserve"> and schedule, since there is no external contractor interface to manage. The organisation also retains and builds internal knowledge and capacity, does not pay an extra margin for profit to a contractor, and can make changes easily without embarking on formal contractual variation processes (Kerzner, 20</w:t>
      </w:r>
      <w:r w:rsidR="0077511D" w:rsidRPr="00C731F4">
        <w:rPr>
          <w:rFonts w:ascii="Arial" w:hAnsi="Arial" w:cs="Arial"/>
          <w:sz w:val="22"/>
          <w:szCs w:val="22"/>
          <w:lang w:val="en-GB"/>
        </w:rPr>
        <w:t>25</w:t>
      </w:r>
      <w:r w:rsidRPr="00C731F4">
        <w:rPr>
          <w:rFonts w:ascii="Arial" w:hAnsi="Arial" w:cs="Arial"/>
          <w:sz w:val="22"/>
          <w:szCs w:val="22"/>
          <w:lang w:val="en-GB"/>
        </w:rPr>
        <w:t>). The delivery of the project may also be more attuned to the organisation's cultural and strategic priorities.</w:t>
      </w:r>
    </w:p>
    <w:p w14:paraId="6A14763B" w14:textId="58815282"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On the other hand, a DIY delivery demands the organization to have or quickly acquire the expertise and ability to spare staff resources, which can leave a risk of over-stretch if staff </w:t>
      </w:r>
      <w:r w:rsidR="00CB6619" w:rsidRPr="00C731F4">
        <w:rPr>
          <w:rFonts w:ascii="Arial" w:hAnsi="Arial" w:cs="Arial"/>
          <w:sz w:val="22"/>
          <w:szCs w:val="22"/>
          <w:lang w:val="en-GB"/>
        </w:rPr>
        <w:t>are</w:t>
      </w:r>
      <w:r w:rsidRPr="00C731F4">
        <w:rPr>
          <w:rFonts w:ascii="Arial" w:hAnsi="Arial" w:cs="Arial"/>
          <w:sz w:val="22"/>
          <w:szCs w:val="22"/>
          <w:lang w:val="en-GB"/>
        </w:rPr>
        <w:t xml:space="preserve"> needed for day</w:t>
      </w:r>
      <w:r w:rsidR="00CB6619" w:rsidRPr="00C731F4">
        <w:rPr>
          <w:rFonts w:ascii="Arial" w:hAnsi="Arial" w:cs="Arial"/>
          <w:sz w:val="22"/>
          <w:szCs w:val="22"/>
          <w:lang w:val="en-GB"/>
        </w:rPr>
        <w:t>-</w:t>
      </w:r>
      <w:r w:rsidRPr="00C731F4">
        <w:rPr>
          <w:rFonts w:ascii="Arial" w:hAnsi="Arial" w:cs="Arial"/>
          <w:sz w:val="22"/>
          <w:szCs w:val="22"/>
          <w:lang w:val="en-GB"/>
        </w:rPr>
        <w:t>to</w:t>
      </w:r>
      <w:r w:rsidR="00CB6619" w:rsidRPr="00C731F4">
        <w:rPr>
          <w:rFonts w:ascii="Arial" w:hAnsi="Arial" w:cs="Arial"/>
          <w:sz w:val="22"/>
          <w:szCs w:val="22"/>
          <w:lang w:val="en-GB"/>
        </w:rPr>
        <w:t>-</w:t>
      </w:r>
      <w:r w:rsidRPr="00C731F4">
        <w:rPr>
          <w:rFonts w:ascii="Arial" w:hAnsi="Arial" w:cs="Arial"/>
          <w:sz w:val="22"/>
          <w:szCs w:val="22"/>
          <w:lang w:val="en-GB"/>
        </w:rPr>
        <w:t xml:space="preserve">day operations. All project risk is retained by the client; none is </w:t>
      </w:r>
      <w:r w:rsidRPr="00C731F4">
        <w:rPr>
          <w:rFonts w:ascii="Arial" w:hAnsi="Arial" w:cs="Arial"/>
          <w:sz w:val="22"/>
          <w:szCs w:val="22"/>
          <w:lang w:val="en-GB"/>
        </w:rPr>
        <w:lastRenderedPageBreak/>
        <w:t>transferred to a contractor, so cost and time overruns are borne entirely by the organisation (Chapman and Ward, 2003). There may also be a lack of specialist expertise compared to existing outside contractors, with a corresponding technical and quality risk, as well as less significant economies of scale.</w:t>
      </w:r>
    </w:p>
    <w:p w14:paraId="2E08A813" w14:textId="3CF754A7"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If the office building were built using an internal construction division, the WBS and Gantt chart would be handled in-house by the internal project team at a granular task level, and the risk register would include all technical, resource</w:t>
      </w:r>
      <w:r w:rsidR="005341EC" w:rsidRPr="00C731F4">
        <w:rPr>
          <w:rFonts w:ascii="Arial" w:hAnsi="Arial" w:cs="Arial"/>
          <w:sz w:val="22"/>
          <w:szCs w:val="22"/>
          <w:lang w:val="en-GB"/>
        </w:rPr>
        <w:t>,</w:t>
      </w:r>
      <w:r w:rsidRPr="00C731F4">
        <w:rPr>
          <w:rFonts w:ascii="Arial" w:hAnsi="Arial" w:cs="Arial"/>
          <w:sz w:val="22"/>
          <w:szCs w:val="22"/>
          <w:lang w:val="en-GB"/>
        </w:rPr>
        <w:t xml:space="preserve"> and schedule risks, none of which </w:t>
      </w:r>
      <w:r w:rsidR="002D6DEE" w:rsidRPr="00C731F4">
        <w:rPr>
          <w:rFonts w:ascii="Arial" w:hAnsi="Arial" w:cs="Arial"/>
          <w:sz w:val="22"/>
          <w:szCs w:val="22"/>
          <w:lang w:val="en-GB"/>
        </w:rPr>
        <w:t>would be</w:t>
      </w:r>
      <w:r w:rsidRPr="00C731F4">
        <w:rPr>
          <w:rFonts w:ascii="Arial" w:hAnsi="Arial" w:cs="Arial"/>
          <w:sz w:val="22"/>
          <w:szCs w:val="22"/>
          <w:lang w:val="en-GB"/>
        </w:rPr>
        <w:t xml:space="preserve"> transferred externally. The stakeholder matrix would be largely internal with few external stakeholders to manage, with departments, senior</w:t>
      </w:r>
      <w:r w:rsidR="005341EC" w:rsidRPr="00C731F4">
        <w:rPr>
          <w:rFonts w:ascii="Arial" w:hAnsi="Arial" w:cs="Arial"/>
          <w:sz w:val="22"/>
          <w:szCs w:val="22"/>
          <w:lang w:val="en-GB"/>
        </w:rPr>
        <w:t>,</w:t>
      </w:r>
      <w:r w:rsidRPr="00C731F4">
        <w:rPr>
          <w:rFonts w:ascii="Arial" w:hAnsi="Arial" w:cs="Arial"/>
          <w:sz w:val="22"/>
          <w:szCs w:val="22"/>
          <w:lang w:val="en-GB"/>
        </w:rPr>
        <w:t xml:space="preserve"> and site staff making up </w:t>
      </w:r>
      <w:proofErr w:type="gramStart"/>
      <w:r w:rsidRPr="00C731F4">
        <w:rPr>
          <w:rFonts w:ascii="Arial" w:hAnsi="Arial" w:cs="Arial"/>
          <w:sz w:val="22"/>
          <w:szCs w:val="22"/>
          <w:lang w:val="en-GB"/>
        </w:rPr>
        <w:t>the majority of</w:t>
      </w:r>
      <w:proofErr w:type="gramEnd"/>
      <w:r w:rsidRPr="00C731F4">
        <w:rPr>
          <w:rFonts w:ascii="Arial" w:hAnsi="Arial" w:cs="Arial"/>
          <w:sz w:val="22"/>
          <w:szCs w:val="22"/>
          <w:lang w:val="en-GB"/>
        </w:rPr>
        <w:t xml:space="preserve"> the matrix. Therefore, for smaller</w:t>
      </w:r>
      <w:r w:rsidR="00507B2D" w:rsidRPr="00C731F4">
        <w:rPr>
          <w:rFonts w:ascii="Arial" w:hAnsi="Arial" w:cs="Arial"/>
          <w:sz w:val="22"/>
          <w:szCs w:val="22"/>
          <w:lang w:val="en-GB"/>
        </w:rPr>
        <w:t>-</w:t>
      </w:r>
      <w:r w:rsidRPr="00C731F4">
        <w:rPr>
          <w:rFonts w:ascii="Arial" w:hAnsi="Arial" w:cs="Arial"/>
          <w:sz w:val="22"/>
          <w:szCs w:val="22"/>
          <w:lang w:val="en-GB"/>
        </w:rPr>
        <w:t>scale or highly specialised projects where an organisation has the capacity to retain full control, such as an in-house refurbishment project (APM, 2019), DIY is most suitable.</w:t>
      </w:r>
    </w:p>
    <w:p w14:paraId="1D24B74C" w14:textId="14CA6C91" w:rsidR="00AA60C8" w:rsidRPr="00C731F4" w:rsidRDefault="00E1567F" w:rsidP="00C731F4">
      <w:pPr>
        <w:pStyle w:val="Heading2"/>
        <w:spacing w:line="360" w:lineRule="auto"/>
        <w:rPr>
          <w:rFonts w:ascii="Arial" w:hAnsi="Arial" w:cs="Arial"/>
          <w:b/>
          <w:bCs/>
          <w:color w:val="auto"/>
          <w:sz w:val="22"/>
          <w:szCs w:val="22"/>
          <w:lang w:val="en-GB"/>
        </w:rPr>
      </w:pPr>
      <w:bookmarkStart w:id="4" w:name="_Toc234984823"/>
      <w:r w:rsidRPr="00C731F4">
        <w:rPr>
          <w:rFonts w:ascii="Arial" w:hAnsi="Arial" w:cs="Arial"/>
          <w:b/>
          <w:bCs/>
          <w:color w:val="auto"/>
          <w:sz w:val="22"/>
          <w:szCs w:val="22"/>
          <w:lang w:val="en-GB"/>
        </w:rPr>
        <w:t xml:space="preserve">4. </w:t>
      </w:r>
      <w:proofErr w:type="spellStart"/>
      <w:r w:rsidR="00AA60C8" w:rsidRPr="00C731F4">
        <w:rPr>
          <w:rFonts w:ascii="Arial" w:hAnsi="Arial" w:cs="Arial"/>
          <w:b/>
          <w:bCs/>
          <w:color w:val="auto"/>
          <w:sz w:val="22"/>
          <w:szCs w:val="22"/>
          <w:lang w:val="en-GB"/>
        </w:rPr>
        <w:t>Multicontract</w:t>
      </w:r>
      <w:proofErr w:type="spellEnd"/>
      <w:r w:rsidR="00AA60C8" w:rsidRPr="00C731F4">
        <w:rPr>
          <w:rFonts w:ascii="Arial" w:hAnsi="Arial" w:cs="Arial"/>
          <w:b/>
          <w:bCs/>
          <w:color w:val="auto"/>
          <w:sz w:val="22"/>
          <w:szCs w:val="22"/>
          <w:lang w:val="en-GB"/>
        </w:rPr>
        <w:t xml:space="preserve"> + DIY</w:t>
      </w:r>
      <w:bookmarkEnd w:id="4"/>
    </w:p>
    <w:p w14:paraId="2498A2A5" w14:textId="71802B26"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The </w:t>
      </w:r>
      <w:proofErr w:type="spellStart"/>
      <w:r w:rsidRPr="00C731F4">
        <w:rPr>
          <w:rFonts w:ascii="Arial" w:hAnsi="Arial" w:cs="Arial"/>
          <w:sz w:val="22"/>
          <w:szCs w:val="22"/>
          <w:lang w:val="en-GB"/>
        </w:rPr>
        <w:t>multicontract+DIY</w:t>
      </w:r>
      <w:proofErr w:type="spellEnd"/>
      <w:r w:rsidRPr="00C731F4">
        <w:rPr>
          <w:rFonts w:ascii="Arial" w:hAnsi="Arial" w:cs="Arial"/>
          <w:sz w:val="22"/>
          <w:szCs w:val="22"/>
          <w:lang w:val="en-GB"/>
        </w:rPr>
        <w:t xml:space="preserve"> approach is a combination of both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xml:space="preserve"> and DIY, whereby an </w:t>
      </w:r>
      <w:r w:rsidR="00E33051" w:rsidRPr="00C731F4">
        <w:rPr>
          <w:rFonts w:ascii="Arial" w:hAnsi="Arial" w:cs="Arial"/>
          <w:sz w:val="22"/>
          <w:szCs w:val="22"/>
          <w:lang w:val="en-GB"/>
        </w:rPr>
        <w:t>organisation</w:t>
      </w:r>
      <w:r w:rsidRPr="00C731F4">
        <w:rPr>
          <w:rFonts w:ascii="Arial" w:hAnsi="Arial" w:cs="Arial"/>
          <w:sz w:val="22"/>
          <w:szCs w:val="22"/>
          <w:lang w:val="en-GB"/>
        </w:rPr>
        <w:t xml:space="preserve"> internally manages and delivers some elements of the project (DIY) and outsources other elements as separate contracts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xml:space="preserve">) (Turner, 2014). This enables work to be progressively distributed in a selective manner where the actual </w:t>
      </w:r>
      <w:r w:rsidR="005341EC" w:rsidRPr="00C731F4">
        <w:rPr>
          <w:rFonts w:ascii="Arial" w:hAnsi="Arial" w:cs="Arial"/>
          <w:sz w:val="22"/>
          <w:szCs w:val="22"/>
          <w:lang w:val="en-GB"/>
        </w:rPr>
        <w:t>in-house</w:t>
      </w:r>
      <w:r w:rsidRPr="00C731F4">
        <w:rPr>
          <w:rFonts w:ascii="Arial" w:hAnsi="Arial" w:cs="Arial"/>
          <w:sz w:val="22"/>
          <w:szCs w:val="22"/>
          <w:lang w:val="en-GB"/>
        </w:rPr>
        <w:t xml:space="preserve"> capability is located and where the external specialism is needed.</w:t>
      </w:r>
    </w:p>
    <w:p w14:paraId="0EA46B16" w14:textId="1EF424D6"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The key benefit of this mixed model is flexibility</w:t>
      </w:r>
      <w:r w:rsidR="00037871" w:rsidRPr="00C731F4">
        <w:rPr>
          <w:rFonts w:ascii="Arial" w:hAnsi="Arial" w:cs="Arial"/>
          <w:sz w:val="22"/>
          <w:szCs w:val="22"/>
          <w:lang w:val="en-GB"/>
        </w:rPr>
        <w:t xml:space="preserve">, </w:t>
      </w:r>
      <w:r w:rsidRPr="00C731F4">
        <w:rPr>
          <w:rFonts w:ascii="Arial" w:hAnsi="Arial" w:cs="Arial"/>
          <w:sz w:val="22"/>
          <w:szCs w:val="22"/>
          <w:lang w:val="en-GB"/>
        </w:rPr>
        <w:t>and the organisation can harness the strengths within its existing structure to manage and control the core and strategically important aspects of the project while outsourcing specialist or non-core work to external contractors to optimise the overall distribution of cost and risk (Meredith</w:t>
      </w:r>
      <w:r w:rsidR="004D02E4" w:rsidRPr="00C731F4">
        <w:rPr>
          <w:rFonts w:ascii="Arial" w:hAnsi="Arial" w:cs="Arial"/>
          <w:sz w:val="22"/>
          <w:szCs w:val="22"/>
          <w:lang w:val="en-GB"/>
        </w:rPr>
        <w:t xml:space="preserve"> et al., </w:t>
      </w:r>
      <w:r w:rsidRPr="00C731F4">
        <w:rPr>
          <w:rFonts w:ascii="Arial" w:hAnsi="Arial" w:cs="Arial"/>
          <w:sz w:val="22"/>
          <w:szCs w:val="22"/>
          <w:lang w:val="en-GB"/>
        </w:rPr>
        <w:t>2017). This provides a better balance of risk transfer with retained control than either of the two extremes, as it lessens overall risk compared to full DIY delivery and maintains more client control than a full turnkey delivery.</w:t>
      </w:r>
    </w:p>
    <w:p w14:paraId="54ACE7FC" w14:textId="2D702A23"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The downside is the increased complexity of managing multiple teams and multiple contracts at the same time, as interfaces are present between internal processes and external processes, as well as between external processes (Winch, 201</w:t>
      </w:r>
      <w:r w:rsidR="003A1713" w:rsidRPr="00C731F4">
        <w:rPr>
          <w:rFonts w:ascii="Arial" w:hAnsi="Arial" w:cs="Arial"/>
          <w:sz w:val="22"/>
          <w:szCs w:val="22"/>
          <w:lang w:val="en-GB"/>
        </w:rPr>
        <w:t>2</w:t>
      </w:r>
      <w:r w:rsidRPr="00C731F4">
        <w:rPr>
          <w:rFonts w:ascii="Arial" w:hAnsi="Arial" w:cs="Arial"/>
          <w:sz w:val="22"/>
          <w:szCs w:val="22"/>
          <w:lang w:val="en-GB"/>
        </w:rPr>
        <w:t>). This approach demands sophisticated project management capability to integrate different contract types with internal workstreams, and there is a risk of unclear accountability and consequent dispute where internal and external scopes of work intersect.</w:t>
      </w:r>
    </w:p>
    <w:p w14:paraId="084C82D8" w14:textId="1735F1DF"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In the case of an office building, the client's own estates or facilities management team may carry out site clearance and fit-out works in-house, while structural, façade</w:t>
      </w:r>
      <w:r w:rsidR="00037871" w:rsidRPr="00C731F4">
        <w:rPr>
          <w:rFonts w:ascii="Arial" w:hAnsi="Arial" w:cs="Arial"/>
          <w:sz w:val="22"/>
          <w:szCs w:val="22"/>
          <w:lang w:val="en-GB"/>
        </w:rPr>
        <w:t>,</w:t>
      </w:r>
      <w:r w:rsidRPr="00C731F4">
        <w:rPr>
          <w:rFonts w:ascii="Arial" w:hAnsi="Arial" w:cs="Arial"/>
          <w:sz w:val="22"/>
          <w:szCs w:val="22"/>
          <w:lang w:val="en-GB"/>
        </w:rPr>
        <w:t xml:space="preserve"> and </w:t>
      </w:r>
      <w:r w:rsidRPr="00C731F4">
        <w:rPr>
          <w:rFonts w:ascii="Arial" w:hAnsi="Arial" w:cs="Arial"/>
          <w:sz w:val="22"/>
          <w:szCs w:val="22"/>
          <w:lang w:val="en-GB"/>
        </w:rPr>
        <w:lastRenderedPageBreak/>
        <w:t>mechanical and electrical works are contracted for as separate packages. The combined WBS would have to include all internal work packages and all external contract packages</w:t>
      </w:r>
      <w:r w:rsidR="00B505C2" w:rsidRPr="00C731F4">
        <w:rPr>
          <w:rFonts w:ascii="Arial" w:hAnsi="Arial" w:cs="Arial"/>
          <w:sz w:val="22"/>
          <w:szCs w:val="22"/>
          <w:lang w:val="en-GB"/>
        </w:rPr>
        <w:t>. Moreover,</w:t>
      </w:r>
      <w:r w:rsidRPr="00C731F4">
        <w:rPr>
          <w:rFonts w:ascii="Arial" w:hAnsi="Arial" w:cs="Arial"/>
          <w:sz w:val="22"/>
          <w:szCs w:val="22"/>
          <w:lang w:val="en-GB"/>
        </w:rPr>
        <w:t xml:space="preserve"> the Gantt chart would have to cross</w:t>
      </w:r>
      <w:r w:rsidR="00941B65" w:rsidRPr="00C731F4">
        <w:rPr>
          <w:rFonts w:ascii="Arial" w:hAnsi="Arial" w:cs="Arial"/>
          <w:sz w:val="22"/>
          <w:szCs w:val="22"/>
          <w:lang w:val="en-GB"/>
        </w:rPr>
        <w:t>-</w:t>
      </w:r>
      <w:r w:rsidRPr="00C731F4">
        <w:rPr>
          <w:rFonts w:ascii="Arial" w:hAnsi="Arial" w:cs="Arial"/>
          <w:sz w:val="22"/>
          <w:szCs w:val="22"/>
          <w:lang w:val="en-GB"/>
        </w:rPr>
        <w:t>sequence and interface the internal team's own Gantt chart with the Gantt chart for the external contractors. The risk register would include all internal (DIY) and external (transferred) risks, with the matrix of stakeholders showing those with high and medium power and the corresponding engagement strategies (Loosemore et al., 20</w:t>
      </w:r>
      <w:r w:rsidR="00B505C2" w:rsidRPr="00C731F4">
        <w:rPr>
          <w:rFonts w:ascii="Arial" w:hAnsi="Arial" w:cs="Arial"/>
          <w:sz w:val="22"/>
          <w:szCs w:val="22"/>
          <w:lang w:val="en-GB"/>
        </w:rPr>
        <w:t>12</w:t>
      </w:r>
      <w:r w:rsidRPr="00C731F4">
        <w:rPr>
          <w:rFonts w:ascii="Arial" w:hAnsi="Arial" w:cs="Arial"/>
          <w:sz w:val="22"/>
          <w:szCs w:val="22"/>
          <w:lang w:val="en-GB"/>
        </w:rPr>
        <w:t>). A hybrid is often used where an organisation has some in-house expertise and needs to blend cost, control</w:t>
      </w:r>
      <w:r w:rsidR="00900D3C" w:rsidRPr="00C731F4">
        <w:rPr>
          <w:rFonts w:ascii="Arial" w:hAnsi="Arial" w:cs="Arial"/>
          <w:sz w:val="22"/>
          <w:szCs w:val="22"/>
          <w:lang w:val="en-GB"/>
        </w:rPr>
        <w:t xml:space="preserve">, </w:t>
      </w:r>
      <w:r w:rsidRPr="00C731F4">
        <w:rPr>
          <w:rFonts w:ascii="Arial" w:hAnsi="Arial" w:cs="Arial"/>
          <w:sz w:val="22"/>
          <w:szCs w:val="22"/>
          <w:lang w:val="en-GB"/>
        </w:rPr>
        <w:t>and risk; this is seen in public sector refurbishment and infrastructure projects.</w:t>
      </w:r>
    </w:p>
    <w:p w14:paraId="7A445934" w14:textId="77777777" w:rsidR="00AA60C8" w:rsidRPr="00C731F4" w:rsidRDefault="00AA60C8" w:rsidP="00C731F4">
      <w:pPr>
        <w:pStyle w:val="Heading1"/>
        <w:spacing w:line="360" w:lineRule="auto"/>
        <w:jc w:val="center"/>
        <w:rPr>
          <w:rFonts w:ascii="Arial" w:hAnsi="Arial" w:cs="Arial"/>
          <w:b/>
          <w:bCs/>
          <w:color w:val="auto"/>
          <w:sz w:val="22"/>
          <w:szCs w:val="22"/>
          <w:lang w:val="en-GB"/>
        </w:rPr>
      </w:pPr>
      <w:bookmarkStart w:id="5" w:name="_Toc234984824"/>
      <w:r w:rsidRPr="00C731F4">
        <w:rPr>
          <w:rFonts w:ascii="Arial" w:hAnsi="Arial" w:cs="Arial"/>
          <w:b/>
          <w:bCs/>
          <w:color w:val="auto"/>
          <w:sz w:val="22"/>
          <w:szCs w:val="22"/>
          <w:lang w:val="en-GB"/>
        </w:rPr>
        <w:t>Conclusion</w:t>
      </w:r>
      <w:bookmarkEnd w:id="5"/>
    </w:p>
    <w:p w14:paraId="2B1F1DB2" w14:textId="42294C67"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 xml:space="preserve">This essay has reviewed four of the main contracting methods used by project managers: turnkey, </w:t>
      </w:r>
      <w:proofErr w:type="spellStart"/>
      <w:r w:rsidRPr="00C731F4">
        <w:rPr>
          <w:rFonts w:ascii="Arial" w:hAnsi="Arial" w:cs="Arial"/>
          <w:sz w:val="22"/>
          <w:szCs w:val="22"/>
          <w:lang w:val="en-GB"/>
        </w:rPr>
        <w:t>multicontract</w:t>
      </w:r>
      <w:proofErr w:type="spellEnd"/>
      <w:r w:rsidRPr="00C731F4">
        <w:rPr>
          <w:rFonts w:ascii="Arial" w:hAnsi="Arial" w:cs="Arial"/>
          <w:sz w:val="22"/>
          <w:szCs w:val="22"/>
          <w:lang w:val="en-GB"/>
        </w:rPr>
        <w:t xml:space="preserve">, DIY, and </w:t>
      </w:r>
      <w:proofErr w:type="spellStart"/>
      <w:r w:rsidRPr="00C731F4">
        <w:rPr>
          <w:rFonts w:ascii="Arial" w:hAnsi="Arial" w:cs="Arial"/>
          <w:sz w:val="22"/>
          <w:szCs w:val="22"/>
          <w:lang w:val="en-GB"/>
        </w:rPr>
        <w:t>multicontract+DIY</w:t>
      </w:r>
      <w:proofErr w:type="spellEnd"/>
      <w:r w:rsidRPr="00C731F4">
        <w:rPr>
          <w:rFonts w:ascii="Arial" w:hAnsi="Arial" w:cs="Arial"/>
          <w:sz w:val="22"/>
          <w:szCs w:val="22"/>
          <w:lang w:val="en-GB"/>
        </w:rPr>
        <w:t>, and each offers its own set of pros, cons</w:t>
      </w:r>
      <w:r w:rsidR="00A06DD3" w:rsidRPr="00C731F4">
        <w:rPr>
          <w:rFonts w:ascii="Arial" w:hAnsi="Arial" w:cs="Arial"/>
          <w:sz w:val="22"/>
          <w:szCs w:val="22"/>
          <w:lang w:val="en-GB"/>
        </w:rPr>
        <w:t xml:space="preserve">, </w:t>
      </w:r>
      <w:r w:rsidRPr="00C731F4">
        <w:rPr>
          <w:rFonts w:ascii="Arial" w:hAnsi="Arial" w:cs="Arial"/>
          <w:sz w:val="22"/>
          <w:szCs w:val="22"/>
          <w:lang w:val="en-GB"/>
        </w:rPr>
        <w:t>and considerations related to control, risk, cost</w:t>
      </w:r>
      <w:r w:rsidR="00997373" w:rsidRPr="00C731F4">
        <w:rPr>
          <w:rFonts w:ascii="Arial" w:hAnsi="Arial" w:cs="Arial"/>
          <w:sz w:val="22"/>
          <w:szCs w:val="22"/>
          <w:lang w:val="en-GB"/>
        </w:rPr>
        <w:t xml:space="preserve">, </w:t>
      </w:r>
      <w:r w:rsidRPr="00C731F4">
        <w:rPr>
          <w:rFonts w:ascii="Arial" w:hAnsi="Arial" w:cs="Arial"/>
          <w:sz w:val="22"/>
          <w:szCs w:val="22"/>
          <w:lang w:val="en-GB"/>
        </w:rPr>
        <w:t xml:space="preserve">and administration. Turnkey provides simplicity and significant risk transfer to the detriment of the client's control and is ideal for projects with a clear definition and standardisation. </w:t>
      </w:r>
      <w:proofErr w:type="spellStart"/>
      <w:r w:rsidRPr="00C731F4">
        <w:rPr>
          <w:rFonts w:ascii="Arial" w:hAnsi="Arial" w:cs="Arial"/>
          <w:sz w:val="22"/>
          <w:szCs w:val="22"/>
          <w:lang w:val="en-GB"/>
        </w:rPr>
        <w:t>Multicontracts</w:t>
      </w:r>
      <w:proofErr w:type="spellEnd"/>
      <w:r w:rsidRPr="00C731F4">
        <w:rPr>
          <w:rFonts w:ascii="Arial" w:hAnsi="Arial" w:cs="Arial"/>
          <w:sz w:val="22"/>
          <w:szCs w:val="22"/>
          <w:lang w:val="en-GB"/>
        </w:rPr>
        <w:t xml:space="preserve"> offer more control and may offer a competitive cost </w:t>
      </w:r>
      <w:proofErr w:type="gramStart"/>
      <w:r w:rsidRPr="00C731F4">
        <w:rPr>
          <w:rFonts w:ascii="Arial" w:hAnsi="Arial" w:cs="Arial"/>
          <w:sz w:val="22"/>
          <w:szCs w:val="22"/>
          <w:lang w:val="en-GB"/>
        </w:rPr>
        <w:t>advantage, but</w:t>
      </w:r>
      <w:proofErr w:type="gramEnd"/>
      <w:r w:rsidRPr="00C731F4">
        <w:rPr>
          <w:rFonts w:ascii="Arial" w:hAnsi="Arial" w:cs="Arial"/>
          <w:sz w:val="22"/>
          <w:szCs w:val="22"/>
          <w:lang w:val="en-GB"/>
        </w:rPr>
        <w:t xml:space="preserve"> carry a huge coordination burden and are most appropriate for complex projects with robust client-side project management. Doing it yourself provides maximum control and retention of in-house skills, but it carries the highest risk of the project, needs a significant in-house resource, and is well</w:t>
      </w:r>
      <w:r w:rsidR="00A06DD3" w:rsidRPr="00C731F4">
        <w:rPr>
          <w:rFonts w:ascii="Arial" w:hAnsi="Arial" w:cs="Arial"/>
          <w:sz w:val="22"/>
          <w:szCs w:val="22"/>
          <w:lang w:val="en-GB"/>
        </w:rPr>
        <w:t>-</w:t>
      </w:r>
      <w:r w:rsidRPr="00C731F4">
        <w:rPr>
          <w:rFonts w:ascii="Arial" w:hAnsi="Arial" w:cs="Arial"/>
          <w:sz w:val="22"/>
          <w:szCs w:val="22"/>
          <w:lang w:val="en-GB"/>
        </w:rPr>
        <w:t xml:space="preserve">suited to smaller projects or to the strategically important project area. A hybrid </w:t>
      </w:r>
      <w:proofErr w:type="spellStart"/>
      <w:r w:rsidRPr="00C731F4">
        <w:rPr>
          <w:rFonts w:ascii="Arial" w:hAnsi="Arial" w:cs="Arial"/>
          <w:sz w:val="22"/>
          <w:szCs w:val="22"/>
          <w:lang w:val="en-GB"/>
        </w:rPr>
        <w:t>multicontract+DIY</w:t>
      </w:r>
      <w:proofErr w:type="spellEnd"/>
      <w:r w:rsidRPr="00C731F4">
        <w:rPr>
          <w:rFonts w:ascii="Arial" w:hAnsi="Arial" w:cs="Arial"/>
          <w:sz w:val="22"/>
          <w:szCs w:val="22"/>
          <w:lang w:val="en-GB"/>
        </w:rPr>
        <w:t xml:space="preserve"> model aims to find a middle-ground between those conflicting aspects, with work being split between contracts and DIY based on organisational capacity and strategic priorities, </w:t>
      </w:r>
      <w:r w:rsidR="00A473BB" w:rsidRPr="00C731F4">
        <w:rPr>
          <w:rFonts w:ascii="Arial" w:hAnsi="Arial" w:cs="Arial"/>
          <w:sz w:val="22"/>
          <w:szCs w:val="22"/>
          <w:lang w:val="en-GB"/>
        </w:rPr>
        <w:t>even though</w:t>
      </w:r>
      <w:r w:rsidRPr="00C731F4">
        <w:rPr>
          <w:rFonts w:ascii="Arial" w:hAnsi="Arial" w:cs="Arial"/>
          <w:sz w:val="22"/>
          <w:szCs w:val="22"/>
          <w:lang w:val="en-GB"/>
        </w:rPr>
        <w:t xml:space="preserve"> greater management difficulties</w:t>
      </w:r>
      <w:r w:rsidR="008D49F5" w:rsidRPr="00C731F4">
        <w:rPr>
          <w:rFonts w:ascii="Arial" w:hAnsi="Arial" w:cs="Arial"/>
          <w:sz w:val="22"/>
          <w:szCs w:val="22"/>
          <w:lang w:val="en-GB"/>
        </w:rPr>
        <w:t xml:space="preserve"> are involved</w:t>
      </w:r>
      <w:r w:rsidRPr="00C731F4">
        <w:rPr>
          <w:rFonts w:ascii="Arial" w:hAnsi="Arial" w:cs="Arial"/>
          <w:sz w:val="22"/>
          <w:szCs w:val="22"/>
          <w:lang w:val="en-GB"/>
        </w:rPr>
        <w:t>.</w:t>
      </w:r>
    </w:p>
    <w:p w14:paraId="63C30E9A" w14:textId="4B4120C8" w:rsidR="00AA60C8" w:rsidRPr="00C731F4" w:rsidRDefault="00AA60C8" w:rsidP="00C731F4">
      <w:pPr>
        <w:spacing w:after="0" w:line="360" w:lineRule="auto"/>
        <w:ind w:firstLine="720"/>
        <w:contextualSpacing/>
        <w:jc w:val="both"/>
        <w:rPr>
          <w:rFonts w:ascii="Arial" w:hAnsi="Arial" w:cs="Arial"/>
          <w:sz w:val="22"/>
          <w:szCs w:val="22"/>
          <w:lang w:val="en-GB"/>
        </w:rPr>
      </w:pPr>
      <w:r w:rsidRPr="00C731F4">
        <w:rPr>
          <w:rFonts w:ascii="Arial" w:hAnsi="Arial" w:cs="Arial"/>
          <w:sz w:val="22"/>
          <w:szCs w:val="22"/>
          <w:lang w:val="en-GB"/>
        </w:rPr>
        <w:t>In conclusion, there is no single "best" contracting method; it depends on the project, the organisation's ability, the risk appetite, and the need to achieve a particular aim (Turner and Simister, 2001). Regardless of the approach taken, the use of practical project management tools, such as the WBS, Gantt chart, risk register</w:t>
      </w:r>
      <w:r w:rsidR="00262D7E" w:rsidRPr="00C731F4">
        <w:rPr>
          <w:rFonts w:ascii="Arial" w:hAnsi="Arial" w:cs="Arial"/>
          <w:sz w:val="22"/>
          <w:szCs w:val="22"/>
          <w:lang w:val="en-GB"/>
        </w:rPr>
        <w:t>,</w:t>
      </w:r>
      <w:r w:rsidRPr="00C731F4">
        <w:rPr>
          <w:rFonts w:ascii="Arial" w:hAnsi="Arial" w:cs="Arial"/>
          <w:sz w:val="22"/>
          <w:szCs w:val="22"/>
          <w:lang w:val="en-GB"/>
        </w:rPr>
        <w:t xml:space="preserve"> and stakeholder matrix, will continue to be critical to the successful planning, coordinating</w:t>
      </w:r>
      <w:r w:rsidR="00262D7E" w:rsidRPr="00C731F4">
        <w:rPr>
          <w:rFonts w:ascii="Arial" w:hAnsi="Arial" w:cs="Arial"/>
          <w:sz w:val="22"/>
          <w:szCs w:val="22"/>
          <w:lang w:val="en-GB"/>
        </w:rPr>
        <w:t>,</w:t>
      </w:r>
      <w:r w:rsidRPr="00C731F4">
        <w:rPr>
          <w:rFonts w:ascii="Arial" w:hAnsi="Arial" w:cs="Arial"/>
          <w:sz w:val="22"/>
          <w:szCs w:val="22"/>
          <w:lang w:val="en-GB"/>
        </w:rPr>
        <w:t xml:space="preserve"> and controlling of the project to ensure that the selected contract strategy is delivered to a successful project outcome</w:t>
      </w:r>
      <w:r w:rsidR="00262D7E" w:rsidRPr="00C731F4">
        <w:rPr>
          <w:rFonts w:ascii="Arial" w:hAnsi="Arial" w:cs="Arial"/>
          <w:sz w:val="22"/>
          <w:szCs w:val="22"/>
          <w:lang w:val="en-GB"/>
        </w:rPr>
        <w:t>.</w:t>
      </w:r>
    </w:p>
    <w:p w14:paraId="4D141B16" w14:textId="77777777" w:rsidR="00AA60C8" w:rsidRPr="00C731F4" w:rsidRDefault="00AA60C8" w:rsidP="00C731F4">
      <w:pPr>
        <w:spacing w:after="0" w:line="360" w:lineRule="auto"/>
        <w:ind w:firstLine="720"/>
        <w:contextualSpacing/>
        <w:jc w:val="both"/>
        <w:rPr>
          <w:rFonts w:ascii="Arial" w:hAnsi="Arial" w:cs="Arial"/>
          <w:sz w:val="22"/>
          <w:szCs w:val="22"/>
          <w:lang w:val="en-GB"/>
        </w:rPr>
      </w:pPr>
    </w:p>
    <w:p w14:paraId="348D2145" w14:textId="57FFD2AE" w:rsidR="00AA60C8" w:rsidRPr="00C731F4" w:rsidRDefault="00AA60C8" w:rsidP="00C731F4">
      <w:pPr>
        <w:pStyle w:val="Heading1"/>
        <w:spacing w:line="360" w:lineRule="auto"/>
        <w:jc w:val="center"/>
        <w:rPr>
          <w:rFonts w:ascii="Arial" w:hAnsi="Arial" w:cs="Arial"/>
          <w:b/>
          <w:bCs/>
          <w:color w:val="auto"/>
          <w:sz w:val="22"/>
          <w:szCs w:val="22"/>
          <w:lang w:val="en-GB"/>
        </w:rPr>
      </w:pPr>
      <w:bookmarkStart w:id="6" w:name="_Toc234984825"/>
      <w:r w:rsidRPr="00C731F4">
        <w:rPr>
          <w:rFonts w:ascii="Arial" w:hAnsi="Arial" w:cs="Arial"/>
          <w:b/>
          <w:bCs/>
          <w:color w:val="auto"/>
          <w:sz w:val="22"/>
          <w:szCs w:val="22"/>
          <w:lang w:val="en-GB"/>
        </w:rPr>
        <w:t>Reference List</w:t>
      </w:r>
      <w:bookmarkEnd w:id="6"/>
    </w:p>
    <w:p w14:paraId="41BA56CC" w14:textId="79F7DAEB" w:rsidR="001F6811" w:rsidRPr="00C731F4" w:rsidRDefault="001F6811" w:rsidP="00C731F4">
      <w:pPr>
        <w:spacing w:after="0" w:line="360" w:lineRule="auto"/>
        <w:ind w:left="720" w:hanging="720"/>
        <w:contextualSpacing/>
        <w:rPr>
          <w:rFonts w:ascii="Arial" w:hAnsi="Arial" w:cs="Arial"/>
          <w:sz w:val="22"/>
          <w:szCs w:val="22"/>
          <w:lang w:val="en-GB"/>
        </w:rPr>
      </w:pPr>
      <w:r w:rsidRPr="00C731F4">
        <w:rPr>
          <w:rFonts w:ascii="Arial" w:eastAsia="Times New Roman" w:hAnsi="Arial" w:cs="Arial"/>
          <w:sz w:val="22"/>
          <w:szCs w:val="22"/>
          <w:lang w:val="en-GB"/>
        </w:rPr>
        <w:t>APM (Association for Project Managemen</w:t>
      </w:r>
      <w:r w:rsidR="00B50FBA" w:rsidRPr="00C731F4">
        <w:rPr>
          <w:rFonts w:ascii="Arial" w:eastAsia="Times New Roman" w:hAnsi="Arial" w:cs="Arial"/>
          <w:sz w:val="22"/>
          <w:szCs w:val="22"/>
          <w:lang w:val="en-GB"/>
        </w:rPr>
        <w:t>t) 2019</w:t>
      </w:r>
      <w:r w:rsidRPr="00C731F4">
        <w:rPr>
          <w:rFonts w:ascii="Arial" w:eastAsia="Times New Roman" w:hAnsi="Arial" w:cs="Arial"/>
          <w:sz w:val="22"/>
          <w:szCs w:val="22"/>
          <w:lang w:val="en-GB"/>
        </w:rPr>
        <w:t xml:space="preserve"> APM Body of Knowledge. 7th </w:t>
      </w:r>
      <w:proofErr w:type="spellStart"/>
      <w:r w:rsidRPr="00C731F4">
        <w:rPr>
          <w:rFonts w:ascii="Arial" w:eastAsia="Times New Roman" w:hAnsi="Arial" w:cs="Arial"/>
          <w:sz w:val="22"/>
          <w:szCs w:val="22"/>
          <w:lang w:val="en-GB"/>
        </w:rPr>
        <w:t>edn</w:t>
      </w:r>
      <w:proofErr w:type="spellEnd"/>
      <w:r w:rsidRPr="00C731F4">
        <w:rPr>
          <w:rFonts w:ascii="Arial" w:eastAsia="Times New Roman" w:hAnsi="Arial" w:cs="Arial"/>
          <w:sz w:val="22"/>
          <w:szCs w:val="22"/>
          <w:lang w:val="en-GB"/>
        </w:rPr>
        <w:t>. Princes Risborough: APM.</w:t>
      </w:r>
    </w:p>
    <w:p w14:paraId="512A27B5" w14:textId="77777777" w:rsidR="00B50FBA" w:rsidRPr="00C731F4" w:rsidRDefault="00B50FBA"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lastRenderedPageBreak/>
        <w:t>Cleland, D.L. and Ireland, L.R., 2006. </w:t>
      </w:r>
      <w:r w:rsidRPr="00C731F4">
        <w:rPr>
          <w:rFonts w:ascii="Arial" w:hAnsi="Arial" w:cs="Arial"/>
          <w:i/>
          <w:iCs/>
          <w:color w:val="222222"/>
          <w:sz w:val="22"/>
          <w:szCs w:val="22"/>
          <w:shd w:val="clear" w:color="auto" w:fill="FFFFFF"/>
        </w:rPr>
        <w:t>Project management</w:t>
      </w:r>
      <w:r w:rsidRPr="00C731F4">
        <w:rPr>
          <w:rFonts w:ascii="Arial" w:hAnsi="Arial" w:cs="Arial"/>
          <w:color w:val="222222"/>
          <w:sz w:val="22"/>
          <w:szCs w:val="22"/>
          <w:shd w:val="clear" w:color="auto" w:fill="FFFFFF"/>
        </w:rPr>
        <w:t>. McGraw-Hill Professional.</w:t>
      </w:r>
    </w:p>
    <w:p w14:paraId="7C8539D9" w14:textId="2EC834BB" w:rsidR="00B50FBA" w:rsidRPr="00C731F4" w:rsidRDefault="00B50FBA" w:rsidP="00C731F4">
      <w:pPr>
        <w:spacing w:after="0" w:line="360" w:lineRule="auto"/>
        <w:ind w:left="720" w:hanging="720"/>
        <w:contextualSpacing/>
        <w:rPr>
          <w:rFonts w:ascii="Arial" w:hAnsi="Arial" w:cs="Arial"/>
          <w:sz w:val="22"/>
          <w:szCs w:val="22"/>
          <w:lang w:val="en-GB"/>
        </w:rPr>
      </w:pPr>
      <w:r w:rsidRPr="00C731F4">
        <w:rPr>
          <w:rFonts w:ascii="Arial" w:hAnsi="Arial" w:cs="Arial"/>
          <w:color w:val="222222"/>
          <w:sz w:val="22"/>
          <w:szCs w:val="22"/>
          <w:shd w:val="clear" w:color="auto" w:fill="FFFFFF"/>
        </w:rPr>
        <w:t>Eriksson, P.E., 2008. Procurement effects on coopetition in client-contractor relationships. </w:t>
      </w:r>
      <w:r w:rsidRPr="00C731F4">
        <w:rPr>
          <w:rFonts w:ascii="Arial" w:hAnsi="Arial" w:cs="Arial"/>
          <w:i/>
          <w:iCs/>
          <w:color w:val="222222"/>
          <w:sz w:val="22"/>
          <w:szCs w:val="22"/>
          <w:shd w:val="clear" w:color="auto" w:fill="FFFFFF"/>
        </w:rPr>
        <w:t>Journal of construction Engineering and Management</w:t>
      </w:r>
      <w:r w:rsidRPr="00C731F4">
        <w:rPr>
          <w:rFonts w:ascii="Arial" w:hAnsi="Arial" w:cs="Arial"/>
          <w:color w:val="222222"/>
          <w:sz w:val="22"/>
          <w:szCs w:val="22"/>
          <w:shd w:val="clear" w:color="auto" w:fill="FFFFFF"/>
        </w:rPr>
        <w:t>, </w:t>
      </w:r>
      <w:r w:rsidRPr="00C731F4">
        <w:rPr>
          <w:rFonts w:ascii="Arial" w:hAnsi="Arial" w:cs="Arial"/>
          <w:i/>
          <w:iCs/>
          <w:color w:val="222222"/>
          <w:sz w:val="22"/>
          <w:szCs w:val="22"/>
          <w:shd w:val="clear" w:color="auto" w:fill="FFFFFF"/>
        </w:rPr>
        <w:t>134</w:t>
      </w:r>
      <w:r w:rsidRPr="00C731F4">
        <w:rPr>
          <w:rFonts w:ascii="Arial" w:hAnsi="Arial" w:cs="Arial"/>
          <w:color w:val="222222"/>
          <w:sz w:val="22"/>
          <w:szCs w:val="22"/>
          <w:shd w:val="clear" w:color="auto" w:fill="FFFFFF"/>
        </w:rPr>
        <w:t>(2), pp.103-111.</w:t>
      </w:r>
    </w:p>
    <w:p w14:paraId="06F96079" w14:textId="77777777" w:rsidR="00B50FBA" w:rsidRPr="00C731F4" w:rsidRDefault="00B50FBA"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Kerzner, H., 2025. </w:t>
      </w:r>
      <w:r w:rsidRPr="00C731F4">
        <w:rPr>
          <w:rFonts w:ascii="Arial" w:hAnsi="Arial" w:cs="Arial"/>
          <w:i/>
          <w:iCs/>
          <w:color w:val="222222"/>
          <w:sz w:val="22"/>
          <w:szCs w:val="22"/>
          <w:shd w:val="clear" w:color="auto" w:fill="FFFFFF"/>
        </w:rPr>
        <w:t>Project management: a systems approach to planning, scheduling, and controlling</w:t>
      </w:r>
      <w:r w:rsidRPr="00C731F4">
        <w:rPr>
          <w:rFonts w:ascii="Arial" w:hAnsi="Arial" w:cs="Arial"/>
          <w:color w:val="222222"/>
          <w:sz w:val="22"/>
          <w:szCs w:val="22"/>
          <w:shd w:val="clear" w:color="auto" w:fill="FFFFFF"/>
        </w:rPr>
        <w:t>. John Wiley &amp; Sons.</w:t>
      </w:r>
    </w:p>
    <w:p w14:paraId="61DA7DDB" w14:textId="77777777" w:rsidR="00B50FBA" w:rsidRPr="00C731F4" w:rsidRDefault="00B50FBA"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 xml:space="preserve">Loosemore, M., Raftery, J., Reilly, C. and </w:t>
      </w:r>
      <w:proofErr w:type="spellStart"/>
      <w:r w:rsidRPr="00C731F4">
        <w:rPr>
          <w:rFonts w:ascii="Arial" w:hAnsi="Arial" w:cs="Arial"/>
          <w:color w:val="222222"/>
          <w:sz w:val="22"/>
          <w:szCs w:val="22"/>
          <w:shd w:val="clear" w:color="auto" w:fill="FFFFFF"/>
        </w:rPr>
        <w:t>Higgon</w:t>
      </w:r>
      <w:proofErr w:type="spellEnd"/>
      <w:r w:rsidRPr="00C731F4">
        <w:rPr>
          <w:rFonts w:ascii="Arial" w:hAnsi="Arial" w:cs="Arial"/>
          <w:color w:val="222222"/>
          <w:sz w:val="22"/>
          <w:szCs w:val="22"/>
          <w:shd w:val="clear" w:color="auto" w:fill="FFFFFF"/>
        </w:rPr>
        <w:t>, D., 2012. </w:t>
      </w:r>
      <w:r w:rsidRPr="00C731F4">
        <w:rPr>
          <w:rFonts w:ascii="Arial" w:hAnsi="Arial" w:cs="Arial"/>
          <w:i/>
          <w:iCs/>
          <w:color w:val="222222"/>
          <w:sz w:val="22"/>
          <w:szCs w:val="22"/>
          <w:shd w:val="clear" w:color="auto" w:fill="FFFFFF"/>
        </w:rPr>
        <w:t>Risk management in projects</w:t>
      </w:r>
      <w:r w:rsidRPr="00C731F4">
        <w:rPr>
          <w:rFonts w:ascii="Arial" w:hAnsi="Arial" w:cs="Arial"/>
          <w:color w:val="222222"/>
          <w:sz w:val="22"/>
          <w:szCs w:val="22"/>
          <w:shd w:val="clear" w:color="auto" w:fill="FFFFFF"/>
        </w:rPr>
        <w:t>. Routledge.</w:t>
      </w:r>
    </w:p>
    <w:p w14:paraId="02AE19C3" w14:textId="77777777" w:rsidR="00B50FBA" w:rsidRPr="00C731F4" w:rsidRDefault="00B50FBA"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Meredith, J.R., Shafer, S.M. and Mantel Jr, S.J., 2017. </w:t>
      </w:r>
      <w:r w:rsidRPr="00C731F4">
        <w:rPr>
          <w:rFonts w:ascii="Arial" w:hAnsi="Arial" w:cs="Arial"/>
          <w:i/>
          <w:iCs/>
          <w:color w:val="222222"/>
          <w:sz w:val="22"/>
          <w:szCs w:val="22"/>
          <w:shd w:val="clear" w:color="auto" w:fill="FFFFFF"/>
        </w:rPr>
        <w:t>Project management: a strategic managerial approach</w:t>
      </w:r>
      <w:r w:rsidRPr="00C731F4">
        <w:rPr>
          <w:rFonts w:ascii="Arial" w:hAnsi="Arial" w:cs="Arial"/>
          <w:color w:val="222222"/>
          <w:sz w:val="22"/>
          <w:szCs w:val="22"/>
          <w:shd w:val="clear" w:color="auto" w:fill="FFFFFF"/>
        </w:rPr>
        <w:t>. John Wiley &amp; Sons.</w:t>
      </w:r>
    </w:p>
    <w:p w14:paraId="23D65176" w14:textId="77777777" w:rsidR="00B50FBA" w:rsidRPr="00C731F4" w:rsidRDefault="00B50FBA"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Morris, P.W., 2013. </w:t>
      </w:r>
      <w:r w:rsidRPr="00C731F4">
        <w:rPr>
          <w:rFonts w:ascii="Arial" w:hAnsi="Arial" w:cs="Arial"/>
          <w:i/>
          <w:iCs/>
          <w:color w:val="222222"/>
          <w:sz w:val="22"/>
          <w:szCs w:val="22"/>
          <w:shd w:val="clear" w:color="auto" w:fill="FFFFFF"/>
        </w:rPr>
        <w:t>Reconstructing project management</w:t>
      </w:r>
      <w:r w:rsidRPr="00C731F4">
        <w:rPr>
          <w:rFonts w:ascii="Arial" w:hAnsi="Arial" w:cs="Arial"/>
          <w:color w:val="222222"/>
          <w:sz w:val="22"/>
          <w:szCs w:val="22"/>
          <w:shd w:val="clear" w:color="auto" w:fill="FFFFFF"/>
        </w:rPr>
        <w:t>. John Wiley &amp; Sons.</w:t>
      </w:r>
    </w:p>
    <w:p w14:paraId="3715A8B8" w14:textId="0DDD679F" w:rsidR="00584CA0" w:rsidRPr="00C731F4" w:rsidRDefault="00584CA0" w:rsidP="00C731F4">
      <w:pPr>
        <w:spacing w:after="0" w:line="360" w:lineRule="auto"/>
        <w:ind w:left="720" w:hanging="720"/>
        <w:contextualSpacing/>
        <w:rPr>
          <w:rFonts w:ascii="Arial" w:eastAsia="Times New Roman" w:hAnsi="Arial" w:cs="Arial"/>
          <w:sz w:val="22"/>
          <w:szCs w:val="22"/>
          <w:lang w:val="en-GB"/>
        </w:rPr>
      </w:pPr>
      <w:r w:rsidRPr="00C731F4">
        <w:rPr>
          <w:rFonts w:ascii="Arial" w:eastAsia="Times New Roman" w:hAnsi="Arial" w:cs="Arial"/>
          <w:sz w:val="22"/>
          <w:szCs w:val="22"/>
          <w:lang w:val="en-GB"/>
        </w:rPr>
        <w:t>Project M</w:t>
      </w:r>
      <w:r w:rsidR="00C731F4" w:rsidRPr="00C731F4">
        <w:rPr>
          <w:rFonts w:ascii="Arial" w:eastAsia="Times New Roman" w:hAnsi="Arial" w:cs="Arial"/>
          <w:sz w:val="22"/>
          <w:szCs w:val="22"/>
          <w:lang w:val="en-GB"/>
        </w:rPr>
        <w:t>anagement Institute (PMI)., 2021</w:t>
      </w:r>
      <w:r w:rsidRPr="00C731F4">
        <w:rPr>
          <w:rFonts w:ascii="Arial" w:eastAsia="Times New Roman" w:hAnsi="Arial" w:cs="Arial"/>
          <w:sz w:val="22"/>
          <w:szCs w:val="22"/>
          <w:lang w:val="en-GB"/>
        </w:rPr>
        <w:t xml:space="preserve"> A Guide to the Project Management Body of Knowledge (PMBOK Guide). 7th </w:t>
      </w:r>
      <w:proofErr w:type="spellStart"/>
      <w:r w:rsidRPr="00C731F4">
        <w:rPr>
          <w:rFonts w:ascii="Arial" w:eastAsia="Times New Roman" w:hAnsi="Arial" w:cs="Arial"/>
          <w:sz w:val="22"/>
          <w:szCs w:val="22"/>
          <w:lang w:val="en-GB"/>
        </w:rPr>
        <w:t>edn</w:t>
      </w:r>
      <w:proofErr w:type="spellEnd"/>
      <w:r w:rsidRPr="00C731F4">
        <w:rPr>
          <w:rFonts w:ascii="Arial" w:eastAsia="Times New Roman" w:hAnsi="Arial" w:cs="Arial"/>
          <w:sz w:val="22"/>
          <w:szCs w:val="22"/>
          <w:lang w:val="en-GB"/>
        </w:rPr>
        <w:t>. Newtown Square, PA: PMI</w:t>
      </w:r>
    </w:p>
    <w:p w14:paraId="54F664CC" w14:textId="3669F0F3" w:rsidR="00584CA0" w:rsidRPr="00C731F4" w:rsidRDefault="00C731F4" w:rsidP="00C731F4">
      <w:pPr>
        <w:spacing w:after="0" w:line="360" w:lineRule="auto"/>
        <w:ind w:left="720" w:hanging="720"/>
        <w:contextualSpacing/>
        <w:rPr>
          <w:rFonts w:ascii="Arial" w:hAnsi="Arial" w:cs="Arial"/>
          <w:sz w:val="22"/>
          <w:szCs w:val="22"/>
          <w:lang w:val="en-GB"/>
        </w:rPr>
      </w:pPr>
      <w:r w:rsidRPr="00C731F4">
        <w:rPr>
          <w:rFonts w:ascii="Arial" w:hAnsi="Arial" w:cs="Arial"/>
          <w:sz w:val="22"/>
          <w:szCs w:val="22"/>
          <w:lang w:val="en-GB"/>
        </w:rPr>
        <w:t>Schwalbe, K. 2009</w:t>
      </w:r>
      <w:r w:rsidR="00584CA0" w:rsidRPr="00C731F4">
        <w:rPr>
          <w:rFonts w:ascii="Arial" w:hAnsi="Arial" w:cs="Arial"/>
          <w:sz w:val="22"/>
          <w:szCs w:val="22"/>
          <w:lang w:val="en-GB"/>
        </w:rPr>
        <w:t> </w:t>
      </w:r>
      <w:r w:rsidR="00584CA0" w:rsidRPr="00C731F4">
        <w:rPr>
          <w:rFonts w:ascii="Arial" w:hAnsi="Arial" w:cs="Arial"/>
          <w:i/>
          <w:iCs/>
          <w:sz w:val="22"/>
          <w:szCs w:val="22"/>
          <w:lang w:val="en-GB"/>
        </w:rPr>
        <w:t>Introduction to project management</w:t>
      </w:r>
      <w:r w:rsidR="00584CA0" w:rsidRPr="00C731F4">
        <w:rPr>
          <w:rFonts w:ascii="Arial" w:hAnsi="Arial" w:cs="Arial"/>
          <w:sz w:val="22"/>
          <w:szCs w:val="22"/>
          <w:lang w:val="en-GB"/>
        </w:rPr>
        <w:t>. Boston: Course Technology Cengage Learning.</w:t>
      </w:r>
    </w:p>
    <w:p w14:paraId="0B85CAAB" w14:textId="393F0B96" w:rsidR="00584CA0" w:rsidRPr="00C731F4" w:rsidRDefault="00C731F4" w:rsidP="00C731F4">
      <w:pPr>
        <w:spacing w:after="0" w:line="360" w:lineRule="auto"/>
        <w:ind w:left="720" w:hanging="720"/>
        <w:contextualSpacing/>
        <w:rPr>
          <w:rFonts w:ascii="Arial" w:hAnsi="Arial" w:cs="Arial"/>
          <w:sz w:val="22"/>
          <w:szCs w:val="22"/>
          <w:lang w:val="en-GB"/>
        </w:rPr>
      </w:pPr>
      <w:r w:rsidRPr="00C731F4">
        <w:rPr>
          <w:rFonts w:ascii="Arial" w:hAnsi="Arial" w:cs="Arial"/>
          <w:sz w:val="22"/>
          <w:szCs w:val="22"/>
          <w:lang w:val="en-GB"/>
        </w:rPr>
        <w:t>Turner, J. R., 2014</w:t>
      </w:r>
      <w:r w:rsidR="00584CA0" w:rsidRPr="00C731F4">
        <w:rPr>
          <w:rFonts w:ascii="Arial" w:hAnsi="Arial" w:cs="Arial"/>
          <w:sz w:val="22"/>
          <w:szCs w:val="22"/>
          <w:lang w:val="en-GB"/>
        </w:rPr>
        <w:t xml:space="preserve"> </w:t>
      </w:r>
      <w:r w:rsidR="00584CA0" w:rsidRPr="00C731F4">
        <w:rPr>
          <w:rFonts w:ascii="Arial" w:hAnsi="Arial" w:cs="Arial"/>
          <w:i/>
          <w:iCs/>
          <w:sz w:val="22"/>
          <w:szCs w:val="22"/>
          <w:lang w:val="en-GB"/>
        </w:rPr>
        <w:t>The handbook of project-based management</w:t>
      </w:r>
      <w:r w:rsidR="00584CA0" w:rsidRPr="00C731F4">
        <w:rPr>
          <w:rFonts w:ascii="Arial" w:hAnsi="Arial" w:cs="Arial"/>
          <w:sz w:val="22"/>
          <w:szCs w:val="22"/>
          <w:lang w:val="en-GB"/>
        </w:rPr>
        <w:t> (Vol. 92). New York, NY: McGraw-Hill Education.</w:t>
      </w:r>
    </w:p>
    <w:p w14:paraId="2264DB63" w14:textId="77777777" w:rsidR="00C731F4" w:rsidRPr="00C731F4" w:rsidRDefault="00C731F4"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Turner, J.R. and Simister, S.J., 2001. Project contract management and a theory of organization. </w:t>
      </w:r>
      <w:r w:rsidRPr="00C731F4">
        <w:rPr>
          <w:rFonts w:ascii="Arial" w:hAnsi="Arial" w:cs="Arial"/>
          <w:i/>
          <w:iCs/>
          <w:color w:val="222222"/>
          <w:sz w:val="22"/>
          <w:szCs w:val="22"/>
          <w:shd w:val="clear" w:color="auto" w:fill="FFFFFF"/>
        </w:rPr>
        <w:t>International journal of project management</w:t>
      </w:r>
      <w:r w:rsidRPr="00C731F4">
        <w:rPr>
          <w:rFonts w:ascii="Arial" w:hAnsi="Arial" w:cs="Arial"/>
          <w:color w:val="222222"/>
          <w:sz w:val="22"/>
          <w:szCs w:val="22"/>
          <w:shd w:val="clear" w:color="auto" w:fill="FFFFFF"/>
        </w:rPr>
        <w:t>, </w:t>
      </w:r>
      <w:r w:rsidRPr="00C731F4">
        <w:rPr>
          <w:rFonts w:ascii="Arial" w:hAnsi="Arial" w:cs="Arial"/>
          <w:i/>
          <w:iCs/>
          <w:color w:val="222222"/>
          <w:sz w:val="22"/>
          <w:szCs w:val="22"/>
          <w:shd w:val="clear" w:color="auto" w:fill="FFFFFF"/>
        </w:rPr>
        <w:t>19</w:t>
      </w:r>
      <w:r w:rsidRPr="00C731F4">
        <w:rPr>
          <w:rFonts w:ascii="Arial" w:hAnsi="Arial" w:cs="Arial"/>
          <w:color w:val="222222"/>
          <w:sz w:val="22"/>
          <w:szCs w:val="22"/>
          <w:shd w:val="clear" w:color="auto" w:fill="FFFFFF"/>
        </w:rPr>
        <w:t>(8), pp.457-464.</w:t>
      </w:r>
    </w:p>
    <w:p w14:paraId="24D1D58F" w14:textId="77777777" w:rsidR="00C731F4" w:rsidRPr="00C731F4" w:rsidRDefault="00C731F4"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Turner, R., 2017. Farsighted project contract management. In </w:t>
      </w:r>
      <w:r w:rsidRPr="00C731F4">
        <w:rPr>
          <w:rFonts w:ascii="Arial" w:hAnsi="Arial" w:cs="Arial"/>
          <w:i/>
          <w:iCs/>
          <w:color w:val="222222"/>
          <w:sz w:val="22"/>
          <w:szCs w:val="22"/>
          <w:shd w:val="clear" w:color="auto" w:fill="FFFFFF"/>
        </w:rPr>
        <w:t>Contracting for Project Management</w:t>
      </w:r>
      <w:r w:rsidRPr="00C731F4">
        <w:rPr>
          <w:rFonts w:ascii="Arial" w:hAnsi="Arial" w:cs="Arial"/>
          <w:color w:val="222222"/>
          <w:sz w:val="22"/>
          <w:szCs w:val="22"/>
          <w:shd w:val="clear" w:color="auto" w:fill="FFFFFF"/>
        </w:rPr>
        <w:t> (pp. 33-57). Routledge.</w:t>
      </w:r>
    </w:p>
    <w:p w14:paraId="5AD3CE8E" w14:textId="77777777" w:rsidR="00C731F4" w:rsidRPr="00C731F4" w:rsidRDefault="00C731F4"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Walker, A., 2015. </w:t>
      </w:r>
      <w:r w:rsidRPr="00C731F4">
        <w:rPr>
          <w:rFonts w:ascii="Arial" w:hAnsi="Arial" w:cs="Arial"/>
          <w:i/>
          <w:iCs/>
          <w:color w:val="222222"/>
          <w:sz w:val="22"/>
          <w:szCs w:val="22"/>
          <w:shd w:val="clear" w:color="auto" w:fill="FFFFFF"/>
        </w:rPr>
        <w:t>Project management in construction</w:t>
      </w:r>
      <w:r w:rsidRPr="00C731F4">
        <w:rPr>
          <w:rFonts w:ascii="Arial" w:hAnsi="Arial" w:cs="Arial"/>
          <w:color w:val="222222"/>
          <w:sz w:val="22"/>
          <w:szCs w:val="22"/>
          <w:shd w:val="clear" w:color="auto" w:fill="FFFFFF"/>
        </w:rPr>
        <w:t>. John Wiley &amp; Sons.</w:t>
      </w:r>
    </w:p>
    <w:p w14:paraId="59FC01BE" w14:textId="77777777" w:rsidR="00C731F4" w:rsidRPr="00C731F4" w:rsidRDefault="00C731F4" w:rsidP="00C731F4">
      <w:pPr>
        <w:spacing w:after="0" w:line="360" w:lineRule="auto"/>
        <w:ind w:left="720" w:hanging="720"/>
        <w:contextualSpacing/>
        <w:rPr>
          <w:rFonts w:ascii="Arial" w:hAnsi="Arial" w:cs="Arial"/>
          <w:color w:val="222222"/>
          <w:sz w:val="22"/>
          <w:szCs w:val="22"/>
          <w:shd w:val="clear" w:color="auto" w:fill="FFFFFF"/>
        </w:rPr>
      </w:pPr>
      <w:r w:rsidRPr="00C731F4">
        <w:rPr>
          <w:rFonts w:ascii="Arial" w:hAnsi="Arial" w:cs="Arial"/>
          <w:color w:val="222222"/>
          <w:sz w:val="22"/>
          <w:szCs w:val="22"/>
          <w:shd w:val="clear" w:color="auto" w:fill="FFFFFF"/>
        </w:rPr>
        <w:t>Ward, S. and Chapman, C., 2003. Transforming project risk management into project uncertainty management. </w:t>
      </w:r>
      <w:r w:rsidRPr="00C731F4">
        <w:rPr>
          <w:rFonts w:ascii="Arial" w:hAnsi="Arial" w:cs="Arial"/>
          <w:i/>
          <w:iCs/>
          <w:color w:val="222222"/>
          <w:sz w:val="22"/>
          <w:szCs w:val="22"/>
          <w:shd w:val="clear" w:color="auto" w:fill="FFFFFF"/>
        </w:rPr>
        <w:t>International journal of project management</w:t>
      </w:r>
      <w:r w:rsidRPr="00C731F4">
        <w:rPr>
          <w:rFonts w:ascii="Arial" w:hAnsi="Arial" w:cs="Arial"/>
          <w:color w:val="222222"/>
          <w:sz w:val="22"/>
          <w:szCs w:val="22"/>
          <w:shd w:val="clear" w:color="auto" w:fill="FFFFFF"/>
        </w:rPr>
        <w:t>, </w:t>
      </w:r>
      <w:r w:rsidRPr="00C731F4">
        <w:rPr>
          <w:rFonts w:ascii="Arial" w:hAnsi="Arial" w:cs="Arial"/>
          <w:i/>
          <w:iCs/>
          <w:color w:val="222222"/>
          <w:sz w:val="22"/>
          <w:szCs w:val="22"/>
          <w:shd w:val="clear" w:color="auto" w:fill="FFFFFF"/>
        </w:rPr>
        <w:t>21</w:t>
      </w:r>
      <w:r w:rsidRPr="00C731F4">
        <w:rPr>
          <w:rFonts w:ascii="Arial" w:hAnsi="Arial" w:cs="Arial"/>
          <w:color w:val="222222"/>
          <w:sz w:val="22"/>
          <w:szCs w:val="22"/>
          <w:shd w:val="clear" w:color="auto" w:fill="FFFFFF"/>
        </w:rPr>
        <w:t>(2), pp.97-105.</w:t>
      </w:r>
    </w:p>
    <w:p w14:paraId="0DDBBBA5" w14:textId="18A5FA8C" w:rsidR="001F6811" w:rsidRPr="00C731F4" w:rsidRDefault="00C731F4" w:rsidP="00C731F4">
      <w:pPr>
        <w:spacing w:after="0" w:line="360" w:lineRule="auto"/>
        <w:contextualSpacing/>
        <w:jc w:val="both"/>
        <w:rPr>
          <w:rFonts w:ascii="Arial" w:hAnsi="Arial" w:cs="Arial"/>
          <w:b/>
          <w:bCs/>
          <w:sz w:val="22"/>
          <w:szCs w:val="22"/>
          <w:lang w:val="en-GB"/>
        </w:rPr>
      </w:pPr>
      <w:r w:rsidRPr="00C731F4">
        <w:rPr>
          <w:rFonts w:ascii="Arial" w:hAnsi="Arial" w:cs="Arial"/>
          <w:color w:val="222222"/>
          <w:sz w:val="22"/>
          <w:szCs w:val="22"/>
          <w:shd w:val="clear" w:color="auto" w:fill="FFFFFF"/>
        </w:rPr>
        <w:t>Winch, G.M., 2012. </w:t>
      </w:r>
      <w:r w:rsidRPr="00C731F4">
        <w:rPr>
          <w:rFonts w:ascii="Arial" w:hAnsi="Arial" w:cs="Arial"/>
          <w:i/>
          <w:iCs/>
          <w:color w:val="222222"/>
          <w:sz w:val="22"/>
          <w:szCs w:val="22"/>
          <w:shd w:val="clear" w:color="auto" w:fill="FFFFFF"/>
        </w:rPr>
        <w:t>Managing construction projects</w:t>
      </w:r>
      <w:r w:rsidRPr="00C731F4">
        <w:rPr>
          <w:rFonts w:ascii="Arial" w:hAnsi="Arial" w:cs="Arial"/>
          <w:color w:val="222222"/>
          <w:sz w:val="22"/>
          <w:szCs w:val="22"/>
          <w:shd w:val="clear" w:color="auto" w:fill="FFFFFF"/>
        </w:rPr>
        <w:t>. John Wiley &amp; Sons.</w:t>
      </w:r>
    </w:p>
    <w:sectPr w:rsidR="001F6811" w:rsidRPr="00C731F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99EDC" w14:textId="77777777" w:rsidR="00227E94" w:rsidRDefault="00227E94" w:rsidP="00E1567F">
      <w:pPr>
        <w:spacing w:after="0" w:line="240" w:lineRule="auto"/>
      </w:pPr>
      <w:r>
        <w:separator/>
      </w:r>
    </w:p>
  </w:endnote>
  <w:endnote w:type="continuationSeparator" w:id="0">
    <w:p w14:paraId="0FFFDC21" w14:textId="77777777" w:rsidR="00227E94" w:rsidRDefault="00227E94" w:rsidP="00E1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71A69" w14:textId="77777777" w:rsidR="00CB440D" w:rsidRDefault="00CB44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174" w14:textId="77777777" w:rsidR="00CB440D" w:rsidRDefault="00CB44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B1E39" w14:textId="77777777" w:rsidR="00CB440D" w:rsidRDefault="00CB44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C166E" w14:textId="77777777" w:rsidR="00227E94" w:rsidRDefault="00227E94" w:rsidP="00E1567F">
      <w:pPr>
        <w:spacing w:after="0" w:line="240" w:lineRule="auto"/>
      </w:pPr>
      <w:r>
        <w:separator/>
      </w:r>
    </w:p>
  </w:footnote>
  <w:footnote w:type="continuationSeparator" w:id="0">
    <w:p w14:paraId="3B594A7E" w14:textId="77777777" w:rsidR="00227E94" w:rsidRDefault="00227E94" w:rsidP="00E156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ED4A4" w14:textId="77777777" w:rsidR="00CB440D" w:rsidRDefault="00CB44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27980074"/>
      <w:docPartObj>
        <w:docPartGallery w:val="Page Numbers (Top of Page)"/>
        <w:docPartUnique/>
      </w:docPartObj>
    </w:sdtPr>
    <w:sdtEndPr>
      <w:rPr>
        <w:noProof/>
      </w:rPr>
    </w:sdtEndPr>
    <w:sdtContent>
      <w:p w14:paraId="2EAE4DD9" w14:textId="7A9D68F4" w:rsidR="00E1567F" w:rsidRPr="00E1567F" w:rsidRDefault="00E1567F">
        <w:pPr>
          <w:pStyle w:val="Header"/>
          <w:jc w:val="right"/>
          <w:rPr>
            <w:rFonts w:ascii="Times New Roman" w:hAnsi="Times New Roman" w:cs="Times New Roman"/>
          </w:rPr>
        </w:pPr>
        <w:r w:rsidRPr="00E1567F">
          <w:rPr>
            <w:rFonts w:ascii="Times New Roman" w:hAnsi="Times New Roman" w:cs="Times New Roman"/>
          </w:rPr>
          <w:fldChar w:fldCharType="begin"/>
        </w:r>
        <w:r w:rsidRPr="00E1567F">
          <w:rPr>
            <w:rFonts w:ascii="Times New Roman" w:hAnsi="Times New Roman" w:cs="Times New Roman"/>
          </w:rPr>
          <w:instrText xml:space="preserve"> PAGE   \* MERGEFORMAT </w:instrText>
        </w:r>
        <w:r w:rsidRPr="00E1567F">
          <w:rPr>
            <w:rFonts w:ascii="Times New Roman" w:hAnsi="Times New Roman" w:cs="Times New Roman"/>
          </w:rPr>
          <w:fldChar w:fldCharType="separate"/>
        </w:r>
        <w:r w:rsidR="00C731F4">
          <w:rPr>
            <w:rFonts w:ascii="Times New Roman" w:hAnsi="Times New Roman" w:cs="Times New Roman"/>
            <w:noProof/>
          </w:rPr>
          <w:t>2</w:t>
        </w:r>
        <w:r w:rsidRPr="00E1567F">
          <w:rPr>
            <w:rFonts w:ascii="Times New Roman" w:hAnsi="Times New Roman" w:cs="Times New Roman"/>
            <w:noProof/>
          </w:rPr>
          <w:fldChar w:fldCharType="end"/>
        </w:r>
      </w:p>
    </w:sdtContent>
  </w:sdt>
  <w:p w14:paraId="4916DEE1" w14:textId="77777777" w:rsidR="00E1567F" w:rsidRDefault="00E156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BF69" w14:textId="77777777" w:rsidR="00CB440D" w:rsidRDefault="00CB44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60C8"/>
    <w:rsid w:val="00017B35"/>
    <w:rsid w:val="00037871"/>
    <w:rsid w:val="0009794E"/>
    <w:rsid w:val="0012450D"/>
    <w:rsid w:val="00154D9C"/>
    <w:rsid w:val="00177C37"/>
    <w:rsid w:val="001D296F"/>
    <w:rsid w:val="001F3448"/>
    <w:rsid w:val="001F6811"/>
    <w:rsid w:val="00227E94"/>
    <w:rsid w:val="00262D7E"/>
    <w:rsid w:val="002D5182"/>
    <w:rsid w:val="002D6DEE"/>
    <w:rsid w:val="002F0663"/>
    <w:rsid w:val="00344E71"/>
    <w:rsid w:val="003A1713"/>
    <w:rsid w:val="003B0832"/>
    <w:rsid w:val="003D4E31"/>
    <w:rsid w:val="00405E1A"/>
    <w:rsid w:val="00453A3A"/>
    <w:rsid w:val="004D02E4"/>
    <w:rsid w:val="00507B2D"/>
    <w:rsid w:val="00533DA8"/>
    <w:rsid w:val="005341EC"/>
    <w:rsid w:val="00584CA0"/>
    <w:rsid w:val="005D2876"/>
    <w:rsid w:val="005F3CAA"/>
    <w:rsid w:val="006846D5"/>
    <w:rsid w:val="006B261F"/>
    <w:rsid w:val="007160A0"/>
    <w:rsid w:val="00725140"/>
    <w:rsid w:val="007737E6"/>
    <w:rsid w:val="0077511D"/>
    <w:rsid w:val="007A51D1"/>
    <w:rsid w:val="008219AD"/>
    <w:rsid w:val="00850701"/>
    <w:rsid w:val="00867313"/>
    <w:rsid w:val="008B0729"/>
    <w:rsid w:val="008B62EE"/>
    <w:rsid w:val="008D49F5"/>
    <w:rsid w:val="00900D3C"/>
    <w:rsid w:val="00941B65"/>
    <w:rsid w:val="00997373"/>
    <w:rsid w:val="009A60F9"/>
    <w:rsid w:val="00A06DD3"/>
    <w:rsid w:val="00A22D75"/>
    <w:rsid w:val="00A473BB"/>
    <w:rsid w:val="00AA1716"/>
    <w:rsid w:val="00AA60C8"/>
    <w:rsid w:val="00AC2139"/>
    <w:rsid w:val="00B453D3"/>
    <w:rsid w:val="00B505C2"/>
    <w:rsid w:val="00B50FBA"/>
    <w:rsid w:val="00BF1B52"/>
    <w:rsid w:val="00C06AC8"/>
    <w:rsid w:val="00C731F4"/>
    <w:rsid w:val="00C904FB"/>
    <w:rsid w:val="00CA3997"/>
    <w:rsid w:val="00CB440D"/>
    <w:rsid w:val="00CB6619"/>
    <w:rsid w:val="00DA3A15"/>
    <w:rsid w:val="00E1567F"/>
    <w:rsid w:val="00E33051"/>
    <w:rsid w:val="00EF2A5E"/>
    <w:rsid w:val="00F5024D"/>
    <w:rsid w:val="00FA6968"/>
    <w:rsid w:val="00FC1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7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0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A60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60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60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60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60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0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0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0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0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A60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60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60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60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60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0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0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0C8"/>
    <w:rPr>
      <w:rFonts w:eastAsiaTheme="majorEastAsia" w:cstheme="majorBidi"/>
      <w:color w:val="272727" w:themeColor="text1" w:themeTint="D8"/>
    </w:rPr>
  </w:style>
  <w:style w:type="paragraph" w:styleId="Title">
    <w:name w:val="Title"/>
    <w:basedOn w:val="Normal"/>
    <w:next w:val="Normal"/>
    <w:link w:val="TitleChar"/>
    <w:uiPriority w:val="10"/>
    <w:qFormat/>
    <w:rsid w:val="00AA60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0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0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0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0C8"/>
    <w:pPr>
      <w:spacing w:before="160"/>
      <w:jc w:val="center"/>
    </w:pPr>
    <w:rPr>
      <w:i/>
      <w:iCs/>
      <w:color w:val="404040" w:themeColor="text1" w:themeTint="BF"/>
    </w:rPr>
  </w:style>
  <w:style w:type="character" w:customStyle="1" w:styleId="QuoteChar">
    <w:name w:val="Quote Char"/>
    <w:basedOn w:val="DefaultParagraphFont"/>
    <w:link w:val="Quote"/>
    <w:uiPriority w:val="29"/>
    <w:rsid w:val="00AA60C8"/>
    <w:rPr>
      <w:i/>
      <w:iCs/>
      <w:color w:val="404040" w:themeColor="text1" w:themeTint="BF"/>
    </w:rPr>
  </w:style>
  <w:style w:type="paragraph" w:styleId="ListParagraph">
    <w:name w:val="List Paragraph"/>
    <w:basedOn w:val="Normal"/>
    <w:uiPriority w:val="34"/>
    <w:qFormat/>
    <w:rsid w:val="00AA60C8"/>
    <w:pPr>
      <w:ind w:left="720"/>
      <w:contextualSpacing/>
    </w:pPr>
  </w:style>
  <w:style w:type="character" w:styleId="IntenseEmphasis">
    <w:name w:val="Intense Emphasis"/>
    <w:basedOn w:val="DefaultParagraphFont"/>
    <w:uiPriority w:val="21"/>
    <w:qFormat/>
    <w:rsid w:val="00AA60C8"/>
    <w:rPr>
      <w:i/>
      <w:iCs/>
      <w:color w:val="2F5496" w:themeColor="accent1" w:themeShade="BF"/>
    </w:rPr>
  </w:style>
  <w:style w:type="paragraph" w:styleId="IntenseQuote">
    <w:name w:val="Intense Quote"/>
    <w:basedOn w:val="Normal"/>
    <w:next w:val="Normal"/>
    <w:link w:val="IntenseQuoteChar"/>
    <w:uiPriority w:val="30"/>
    <w:qFormat/>
    <w:rsid w:val="00AA60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60C8"/>
    <w:rPr>
      <w:i/>
      <w:iCs/>
      <w:color w:val="2F5496" w:themeColor="accent1" w:themeShade="BF"/>
    </w:rPr>
  </w:style>
  <w:style w:type="character" w:styleId="IntenseReference">
    <w:name w:val="Intense Reference"/>
    <w:basedOn w:val="DefaultParagraphFont"/>
    <w:uiPriority w:val="32"/>
    <w:qFormat/>
    <w:rsid w:val="00AA60C8"/>
    <w:rPr>
      <w:b/>
      <w:bCs/>
      <w:smallCaps/>
      <w:color w:val="2F5496" w:themeColor="accent1" w:themeShade="BF"/>
      <w:spacing w:val="5"/>
    </w:rPr>
  </w:style>
  <w:style w:type="paragraph" w:styleId="Header">
    <w:name w:val="header"/>
    <w:basedOn w:val="Normal"/>
    <w:link w:val="HeaderChar"/>
    <w:uiPriority w:val="99"/>
    <w:unhideWhenUsed/>
    <w:rsid w:val="00E1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567F"/>
  </w:style>
  <w:style w:type="paragraph" w:styleId="Footer">
    <w:name w:val="footer"/>
    <w:basedOn w:val="Normal"/>
    <w:link w:val="FooterChar"/>
    <w:uiPriority w:val="99"/>
    <w:unhideWhenUsed/>
    <w:rsid w:val="00E1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567F"/>
  </w:style>
  <w:style w:type="paragraph" w:styleId="TOCHeading">
    <w:name w:val="TOC Heading"/>
    <w:basedOn w:val="Heading1"/>
    <w:next w:val="Normal"/>
    <w:uiPriority w:val="39"/>
    <w:unhideWhenUsed/>
    <w:qFormat/>
    <w:rsid w:val="009A60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A60F9"/>
    <w:pPr>
      <w:spacing w:after="100"/>
    </w:pPr>
  </w:style>
  <w:style w:type="paragraph" w:styleId="TOC2">
    <w:name w:val="toc 2"/>
    <w:basedOn w:val="Normal"/>
    <w:next w:val="Normal"/>
    <w:autoRedefine/>
    <w:uiPriority w:val="39"/>
    <w:unhideWhenUsed/>
    <w:rsid w:val="009A60F9"/>
    <w:pPr>
      <w:spacing w:after="100"/>
      <w:ind w:left="240"/>
    </w:pPr>
  </w:style>
  <w:style w:type="character" w:styleId="Hyperlink">
    <w:name w:val="Hyperlink"/>
    <w:basedOn w:val="DefaultParagraphFont"/>
    <w:uiPriority w:val="99"/>
    <w:unhideWhenUsed/>
    <w:rsid w:val="009A60F9"/>
    <w:rPr>
      <w:color w:val="0563C1" w:themeColor="hyperlink"/>
      <w:u w:val="single"/>
    </w:rPr>
  </w:style>
  <w:style w:type="paragraph" w:styleId="BalloonText">
    <w:name w:val="Balloon Text"/>
    <w:basedOn w:val="Normal"/>
    <w:link w:val="BalloonTextChar"/>
    <w:uiPriority w:val="99"/>
    <w:semiHidden/>
    <w:unhideWhenUsed/>
    <w:rsid w:val="00F50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2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14B60-F390-4038-8543-C79A2D781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2385</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2026-07-18T10:16:00Z</dcterms:created>
  <dcterms:modified xsi:type="dcterms:W3CDTF">2026-07-23T16:41:00Z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ff35a251-2b47-43e9-a4f7-d94889a51227</vt:lpwstr>
  </property>
</Properties>
</file>